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4E9" w14:textId="115E22A2" w:rsidR="00BF27A0" w:rsidRPr="00EF4580" w:rsidRDefault="003955F5" w:rsidP="006C5B33">
      <w:pPr>
        <w:pStyle w:val="1-MainHeading"/>
        <w:rPr>
          <w:rFonts w:eastAsia="Calibri"/>
          <w:lang w:eastAsia="en-US"/>
        </w:rPr>
      </w:pPr>
      <w:r w:rsidRPr="003955F5">
        <w:t>7</w:t>
      </w:r>
      <w:r w:rsidR="7C73E7A8" w:rsidRPr="003955F5">
        <w:t>.</w:t>
      </w:r>
      <w:r>
        <w:t>09</w:t>
      </w:r>
      <w:r w:rsidR="000B7767" w:rsidRPr="00EF4580">
        <w:tab/>
      </w:r>
      <w:r w:rsidR="00785217">
        <w:t>ASCIMINIB</w:t>
      </w:r>
      <w:r w:rsidR="40930EF5" w:rsidRPr="00EF4580">
        <w:t>,</w:t>
      </w:r>
      <w:r w:rsidR="000B7767" w:rsidRPr="00EF4580">
        <w:br/>
      </w:r>
      <w:r w:rsidR="00785217" w:rsidRPr="00B22BCB">
        <w:t>Tablet 20 mg,</w:t>
      </w:r>
      <w:r w:rsidR="00785217">
        <w:t xml:space="preserve"> </w:t>
      </w:r>
      <w:r w:rsidR="00785217" w:rsidRPr="00B22BCB">
        <w:t>Tablet 40 mg</w:t>
      </w:r>
      <w:r w:rsidR="0CF130DF" w:rsidRPr="00EF4580">
        <w:t>,</w:t>
      </w:r>
      <w:r w:rsidR="000B7767" w:rsidRPr="00EF4580">
        <w:br/>
      </w:r>
      <w:r w:rsidR="00785217" w:rsidRPr="00B22BCB">
        <w:t>Scemblix</w:t>
      </w:r>
      <w:r w:rsidR="00785217" w:rsidRPr="00B22BCB">
        <w:rPr>
          <w:vertAlign w:val="superscript"/>
        </w:rPr>
        <w:t>®</w:t>
      </w:r>
      <w:r w:rsidR="00785217" w:rsidRPr="00B22BCB">
        <w:t>,</w:t>
      </w:r>
      <w:r w:rsidR="00785217" w:rsidRPr="00B22BCB">
        <w:br/>
        <w:t>Novartis Pharmaceuticals Australia Pty Limited</w:t>
      </w:r>
      <w:r w:rsidR="0CF130DF" w:rsidRPr="00EF4580">
        <w:t xml:space="preserve"> </w:t>
      </w:r>
    </w:p>
    <w:p w14:paraId="1DE8D195" w14:textId="2659B417" w:rsidR="003F044F" w:rsidRPr="006C5B33" w:rsidRDefault="009C5B72" w:rsidP="006C5B33">
      <w:pPr>
        <w:pStyle w:val="2-SectionHeading"/>
        <w:rPr>
          <w:rFonts w:eastAsia="Calibri"/>
        </w:rPr>
      </w:pPr>
      <w:r w:rsidRPr="006C5B33">
        <w:t>Purpose</w:t>
      </w:r>
    </w:p>
    <w:p w14:paraId="055F1FC8" w14:textId="7297705B" w:rsidR="00F81F7A" w:rsidRPr="002C633F" w:rsidRDefault="00F81F7A" w:rsidP="006C5B33">
      <w:pPr>
        <w:pStyle w:val="3-BodyText"/>
      </w:pPr>
      <w:r w:rsidRPr="00F81F7A">
        <w:t xml:space="preserve">The </w:t>
      </w:r>
      <w:r w:rsidR="009D55E2" w:rsidRPr="002C633F">
        <w:t>early re-entry re</w:t>
      </w:r>
      <w:r w:rsidRPr="002C633F">
        <w:t xml:space="preserve">submission </w:t>
      </w:r>
      <w:r w:rsidR="00E103A0" w:rsidRPr="002C633F">
        <w:t>sought</w:t>
      </w:r>
      <w:r w:rsidRPr="002C633F">
        <w:t xml:space="preserve"> to </w:t>
      </w:r>
      <w:r w:rsidR="00785217">
        <w:t xml:space="preserve">list asciminib with a </w:t>
      </w:r>
      <w:r w:rsidR="00785217" w:rsidRPr="00B22BCB">
        <w:t>General Schedule Authority Required listing</w:t>
      </w:r>
      <w:r w:rsidR="00785217">
        <w:t xml:space="preserve"> (</w:t>
      </w:r>
      <w:r w:rsidR="00785217" w:rsidRPr="004A7CE6">
        <w:t>Telephone/Online</w:t>
      </w:r>
      <w:r w:rsidR="00785217">
        <w:t>)</w:t>
      </w:r>
      <w:r w:rsidR="00785217" w:rsidRPr="00B22BCB">
        <w:t xml:space="preserve"> for the treatment of </w:t>
      </w:r>
      <w:r w:rsidR="005A40B1">
        <w:t xml:space="preserve">(i) </w:t>
      </w:r>
      <w:r w:rsidR="00785217" w:rsidRPr="00B22BCB">
        <w:t xml:space="preserve">patients with </w:t>
      </w:r>
      <w:bookmarkStart w:id="0" w:name="_Hlk104890668"/>
      <w:r w:rsidR="00785217" w:rsidRPr="00B22BCB">
        <w:t>Philadelphia chromosome-positive chronic myeloid leukaemia</w:t>
      </w:r>
      <w:r w:rsidR="00785217">
        <w:t xml:space="preserve"> </w:t>
      </w:r>
      <w:r w:rsidR="00785217" w:rsidRPr="002E7D71">
        <w:t>(</w:t>
      </w:r>
      <w:r w:rsidR="00785217">
        <w:t xml:space="preserve">Ph+ </w:t>
      </w:r>
      <w:r w:rsidR="00785217" w:rsidRPr="002E7D71">
        <w:t>CML) in chronic phase (CP),</w:t>
      </w:r>
      <w:r w:rsidR="00785217" w:rsidRPr="00B22BCB">
        <w:t xml:space="preserve"> who had been previously treated with two or more tyrosine kinase inhibitors (TKIs)</w:t>
      </w:r>
      <w:bookmarkEnd w:id="0"/>
      <w:r w:rsidR="005A40B1">
        <w:t>; and (ii) patients with Ph+ CM</w:t>
      </w:r>
      <w:r w:rsidR="00A97CB0">
        <w:t>L</w:t>
      </w:r>
      <w:r w:rsidR="005A40B1">
        <w:t xml:space="preserve"> in CP, who had been previously treated with </w:t>
      </w:r>
      <w:r w:rsidR="005A40B1" w:rsidRPr="00A93F80">
        <w:t>one or more TKIs and harbouring the T315I mutation</w:t>
      </w:r>
      <w:r w:rsidR="005A40B1">
        <w:t>.</w:t>
      </w:r>
    </w:p>
    <w:p w14:paraId="5AB68F30" w14:textId="76C0598A" w:rsidR="009D55E2" w:rsidRPr="00D34011" w:rsidRDefault="6657D135" w:rsidP="006C5B33">
      <w:pPr>
        <w:pStyle w:val="3-BodyText"/>
        <w:rPr>
          <w:rFonts w:eastAsiaTheme="minorEastAsia"/>
          <w:color w:val="1F497D" w:themeColor="text2"/>
        </w:rPr>
      </w:pPr>
      <w:r w:rsidRPr="002C633F">
        <w:t xml:space="preserve">The </w:t>
      </w:r>
      <w:r w:rsidR="009D55E2" w:rsidRPr="002C633F">
        <w:t>re</w:t>
      </w:r>
      <w:r w:rsidRPr="002C633F">
        <w:t xml:space="preserve">submission </w:t>
      </w:r>
      <w:r w:rsidR="006D0BC4">
        <w:t>responded to</w:t>
      </w:r>
      <w:r w:rsidRPr="002C633F">
        <w:t xml:space="preserve"> </w:t>
      </w:r>
      <w:r w:rsidR="009D55E2" w:rsidRPr="002C633F">
        <w:t xml:space="preserve">the PBAC </w:t>
      </w:r>
      <w:r w:rsidR="00B7286D">
        <w:t>recommendation</w:t>
      </w:r>
      <w:r w:rsidR="00B7286D" w:rsidRPr="002C633F">
        <w:t xml:space="preserve"> </w:t>
      </w:r>
      <w:r w:rsidR="009D55E2" w:rsidRPr="002C633F">
        <w:t xml:space="preserve">from </w:t>
      </w:r>
      <w:r w:rsidR="00FA6BB9">
        <w:t>July 2022</w:t>
      </w:r>
      <w:r w:rsidRPr="00EF4580">
        <w:t xml:space="preserve">. </w:t>
      </w:r>
      <w:r w:rsidRPr="00EF4580">
        <w:rPr>
          <w:snapToGrid w:val="0"/>
        </w:rPr>
        <w:t>Th</w:t>
      </w:r>
      <w:r w:rsidR="006D0BC4">
        <w:rPr>
          <w:snapToGrid w:val="0"/>
        </w:rPr>
        <w:t>e</w:t>
      </w:r>
      <w:r w:rsidRPr="00EF4580">
        <w:rPr>
          <w:snapToGrid w:val="0"/>
        </w:rPr>
        <w:t xml:space="preserve"> </w:t>
      </w:r>
      <w:r w:rsidR="009D55E2">
        <w:rPr>
          <w:snapToGrid w:val="0"/>
        </w:rPr>
        <w:t xml:space="preserve">resubmission addressed the </w:t>
      </w:r>
      <w:r w:rsidRPr="00EF4580">
        <w:rPr>
          <w:snapToGrid w:val="0"/>
        </w:rPr>
        <w:t>is</w:t>
      </w:r>
      <w:r w:rsidR="009D55E2">
        <w:rPr>
          <w:snapToGrid w:val="0"/>
        </w:rPr>
        <w:t>sues raised</w:t>
      </w:r>
      <w:r w:rsidRPr="00EF4580">
        <w:rPr>
          <w:snapToGrid w:val="0"/>
        </w:rPr>
        <w:t xml:space="preserve"> </w:t>
      </w:r>
      <w:r w:rsidR="009D55E2">
        <w:rPr>
          <w:snapToGrid w:val="0"/>
        </w:rPr>
        <w:t xml:space="preserve">by </w:t>
      </w:r>
      <w:r w:rsidR="009D55E2" w:rsidRPr="009D55E2">
        <w:rPr>
          <w:snapToGrid w:val="0"/>
        </w:rPr>
        <w:t>PBAC</w:t>
      </w:r>
      <w:r w:rsidR="00FA6BB9">
        <w:rPr>
          <w:snapToGrid w:val="0"/>
        </w:rPr>
        <w:t xml:space="preserve"> (</w:t>
      </w:r>
      <w:r w:rsidR="00FA6BB9" w:rsidRPr="00FA6BB9">
        <w:rPr>
          <w:rFonts w:cstheme="minorHAnsi"/>
          <w:snapToGrid w:val="0"/>
          <w:szCs w:val="24"/>
        </w:rPr>
        <w:fldChar w:fldCharType="begin" w:fldLock="1"/>
      </w:r>
      <w:r w:rsidR="00FA6BB9" w:rsidRPr="00FA6BB9">
        <w:rPr>
          <w:rFonts w:cstheme="minorHAnsi"/>
          <w:snapToGrid w:val="0"/>
          <w:szCs w:val="24"/>
        </w:rPr>
        <w:instrText xml:space="preserve"> REF _Ref112674433 \h  \* MERGEFORMAT </w:instrText>
      </w:r>
      <w:r w:rsidR="00FA6BB9" w:rsidRPr="00FA6BB9">
        <w:rPr>
          <w:rFonts w:cstheme="minorHAnsi"/>
          <w:snapToGrid w:val="0"/>
          <w:szCs w:val="24"/>
        </w:rPr>
      </w:r>
      <w:r w:rsidR="00FA6BB9" w:rsidRPr="00FA6BB9">
        <w:rPr>
          <w:rFonts w:cstheme="minorHAnsi"/>
          <w:snapToGrid w:val="0"/>
          <w:szCs w:val="24"/>
        </w:rPr>
        <w:fldChar w:fldCharType="separate"/>
      </w:r>
      <w:r w:rsidR="00196FF1" w:rsidRPr="00196FF1">
        <w:rPr>
          <w:rFonts w:cstheme="minorHAnsi"/>
          <w:szCs w:val="24"/>
        </w:rPr>
        <w:t>Table</w:t>
      </w:r>
      <w:r w:rsidR="00196FF1">
        <w:rPr>
          <w:rFonts w:ascii="Arial Narrow" w:hAnsi="Arial Narrow"/>
          <w:b/>
          <w:bCs/>
          <w:sz w:val="20"/>
          <w:szCs w:val="20"/>
        </w:rPr>
        <w:t> </w:t>
      </w:r>
      <w:r w:rsidR="00196FF1" w:rsidRPr="00196FF1">
        <w:rPr>
          <w:rFonts w:cstheme="minorHAnsi"/>
          <w:noProof/>
          <w:szCs w:val="24"/>
        </w:rPr>
        <w:t>1</w:t>
      </w:r>
      <w:r w:rsidR="00FA6BB9" w:rsidRPr="00FA6BB9">
        <w:rPr>
          <w:rFonts w:cstheme="minorHAnsi"/>
          <w:snapToGrid w:val="0"/>
          <w:szCs w:val="24"/>
        </w:rPr>
        <w:fldChar w:fldCharType="end"/>
      </w:r>
      <w:r w:rsidR="00FA6BB9" w:rsidRPr="00FA6BB9">
        <w:rPr>
          <w:rFonts w:cstheme="minorHAnsi"/>
          <w:snapToGrid w:val="0"/>
          <w:szCs w:val="24"/>
        </w:rPr>
        <w:t>)</w:t>
      </w:r>
      <w:r w:rsidR="00FA6BB9">
        <w:rPr>
          <w:snapToGrid w:val="0"/>
        </w:rPr>
        <w:t>.</w:t>
      </w:r>
    </w:p>
    <w:p w14:paraId="13DC54C9" w14:textId="3149E6D0" w:rsidR="009D55E2" w:rsidRPr="00FA6BB9" w:rsidRDefault="00FA6BB9" w:rsidP="00FA6BB9">
      <w:pPr>
        <w:pStyle w:val="Caption"/>
        <w:spacing w:after="0"/>
        <w:rPr>
          <w:rFonts w:ascii="Arial Narrow" w:hAnsi="Arial Narrow"/>
          <w:b/>
          <w:bCs/>
          <w:i w:val="0"/>
          <w:iCs w:val="0"/>
          <w:color w:val="auto"/>
          <w:sz w:val="20"/>
          <w:szCs w:val="20"/>
        </w:rPr>
      </w:pPr>
      <w:bookmarkStart w:id="1" w:name="_Ref112674433"/>
      <w:r w:rsidRPr="00FA6BB9">
        <w:rPr>
          <w:rFonts w:ascii="Arial Narrow" w:hAnsi="Arial Narrow"/>
          <w:b/>
          <w:bCs/>
          <w:i w:val="0"/>
          <w:iCs w:val="0"/>
          <w:color w:val="auto"/>
          <w:sz w:val="20"/>
          <w:szCs w:val="20"/>
        </w:rPr>
        <w:t xml:space="preserve">Table </w:t>
      </w:r>
      <w:r w:rsidRPr="00FA6BB9">
        <w:rPr>
          <w:rFonts w:ascii="Arial Narrow" w:hAnsi="Arial Narrow"/>
          <w:b/>
          <w:bCs/>
          <w:i w:val="0"/>
          <w:iCs w:val="0"/>
          <w:color w:val="auto"/>
          <w:sz w:val="20"/>
          <w:szCs w:val="20"/>
        </w:rPr>
        <w:fldChar w:fldCharType="begin" w:fldLock="1"/>
      </w:r>
      <w:r w:rsidRPr="00FA6BB9">
        <w:rPr>
          <w:rFonts w:ascii="Arial Narrow" w:hAnsi="Arial Narrow"/>
          <w:b/>
          <w:bCs/>
          <w:i w:val="0"/>
          <w:iCs w:val="0"/>
          <w:color w:val="auto"/>
          <w:sz w:val="20"/>
          <w:szCs w:val="20"/>
        </w:rPr>
        <w:instrText xml:space="preserve"> SEQ Table \* ARABIC </w:instrText>
      </w:r>
      <w:r w:rsidRPr="00FA6BB9">
        <w:rPr>
          <w:rFonts w:ascii="Arial Narrow" w:hAnsi="Arial Narrow"/>
          <w:b/>
          <w:bCs/>
          <w:i w:val="0"/>
          <w:iCs w:val="0"/>
          <w:color w:val="auto"/>
          <w:sz w:val="20"/>
          <w:szCs w:val="20"/>
        </w:rPr>
        <w:fldChar w:fldCharType="separate"/>
      </w:r>
      <w:r w:rsidR="00100F00">
        <w:rPr>
          <w:rFonts w:ascii="Arial Narrow" w:hAnsi="Arial Narrow"/>
          <w:b/>
          <w:bCs/>
          <w:i w:val="0"/>
          <w:iCs w:val="0"/>
          <w:noProof/>
          <w:color w:val="auto"/>
          <w:sz w:val="20"/>
          <w:szCs w:val="20"/>
        </w:rPr>
        <w:t>1</w:t>
      </w:r>
      <w:r w:rsidRPr="00FA6BB9">
        <w:rPr>
          <w:rFonts w:ascii="Arial Narrow" w:hAnsi="Arial Narrow"/>
          <w:b/>
          <w:bCs/>
          <w:i w:val="0"/>
          <w:iCs w:val="0"/>
          <w:color w:val="auto"/>
          <w:sz w:val="20"/>
          <w:szCs w:val="20"/>
        </w:rPr>
        <w:fldChar w:fldCharType="end"/>
      </w:r>
      <w:bookmarkEnd w:id="1"/>
      <w:r>
        <w:rPr>
          <w:rFonts w:ascii="Arial Narrow" w:hAnsi="Arial Narrow"/>
          <w:b/>
          <w:bCs/>
          <w:i w:val="0"/>
          <w:iCs w:val="0"/>
          <w:color w:val="auto"/>
          <w:sz w:val="20"/>
          <w:szCs w:val="20"/>
        </w:rPr>
        <w:t>:</w:t>
      </w:r>
      <w:r w:rsidR="009D55E2" w:rsidRPr="00FA6BB9">
        <w:rPr>
          <w:rFonts w:ascii="Arial Narrow" w:hAnsi="Arial Narrow"/>
          <w:b/>
          <w:bCs/>
          <w:i w:val="0"/>
          <w:iCs w:val="0"/>
          <w:color w:val="auto"/>
          <w:sz w:val="20"/>
          <w:szCs w:val="20"/>
        </w:rPr>
        <w:t xml:space="preserve"> Summary of key matters to be addressed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Pr>
      <w:tblGrid>
        <w:gridCol w:w="3893"/>
        <w:gridCol w:w="3572"/>
        <w:gridCol w:w="1551"/>
      </w:tblGrid>
      <w:tr w:rsidR="002C633F" w:rsidRPr="000D3AF3" w14:paraId="5D2DC7BB" w14:textId="77777777" w:rsidTr="005140ED">
        <w:trPr>
          <w:tblHeader/>
        </w:trPr>
        <w:tc>
          <w:tcPr>
            <w:tcW w:w="2159" w:type="pct"/>
          </w:tcPr>
          <w:p w14:paraId="47875CEE" w14:textId="719157E8" w:rsidR="00D34011" w:rsidRPr="000D3AF3" w:rsidRDefault="00D34011" w:rsidP="009C66B5">
            <w:pPr>
              <w:pStyle w:val="In-tableHeading"/>
              <w:keepNext w:val="0"/>
              <w:rPr>
                <w:szCs w:val="20"/>
              </w:rPr>
            </w:pPr>
            <w:r w:rsidRPr="000D3AF3">
              <w:rPr>
                <w:szCs w:val="20"/>
              </w:rPr>
              <w:t>Matter of concern</w:t>
            </w:r>
          </w:p>
        </w:tc>
        <w:tc>
          <w:tcPr>
            <w:tcW w:w="1981" w:type="pct"/>
          </w:tcPr>
          <w:p w14:paraId="2F0501E9" w14:textId="41F16558" w:rsidR="00D34011" w:rsidRPr="000D3AF3" w:rsidRDefault="00D34011" w:rsidP="009C66B5">
            <w:pPr>
              <w:pStyle w:val="In-tableHeading"/>
              <w:keepNext w:val="0"/>
              <w:rPr>
                <w:szCs w:val="20"/>
              </w:rPr>
            </w:pPr>
            <w:r w:rsidRPr="000D3AF3">
              <w:rPr>
                <w:szCs w:val="20"/>
              </w:rPr>
              <w:t>Response</w:t>
            </w:r>
          </w:p>
        </w:tc>
        <w:tc>
          <w:tcPr>
            <w:tcW w:w="860" w:type="pct"/>
          </w:tcPr>
          <w:p w14:paraId="06AD57D9" w14:textId="20B07578" w:rsidR="00D34011" w:rsidRPr="000D3AF3" w:rsidRDefault="00D34011" w:rsidP="009C66B5">
            <w:pPr>
              <w:pStyle w:val="In-tableHeading"/>
              <w:keepNext w:val="0"/>
              <w:rPr>
                <w:szCs w:val="20"/>
              </w:rPr>
            </w:pPr>
            <w:r w:rsidRPr="000D3AF3">
              <w:rPr>
                <w:szCs w:val="20"/>
              </w:rPr>
              <w:t>Addressed?</w:t>
            </w:r>
          </w:p>
        </w:tc>
      </w:tr>
      <w:tr w:rsidR="008A25A2" w:rsidRPr="000D3AF3" w14:paraId="3B12A641" w14:textId="77777777" w:rsidTr="005140ED">
        <w:tc>
          <w:tcPr>
            <w:tcW w:w="5000" w:type="pct"/>
            <w:gridSpan w:val="3"/>
          </w:tcPr>
          <w:p w14:paraId="2042BB28" w14:textId="70A6EC3B" w:rsidR="008A25A2" w:rsidRPr="000D3AF3" w:rsidRDefault="00DC5A4A" w:rsidP="009C66B5">
            <w:pPr>
              <w:pStyle w:val="In-tableHeading"/>
              <w:keepNext w:val="0"/>
              <w:rPr>
                <w:szCs w:val="20"/>
              </w:rPr>
            </w:pPr>
            <w:r w:rsidRPr="000D3AF3">
              <w:rPr>
                <w:szCs w:val="20"/>
              </w:rPr>
              <w:t>Requested listing</w:t>
            </w:r>
            <w:r w:rsidR="00D72D6B" w:rsidRPr="000D3AF3">
              <w:rPr>
                <w:szCs w:val="20"/>
              </w:rPr>
              <w:t xml:space="preserve"> for T315I mutation patients</w:t>
            </w:r>
          </w:p>
        </w:tc>
      </w:tr>
      <w:tr w:rsidR="008A25A2" w:rsidRPr="000D3AF3" w14:paraId="4B704943" w14:textId="77777777" w:rsidTr="005140ED">
        <w:tc>
          <w:tcPr>
            <w:tcW w:w="2159" w:type="pct"/>
          </w:tcPr>
          <w:p w14:paraId="39BB0892" w14:textId="4C37F95F" w:rsidR="00774DB1" w:rsidRPr="000D3AF3" w:rsidRDefault="008A25A2" w:rsidP="00A1124B">
            <w:pPr>
              <w:pStyle w:val="In-tableHeading"/>
              <w:keepNext w:val="0"/>
              <w:numPr>
                <w:ilvl w:val="0"/>
                <w:numId w:val="20"/>
              </w:numPr>
              <w:spacing w:after="120"/>
              <w:ind w:left="313" w:hanging="149"/>
              <w:rPr>
                <w:b w:val="0"/>
                <w:bCs/>
                <w:szCs w:val="20"/>
              </w:rPr>
            </w:pPr>
            <w:r w:rsidRPr="000D3AF3">
              <w:rPr>
                <w:b w:val="0"/>
                <w:bCs/>
                <w:szCs w:val="20"/>
                <w:lang w:val="en-GB"/>
              </w:rPr>
              <w:t xml:space="preserve">A separate restriction for </w:t>
            </w:r>
            <w:r w:rsidRPr="000D3AF3">
              <w:rPr>
                <w:b w:val="0"/>
                <w:bCs/>
                <w:szCs w:val="20"/>
              </w:rPr>
              <w:t>patients with the T315I mutation (paragraphs 7.5 and 7.6</w:t>
            </w:r>
            <w:r w:rsidR="009C66B5" w:rsidRPr="000D3AF3">
              <w:rPr>
                <w:b w:val="0"/>
                <w:bCs/>
                <w:szCs w:val="20"/>
              </w:rPr>
              <w:t xml:space="preserve">, July 2022 </w:t>
            </w:r>
            <w:r w:rsidR="00CF4760">
              <w:rPr>
                <w:b w:val="0"/>
                <w:bCs/>
                <w:szCs w:val="20"/>
              </w:rPr>
              <w:t>PSD</w:t>
            </w:r>
            <w:r w:rsidRPr="000D3AF3">
              <w:rPr>
                <w:b w:val="0"/>
                <w:bCs/>
                <w:szCs w:val="20"/>
              </w:rPr>
              <w:t>)</w:t>
            </w:r>
            <w:r w:rsidR="009C66B5" w:rsidRPr="000D3AF3">
              <w:rPr>
                <w:b w:val="0"/>
                <w:bCs/>
                <w:szCs w:val="20"/>
              </w:rPr>
              <w:t xml:space="preserve">. </w:t>
            </w:r>
          </w:p>
          <w:p w14:paraId="7A8C7328" w14:textId="7EA9BF92" w:rsidR="008A25A2" w:rsidRPr="000D3AF3" w:rsidRDefault="009C66B5" w:rsidP="009C66B5">
            <w:pPr>
              <w:pStyle w:val="In-tableHeading"/>
              <w:keepNext w:val="0"/>
              <w:rPr>
                <w:b w:val="0"/>
                <w:bCs/>
                <w:szCs w:val="20"/>
              </w:rPr>
            </w:pPr>
            <w:r w:rsidRPr="000D3AF3">
              <w:rPr>
                <w:b w:val="0"/>
                <w:bCs/>
                <w:szCs w:val="20"/>
              </w:rPr>
              <w:t>The PBAC considered</w:t>
            </w:r>
            <w:r w:rsidR="006D0BC4">
              <w:rPr>
                <w:b w:val="0"/>
                <w:bCs/>
                <w:szCs w:val="20"/>
              </w:rPr>
              <w:t xml:space="preserve"> in July 2022</w:t>
            </w:r>
            <w:r w:rsidRPr="000D3AF3">
              <w:rPr>
                <w:b w:val="0"/>
                <w:bCs/>
                <w:szCs w:val="20"/>
              </w:rPr>
              <w:t xml:space="preserve"> it would be necessary for asciminib to have 2 PBS restrictions: one for the Ph+ CML in CP population who have failed/are intolerant to 2 or more TKIs, and another for Ph+ CML in CP patients with the T315I mutation who have failed/are intolerant to imatinib or dasatinib or nilotinib.</w:t>
            </w:r>
          </w:p>
        </w:tc>
        <w:tc>
          <w:tcPr>
            <w:tcW w:w="1981" w:type="pct"/>
          </w:tcPr>
          <w:p w14:paraId="4082E8CE" w14:textId="77777777" w:rsidR="008A25A2" w:rsidRPr="000D3AF3" w:rsidRDefault="008A25A2" w:rsidP="009C66B5">
            <w:pPr>
              <w:pStyle w:val="TableText"/>
              <w:keepNext w:val="0"/>
              <w:rPr>
                <w:szCs w:val="20"/>
              </w:rPr>
            </w:pPr>
            <w:r w:rsidRPr="000D3AF3">
              <w:rPr>
                <w:szCs w:val="20"/>
              </w:rPr>
              <w:t>The resubmission:</w:t>
            </w:r>
          </w:p>
          <w:p w14:paraId="2CB0ADDC" w14:textId="068B62B3" w:rsidR="008A25A2" w:rsidRPr="000D3AF3" w:rsidRDefault="005326A8" w:rsidP="00C6420F">
            <w:pPr>
              <w:pStyle w:val="In-tableHeading"/>
              <w:keepNext w:val="0"/>
              <w:numPr>
                <w:ilvl w:val="0"/>
                <w:numId w:val="20"/>
              </w:numPr>
              <w:spacing w:after="120"/>
              <w:ind w:left="233" w:hanging="142"/>
              <w:rPr>
                <w:b w:val="0"/>
                <w:bCs/>
                <w:szCs w:val="20"/>
              </w:rPr>
            </w:pPr>
            <w:r w:rsidRPr="000D3AF3">
              <w:rPr>
                <w:b w:val="0"/>
                <w:bCs/>
                <w:szCs w:val="20"/>
              </w:rPr>
              <w:t>Accepted the PBAC’s advice to specifically allow access to asciminib for patients previously treated with one or more TKIs and harbouring the T315I mutation via a separate restriction</w:t>
            </w:r>
            <w:r w:rsidR="00280D1D" w:rsidRPr="000D3AF3">
              <w:rPr>
                <w:b w:val="0"/>
                <w:bCs/>
                <w:szCs w:val="20"/>
              </w:rPr>
              <w:t>;</w:t>
            </w:r>
          </w:p>
          <w:p w14:paraId="792AC74E" w14:textId="3CE65FAF" w:rsidR="005326A8" w:rsidRPr="000D3AF3" w:rsidRDefault="005326A8" w:rsidP="005326A8">
            <w:pPr>
              <w:pStyle w:val="In-tableHeading"/>
              <w:keepNext w:val="0"/>
              <w:numPr>
                <w:ilvl w:val="0"/>
                <w:numId w:val="20"/>
              </w:numPr>
              <w:ind w:left="231" w:hanging="142"/>
              <w:rPr>
                <w:b w:val="0"/>
                <w:bCs/>
                <w:szCs w:val="20"/>
              </w:rPr>
            </w:pPr>
            <w:r w:rsidRPr="000D3AF3">
              <w:rPr>
                <w:b w:val="0"/>
                <w:bCs/>
                <w:szCs w:val="20"/>
              </w:rPr>
              <w:t>Proposed restrictions in the T315I mutation population for initial treatment, first and subsequent continuing treatment, and grandfathered patients.</w:t>
            </w:r>
          </w:p>
        </w:tc>
        <w:tc>
          <w:tcPr>
            <w:tcW w:w="860" w:type="pct"/>
          </w:tcPr>
          <w:p w14:paraId="792CEC40" w14:textId="14FB4853" w:rsidR="00F35924" w:rsidRPr="005835DF" w:rsidRDefault="005326A8" w:rsidP="009C66B5">
            <w:pPr>
              <w:pStyle w:val="In-tableHeading"/>
              <w:keepNext w:val="0"/>
              <w:rPr>
                <w:b w:val="0"/>
                <w:bCs/>
                <w:szCs w:val="20"/>
              </w:rPr>
            </w:pPr>
            <w:r w:rsidRPr="005835DF">
              <w:rPr>
                <w:b w:val="0"/>
                <w:bCs/>
                <w:szCs w:val="20"/>
              </w:rPr>
              <w:t>Yes</w:t>
            </w:r>
            <w:r w:rsidR="0028663C" w:rsidRPr="005835DF">
              <w:rPr>
                <w:b w:val="0"/>
                <w:bCs/>
                <w:szCs w:val="20"/>
              </w:rPr>
              <w:t>, noting that patients with the T315I mutation receive a higher dose (400 mg daily) compared with non-T315I</w:t>
            </w:r>
            <w:r w:rsidR="008D73AA" w:rsidRPr="005835DF">
              <w:rPr>
                <w:b w:val="0"/>
                <w:bCs/>
                <w:szCs w:val="20"/>
              </w:rPr>
              <w:t>-</w:t>
            </w:r>
            <w:r w:rsidR="0028663C" w:rsidRPr="005835DF">
              <w:rPr>
                <w:b w:val="0"/>
                <w:bCs/>
                <w:szCs w:val="20"/>
              </w:rPr>
              <w:t>mutation pat</w:t>
            </w:r>
            <w:r w:rsidR="00DF4981" w:rsidRPr="005835DF">
              <w:rPr>
                <w:b w:val="0"/>
                <w:bCs/>
                <w:szCs w:val="20"/>
              </w:rPr>
              <w:t>ients (80 mg daily).</w:t>
            </w:r>
          </w:p>
        </w:tc>
      </w:tr>
      <w:tr w:rsidR="00DC5A4A" w:rsidRPr="000D3AF3" w14:paraId="459A1AB8" w14:textId="77777777" w:rsidTr="005140ED">
        <w:tc>
          <w:tcPr>
            <w:tcW w:w="5000" w:type="pct"/>
            <w:gridSpan w:val="3"/>
            <w:vAlign w:val="center"/>
          </w:tcPr>
          <w:p w14:paraId="0ACF1660" w14:textId="5395A8A5" w:rsidR="00DC5A4A" w:rsidRPr="000D3AF3" w:rsidRDefault="00DC5A4A" w:rsidP="009C66B5">
            <w:pPr>
              <w:pStyle w:val="In-tableHeading"/>
              <w:keepNext w:val="0"/>
              <w:rPr>
                <w:b w:val="0"/>
                <w:bCs/>
                <w:i/>
                <w:iCs/>
                <w:szCs w:val="20"/>
              </w:rPr>
            </w:pPr>
            <w:r w:rsidRPr="000D3AF3">
              <w:rPr>
                <w:szCs w:val="20"/>
                <w:lang w:val="en-GB"/>
              </w:rPr>
              <w:t>Comparator</w:t>
            </w:r>
            <w:r w:rsidR="00D72D6B" w:rsidRPr="000D3AF3">
              <w:rPr>
                <w:szCs w:val="20"/>
                <w:lang w:val="en-GB"/>
              </w:rPr>
              <w:t xml:space="preserve"> for both T315I and non-315I mutation patients</w:t>
            </w:r>
          </w:p>
        </w:tc>
      </w:tr>
      <w:tr w:rsidR="00DC5A4A" w:rsidRPr="000D3AF3" w14:paraId="1F100941" w14:textId="77777777" w:rsidTr="005140ED">
        <w:tc>
          <w:tcPr>
            <w:tcW w:w="2159" w:type="pct"/>
          </w:tcPr>
          <w:p w14:paraId="1BA4389B" w14:textId="1A667D44" w:rsidR="00DC5A4A" w:rsidRPr="000D3AF3" w:rsidRDefault="003D4B0B" w:rsidP="003D4B0B">
            <w:pPr>
              <w:pStyle w:val="In-tableHeading"/>
              <w:keepNext w:val="0"/>
              <w:numPr>
                <w:ilvl w:val="0"/>
                <w:numId w:val="20"/>
              </w:numPr>
              <w:spacing w:after="120"/>
              <w:ind w:left="311" w:hanging="147"/>
              <w:rPr>
                <w:b w:val="0"/>
                <w:bCs/>
                <w:szCs w:val="20"/>
                <w:lang w:val="en-GB"/>
              </w:rPr>
            </w:pPr>
            <w:r w:rsidRPr="000D3AF3">
              <w:rPr>
                <w:b w:val="0"/>
                <w:bCs/>
                <w:szCs w:val="20"/>
                <w:lang w:val="en-GB"/>
              </w:rPr>
              <w:t xml:space="preserve">A clinical comparison against ponatinib for patients with the T315I mutation, and benchmarking against second generation TKIs </w:t>
            </w:r>
            <w:r w:rsidR="00C6420F" w:rsidRPr="000D3AF3">
              <w:rPr>
                <w:b w:val="0"/>
                <w:bCs/>
                <w:szCs w:val="20"/>
                <w:lang w:val="en-GB"/>
              </w:rPr>
              <w:t>for</w:t>
            </w:r>
            <w:r w:rsidRPr="000D3AF3">
              <w:rPr>
                <w:b w:val="0"/>
                <w:bCs/>
                <w:szCs w:val="20"/>
                <w:lang w:val="en-GB"/>
              </w:rPr>
              <w:t xml:space="preserve"> the economic evaluation </w:t>
            </w:r>
            <w:r w:rsidRPr="000D3AF3">
              <w:rPr>
                <w:b w:val="0"/>
                <w:bCs/>
                <w:szCs w:val="20"/>
              </w:rPr>
              <w:t>(paragraphs 7.</w:t>
            </w:r>
            <w:r w:rsidR="0001064D" w:rsidRPr="000D3AF3">
              <w:rPr>
                <w:b w:val="0"/>
                <w:bCs/>
                <w:szCs w:val="20"/>
              </w:rPr>
              <w:t>7</w:t>
            </w:r>
            <w:r w:rsidRPr="000D3AF3">
              <w:rPr>
                <w:b w:val="0"/>
                <w:bCs/>
                <w:szCs w:val="20"/>
              </w:rPr>
              <w:t xml:space="preserve"> and 7.</w:t>
            </w:r>
            <w:r w:rsidR="0001064D" w:rsidRPr="000D3AF3">
              <w:rPr>
                <w:b w:val="0"/>
                <w:bCs/>
                <w:szCs w:val="20"/>
              </w:rPr>
              <w:t>8</w:t>
            </w:r>
            <w:r w:rsidRPr="000D3AF3">
              <w:rPr>
                <w:b w:val="0"/>
                <w:bCs/>
                <w:szCs w:val="20"/>
              </w:rPr>
              <w:t xml:space="preserve">, July 2022 </w:t>
            </w:r>
            <w:r w:rsidR="00CF4760">
              <w:rPr>
                <w:b w:val="0"/>
                <w:bCs/>
                <w:szCs w:val="20"/>
              </w:rPr>
              <w:t>PSD</w:t>
            </w:r>
            <w:r w:rsidRPr="000D3AF3">
              <w:rPr>
                <w:b w:val="0"/>
                <w:bCs/>
                <w:szCs w:val="20"/>
              </w:rPr>
              <w:t>)</w:t>
            </w:r>
            <w:r w:rsidRPr="000D3AF3">
              <w:rPr>
                <w:b w:val="0"/>
                <w:bCs/>
                <w:szCs w:val="20"/>
                <w:lang w:val="en-GB"/>
              </w:rPr>
              <w:t>.</w:t>
            </w:r>
          </w:p>
          <w:p w14:paraId="4CF6A48A" w14:textId="4C29254C" w:rsidR="003D4B0B" w:rsidRPr="000D3AF3" w:rsidRDefault="003D4B0B" w:rsidP="003D4B0B">
            <w:pPr>
              <w:pStyle w:val="In-tableHeading"/>
              <w:keepNext w:val="0"/>
              <w:rPr>
                <w:b w:val="0"/>
                <w:bCs/>
                <w:szCs w:val="20"/>
                <w:lang w:val="en-GB"/>
              </w:rPr>
            </w:pPr>
            <w:r w:rsidRPr="000D3AF3">
              <w:rPr>
                <w:b w:val="0"/>
                <w:bCs/>
                <w:szCs w:val="20"/>
              </w:rPr>
              <w:t>The PBAC considered</w:t>
            </w:r>
            <w:r w:rsidR="006D0BC4">
              <w:rPr>
                <w:b w:val="0"/>
                <w:bCs/>
                <w:szCs w:val="20"/>
              </w:rPr>
              <w:t xml:space="preserve"> in July 2022</w:t>
            </w:r>
            <w:r w:rsidR="0001064D" w:rsidRPr="000D3AF3">
              <w:rPr>
                <w:b w:val="0"/>
                <w:bCs/>
                <w:szCs w:val="20"/>
              </w:rPr>
              <w:t xml:space="preserve"> that ponatinib is a relevant comparator for patients with the T315I mutation, however noted that the July 2022 submission did not present any comparative evidence between asciminib and ponatinib in this patient group. The PBAC considered that benchmarking against second generation TKIs was a reasonable basis for establishing a cost-effective price for asciminib.</w:t>
            </w:r>
          </w:p>
        </w:tc>
        <w:tc>
          <w:tcPr>
            <w:tcW w:w="1981" w:type="pct"/>
          </w:tcPr>
          <w:p w14:paraId="4E696A69" w14:textId="77777777" w:rsidR="00DC5A4A" w:rsidRPr="000D3AF3" w:rsidRDefault="00DC5A4A" w:rsidP="00DC5A4A">
            <w:pPr>
              <w:pStyle w:val="TableText"/>
              <w:keepNext w:val="0"/>
              <w:rPr>
                <w:szCs w:val="20"/>
              </w:rPr>
            </w:pPr>
            <w:r w:rsidRPr="000D3AF3">
              <w:rPr>
                <w:szCs w:val="20"/>
              </w:rPr>
              <w:t>The resubmission:</w:t>
            </w:r>
          </w:p>
          <w:p w14:paraId="42FD5150" w14:textId="0162ECEF" w:rsidR="00C6420F" w:rsidRPr="000D3AF3" w:rsidRDefault="00C6420F" w:rsidP="00C6420F">
            <w:pPr>
              <w:pStyle w:val="TableText"/>
              <w:keepNext w:val="0"/>
              <w:numPr>
                <w:ilvl w:val="0"/>
                <w:numId w:val="20"/>
              </w:numPr>
              <w:spacing w:after="120"/>
              <w:ind w:left="221" w:hanging="142"/>
              <w:rPr>
                <w:szCs w:val="20"/>
              </w:rPr>
            </w:pPr>
            <w:r w:rsidRPr="000D3AF3">
              <w:rPr>
                <w:szCs w:val="20"/>
              </w:rPr>
              <w:t>Presented a clinical comparison of asciminib and ponatinib using the T315I mutation cohorts from the X2101 and PACE trials, respectively</w:t>
            </w:r>
            <w:r w:rsidR="00280D1D" w:rsidRPr="000D3AF3">
              <w:rPr>
                <w:szCs w:val="20"/>
              </w:rPr>
              <w:t>;</w:t>
            </w:r>
          </w:p>
          <w:p w14:paraId="2D131B60" w14:textId="78538FD4" w:rsidR="0001064D" w:rsidRPr="000D3AF3" w:rsidRDefault="00C6420F" w:rsidP="0001064D">
            <w:pPr>
              <w:pStyle w:val="TableText"/>
              <w:keepNext w:val="0"/>
              <w:numPr>
                <w:ilvl w:val="0"/>
                <w:numId w:val="20"/>
              </w:numPr>
              <w:ind w:left="219" w:hanging="142"/>
              <w:rPr>
                <w:szCs w:val="20"/>
              </w:rPr>
            </w:pPr>
            <w:r w:rsidRPr="000D3AF3">
              <w:rPr>
                <w:szCs w:val="20"/>
              </w:rPr>
              <w:t>Presented an economic evaluation</w:t>
            </w:r>
            <w:r w:rsidR="00D72D6B" w:rsidRPr="000D3AF3">
              <w:rPr>
                <w:szCs w:val="20"/>
              </w:rPr>
              <w:t xml:space="preserve"> for non-T315I patients</w:t>
            </w:r>
            <w:r w:rsidRPr="000D3AF3">
              <w:rPr>
                <w:szCs w:val="20"/>
              </w:rPr>
              <w:t xml:space="preserve"> involving benchmarking against second generation TKIs. </w:t>
            </w:r>
          </w:p>
        </w:tc>
        <w:tc>
          <w:tcPr>
            <w:tcW w:w="860" w:type="pct"/>
          </w:tcPr>
          <w:p w14:paraId="510DF22A" w14:textId="4F2CFD83" w:rsidR="00DC5A4A" w:rsidRPr="005835DF" w:rsidRDefault="00C6420F" w:rsidP="00DC5A4A">
            <w:pPr>
              <w:pStyle w:val="In-tableHeading"/>
              <w:keepNext w:val="0"/>
              <w:rPr>
                <w:b w:val="0"/>
                <w:bCs/>
                <w:szCs w:val="20"/>
              </w:rPr>
            </w:pPr>
            <w:r w:rsidRPr="005835DF">
              <w:rPr>
                <w:b w:val="0"/>
                <w:bCs/>
                <w:szCs w:val="20"/>
              </w:rPr>
              <w:t>Yes, although the resubmission did not specifically redefine the comparator for asciminib.</w:t>
            </w:r>
          </w:p>
        </w:tc>
      </w:tr>
      <w:tr w:rsidR="00FA6BB9" w:rsidRPr="000D3AF3" w14:paraId="41739F84" w14:textId="77777777" w:rsidTr="005140ED">
        <w:tc>
          <w:tcPr>
            <w:tcW w:w="5000" w:type="pct"/>
            <w:gridSpan w:val="3"/>
          </w:tcPr>
          <w:p w14:paraId="40542A06" w14:textId="1AFB050C" w:rsidR="00FA6BB9" w:rsidRPr="000D3AF3" w:rsidRDefault="00FA6BB9" w:rsidP="0001064D">
            <w:pPr>
              <w:pStyle w:val="TableText"/>
              <w:keepLines/>
              <w:rPr>
                <w:szCs w:val="20"/>
              </w:rPr>
            </w:pPr>
            <w:r w:rsidRPr="000D3AF3">
              <w:rPr>
                <w:b/>
                <w:bCs w:val="0"/>
                <w:szCs w:val="20"/>
              </w:rPr>
              <w:lastRenderedPageBreak/>
              <w:t>Clinical data</w:t>
            </w:r>
            <w:r w:rsidR="00D72D6B" w:rsidRPr="000D3AF3">
              <w:rPr>
                <w:b/>
                <w:bCs w:val="0"/>
                <w:szCs w:val="20"/>
              </w:rPr>
              <w:t xml:space="preserve"> for T315I mutation patients</w:t>
            </w:r>
          </w:p>
        </w:tc>
      </w:tr>
      <w:tr w:rsidR="002C633F" w:rsidRPr="000D3AF3" w14:paraId="6E83CDA9" w14:textId="77777777" w:rsidTr="005140ED">
        <w:tc>
          <w:tcPr>
            <w:tcW w:w="2159" w:type="pct"/>
          </w:tcPr>
          <w:p w14:paraId="126A6813" w14:textId="68E065AE" w:rsidR="00774DB1" w:rsidRPr="000D3AF3" w:rsidRDefault="008A25A2" w:rsidP="0001064D">
            <w:pPr>
              <w:pStyle w:val="TableText"/>
              <w:keepLines/>
              <w:numPr>
                <w:ilvl w:val="0"/>
                <w:numId w:val="20"/>
              </w:numPr>
              <w:spacing w:after="120"/>
              <w:ind w:left="306" w:hanging="142"/>
              <w:rPr>
                <w:szCs w:val="20"/>
              </w:rPr>
            </w:pPr>
            <w:r w:rsidRPr="000D3AF3">
              <w:rPr>
                <w:szCs w:val="20"/>
              </w:rPr>
              <w:t>Presentation of clinical data to support asciminib is non-inferior to ponatinib in patients with the T315I mutation (paragraph 7.10</w:t>
            </w:r>
            <w:r w:rsidR="009C66B5" w:rsidRPr="000D3AF3">
              <w:rPr>
                <w:szCs w:val="20"/>
              </w:rPr>
              <w:t xml:space="preserve">, July 2022 </w:t>
            </w:r>
            <w:r w:rsidR="00CF4760">
              <w:rPr>
                <w:szCs w:val="20"/>
              </w:rPr>
              <w:t>PSD</w:t>
            </w:r>
            <w:r w:rsidRPr="000D3AF3">
              <w:rPr>
                <w:szCs w:val="20"/>
              </w:rPr>
              <w:t>)</w:t>
            </w:r>
            <w:r w:rsidR="009C66B5" w:rsidRPr="000D3AF3">
              <w:rPr>
                <w:szCs w:val="20"/>
              </w:rPr>
              <w:t xml:space="preserve">. </w:t>
            </w:r>
          </w:p>
          <w:p w14:paraId="5C9F432C" w14:textId="2BF49C48" w:rsidR="00D34011" w:rsidRPr="000D3AF3" w:rsidRDefault="00C22D92" w:rsidP="0001064D">
            <w:pPr>
              <w:pStyle w:val="TableText"/>
              <w:keepLines/>
              <w:rPr>
                <w:szCs w:val="20"/>
              </w:rPr>
            </w:pPr>
            <w:r w:rsidRPr="000D3AF3">
              <w:rPr>
                <w:snapToGrid w:val="0"/>
                <w:szCs w:val="20"/>
                <w:lang w:val="en-GB"/>
              </w:rPr>
              <w:t>T</w:t>
            </w:r>
            <w:r w:rsidR="009C66B5" w:rsidRPr="000D3AF3">
              <w:rPr>
                <w:snapToGrid w:val="0"/>
                <w:szCs w:val="20"/>
                <w:lang w:val="en-GB"/>
              </w:rPr>
              <w:t xml:space="preserve">he </w:t>
            </w:r>
            <w:r w:rsidR="009C66B5" w:rsidRPr="000D3AF3">
              <w:rPr>
                <w:szCs w:val="20"/>
              </w:rPr>
              <w:t>asciminib evidence from the AS</w:t>
            </w:r>
            <w:r w:rsidR="00421D56" w:rsidRPr="000D3AF3">
              <w:rPr>
                <w:szCs w:val="20"/>
              </w:rPr>
              <w:t>C</w:t>
            </w:r>
            <w:r w:rsidR="009C66B5" w:rsidRPr="000D3AF3">
              <w:rPr>
                <w:szCs w:val="20"/>
              </w:rPr>
              <w:t>EMBL trial was obtained in patients without a T315I mutation</w:t>
            </w:r>
            <w:r w:rsidRPr="000D3AF3">
              <w:rPr>
                <w:szCs w:val="20"/>
              </w:rPr>
              <w:t>. I</w:t>
            </w:r>
            <w:r w:rsidR="009C66B5" w:rsidRPr="000D3AF3">
              <w:rPr>
                <w:szCs w:val="20"/>
              </w:rPr>
              <w:t>t is likely that almost all current ponatinib use is in patients with this mutation</w:t>
            </w:r>
            <w:r w:rsidRPr="000D3AF3">
              <w:rPr>
                <w:szCs w:val="20"/>
              </w:rPr>
              <w:t xml:space="preserve"> and t</w:t>
            </w:r>
            <w:r w:rsidR="009C66B5" w:rsidRPr="000D3AF3">
              <w:rPr>
                <w:szCs w:val="20"/>
              </w:rPr>
              <w:t>he PBAC considered</w:t>
            </w:r>
            <w:r w:rsidR="006D0BC4">
              <w:rPr>
                <w:szCs w:val="20"/>
              </w:rPr>
              <w:t xml:space="preserve"> in July 2022</w:t>
            </w:r>
            <w:r w:rsidR="009C66B5" w:rsidRPr="000D3AF3">
              <w:rPr>
                <w:szCs w:val="20"/>
              </w:rPr>
              <w:t xml:space="preserve"> that data from patients with the T315I mutation treated with asciminib in the CABL001X2101 trial is relevant.</w:t>
            </w:r>
          </w:p>
        </w:tc>
        <w:tc>
          <w:tcPr>
            <w:tcW w:w="1981" w:type="pct"/>
          </w:tcPr>
          <w:p w14:paraId="4EAF75BE" w14:textId="77777777" w:rsidR="00D34011" w:rsidRPr="000D3AF3" w:rsidRDefault="008A25A2" w:rsidP="0001064D">
            <w:pPr>
              <w:pStyle w:val="TableText"/>
              <w:keepLines/>
              <w:rPr>
                <w:szCs w:val="20"/>
              </w:rPr>
            </w:pPr>
            <w:r w:rsidRPr="000D3AF3">
              <w:rPr>
                <w:szCs w:val="20"/>
              </w:rPr>
              <w:t>The resubmission:</w:t>
            </w:r>
          </w:p>
          <w:p w14:paraId="64E0DE1A" w14:textId="5F8702A2" w:rsidR="008A25A2" w:rsidRPr="000D3AF3" w:rsidRDefault="009F192A" w:rsidP="00FE291B">
            <w:pPr>
              <w:pStyle w:val="TableText"/>
              <w:keepLines/>
              <w:numPr>
                <w:ilvl w:val="0"/>
                <w:numId w:val="20"/>
              </w:numPr>
              <w:ind w:left="218" w:hanging="142"/>
              <w:rPr>
                <w:szCs w:val="20"/>
              </w:rPr>
            </w:pPr>
            <w:r w:rsidRPr="000D3AF3">
              <w:rPr>
                <w:szCs w:val="20"/>
              </w:rPr>
              <w:t>P</w:t>
            </w:r>
            <w:r w:rsidR="00FE291B" w:rsidRPr="000D3AF3">
              <w:rPr>
                <w:szCs w:val="20"/>
              </w:rPr>
              <w:t>resented an unanchored and unadjusted</w:t>
            </w:r>
            <w:r w:rsidRPr="000D3AF3">
              <w:rPr>
                <w:szCs w:val="20"/>
              </w:rPr>
              <w:t xml:space="preserve"> clinical</w:t>
            </w:r>
            <w:r w:rsidR="00FE291B" w:rsidRPr="000D3AF3">
              <w:rPr>
                <w:szCs w:val="20"/>
              </w:rPr>
              <w:t xml:space="preserve"> comparison of asciminib and ponatinib using the T315I mutation cohorts from the X2101 and PACE trials, respectively.</w:t>
            </w:r>
          </w:p>
        </w:tc>
        <w:tc>
          <w:tcPr>
            <w:tcW w:w="860" w:type="pct"/>
          </w:tcPr>
          <w:p w14:paraId="7A6D4E21" w14:textId="20D76440" w:rsidR="00D34011" w:rsidRPr="005835DF" w:rsidRDefault="00FA6BB9" w:rsidP="0001064D">
            <w:pPr>
              <w:pStyle w:val="TableText"/>
              <w:keepLines/>
              <w:rPr>
                <w:szCs w:val="20"/>
              </w:rPr>
            </w:pPr>
            <w:r w:rsidRPr="005835DF">
              <w:rPr>
                <w:szCs w:val="20"/>
              </w:rPr>
              <w:t>Y</w:t>
            </w:r>
            <w:r w:rsidR="00FE291B" w:rsidRPr="005835DF">
              <w:rPr>
                <w:szCs w:val="20"/>
              </w:rPr>
              <w:t>es</w:t>
            </w:r>
            <w:r w:rsidR="006D0BC4">
              <w:rPr>
                <w:szCs w:val="20"/>
              </w:rPr>
              <w:t>.</w:t>
            </w:r>
            <w:r w:rsidR="00FE291B" w:rsidRPr="005835DF">
              <w:rPr>
                <w:szCs w:val="20"/>
              </w:rPr>
              <w:t xml:space="preserve"> </w:t>
            </w:r>
            <w:r w:rsidR="006D0BC4">
              <w:rPr>
                <w:szCs w:val="20"/>
              </w:rPr>
              <w:t>T</w:t>
            </w:r>
            <w:r w:rsidR="00FE291B" w:rsidRPr="005835DF">
              <w:rPr>
                <w:szCs w:val="20"/>
              </w:rPr>
              <w:t>he</w:t>
            </w:r>
            <w:r w:rsidR="006D0BC4">
              <w:rPr>
                <w:szCs w:val="20"/>
              </w:rPr>
              <w:t xml:space="preserve"> resubmission</w:t>
            </w:r>
            <w:r w:rsidR="005140ED" w:rsidRPr="005835DF">
              <w:rPr>
                <w:szCs w:val="20"/>
              </w:rPr>
              <w:t xml:space="preserve"> </w:t>
            </w:r>
            <w:r w:rsidR="00FE291B" w:rsidRPr="005835DF">
              <w:rPr>
                <w:szCs w:val="20"/>
              </w:rPr>
              <w:t>claim</w:t>
            </w:r>
            <w:r w:rsidR="006D0BC4">
              <w:rPr>
                <w:szCs w:val="20"/>
              </w:rPr>
              <w:t>ed that asciminib has</w:t>
            </w:r>
            <w:r w:rsidR="00FE291B" w:rsidRPr="005835DF">
              <w:rPr>
                <w:szCs w:val="20"/>
              </w:rPr>
              <w:t xml:space="preserve"> </w:t>
            </w:r>
            <w:r w:rsidR="005140ED" w:rsidRPr="005835DF">
              <w:rPr>
                <w:szCs w:val="20"/>
              </w:rPr>
              <w:t>n</w:t>
            </w:r>
            <w:r w:rsidR="00FE291B" w:rsidRPr="005835DF">
              <w:rPr>
                <w:szCs w:val="20"/>
              </w:rPr>
              <w:t>on-inferior efficacy and at least non-inferior safety compared with ponatinib</w:t>
            </w:r>
            <w:r w:rsidR="005140ED" w:rsidRPr="005835DF">
              <w:rPr>
                <w:szCs w:val="20"/>
              </w:rPr>
              <w:t xml:space="preserve"> </w:t>
            </w:r>
            <w:r w:rsidR="006D0BC4">
              <w:rPr>
                <w:szCs w:val="20"/>
              </w:rPr>
              <w:t>in T315I mutation patients.</w:t>
            </w:r>
          </w:p>
        </w:tc>
      </w:tr>
      <w:tr w:rsidR="00FA6BB9" w:rsidRPr="000D3AF3" w14:paraId="2DF1DD08" w14:textId="77777777" w:rsidTr="005140ED">
        <w:tc>
          <w:tcPr>
            <w:tcW w:w="5000" w:type="pct"/>
            <w:gridSpan w:val="3"/>
          </w:tcPr>
          <w:p w14:paraId="5175BB10" w14:textId="112C4836" w:rsidR="00FA6BB9" w:rsidRPr="000D3AF3" w:rsidRDefault="00FA6BB9" w:rsidP="009C66B5">
            <w:pPr>
              <w:pStyle w:val="TableText"/>
              <w:keepNext w:val="0"/>
              <w:rPr>
                <w:szCs w:val="20"/>
              </w:rPr>
            </w:pPr>
            <w:r w:rsidRPr="000D3AF3">
              <w:rPr>
                <w:b/>
                <w:bCs w:val="0"/>
                <w:szCs w:val="20"/>
              </w:rPr>
              <w:t>Economic model</w:t>
            </w:r>
            <w:r w:rsidR="00D72D6B" w:rsidRPr="000D3AF3">
              <w:rPr>
                <w:b/>
                <w:bCs w:val="0"/>
                <w:szCs w:val="20"/>
              </w:rPr>
              <w:t xml:space="preserve"> for non-T315I mutation patients</w:t>
            </w:r>
            <w:r w:rsidR="00152ABD" w:rsidRPr="000D3AF3">
              <w:rPr>
                <w:b/>
                <w:bCs w:val="0"/>
                <w:szCs w:val="20"/>
              </w:rPr>
              <w:t>, extended to T315I mutation patients</w:t>
            </w:r>
          </w:p>
        </w:tc>
      </w:tr>
      <w:tr w:rsidR="008A25A2" w:rsidRPr="000D3AF3" w14:paraId="3B47EDB5" w14:textId="77777777" w:rsidTr="005140ED">
        <w:tc>
          <w:tcPr>
            <w:tcW w:w="2159" w:type="pct"/>
          </w:tcPr>
          <w:p w14:paraId="5D07A5F3" w14:textId="022DAD0B" w:rsidR="00774DB1" w:rsidRPr="000D3AF3" w:rsidRDefault="008A25A2" w:rsidP="00A1124B">
            <w:pPr>
              <w:pStyle w:val="TableText"/>
              <w:keepNext w:val="0"/>
              <w:numPr>
                <w:ilvl w:val="0"/>
                <w:numId w:val="20"/>
              </w:numPr>
              <w:spacing w:after="120"/>
              <w:ind w:left="306" w:hanging="142"/>
              <w:rPr>
                <w:szCs w:val="20"/>
              </w:rPr>
            </w:pPr>
            <w:r w:rsidRPr="000D3AF3">
              <w:rPr>
                <w:szCs w:val="20"/>
                <w:lang w:val="en-GB"/>
              </w:rPr>
              <w:t>An economic evaluation</w:t>
            </w:r>
            <w:r w:rsidR="00D72D6B" w:rsidRPr="000D3AF3">
              <w:rPr>
                <w:szCs w:val="20"/>
                <w:lang w:val="en-GB"/>
              </w:rPr>
              <w:t xml:space="preserve"> in non-T315I mutation patients</w:t>
            </w:r>
            <w:r w:rsidRPr="000D3AF3">
              <w:rPr>
                <w:szCs w:val="20"/>
                <w:lang w:val="en-GB"/>
              </w:rPr>
              <w:t xml:space="preserve"> that reflects </w:t>
            </w:r>
            <w:r w:rsidRPr="000D3AF3">
              <w:rPr>
                <w:szCs w:val="20"/>
              </w:rPr>
              <w:t>benchmarking against the second generation TKIs, nilotinib and dasatinib (paragraph 7.13</w:t>
            </w:r>
            <w:r w:rsidR="009C66B5" w:rsidRPr="000D3AF3">
              <w:rPr>
                <w:szCs w:val="20"/>
              </w:rPr>
              <w:t xml:space="preserve">, July 2022 </w:t>
            </w:r>
            <w:r w:rsidR="00CF4760">
              <w:rPr>
                <w:szCs w:val="20"/>
              </w:rPr>
              <w:t>PSD</w:t>
            </w:r>
            <w:r w:rsidRPr="000D3AF3">
              <w:rPr>
                <w:szCs w:val="20"/>
              </w:rPr>
              <w:t>)</w:t>
            </w:r>
            <w:r w:rsidR="009C66B5" w:rsidRPr="000D3AF3">
              <w:rPr>
                <w:szCs w:val="20"/>
              </w:rPr>
              <w:t>.</w:t>
            </w:r>
            <w:r w:rsidR="00C22D92" w:rsidRPr="000D3AF3">
              <w:rPr>
                <w:szCs w:val="20"/>
              </w:rPr>
              <w:t xml:space="preserve"> </w:t>
            </w:r>
          </w:p>
          <w:p w14:paraId="1FA45752" w14:textId="2D541E8B" w:rsidR="008A25A2" w:rsidRPr="000D3AF3" w:rsidRDefault="00C22D92" w:rsidP="009C66B5">
            <w:pPr>
              <w:pStyle w:val="TableText"/>
              <w:keepNext w:val="0"/>
              <w:rPr>
                <w:szCs w:val="20"/>
              </w:rPr>
            </w:pPr>
            <w:r w:rsidRPr="000D3AF3">
              <w:rPr>
                <w:szCs w:val="20"/>
              </w:rPr>
              <w:t>The PBAC considered</w:t>
            </w:r>
            <w:r w:rsidR="006D0BC4">
              <w:rPr>
                <w:szCs w:val="20"/>
              </w:rPr>
              <w:t xml:space="preserve"> in July 2022 that</w:t>
            </w:r>
            <w:r w:rsidRPr="000D3AF3">
              <w:rPr>
                <w:szCs w:val="20"/>
              </w:rPr>
              <w:t xml:space="preserve"> the CMA of asciminib </w:t>
            </w:r>
            <w:r w:rsidR="00820B28" w:rsidRPr="000D3AF3">
              <w:rPr>
                <w:szCs w:val="20"/>
              </w:rPr>
              <w:t>against</w:t>
            </w:r>
            <w:r w:rsidRPr="000D3AF3">
              <w:rPr>
                <w:szCs w:val="20"/>
              </w:rPr>
              <w:t xml:space="preserve"> nilotinib</w:t>
            </w:r>
            <w:r w:rsidR="00820B28" w:rsidRPr="000D3AF3">
              <w:rPr>
                <w:szCs w:val="20"/>
              </w:rPr>
              <w:t xml:space="preserve"> and dasatinib</w:t>
            </w:r>
            <w:r w:rsidRPr="000D3AF3">
              <w:rPr>
                <w:szCs w:val="20"/>
              </w:rPr>
              <w:t xml:space="preserve"> should be based on the equi-effective doses outlined in paragraph </w:t>
            </w:r>
            <w:r w:rsidR="005140ED" w:rsidRPr="000D3AF3">
              <w:rPr>
                <w:szCs w:val="20"/>
              </w:rPr>
              <w:t xml:space="preserve">7.12 </w:t>
            </w:r>
            <w:r w:rsidR="00820B28" w:rsidRPr="000D3AF3">
              <w:rPr>
                <w:szCs w:val="20"/>
              </w:rPr>
              <w:t xml:space="preserve">of the July </w:t>
            </w:r>
            <w:r w:rsidR="00CF4760">
              <w:rPr>
                <w:szCs w:val="20"/>
              </w:rPr>
              <w:t>PSD</w:t>
            </w:r>
            <w:r w:rsidRPr="000D3AF3">
              <w:rPr>
                <w:szCs w:val="20"/>
              </w:rPr>
              <w:t xml:space="preserve">, a two year time horizon, and the revised monitoring costs. </w:t>
            </w:r>
            <w:r w:rsidR="00820B28" w:rsidRPr="000D3AF3">
              <w:rPr>
                <w:szCs w:val="20"/>
              </w:rPr>
              <w:t>T</w:t>
            </w:r>
            <w:r w:rsidRPr="000D3AF3">
              <w:rPr>
                <w:szCs w:val="20"/>
              </w:rPr>
              <w:t xml:space="preserve">he </w:t>
            </w:r>
            <w:r w:rsidR="00820B28" w:rsidRPr="000D3AF3">
              <w:rPr>
                <w:szCs w:val="20"/>
              </w:rPr>
              <w:t>PBAC</w:t>
            </w:r>
            <w:r w:rsidRPr="000D3AF3">
              <w:rPr>
                <w:szCs w:val="20"/>
              </w:rPr>
              <w:t xml:space="preserve"> considered there should be no cost offsets for the treatment of </w:t>
            </w:r>
            <w:r w:rsidR="00820B28" w:rsidRPr="000D3AF3">
              <w:rPr>
                <w:szCs w:val="20"/>
              </w:rPr>
              <w:t>AEs</w:t>
            </w:r>
            <w:r w:rsidRPr="000D3AF3">
              <w:rPr>
                <w:szCs w:val="20"/>
              </w:rPr>
              <w:t xml:space="preserve"> associated with nilotinib. The PBAC noted</w:t>
            </w:r>
            <w:r w:rsidR="00820B28" w:rsidRPr="000D3AF3">
              <w:rPr>
                <w:szCs w:val="20"/>
              </w:rPr>
              <w:t xml:space="preserve"> that</w:t>
            </w:r>
            <w:r w:rsidRPr="000D3AF3">
              <w:rPr>
                <w:szCs w:val="20"/>
              </w:rPr>
              <w:t xml:space="preserve"> when benchmarking ponatinib with dasatinib and nilotinib</w:t>
            </w:r>
            <w:r w:rsidR="00820B28" w:rsidRPr="000D3AF3">
              <w:rPr>
                <w:szCs w:val="20"/>
              </w:rPr>
              <w:t>,</w:t>
            </w:r>
            <w:r w:rsidRPr="000D3AF3">
              <w:rPr>
                <w:szCs w:val="20"/>
              </w:rPr>
              <w:t xml:space="preserve"> the relative use of each</w:t>
            </w:r>
            <w:r w:rsidR="00C6420F" w:rsidRPr="000D3AF3">
              <w:rPr>
                <w:szCs w:val="20"/>
              </w:rPr>
              <w:t xml:space="preserve"> should</w:t>
            </w:r>
            <w:r w:rsidRPr="000D3AF3">
              <w:rPr>
                <w:szCs w:val="20"/>
              </w:rPr>
              <w:t xml:space="preserve"> inform the overall weighted price.</w:t>
            </w:r>
          </w:p>
        </w:tc>
        <w:tc>
          <w:tcPr>
            <w:tcW w:w="1981" w:type="pct"/>
          </w:tcPr>
          <w:p w14:paraId="61F83EA7" w14:textId="5EBB6DD0" w:rsidR="008A25A2" w:rsidRPr="000D3AF3" w:rsidRDefault="008A25A2" w:rsidP="009C66B5">
            <w:pPr>
              <w:pStyle w:val="TableText"/>
              <w:keepNext w:val="0"/>
              <w:rPr>
                <w:szCs w:val="20"/>
              </w:rPr>
            </w:pPr>
            <w:r w:rsidRPr="000D3AF3">
              <w:rPr>
                <w:szCs w:val="20"/>
              </w:rPr>
              <w:t>The resubmission:</w:t>
            </w:r>
          </w:p>
          <w:p w14:paraId="7C084AF8" w14:textId="70EE3CC7" w:rsidR="00D72D6B" w:rsidRPr="000D3AF3" w:rsidRDefault="007277CD" w:rsidP="00D72D6B">
            <w:pPr>
              <w:pStyle w:val="TableText"/>
              <w:keepNext w:val="0"/>
              <w:numPr>
                <w:ilvl w:val="0"/>
                <w:numId w:val="20"/>
              </w:numPr>
              <w:spacing w:after="120"/>
              <w:ind w:left="244" w:hanging="142"/>
              <w:rPr>
                <w:szCs w:val="20"/>
              </w:rPr>
            </w:pPr>
            <w:r w:rsidRPr="000D3AF3">
              <w:rPr>
                <w:szCs w:val="20"/>
              </w:rPr>
              <w:t xml:space="preserve">Presented a revised CMA </w:t>
            </w:r>
            <w:r w:rsidR="003B67C0" w:rsidRPr="000D3AF3">
              <w:rPr>
                <w:szCs w:val="20"/>
              </w:rPr>
              <w:t>against nilotinib and dasatinib</w:t>
            </w:r>
            <w:r w:rsidR="00D72D6B" w:rsidRPr="000D3AF3">
              <w:rPr>
                <w:szCs w:val="20"/>
              </w:rPr>
              <w:t xml:space="preserve"> for non-T315I mutation patients</w:t>
            </w:r>
            <w:r w:rsidR="003B67C0" w:rsidRPr="000D3AF3">
              <w:rPr>
                <w:szCs w:val="20"/>
              </w:rPr>
              <w:t xml:space="preserve"> using the equi-effective doses recommended by the PBAC, with revised monitoring costs, </w:t>
            </w:r>
            <w:r w:rsidR="00BC65EE" w:rsidRPr="000D3AF3">
              <w:rPr>
                <w:szCs w:val="20"/>
              </w:rPr>
              <w:t xml:space="preserve">and </w:t>
            </w:r>
            <w:r w:rsidR="003B67C0" w:rsidRPr="000D3AF3">
              <w:rPr>
                <w:szCs w:val="20"/>
              </w:rPr>
              <w:t>no cost offsets for the treatment of AEs associated with nilotinib</w:t>
            </w:r>
            <w:r w:rsidR="00BC65EE" w:rsidRPr="000D3AF3">
              <w:rPr>
                <w:szCs w:val="20"/>
              </w:rPr>
              <w:t>.</w:t>
            </w:r>
            <w:r w:rsidR="003B67C0" w:rsidRPr="000D3AF3">
              <w:rPr>
                <w:szCs w:val="20"/>
              </w:rPr>
              <w:t xml:space="preserve"> </w:t>
            </w:r>
            <w:r w:rsidR="00BC65EE" w:rsidRPr="000D3AF3">
              <w:rPr>
                <w:szCs w:val="20"/>
              </w:rPr>
              <w:t>The resubmission proposed</w:t>
            </w:r>
            <w:r w:rsidR="003B67C0" w:rsidRPr="000D3AF3">
              <w:rPr>
                <w:szCs w:val="20"/>
              </w:rPr>
              <w:t xml:space="preserve"> a weighted price derived from the relative use of dasatinib and nilotinib shown in the 2022 DUSC</w:t>
            </w:r>
            <w:r w:rsidR="008D6F51" w:rsidRPr="000D3AF3">
              <w:rPr>
                <w:szCs w:val="20"/>
              </w:rPr>
              <w:t xml:space="preserve"> Secretariat</w:t>
            </w:r>
            <w:r w:rsidR="003B67C0" w:rsidRPr="000D3AF3">
              <w:rPr>
                <w:szCs w:val="20"/>
              </w:rPr>
              <w:t xml:space="preserve"> analysis of 3L use of TKIs.</w:t>
            </w:r>
          </w:p>
          <w:p w14:paraId="7EB6A7C5" w14:textId="6EAA1C4B" w:rsidR="008A25A2" w:rsidRPr="000D3AF3" w:rsidRDefault="00D72D6B" w:rsidP="009C66B5">
            <w:pPr>
              <w:pStyle w:val="TableText"/>
              <w:keepNext w:val="0"/>
              <w:numPr>
                <w:ilvl w:val="0"/>
                <w:numId w:val="20"/>
              </w:numPr>
              <w:ind w:left="245" w:hanging="142"/>
              <w:rPr>
                <w:szCs w:val="20"/>
              </w:rPr>
            </w:pPr>
            <w:r w:rsidRPr="000D3AF3">
              <w:rPr>
                <w:szCs w:val="20"/>
              </w:rPr>
              <w:t>Proposed that</w:t>
            </w:r>
            <w:r w:rsidR="0085678A" w:rsidRPr="000D3AF3">
              <w:rPr>
                <w:szCs w:val="20"/>
              </w:rPr>
              <w:t xml:space="preserve"> the effective EMP for the non-T315I mutation population ($</w:t>
            </w:r>
            <w:r w:rsidR="00B96A78" w:rsidRPr="00B96A78">
              <w:rPr>
                <w:rFonts w:hint="eastAsia"/>
                <w:color w:val="000000"/>
                <w:w w:val="18"/>
                <w:szCs w:val="20"/>
                <w:shd w:val="solid" w:color="000000" w:fill="000000"/>
                <w:fitText w:val="80" w:id="-1301052160"/>
                <w14:textFill>
                  <w14:solidFill>
                    <w14:srgbClr w14:val="000000">
                      <w14:alpha w14:val="100000"/>
                    </w14:srgbClr>
                  </w14:solidFill>
                </w14:textFill>
              </w:rPr>
              <w:t xml:space="preserve">　</w:t>
            </w:r>
            <w:r w:rsidR="00B96A78" w:rsidRPr="00B96A78">
              <w:rPr>
                <w:color w:val="000000"/>
                <w:w w:val="18"/>
                <w:szCs w:val="20"/>
                <w:shd w:val="solid" w:color="000000" w:fill="000000"/>
                <w:fitText w:val="80" w:id="-1301052160"/>
                <w14:textFill>
                  <w14:solidFill>
                    <w14:srgbClr w14:val="000000">
                      <w14:alpha w14:val="100000"/>
                    </w14:srgbClr>
                  </w14:solidFill>
                </w14:textFill>
              </w:rPr>
              <w:t>|</w:t>
            </w:r>
            <w:r w:rsidR="00B96A78" w:rsidRPr="00B96A78">
              <w:rPr>
                <w:rFonts w:hint="eastAsia"/>
                <w:color w:val="000000"/>
                <w:w w:val="18"/>
                <w:szCs w:val="20"/>
                <w:shd w:val="solid" w:color="000000" w:fill="000000"/>
                <w:fitText w:val="80" w:id="-1301052160"/>
                <w14:textFill>
                  <w14:solidFill>
                    <w14:srgbClr w14:val="000000">
                      <w14:alpha w14:val="100000"/>
                    </w14:srgbClr>
                  </w14:solidFill>
                </w14:textFill>
              </w:rPr>
              <w:t xml:space="preserve">　</w:t>
            </w:r>
            <w:r w:rsidR="0085678A" w:rsidRPr="000D3AF3">
              <w:rPr>
                <w:szCs w:val="20"/>
              </w:rPr>
              <w:t xml:space="preserve"> per pack of 20mg/40mg capsules) should cover all asciminib usage on the PBS, including in any T315I mutation patients who receive PBS treatment.</w:t>
            </w:r>
            <w:r w:rsidRPr="000D3AF3">
              <w:rPr>
                <w:szCs w:val="20"/>
              </w:rPr>
              <w:t xml:space="preserve">  </w:t>
            </w:r>
            <w:r w:rsidR="003B67C0" w:rsidRPr="000D3AF3">
              <w:rPr>
                <w:szCs w:val="20"/>
              </w:rPr>
              <w:t xml:space="preserve"> </w:t>
            </w:r>
          </w:p>
        </w:tc>
        <w:tc>
          <w:tcPr>
            <w:tcW w:w="860" w:type="pct"/>
          </w:tcPr>
          <w:p w14:paraId="404F3F9B" w14:textId="607FB9DF" w:rsidR="008A25A2" w:rsidRPr="005835DF" w:rsidRDefault="003B67C0" w:rsidP="009C66B5">
            <w:pPr>
              <w:pStyle w:val="TableText"/>
              <w:keepNext w:val="0"/>
              <w:rPr>
                <w:szCs w:val="20"/>
              </w:rPr>
            </w:pPr>
            <w:r w:rsidRPr="005835DF">
              <w:rPr>
                <w:szCs w:val="20"/>
              </w:rPr>
              <w:t>Yes.</w:t>
            </w:r>
            <w:r w:rsidR="00221690" w:rsidRPr="005835DF">
              <w:rPr>
                <w:szCs w:val="20"/>
              </w:rPr>
              <w:t xml:space="preserve"> A</w:t>
            </w:r>
            <w:r w:rsidR="007E5856" w:rsidRPr="005835DF">
              <w:rPr>
                <w:szCs w:val="20"/>
              </w:rPr>
              <w:t xml:space="preserve"> proposed</w:t>
            </w:r>
            <w:r w:rsidR="00221690" w:rsidRPr="005835DF">
              <w:rPr>
                <w:szCs w:val="20"/>
              </w:rPr>
              <w:t xml:space="preserve"> EMP of $</w:t>
            </w:r>
            <w:r w:rsidR="00B96A78" w:rsidRPr="00B96A78">
              <w:rPr>
                <w:color w:val="000000"/>
                <w:spacing w:val="45"/>
                <w:szCs w:val="20"/>
                <w:shd w:val="solid" w:color="000000" w:fill="000000"/>
                <w:fitText w:val="330" w:id="-1301052159"/>
                <w14:textFill>
                  <w14:solidFill>
                    <w14:srgbClr w14:val="000000">
                      <w14:alpha w14:val="100000"/>
                    </w14:srgbClr>
                  </w14:solidFill>
                </w14:textFill>
              </w:rPr>
              <w:t>|||</w:t>
            </w:r>
            <w:r w:rsidR="00B96A78" w:rsidRPr="00B96A78">
              <w:rPr>
                <w:color w:val="000000"/>
                <w:spacing w:val="15"/>
                <w:szCs w:val="20"/>
                <w:shd w:val="solid" w:color="000000" w:fill="000000"/>
                <w:fitText w:val="330" w:id="-1301052159"/>
                <w14:textFill>
                  <w14:solidFill>
                    <w14:srgbClr w14:val="000000">
                      <w14:alpha w14:val="100000"/>
                    </w14:srgbClr>
                  </w14:solidFill>
                </w14:textFill>
              </w:rPr>
              <w:t>|</w:t>
            </w:r>
            <w:r w:rsidR="00221690" w:rsidRPr="005835DF">
              <w:rPr>
                <w:szCs w:val="20"/>
              </w:rPr>
              <w:t xml:space="preserve"> in the resubmission represents a </w:t>
            </w:r>
            <w:r w:rsidR="00B96A78" w:rsidRPr="00B96A78">
              <w:rPr>
                <w:color w:val="000000"/>
                <w:spacing w:val="45"/>
                <w:szCs w:val="20"/>
                <w:shd w:val="solid" w:color="000000" w:fill="000000"/>
                <w:fitText w:val="330" w:id="-1301052158"/>
                <w14:textFill>
                  <w14:solidFill>
                    <w14:srgbClr w14:val="000000">
                      <w14:alpha w14:val="100000"/>
                    </w14:srgbClr>
                  </w14:solidFill>
                </w14:textFill>
              </w:rPr>
              <w:t>|||</w:t>
            </w:r>
            <w:r w:rsidR="00B96A78" w:rsidRPr="00B96A78">
              <w:rPr>
                <w:color w:val="000000"/>
                <w:spacing w:val="15"/>
                <w:szCs w:val="20"/>
                <w:shd w:val="solid" w:color="000000" w:fill="000000"/>
                <w:fitText w:val="330" w:id="-1301052158"/>
                <w14:textFill>
                  <w14:solidFill>
                    <w14:srgbClr w14:val="000000">
                      <w14:alpha w14:val="100000"/>
                    </w14:srgbClr>
                  </w14:solidFill>
                </w14:textFill>
              </w:rPr>
              <w:t>|</w:t>
            </w:r>
            <w:r w:rsidR="00221690" w:rsidRPr="005835DF">
              <w:rPr>
                <w:szCs w:val="20"/>
              </w:rPr>
              <w:t>% reduction in price compared to the July 2022 submission.</w:t>
            </w:r>
          </w:p>
        </w:tc>
      </w:tr>
      <w:tr w:rsidR="008A25A2" w:rsidRPr="000D3AF3" w14:paraId="001A6032" w14:textId="77777777" w:rsidTr="005140ED">
        <w:tc>
          <w:tcPr>
            <w:tcW w:w="5000" w:type="pct"/>
            <w:gridSpan w:val="3"/>
          </w:tcPr>
          <w:p w14:paraId="4E9D3580" w14:textId="4D1997E7" w:rsidR="008A25A2" w:rsidRPr="000D3AF3" w:rsidRDefault="008A25A2" w:rsidP="009C66B5">
            <w:pPr>
              <w:pStyle w:val="TableText"/>
              <w:keepNext w:val="0"/>
              <w:rPr>
                <w:szCs w:val="20"/>
              </w:rPr>
            </w:pPr>
            <w:r w:rsidRPr="000D3AF3">
              <w:rPr>
                <w:b/>
                <w:bCs w:val="0"/>
                <w:szCs w:val="20"/>
              </w:rPr>
              <w:t>Financial estimates</w:t>
            </w:r>
            <w:r w:rsidR="00AF2BA7" w:rsidRPr="000D3AF3">
              <w:rPr>
                <w:b/>
                <w:bCs w:val="0"/>
                <w:szCs w:val="20"/>
              </w:rPr>
              <w:t xml:space="preserve"> for both T315I and non-315I mutation patients</w:t>
            </w:r>
          </w:p>
        </w:tc>
      </w:tr>
      <w:tr w:rsidR="008A25A2" w:rsidRPr="000D3AF3" w14:paraId="109A880F" w14:textId="77777777" w:rsidTr="005140ED">
        <w:tc>
          <w:tcPr>
            <w:tcW w:w="2159" w:type="pct"/>
          </w:tcPr>
          <w:p w14:paraId="3EC2BFC0" w14:textId="363DE342" w:rsidR="00774DB1" w:rsidRPr="000D3AF3" w:rsidRDefault="008A25A2" w:rsidP="00A1124B">
            <w:pPr>
              <w:pStyle w:val="TableText"/>
              <w:keepNext w:val="0"/>
              <w:numPr>
                <w:ilvl w:val="0"/>
                <w:numId w:val="20"/>
              </w:numPr>
              <w:spacing w:after="120"/>
              <w:ind w:left="306" w:hanging="142"/>
              <w:rPr>
                <w:szCs w:val="20"/>
              </w:rPr>
            </w:pPr>
            <w:r w:rsidRPr="000D3AF3">
              <w:rPr>
                <w:szCs w:val="20"/>
              </w:rPr>
              <w:t>Recalculation of the financial implications incorporating the advice in paragraph 7.14</w:t>
            </w:r>
            <w:r w:rsidR="009C66B5" w:rsidRPr="000D3AF3">
              <w:rPr>
                <w:szCs w:val="20"/>
              </w:rPr>
              <w:t xml:space="preserve"> July 2022 </w:t>
            </w:r>
            <w:r w:rsidR="00CF4760">
              <w:rPr>
                <w:szCs w:val="20"/>
              </w:rPr>
              <w:t>PSD</w:t>
            </w:r>
            <w:r w:rsidR="00774DB1" w:rsidRPr="000D3AF3">
              <w:rPr>
                <w:szCs w:val="20"/>
              </w:rPr>
              <w:t>).</w:t>
            </w:r>
            <w:r w:rsidR="00461336" w:rsidRPr="000D3AF3">
              <w:rPr>
                <w:szCs w:val="20"/>
              </w:rPr>
              <w:t xml:space="preserve"> </w:t>
            </w:r>
          </w:p>
          <w:p w14:paraId="74BB9709" w14:textId="050225C8" w:rsidR="008A25A2" w:rsidRPr="000D3AF3" w:rsidRDefault="00774DB1" w:rsidP="009C66B5">
            <w:pPr>
              <w:pStyle w:val="TableText"/>
              <w:keepNext w:val="0"/>
              <w:rPr>
                <w:szCs w:val="20"/>
              </w:rPr>
            </w:pPr>
            <w:r w:rsidRPr="000D3AF3">
              <w:rPr>
                <w:szCs w:val="20"/>
              </w:rPr>
              <w:t xml:space="preserve">The PBAC nominated the following issues </w:t>
            </w:r>
            <w:r w:rsidR="00461336" w:rsidRPr="000D3AF3">
              <w:rPr>
                <w:szCs w:val="20"/>
              </w:rPr>
              <w:t xml:space="preserve">to </w:t>
            </w:r>
            <w:r w:rsidRPr="000D3AF3">
              <w:rPr>
                <w:szCs w:val="20"/>
              </w:rPr>
              <w:t xml:space="preserve">be </w:t>
            </w:r>
            <w:r w:rsidR="00461336" w:rsidRPr="000D3AF3">
              <w:rPr>
                <w:szCs w:val="20"/>
              </w:rPr>
              <w:t>address</w:t>
            </w:r>
            <w:r w:rsidRPr="000D3AF3">
              <w:rPr>
                <w:szCs w:val="20"/>
              </w:rPr>
              <w:t>ed</w:t>
            </w:r>
            <w:r w:rsidR="00461336" w:rsidRPr="000D3AF3">
              <w:rPr>
                <w:szCs w:val="20"/>
              </w:rPr>
              <w:t>:</w:t>
            </w:r>
          </w:p>
          <w:p w14:paraId="003FA810" w14:textId="1707ED51" w:rsidR="00461336" w:rsidRPr="000D3AF3" w:rsidRDefault="00461336" w:rsidP="00F7782B">
            <w:pPr>
              <w:pStyle w:val="TableText"/>
              <w:keepNext w:val="0"/>
              <w:numPr>
                <w:ilvl w:val="0"/>
                <w:numId w:val="15"/>
              </w:numPr>
              <w:spacing w:after="120"/>
              <w:ind w:left="318" w:hanging="142"/>
              <w:rPr>
                <w:szCs w:val="20"/>
              </w:rPr>
            </w:pPr>
            <w:r w:rsidRPr="000D3AF3">
              <w:rPr>
                <w:szCs w:val="20"/>
              </w:rPr>
              <w:t>The</w:t>
            </w:r>
            <w:r w:rsidR="00774DB1" w:rsidRPr="000D3AF3">
              <w:rPr>
                <w:szCs w:val="20"/>
              </w:rPr>
              <w:t xml:space="preserve"> predicted</w:t>
            </w:r>
            <w:r w:rsidRPr="000D3AF3">
              <w:rPr>
                <w:szCs w:val="20"/>
              </w:rPr>
              <w:t xml:space="preserve"> growth in prevalent patients receiving a third TKI;</w:t>
            </w:r>
          </w:p>
          <w:p w14:paraId="27916557" w14:textId="425EB46D" w:rsidR="00461336" w:rsidRPr="000D3AF3" w:rsidRDefault="00461336" w:rsidP="00F7782B">
            <w:pPr>
              <w:pStyle w:val="TableText"/>
              <w:keepNext w:val="0"/>
              <w:numPr>
                <w:ilvl w:val="0"/>
                <w:numId w:val="15"/>
              </w:numPr>
              <w:spacing w:after="120"/>
              <w:ind w:left="318" w:hanging="142"/>
              <w:rPr>
                <w:szCs w:val="20"/>
              </w:rPr>
            </w:pPr>
            <w:r w:rsidRPr="000D3AF3">
              <w:rPr>
                <w:szCs w:val="20"/>
                <w:lang w:val="en-GB"/>
              </w:rPr>
              <w:t>The</w:t>
            </w:r>
            <w:r w:rsidR="00774DB1" w:rsidRPr="000D3AF3">
              <w:rPr>
                <w:szCs w:val="20"/>
                <w:lang w:val="en-GB"/>
              </w:rPr>
              <w:t xml:space="preserve"> predicted</w:t>
            </w:r>
            <w:r w:rsidRPr="000D3AF3">
              <w:rPr>
                <w:szCs w:val="20"/>
                <w:lang w:val="en-GB"/>
              </w:rPr>
              <w:t xml:space="preserve"> distribution of use of TKIs across the prevalent patients;</w:t>
            </w:r>
          </w:p>
          <w:p w14:paraId="10F49EA9" w14:textId="7279526B" w:rsidR="00461336" w:rsidRPr="000D3AF3" w:rsidRDefault="00774DB1" w:rsidP="00461336">
            <w:pPr>
              <w:pStyle w:val="TableText"/>
              <w:keepNext w:val="0"/>
              <w:numPr>
                <w:ilvl w:val="0"/>
                <w:numId w:val="15"/>
              </w:numPr>
              <w:ind w:left="317" w:hanging="142"/>
              <w:rPr>
                <w:szCs w:val="20"/>
              </w:rPr>
            </w:pPr>
            <w:r w:rsidRPr="000D3AF3">
              <w:rPr>
                <w:szCs w:val="20"/>
              </w:rPr>
              <w:t xml:space="preserve">The uptake of asciminib, including the relative substitution </w:t>
            </w:r>
            <w:r w:rsidR="00F7782B" w:rsidRPr="000D3AF3">
              <w:rPr>
                <w:szCs w:val="20"/>
              </w:rPr>
              <w:t>of</w:t>
            </w:r>
            <w:r w:rsidRPr="000D3AF3">
              <w:rPr>
                <w:szCs w:val="20"/>
              </w:rPr>
              <w:t xml:space="preserve"> each of the TKIs.</w:t>
            </w:r>
          </w:p>
        </w:tc>
        <w:tc>
          <w:tcPr>
            <w:tcW w:w="1981" w:type="pct"/>
          </w:tcPr>
          <w:p w14:paraId="7E36C880" w14:textId="2AA7C283" w:rsidR="00F7782B" w:rsidRPr="000D3AF3" w:rsidRDefault="008A25A2" w:rsidP="00F7782B">
            <w:pPr>
              <w:pStyle w:val="TableText"/>
              <w:keepNext w:val="0"/>
              <w:rPr>
                <w:szCs w:val="20"/>
              </w:rPr>
            </w:pPr>
            <w:r w:rsidRPr="000D3AF3">
              <w:rPr>
                <w:szCs w:val="20"/>
              </w:rPr>
              <w:t>The resubmission:</w:t>
            </w:r>
          </w:p>
          <w:p w14:paraId="16B6CF36" w14:textId="24717E13" w:rsidR="00F7782B" w:rsidRPr="000D3AF3" w:rsidRDefault="00F7782B" w:rsidP="00F7782B">
            <w:pPr>
              <w:pStyle w:val="TableText"/>
              <w:keepNext w:val="0"/>
              <w:numPr>
                <w:ilvl w:val="0"/>
                <w:numId w:val="15"/>
              </w:numPr>
              <w:spacing w:after="120"/>
              <w:ind w:left="318" w:hanging="142"/>
              <w:rPr>
                <w:szCs w:val="20"/>
              </w:rPr>
            </w:pPr>
            <w:r w:rsidRPr="000D3AF3">
              <w:rPr>
                <w:szCs w:val="20"/>
              </w:rPr>
              <w:t>Stated that the predicted growth in prevalent patients receiving a third TKI should remain unchanged;</w:t>
            </w:r>
          </w:p>
          <w:p w14:paraId="128582DB" w14:textId="2DB35A2E" w:rsidR="00F7782B" w:rsidRPr="000D3AF3" w:rsidRDefault="00F7782B" w:rsidP="00F7782B">
            <w:pPr>
              <w:pStyle w:val="TableText"/>
              <w:keepNext w:val="0"/>
              <w:numPr>
                <w:ilvl w:val="0"/>
                <w:numId w:val="15"/>
              </w:numPr>
              <w:spacing w:after="120"/>
              <w:ind w:left="318" w:hanging="142"/>
              <w:rPr>
                <w:szCs w:val="20"/>
              </w:rPr>
            </w:pPr>
            <w:r w:rsidRPr="000D3AF3">
              <w:rPr>
                <w:szCs w:val="20"/>
                <w:lang w:val="en-GB"/>
              </w:rPr>
              <w:t>Revised predicted distribution of use of TKIs across the prevalent patients;</w:t>
            </w:r>
          </w:p>
          <w:p w14:paraId="13776C20" w14:textId="49DC7834" w:rsidR="008A25A2" w:rsidRPr="000D3AF3" w:rsidRDefault="00F7782B" w:rsidP="009C66B5">
            <w:pPr>
              <w:pStyle w:val="TableText"/>
              <w:keepNext w:val="0"/>
              <w:numPr>
                <w:ilvl w:val="0"/>
                <w:numId w:val="15"/>
              </w:numPr>
              <w:ind w:left="317" w:hanging="142"/>
              <w:rPr>
                <w:szCs w:val="20"/>
              </w:rPr>
            </w:pPr>
            <w:r w:rsidRPr="000D3AF3">
              <w:rPr>
                <w:szCs w:val="20"/>
              </w:rPr>
              <w:t xml:space="preserve">Revised the uptake of asciminib; the relative substitution of each of the TKIs was based on the DUSC </w:t>
            </w:r>
            <w:r w:rsidR="008D6F51" w:rsidRPr="000D3AF3">
              <w:rPr>
                <w:szCs w:val="20"/>
              </w:rPr>
              <w:t xml:space="preserve">Secretariat </w:t>
            </w:r>
            <w:r w:rsidRPr="000D3AF3">
              <w:rPr>
                <w:szCs w:val="20"/>
              </w:rPr>
              <w:t>analysis.</w:t>
            </w:r>
          </w:p>
        </w:tc>
        <w:tc>
          <w:tcPr>
            <w:tcW w:w="860" w:type="pct"/>
          </w:tcPr>
          <w:p w14:paraId="677BB9FA" w14:textId="599851FC" w:rsidR="008A25A2" w:rsidRPr="005835DF" w:rsidRDefault="009D124D" w:rsidP="009C66B5">
            <w:pPr>
              <w:pStyle w:val="TableText"/>
              <w:keepNext w:val="0"/>
              <w:rPr>
                <w:szCs w:val="20"/>
              </w:rPr>
            </w:pPr>
            <w:r>
              <w:rPr>
                <w:szCs w:val="20"/>
              </w:rPr>
              <w:t>Yes, although the e</w:t>
            </w:r>
            <w:r w:rsidR="00F7782B" w:rsidRPr="005835DF">
              <w:rPr>
                <w:szCs w:val="20"/>
              </w:rPr>
              <w:t xml:space="preserve">stimates </w:t>
            </w:r>
            <w:r w:rsidR="0038526B" w:rsidRPr="005835DF">
              <w:rPr>
                <w:szCs w:val="20"/>
              </w:rPr>
              <w:t>are subject to uncertainty.</w:t>
            </w:r>
          </w:p>
        </w:tc>
      </w:tr>
    </w:tbl>
    <w:p w14:paraId="32B95A78" w14:textId="438E23C9" w:rsidR="009D55E2" w:rsidRDefault="009D55E2" w:rsidP="00A07C4C">
      <w:pPr>
        <w:pStyle w:val="TableFigureFooter"/>
      </w:pPr>
      <w:r w:rsidRPr="007B1122">
        <w:t xml:space="preserve">Source: </w:t>
      </w:r>
      <w:r w:rsidR="007B1122" w:rsidRPr="007B1122">
        <w:t xml:space="preserve">Background </w:t>
      </w:r>
      <w:r w:rsidR="00D34011" w:rsidRPr="007B1122">
        <w:t>Section</w:t>
      </w:r>
      <w:r w:rsidRPr="007B1122">
        <w:t xml:space="preserve">, </w:t>
      </w:r>
      <w:r w:rsidR="007B1122" w:rsidRPr="007B1122">
        <w:t>p7</w:t>
      </w:r>
      <w:r w:rsidRPr="007B1122">
        <w:t xml:space="preserve"> of the submission</w:t>
      </w:r>
      <w:r w:rsidR="007B1122" w:rsidRPr="007B1122">
        <w:t xml:space="preserve">; Section 7, asciminib </w:t>
      </w:r>
      <w:r w:rsidR="00DF7E8A">
        <w:t>PSD</w:t>
      </w:r>
      <w:r w:rsidR="007B1122" w:rsidRPr="007B1122">
        <w:t>, July 2022 PBAC meeting</w:t>
      </w:r>
      <w:r w:rsidR="009C66B5" w:rsidRPr="007B1122">
        <w:t>.</w:t>
      </w:r>
    </w:p>
    <w:p w14:paraId="4CAFDBA3" w14:textId="2319B5F4" w:rsidR="00FE341B" w:rsidRDefault="00774DB1" w:rsidP="00A07C4C">
      <w:pPr>
        <w:pStyle w:val="TableFigureFooter"/>
      </w:pPr>
      <w:r w:rsidRPr="00774DB1">
        <w:t xml:space="preserve">AE = adverse event; </w:t>
      </w:r>
      <w:r w:rsidR="00AF5B6B">
        <w:t xml:space="preserve">CMA = cost minimisation approach; </w:t>
      </w:r>
      <w:r w:rsidRPr="00774DB1">
        <w:t xml:space="preserve">CP = chronic phase; </w:t>
      </w:r>
      <w:r w:rsidR="00AF5B6B">
        <w:t xml:space="preserve">EMP = ex-manufacturer price; 3L = third line; </w:t>
      </w:r>
      <w:r w:rsidRPr="00774DB1">
        <w:t xml:space="preserve">Ph+ CML = Philadelphia chromosome-positive chronic myeloid leukaemia; </w:t>
      </w:r>
      <w:r w:rsidR="00CF4760">
        <w:t xml:space="preserve">PSD = Public Summary Document; </w:t>
      </w:r>
      <w:r w:rsidR="0063008A" w:rsidRPr="00774DB1">
        <w:t>TKI = tyrosine kinase inhibitor.</w:t>
      </w:r>
    </w:p>
    <w:p w14:paraId="13761A13" w14:textId="0EC3B8CC" w:rsidR="00FE341B" w:rsidRPr="00DA24D5" w:rsidRDefault="00FE341B" w:rsidP="00FE341B">
      <w:pPr>
        <w:pStyle w:val="3-BodyText"/>
        <w:rPr>
          <w:rFonts w:cstheme="minorHAnsi"/>
          <w:szCs w:val="24"/>
        </w:rPr>
      </w:pPr>
      <w:r>
        <w:t xml:space="preserve">The </w:t>
      </w:r>
      <w:r w:rsidRPr="002C633F">
        <w:t xml:space="preserve">PICO from the </w:t>
      </w:r>
      <w:r>
        <w:t>July 2022</w:t>
      </w:r>
      <w:r w:rsidRPr="002C633F">
        <w:t xml:space="preserve"> submission is </w:t>
      </w:r>
      <w:r w:rsidRPr="00DA24D5">
        <w:rPr>
          <w:rFonts w:cstheme="minorHAnsi"/>
          <w:szCs w:val="24"/>
        </w:rPr>
        <w:t xml:space="preserve">presented in </w:t>
      </w:r>
      <w:r w:rsidRPr="00DA24D5">
        <w:rPr>
          <w:rFonts w:cstheme="minorHAnsi"/>
          <w:szCs w:val="24"/>
        </w:rPr>
        <w:fldChar w:fldCharType="begin" w:fldLock="1"/>
      </w:r>
      <w:r w:rsidRPr="00DA24D5">
        <w:rPr>
          <w:rFonts w:cstheme="minorHAnsi"/>
          <w:szCs w:val="24"/>
        </w:rPr>
        <w:instrText xml:space="preserve"> REF _Ref112686896 \h  \* MERGEFORMAT </w:instrText>
      </w:r>
      <w:r w:rsidRPr="00DA24D5">
        <w:rPr>
          <w:rFonts w:cstheme="minorHAnsi"/>
          <w:szCs w:val="24"/>
        </w:rPr>
      </w:r>
      <w:r w:rsidRPr="00DA24D5">
        <w:rPr>
          <w:rFonts w:cstheme="minorHAnsi"/>
          <w:szCs w:val="24"/>
        </w:rPr>
        <w:fldChar w:fldCharType="separate"/>
      </w:r>
      <w:r w:rsidR="00196FF1" w:rsidRPr="00196FF1">
        <w:rPr>
          <w:rFonts w:cstheme="minorHAnsi"/>
          <w:szCs w:val="24"/>
        </w:rPr>
        <w:t xml:space="preserve">Table </w:t>
      </w:r>
      <w:r w:rsidR="00196FF1" w:rsidRPr="00196FF1">
        <w:rPr>
          <w:rFonts w:cstheme="minorHAnsi"/>
          <w:noProof/>
          <w:szCs w:val="24"/>
        </w:rPr>
        <w:t>2</w:t>
      </w:r>
      <w:r w:rsidRPr="00DA24D5">
        <w:rPr>
          <w:rFonts w:cstheme="minorHAnsi"/>
          <w:szCs w:val="24"/>
        </w:rPr>
        <w:fldChar w:fldCharType="end"/>
      </w:r>
      <w:r w:rsidRPr="00DA24D5">
        <w:rPr>
          <w:rFonts w:cstheme="minorHAnsi"/>
          <w:szCs w:val="24"/>
        </w:rPr>
        <w:t>.</w:t>
      </w:r>
      <w:r>
        <w:rPr>
          <w:rFonts w:cstheme="minorHAnsi"/>
          <w:szCs w:val="24"/>
        </w:rPr>
        <w:t xml:space="preserve"> The updated PICO for the resubmission </w:t>
      </w:r>
      <w:r>
        <w:t>is</w:t>
      </w:r>
      <w:r w:rsidRPr="000F48C4">
        <w:t xml:space="preserve"> added in italics and deletions are crossed out with strikethrough.</w:t>
      </w:r>
    </w:p>
    <w:p w14:paraId="34D304E6" w14:textId="2A39F422" w:rsidR="00FE341B" w:rsidRPr="00DA24D5" w:rsidRDefault="00FE341B" w:rsidP="00FE341B">
      <w:pPr>
        <w:pStyle w:val="Caption"/>
        <w:keepNext/>
        <w:keepLines/>
        <w:spacing w:after="0"/>
        <w:rPr>
          <w:rStyle w:val="CommentReference"/>
          <w:rFonts w:ascii="Arial Narrow" w:eastAsiaTheme="majorEastAsia" w:hAnsi="Arial Narrow"/>
          <w:b/>
          <w:i w:val="0"/>
          <w:iCs w:val="0"/>
          <w:color w:val="auto"/>
          <w:sz w:val="20"/>
          <w:szCs w:val="20"/>
        </w:rPr>
      </w:pPr>
      <w:bookmarkStart w:id="2" w:name="_Ref112686896"/>
      <w:r w:rsidRPr="00DA24D5">
        <w:rPr>
          <w:rFonts w:ascii="Arial Narrow" w:hAnsi="Arial Narrow"/>
          <w:b/>
          <w:bCs/>
          <w:i w:val="0"/>
          <w:iCs w:val="0"/>
          <w:color w:val="auto"/>
          <w:sz w:val="20"/>
          <w:szCs w:val="20"/>
        </w:rPr>
        <w:lastRenderedPageBreak/>
        <w:t xml:space="preserve">Table </w:t>
      </w:r>
      <w:r w:rsidRPr="00DA24D5">
        <w:rPr>
          <w:rFonts w:ascii="Arial Narrow" w:hAnsi="Arial Narrow"/>
          <w:b/>
          <w:bCs/>
          <w:i w:val="0"/>
          <w:iCs w:val="0"/>
          <w:color w:val="auto"/>
          <w:sz w:val="20"/>
          <w:szCs w:val="20"/>
        </w:rPr>
        <w:fldChar w:fldCharType="begin" w:fldLock="1"/>
      </w:r>
      <w:r w:rsidRPr="00DA24D5">
        <w:rPr>
          <w:rFonts w:ascii="Arial Narrow" w:hAnsi="Arial Narrow"/>
          <w:b/>
          <w:bCs/>
          <w:i w:val="0"/>
          <w:iCs w:val="0"/>
          <w:color w:val="auto"/>
          <w:sz w:val="20"/>
          <w:szCs w:val="20"/>
        </w:rPr>
        <w:instrText xml:space="preserve"> SEQ Table \* ARABIC </w:instrText>
      </w:r>
      <w:r w:rsidRPr="00DA24D5">
        <w:rPr>
          <w:rFonts w:ascii="Arial Narrow" w:hAnsi="Arial Narrow"/>
          <w:b/>
          <w:bCs/>
          <w:i w:val="0"/>
          <w:iCs w:val="0"/>
          <w:color w:val="auto"/>
          <w:sz w:val="20"/>
          <w:szCs w:val="20"/>
        </w:rPr>
        <w:fldChar w:fldCharType="separate"/>
      </w:r>
      <w:r w:rsidR="00100F00">
        <w:rPr>
          <w:rFonts w:ascii="Arial Narrow" w:hAnsi="Arial Narrow"/>
          <w:b/>
          <w:bCs/>
          <w:i w:val="0"/>
          <w:iCs w:val="0"/>
          <w:noProof/>
          <w:color w:val="auto"/>
          <w:sz w:val="20"/>
          <w:szCs w:val="20"/>
        </w:rPr>
        <w:t>2</w:t>
      </w:r>
      <w:r w:rsidRPr="00DA24D5">
        <w:rPr>
          <w:rFonts w:ascii="Arial Narrow" w:hAnsi="Arial Narrow"/>
          <w:b/>
          <w:bCs/>
          <w:i w:val="0"/>
          <w:iCs w:val="0"/>
          <w:color w:val="auto"/>
          <w:sz w:val="20"/>
          <w:szCs w:val="20"/>
        </w:rPr>
        <w:fldChar w:fldCharType="end"/>
      </w:r>
      <w:bookmarkEnd w:id="2"/>
      <w:r w:rsidRPr="00DA24D5">
        <w:rPr>
          <w:rFonts w:ascii="Arial Narrow" w:hAnsi="Arial Narrow"/>
          <w:b/>
          <w:bCs/>
          <w:i w:val="0"/>
          <w:iCs w:val="0"/>
          <w:color w:val="auto"/>
          <w:sz w:val="20"/>
          <w:szCs w:val="20"/>
        </w:rPr>
        <w:t>:</w:t>
      </w:r>
      <w:r w:rsidRPr="00DA24D5">
        <w:rPr>
          <w:rFonts w:ascii="Arial Narrow" w:hAnsi="Arial Narrow"/>
          <w:i w:val="0"/>
          <w:iCs w:val="0"/>
          <w:color w:val="auto"/>
          <w:sz w:val="20"/>
          <w:szCs w:val="20"/>
        </w:rPr>
        <w:t xml:space="preserve"> </w:t>
      </w:r>
      <w:r w:rsidRPr="00DA24D5">
        <w:rPr>
          <w:rStyle w:val="CommentReference"/>
          <w:rFonts w:ascii="Arial Narrow" w:eastAsiaTheme="majorEastAsia" w:hAnsi="Arial Narrow"/>
          <w:b/>
          <w:i w:val="0"/>
          <w:iCs w:val="0"/>
          <w:color w:val="auto"/>
          <w:sz w:val="20"/>
          <w:szCs w:val="20"/>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Key components of the clinical issue addressed by the submission"/>
        <w:tblDescription w:val="Key components of the clinical issue addressed by the submission "/>
      </w:tblPr>
      <w:tblGrid>
        <w:gridCol w:w="1666"/>
        <w:gridCol w:w="7350"/>
      </w:tblGrid>
      <w:tr w:rsidR="00FE341B" w:rsidRPr="00B22BCB" w14:paraId="09EA3D24" w14:textId="77777777" w:rsidTr="00F2444D">
        <w:trPr>
          <w:cantSplit/>
          <w:tblHeader/>
        </w:trPr>
        <w:tc>
          <w:tcPr>
            <w:tcW w:w="924" w:type="pct"/>
            <w:shd w:val="clear" w:color="auto" w:fill="auto"/>
          </w:tcPr>
          <w:p w14:paraId="1E6FB5A9" w14:textId="77777777" w:rsidR="00FE341B" w:rsidRPr="00B22BCB" w:rsidRDefault="00FE341B" w:rsidP="00F2444D">
            <w:pPr>
              <w:pStyle w:val="In-tableHeading"/>
              <w:keepLines/>
              <w:rPr>
                <w:szCs w:val="20"/>
                <w:lang w:val="en-AU"/>
              </w:rPr>
            </w:pPr>
            <w:r w:rsidRPr="00B22BCB">
              <w:rPr>
                <w:lang w:val="en-AU"/>
              </w:rPr>
              <w:t>Component</w:t>
            </w:r>
          </w:p>
        </w:tc>
        <w:tc>
          <w:tcPr>
            <w:tcW w:w="4076" w:type="pct"/>
            <w:shd w:val="clear" w:color="auto" w:fill="auto"/>
          </w:tcPr>
          <w:p w14:paraId="3E98E086" w14:textId="77777777" w:rsidR="00FE341B" w:rsidRPr="00B22BCB" w:rsidRDefault="00FE341B" w:rsidP="00F2444D">
            <w:pPr>
              <w:pStyle w:val="In-tableHeading"/>
              <w:keepLines/>
              <w:rPr>
                <w:lang w:val="en-AU"/>
              </w:rPr>
            </w:pPr>
            <w:r w:rsidRPr="00B22BCB">
              <w:rPr>
                <w:lang w:val="en-AU"/>
              </w:rPr>
              <w:t>Description</w:t>
            </w:r>
          </w:p>
        </w:tc>
      </w:tr>
      <w:tr w:rsidR="00FE341B" w:rsidRPr="00B22BCB" w14:paraId="07959E8C" w14:textId="77777777" w:rsidTr="00F2444D">
        <w:trPr>
          <w:cantSplit/>
        </w:trPr>
        <w:tc>
          <w:tcPr>
            <w:tcW w:w="924" w:type="pct"/>
            <w:shd w:val="clear" w:color="auto" w:fill="auto"/>
          </w:tcPr>
          <w:p w14:paraId="7A3833FD" w14:textId="77777777" w:rsidR="00FE341B" w:rsidRPr="00B22BCB" w:rsidRDefault="00FE341B" w:rsidP="00F2444D">
            <w:pPr>
              <w:pStyle w:val="TableText"/>
              <w:keepLines/>
            </w:pPr>
            <w:r w:rsidRPr="00B22BCB">
              <w:t>Population</w:t>
            </w:r>
          </w:p>
        </w:tc>
        <w:tc>
          <w:tcPr>
            <w:tcW w:w="4076" w:type="pct"/>
            <w:shd w:val="clear" w:color="auto" w:fill="auto"/>
          </w:tcPr>
          <w:p w14:paraId="592F6DAA" w14:textId="77777777" w:rsidR="00FE341B" w:rsidRDefault="00FE341B" w:rsidP="00F2444D">
            <w:pPr>
              <w:pStyle w:val="TableText"/>
              <w:keepLines/>
            </w:pPr>
            <w:r w:rsidRPr="00B22BCB">
              <w:t>Adult patients with CML-CP who have failed or are intolerant of at least 2 TKIs</w:t>
            </w:r>
            <w:r>
              <w:t>;</w:t>
            </w:r>
          </w:p>
          <w:p w14:paraId="0B8EFD3C" w14:textId="3475D917" w:rsidR="00FE341B" w:rsidRPr="00730553" w:rsidRDefault="00FE341B" w:rsidP="00F2444D">
            <w:pPr>
              <w:pStyle w:val="TableText"/>
              <w:keepLines/>
              <w:rPr>
                <w:i/>
                <w:iCs/>
                <w:szCs w:val="20"/>
              </w:rPr>
            </w:pPr>
            <w:r w:rsidRPr="00730553">
              <w:rPr>
                <w:i/>
                <w:iCs/>
              </w:rPr>
              <w:t>Adult patients with CML-CP and the T315I mutation who have failed or are intolerant</w:t>
            </w:r>
            <w:r w:rsidR="009D124D">
              <w:rPr>
                <w:i/>
                <w:iCs/>
              </w:rPr>
              <w:t xml:space="preserve"> to</w:t>
            </w:r>
            <w:r w:rsidRPr="00730553">
              <w:rPr>
                <w:i/>
                <w:iCs/>
              </w:rPr>
              <w:t xml:space="preserve"> imatinib or dasatinib or nilotinib</w:t>
            </w:r>
          </w:p>
        </w:tc>
      </w:tr>
      <w:tr w:rsidR="00FE341B" w:rsidRPr="00B22BCB" w14:paraId="084FCA87" w14:textId="77777777" w:rsidTr="00F2444D">
        <w:trPr>
          <w:cantSplit/>
        </w:trPr>
        <w:tc>
          <w:tcPr>
            <w:tcW w:w="924" w:type="pct"/>
            <w:shd w:val="clear" w:color="auto" w:fill="auto"/>
          </w:tcPr>
          <w:p w14:paraId="11F019BC" w14:textId="77777777" w:rsidR="00FE341B" w:rsidRPr="00B22BCB" w:rsidRDefault="00FE341B" w:rsidP="00F2444D">
            <w:pPr>
              <w:pStyle w:val="TableText"/>
              <w:keepLines/>
            </w:pPr>
            <w:r w:rsidRPr="00B22BCB">
              <w:t>Intervention</w:t>
            </w:r>
          </w:p>
        </w:tc>
        <w:tc>
          <w:tcPr>
            <w:tcW w:w="4076" w:type="pct"/>
            <w:shd w:val="clear" w:color="auto" w:fill="auto"/>
          </w:tcPr>
          <w:p w14:paraId="4317EF9A" w14:textId="77777777" w:rsidR="00FE341B" w:rsidRPr="00B22BCB" w:rsidRDefault="00FE341B" w:rsidP="00F2444D">
            <w:pPr>
              <w:pStyle w:val="TableText"/>
              <w:keepLines/>
            </w:pPr>
            <w:bookmarkStart w:id="3" w:name="_Hlk106190510"/>
            <w:r w:rsidRPr="00B22BCB">
              <w:t>Asciminib 80 mg once daily or 40 mg twice daily</w:t>
            </w:r>
            <w:bookmarkEnd w:id="3"/>
          </w:p>
        </w:tc>
      </w:tr>
      <w:tr w:rsidR="00FE341B" w:rsidRPr="00B22BCB" w14:paraId="3351CFA3" w14:textId="77777777" w:rsidTr="00F2444D">
        <w:trPr>
          <w:cantSplit/>
        </w:trPr>
        <w:tc>
          <w:tcPr>
            <w:tcW w:w="924" w:type="pct"/>
            <w:shd w:val="clear" w:color="auto" w:fill="auto"/>
          </w:tcPr>
          <w:p w14:paraId="78195FE0" w14:textId="77777777" w:rsidR="00FE341B" w:rsidRPr="00B22BCB" w:rsidRDefault="00FE341B" w:rsidP="00F2444D">
            <w:pPr>
              <w:pStyle w:val="TableText"/>
              <w:keepLines/>
            </w:pPr>
            <w:r w:rsidRPr="00B22BCB">
              <w:t>Comparator</w:t>
            </w:r>
          </w:p>
        </w:tc>
        <w:tc>
          <w:tcPr>
            <w:tcW w:w="4076" w:type="pct"/>
            <w:shd w:val="clear" w:color="auto" w:fill="auto"/>
          </w:tcPr>
          <w:p w14:paraId="0080157B" w14:textId="77777777" w:rsidR="00FE341B" w:rsidRPr="00B22BCB" w:rsidRDefault="00FE341B" w:rsidP="00F2444D">
            <w:pPr>
              <w:pStyle w:val="TableText"/>
              <w:keepLines/>
            </w:pPr>
            <w:r w:rsidRPr="00B22BCB">
              <w:t>Main comparator: Nilotinib</w:t>
            </w:r>
          </w:p>
          <w:p w14:paraId="4CC4C1F6" w14:textId="29375587" w:rsidR="00FE341B" w:rsidRPr="00B22BCB" w:rsidRDefault="00FE341B" w:rsidP="00F2444D">
            <w:pPr>
              <w:pStyle w:val="TableText"/>
              <w:keepLines/>
            </w:pPr>
            <w:r w:rsidRPr="00B22BCB">
              <w:t>Supplementary comparator: ponatinib</w:t>
            </w:r>
          </w:p>
        </w:tc>
      </w:tr>
      <w:tr w:rsidR="00FE341B" w:rsidRPr="00B22BCB" w14:paraId="4724F58A" w14:textId="77777777" w:rsidTr="00F2444D">
        <w:trPr>
          <w:cantSplit/>
        </w:trPr>
        <w:tc>
          <w:tcPr>
            <w:tcW w:w="924" w:type="pct"/>
            <w:shd w:val="clear" w:color="auto" w:fill="auto"/>
          </w:tcPr>
          <w:p w14:paraId="64977A47" w14:textId="77777777" w:rsidR="00FE341B" w:rsidRPr="00B22BCB" w:rsidRDefault="00FE341B" w:rsidP="00F2444D">
            <w:pPr>
              <w:pStyle w:val="TableText"/>
              <w:keepLines/>
            </w:pPr>
            <w:r w:rsidRPr="00B22BCB">
              <w:t>Outcomes</w:t>
            </w:r>
          </w:p>
        </w:tc>
        <w:tc>
          <w:tcPr>
            <w:tcW w:w="4076" w:type="pct"/>
            <w:shd w:val="clear" w:color="auto" w:fill="auto"/>
          </w:tcPr>
          <w:p w14:paraId="223ADC5F" w14:textId="77777777" w:rsidR="00FE341B" w:rsidRPr="00B22BCB" w:rsidRDefault="00FE341B" w:rsidP="00F2444D">
            <w:pPr>
              <w:pStyle w:val="TableText"/>
              <w:keepLines/>
              <w:rPr>
                <w:rFonts w:eastAsia="Times New Roman" w:cs="Arial"/>
                <w:snapToGrid w:val="0"/>
                <w:color w:val="0066FF"/>
                <w:szCs w:val="20"/>
              </w:rPr>
            </w:pPr>
            <w:r w:rsidRPr="00B22BCB">
              <w:t>MMR, CCyR</w:t>
            </w:r>
          </w:p>
        </w:tc>
      </w:tr>
      <w:tr w:rsidR="00FE341B" w:rsidRPr="00B22BCB" w14:paraId="145353D2" w14:textId="77777777" w:rsidTr="00F2444D">
        <w:trPr>
          <w:cantSplit/>
        </w:trPr>
        <w:tc>
          <w:tcPr>
            <w:tcW w:w="924" w:type="pct"/>
            <w:shd w:val="clear" w:color="auto" w:fill="auto"/>
          </w:tcPr>
          <w:p w14:paraId="6FEC7E7B" w14:textId="77777777" w:rsidR="00FE341B" w:rsidRPr="00B22BCB" w:rsidRDefault="00FE341B" w:rsidP="00F2444D">
            <w:pPr>
              <w:pStyle w:val="TableText"/>
              <w:keepLines/>
            </w:pPr>
            <w:r w:rsidRPr="00B22BCB">
              <w:t>Clinical claim</w:t>
            </w:r>
          </w:p>
        </w:tc>
        <w:tc>
          <w:tcPr>
            <w:tcW w:w="4076" w:type="pct"/>
            <w:shd w:val="clear" w:color="auto" w:fill="auto"/>
          </w:tcPr>
          <w:p w14:paraId="5EBD1C3C" w14:textId="77777777" w:rsidR="00FE341B" w:rsidRPr="00B22BCB" w:rsidRDefault="00FE341B" w:rsidP="00F2444D">
            <w:pPr>
              <w:pStyle w:val="TableText"/>
              <w:keepLines/>
            </w:pPr>
            <w:r w:rsidRPr="00B22BCB">
              <w:t>Non-inferior efficacy and superior safety compared</w:t>
            </w:r>
            <w:r>
              <w:t xml:space="preserve"> with</w:t>
            </w:r>
            <w:r w:rsidRPr="00B22BCB">
              <w:t xml:space="preserve"> nilotinib</w:t>
            </w:r>
            <w:r>
              <w:t>;</w:t>
            </w:r>
          </w:p>
          <w:p w14:paraId="17F104D6" w14:textId="77777777" w:rsidR="00FE341B" w:rsidRPr="00B22BCB" w:rsidRDefault="00FE341B" w:rsidP="00F2444D">
            <w:pPr>
              <w:pStyle w:val="TableText"/>
              <w:keepLines/>
              <w:rPr>
                <w:rFonts w:eastAsia="Times New Roman" w:cs="Arial"/>
                <w:snapToGrid w:val="0"/>
                <w:color w:val="0066FF"/>
                <w:szCs w:val="20"/>
              </w:rPr>
            </w:pPr>
            <w:r w:rsidRPr="00B22BCB">
              <w:t xml:space="preserve">Non-inferior efficacy and </w:t>
            </w:r>
            <w:r w:rsidRPr="00A42C8A">
              <w:rPr>
                <w:strike/>
              </w:rPr>
              <w:t>superior</w:t>
            </w:r>
            <w:r w:rsidRPr="00B22BCB">
              <w:t xml:space="preserve"> </w:t>
            </w:r>
            <w:r w:rsidRPr="00A42C8A">
              <w:rPr>
                <w:i/>
                <w:iCs/>
              </w:rPr>
              <w:t xml:space="preserve">at least non-inferior </w:t>
            </w:r>
            <w:r w:rsidRPr="00B22BCB">
              <w:t>safety compared with ponatinib</w:t>
            </w:r>
          </w:p>
        </w:tc>
      </w:tr>
    </w:tbl>
    <w:p w14:paraId="5BC35D1B" w14:textId="3EFFBDCC" w:rsidR="00FE341B" w:rsidRPr="00B22BCB" w:rsidRDefault="00FE341B" w:rsidP="00FE341B">
      <w:pPr>
        <w:pStyle w:val="TableFigureFooter"/>
      </w:pPr>
      <w:r w:rsidRPr="00B22BCB">
        <w:t>Source: Table 1</w:t>
      </w:r>
      <w:r>
        <w:t xml:space="preserve">, </w:t>
      </w:r>
      <w:r w:rsidRPr="007B1122">
        <w:t xml:space="preserve">asciminib </w:t>
      </w:r>
      <w:r w:rsidR="00DF7E8A">
        <w:t>PSD</w:t>
      </w:r>
      <w:r w:rsidRPr="007B1122">
        <w:t>, July 2022 PBAC meeting</w:t>
      </w:r>
      <w:r w:rsidRPr="00B22BCB">
        <w:t>.</w:t>
      </w:r>
      <w:r>
        <w:t xml:space="preserve"> Italics and strikethrough added by the Secretariat.</w:t>
      </w:r>
    </w:p>
    <w:p w14:paraId="73526150" w14:textId="4E9851D0" w:rsidR="00FE341B" w:rsidRPr="002C633F" w:rsidRDefault="00FE341B" w:rsidP="00FE341B">
      <w:pPr>
        <w:pStyle w:val="TableFigureFooter"/>
      </w:pPr>
      <w:r w:rsidRPr="00B22BCB">
        <w:t>CCyR = complete cytogenetic response; CML-CP = chronic phase chronic myeloid leukaemia; MMR = major molecular response; TKI = tyrosine kinase inhibitor</w:t>
      </w:r>
      <w:r>
        <w:t>.</w:t>
      </w:r>
    </w:p>
    <w:p w14:paraId="0935F4B2" w14:textId="44878A3B" w:rsidR="5D80A09E" w:rsidRPr="00FE341B" w:rsidRDefault="004877C2" w:rsidP="006C5B33">
      <w:pPr>
        <w:pStyle w:val="2-SectionHeading"/>
        <w:rPr>
          <w:rFonts w:eastAsiaTheme="minorEastAsia"/>
        </w:rPr>
      </w:pPr>
      <w:r w:rsidRPr="006C5B33">
        <w:t>Background</w:t>
      </w:r>
    </w:p>
    <w:p w14:paraId="1ECEC1F7" w14:textId="740A9BEB" w:rsidR="00FE341B" w:rsidRPr="006C5B33" w:rsidRDefault="00FE341B" w:rsidP="00FE341B">
      <w:pPr>
        <w:pStyle w:val="4-SubsectionHeading"/>
        <w:rPr>
          <w:rFonts w:eastAsiaTheme="minorEastAsia"/>
        </w:rPr>
      </w:pPr>
      <w:r>
        <w:t>Registration status</w:t>
      </w:r>
    </w:p>
    <w:p w14:paraId="1509BB87" w14:textId="37075550" w:rsidR="00147566" w:rsidRDefault="00692BCD" w:rsidP="00692BCD">
      <w:pPr>
        <w:pStyle w:val="3-BodyText"/>
      </w:pPr>
      <w:r>
        <w:t>Asciminib</w:t>
      </w:r>
      <w:r w:rsidR="00147566" w:rsidRPr="004E18E9">
        <w:t xml:space="preserve"> was TGA registered on</w:t>
      </w:r>
      <w:r>
        <w:t xml:space="preserve"> 15 July 2022</w:t>
      </w:r>
      <w:r w:rsidR="00147566" w:rsidRPr="004E18E9">
        <w:t xml:space="preserve"> for</w:t>
      </w:r>
      <w:r>
        <w:t xml:space="preserve"> the following indication</w:t>
      </w:r>
      <w:r w:rsidR="008544F3">
        <w:t>.</w:t>
      </w:r>
    </w:p>
    <w:p w14:paraId="4715416C" w14:textId="77777777" w:rsidR="006D5458" w:rsidRPr="005835DF" w:rsidRDefault="006D5458" w:rsidP="00692BCD">
      <w:pPr>
        <w:pStyle w:val="3-BodyText"/>
        <w:numPr>
          <w:ilvl w:val="0"/>
          <w:numId w:val="0"/>
        </w:numPr>
        <w:ind w:left="1440"/>
      </w:pPr>
      <w:r w:rsidRPr="005835DF">
        <w:t xml:space="preserve">SCEMBLIX is indicated for the treatment of patients 18 years of age and above with: </w:t>
      </w:r>
    </w:p>
    <w:p w14:paraId="4442D134" w14:textId="35B47407" w:rsidR="006D5458" w:rsidRPr="005835DF" w:rsidRDefault="006D5458" w:rsidP="00692BCD">
      <w:pPr>
        <w:pStyle w:val="3-BodyText"/>
        <w:numPr>
          <w:ilvl w:val="0"/>
          <w:numId w:val="0"/>
        </w:numPr>
        <w:ind w:left="1440"/>
      </w:pPr>
      <w:r w:rsidRPr="005835DF">
        <w:t xml:space="preserve">• Philadelphia chromosome-positive chronic myeloid leukaemia (Ph+ CML) in chronic phase (CP) previously treated with two or more tyrosine kinase inhibitors. </w:t>
      </w:r>
    </w:p>
    <w:p w14:paraId="79C8C262" w14:textId="0E3DAB18" w:rsidR="00692BCD" w:rsidRPr="005835DF" w:rsidRDefault="006D5458" w:rsidP="006D5458">
      <w:pPr>
        <w:pStyle w:val="3-BodyText"/>
        <w:numPr>
          <w:ilvl w:val="0"/>
          <w:numId w:val="0"/>
        </w:numPr>
        <w:ind w:left="1440"/>
      </w:pPr>
      <w:r w:rsidRPr="005835DF">
        <w:t>• Ph+ CML in CP with the T315I mutation.</w:t>
      </w:r>
    </w:p>
    <w:p w14:paraId="2B992BE4" w14:textId="682F1756" w:rsidR="00FE341B" w:rsidRDefault="00FE341B" w:rsidP="00FE341B">
      <w:pPr>
        <w:pStyle w:val="4-SubsectionHeading"/>
      </w:pPr>
      <w:r>
        <w:t>Previous consideration</w:t>
      </w:r>
    </w:p>
    <w:p w14:paraId="28E59B1D" w14:textId="6670AE7E" w:rsidR="00272EE2" w:rsidRDefault="00272EE2" w:rsidP="00272EE2">
      <w:pPr>
        <w:pStyle w:val="3-BodyText"/>
      </w:pPr>
      <w:bookmarkStart w:id="4" w:name="_Ref120206001"/>
      <w:r>
        <w:t xml:space="preserve">The PBAC considered at the July 2022 meeting that non-inferior efficacy of asciminib against nilotinib is likely supported based on the limited evidence available (paragraph 7.9, asciminib </w:t>
      </w:r>
      <w:r w:rsidR="00DF7E8A">
        <w:t>Public Summary Document [PSD]</w:t>
      </w:r>
      <w:r w:rsidR="003721A0">
        <w:t>, July 2022</w:t>
      </w:r>
      <w:r>
        <w:t xml:space="preserve">); however, the PBAC did not support the claim of superior safety to nilotinib (paragraph 7.11, asciminib </w:t>
      </w:r>
      <w:r w:rsidR="00DF7E8A">
        <w:t>PSD</w:t>
      </w:r>
      <w:r>
        <w:t>). The resubmission acknowledged this outcome, but did not re-specify the clinical</w:t>
      </w:r>
      <w:r w:rsidR="0082210C">
        <w:t xml:space="preserve"> safety</w:t>
      </w:r>
      <w:r>
        <w:t xml:space="preserve"> claim for asciminib compared with nilotinib.</w:t>
      </w:r>
      <w:bookmarkEnd w:id="4"/>
    </w:p>
    <w:p w14:paraId="72178F9C" w14:textId="7A55D0AF" w:rsidR="006A02C9" w:rsidRPr="006A02C9" w:rsidRDefault="00FE341B" w:rsidP="006A02C9">
      <w:pPr>
        <w:pStyle w:val="3-BodyText"/>
      </w:pPr>
      <w:bookmarkStart w:id="5" w:name="_Ref114476897"/>
      <w:r w:rsidRPr="007760E2">
        <w:t xml:space="preserve">The PBAC considered at the July 2022 meeting that </w:t>
      </w:r>
      <w:r w:rsidRPr="007760E2">
        <w:rPr>
          <w:snapToGrid w:val="0"/>
          <w:lang w:val="en-GB"/>
        </w:rPr>
        <w:t>non-inferior efficacy</w:t>
      </w:r>
      <w:r w:rsidR="007760E2" w:rsidRPr="007760E2">
        <w:rPr>
          <w:snapToGrid w:val="0"/>
          <w:lang w:val="en-GB"/>
        </w:rPr>
        <w:t xml:space="preserve"> and superior safety</w:t>
      </w:r>
      <w:r w:rsidRPr="007760E2">
        <w:rPr>
          <w:snapToGrid w:val="0"/>
          <w:lang w:val="en-GB"/>
        </w:rPr>
        <w:t xml:space="preserve"> of asciminib compared to ponatinib</w:t>
      </w:r>
      <w:r w:rsidR="007760E2" w:rsidRPr="007760E2">
        <w:rPr>
          <w:snapToGrid w:val="0"/>
          <w:lang w:val="en-GB"/>
        </w:rPr>
        <w:t xml:space="preserve"> were not supported</w:t>
      </w:r>
      <w:r w:rsidRPr="007760E2">
        <w:rPr>
          <w:snapToGrid w:val="0"/>
          <w:lang w:val="en-GB"/>
        </w:rPr>
        <w:t xml:space="preserve"> based on the evidence from the AS</w:t>
      </w:r>
      <w:r w:rsidR="00421D56">
        <w:rPr>
          <w:snapToGrid w:val="0"/>
          <w:lang w:val="en-GB"/>
        </w:rPr>
        <w:t>C</w:t>
      </w:r>
      <w:r w:rsidRPr="007760E2">
        <w:rPr>
          <w:snapToGrid w:val="0"/>
          <w:lang w:val="en-GB"/>
        </w:rPr>
        <w:t>EMBL and PACE trials</w:t>
      </w:r>
      <w:r w:rsidR="007760E2">
        <w:rPr>
          <w:snapToGrid w:val="0"/>
          <w:lang w:val="en-GB"/>
        </w:rPr>
        <w:t xml:space="preserve"> </w:t>
      </w:r>
      <w:r w:rsidR="007760E2" w:rsidRPr="007760E2">
        <w:rPr>
          <w:bCs/>
        </w:rPr>
        <w:t xml:space="preserve">(paragraphs 7.10 and 7.11, asciminib </w:t>
      </w:r>
      <w:r w:rsidR="00C61714">
        <w:rPr>
          <w:bCs/>
        </w:rPr>
        <w:t>PSD</w:t>
      </w:r>
      <w:r w:rsidR="003721A0">
        <w:rPr>
          <w:bCs/>
        </w:rPr>
        <w:t>, July 2022</w:t>
      </w:r>
      <w:r w:rsidR="007760E2" w:rsidRPr="007760E2">
        <w:rPr>
          <w:bCs/>
        </w:rPr>
        <w:t>)</w:t>
      </w:r>
      <w:r w:rsidRPr="007760E2">
        <w:rPr>
          <w:snapToGrid w:val="0"/>
          <w:lang w:val="en-GB"/>
        </w:rPr>
        <w:t>. The</w:t>
      </w:r>
      <w:r w:rsidR="008544F3">
        <w:rPr>
          <w:snapToGrid w:val="0"/>
          <w:lang w:val="en-GB"/>
        </w:rPr>
        <w:t xml:space="preserve"> indirect treatment comparison</w:t>
      </w:r>
      <w:r w:rsidRPr="007760E2">
        <w:rPr>
          <w:snapToGrid w:val="0"/>
          <w:lang w:val="en-GB"/>
        </w:rPr>
        <w:t xml:space="preserve"> </w:t>
      </w:r>
      <w:r w:rsidR="008544F3">
        <w:rPr>
          <w:snapToGrid w:val="0"/>
          <w:lang w:val="en-GB"/>
        </w:rPr>
        <w:t>(</w:t>
      </w:r>
      <w:r w:rsidRPr="007760E2">
        <w:rPr>
          <w:snapToGrid w:val="0"/>
          <w:lang w:val="en-GB"/>
        </w:rPr>
        <w:t>ITC</w:t>
      </w:r>
      <w:r w:rsidR="008544F3">
        <w:rPr>
          <w:snapToGrid w:val="0"/>
          <w:lang w:val="en-GB"/>
        </w:rPr>
        <w:t>)</w:t>
      </w:r>
      <w:r w:rsidRPr="007760E2">
        <w:rPr>
          <w:snapToGrid w:val="0"/>
          <w:lang w:val="en-GB"/>
        </w:rPr>
        <w:t xml:space="preserve"> was vulnerable to differences in baseline characteristics that prognostically favoured asciminib over ponatinib. Further, the PBAC noted that </w:t>
      </w:r>
      <w:r w:rsidRPr="007760E2">
        <w:t>asciminib evidence from the AS</w:t>
      </w:r>
      <w:r w:rsidR="00421D56">
        <w:t>C</w:t>
      </w:r>
      <w:r w:rsidRPr="007760E2">
        <w:t>EMBL trial was obtained in patients without a T315I mutation</w:t>
      </w:r>
      <w:r w:rsidRPr="007760E2">
        <w:rPr>
          <w:bCs/>
        </w:rPr>
        <w:t>. The PBAC considered  that data from patients with the T315I mutation treated with asciminib in the CABL001X2101</w:t>
      </w:r>
      <w:r w:rsidR="007760E2" w:rsidRPr="007760E2">
        <w:rPr>
          <w:bCs/>
        </w:rPr>
        <w:t xml:space="preserve"> (X2101)</w:t>
      </w:r>
      <w:r w:rsidRPr="007760E2">
        <w:rPr>
          <w:bCs/>
        </w:rPr>
        <w:t xml:space="preserve"> trial </w:t>
      </w:r>
      <w:r w:rsidR="007760E2" w:rsidRPr="007760E2">
        <w:rPr>
          <w:bCs/>
        </w:rPr>
        <w:t>are</w:t>
      </w:r>
      <w:r w:rsidRPr="007760E2">
        <w:rPr>
          <w:bCs/>
        </w:rPr>
        <w:t xml:space="preserve"> relevant to this clinical claim.</w:t>
      </w:r>
      <w:bookmarkEnd w:id="5"/>
    </w:p>
    <w:p w14:paraId="255BF656" w14:textId="1333D77F" w:rsidR="00AF222C" w:rsidRPr="006A02C9" w:rsidRDefault="00AF222C" w:rsidP="006A02C9">
      <w:pPr>
        <w:pStyle w:val="3-BodyText"/>
      </w:pPr>
      <w:r w:rsidRPr="006A02C9">
        <w:rPr>
          <w:snapToGrid w:val="0"/>
          <w:lang w:val="en-GB"/>
        </w:rPr>
        <w:lastRenderedPageBreak/>
        <w:t>The PBAC considered the outstanding issues could be resolved in a simple resubmission for asciminib using the early re-entry pathway,</w:t>
      </w:r>
      <w:r w:rsidR="00B31F96" w:rsidRPr="006A02C9">
        <w:rPr>
          <w:snapToGrid w:val="0"/>
          <w:lang w:val="en-GB"/>
        </w:rPr>
        <w:t xml:space="preserve"> including</w:t>
      </w:r>
      <w:r w:rsidRPr="006A02C9">
        <w:rPr>
          <w:snapToGrid w:val="0"/>
          <w:lang w:val="en-GB"/>
        </w:rPr>
        <w:t xml:space="preserve"> the following changes</w:t>
      </w:r>
      <w:r w:rsidR="00B31F96" w:rsidRPr="006A02C9">
        <w:rPr>
          <w:snapToGrid w:val="0"/>
          <w:lang w:val="en-GB"/>
        </w:rPr>
        <w:t xml:space="preserve"> (paragraph 7.15, </w:t>
      </w:r>
      <w:r w:rsidR="00B31F96" w:rsidRPr="006A02C9">
        <w:rPr>
          <w:bCs/>
        </w:rPr>
        <w:t xml:space="preserve">asciminib </w:t>
      </w:r>
      <w:r w:rsidR="00C61714">
        <w:rPr>
          <w:bCs/>
        </w:rPr>
        <w:t>PSD</w:t>
      </w:r>
      <w:r w:rsidR="00B31F96" w:rsidRPr="006A02C9">
        <w:rPr>
          <w:bCs/>
        </w:rPr>
        <w:t>, July 2022</w:t>
      </w:r>
      <w:r w:rsidR="00B31F96" w:rsidRPr="006A02C9">
        <w:rPr>
          <w:snapToGrid w:val="0"/>
          <w:lang w:val="en-GB"/>
        </w:rPr>
        <w:t>):</w:t>
      </w:r>
    </w:p>
    <w:p w14:paraId="5405F6AA" w14:textId="4F4546F3" w:rsidR="00AF222C" w:rsidRPr="00A914F4" w:rsidRDefault="00AF222C" w:rsidP="00AF222C">
      <w:pPr>
        <w:pStyle w:val="ListParagraph"/>
        <w:widowControl w:val="0"/>
        <w:numPr>
          <w:ilvl w:val="0"/>
          <w:numId w:val="29"/>
        </w:numPr>
        <w:ind w:left="1134"/>
        <w:jc w:val="both"/>
      </w:pPr>
      <w:r>
        <w:rPr>
          <w:lang w:val="en-GB"/>
        </w:rPr>
        <w:t xml:space="preserve">A separate restriction for </w:t>
      </w:r>
      <w:r w:rsidRPr="006F402F">
        <w:t xml:space="preserve">patients with </w:t>
      </w:r>
      <w:r w:rsidRPr="00A914F4">
        <w:t>the T315I mutation.</w:t>
      </w:r>
    </w:p>
    <w:p w14:paraId="03D4C528" w14:textId="5C1F66D4" w:rsidR="00AF222C" w:rsidRPr="00A914F4" w:rsidRDefault="00AF222C" w:rsidP="00AF222C">
      <w:pPr>
        <w:pStyle w:val="ListParagraph"/>
        <w:widowControl w:val="0"/>
        <w:numPr>
          <w:ilvl w:val="0"/>
          <w:numId w:val="29"/>
        </w:numPr>
        <w:ind w:left="1134"/>
        <w:jc w:val="both"/>
      </w:pPr>
      <w:r w:rsidRPr="00A914F4">
        <w:t>Presentation of clinical data to support asciminib is non-inferior to ponatinib in patients with the T315I mutation.</w:t>
      </w:r>
    </w:p>
    <w:p w14:paraId="3C454F6E" w14:textId="2A7A8339" w:rsidR="00AF222C" w:rsidRPr="00AF222C" w:rsidRDefault="00AF222C" w:rsidP="00AF222C">
      <w:pPr>
        <w:pStyle w:val="ListParagraph"/>
        <w:widowControl w:val="0"/>
        <w:numPr>
          <w:ilvl w:val="0"/>
          <w:numId w:val="29"/>
        </w:numPr>
        <w:ind w:left="1134"/>
        <w:jc w:val="both"/>
        <w:rPr>
          <w:lang w:val="en-GB"/>
        </w:rPr>
      </w:pPr>
      <w:r w:rsidRPr="00F631A6">
        <w:rPr>
          <w:lang w:val="en-GB"/>
        </w:rPr>
        <w:t xml:space="preserve">An economic </w:t>
      </w:r>
      <w:r w:rsidRPr="00A914F4">
        <w:rPr>
          <w:lang w:val="en-GB"/>
        </w:rPr>
        <w:t xml:space="preserve">evaluation that reflects </w:t>
      </w:r>
      <w:r w:rsidRPr="00A914F4">
        <w:t>benchmarking against the second generation TKIs, nilotinib and dasatinib</w:t>
      </w:r>
      <w:r w:rsidR="003E15BF">
        <w:t>, in patients without the T315I mutation</w:t>
      </w:r>
      <w:r w:rsidRPr="00A914F4">
        <w:t>.</w:t>
      </w:r>
    </w:p>
    <w:p w14:paraId="760127AC" w14:textId="319F505E" w:rsidR="00AF222C" w:rsidRDefault="00AF222C" w:rsidP="00AF222C">
      <w:pPr>
        <w:pStyle w:val="ListParagraph"/>
        <w:widowControl w:val="0"/>
        <w:numPr>
          <w:ilvl w:val="0"/>
          <w:numId w:val="29"/>
        </w:numPr>
        <w:ind w:left="1134"/>
        <w:jc w:val="both"/>
      </w:pPr>
      <w:r w:rsidRPr="00A914F4">
        <w:t>Recalculation of the financial implications.</w:t>
      </w:r>
    </w:p>
    <w:p w14:paraId="47DAFAAB" w14:textId="46DED26B" w:rsidR="00472871" w:rsidRPr="00472871" w:rsidRDefault="00472871" w:rsidP="00472871">
      <w:pPr>
        <w:ind w:firstLine="720"/>
      </w:pPr>
      <w:r w:rsidRPr="00C33D30">
        <w:rPr>
          <w:rFonts w:asciiTheme="minorHAnsi" w:hAnsiTheme="minorHAnsi"/>
          <w:i/>
        </w:rPr>
        <w:t xml:space="preserve">For more detail on PBAC’s view, see section </w:t>
      </w:r>
      <w:r w:rsidR="00A070F1">
        <w:rPr>
          <w:rFonts w:asciiTheme="minorHAnsi" w:hAnsiTheme="minorHAnsi"/>
          <w:i/>
        </w:rPr>
        <w:t>6</w:t>
      </w:r>
      <w:r w:rsidR="00A070F1" w:rsidRPr="00C33D30">
        <w:rPr>
          <w:rFonts w:asciiTheme="minorHAnsi" w:hAnsiTheme="minorHAnsi"/>
          <w:i/>
        </w:rPr>
        <w:t xml:space="preserve"> </w:t>
      </w:r>
      <w:r w:rsidRPr="00C33D30">
        <w:rPr>
          <w:rFonts w:asciiTheme="minorHAnsi" w:hAnsiTheme="minorHAnsi"/>
          <w:i/>
        </w:rPr>
        <w:t>PBAC outcome.</w:t>
      </w:r>
    </w:p>
    <w:p w14:paraId="587432E9" w14:textId="77777777" w:rsidR="00C068A6" w:rsidRPr="006C5B33" w:rsidRDefault="004B2E01" w:rsidP="006C5B33">
      <w:pPr>
        <w:pStyle w:val="2-SectionHeading"/>
      </w:pPr>
      <w:r w:rsidRPr="006C5B33">
        <w:t>Requested listing</w:t>
      </w:r>
      <w:r w:rsidR="007C08E0" w:rsidRPr="006C5B33">
        <w:t xml:space="preserve"> </w:t>
      </w:r>
    </w:p>
    <w:p w14:paraId="7E89A930" w14:textId="155885C0" w:rsidR="00B45DCA" w:rsidRDefault="00B45DCA" w:rsidP="006C5B33">
      <w:pPr>
        <w:pStyle w:val="3-BodyText"/>
      </w:pPr>
      <w:r w:rsidRPr="00EF4580">
        <w:t xml:space="preserve">The </w:t>
      </w:r>
      <w:r w:rsidRPr="002C633F">
        <w:t>resubmission accepted</w:t>
      </w:r>
      <w:r>
        <w:t xml:space="preserve"> the Secretariat’s </w:t>
      </w:r>
      <w:r w:rsidRPr="002C633F">
        <w:t>proposed amendments to the restriction</w:t>
      </w:r>
      <w:r>
        <w:t xml:space="preserve"> for </w:t>
      </w:r>
      <w:r w:rsidRPr="00A93F80">
        <w:t>adult patients with CML-CP</w:t>
      </w:r>
      <w:r w:rsidR="008544F3">
        <w:t xml:space="preserve"> [without the T315I mutation]</w:t>
      </w:r>
      <w:r w:rsidRPr="00A93F80">
        <w:t xml:space="preserve"> who have failed or are intolerant </w:t>
      </w:r>
      <w:r w:rsidR="002E4DA8">
        <w:t>t</w:t>
      </w:r>
      <w:r w:rsidRPr="00A93F80">
        <w:t>o at least 2 prior TKIs</w:t>
      </w:r>
      <w:r w:rsidR="00221103">
        <w:t>,</w:t>
      </w:r>
      <w:r>
        <w:t xml:space="preserve"> </w:t>
      </w:r>
      <w:r w:rsidRPr="00A93F80">
        <w:t xml:space="preserve">as presented in the </w:t>
      </w:r>
      <w:r w:rsidR="00C61714">
        <w:t>PSD</w:t>
      </w:r>
      <w:r>
        <w:t xml:space="preserve"> for the July 2022 meeting.</w:t>
      </w:r>
      <w:r w:rsidR="00221103">
        <w:t xml:space="preserve"> T</w:t>
      </w:r>
      <w:r w:rsidR="00221103" w:rsidRPr="00A93F80">
        <w:t>he recommended dose for asciminib</w:t>
      </w:r>
      <w:r w:rsidR="00221103">
        <w:t xml:space="preserve"> in this patient group</w:t>
      </w:r>
      <w:r w:rsidR="00221103" w:rsidRPr="00A93F80">
        <w:t xml:space="preserve"> is 80</w:t>
      </w:r>
      <w:r w:rsidR="004C2B68">
        <w:t> </w:t>
      </w:r>
      <w:r w:rsidR="00221103" w:rsidRPr="00A93F80">
        <w:t>mg taken orally once daily or 40 mg twice daily</w:t>
      </w:r>
      <w:r w:rsidR="00221103">
        <w:t>. The</w:t>
      </w:r>
      <w:r w:rsidR="00221103" w:rsidRPr="00A93F80">
        <w:t xml:space="preserve"> listing</w:t>
      </w:r>
      <w:r w:rsidR="00221103">
        <w:t xml:space="preserve"> is</w:t>
      </w:r>
      <w:r w:rsidR="00221103" w:rsidRPr="00A93F80">
        <w:t xml:space="preserve"> for asciminib 20 mg and 40</w:t>
      </w:r>
      <w:r w:rsidR="004C2B68">
        <w:t> </w:t>
      </w:r>
      <w:r w:rsidR="00221103" w:rsidRPr="00A93F80">
        <w:t xml:space="preserve">mg tablets, </w:t>
      </w:r>
      <w:r w:rsidR="00221103">
        <w:t xml:space="preserve">each </w:t>
      </w:r>
      <w:r w:rsidR="00221103" w:rsidRPr="00A93F80">
        <w:t>marketed in a pack containing 60 tablets correspond</w:t>
      </w:r>
      <w:r w:rsidR="00221103">
        <w:t>ing</w:t>
      </w:r>
      <w:r w:rsidR="00221103" w:rsidRPr="00A93F80">
        <w:t xml:space="preserve"> to one month’s treatment, with a request for five repeats to provide patients with up to six months of treatment.</w:t>
      </w:r>
      <w:r w:rsidR="004D5A84">
        <w:t xml:space="preserve"> </w:t>
      </w:r>
      <w:r w:rsidR="00B26755" w:rsidRPr="00E70948">
        <w:rPr>
          <w:rFonts w:eastAsia="Times New Roman" w:cs="Arial"/>
          <w:snapToGrid w:val="0"/>
          <w:szCs w:val="24"/>
        </w:rPr>
        <w:t xml:space="preserve">No additional </w:t>
      </w:r>
      <w:r w:rsidR="00B26755">
        <w:rPr>
          <w:rFonts w:eastAsia="Times New Roman" w:cs="Arial"/>
          <w:snapToGrid w:val="0"/>
          <w:szCs w:val="24"/>
        </w:rPr>
        <w:t>restrictions</w:t>
      </w:r>
      <w:r w:rsidR="00B26755" w:rsidRPr="00E70948">
        <w:rPr>
          <w:rFonts w:eastAsia="Times New Roman" w:cs="Arial"/>
          <w:snapToGrid w:val="0"/>
          <w:szCs w:val="24"/>
        </w:rPr>
        <w:t xml:space="preserve"> were presented in the resubmission for this patient population.</w:t>
      </w:r>
    </w:p>
    <w:p w14:paraId="20CCBD98" w14:textId="5B965C1F" w:rsidR="005950AB" w:rsidRDefault="004B2E01" w:rsidP="006C5B33">
      <w:pPr>
        <w:pStyle w:val="3-BodyText"/>
      </w:pPr>
      <w:r w:rsidRPr="00EF4580">
        <w:t xml:space="preserve">The </w:t>
      </w:r>
      <w:r w:rsidR="004F6160" w:rsidRPr="002C633F">
        <w:t>re</w:t>
      </w:r>
      <w:r w:rsidRPr="002C633F">
        <w:t xml:space="preserve">submission </w:t>
      </w:r>
      <w:r w:rsidR="004F6160" w:rsidRPr="002C633F">
        <w:t>accepted</w:t>
      </w:r>
      <w:r w:rsidR="001C2778">
        <w:t xml:space="preserve"> the </w:t>
      </w:r>
      <w:r w:rsidR="00370896">
        <w:t xml:space="preserve">PBAC’s advice </w:t>
      </w:r>
      <w:r w:rsidR="00B45DCA">
        <w:t>to</w:t>
      </w:r>
      <w:r w:rsidR="00B45DCA" w:rsidRPr="00945C76">
        <w:t xml:space="preserve"> specifically </w:t>
      </w:r>
      <w:r w:rsidR="00B45DCA">
        <w:t>allow access</w:t>
      </w:r>
      <w:r w:rsidR="00370896">
        <w:t xml:space="preserve"> to asciminib</w:t>
      </w:r>
      <w:r w:rsidR="00B45DCA">
        <w:t xml:space="preserve"> for</w:t>
      </w:r>
      <w:r w:rsidR="00221103">
        <w:t xml:space="preserve"> patients</w:t>
      </w:r>
      <w:r w:rsidR="00B45DCA">
        <w:t xml:space="preserve"> </w:t>
      </w:r>
      <w:r w:rsidR="00221103" w:rsidRPr="00A93F80">
        <w:t>previously treated with one or more TKIs and harbouring the T315I mutation</w:t>
      </w:r>
      <w:r w:rsidR="00221103">
        <w:t xml:space="preserve"> via a separate restriction</w:t>
      </w:r>
      <w:r w:rsidR="00481E1D" w:rsidRPr="002C633F">
        <w:t>.</w:t>
      </w:r>
      <w:r w:rsidR="00B45DCA">
        <w:t xml:space="preserve"> </w:t>
      </w:r>
      <w:r w:rsidR="00221103">
        <w:t>T</w:t>
      </w:r>
      <w:r w:rsidR="00221103" w:rsidRPr="00A93F80">
        <w:t>he recommended dose for asciminib</w:t>
      </w:r>
      <w:r w:rsidR="00221103">
        <w:t xml:space="preserve"> in this patient group</w:t>
      </w:r>
      <w:r w:rsidR="00221103" w:rsidRPr="00A93F80">
        <w:t xml:space="preserve"> is </w:t>
      </w:r>
      <w:r w:rsidR="00B3209A" w:rsidRPr="00A93F80">
        <w:t>200 mg twice daily</w:t>
      </w:r>
      <w:r w:rsidR="00221103">
        <w:t>.</w:t>
      </w:r>
      <w:r w:rsidR="00B3209A">
        <w:t xml:space="preserve"> </w:t>
      </w:r>
      <w:r w:rsidR="00B3209A" w:rsidRPr="00A93F80">
        <w:t>A listing is requested for asciminib 40 mg tablets, marketed in a pack containing 60 tablets. Five packs of 60 tablets of asciminib 40 mg corresponds to one month’s treatment at the recommended dose, with a request for five repeats to provide patients with up to six months of treatment.</w:t>
      </w:r>
      <w:r w:rsidR="00481E1D" w:rsidRPr="002C633F">
        <w:t xml:space="preserve"> </w:t>
      </w:r>
    </w:p>
    <w:p w14:paraId="47CF5800" w14:textId="5F754AD5" w:rsidR="005950AB" w:rsidRPr="00D70879" w:rsidRDefault="005950AB" w:rsidP="006C5B33">
      <w:pPr>
        <w:pStyle w:val="3-BodyText"/>
      </w:pPr>
      <w:r w:rsidRPr="000F48C4">
        <w:t>The requested listing</w:t>
      </w:r>
      <w:r w:rsidR="00FA3625">
        <w:t>s</w:t>
      </w:r>
      <w:r>
        <w:t xml:space="preserve"> for patients</w:t>
      </w:r>
      <w:r w:rsidR="007D69E1">
        <w:t xml:space="preserve"> </w:t>
      </w:r>
      <w:r w:rsidR="007D69E1" w:rsidRPr="00A93F80">
        <w:t>previously treated with one or more TKIs</w:t>
      </w:r>
      <w:r w:rsidR="007D69E1">
        <w:t xml:space="preserve"> and</w:t>
      </w:r>
      <w:r>
        <w:t xml:space="preserve"> </w:t>
      </w:r>
      <w:r w:rsidRPr="00A93F80">
        <w:t>harbouring the T315I mutation</w:t>
      </w:r>
      <w:r w:rsidRPr="000F48C4">
        <w:t xml:space="preserve"> </w:t>
      </w:r>
      <w:r w:rsidR="00FA3625">
        <w:t>are</w:t>
      </w:r>
      <w:r w:rsidRPr="000F48C4">
        <w:t xml:space="preserve"> presented below. </w:t>
      </w:r>
      <w:r w:rsidRPr="00D70879">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1320"/>
        <w:gridCol w:w="1318"/>
        <w:gridCol w:w="1318"/>
        <w:gridCol w:w="2306"/>
      </w:tblGrid>
      <w:tr w:rsidR="005950AB" w:rsidRPr="00C85BA1" w14:paraId="38250006" w14:textId="77777777" w:rsidTr="005950AB">
        <w:trPr>
          <w:cantSplit/>
          <w:trHeight w:val="244"/>
        </w:trPr>
        <w:tc>
          <w:tcPr>
            <w:tcW w:w="15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13DF8" w14:textId="2A54AE15" w:rsidR="00C64091" w:rsidRPr="00EA5994" w:rsidRDefault="005950AB" w:rsidP="00EA5994">
            <w:pPr>
              <w:pStyle w:val="Tableheading"/>
              <w:rPr>
                <w:rFonts w:ascii="Arial Narrow" w:hAnsi="Arial Narrow"/>
              </w:rPr>
            </w:pPr>
            <w:r w:rsidRPr="00C64091">
              <w:rPr>
                <w:rFonts w:ascii="Arial Narrow" w:hAnsi="Arial Narrow"/>
              </w:rPr>
              <w:lastRenderedPageBreak/>
              <w:t>Name, manner of administration and form</w:t>
            </w:r>
          </w:p>
        </w:tc>
        <w:tc>
          <w:tcPr>
            <w:tcW w:w="7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3406C" w14:textId="77777777" w:rsidR="005950AB" w:rsidRPr="00C85BA1" w:rsidRDefault="005950AB" w:rsidP="00164E49">
            <w:pPr>
              <w:pStyle w:val="Tableheading"/>
              <w:rPr>
                <w:rFonts w:ascii="Arial Narrow" w:hAnsi="Arial Narrow"/>
              </w:rPr>
            </w:pPr>
            <w:r w:rsidRPr="00C85BA1">
              <w:rPr>
                <w:rFonts w:ascii="Arial Narrow" w:hAnsi="Arial Narrow"/>
              </w:rPr>
              <w:t>Max. Qty. (packs)</w:t>
            </w:r>
          </w:p>
        </w:tc>
        <w:tc>
          <w:tcPr>
            <w:tcW w:w="731" w:type="pct"/>
            <w:tcBorders>
              <w:top w:val="single" w:sz="4" w:space="0" w:color="auto"/>
              <w:left w:val="single" w:sz="4" w:space="0" w:color="auto"/>
              <w:bottom w:val="single" w:sz="4" w:space="0" w:color="auto"/>
              <w:right w:val="single" w:sz="4" w:space="0" w:color="auto"/>
            </w:tcBorders>
            <w:shd w:val="clear" w:color="auto" w:fill="FFFFFF" w:themeFill="background1"/>
          </w:tcPr>
          <w:p w14:paraId="79EB13DF" w14:textId="77777777" w:rsidR="005950AB" w:rsidRPr="00C85BA1" w:rsidRDefault="005950AB" w:rsidP="00164E49">
            <w:pPr>
              <w:pStyle w:val="Tableheading"/>
              <w:rPr>
                <w:rFonts w:ascii="Arial Narrow" w:hAnsi="Arial Narrow"/>
              </w:rPr>
            </w:pPr>
            <w:r w:rsidRPr="00C85BA1">
              <w:rPr>
                <w:rFonts w:ascii="Arial Narrow" w:hAnsi="Arial Narrow"/>
              </w:rPr>
              <w:t>Max. Qty. (units)</w:t>
            </w:r>
          </w:p>
        </w:tc>
        <w:tc>
          <w:tcPr>
            <w:tcW w:w="7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64B65" w14:textId="77777777" w:rsidR="005950AB" w:rsidRPr="00C85BA1" w:rsidRDefault="005950AB" w:rsidP="00164E49">
            <w:pPr>
              <w:pStyle w:val="Tableheading"/>
              <w:rPr>
                <w:rFonts w:ascii="Arial Narrow" w:hAnsi="Arial Narrow"/>
              </w:rPr>
            </w:pPr>
            <w:r w:rsidRPr="00C85BA1">
              <w:rPr>
                <w:rFonts w:ascii="Arial Narrow" w:hAnsi="Arial Narrow"/>
              </w:rPr>
              <w:t>№.of</w:t>
            </w:r>
          </w:p>
          <w:p w14:paraId="5167456C" w14:textId="77777777" w:rsidR="005950AB" w:rsidRPr="00C85BA1" w:rsidRDefault="005950AB" w:rsidP="00164E49">
            <w:pPr>
              <w:pStyle w:val="Tableheading"/>
              <w:rPr>
                <w:rFonts w:ascii="Arial Narrow" w:hAnsi="Arial Narrow"/>
              </w:rPr>
            </w:pPr>
            <w:r w:rsidRPr="00C85BA1">
              <w:rPr>
                <w:rFonts w:ascii="Arial Narrow" w:hAnsi="Arial Narrow"/>
              </w:rPr>
              <w:t>Rpts</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C4C38" w14:textId="600A14FA" w:rsidR="005950AB" w:rsidRPr="00C85BA1" w:rsidRDefault="005950AB" w:rsidP="00164E49">
            <w:pPr>
              <w:pStyle w:val="Tableheading"/>
              <w:rPr>
                <w:rFonts w:ascii="Arial Narrow" w:hAnsi="Arial Narrow"/>
              </w:rPr>
            </w:pPr>
            <w:r w:rsidRPr="00C85BA1">
              <w:rPr>
                <w:rFonts w:ascii="Arial Narrow" w:hAnsi="Arial Narrow"/>
              </w:rPr>
              <w:t>Proprietary name and manufacturer</w:t>
            </w:r>
          </w:p>
        </w:tc>
      </w:tr>
      <w:tr w:rsidR="005950AB" w:rsidRPr="00C85BA1" w14:paraId="16D32F43" w14:textId="77777777" w:rsidTr="005950AB">
        <w:trPr>
          <w:cantSplit/>
          <w:trHeight w:val="244"/>
        </w:trPr>
        <w:tc>
          <w:tcPr>
            <w:tcW w:w="1527" w:type="pct"/>
            <w:tcBorders>
              <w:top w:val="single" w:sz="4" w:space="0" w:color="auto"/>
              <w:left w:val="single" w:sz="4" w:space="0" w:color="auto"/>
              <w:bottom w:val="single" w:sz="4" w:space="0" w:color="auto"/>
              <w:right w:val="single" w:sz="4" w:space="0" w:color="auto"/>
            </w:tcBorders>
          </w:tcPr>
          <w:p w14:paraId="71517886" w14:textId="762134C9" w:rsidR="005950AB" w:rsidRPr="00C85BA1" w:rsidRDefault="005950AB" w:rsidP="005950AB">
            <w:pPr>
              <w:pStyle w:val="Tabletext0"/>
              <w:jc w:val="left"/>
              <w:rPr>
                <w:rFonts w:ascii="Arial Narrow" w:hAnsi="Arial Narrow"/>
              </w:rPr>
            </w:pPr>
            <w:r w:rsidRPr="00C85BA1">
              <w:rPr>
                <w:rFonts w:ascii="Arial Narrow" w:hAnsi="Arial Narrow"/>
              </w:rPr>
              <w:t>Asciminib 40 mg film coated tablet, 60</w:t>
            </w:r>
          </w:p>
        </w:tc>
        <w:tc>
          <w:tcPr>
            <w:tcW w:w="732" w:type="pct"/>
            <w:tcBorders>
              <w:top w:val="single" w:sz="4" w:space="0" w:color="auto"/>
              <w:left w:val="single" w:sz="4" w:space="0" w:color="auto"/>
              <w:bottom w:val="single" w:sz="4" w:space="0" w:color="auto"/>
              <w:right w:val="single" w:sz="4" w:space="0" w:color="auto"/>
            </w:tcBorders>
          </w:tcPr>
          <w:p w14:paraId="5D899E58" w14:textId="77777777" w:rsidR="005950AB" w:rsidRPr="00C85BA1" w:rsidRDefault="005950AB" w:rsidP="00164E49">
            <w:pPr>
              <w:pStyle w:val="Tablecentre"/>
              <w:rPr>
                <w:rFonts w:ascii="Arial Narrow" w:hAnsi="Arial Narrow"/>
              </w:rPr>
            </w:pPr>
            <w:r w:rsidRPr="00C85BA1">
              <w:rPr>
                <w:rFonts w:ascii="Arial Narrow" w:hAnsi="Arial Narrow"/>
              </w:rPr>
              <w:t>5</w:t>
            </w:r>
          </w:p>
        </w:tc>
        <w:tc>
          <w:tcPr>
            <w:tcW w:w="731" w:type="pct"/>
            <w:tcBorders>
              <w:top w:val="single" w:sz="4" w:space="0" w:color="auto"/>
              <w:left w:val="single" w:sz="4" w:space="0" w:color="auto"/>
              <w:bottom w:val="single" w:sz="4" w:space="0" w:color="auto"/>
              <w:right w:val="single" w:sz="4" w:space="0" w:color="auto"/>
            </w:tcBorders>
          </w:tcPr>
          <w:p w14:paraId="038C84F1" w14:textId="77777777" w:rsidR="005950AB" w:rsidRPr="00C85BA1" w:rsidRDefault="005950AB" w:rsidP="00164E49">
            <w:pPr>
              <w:pStyle w:val="Tablecentre"/>
              <w:rPr>
                <w:rFonts w:ascii="Arial Narrow" w:hAnsi="Arial Narrow"/>
              </w:rPr>
            </w:pPr>
            <w:r w:rsidRPr="00C85BA1">
              <w:rPr>
                <w:rFonts w:ascii="Arial Narrow" w:hAnsi="Arial Narrow"/>
              </w:rPr>
              <w:t>300</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40D4C567" w14:textId="77777777" w:rsidR="005950AB" w:rsidRPr="00C85BA1" w:rsidRDefault="005950AB" w:rsidP="00164E49">
            <w:pPr>
              <w:pStyle w:val="Tablecentre"/>
              <w:rPr>
                <w:rFonts w:ascii="Arial Narrow" w:hAnsi="Arial Narrow"/>
              </w:rPr>
            </w:pPr>
            <w:r w:rsidRPr="00C85BA1">
              <w:rPr>
                <w:rFonts w:ascii="Arial Narrow" w:hAnsi="Arial Narrow"/>
              </w:rPr>
              <w:t>5</w:t>
            </w:r>
          </w:p>
        </w:tc>
        <w:tc>
          <w:tcPr>
            <w:tcW w:w="1279" w:type="pct"/>
            <w:tcBorders>
              <w:top w:val="single" w:sz="4" w:space="0" w:color="auto"/>
              <w:left w:val="single" w:sz="4" w:space="0" w:color="auto"/>
              <w:bottom w:val="single" w:sz="4" w:space="0" w:color="auto"/>
              <w:right w:val="single" w:sz="4" w:space="0" w:color="auto"/>
            </w:tcBorders>
          </w:tcPr>
          <w:p w14:paraId="1D851DC1" w14:textId="23B2B6B8" w:rsidR="005950AB" w:rsidRPr="00C85BA1" w:rsidRDefault="005950AB" w:rsidP="005950AB">
            <w:pPr>
              <w:pStyle w:val="Tabletext0"/>
              <w:jc w:val="left"/>
              <w:rPr>
                <w:rFonts w:ascii="Arial Narrow" w:hAnsi="Arial Narrow"/>
              </w:rPr>
            </w:pPr>
            <w:r w:rsidRPr="00C85BA1">
              <w:rPr>
                <w:rFonts w:ascii="Arial Narrow" w:hAnsi="Arial Narrow"/>
              </w:rPr>
              <w:t>Scemblix, Novartis Australia Pty Ltd</w:t>
            </w:r>
          </w:p>
        </w:tc>
      </w:tr>
    </w:tbl>
    <w:p w14:paraId="3051E7DD" w14:textId="77777777" w:rsidR="006C1A93" w:rsidRPr="006C1A93" w:rsidRDefault="006C1A93" w:rsidP="006C1A93">
      <w:pPr>
        <w:pStyle w:val="Caption"/>
        <w:keepNext/>
        <w:spacing w:after="0"/>
        <w:rPr>
          <w:b/>
          <w:bCs/>
          <w:i w:val="0"/>
          <w:iCs w:val="0"/>
          <w:color w:val="auto"/>
          <w:sz w:val="24"/>
          <w:szCs w:val="24"/>
        </w:rPr>
      </w:pPr>
      <w:bookmarkStart w:id="6" w:name="_Ref112229001"/>
      <w:bookmarkStart w:id="7" w:name="_Toc112315918"/>
    </w:p>
    <w:bookmarkEnd w:id="6"/>
    <w:p w14:paraId="7C742B93" w14:textId="4DCDC084" w:rsidR="006C1A93" w:rsidRPr="006C1A93" w:rsidRDefault="006C1A93" w:rsidP="006C1A93">
      <w:pPr>
        <w:pStyle w:val="Caption"/>
        <w:keepNext/>
        <w:spacing w:after="0"/>
        <w:rPr>
          <w:b/>
          <w:bCs/>
          <w:i w:val="0"/>
          <w:iCs w:val="0"/>
          <w:color w:val="auto"/>
          <w:sz w:val="24"/>
          <w:szCs w:val="24"/>
        </w:rPr>
      </w:pPr>
      <w:r w:rsidRPr="006C1A93">
        <w:rPr>
          <w:b/>
          <w:bCs/>
          <w:i w:val="0"/>
          <w:iCs w:val="0"/>
          <w:color w:val="auto"/>
          <w:sz w:val="24"/>
          <w:szCs w:val="24"/>
        </w:rPr>
        <w:t>Initial treatment (≥1 prior TKI and T315I mutation)</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4C3BA7" w:rsidRPr="000D3AF3" w14:paraId="583B1D59" w14:textId="77777777" w:rsidTr="004C3BA7">
        <w:tc>
          <w:tcPr>
            <w:tcW w:w="5000" w:type="pct"/>
            <w:tcBorders>
              <w:top w:val="single" w:sz="4" w:space="0" w:color="auto"/>
              <w:left w:val="single" w:sz="4" w:space="0" w:color="auto"/>
              <w:bottom w:val="single" w:sz="4" w:space="0" w:color="auto"/>
              <w:right w:val="single" w:sz="4" w:space="0" w:color="auto"/>
            </w:tcBorders>
          </w:tcPr>
          <w:p w14:paraId="1781591E" w14:textId="77777777" w:rsidR="004C3BA7" w:rsidRPr="000D3AF3" w:rsidRDefault="004C3BA7" w:rsidP="00164E49">
            <w:pPr>
              <w:keepNext/>
              <w:rPr>
                <w:rFonts w:ascii="Arial Narrow" w:eastAsia="Calibri" w:hAnsi="Arial Narrow" w:cs="Arial"/>
                <w:sz w:val="20"/>
                <w:szCs w:val="20"/>
              </w:rPr>
            </w:pPr>
            <w:r w:rsidRPr="000D3AF3">
              <w:rPr>
                <w:rFonts w:ascii="Arial Narrow" w:eastAsia="Calibri" w:hAnsi="Arial Narrow" w:cs="Arial"/>
                <w:b/>
                <w:sz w:val="20"/>
                <w:szCs w:val="20"/>
              </w:rPr>
              <w:t xml:space="preserve">Category / Program:   </w:t>
            </w:r>
          </w:p>
          <w:p w14:paraId="584488A6" w14:textId="77777777" w:rsidR="004C3BA7" w:rsidRPr="000D3AF3" w:rsidRDefault="004C3BA7" w:rsidP="00164E49">
            <w:pPr>
              <w:keepNext/>
              <w:rPr>
                <w:rFonts w:ascii="Arial Narrow" w:eastAsia="Calibri" w:hAnsi="Arial Narrow" w:cs="Arial"/>
                <w:sz w:val="20"/>
                <w:szCs w:val="20"/>
              </w:rPr>
            </w:pPr>
            <w:r w:rsidRPr="000D3AF3">
              <w:rPr>
                <w:rFonts w:ascii="Arial Narrow" w:eastAsia="Calibri" w:hAnsi="Arial Narrow" w:cs="Arial"/>
                <w:sz w:val="20"/>
                <w:szCs w:val="20"/>
              </w:rPr>
              <w:t xml:space="preserve">GENERAL – General Schedule (Code GE) </w:t>
            </w:r>
          </w:p>
        </w:tc>
      </w:tr>
      <w:tr w:rsidR="004C3BA7" w:rsidRPr="000D3AF3" w14:paraId="4F6CC16C" w14:textId="77777777" w:rsidTr="004C3BA7">
        <w:trPr>
          <w:trHeight w:val="240"/>
        </w:trPr>
        <w:tc>
          <w:tcPr>
            <w:tcW w:w="5000" w:type="pct"/>
            <w:tcBorders>
              <w:top w:val="single" w:sz="4" w:space="0" w:color="auto"/>
              <w:left w:val="single" w:sz="4" w:space="0" w:color="auto"/>
              <w:bottom w:val="single" w:sz="4" w:space="0" w:color="auto"/>
              <w:right w:val="single" w:sz="4" w:space="0" w:color="auto"/>
            </w:tcBorders>
          </w:tcPr>
          <w:p w14:paraId="657833EC" w14:textId="6F5A2BCA" w:rsidR="004C3BA7" w:rsidRPr="000D3AF3" w:rsidRDefault="004C3BA7" w:rsidP="00164E49">
            <w:pPr>
              <w:keepNext/>
              <w:rPr>
                <w:rFonts w:ascii="Arial Narrow" w:eastAsia="Calibri" w:hAnsi="Arial Narrow" w:cs="Arial"/>
                <w:b/>
                <w:sz w:val="20"/>
                <w:szCs w:val="20"/>
              </w:rPr>
            </w:pPr>
            <w:r w:rsidRPr="000D3AF3">
              <w:rPr>
                <w:rFonts w:ascii="Arial Narrow" w:eastAsia="Calibri" w:hAnsi="Arial Narrow" w:cs="Arial"/>
                <w:b/>
                <w:sz w:val="20"/>
                <w:szCs w:val="20"/>
              </w:rPr>
              <w:t xml:space="preserve">Prescriber type:   </w:t>
            </w:r>
            <w:r w:rsidRPr="000D3AF3">
              <w:rPr>
                <w:rFonts w:ascii="Arial Narrow" w:eastAsia="Calibri" w:hAnsi="Arial Narrow" w:cs="Arial"/>
                <w:sz w:val="20"/>
                <w:szCs w:val="20"/>
              </w:rPr>
              <w:fldChar w:fldCharType="begin" w:fldLock="1">
                <w:ffData>
                  <w:name w:val=""/>
                  <w:enabled/>
                  <w:calcOnExit w:val="0"/>
                  <w:checkBox>
                    <w:sizeAuto/>
                    <w:default w:val="1"/>
                  </w:checkBox>
                </w:ffData>
              </w:fldChar>
            </w:r>
            <w:r w:rsidRPr="000D3AF3">
              <w:rPr>
                <w:rFonts w:ascii="Arial Narrow" w:eastAsia="Calibri" w:hAnsi="Arial Narrow" w:cs="Arial"/>
                <w:sz w:val="20"/>
                <w:szCs w:val="20"/>
              </w:rPr>
              <w:instrText xml:space="preserve"> FORMCHECKBOX </w:instrText>
            </w:r>
            <w:r w:rsidR="00E53C72">
              <w:rPr>
                <w:rFonts w:ascii="Arial Narrow" w:eastAsia="Calibri" w:hAnsi="Arial Narrow" w:cs="Arial"/>
                <w:sz w:val="20"/>
                <w:szCs w:val="20"/>
              </w:rPr>
            </w:r>
            <w:r w:rsidR="00E53C72">
              <w:rPr>
                <w:rFonts w:ascii="Arial Narrow" w:eastAsia="Calibri" w:hAnsi="Arial Narrow" w:cs="Arial"/>
                <w:sz w:val="20"/>
                <w:szCs w:val="20"/>
              </w:rPr>
              <w:fldChar w:fldCharType="separate"/>
            </w:r>
            <w:r w:rsidRPr="000D3AF3">
              <w:rPr>
                <w:rFonts w:ascii="Arial Narrow" w:eastAsia="Calibri" w:hAnsi="Arial Narrow" w:cs="Arial"/>
                <w:sz w:val="20"/>
                <w:szCs w:val="20"/>
              </w:rPr>
              <w:fldChar w:fldCharType="end"/>
            </w:r>
            <w:r w:rsidRPr="000D3AF3">
              <w:rPr>
                <w:rFonts w:ascii="Arial Narrow" w:eastAsia="Calibri" w:hAnsi="Arial Narrow" w:cs="Arial"/>
                <w:sz w:val="20"/>
                <w:szCs w:val="20"/>
              </w:rPr>
              <w:t>Medical Practitioners</w:t>
            </w:r>
          </w:p>
        </w:tc>
      </w:tr>
      <w:tr w:rsidR="004C3BA7" w:rsidRPr="000D3AF3" w14:paraId="4E1FC331" w14:textId="77777777" w:rsidTr="004C3BA7">
        <w:tc>
          <w:tcPr>
            <w:tcW w:w="5000" w:type="pct"/>
            <w:tcBorders>
              <w:top w:val="single" w:sz="4" w:space="0" w:color="auto"/>
              <w:left w:val="single" w:sz="4" w:space="0" w:color="auto"/>
              <w:bottom w:val="single" w:sz="4" w:space="0" w:color="auto"/>
              <w:right w:val="single" w:sz="4" w:space="0" w:color="auto"/>
            </w:tcBorders>
          </w:tcPr>
          <w:p w14:paraId="657ED78A" w14:textId="20118FB6" w:rsidR="004C3BA7" w:rsidRPr="000D3AF3" w:rsidRDefault="004C3BA7" w:rsidP="00164E49">
            <w:pPr>
              <w:rPr>
                <w:rFonts w:ascii="Arial Narrow" w:eastAsia="Calibri" w:hAnsi="Arial Narrow" w:cs="Arial"/>
                <w:sz w:val="20"/>
                <w:szCs w:val="20"/>
              </w:rPr>
            </w:pPr>
            <w:r w:rsidRPr="000D3AF3">
              <w:rPr>
                <w:rFonts w:ascii="Arial Narrow" w:eastAsia="Calibri" w:hAnsi="Arial Narrow" w:cs="Arial"/>
                <w:b/>
                <w:sz w:val="20"/>
                <w:szCs w:val="20"/>
              </w:rPr>
              <w:t>Restriction Type</w:t>
            </w:r>
            <w:r w:rsidR="00F639C3">
              <w:rPr>
                <w:rFonts w:ascii="Arial Narrow" w:eastAsia="Calibri" w:hAnsi="Arial Narrow" w:cs="Arial"/>
                <w:b/>
                <w:sz w:val="20"/>
                <w:szCs w:val="20"/>
              </w:rPr>
              <w:t>:</w:t>
            </w:r>
            <w:r w:rsidRPr="000D3AF3">
              <w:rPr>
                <w:rFonts w:ascii="Arial Narrow" w:eastAsia="Calibri" w:hAnsi="Arial Narrow" w:cs="Arial"/>
                <w:b/>
                <w:sz w:val="20"/>
                <w:szCs w:val="20"/>
              </w:rPr>
              <w:t xml:space="preserve"> </w:t>
            </w:r>
            <w:r w:rsidRPr="000D3AF3">
              <w:rPr>
                <w:rFonts w:ascii="Arial Narrow" w:eastAsia="Calibri" w:hAnsi="Arial Narrow" w:cs="Arial"/>
                <w:sz w:val="20"/>
                <w:szCs w:val="20"/>
              </w:rPr>
              <w:fldChar w:fldCharType="begin" w:fldLock="1">
                <w:ffData>
                  <w:name w:val=""/>
                  <w:enabled/>
                  <w:calcOnExit w:val="0"/>
                  <w:checkBox>
                    <w:sizeAuto/>
                    <w:default w:val="1"/>
                  </w:checkBox>
                </w:ffData>
              </w:fldChar>
            </w:r>
            <w:r w:rsidRPr="000D3AF3">
              <w:rPr>
                <w:rFonts w:ascii="Arial Narrow" w:eastAsia="Calibri" w:hAnsi="Arial Narrow" w:cs="Arial"/>
                <w:sz w:val="20"/>
                <w:szCs w:val="20"/>
              </w:rPr>
              <w:instrText xml:space="preserve"> FORMCHECKBOX </w:instrText>
            </w:r>
            <w:r w:rsidR="00E53C72">
              <w:rPr>
                <w:rFonts w:ascii="Arial Narrow" w:eastAsia="Calibri" w:hAnsi="Arial Narrow" w:cs="Arial"/>
                <w:sz w:val="20"/>
                <w:szCs w:val="20"/>
              </w:rPr>
            </w:r>
            <w:r w:rsidR="00E53C72">
              <w:rPr>
                <w:rFonts w:ascii="Arial Narrow" w:eastAsia="Calibri" w:hAnsi="Arial Narrow" w:cs="Arial"/>
                <w:sz w:val="20"/>
                <w:szCs w:val="20"/>
              </w:rPr>
              <w:fldChar w:fldCharType="separate"/>
            </w:r>
            <w:r w:rsidRPr="000D3AF3">
              <w:rPr>
                <w:rFonts w:ascii="Arial Narrow" w:eastAsia="Calibri" w:hAnsi="Arial Narrow" w:cs="Arial"/>
                <w:sz w:val="20"/>
                <w:szCs w:val="20"/>
              </w:rPr>
              <w:fldChar w:fldCharType="end"/>
            </w:r>
            <w:r w:rsidRPr="000D3AF3">
              <w:rPr>
                <w:rFonts w:ascii="Arial Narrow" w:eastAsia="Calibri" w:hAnsi="Arial Narrow" w:cs="Arial"/>
                <w:sz w:val="20"/>
                <w:szCs w:val="20"/>
              </w:rPr>
              <w:t>Authority Required – immediate/real time assessment by Services Australia (telephone/online application avenues)</w:t>
            </w:r>
          </w:p>
        </w:tc>
      </w:tr>
      <w:tr w:rsidR="004C3BA7" w:rsidRPr="000D3AF3" w14:paraId="0657134C" w14:textId="77777777" w:rsidTr="004C3BA7">
        <w:tc>
          <w:tcPr>
            <w:tcW w:w="5000" w:type="pct"/>
            <w:vAlign w:val="center"/>
          </w:tcPr>
          <w:p w14:paraId="78844BA6" w14:textId="5CC30B76" w:rsidR="004C3BA7" w:rsidRPr="000D3AF3" w:rsidRDefault="004C3BA7" w:rsidP="00164E49">
            <w:pPr>
              <w:jc w:val="left"/>
              <w:rPr>
                <w:rFonts w:ascii="Arial Narrow" w:hAnsi="Arial Narrow"/>
                <w:color w:val="333333"/>
                <w:sz w:val="20"/>
                <w:szCs w:val="20"/>
              </w:rPr>
            </w:pPr>
            <w:r w:rsidRPr="000D3AF3">
              <w:rPr>
                <w:rFonts w:ascii="Arial Narrow" w:hAnsi="Arial Narrow"/>
                <w:b/>
                <w:bCs/>
                <w:color w:val="333333"/>
                <w:sz w:val="20"/>
                <w:szCs w:val="20"/>
              </w:rPr>
              <w:t>Administrative Advice:</w:t>
            </w:r>
            <w:r w:rsidR="002C524F">
              <w:rPr>
                <w:rFonts w:ascii="Arial Narrow" w:hAnsi="Arial Narrow"/>
                <w:color w:val="333333"/>
                <w:sz w:val="20"/>
                <w:szCs w:val="20"/>
              </w:rPr>
              <w:t xml:space="preserve"> </w:t>
            </w:r>
            <w:r w:rsidRPr="000D3AF3">
              <w:rPr>
                <w:rFonts w:ascii="Arial Narrow" w:hAnsi="Arial Narrow"/>
                <w:color w:val="333333"/>
                <w:sz w:val="20"/>
                <w:szCs w:val="20"/>
              </w:rPr>
              <w:t>Special Pricing Arrangements apply</w:t>
            </w:r>
          </w:p>
        </w:tc>
      </w:tr>
      <w:tr w:rsidR="004C3BA7" w:rsidRPr="000D3AF3" w14:paraId="7D0D5816" w14:textId="77777777" w:rsidTr="004C3BA7">
        <w:tc>
          <w:tcPr>
            <w:tcW w:w="5000" w:type="pct"/>
            <w:vAlign w:val="center"/>
          </w:tcPr>
          <w:p w14:paraId="77A7D7C3" w14:textId="77777777" w:rsidR="004C3BA7" w:rsidRPr="000D3AF3" w:rsidRDefault="004C3BA7" w:rsidP="00164E49">
            <w:pPr>
              <w:jc w:val="left"/>
              <w:rPr>
                <w:rFonts w:ascii="Arial Narrow" w:hAnsi="Arial Narrow"/>
                <w:bCs/>
                <w:color w:val="333333"/>
                <w:sz w:val="20"/>
                <w:szCs w:val="20"/>
              </w:rPr>
            </w:pPr>
            <w:r w:rsidRPr="000D3AF3">
              <w:rPr>
                <w:rFonts w:ascii="Arial Narrow" w:hAnsi="Arial Narrow"/>
                <w:b/>
                <w:bCs/>
                <w:color w:val="333333"/>
                <w:sz w:val="20"/>
                <w:szCs w:val="20"/>
              </w:rPr>
              <w:t xml:space="preserve">Episodicity: </w:t>
            </w:r>
            <w:r w:rsidRPr="000D3AF3">
              <w:rPr>
                <w:rFonts w:ascii="Arial Narrow" w:hAnsi="Arial Narrow"/>
                <w:bCs/>
                <w:color w:val="333333"/>
                <w:sz w:val="20"/>
                <w:szCs w:val="20"/>
              </w:rPr>
              <w:t>Chronic</w:t>
            </w:r>
          </w:p>
        </w:tc>
      </w:tr>
      <w:tr w:rsidR="004C3BA7" w:rsidRPr="000D3AF3" w14:paraId="6987D015" w14:textId="77777777" w:rsidTr="004C3BA7">
        <w:tc>
          <w:tcPr>
            <w:tcW w:w="5000" w:type="pct"/>
            <w:vAlign w:val="center"/>
          </w:tcPr>
          <w:p w14:paraId="26641BB6" w14:textId="40CCC966" w:rsidR="004C3BA7" w:rsidRPr="000D3AF3" w:rsidRDefault="004C3BA7" w:rsidP="00164E49">
            <w:pPr>
              <w:jc w:val="left"/>
              <w:rPr>
                <w:rFonts w:ascii="Arial Narrow" w:hAnsi="Arial Narrow"/>
                <w:b/>
                <w:bCs/>
                <w:color w:val="333333"/>
                <w:sz w:val="20"/>
                <w:szCs w:val="20"/>
              </w:rPr>
            </w:pPr>
            <w:r w:rsidRPr="000D3AF3">
              <w:rPr>
                <w:rFonts w:ascii="Arial Narrow" w:hAnsi="Arial Narrow"/>
                <w:b/>
                <w:bCs/>
                <w:color w:val="333333"/>
                <w:sz w:val="20"/>
                <w:szCs w:val="20"/>
              </w:rPr>
              <w:t xml:space="preserve">Condition: </w:t>
            </w:r>
            <w:r w:rsidRPr="00375723">
              <w:rPr>
                <w:rFonts w:ascii="Arial Narrow" w:hAnsi="Arial Narrow"/>
                <w:bCs/>
                <w:color w:val="333333"/>
                <w:sz w:val="20"/>
                <w:szCs w:val="20"/>
              </w:rPr>
              <w:t>Chronic</w:t>
            </w:r>
            <w:r w:rsidRPr="000D3AF3">
              <w:rPr>
                <w:rFonts w:ascii="Arial Narrow" w:hAnsi="Arial Narrow"/>
                <w:bCs/>
                <w:color w:val="333333"/>
                <w:sz w:val="20"/>
                <w:szCs w:val="20"/>
              </w:rPr>
              <w:t xml:space="preserve"> myeloid leukaemia</w:t>
            </w:r>
          </w:p>
        </w:tc>
      </w:tr>
      <w:tr w:rsidR="004C3BA7" w:rsidRPr="000D3AF3" w14:paraId="1FB85BB2" w14:textId="77777777" w:rsidTr="004C3BA7">
        <w:tc>
          <w:tcPr>
            <w:tcW w:w="5000" w:type="pct"/>
            <w:vAlign w:val="center"/>
            <w:hideMark/>
          </w:tcPr>
          <w:p w14:paraId="39A23AD9"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b/>
                <w:bCs/>
                <w:color w:val="333333"/>
                <w:sz w:val="20"/>
                <w:szCs w:val="20"/>
              </w:rPr>
              <w:t>Indication:</w:t>
            </w:r>
            <w:r w:rsidRPr="000D3AF3">
              <w:rPr>
                <w:rFonts w:ascii="Arial Narrow" w:hAnsi="Arial Narrow"/>
                <w:color w:val="333333"/>
                <w:sz w:val="20"/>
                <w:szCs w:val="20"/>
              </w:rPr>
              <w:t xml:space="preserve"> Chronic myeloid leukaemia</w:t>
            </w:r>
          </w:p>
        </w:tc>
      </w:tr>
      <w:tr w:rsidR="004C3BA7" w:rsidRPr="000D3AF3" w14:paraId="5F1A1642" w14:textId="77777777" w:rsidTr="004C3BA7">
        <w:tc>
          <w:tcPr>
            <w:tcW w:w="5000" w:type="pct"/>
            <w:vAlign w:val="center"/>
            <w:hideMark/>
          </w:tcPr>
          <w:p w14:paraId="38242E89" w14:textId="1DBF6016" w:rsidR="004C3BA7" w:rsidRPr="000D3AF3" w:rsidRDefault="004C3BA7" w:rsidP="00164E49">
            <w:pPr>
              <w:jc w:val="left"/>
              <w:rPr>
                <w:rFonts w:ascii="Arial Narrow" w:hAnsi="Arial Narrow"/>
                <w:color w:val="333333"/>
                <w:sz w:val="20"/>
                <w:szCs w:val="20"/>
              </w:rPr>
            </w:pPr>
            <w:r w:rsidRPr="000D3AF3">
              <w:rPr>
                <w:rFonts w:ascii="Arial Narrow" w:hAnsi="Arial Narrow"/>
                <w:b/>
                <w:bCs/>
                <w:color w:val="333333"/>
                <w:sz w:val="20"/>
                <w:szCs w:val="20"/>
              </w:rPr>
              <w:t>Treatment Phase:</w:t>
            </w:r>
            <w:r w:rsidRPr="000D3AF3">
              <w:rPr>
                <w:rFonts w:ascii="Arial Narrow" w:hAnsi="Arial Narrow"/>
                <w:color w:val="333333"/>
                <w:sz w:val="20"/>
                <w:szCs w:val="20"/>
              </w:rPr>
              <w:t xml:space="preserve"> Initial treatment</w:t>
            </w:r>
          </w:p>
        </w:tc>
      </w:tr>
      <w:tr w:rsidR="004C3BA7" w:rsidRPr="000D3AF3" w14:paraId="2E52346B" w14:textId="77777777" w:rsidTr="004C3BA7">
        <w:tc>
          <w:tcPr>
            <w:tcW w:w="5000" w:type="pct"/>
            <w:vAlign w:val="center"/>
            <w:hideMark/>
          </w:tcPr>
          <w:p w14:paraId="1E57EE00"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b/>
                <w:bCs/>
                <w:color w:val="333333"/>
                <w:sz w:val="20"/>
                <w:szCs w:val="20"/>
              </w:rPr>
              <w:t>Clinical criteria:</w:t>
            </w:r>
          </w:p>
        </w:tc>
      </w:tr>
      <w:tr w:rsidR="004C3BA7" w:rsidRPr="000D3AF3" w14:paraId="37431896" w14:textId="77777777" w:rsidTr="004C3BA7">
        <w:tc>
          <w:tcPr>
            <w:tcW w:w="5000" w:type="pct"/>
            <w:vAlign w:val="center"/>
            <w:hideMark/>
          </w:tcPr>
          <w:p w14:paraId="152493B4"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color w:val="333333"/>
                <w:sz w:val="20"/>
                <w:szCs w:val="20"/>
              </w:rPr>
              <w:t>The treatment must be the sole PBS-subsidised therapy for this condition</w:t>
            </w:r>
          </w:p>
        </w:tc>
      </w:tr>
      <w:tr w:rsidR="004C3BA7" w:rsidRPr="000D3AF3" w14:paraId="69C3CBB5" w14:textId="77777777" w:rsidTr="004C3BA7">
        <w:tc>
          <w:tcPr>
            <w:tcW w:w="5000" w:type="pct"/>
            <w:vAlign w:val="center"/>
            <w:hideMark/>
          </w:tcPr>
          <w:p w14:paraId="0B201B4B"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b/>
                <w:bCs/>
                <w:color w:val="333333"/>
                <w:sz w:val="20"/>
                <w:szCs w:val="20"/>
              </w:rPr>
              <w:t>AND</w:t>
            </w:r>
          </w:p>
        </w:tc>
      </w:tr>
      <w:tr w:rsidR="004C3BA7" w:rsidRPr="000D3AF3" w14:paraId="0B6DDEC7" w14:textId="77777777" w:rsidTr="004C3BA7">
        <w:tc>
          <w:tcPr>
            <w:tcW w:w="5000" w:type="pct"/>
            <w:vAlign w:val="center"/>
            <w:hideMark/>
          </w:tcPr>
          <w:p w14:paraId="15F5A2A9"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b/>
                <w:bCs/>
                <w:color w:val="333333"/>
                <w:sz w:val="20"/>
                <w:szCs w:val="20"/>
              </w:rPr>
              <w:t>Clinical criteria:</w:t>
            </w:r>
          </w:p>
        </w:tc>
      </w:tr>
      <w:tr w:rsidR="004C3BA7" w:rsidRPr="000D3AF3" w14:paraId="56751247" w14:textId="77777777" w:rsidTr="004C3BA7">
        <w:tc>
          <w:tcPr>
            <w:tcW w:w="5000" w:type="pct"/>
            <w:vAlign w:val="center"/>
            <w:hideMark/>
          </w:tcPr>
          <w:p w14:paraId="7FCC2A06" w14:textId="10E3BC7C" w:rsidR="004A7BE4" w:rsidRPr="004A7BE4" w:rsidRDefault="004C3BA7" w:rsidP="00164E49">
            <w:pPr>
              <w:jc w:val="left"/>
              <w:rPr>
                <w:rFonts w:ascii="Arial Narrow" w:hAnsi="Arial Narrow"/>
                <w:color w:val="333333"/>
                <w:sz w:val="20"/>
                <w:szCs w:val="20"/>
              </w:rPr>
            </w:pPr>
            <w:r w:rsidRPr="004A7BE4">
              <w:rPr>
                <w:rFonts w:ascii="Arial Narrow" w:hAnsi="Arial Narrow"/>
                <w:color w:val="333333"/>
                <w:sz w:val="20"/>
                <w:szCs w:val="20"/>
              </w:rPr>
              <w:t>The condition must be in the chronic phase</w:t>
            </w:r>
          </w:p>
        </w:tc>
      </w:tr>
      <w:tr w:rsidR="004C3BA7" w:rsidRPr="000D3AF3" w14:paraId="21D929B3" w14:textId="77777777" w:rsidTr="004C3BA7">
        <w:tc>
          <w:tcPr>
            <w:tcW w:w="5000" w:type="pct"/>
            <w:vAlign w:val="center"/>
            <w:hideMark/>
          </w:tcPr>
          <w:p w14:paraId="2E9B9613"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b/>
                <w:bCs/>
                <w:color w:val="333333"/>
                <w:sz w:val="20"/>
                <w:szCs w:val="20"/>
              </w:rPr>
              <w:t>AND</w:t>
            </w:r>
          </w:p>
        </w:tc>
      </w:tr>
      <w:tr w:rsidR="004C3BA7" w:rsidRPr="000D3AF3" w14:paraId="0C142C41" w14:textId="77777777" w:rsidTr="004C3BA7">
        <w:tc>
          <w:tcPr>
            <w:tcW w:w="5000" w:type="pct"/>
            <w:vAlign w:val="center"/>
            <w:hideMark/>
          </w:tcPr>
          <w:p w14:paraId="583F3654"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b/>
                <w:bCs/>
                <w:color w:val="333333"/>
                <w:sz w:val="20"/>
                <w:szCs w:val="20"/>
              </w:rPr>
              <w:t>Clinical criteria:</w:t>
            </w:r>
          </w:p>
        </w:tc>
      </w:tr>
      <w:tr w:rsidR="004C3BA7" w:rsidRPr="000D3AF3" w14:paraId="7ABA9C47" w14:textId="77777777" w:rsidTr="004C3BA7">
        <w:tc>
          <w:tcPr>
            <w:tcW w:w="5000" w:type="pct"/>
            <w:vAlign w:val="center"/>
            <w:hideMark/>
          </w:tcPr>
          <w:p w14:paraId="7CD10BB2" w14:textId="158FD671" w:rsidR="004C3BA7" w:rsidRPr="00EA5994" w:rsidRDefault="004C3BA7" w:rsidP="00164E49">
            <w:pPr>
              <w:jc w:val="left"/>
              <w:rPr>
                <w:rFonts w:ascii="Arial Narrow" w:hAnsi="Arial Narrow"/>
                <w:color w:val="333333"/>
                <w:sz w:val="20"/>
                <w:szCs w:val="20"/>
              </w:rPr>
            </w:pPr>
            <w:bookmarkStart w:id="8" w:name="_Hlk118728655"/>
            <w:r w:rsidRPr="00375723">
              <w:rPr>
                <w:rFonts w:ascii="Arial Narrow" w:hAnsi="Arial Narrow"/>
                <w:color w:val="333333"/>
                <w:sz w:val="20"/>
                <w:szCs w:val="20"/>
              </w:rPr>
              <w:t>Patient must be expressing the T315I mutation confirmed through a bone marrow biopsy pathology report</w:t>
            </w:r>
            <w:bookmarkEnd w:id="8"/>
          </w:p>
        </w:tc>
      </w:tr>
      <w:tr w:rsidR="004C3BA7" w:rsidRPr="000D3AF3" w14:paraId="625A2685" w14:textId="77777777" w:rsidTr="004C3BA7">
        <w:tc>
          <w:tcPr>
            <w:tcW w:w="5000" w:type="pct"/>
            <w:vAlign w:val="center"/>
          </w:tcPr>
          <w:p w14:paraId="7AB73ADD"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b/>
                <w:bCs/>
                <w:color w:val="333333"/>
                <w:sz w:val="20"/>
                <w:szCs w:val="20"/>
              </w:rPr>
              <w:t>AND</w:t>
            </w:r>
          </w:p>
        </w:tc>
      </w:tr>
      <w:tr w:rsidR="004C3BA7" w:rsidRPr="000D3AF3" w14:paraId="30BFFEDB" w14:textId="77777777" w:rsidTr="004C3BA7">
        <w:tc>
          <w:tcPr>
            <w:tcW w:w="5000" w:type="pct"/>
            <w:vAlign w:val="center"/>
          </w:tcPr>
          <w:p w14:paraId="7824A44C"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b/>
                <w:bCs/>
                <w:color w:val="333333"/>
                <w:sz w:val="20"/>
                <w:szCs w:val="20"/>
              </w:rPr>
              <w:t>Clinical criteria:</w:t>
            </w:r>
          </w:p>
        </w:tc>
      </w:tr>
      <w:tr w:rsidR="00375723" w:rsidRPr="000D3AF3" w14:paraId="68436F9C" w14:textId="77777777" w:rsidTr="00EA5994">
        <w:tc>
          <w:tcPr>
            <w:tcW w:w="5000" w:type="pct"/>
            <w:vAlign w:val="center"/>
          </w:tcPr>
          <w:p w14:paraId="489070C7" w14:textId="0FC2FE8A" w:rsidR="00375723" w:rsidRPr="00EA5994" w:rsidRDefault="00375723" w:rsidP="00375723">
            <w:pPr>
              <w:jc w:val="left"/>
              <w:rPr>
                <w:rFonts w:ascii="Arial Narrow" w:hAnsi="Arial Narrow"/>
                <w:color w:val="333333"/>
                <w:sz w:val="20"/>
                <w:szCs w:val="20"/>
              </w:rPr>
            </w:pPr>
            <w:r w:rsidRPr="00EA5994">
              <w:rPr>
                <w:rFonts w:ascii="Arial Narrow" w:hAnsi="Arial Narrow"/>
                <w:color w:val="333333"/>
                <w:sz w:val="20"/>
                <w:szCs w:val="20"/>
              </w:rPr>
              <w:t xml:space="preserve">Patient must have failed an adequate trial of imatinib, dasatinib or nilotinib </w:t>
            </w:r>
            <w:r w:rsidRPr="00375723">
              <w:rPr>
                <w:rFonts w:ascii="Arial Narrow" w:hAnsi="Arial Narrow"/>
                <w:i/>
                <w:iCs/>
                <w:color w:val="333333"/>
                <w:sz w:val="20"/>
                <w:szCs w:val="20"/>
              </w:rPr>
              <w:t>confirmed through a pathology report from an Approved Pathology Authority</w:t>
            </w:r>
          </w:p>
        </w:tc>
      </w:tr>
      <w:tr w:rsidR="004C3BA7" w:rsidRPr="000D3AF3" w14:paraId="4D83CEDB" w14:textId="77777777" w:rsidTr="004C3BA7">
        <w:tc>
          <w:tcPr>
            <w:tcW w:w="5000" w:type="pct"/>
            <w:vAlign w:val="center"/>
            <w:hideMark/>
          </w:tcPr>
          <w:p w14:paraId="61000D0F"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b/>
                <w:bCs/>
                <w:color w:val="333333"/>
                <w:sz w:val="20"/>
                <w:szCs w:val="20"/>
              </w:rPr>
              <w:t>Prescribing Instructions:</w:t>
            </w:r>
            <w:r w:rsidRPr="000D3AF3">
              <w:rPr>
                <w:rFonts w:ascii="Arial Narrow" w:hAnsi="Arial Narrow"/>
                <w:color w:val="333333"/>
                <w:sz w:val="20"/>
                <w:szCs w:val="20"/>
              </w:rPr>
              <w:t xml:space="preserve"> </w:t>
            </w:r>
          </w:p>
          <w:p w14:paraId="5A01D044"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color w:val="333333"/>
                <w:sz w:val="20"/>
                <w:szCs w:val="20"/>
              </w:rPr>
              <w:t xml:space="preserve">Prescribing Instructions: </w:t>
            </w:r>
          </w:p>
          <w:p w14:paraId="129F960D"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color w:val="333333"/>
                <w:sz w:val="20"/>
                <w:szCs w:val="20"/>
              </w:rPr>
              <w:t>Failure of an adequate trial of a tyrosine kinase inhibitor is defined as:</w:t>
            </w:r>
          </w:p>
          <w:p w14:paraId="0F4C1FEE"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color w:val="333333"/>
                <w:sz w:val="20"/>
                <w:szCs w:val="20"/>
              </w:rPr>
              <w:t>1. Lack of response defined as either:</w:t>
            </w:r>
          </w:p>
          <w:p w14:paraId="7671B191"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color w:val="333333"/>
                <w:sz w:val="20"/>
                <w:szCs w:val="20"/>
              </w:rPr>
              <w:t>(i) failure to achieve a haematological response after a minimum of 3 months therapy; or</w:t>
            </w:r>
          </w:p>
          <w:p w14:paraId="02B60C27"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color w:val="333333"/>
                <w:sz w:val="20"/>
                <w:szCs w:val="20"/>
              </w:rPr>
              <w:t>(ii) failure to achieve any cytogenetic response after a minimum of 6 months therapy as demonstrated on bone marrow biopsy by presence of greater than 95% Philadelphia chromosome positive cells; or</w:t>
            </w:r>
          </w:p>
          <w:p w14:paraId="1CFCED0A"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color w:val="333333"/>
                <w:sz w:val="20"/>
                <w:szCs w:val="20"/>
              </w:rPr>
              <w:t>(iii) failure to achieve or maintain a major cytogenetic response or a peripheral blood BCR-ABL level of less than 1% after a minimum of 12 months therapy; OR</w:t>
            </w:r>
          </w:p>
          <w:p w14:paraId="2E1E6D4E" w14:textId="77777777" w:rsidR="004C3BA7" w:rsidRPr="000D3AF3" w:rsidRDefault="004C3BA7" w:rsidP="00164E49">
            <w:pPr>
              <w:jc w:val="left"/>
              <w:rPr>
                <w:rFonts w:ascii="Arial Narrow" w:hAnsi="Arial Narrow"/>
                <w:color w:val="333333"/>
                <w:sz w:val="20"/>
                <w:szCs w:val="20"/>
              </w:rPr>
            </w:pPr>
          </w:p>
          <w:p w14:paraId="60541D8E"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color w:val="333333"/>
                <w:sz w:val="20"/>
                <w:szCs w:val="20"/>
              </w:rPr>
              <w:t>2. Loss of a previously documented major cytogenetic response (demonstrated by the presence of greater than 35% Ph positive cells on bone marrow biopsy), during ongoing tyrosine kinase inhibitor (TKI) therapy; OR</w:t>
            </w:r>
          </w:p>
          <w:p w14:paraId="15FEB0B9" w14:textId="77777777" w:rsidR="004C3BA7" w:rsidRPr="000D3AF3" w:rsidRDefault="004C3BA7" w:rsidP="00164E49">
            <w:pPr>
              <w:jc w:val="left"/>
              <w:rPr>
                <w:rFonts w:ascii="Arial Narrow" w:hAnsi="Arial Narrow"/>
                <w:color w:val="333333"/>
                <w:sz w:val="20"/>
                <w:szCs w:val="20"/>
              </w:rPr>
            </w:pPr>
          </w:p>
          <w:p w14:paraId="66CE5E67" w14:textId="77777777" w:rsidR="004C3BA7" w:rsidRPr="000D3AF3" w:rsidRDefault="004C3BA7" w:rsidP="00164E49">
            <w:pPr>
              <w:jc w:val="left"/>
              <w:rPr>
                <w:rFonts w:ascii="Arial Narrow" w:hAnsi="Arial Narrow"/>
                <w:color w:val="333333"/>
                <w:sz w:val="20"/>
                <w:szCs w:val="20"/>
              </w:rPr>
            </w:pPr>
            <w:r w:rsidRPr="000D3AF3">
              <w:rPr>
                <w:rFonts w:ascii="Arial Narrow" w:hAnsi="Arial Narrow"/>
                <w:color w:val="333333"/>
                <w:sz w:val="20"/>
                <w:szCs w:val="20"/>
              </w:rPr>
              <w:t>3. Loss of a previously demonstrated molecular response (demonstrated by peripheral blood BCR-ABL levels increasing consecutively in value by at least 5 fold to a level of greater than 0.1% confirmed on a subsequent test), during ongoing tyrosine kinase inhibitor (TKI) therapy; OR</w:t>
            </w:r>
          </w:p>
          <w:p w14:paraId="16089446" w14:textId="77777777" w:rsidR="004C3BA7" w:rsidRPr="000D3AF3" w:rsidRDefault="004C3BA7" w:rsidP="00164E49">
            <w:pPr>
              <w:jc w:val="left"/>
              <w:rPr>
                <w:rFonts w:ascii="Arial Narrow" w:hAnsi="Arial Narrow"/>
                <w:color w:val="333333"/>
                <w:sz w:val="20"/>
                <w:szCs w:val="20"/>
              </w:rPr>
            </w:pPr>
          </w:p>
          <w:p w14:paraId="622D08C2" w14:textId="77777777" w:rsidR="004C3BA7" w:rsidRPr="004A7BE4" w:rsidRDefault="004C3BA7" w:rsidP="00164E49">
            <w:pPr>
              <w:jc w:val="left"/>
              <w:rPr>
                <w:rFonts w:ascii="Arial Narrow" w:hAnsi="Arial Narrow"/>
                <w:color w:val="333333"/>
                <w:sz w:val="20"/>
                <w:szCs w:val="20"/>
              </w:rPr>
            </w:pPr>
            <w:r w:rsidRPr="000D3AF3">
              <w:rPr>
                <w:rFonts w:ascii="Arial Narrow" w:hAnsi="Arial Narrow"/>
                <w:color w:val="333333"/>
                <w:sz w:val="20"/>
                <w:szCs w:val="20"/>
              </w:rPr>
              <w:t>4</w:t>
            </w:r>
            <w:r w:rsidRPr="004A7BE4">
              <w:rPr>
                <w:rFonts w:ascii="Arial Narrow" w:hAnsi="Arial Narrow"/>
                <w:color w:val="333333"/>
                <w:sz w:val="20"/>
                <w:szCs w:val="20"/>
              </w:rPr>
              <w:t>. Development of accelerated phase or blast crisis in a patient previously prescribed a tyrosine kinase inhibitor for any phase of chronic myeloid leukaemia; OR</w:t>
            </w:r>
          </w:p>
          <w:p w14:paraId="74B5F7AE" w14:textId="77777777" w:rsidR="004C3BA7" w:rsidRPr="004A7BE4" w:rsidRDefault="004C3BA7" w:rsidP="00164E49">
            <w:pPr>
              <w:jc w:val="left"/>
              <w:rPr>
                <w:rFonts w:ascii="Arial Narrow" w:hAnsi="Arial Narrow"/>
                <w:color w:val="333333"/>
                <w:sz w:val="20"/>
                <w:szCs w:val="20"/>
              </w:rPr>
            </w:pPr>
          </w:p>
          <w:p w14:paraId="03EBBC0F" w14:textId="77777777" w:rsidR="004C3BA7" w:rsidRPr="004A7BE4" w:rsidRDefault="004C3BA7" w:rsidP="00164E49">
            <w:pPr>
              <w:jc w:val="left"/>
              <w:rPr>
                <w:rFonts w:ascii="Arial Narrow" w:hAnsi="Arial Narrow"/>
                <w:color w:val="333333"/>
                <w:sz w:val="20"/>
                <w:szCs w:val="20"/>
              </w:rPr>
            </w:pPr>
            <w:r w:rsidRPr="004A7BE4">
              <w:rPr>
                <w:rFonts w:ascii="Arial Narrow" w:hAnsi="Arial Narrow"/>
                <w:color w:val="333333"/>
                <w:sz w:val="20"/>
                <w:szCs w:val="20"/>
              </w:rPr>
              <w:t xml:space="preserve">Accelerated phase is defined by the presence of 1 or more of the following: </w:t>
            </w:r>
          </w:p>
          <w:p w14:paraId="059A4A05" w14:textId="77777777" w:rsidR="004C3BA7" w:rsidRPr="004A7BE4" w:rsidRDefault="004C3BA7" w:rsidP="00164E49">
            <w:pPr>
              <w:jc w:val="left"/>
              <w:rPr>
                <w:rFonts w:ascii="Arial Narrow" w:hAnsi="Arial Narrow"/>
                <w:color w:val="333333"/>
                <w:sz w:val="20"/>
                <w:szCs w:val="20"/>
              </w:rPr>
            </w:pPr>
            <w:r w:rsidRPr="004A7BE4">
              <w:rPr>
                <w:rFonts w:ascii="Arial Narrow" w:hAnsi="Arial Narrow"/>
                <w:color w:val="333333"/>
                <w:sz w:val="20"/>
                <w:szCs w:val="20"/>
              </w:rPr>
              <w:t>1. Percentage of blasts in the peripheral blood or bone marrow greater than or equal to 15% but less than 30%; or</w:t>
            </w:r>
          </w:p>
          <w:p w14:paraId="0B1648A2" w14:textId="77777777" w:rsidR="004C3BA7" w:rsidRPr="004A7BE4" w:rsidRDefault="004C3BA7" w:rsidP="00164E49">
            <w:pPr>
              <w:jc w:val="left"/>
              <w:rPr>
                <w:rFonts w:ascii="Arial Narrow" w:hAnsi="Arial Narrow"/>
                <w:color w:val="333333"/>
                <w:sz w:val="20"/>
                <w:szCs w:val="20"/>
              </w:rPr>
            </w:pPr>
          </w:p>
          <w:p w14:paraId="70ED25C5" w14:textId="77777777" w:rsidR="004C3BA7" w:rsidRPr="004A7BE4" w:rsidRDefault="004C3BA7" w:rsidP="00164E49">
            <w:pPr>
              <w:jc w:val="left"/>
              <w:rPr>
                <w:rFonts w:ascii="Arial Narrow" w:hAnsi="Arial Narrow"/>
                <w:color w:val="333333"/>
                <w:sz w:val="20"/>
                <w:szCs w:val="20"/>
              </w:rPr>
            </w:pPr>
            <w:r w:rsidRPr="004A7BE4">
              <w:rPr>
                <w:rFonts w:ascii="Arial Narrow" w:hAnsi="Arial Narrow"/>
                <w:color w:val="333333"/>
                <w:sz w:val="20"/>
                <w:szCs w:val="20"/>
              </w:rPr>
              <w:t>2. Percentage of blasts plus promyelocytes in the peripheral blood or bone marrow greater than or equal to 30%, provided that blast count is less than 30%; or</w:t>
            </w:r>
          </w:p>
          <w:p w14:paraId="54CEFC3D" w14:textId="77777777" w:rsidR="004C3BA7" w:rsidRPr="004A7BE4" w:rsidRDefault="004C3BA7" w:rsidP="00164E49">
            <w:pPr>
              <w:jc w:val="left"/>
              <w:rPr>
                <w:rFonts w:ascii="Arial Narrow" w:hAnsi="Arial Narrow"/>
                <w:color w:val="333333"/>
                <w:sz w:val="20"/>
                <w:szCs w:val="20"/>
              </w:rPr>
            </w:pPr>
          </w:p>
          <w:p w14:paraId="23AF8BCD" w14:textId="77777777" w:rsidR="004C3BA7" w:rsidRPr="004A7BE4" w:rsidRDefault="004C3BA7" w:rsidP="00164E49">
            <w:pPr>
              <w:jc w:val="left"/>
              <w:rPr>
                <w:rFonts w:ascii="Arial Narrow" w:hAnsi="Arial Narrow"/>
                <w:color w:val="333333"/>
                <w:sz w:val="20"/>
                <w:szCs w:val="20"/>
              </w:rPr>
            </w:pPr>
            <w:r w:rsidRPr="004A7BE4">
              <w:rPr>
                <w:rFonts w:ascii="Arial Narrow" w:hAnsi="Arial Narrow"/>
                <w:color w:val="333333"/>
                <w:sz w:val="20"/>
                <w:szCs w:val="20"/>
              </w:rPr>
              <w:t>3. Peripheral basophils greater than or equal to 20%; or</w:t>
            </w:r>
          </w:p>
          <w:p w14:paraId="2092F092" w14:textId="77777777" w:rsidR="004C3BA7" w:rsidRPr="004A7BE4" w:rsidRDefault="004C3BA7" w:rsidP="00164E49">
            <w:pPr>
              <w:jc w:val="left"/>
              <w:rPr>
                <w:rFonts w:ascii="Arial Narrow" w:hAnsi="Arial Narrow"/>
                <w:color w:val="333333"/>
                <w:sz w:val="20"/>
                <w:szCs w:val="20"/>
              </w:rPr>
            </w:pPr>
          </w:p>
          <w:p w14:paraId="4023D440" w14:textId="77777777" w:rsidR="004C3BA7" w:rsidRPr="004A7BE4" w:rsidRDefault="004C3BA7" w:rsidP="00164E49">
            <w:pPr>
              <w:jc w:val="left"/>
              <w:rPr>
                <w:rFonts w:ascii="Arial Narrow" w:hAnsi="Arial Narrow"/>
                <w:color w:val="333333"/>
                <w:sz w:val="20"/>
                <w:szCs w:val="20"/>
              </w:rPr>
            </w:pPr>
            <w:r w:rsidRPr="004A7BE4">
              <w:rPr>
                <w:rFonts w:ascii="Arial Narrow" w:hAnsi="Arial Narrow"/>
                <w:color w:val="333333"/>
                <w:sz w:val="20"/>
                <w:szCs w:val="20"/>
              </w:rPr>
              <w:t>4. Progressive splenomegaly to a size greater than or equal to 10 cm below the left costal margin to be confirmed on 2 occasions at least 4 weeks apart, or a greater than or equal to 50% increase in size below the left costal margin over 4 weeks; or</w:t>
            </w:r>
          </w:p>
          <w:p w14:paraId="39927278" w14:textId="77777777" w:rsidR="004C3BA7" w:rsidRPr="004A7BE4" w:rsidRDefault="004C3BA7" w:rsidP="00164E49">
            <w:pPr>
              <w:jc w:val="left"/>
              <w:rPr>
                <w:rFonts w:ascii="Arial Narrow" w:hAnsi="Arial Narrow"/>
                <w:color w:val="333333"/>
                <w:sz w:val="20"/>
                <w:szCs w:val="20"/>
              </w:rPr>
            </w:pPr>
          </w:p>
          <w:p w14:paraId="423E298E" w14:textId="77777777" w:rsidR="004C3BA7" w:rsidRPr="004A7BE4" w:rsidRDefault="004C3BA7" w:rsidP="00164E49">
            <w:pPr>
              <w:jc w:val="left"/>
              <w:rPr>
                <w:rFonts w:ascii="Arial Narrow" w:hAnsi="Arial Narrow"/>
                <w:color w:val="333333"/>
                <w:sz w:val="20"/>
                <w:szCs w:val="20"/>
              </w:rPr>
            </w:pPr>
            <w:r w:rsidRPr="004A7BE4">
              <w:rPr>
                <w:rFonts w:ascii="Arial Narrow" w:hAnsi="Arial Narrow"/>
                <w:color w:val="333333"/>
                <w:sz w:val="20"/>
                <w:szCs w:val="20"/>
              </w:rPr>
              <w:t>5. Karyotypic evolution (chromosomal abnormalities in addition to a single Philadelphia chromosome).</w:t>
            </w:r>
          </w:p>
          <w:p w14:paraId="65CCFCC2" w14:textId="77777777" w:rsidR="004C3BA7" w:rsidRPr="004A7BE4" w:rsidRDefault="004C3BA7" w:rsidP="00164E49">
            <w:pPr>
              <w:jc w:val="left"/>
              <w:rPr>
                <w:rFonts w:ascii="Arial Narrow" w:hAnsi="Arial Narrow"/>
                <w:color w:val="333333"/>
                <w:sz w:val="20"/>
                <w:szCs w:val="20"/>
              </w:rPr>
            </w:pPr>
          </w:p>
          <w:p w14:paraId="040985F5" w14:textId="77777777" w:rsidR="004C3BA7" w:rsidRPr="004A7BE4" w:rsidRDefault="004C3BA7" w:rsidP="00164E49">
            <w:pPr>
              <w:jc w:val="left"/>
              <w:rPr>
                <w:rFonts w:ascii="Arial Narrow" w:hAnsi="Arial Narrow"/>
                <w:color w:val="333333"/>
                <w:sz w:val="20"/>
                <w:szCs w:val="20"/>
              </w:rPr>
            </w:pPr>
            <w:r w:rsidRPr="004A7BE4">
              <w:rPr>
                <w:rFonts w:ascii="Arial Narrow" w:hAnsi="Arial Narrow"/>
                <w:color w:val="333333"/>
                <w:sz w:val="20"/>
                <w:szCs w:val="20"/>
              </w:rPr>
              <w:t>Blast crisis is defined as either:</w:t>
            </w:r>
          </w:p>
          <w:p w14:paraId="7C64B58F" w14:textId="77777777" w:rsidR="004C3BA7" w:rsidRPr="004A7BE4" w:rsidRDefault="004C3BA7" w:rsidP="00164E49">
            <w:pPr>
              <w:jc w:val="left"/>
              <w:rPr>
                <w:rFonts w:ascii="Arial Narrow" w:hAnsi="Arial Narrow"/>
                <w:color w:val="333333"/>
                <w:sz w:val="20"/>
                <w:szCs w:val="20"/>
              </w:rPr>
            </w:pPr>
            <w:r w:rsidRPr="004A7BE4">
              <w:rPr>
                <w:rFonts w:ascii="Arial Narrow" w:hAnsi="Arial Narrow"/>
                <w:color w:val="333333"/>
                <w:sz w:val="20"/>
                <w:szCs w:val="20"/>
              </w:rPr>
              <w:t>1. Percentage of blasts in the peripheral blood or bone marrow greater than or equal to 30%; or</w:t>
            </w:r>
          </w:p>
          <w:p w14:paraId="3E961993" w14:textId="77777777" w:rsidR="004C3BA7" w:rsidRPr="004A7BE4" w:rsidRDefault="004C3BA7" w:rsidP="00164E49">
            <w:pPr>
              <w:jc w:val="left"/>
              <w:rPr>
                <w:rFonts w:ascii="Arial Narrow" w:hAnsi="Arial Narrow"/>
                <w:color w:val="333333"/>
                <w:sz w:val="20"/>
                <w:szCs w:val="20"/>
              </w:rPr>
            </w:pPr>
          </w:p>
          <w:p w14:paraId="1F5FE22A" w14:textId="77777777" w:rsidR="004C3BA7" w:rsidRPr="000D3AF3" w:rsidRDefault="004C3BA7" w:rsidP="00164E49">
            <w:pPr>
              <w:jc w:val="left"/>
              <w:rPr>
                <w:rFonts w:ascii="Arial Narrow" w:hAnsi="Arial Narrow"/>
                <w:color w:val="333333"/>
                <w:sz w:val="20"/>
                <w:szCs w:val="20"/>
              </w:rPr>
            </w:pPr>
            <w:r w:rsidRPr="004A7BE4">
              <w:rPr>
                <w:rFonts w:ascii="Arial Narrow" w:hAnsi="Arial Narrow"/>
                <w:color w:val="333333"/>
                <w:sz w:val="20"/>
                <w:szCs w:val="20"/>
              </w:rPr>
              <w:t>2. Extramedullary involvement other than spleen and liver.</w:t>
            </w:r>
          </w:p>
          <w:p w14:paraId="3C741CDB" w14:textId="77777777" w:rsidR="004C3BA7" w:rsidRPr="000D3AF3" w:rsidRDefault="004C3BA7" w:rsidP="00164E49">
            <w:pPr>
              <w:jc w:val="left"/>
              <w:rPr>
                <w:rFonts w:ascii="Arial Narrow" w:hAnsi="Arial Narrow"/>
                <w:color w:val="333333"/>
                <w:sz w:val="20"/>
                <w:szCs w:val="20"/>
              </w:rPr>
            </w:pPr>
          </w:p>
        </w:tc>
      </w:tr>
    </w:tbl>
    <w:p w14:paraId="5ED67B95" w14:textId="77777777" w:rsidR="006C1A93" w:rsidRPr="006C1A93" w:rsidRDefault="006C1A93" w:rsidP="006C1A93">
      <w:pPr>
        <w:keepNext/>
        <w:rPr>
          <w:b/>
          <w:bCs/>
        </w:rPr>
      </w:pPr>
    </w:p>
    <w:p w14:paraId="654FDADE" w14:textId="02498AF2" w:rsidR="006C1A93" w:rsidRPr="006C1A93" w:rsidRDefault="006C1A93" w:rsidP="006C1A93">
      <w:pPr>
        <w:pStyle w:val="Caption"/>
        <w:spacing w:after="0"/>
        <w:rPr>
          <w:b/>
          <w:bCs/>
          <w:i w:val="0"/>
          <w:iCs w:val="0"/>
          <w:color w:val="auto"/>
          <w:sz w:val="24"/>
          <w:szCs w:val="24"/>
        </w:rPr>
      </w:pPr>
      <w:bookmarkStart w:id="9" w:name="_Toc112315919"/>
      <w:r w:rsidRPr="006C1A93">
        <w:rPr>
          <w:b/>
          <w:bCs/>
          <w:i w:val="0"/>
          <w:iCs w:val="0"/>
          <w:color w:val="auto"/>
          <w:sz w:val="24"/>
          <w:szCs w:val="24"/>
        </w:rPr>
        <w:t>First continuing treatment (</w:t>
      </w:r>
      <w:r w:rsidRPr="006C1A93">
        <w:rPr>
          <w:rFonts w:cs="Calibri"/>
          <w:b/>
          <w:bCs/>
          <w:i w:val="0"/>
          <w:iCs w:val="0"/>
          <w:color w:val="auto"/>
          <w:sz w:val="24"/>
          <w:szCs w:val="24"/>
        </w:rPr>
        <w:t>≥</w:t>
      </w:r>
      <w:r w:rsidRPr="006C1A93">
        <w:rPr>
          <w:b/>
          <w:bCs/>
          <w:i w:val="0"/>
          <w:iCs w:val="0"/>
          <w:color w:val="auto"/>
          <w:sz w:val="24"/>
          <w:szCs w:val="24"/>
        </w:rPr>
        <w:t>1 prior TKI and T315I mutation)</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4C3BA7" w:rsidRPr="00C85BA1" w14:paraId="6AC69862" w14:textId="77777777" w:rsidTr="004C3BA7">
        <w:tc>
          <w:tcPr>
            <w:tcW w:w="5000" w:type="pct"/>
            <w:tcBorders>
              <w:top w:val="single" w:sz="4" w:space="0" w:color="auto"/>
              <w:left w:val="single" w:sz="4" w:space="0" w:color="auto"/>
              <w:bottom w:val="single" w:sz="4" w:space="0" w:color="auto"/>
              <w:right w:val="single" w:sz="4" w:space="0" w:color="auto"/>
            </w:tcBorders>
          </w:tcPr>
          <w:p w14:paraId="37C4DA0E" w14:textId="77777777" w:rsidR="004C3BA7" w:rsidRPr="00C85BA1" w:rsidRDefault="004C3BA7" w:rsidP="00164E49">
            <w:pPr>
              <w:rPr>
                <w:rFonts w:ascii="Arial Narrow" w:eastAsia="Calibri" w:hAnsi="Arial Narrow" w:cs="Arial"/>
                <w:sz w:val="20"/>
                <w:szCs w:val="20"/>
              </w:rPr>
            </w:pPr>
            <w:r w:rsidRPr="00C85BA1">
              <w:rPr>
                <w:rFonts w:ascii="Arial Narrow" w:eastAsia="Calibri" w:hAnsi="Arial Narrow" w:cs="Arial"/>
                <w:b/>
                <w:sz w:val="20"/>
                <w:szCs w:val="20"/>
              </w:rPr>
              <w:t xml:space="preserve">Category / Program:   </w:t>
            </w:r>
          </w:p>
          <w:p w14:paraId="15EE1C76" w14:textId="77777777" w:rsidR="004C3BA7" w:rsidRPr="00C85BA1" w:rsidRDefault="004C3BA7" w:rsidP="00164E49">
            <w:pPr>
              <w:rPr>
                <w:rFonts w:ascii="Arial Narrow" w:eastAsia="Calibri" w:hAnsi="Arial Narrow" w:cs="Arial"/>
                <w:sz w:val="20"/>
                <w:szCs w:val="20"/>
              </w:rPr>
            </w:pPr>
            <w:r w:rsidRPr="00C85BA1">
              <w:rPr>
                <w:rFonts w:ascii="Arial Narrow" w:eastAsia="Calibri" w:hAnsi="Arial Narrow" w:cs="Arial"/>
                <w:sz w:val="20"/>
                <w:szCs w:val="20"/>
              </w:rPr>
              <w:t xml:space="preserve">GENERAL – General Schedule (Code GE) </w:t>
            </w:r>
          </w:p>
        </w:tc>
      </w:tr>
      <w:tr w:rsidR="004C3BA7" w:rsidRPr="00C85BA1" w14:paraId="37BCBE7E" w14:textId="77777777" w:rsidTr="004C3BA7">
        <w:trPr>
          <w:trHeight w:val="240"/>
        </w:trPr>
        <w:tc>
          <w:tcPr>
            <w:tcW w:w="5000" w:type="pct"/>
            <w:tcBorders>
              <w:top w:val="single" w:sz="4" w:space="0" w:color="auto"/>
              <w:left w:val="single" w:sz="4" w:space="0" w:color="auto"/>
              <w:bottom w:val="single" w:sz="4" w:space="0" w:color="auto"/>
              <w:right w:val="single" w:sz="4" w:space="0" w:color="auto"/>
            </w:tcBorders>
          </w:tcPr>
          <w:p w14:paraId="6754B550" w14:textId="280DDBB6" w:rsidR="004C3BA7" w:rsidRPr="00C85BA1" w:rsidRDefault="004C3BA7" w:rsidP="00164E49">
            <w:pPr>
              <w:rPr>
                <w:rFonts w:ascii="Arial Narrow" w:eastAsia="Calibri" w:hAnsi="Arial Narrow" w:cs="Arial"/>
                <w:b/>
                <w:sz w:val="20"/>
                <w:szCs w:val="20"/>
              </w:rPr>
            </w:pPr>
            <w:r w:rsidRPr="00C85BA1">
              <w:rPr>
                <w:rFonts w:ascii="Arial Narrow" w:eastAsia="Calibri" w:hAnsi="Arial Narrow" w:cs="Arial"/>
                <w:b/>
                <w:sz w:val="20"/>
                <w:szCs w:val="20"/>
              </w:rPr>
              <w:t xml:space="preserve">Prescriber type:   </w:t>
            </w:r>
            <w:r w:rsidRPr="00C85BA1">
              <w:rPr>
                <w:rFonts w:ascii="Arial Narrow" w:eastAsia="Calibri" w:hAnsi="Arial Narrow" w:cs="Arial"/>
                <w:sz w:val="20"/>
                <w:szCs w:val="20"/>
              </w:rPr>
              <w:fldChar w:fldCharType="begin" w:fldLock="1">
                <w:ffData>
                  <w:name w:val=""/>
                  <w:enabled/>
                  <w:calcOnExit w:val="0"/>
                  <w:checkBox>
                    <w:sizeAuto/>
                    <w:default w:val="1"/>
                  </w:checkBox>
                </w:ffData>
              </w:fldChar>
            </w:r>
            <w:r w:rsidRPr="00C85BA1">
              <w:rPr>
                <w:rFonts w:ascii="Arial Narrow" w:eastAsia="Calibri" w:hAnsi="Arial Narrow" w:cs="Arial"/>
                <w:sz w:val="20"/>
                <w:szCs w:val="20"/>
              </w:rPr>
              <w:instrText xml:space="preserve"> FORMCHECKBOX </w:instrText>
            </w:r>
            <w:r w:rsidR="00E53C72">
              <w:rPr>
                <w:rFonts w:ascii="Arial Narrow" w:eastAsia="Calibri" w:hAnsi="Arial Narrow" w:cs="Arial"/>
                <w:sz w:val="20"/>
                <w:szCs w:val="20"/>
              </w:rPr>
            </w:r>
            <w:r w:rsidR="00E53C72">
              <w:rPr>
                <w:rFonts w:ascii="Arial Narrow" w:eastAsia="Calibri" w:hAnsi="Arial Narrow" w:cs="Arial"/>
                <w:sz w:val="20"/>
                <w:szCs w:val="20"/>
              </w:rPr>
              <w:fldChar w:fldCharType="separate"/>
            </w:r>
            <w:r w:rsidRPr="00C85BA1">
              <w:rPr>
                <w:rFonts w:ascii="Arial Narrow" w:eastAsia="Calibri" w:hAnsi="Arial Narrow" w:cs="Arial"/>
                <w:sz w:val="20"/>
                <w:szCs w:val="20"/>
              </w:rPr>
              <w:fldChar w:fldCharType="end"/>
            </w:r>
            <w:r w:rsidRPr="00C85BA1">
              <w:rPr>
                <w:rFonts w:ascii="Arial Narrow" w:eastAsia="Calibri" w:hAnsi="Arial Narrow" w:cs="Arial"/>
                <w:sz w:val="20"/>
                <w:szCs w:val="20"/>
              </w:rPr>
              <w:t>Medical Practitioners</w:t>
            </w:r>
          </w:p>
        </w:tc>
      </w:tr>
      <w:tr w:rsidR="00F639C3" w:rsidRPr="00C85BA1" w14:paraId="2EA86F37" w14:textId="77777777" w:rsidTr="004C3BA7">
        <w:trPr>
          <w:trHeight w:val="240"/>
        </w:trPr>
        <w:tc>
          <w:tcPr>
            <w:tcW w:w="5000" w:type="pct"/>
            <w:tcBorders>
              <w:top w:val="single" w:sz="4" w:space="0" w:color="auto"/>
              <w:left w:val="single" w:sz="4" w:space="0" w:color="auto"/>
              <w:bottom w:val="single" w:sz="4" w:space="0" w:color="auto"/>
              <w:right w:val="single" w:sz="4" w:space="0" w:color="auto"/>
            </w:tcBorders>
          </w:tcPr>
          <w:p w14:paraId="28FA8AB8" w14:textId="6A942F21" w:rsidR="00F639C3" w:rsidRPr="00C85BA1" w:rsidRDefault="00F639C3" w:rsidP="00164E49">
            <w:pPr>
              <w:rPr>
                <w:rFonts w:ascii="Arial Narrow" w:eastAsia="Calibri" w:hAnsi="Arial Narrow" w:cs="Arial"/>
                <w:b/>
                <w:sz w:val="20"/>
                <w:szCs w:val="20"/>
              </w:rPr>
            </w:pPr>
            <w:r w:rsidRPr="00C85BA1">
              <w:rPr>
                <w:rFonts w:ascii="Arial Narrow" w:eastAsia="Calibri" w:hAnsi="Arial Narrow" w:cs="Arial"/>
                <w:b/>
                <w:sz w:val="20"/>
                <w:szCs w:val="20"/>
              </w:rPr>
              <w:t>Restriction Type</w:t>
            </w:r>
            <w:r>
              <w:rPr>
                <w:rFonts w:ascii="Arial Narrow" w:eastAsia="Calibri" w:hAnsi="Arial Narrow" w:cs="Arial"/>
                <w:b/>
                <w:sz w:val="20"/>
                <w:szCs w:val="20"/>
              </w:rPr>
              <w:t>:</w:t>
            </w:r>
            <w:r w:rsidRPr="00C85BA1">
              <w:rPr>
                <w:rFonts w:ascii="Arial Narrow" w:eastAsia="Calibri" w:hAnsi="Arial Narrow" w:cs="Arial"/>
                <w:b/>
                <w:sz w:val="20"/>
                <w:szCs w:val="20"/>
              </w:rPr>
              <w:t xml:space="preserve"> </w:t>
            </w:r>
            <w:r w:rsidRPr="00C85BA1">
              <w:rPr>
                <w:rFonts w:ascii="Arial Narrow" w:eastAsia="Calibri" w:hAnsi="Arial Narrow" w:cs="Arial"/>
                <w:sz w:val="20"/>
                <w:szCs w:val="20"/>
              </w:rPr>
              <w:fldChar w:fldCharType="begin" w:fldLock="1">
                <w:ffData>
                  <w:name w:val=""/>
                  <w:enabled/>
                  <w:calcOnExit w:val="0"/>
                  <w:checkBox>
                    <w:sizeAuto/>
                    <w:default w:val="1"/>
                  </w:checkBox>
                </w:ffData>
              </w:fldChar>
            </w:r>
            <w:r w:rsidRPr="00C85BA1">
              <w:rPr>
                <w:rFonts w:ascii="Arial Narrow" w:eastAsia="Calibri" w:hAnsi="Arial Narrow" w:cs="Arial"/>
                <w:sz w:val="20"/>
                <w:szCs w:val="20"/>
              </w:rPr>
              <w:instrText xml:space="preserve"> FORMCHECKBOX </w:instrText>
            </w:r>
            <w:r w:rsidR="00E53C72">
              <w:rPr>
                <w:rFonts w:ascii="Arial Narrow" w:eastAsia="Calibri" w:hAnsi="Arial Narrow" w:cs="Arial"/>
                <w:sz w:val="20"/>
                <w:szCs w:val="20"/>
              </w:rPr>
            </w:r>
            <w:r w:rsidR="00E53C72">
              <w:rPr>
                <w:rFonts w:ascii="Arial Narrow" w:eastAsia="Calibri" w:hAnsi="Arial Narrow" w:cs="Arial"/>
                <w:sz w:val="20"/>
                <w:szCs w:val="20"/>
              </w:rPr>
              <w:fldChar w:fldCharType="separate"/>
            </w:r>
            <w:r w:rsidRPr="00C85BA1">
              <w:rPr>
                <w:rFonts w:ascii="Arial Narrow" w:eastAsia="Calibri" w:hAnsi="Arial Narrow" w:cs="Arial"/>
                <w:sz w:val="20"/>
                <w:szCs w:val="20"/>
              </w:rPr>
              <w:fldChar w:fldCharType="end"/>
            </w:r>
            <w:r w:rsidRPr="00C85BA1">
              <w:rPr>
                <w:rFonts w:ascii="Arial Narrow" w:eastAsia="Calibri" w:hAnsi="Arial Narrow" w:cs="Arial"/>
                <w:sz w:val="20"/>
                <w:szCs w:val="20"/>
              </w:rPr>
              <w:t>Authority Required – Streamlined</w:t>
            </w:r>
          </w:p>
        </w:tc>
      </w:tr>
      <w:tr w:rsidR="004C3BA7" w:rsidRPr="00C85BA1" w14:paraId="79AAD2EB" w14:textId="77777777" w:rsidTr="004C3BA7">
        <w:tc>
          <w:tcPr>
            <w:tcW w:w="5000" w:type="pct"/>
            <w:vAlign w:val="center"/>
          </w:tcPr>
          <w:p w14:paraId="0FFD0B65" w14:textId="36B2AC09"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Administrative Advice:</w:t>
            </w:r>
            <w:r w:rsidR="00F639C3">
              <w:rPr>
                <w:rFonts w:ascii="Arial Narrow" w:hAnsi="Arial Narrow"/>
                <w:color w:val="333333"/>
                <w:sz w:val="20"/>
                <w:szCs w:val="20"/>
              </w:rPr>
              <w:t xml:space="preserve"> </w:t>
            </w:r>
            <w:r w:rsidRPr="00C85BA1">
              <w:rPr>
                <w:rFonts w:ascii="Arial Narrow" w:hAnsi="Arial Narrow"/>
                <w:color w:val="333333"/>
                <w:sz w:val="20"/>
                <w:szCs w:val="20"/>
              </w:rPr>
              <w:t>Special Pricing Arrangements apply</w:t>
            </w:r>
          </w:p>
        </w:tc>
      </w:tr>
      <w:tr w:rsidR="004C3BA7" w:rsidRPr="00C85BA1" w14:paraId="008C975C" w14:textId="77777777" w:rsidTr="004C3BA7">
        <w:tc>
          <w:tcPr>
            <w:tcW w:w="5000" w:type="pct"/>
            <w:vAlign w:val="center"/>
          </w:tcPr>
          <w:p w14:paraId="722B41EA" w14:textId="77777777" w:rsidR="004C3BA7" w:rsidRPr="00C85BA1" w:rsidRDefault="004C3BA7" w:rsidP="00164E49">
            <w:pPr>
              <w:jc w:val="left"/>
              <w:rPr>
                <w:rFonts w:ascii="Arial Narrow" w:hAnsi="Arial Narrow"/>
                <w:bCs/>
                <w:color w:val="333333"/>
                <w:sz w:val="20"/>
                <w:szCs w:val="20"/>
              </w:rPr>
            </w:pPr>
            <w:r w:rsidRPr="00C85BA1">
              <w:rPr>
                <w:rFonts w:ascii="Arial Narrow" w:hAnsi="Arial Narrow"/>
                <w:b/>
                <w:bCs/>
                <w:color w:val="333333"/>
                <w:sz w:val="20"/>
                <w:szCs w:val="20"/>
              </w:rPr>
              <w:t xml:space="preserve">Episodicity: </w:t>
            </w:r>
            <w:r w:rsidRPr="00C85BA1">
              <w:rPr>
                <w:rFonts w:ascii="Arial Narrow" w:hAnsi="Arial Narrow"/>
                <w:bCs/>
                <w:color w:val="333333"/>
                <w:sz w:val="20"/>
                <w:szCs w:val="20"/>
              </w:rPr>
              <w:t>Chronic</w:t>
            </w:r>
          </w:p>
        </w:tc>
      </w:tr>
      <w:tr w:rsidR="004C3BA7" w:rsidRPr="00C85BA1" w14:paraId="6FA2CE4A" w14:textId="77777777" w:rsidTr="004C3BA7">
        <w:tc>
          <w:tcPr>
            <w:tcW w:w="5000" w:type="pct"/>
            <w:vAlign w:val="center"/>
          </w:tcPr>
          <w:p w14:paraId="38E2CB6C" w14:textId="77777777" w:rsidR="004C3BA7" w:rsidRPr="00C85BA1" w:rsidRDefault="004C3BA7" w:rsidP="00164E49">
            <w:pPr>
              <w:jc w:val="left"/>
              <w:rPr>
                <w:rFonts w:ascii="Arial Narrow" w:hAnsi="Arial Narrow"/>
                <w:b/>
                <w:bCs/>
                <w:color w:val="333333"/>
                <w:sz w:val="20"/>
                <w:szCs w:val="20"/>
              </w:rPr>
            </w:pPr>
            <w:r w:rsidRPr="00C85BA1">
              <w:rPr>
                <w:rFonts w:ascii="Arial Narrow" w:hAnsi="Arial Narrow"/>
                <w:b/>
                <w:bCs/>
                <w:color w:val="333333"/>
                <w:sz w:val="20"/>
                <w:szCs w:val="20"/>
              </w:rPr>
              <w:t xml:space="preserve">Condition: </w:t>
            </w:r>
            <w:r w:rsidRPr="00C85BA1">
              <w:rPr>
                <w:rFonts w:ascii="Arial Narrow" w:hAnsi="Arial Narrow"/>
                <w:bCs/>
                <w:color w:val="333333"/>
                <w:sz w:val="20"/>
                <w:szCs w:val="20"/>
              </w:rPr>
              <w:t>Chronic myeloid leukaemia</w:t>
            </w:r>
          </w:p>
        </w:tc>
      </w:tr>
      <w:tr w:rsidR="004C3BA7" w:rsidRPr="00C85BA1" w14:paraId="2B0588BA" w14:textId="77777777" w:rsidTr="004C3BA7">
        <w:tc>
          <w:tcPr>
            <w:tcW w:w="5000" w:type="pct"/>
            <w:vAlign w:val="center"/>
            <w:hideMark/>
          </w:tcPr>
          <w:p w14:paraId="0E13DCAD"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Indication:</w:t>
            </w:r>
            <w:r w:rsidRPr="00C85BA1">
              <w:rPr>
                <w:rFonts w:ascii="Arial Narrow" w:hAnsi="Arial Narrow"/>
                <w:color w:val="333333"/>
                <w:sz w:val="20"/>
                <w:szCs w:val="20"/>
              </w:rPr>
              <w:t xml:space="preserve"> Chronic myeloid leukaemia</w:t>
            </w:r>
          </w:p>
        </w:tc>
      </w:tr>
      <w:tr w:rsidR="004C3BA7" w:rsidRPr="00C85BA1" w14:paraId="7103C77C" w14:textId="77777777" w:rsidTr="004C3BA7">
        <w:tc>
          <w:tcPr>
            <w:tcW w:w="5000" w:type="pct"/>
            <w:vAlign w:val="center"/>
            <w:hideMark/>
          </w:tcPr>
          <w:p w14:paraId="5982264A"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Treatment Phase:</w:t>
            </w:r>
            <w:r w:rsidRPr="00C85BA1">
              <w:rPr>
                <w:rFonts w:ascii="Arial Narrow" w:hAnsi="Arial Narrow"/>
                <w:color w:val="333333"/>
                <w:sz w:val="20"/>
                <w:szCs w:val="20"/>
              </w:rPr>
              <w:t xml:space="preserve"> First continuing treatment</w:t>
            </w:r>
          </w:p>
        </w:tc>
      </w:tr>
      <w:tr w:rsidR="004C3BA7" w:rsidRPr="00C85BA1" w14:paraId="67884ACB" w14:textId="77777777" w:rsidTr="004C3BA7">
        <w:tc>
          <w:tcPr>
            <w:tcW w:w="5000" w:type="pct"/>
            <w:vAlign w:val="center"/>
            <w:hideMark/>
          </w:tcPr>
          <w:p w14:paraId="589F04CE"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Clinical criteria:</w:t>
            </w:r>
          </w:p>
        </w:tc>
      </w:tr>
      <w:tr w:rsidR="004C3BA7" w:rsidRPr="00C85BA1" w14:paraId="5B2A3491" w14:textId="77777777" w:rsidTr="004C3BA7">
        <w:tc>
          <w:tcPr>
            <w:tcW w:w="5000" w:type="pct"/>
            <w:vAlign w:val="center"/>
            <w:hideMark/>
          </w:tcPr>
          <w:p w14:paraId="0960A1C2"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color w:val="333333"/>
                <w:sz w:val="20"/>
                <w:szCs w:val="20"/>
              </w:rPr>
              <w:t>Patient must have previously been issued with an authority prescription for this drug for this condition under the initial treatment restriction</w:t>
            </w:r>
          </w:p>
        </w:tc>
      </w:tr>
      <w:tr w:rsidR="004C3BA7" w:rsidRPr="00C85BA1" w14:paraId="482F0382" w14:textId="77777777" w:rsidTr="004C3BA7">
        <w:tc>
          <w:tcPr>
            <w:tcW w:w="5000" w:type="pct"/>
            <w:vAlign w:val="center"/>
          </w:tcPr>
          <w:p w14:paraId="20ADD772" w14:textId="46FAD036" w:rsidR="004C3BA7" w:rsidRPr="00C85BA1" w:rsidRDefault="00C33BD2" w:rsidP="00164E49">
            <w:pPr>
              <w:jc w:val="left"/>
              <w:rPr>
                <w:rFonts w:ascii="Arial Narrow" w:hAnsi="Arial Narrow"/>
                <w:b/>
                <w:bCs/>
                <w:color w:val="333333"/>
                <w:sz w:val="20"/>
                <w:szCs w:val="20"/>
              </w:rPr>
            </w:pPr>
            <w:r>
              <w:rPr>
                <w:rFonts w:ascii="Arial Narrow" w:hAnsi="Arial Narrow"/>
                <w:b/>
                <w:bCs/>
                <w:color w:val="333333"/>
                <w:sz w:val="20"/>
                <w:szCs w:val="20"/>
              </w:rPr>
              <w:t>Note there is a contradiction here -</w:t>
            </w:r>
            <w:r w:rsidR="004C3BA7" w:rsidRPr="00C85BA1">
              <w:rPr>
                <w:rFonts w:ascii="Arial Narrow" w:hAnsi="Arial Narrow"/>
                <w:b/>
                <w:bCs/>
                <w:color w:val="333333"/>
                <w:sz w:val="20"/>
                <w:szCs w:val="20"/>
              </w:rPr>
              <w:t>AND</w:t>
            </w:r>
          </w:p>
        </w:tc>
      </w:tr>
      <w:tr w:rsidR="004C3BA7" w:rsidRPr="00C85BA1" w14:paraId="55DA049F" w14:textId="77777777" w:rsidTr="004C3BA7">
        <w:tc>
          <w:tcPr>
            <w:tcW w:w="5000" w:type="pct"/>
            <w:vAlign w:val="center"/>
          </w:tcPr>
          <w:p w14:paraId="64135CBF" w14:textId="77777777" w:rsidR="004C3BA7" w:rsidRPr="00F814FE" w:rsidRDefault="004C3BA7" w:rsidP="00164E49">
            <w:pPr>
              <w:jc w:val="left"/>
              <w:rPr>
                <w:rFonts w:ascii="Arial Narrow" w:hAnsi="Arial Narrow"/>
                <w:b/>
                <w:bCs/>
                <w:strike/>
                <w:color w:val="333333"/>
                <w:sz w:val="20"/>
                <w:szCs w:val="20"/>
              </w:rPr>
            </w:pPr>
            <w:r w:rsidRPr="00F814FE">
              <w:rPr>
                <w:rFonts w:ascii="Arial Narrow" w:hAnsi="Arial Narrow"/>
                <w:b/>
                <w:bCs/>
                <w:strike/>
                <w:color w:val="333333"/>
                <w:sz w:val="20"/>
                <w:szCs w:val="20"/>
              </w:rPr>
              <w:t>Clinical criteria:</w:t>
            </w:r>
          </w:p>
        </w:tc>
      </w:tr>
      <w:tr w:rsidR="004C3BA7" w:rsidRPr="00C85BA1" w14:paraId="4B394AB1" w14:textId="77777777" w:rsidTr="004C3BA7">
        <w:tc>
          <w:tcPr>
            <w:tcW w:w="5000" w:type="pct"/>
            <w:vAlign w:val="center"/>
          </w:tcPr>
          <w:p w14:paraId="41AAA99A" w14:textId="77777777" w:rsidR="004C3BA7" w:rsidRPr="00F814FE" w:rsidRDefault="004C3BA7" w:rsidP="00164E49">
            <w:pPr>
              <w:jc w:val="left"/>
              <w:rPr>
                <w:rFonts w:ascii="Arial Narrow" w:hAnsi="Arial Narrow"/>
                <w:strike/>
                <w:color w:val="333333"/>
                <w:sz w:val="20"/>
                <w:szCs w:val="20"/>
              </w:rPr>
            </w:pPr>
            <w:r w:rsidRPr="00F814FE">
              <w:rPr>
                <w:rFonts w:ascii="Arial Narrow" w:hAnsi="Arial Narrow"/>
                <w:strike/>
                <w:color w:val="333333"/>
                <w:sz w:val="20"/>
                <w:szCs w:val="20"/>
              </w:rPr>
              <w:t>Patient must have previously demonstrated to be expressing the T315I mutation confirmed through a bone marrow biopsy pathology report</w:t>
            </w:r>
          </w:p>
        </w:tc>
      </w:tr>
      <w:tr w:rsidR="004C3BA7" w:rsidRPr="00C85BA1" w14:paraId="5A720BB3" w14:textId="77777777" w:rsidTr="004C3BA7">
        <w:tc>
          <w:tcPr>
            <w:tcW w:w="5000" w:type="pct"/>
            <w:vAlign w:val="center"/>
            <w:hideMark/>
          </w:tcPr>
          <w:p w14:paraId="6337457F" w14:textId="77777777" w:rsidR="004C3BA7" w:rsidRPr="00F814FE" w:rsidRDefault="004C3BA7" w:rsidP="00164E49">
            <w:pPr>
              <w:jc w:val="left"/>
              <w:rPr>
                <w:rFonts w:ascii="Arial Narrow" w:hAnsi="Arial Narrow"/>
                <w:strike/>
                <w:color w:val="333333"/>
                <w:sz w:val="20"/>
                <w:szCs w:val="20"/>
              </w:rPr>
            </w:pPr>
            <w:r w:rsidRPr="00F814FE">
              <w:rPr>
                <w:rFonts w:ascii="Arial Narrow" w:hAnsi="Arial Narrow"/>
                <w:b/>
                <w:bCs/>
                <w:strike/>
                <w:color w:val="333333"/>
                <w:sz w:val="20"/>
                <w:szCs w:val="20"/>
              </w:rPr>
              <w:t>AND</w:t>
            </w:r>
          </w:p>
        </w:tc>
      </w:tr>
      <w:tr w:rsidR="004C3BA7" w:rsidRPr="00C85BA1" w14:paraId="27B3E292" w14:textId="77777777" w:rsidTr="004C3BA7">
        <w:tc>
          <w:tcPr>
            <w:tcW w:w="5000" w:type="pct"/>
            <w:vAlign w:val="center"/>
            <w:hideMark/>
          </w:tcPr>
          <w:p w14:paraId="5CA7AD65"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Clinical criteria:</w:t>
            </w:r>
          </w:p>
        </w:tc>
      </w:tr>
      <w:tr w:rsidR="004C3BA7" w:rsidRPr="00C85BA1" w14:paraId="38792A8A" w14:textId="77777777" w:rsidTr="004C3BA7">
        <w:tc>
          <w:tcPr>
            <w:tcW w:w="5000" w:type="pct"/>
            <w:vAlign w:val="center"/>
            <w:hideMark/>
          </w:tcPr>
          <w:p w14:paraId="330095A2"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color w:val="333333"/>
                <w:sz w:val="20"/>
                <w:szCs w:val="20"/>
              </w:rPr>
              <w:t>The treatment must be the sole PBS-subsidised therapy for this condition</w:t>
            </w:r>
          </w:p>
        </w:tc>
      </w:tr>
      <w:tr w:rsidR="004C3BA7" w:rsidRPr="00C85BA1" w14:paraId="21A3FD68" w14:textId="77777777" w:rsidTr="004C3BA7">
        <w:tc>
          <w:tcPr>
            <w:tcW w:w="5000" w:type="pct"/>
            <w:vAlign w:val="center"/>
            <w:hideMark/>
          </w:tcPr>
          <w:p w14:paraId="0F99FDA3"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AND</w:t>
            </w:r>
          </w:p>
        </w:tc>
      </w:tr>
      <w:tr w:rsidR="004C3BA7" w:rsidRPr="00C85BA1" w14:paraId="51F352CD" w14:textId="77777777" w:rsidTr="004C3BA7">
        <w:tc>
          <w:tcPr>
            <w:tcW w:w="5000" w:type="pct"/>
            <w:vAlign w:val="center"/>
            <w:hideMark/>
          </w:tcPr>
          <w:p w14:paraId="65BAFFC7"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Clinical criteria:</w:t>
            </w:r>
          </w:p>
        </w:tc>
      </w:tr>
      <w:tr w:rsidR="004C3BA7" w:rsidRPr="00C85BA1" w14:paraId="56DD9047" w14:textId="77777777" w:rsidTr="004C3BA7">
        <w:tc>
          <w:tcPr>
            <w:tcW w:w="5000" w:type="pct"/>
            <w:vAlign w:val="center"/>
            <w:hideMark/>
          </w:tcPr>
          <w:p w14:paraId="1F220D37"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color w:val="333333"/>
                <w:sz w:val="20"/>
                <w:szCs w:val="20"/>
              </w:rPr>
              <w:t>Patient must have demonstrated a major cytogenetic response; OR</w:t>
            </w:r>
          </w:p>
          <w:p w14:paraId="7861B159"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color w:val="333333"/>
                <w:sz w:val="20"/>
                <w:szCs w:val="20"/>
              </w:rPr>
              <w:t>Patient must have demonstrated a peripheral blood level of BCR-ABL of less than 1%</w:t>
            </w:r>
          </w:p>
        </w:tc>
      </w:tr>
    </w:tbl>
    <w:p w14:paraId="0CF4D1D5" w14:textId="77777777" w:rsidR="006C1A93" w:rsidRPr="00612E18" w:rsidRDefault="006C1A93" w:rsidP="00612E18">
      <w:pPr>
        <w:keepNext/>
        <w:rPr>
          <w:rFonts w:eastAsia="Calibri"/>
          <w:b/>
          <w:bCs/>
        </w:rPr>
      </w:pPr>
    </w:p>
    <w:p w14:paraId="27228A48" w14:textId="7A255CD0" w:rsidR="006C1A93" w:rsidRPr="00612E18" w:rsidRDefault="006C1A93" w:rsidP="00612E18">
      <w:pPr>
        <w:pStyle w:val="Caption"/>
        <w:keepNext/>
        <w:spacing w:after="0"/>
        <w:rPr>
          <w:b/>
          <w:bCs/>
          <w:i w:val="0"/>
          <w:iCs w:val="0"/>
          <w:color w:val="auto"/>
          <w:sz w:val="24"/>
          <w:szCs w:val="24"/>
        </w:rPr>
      </w:pPr>
      <w:bookmarkStart w:id="10" w:name="_Toc112315920"/>
      <w:r w:rsidRPr="00612E18">
        <w:rPr>
          <w:b/>
          <w:bCs/>
          <w:i w:val="0"/>
          <w:iCs w:val="0"/>
          <w:color w:val="auto"/>
          <w:sz w:val="24"/>
          <w:szCs w:val="24"/>
        </w:rPr>
        <w:t xml:space="preserve">Subsequent continuing treatment </w:t>
      </w:r>
      <w:bookmarkStart w:id="11" w:name="_Hlk112083142"/>
      <w:r w:rsidRPr="00612E18">
        <w:rPr>
          <w:b/>
          <w:bCs/>
          <w:i w:val="0"/>
          <w:iCs w:val="0"/>
          <w:color w:val="auto"/>
          <w:sz w:val="24"/>
          <w:szCs w:val="24"/>
        </w:rPr>
        <w:t>(</w:t>
      </w:r>
      <w:r w:rsidRPr="00612E18">
        <w:rPr>
          <w:rFonts w:cs="Calibri"/>
          <w:b/>
          <w:bCs/>
          <w:i w:val="0"/>
          <w:iCs w:val="0"/>
          <w:color w:val="auto"/>
          <w:sz w:val="24"/>
          <w:szCs w:val="24"/>
        </w:rPr>
        <w:t>≥</w:t>
      </w:r>
      <w:r w:rsidRPr="00612E18">
        <w:rPr>
          <w:b/>
          <w:bCs/>
          <w:i w:val="0"/>
          <w:iCs w:val="0"/>
          <w:color w:val="auto"/>
          <w:sz w:val="24"/>
          <w:szCs w:val="24"/>
        </w:rPr>
        <w:t>1 prior TKI and T315I mutation</w:t>
      </w:r>
      <w:bookmarkEnd w:id="11"/>
      <w:r w:rsidRPr="00612E18">
        <w:rPr>
          <w:b/>
          <w:bCs/>
          <w:i w:val="0"/>
          <w:iCs w:val="0"/>
          <w:color w:val="auto"/>
          <w:sz w:val="24"/>
          <w:szCs w:val="24"/>
        </w:rPr>
        <w:t>)</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4C3BA7" w:rsidRPr="00C85BA1" w14:paraId="14613B89" w14:textId="77777777" w:rsidTr="004C3BA7">
        <w:tc>
          <w:tcPr>
            <w:tcW w:w="5000" w:type="pct"/>
            <w:tcBorders>
              <w:top w:val="single" w:sz="4" w:space="0" w:color="auto"/>
              <w:left w:val="single" w:sz="4" w:space="0" w:color="auto"/>
              <w:bottom w:val="single" w:sz="4" w:space="0" w:color="auto"/>
              <w:right w:val="single" w:sz="4" w:space="0" w:color="auto"/>
            </w:tcBorders>
          </w:tcPr>
          <w:p w14:paraId="5549A766" w14:textId="77777777" w:rsidR="004C3BA7" w:rsidRPr="00C85BA1" w:rsidRDefault="004C3BA7" w:rsidP="00164E49">
            <w:pPr>
              <w:keepNext/>
              <w:rPr>
                <w:rFonts w:ascii="Arial Narrow" w:eastAsia="Calibri" w:hAnsi="Arial Narrow" w:cs="Arial"/>
                <w:sz w:val="20"/>
                <w:szCs w:val="20"/>
              </w:rPr>
            </w:pPr>
            <w:r w:rsidRPr="00C85BA1">
              <w:rPr>
                <w:rFonts w:ascii="Arial Narrow" w:eastAsia="Calibri" w:hAnsi="Arial Narrow" w:cs="Arial"/>
                <w:b/>
                <w:sz w:val="20"/>
                <w:szCs w:val="20"/>
              </w:rPr>
              <w:t xml:space="preserve">Category / Program:   </w:t>
            </w:r>
          </w:p>
          <w:p w14:paraId="05A7E0A1" w14:textId="77777777" w:rsidR="004C3BA7" w:rsidRPr="00C85BA1" w:rsidRDefault="004C3BA7" w:rsidP="00164E49">
            <w:pPr>
              <w:keepNext/>
              <w:rPr>
                <w:rFonts w:ascii="Arial Narrow" w:eastAsia="Calibri" w:hAnsi="Arial Narrow" w:cs="Arial"/>
                <w:sz w:val="20"/>
                <w:szCs w:val="20"/>
              </w:rPr>
            </w:pPr>
            <w:r w:rsidRPr="00C85BA1">
              <w:rPr>
                <w:rFonts w:ascii="Arial Narrow" w:eastAsia="Calibri" w:hAnsi="Arial Narrow" w:cs="Arial"/>
                <w:sz w:val="20"/>
                <w:szCs w:val="20"/>
              </w:rPr>
              <w:t xml:space="preserve">GENERAL – General Schedule (Code GE) </w:t>
            </w:r>
          </w:p>
        </w:tc>
      </w:tr>
      <w:tr w:rsidR="004C3BA7" w:rsidRPr="00C85BA1" w14:paraId="625CDC0D" w14:textId="77777777" w:rsidTr="004C3BA7">
        <w:trPr>
          <w:trHeight w:val="240"/>
        </w:trPr>
        <w:tc>
          <w:tcPr>
            <w:tcW w:w="5000" w:type="pct"/>
            <w:tcBorders>
              <w:top w:val="single" w:sz="4" w:space="0" w:color="auto"/>
              <w:left w:val="single" w:sz="4" w:space="0" w:color="auto"/>
              <w:bottom w:val="single" w:sz="4" w:space="0" w:color="auto"/>
              <w:right w:val="single" w:sz="4" w:space="0" w:color="auto"/>
            </w:tcBorders>
          </w:tcPr>
          <w:p w14:paraId="33947BC4" w14:textId="10653E4E" w:rsidR="004C3BA7" w:rsidRPr="00C85BA1" w:rsidRDefault="004C3BA7" w:rsidP="00164E49">
            <w:pPr>
              <w:keepNext/>
              <w:rPr>
                <w:rFonts w:ascii="Arial Narrow" w:eastAsia="Calibri" w:hAnsi="Arial Narrow" w:cs="Arial"/>
                <w:b/>
                <w:sz w:val="20"/>
                <w:szCs w:val="20"/>
              </w:rPr>
            </w:pPr>
            <w:r w:rsidRPr="00C85BA1">
              <w:rPr>
                <w:rFonts w:ascii="Arial Narrow" w:eastAsia="Calibri" w:hAnsi="Arial Narrow" w:cs="Arial"/>
                <w:b/>
                <w:sz w:val="20"/>
                <w:szCs w:val="20"/>
              </w:rPr>
              <w:t xml:space="preserve">Prescriber type:   </w:t>
            </w:r>
            <w:r w:rsidRPr="00C85BA1">
              <w:rPr>
                <w:rFonts w:ascii="Arial Narrow" w:eastAsia="Calibri" w:hAnsi="Arial Narrow" w:cs="Arial"/>
                <w:sz w:val="20"/>
                <w:szCs w:val="20"/>
              </w:rPr>
              <w:fldChar w:fldCharType="begin" w:fldLock="1">
                <w:ffData>
                  <w:name w:val=""/>
                  <w:enabled/>
                  <w:calcOnExit w:val="0"/>
                  <w:checkBox>
                    <w:sizeAuto/>
                    <w:default w:val="1"/>
                  </w:checkBox>
                </w:ffData>
              </w:fldChar>
            </w:r>
            <w:r w:rsidRPr="00C85BA1">
              <w:rPr>
                <w:rFonts w:ascii="Arial Narrow" w:eastAsia="Calibri" w:hAnsi="Arial Narrow" w:cs="Arial"/>
                <w:sz w:val="20"/>
                <w:szCs w:val="20"/>
              </w:rPr>
              <w:instrText xml:space="preserve"> FORMCHECKBOX </w:instrText>
            </w:r>
            <w:r w:rsidR="00E53C72">
              <w:rPr>
                <w:rFonts w:ascii="Arial Narrow" w:eastAsia="Calibri" w:hAnsi="Arial Narrow" w:cs="Arial"/>
                <w:sz w:val="20"/>
                <w:szCs w:val="20"/>
              </w:rPr>
            </w:r>
            <w:r w:rsidR="00E53C72">
              <w:rPr>
                <w:rFonts w:ascii="Arial Narrow" w:eastAsia="Calibri" w:hAnsi="Arial Narrow" w:cs="Arial"/>
                <w:sz w:val="20"/>
                <w:szCs w:val="20"/>
              </w:rPr>
              <w:fldChar w:fldCharType="separate"/>
            </w:r>
            <w:r w:rsidRPr="00C85BA1">
              <w:rPr>
                <w:rFonts w:ascii="Arial Narrow" w:eastAsia="Calibri" w:hAnsi="Arial Narrow" w:cs="Arial"/>
                <w:sz w:val="20"/>
                <w:szCs w:val="20"/>
              </w:rPr>
              <w:fldChar w:fldCharType="end"/>
            </w:r>
            <w:r w:rsidRPr="00C85BA1">
              <w:rPr>
                <w:rFonts w:ascii="Arial Narrow" w:eastAsia="Calibri" w:hAnsi="Arial Narrow" w:cs="Arial"/>
                <w:sz w:val="20"/>
                <w:szCs w:val="20"/>
              </w:rPr>
              <w:t>Medical Practitioners</w:t>
            </w:r>
          </w:p>
        </w:tc>
      </w:tr>
      <w:tr w:rsidR="004C3BA7" w:rsidRPr="00C85BA1" w14:paraId="75055BB0" w14:textId="77777777" w:rsidTr="004C3BA7">
        <w:tc>
          <w:tcPr>
            <w:tcW w:w="5000" w:type="pct"/>
            <w:tcBorders>
              <w:top w:val="single" w:sz="4" w:space="0" w:color="auto"/>
              <w:left w:val="single" w:sz="4" w:space="0" w:color="auto"/>
              <w:bottom w:val="single" w:sz="4" w:space="0" w:color="auto"/>
              <w:right w:val="single" w:sz="4" w:space="0" w:color="auto"/>
            </w:tcBorders>
          </w:tcPr>
          <w:p w14:paraId="75DE879C" w14:textId="3FDB1F38" w:rsidR="004C3BA7" w:rsidRPr="00C85BA1" w:rsidRDefault="004C3BA7" w:rsidP="001C1571">
            <w:pPr>
              <w:jc w:val="left"/>
              <w:rPr>
                <w:rFonts w:ascii="Arial Narrow" w:eastAsia="Calibri" w:hAnsi="Arial Narrow" w:cs="Arial"/>
                <w:sz w:val="20"/>
                <w:szCs w:val="20"/>
              </w:rPr>
            </w:pPr>
            <w:r w:rsidRPr="00C85BA1">
              <w:rPr>
                <w:rFonts w:ascii="Arial Narrow" w:eastAsia="Calibri" w:hAnsi="Arial Narrow" w:cs="Arial"/>
                <w:b/>
                <w:sz w:val="20"/>
                <w:szCs w:val="20"/>
              </w:rPr>
              <w:t>Restriction Type</w:t>
            </w:r>
            <w:r w:rsidR="002C524F">
              <w:rPr>
                <w:rFonts w:ascii="Arial Narrow" w:eastAsia="Calibri" w:hAnsi="Arial Narrow" w:cs="Arial"/>
                <w:b/>
                <w:sz w:val="20"/>
                <w:szCs w:val="20"/>
              </w:rPr>
              <w:t xml:space="preserve">: </w:t>
            </w:r>
            <w:r w:rsidRPr="00C85BA1">
              <w:rPr>
                <w:rFonts w:ascii="Arial Narrow" w:eastAsia="Calibri" w:hAnsi="Arial Narrow" w:cs="Arial"/>
                <w:sz w:val="20"/>
                <w:szCs w:val="20"/>
              </w:rPr>
              <w:fldChar w:fldCharType="begin" w:fldLock="1">
                <w:ffData>
                  <w:name w:val=""/>
                  <w:enabled/>
                  <w:calcOnExit w:val="0"/>
                  <w:checkBox>
                    <w:sizeAuto/>
                    <w:default w:val="1"/>
                  </w:checkBox>
                </w:ffData>
              </w:fldChar>
            </w:r>
            <w:r w:rsidRPr="00C85BA1">
              <w:rPr>
                <w:rFonts w:ascii="Arial Narrow" w:eastAsia="Calibri" w:hAnsi="Arial Narrow" w:cs="Arial"/>
                <w:sz w:val="20"/>
                <w:szCs w:val="20"/>
              </w:rPr>
              <w:instrText xml:space="preserve"> FORMCHECKBOX </w:instrText>
            </w:r>
            <w:r w:rsidR="00E53C72">
              <w:rPr>
                <w:rFonts w:ascii="Arial Narrow" w:eastAsia="Calibri" w:hAnsi="Arial Narrow" w:cs="Arial"/>
                <w:sz w:val="20"/>
                <w:szCs w:val="20"/>
              </w:rPr>
            </w:r>
            <w:r w:rsidR="00E53C72">
              <w:rPr>
                <w:rFonts w:ascii="Arial Narrow" w:eastAsia="Calibri" w:hAnsi="Arial Narrow" w:cs="Arial"/>
                <w:sz w:val="20"/>
                <w:szCs w:val="20"/>
              </w:rPr>
              <w:fldChar w:fldCharType="separate"/>
            </w:r>
            <w:r w:rsidRPr="00C85BA1">
              <w:rPr>
                <w:rFonts w:ascii="Arial Narrow" w:eastAsia="Calibri" w:hAnsi="Arial Narrow" w:cs="Arial"/>
                <w:sz w:val="20"/>
                <w:szCs w:val="20"/>
              </w:rPr>
              <w:fldChar w:fldCharType="end"/>
            </w:r>
            <w:r w:rsidRPr="00C85BA1">
              <w:rPr>
                <w:rFonts w:ascii="Arial Narrow" w:eastAsia="Calibri" w:hAnsi="Arial Narrow" w:cs="Arial"/>
                <w:sz w:val="20"/>
                <w:szCs w:val="20"/>
              </w:rPr>
              <w:t>Authority Required – Streamlined</w:t>
            </w:r>
          </w:p>
        </w:tc>
      </w:tr>
      <w:tr w:rsidR="004C3BA7" w:rsidRPr="00C85BA1" w14:paraId="547E073C" w14:textId="77777777" w:rsidTr="004C3BA7">
        <w:tc>
          <w:tcPr>
            <w:tcW w:w="5000" w:type="pct"/>
            <w:vAlign w:val="center"/>
          </w:tcPr>
          <w:p w14:paraId="1E0582F7" w14:textId="54498D05"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Administrative Advice:</w:t>
            </w:r>
            <w:r w:rsidR="002C524F">
              <w:rPr>
                <w:rFonts w:ascii="Arial Narrow" w:hAnsi="Arial Narrow"/>
                <w:color w:val="333333"/>
                <w:sz w:val="20"/>
                <w:szCs w:val="20"/>
              </w:rPr>
              <w:t xml:space="preserve"> </w:t>
            </w:r>
            <w:r w:rsidRPr="00C85BA1">
              <w:rPr>
                <w:rFonts w:ascii="Arial Narrow" w:hAnsi="Arial Narrow"/>
                <w:color w:val="333333"/>
                <w:sz w:val="20"/>
                <w:szCs w:val="20"/>
              </w:rPr>
              <w:t>Special Pricing Arrangements apply</w:t>
            </w:r>
          </w:p>
        </w:tc>
      </w:tr>
      <w:tr w:rsidR="004C3BA7" w:rsidRPr="00C85BA1" w14:paraId="7567753F" w14:textId="77777777" w:rsidTr="004C3BA7">
        <w:tc>
          <w:tcPr>
            <w:tcW w:w="5000" w:type="pct"/>
            <w:vAlign w:val="center"/>
          </w:tcPr>
          <w:p w14:paraId="4C33AC57" w14:textId="77777777" w:rsidR="004C3BA7" w:rsidRPr="00C85BA1" w:rsidRDefault="004C3BA7" w:rsidP="00164E49">
            <w:pPr>
              <w:jc w:val="left"/>
              <w:rPr>
                <w:rFonts w:ascii="Arial Narrow" w:hAnsi="Arial Narrow"/>
                <w:bCs/>
                <w:color w:val="333333"/>
                <w:sz w:val="20"/>
                <w:szCs w:val="20"/>
              </w:rPr>
            </w:pPr>
            <w:r w:rsidRPr="00C85BA1">
              <w:rPr>
                <w:rFonts w:ascii="Arial Narrow" w:hAnsi="Arial Narrow"/>
                <w:b/>
                <w:bCs/>
                <w:color w:val="333333"/>
                <w:sz w:val="20"/>
                <w:szCs w:val="20"/>
              </w:rPr>
              <w:lastRenderedPageBreak/>
              <w:t xml:space="preserve">Episodicity: </w:t>
            </w:r>
            <w:r w:rsidRPr="00C85BA1">
              <w:rPr>
                <w:rFonts w:ascii="Arial Narrow" w:hAnsi="Arial Narrow"/>
                <w:bCs/>
                <w:color w:val="333333"/>
                <w:sz w:val="20"/>
                <w:szCs w:val="20"/>
              </w:rPr>
              <w:t>Chronic</w:t>
            </w:r>
          </w:p>
        </w:tc>
      </w:tr>
      <w:tr w:rsidR="004C3BA7" w:rsidRPr="00C85BA1" w14:paraId="49EAA39A" w14:textId="77777777" w:rsidTr="004C3BA7">
        <w:tc>
          <w:tcPr>
            <w:tcW w:w="5000" w:type="pct"/>
            <w:vAlign w:val="center"/>
          </w:tcPr>
          <w:p w14:paraId="08C35D9A" w14:textId="77777777" w:rsidR="004C3BA7" w:rsidRPr="00C85BA1" w:rsidRDefault="004C3BA7" w:rsidP="00164E49">
            <w:pPr>
              <w:jc w:val="left"/>
              <w:rPr>
                <w:rFonts w:ascii="Arial Narrow" w:hAnsi="Arial Narrow"/>
                <w:b/>
                <w:bCs/>
                <w:color w:val="333333"/>
                <w:sz w:val="20"/>
                <w:szCs w:val="20"/>
              </w:rPr>
            </w:pPr>
            <w:r w:rsidRPr="00C85BA1">
              <w:rPr>
                <w:rFonts w:ascii="Arial Narrow" w:hAnsi="Arial Narrow"/>
                <w:b/>
                <w:bCs/>
                <w:color w:val="333333"/>
                <w:sz w:val="20"/>
                <w:szCs w:val="20"/>
              </w:rPr>
              <w:t xml:space="preserve">Condition: </w:t>
            </w:r>
            <w:r w:rsidRPr="00C85BA1">
              <w:rPr>
                <w:rFonts w:ascii="Arial Narrow" w:hAnsi="Arial Narrow"/>
                <w:bCs/>
                <w:color w:val="333333"/>
                <w:sz w:val="20"/>
                <w:szCs w:val="20"/>
              </w:rPr>
              <w:t>Chronic myeloid leukaemia</w:t>
            </w:r>
          </w:p>
        </w:tc>
      </w:tr>
      <w:tr w:rsidR="004C3BA7" w:rsidRPr="00C85BA1" w14:paraId="5D470955" w14:textId="77777777" w:rsidTr="004C3BA7">
        <w:tc>
          <w:tcPr>
            <w:tcW w:w="5000" w:type="pct"/>
            <w:vAlign w:val="center"/>
            <w:hideMark/>
          </w:tcPr>
          <w:p w14:paraId="6DEAA19E"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Indication:</w:t>
            </w:r>
            <w:r w:rsidRPr="00C85BA1">
              <w:rPr>
                <w:rFonts w:ascii="Arial Narrow" w:hAnsi="Arial Narrow"/>
                <w:color w:val="333333"/>
                <w:sz w:val="20"/>
                <w:szCs w:val="20"/>
              </w:rPr>
              <w:t xml:space="preserve"> Chronic myeloid leukaemia</w:t>
            </w:r>
          </w:p>
        </w:tc>
      </w:tr>
      <w:tr w:rsidR="004C3BA7" w:rsidRPr="00C85BA1" w14:paraId="4CB2B078" w14:textId="77777777" w:rsidTr="004C3BA7">
        <w:tc>
          <w:tcPr>
            <w:tcW w:w="5000" w:type="pct"/>
            <w:vAlign w:val="center"/>
            <w:hideMark/>
          </w:tcPr>
          <w:p w14:paraId="25F1EA35"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Treatment Phase:</w:t>
            </w:r>
            <w:r w:rsidRPr="00C85BA1">
              <w:rPr>
                <w:rFonts w:ascii="Arial Narrow" w:hAnsi="Arial Narrow"/>
                <w:color w:val="333333"/>
                <w:sz w:val="20"/>
                <w:szCs w:val="20"/>
              </w:rPr>
              <w:t xml:space="preserve"> Subsequent continuing treatment</w:t>
            </w:r>
          </w:p>
        </w:tc>
      </w:tr>
      <w:tr w:rsidR="004C3BA7" w:rsidRPr="00C85BA1" w14:paraId="39D3E848" w14:textId="77777777" w:rsidTr="004C3BA7">
        <w:tc>
          <w:tcPr>
            <w:tcW w:w="5000" w:type="pct"/>
            <w:vAlign w:val="center"/>
            <w:hideMark/>
          </w:tcPr>
          <w:p w14:paraId="44CE4FB0"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Clinical criteria:</w:t>
            </w:r>
          </w:p>
        </w:tc>
      </w:tr>
      <w:tr w:rsidR="004C3BA7" w:rsidRPr="00C85BA1" w14:paraId="3E6E8752" w14:textId="77777777" w:rsidTr="004C3BA7">
        <w:tc>
          <w:tcPr>
            <w:tcW w:w="5000" w:type="pct"/>
            <w:vAlign w:val="center"/>
            <w:hideMark/>
          </w:tcPr>
          <w:p w14:paraId="66008EAE"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color w:val="333333"/>
                <w:sz w:val="20"/>
                <w:szCs w:val="20"/>
              </w:rPr>
              <w:t>Patient must have previously received PBS-subsidised treatment with this drug for this condition under the First continuing treatment restriction</w:t>
            </w:r>
            <w:r w:rsidRPr="00C85BA1">
              <w:rPr>
                <w:sz w:val="20"/>
                <w:szCs w:val="20"/>
              </w:rPr>
              <w:t xml:space="preserve"> </w:t>
            </w:r>
          </w:p>
        </w:tc>
      </w:tr>
      <w:tr w:rsidR="004C3BA7" w:rsidRPr="00C85BA1" w14:paraId="406CCE69" w14:textId="77777777" w:rsidTr="004C3BA7">
        <w:tc>
          <w:tcPr>
            <w:tcW w:w="5000" w:type="pct"/>
            <w:vAlign w:val="center"/>
          </w:tcPr>
          <w:p w14:paraId="06BA9EDA" w14:textId="77777777" w:rsidR="004C3BA7" w:rsidRPr="00C85BA1" w:rsidRDefault="004C3BA7" w:rsidP="00164E49">
            <w:pPr>
              <w:jc w:val="left"/>
              <w:rPr>
                <w:rFonts w:ascii="Arial Narrow" w:hAnsi="Arial Narrow"/>
                <w:b/>
                <w:bCs/>
                <w:color w:val="333333"/>
                <w:sz w:val="20"/>
                <w:szCs w:val="20"/>
              </w:rPr>
            </w:pPr>
            <w:r w:rsidRPr="00C85BA1">
              <w:rPr>
                <w:rFonts w:ascii="Arial Narrow" w:hAnsi="Arial Narrow"/>
                <w:b/>
                <w:bCs/>
                <w:color w:val="333333"/>
                <w:sz w:val="20"/>
                <w:szCs w:val="20"/>
              </w:rPr>
              <w:t>AND</w:t>
            </w:r>
          </w:p>
        </w:tc>
      </w:tr>
      <w:tr w:rsidR="004C3BA7" w:rsidRPr="00C85BA1" w14:paraId="656F7116" w14:textId="77777777" w:rsidTr="004C3BA7">
        <w:tc>
          <w:tcPr>
            <w:tcW w:w="5000" w:type="pct"/>
            <w:vAlign w:val="center"/>
          </w:tcPr>
          <w:p w14:paraId="68782D51" w14:textId="77777777" w:rsidR="004C3BA7" w:rsidRPr="00F814FE" w:rsidRDefault="004C3BA7" w:rsidP="00164E49">
            <w:pPr>
              <w:jc w:val="left"/>
              <w:rPr>
                <w:rFonts w:ascii="Arial Narrow" w:hAnsi="Arial Narrow"/>
                <w:b/>
                <w:bCs/>
                <w:strike/>
                <w:color w:val="333333"/>
                <w:sz w:val="20"/>
                <w:szCs w:val="20"/>
              </w:rPr>
            </w:pPr>
            <w:r w:rsidRPr="00F814FE">
              <w:rPr>
                <w:rFonts w:ascii="Arial Narrow" w:hAnsi="Arial Narrow"/>
                <w:b/>
                <w:bCs/>
                <w:strike/>
                <w:color w:val="333333"/>
                <w:sz w:val="20"/>
                <w:szCs w:val="20"/>
              </w:rPr>
              <w:t>Clinical criteria:</w:t>
            </w:r>
          </w:p>
        </w:tc>
      </w:tr>
      <w:tr w:rsidR="004C3BA7" w:rsidRPr="00C85BA1" w14:paraId="33833398" w14:textId="77777777" w:rsidTr="004C3BA7">
        <w:tc>
          <w:tcPr>
            <w:tcW w:w="5000" w:type="pct"/>
            <w:vAlign w:val="center"/>
          </w:tcPr>
          <w:p w14:paraId="14239120" w14:textId="77777777" w:rsidR="004C3BA7" w:rsidRPr="00F814FE" w:rsidRDefault="004C3BA7" w:rsidP="00164E49">
            <w:pPr>
              <w:jc w:val="left"/>
              <w:rPr>
                <w:rFonts w:ascii="Arial Narrow" w:hAnsi="Arial Narrow"/>
                <w:strike/>
                <w:color w:val="333333"/>
                <w:sz w:val="20"/>
                <w:szCs w:val="20"/>
              </w:rPr>
            </w:pPr>
            <w:r w:rsidRPr="00F814FE">
              <w:rPr>
                <w:rFonts w:ascii="Arial Narrow" w:hAnsi="Arial Narrow"/>
                <w:strike/>
                <w:color w:val="333333"/>
                <w:sz w:val="20"/>
                <w:szCs w:val="20"/>
              </w:rPr>
              <w:t>Patient must have previously demonstrated to be expressing the T315I mutation confirmed through a bone marrow biopsy pathology report</w:t>
            </w:r>
          </w:p>
        </w:tc>
      </w:tr>
      <w:tr w:rsidR="004C3BA7" w:rsidRPr="00C85BA1" w14:paraId="2D6EBC63" w14:textId="77777777" w:rsidTr="004C3BA7">
        <w:tc>
          <w:tcPr>
            <w:tcW w:w="5000" w:type="pct"/>
            <w:vAlign w:val="center"/>
            <w:hideMark/>
          </w:tcPr>
          <w:p w14:paraId="1C48BC5B" w14:textId="77777777" w:rsidR="004C3BA7" w:rsidRPr="00F814FE" w:rsidRDefault="004C3BA7" w:rsidP="00164E49">
            <w:pPr>
              <w:jc w:val="left"/>
              <w:rPr>
                <w:rFonts w:ascii="Arial Narrow" w:hAnsi="Arial Narrow"/>
                <w:strike/>
                <w:color w:val="333333"/>
                <w:sz w:val="20"/>
                <w:szCs w:val="20"/>
              </w:rPr>
            </w:pPr>
            <w:r w:rsidRPr="00F814FE">
              <w:rPr>
                <w:rFonts w:ascii="Arial Narrow" w:hAnsi="Arial Narrow"/>
                <w:b/>
                <w:bCs/>
                <w:strike/>
                <w:color w:val="333333"/>
                <w:sz w:val="20"/>
                <w:szCs w:val="20"/>
              </w:rPr>
              <w:t>AND</w:t>
            </w:r>
          </w:p>
        </w:tc>
      </w:tr>
      <w:tr w:rsidR="004C3BA7" w:rsidRPr="00C85BA1" w14:paraId="176E5DDA" w14:textId="77777777" w:rsidTr="004C3BA7">
        <w:tc>
          <w:tcPr>
            <w:tcW w:w="5000" w:type="pct"/>
            <w:vAlign w:val="center"/>
            <w:hideMark/>
          </w:tcPr>
          <w:p w14:paraId="7D14863A"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Clinical criteria:</w:t>
            </w:r>
          </w:p>
        </w:tc>
      </w:tr>
      <w:tr w:rsidR="004C3BA7" w:rsidRPr="00C85BA1" w14:paraId="15CBD41E" w14:textId="77777777" w:rsidTr="004C3BA7">
        <w:trPr>
          <w:trHeight w:val="49"/>
        </w:trPr>
        <w:tc>
          <w:tcPr>
            <w:tcW w:w="5000" w:type="pct"/>
            <w:vAlign w:val="center"/>
            <w:hideMark/>
          </w:tcPr>
          <w:p w14:paraId="7BD42CE9"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color w:val="333333"/>
                <w:sz w:val="20"/>
                <w:szCs w:val="20"/>
              </w:rPr>
              <w:t>The treatment must be the sole PBS-subsidised therapy for this condition</w:t>
            </w:r>
          </w:p>
        </w:tc>
      </w:tr>
      <w:tr w:rsidR="004C3BA7" w:rsidRPr="00C85BA1" w14:paraId="1C2CA524" w14:textId="77777777" w:rsidTr="004C3BA7">
        <w:tc>
          <w:tcPr>
            <w:tcW w:w="5000" w:type="pct"/>
            <w:vAlign w:val="center"/>
            <w:hideMark/>
          </w:tcPr>
          <w:p w14:paraId="468CA1EC"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AND</w:t>
            </w:r>
          </w:p>
        </w:tc>
      </w:tr>
      <w:tr w:rsidR="004C3BA7" w:rsidRPr="00C85BA1" w14:paraId="61E010C6" w14:textId="77777777" w:rsidTr="004C3BA7">
        <w:tc>
          <w:tcPr>
            <w:tcW w:w="5000" w:type="pct"/>
            <w:vAlign w:val="center"/>
            <w:hideMark/>
          </w:tcPr>
          <w:p w14:paraId="5242A5D0"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Clinical criteria:</w:t>
            </w:r>
          </w:p>
        </w:tc>
      </w:tr>
      <w:tr w:rsidR="004C3BA7" w:rsidRPr="00C85BA1" w14:paraId="69DAEB8C" w14:textId="77777777" w:rsidTr="004C3BA7">
        <w:tc>
          <w:tcPr>
            <w:tcW w:w="5000" w:type="pct"/>
            <w:vAlign w:val="center"/>
            <w:hideMark/>
          </w:tcPr>
          <w:p w14:paraId="0241A843"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color w:val="333333"/>
                <w:sz w:val="20"/>
                <w:szCs w:val="20"/>
              </w:rPr>
              <w:t>Patient must have maintained a major cytogenic response at 12 month intervals; OR</w:t>
            </w:r>
          </w:p>
          <w:p w14:paraId="2BE0CB10"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color w:val="333333"/>
                <w:sz w:val="20"/>
                <w:szCs w:val="20"/>
              </w:rPr>
              <w:t>Patient must have maintained a peripheral blood level of BCR-ABL of less than 1% at 12 month intervals</w:t>
            </w:r>
          </w:p>
        </w:tc>
      </w:tr>
    </w:tbl>
    <w:p w14:paraId="2D6FA369" w14:textId="77777777" w:rsidR="000D3AF3" w:rsidRDefault="000D3AF3" w:rsidP="00612E18">
      <w:pPr>
        <w:pStyle w:val="Caption"/>
        <w:spacing w:after="0"/>
        <w:rPr>
          <w:rFonts w:eastAsia="Calibri"/>
          <w:b/>
          <w:bCs/>
          <w:i w:val="0"/>
          <w:iCs w:val="0"/>
          <w:color w:val="auto"/>
          <w:sz w:val="24"/>
          <w:szCs w:val="24"/>
        </w:rPr>
      </w:pPr>
      <w:bookmarkStart w:id="12" w:name="_Toc112315921"/>
    </w:p>
    <w:p w14:paraId="2B78C597" w14:textId="685F5C95" w:rsidR="006C1A93" w:rsidRPr="00612E18" w:rsidRDefault="006C1A93" w:rsidP="00612E18">
      <w:pPr>
        <w:pStyle w:val="Caption"/>
        <w:spacing w:after="0"/>
        <w:rPr>
          <w:rFonts w:eastAsia="Calibri"/>
          <w:b/>
          <w:bCs/>
          <w:i w:val="0"/>
          <w:iCs w:val="0"/>
          <w:color w:val="auto"/>
          <w:sz w:val="24"/>
          <w:szCs w:val="24"/>
        </w:rPr>
      </w:pPr>
      <w:r w:rsidRPr="00612E18">
        <w:rPr>
          <w:rFonts w:eastAsia="Calibri"/>
          <w:b/>
          <w:bCs/>
          <w:i w:val="0"/>
          <w:iCs w:val="0"/>
          <w:color w:val="auto"/>
          <w:sz w:val="24"/>
          <w:szCs w:val="24"/>
        </w:rPr>
        <w:t>Grandfather patients (</w:t>
      </w:r>
      <w:r w:rsidRPr="00612E18">
        <w:rPr>
          <w:rFonts w:eastAsia="Calibri" w:cs="Calibri"/>
          <w:b/>
          <w:bCs/>
          <w:i w:val="0"/>
          <w:iCs w:val="0"/>
          <w:color w:val="auto"/>
          <w:sz w:val="24"/>
          <w:szCs w:val="24"/>
        </w:rPr>
        <w:t>≥</w:t>
      </w:r>
      <w:r w:rsidRPr="00612E18">
        <w:rPr>
          <w:rFonts w:eastAsia="Calibri"/>
          <w:b/>
          <w:bCs/>
          <w:i w:val="0"/>
          <w:iCs w:val="0"/>
          <w:color w:val="auto"/>
          <w:sz w:val="24"/>
          <w:szCs w:val="24"/>
        </w:rPr>
        <w:t>1 prior TKI and T315I mutation)</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4C3BA7" w:rsidRPr="00C85BA1" w14:paraId="50CFAA22" w14:textId="77777777" w:rsidTr="004C3BA7">
        <w:tc>
          <w:tcPr>
            <w:tcW w:w="5000" w:type="pct"/>
            <w:tcBorders>
              <w:top w:val="single" w:sz="4" w:space="0" w:color="auto"/>
              <w:left w:val="single" w:sz="4" w:space="0" w:color="auto"/>
              <w:bottom w:val="single" w:sz="4" w:space="0" w:color="auto"/>
              <w:right w:val="single" w:sz="4" w:space="0" w:color="auto"/>
            </w:tcBorders>
          </w:tcPr>
          <w:p w14:paraId="335C3AA9" w14:textId="77777777" w:rsidR="004C3BA7" w:rsidRPr="00C85BA1" w:rsidRDefault="004C3BA7" w:rsidP="00164E49">
            <w:pPr>
              <w:rPr>
                <w:rFonts w:ascii="Arial Narrow" w:eastAsia="Calibri" w:hAnsi="Arial Narrow" w:cs="Arial"/>
                <w:sz w:val="20"/>
                <w:szCs w:val="20"/>
              </w:rPr>
            </w:pPr>
            <w:r w:rsidRPr="00C85BA1">
              <w:rPr>
                <w:rFonts w:ascii="Arial Narrow" w:eastAsia="Calibri" w:hAnsi="Arial Narrow" w:cs="Arial"/>
                <w:b/>
                <w:sz w:val="20"/>
                <w:szCs w:val="20"/>
              </w:rPr>
              <w:t xml:space="preserve">Category / Program:   </w:t>
            </w:r>
          </w:p>
          <w:p w14:paraId="74433185" w14:textId="77777777" w:rsidR="004C3BA7" w:rsidRPr="00C85BA1" w:rsidRDefault="004C3BA7" w:rsidP="00164E49">
            <w:pPr>
              <w:rPr>
                <w:rFonts w:ascii="Arial Narrow" w:eastAsia="Calibri" w:hAnsi="Arial Narrow" w:cs="Arial"/>
                <w:sz w:val="20"/>
                <w:szCs w:val="20"/>
              </w:rPr>
            </w:pPr>
            <w:r w:rsidRPr="00C85BA1">
              <w:rPr>
                <w:rFonts w:ascii="Arial Narrow" w:eastAsia="Calibri" w:hAnsi="Arial Narrow" w:cs="Arial"/>
                <w:sz w:val="20"/>
                <w:szCs w:val="20"/>
              </w:rPr>
              <w:t xml:space="preserve">GENERAL – General Schedule (Code GE) </w:t>
            </w:r>
          </w:p>
        </w:tc>
      </w:tr>
      <w:tr w:rsidR="004C3BA7" w:rsidRPr="00C85BA1" w14:paraId="7078880B" w14:textId="77777777" w:rsidTr="004C3BA7">
        <w:trPr>
          <w:trHeight w:val="240"/>
        </w:trPr>
        <w:tc>
          <w:tcPr>
            <w:tcW w:w="5000" w:type="pct"/>
            <w:tcBorders>
              <w:top w:val="single" w:sz="4" w:space="0" w:color="auto"/>
              <w:left w:val="single" w:sz="4" w:space="0" w:color="auto"/>
              <w:bottom w:val="single" w:sz="4" w:space="0" w:color="auto"/>
              <w:right w:val="single" w:sz="4" w:space="0" w:color="auto"/>
            </w:tcBorders>
          </w:tcPr>
          <w:p w14:paraId="37CDE28A" w14:textId="03A383BE" w:rsidR="004C3BA7" w:rsidRPr="00C85BA1" w:rsidRDefault="004C3BA7" w:rsidP="00164E49">
            <w:pPr>
              <w:rPr>
                <w:rFonts w:ascii="Arial Narrow" w:eastAsia="Calibri" w:hAnsi="Arial Narrow" w:cs="Arial"/>
                <w:b/>
                <w:sz w:val="20"/>
                <w:szCs w:val="20"/>
              </w:rPr>
            </w:pPr>
            <w:r w:rsidRPr="00C85BA1">
              <w:rPr>
                <w:rFonts w:ascii="Arial Narrow" w:eastAsia="Calibri" w:hAnsi="Arial Narrow" w:cs="Arial"/>
                <w:b/>
                <w:sz w:val="20"/>
                <w:szCs w:val="20"/>
              </w:rPr>
              <w:t xml:space="preserve">Prescriber type:   </w:t>
            </w:r>
            <w:r w:rsidRPr="00C85BA1">
              <w:rPr>
                <w:rFonts w:ascii="Arial Narrow" w:eastAsia="Calibri" w:hAnsi="Arial Narrow" w:cs="Arial"/>
                <w:sz w:val="20"/>
                <w:szCs w:val="20"/>
              </w:rPr>
              <w:fldChar w:fldCharType="begin" w:fldLock="1">
                <w:ffData>
                  <w:name w:val=""/>
                  <w:enabled/>
                  <w:calcOnExit w:val="0"/>
                  <w:checkBox>
                    <w:sizeAuto/>
                    <w:default w:val="1"/>
                  </w:checkBox>
                </w:ffData>
              </w:fldChar>
            </w:r>
            <w:r w:rsidRPr="00C85BA1">
              <w:rPr>
                <w:rFonts w:ascii="Arial Narrow" w:eastAsia="Calibri" w:hAnsi="Arial Narrow" w:cs="Arial"/>
                <w:sz w:val="20"/>
                <w:szCs w:val="20"/>
              </w:rPr>
              <w:instrText xml:space="preserve"> FORMCHECKBOX </w:instrText>
            </w:r>
            <w:r w:rsidR="00E53C72">
              <w:rPr>
                <w:rFonts w:ascii="Arial Narrow" w:eastAsia="Calibri" w:hAnsi="Arial Narrow" w:cs="Arial"/>
                <w:sz w:val="20"/>
                <w:szCs w:val="20"/>
              </w:rPr>
            </w:r>
            <w:r w:rsidR="00E53C72">
              <w:rPr>
                <w:rFonts w:ascii="Arial Narrow" w:eastAsia="Calibri" w:hAnsi="Arial Narrow" w:cs="Arial"/>
                <w:sz w:val="20"/>
                <w:szCs w:val="20"/>
              </w:rPr>
              <w:fldChar w:fldCharType="separate"/>
            </w:r>
            <w:r w:rsidRPr="00C85BA1">
              <w:rPr>
                <w:rFonts w:ascii="Arial Narrow" w:eastAsia="Calibri" w:hAnsi="Arial Narrow" w:cs="Arial"/>
                <w:sz w:val="20"/>
                <w:szCs w:val="20"/>
              </w:rPr>
              <w:fldChar w:fldCharType="end"/>
            </w:r>
            <w:r w:rsidRPr="00C85BA1">
              <w:rPr>
                <w:rFonts w:ascii="Arial Narrow" w:eastAsia="Calibri" w:hAnsi="Arial Narrow" w:cs="Arial"/>
                <w:sz w:val="20"/>
                <w:szCs w:val="20"/>
              </w:rPr>
              <w:t>Medical Practitioners</w:t>
            </w:r>
          </w:p>
        </w:tc>
      </w:tr>
      <w:tr w:rsidR="004C3BA7" w:rsidRPr="00C85BA1" w14:paraId="7EE1742C" w14:textId="77777777" w:rsidTr="004C3BA7">
        <w:tc>
          <w:tcPr>
            <w:tcW w:w="5000" w:type="pct"/>
            <w:tcBorders>
              <w:top w:val="single" w:sz="4" w:space="0" w:color="auto"/>
              <w:left w:val="single" w:sz="4" w:space="0" w:color="auto"/>
              <w:bottom w:val="single" w:sz="4" w:space="0" w:color="auto"/>
              <w:right w:val="single" w:sz="4" w:space="0" w:color="auto"/>
            </w:tcBorders>
          </w:tcPr>
          <w:p w14:paraId="26680055" w14:textId="527FCB7F" w:rsidR="004C3BA7" w:rsidRPr="00C85BA1" w:rsidRDefault="004C3BA7" w:rsidP="001C1571">
            <w:pPr>
              <w:jc w:val="left"/>
              <w:rPr>
                <w:rFonts w:ascii="Arial Narrow" w:eastAsia="Calibri" w:hAnsi="Arial Narrow" w:cs="Arial"/>
                <w:sz w:val="20"/>
                <w:szCs w:val="20"/>
              </w:rPr>
            </w:pPr>
            <w:r w:rsidRPr="00C85BA1">
              <w:rPr>
                <w:rFonts w:ascii="Arial Narrow" w:eastAsia="Calibri" w:hAnsi="Arial Narrow" w:cs="Arial"/>
                <w:b/>
                <w:sz w:val="20"/>
                <w:szCs w:val="20"/>
              </w:rPr>
              <w:t>Restriction Type</w:t>
            </w:r>
            <w:r w:rsidR="002C524F">
              <w:rPr>
                <w:rFonts w:ascii="Arial Narrow" w:eastAsia="Calibri" w:hAnsi="Arial Narrow" w:cs="Arial"/>
                <w:b/>
                <w:sz w:val="20"/>
                <w:szCs w:val="20"/>
              </w:rPr>
              <w:t xml:space="preserve">: </w:t>
            </w:r>
            <w:r w:rsidRPr="00C85BA1">
              <w:rPr>
                <w:rFonts w:ascii="Arial Narrow" w:eastAsia="Calibri" w:hAnsi="Arial Narrow" w:cs="Arial"/>
                <w:sz w:val="20"/>
                <w:szCs w:val="20"/>
              </w:rPr>
              <w:fldChar w:fldCharType="begin" w:fldLock="1">
                <w:ffData>
                  <w:name w:val=""/>
                  <w:enabled/>
                  <w:calcOnExit w:val="0"/>
                  <w:checkBox>
                    <w:sizeAuto/>
                    <w:default w:val="1"/>
                  </w:checkBox>
                </w:ffData>
              </w:fldChar>
            </w:r>
            <w:r w:rsidRPr="00C85BA1">
              <w:rPr>
                <w:rFonts w:ascii="Arial Narrow" w:eastAsia="Calibri" w:hAnsi="Arial Narrow" w:cs="Arial"/>
                <w:sz w:val="20"/>
                <w:szCs w:val="20"/>
              </w:rPr>
              <w:instrText xml:space="preserve"> FORMCHECKBOX </w:instrText>
            </w:r>
            <w:r w:rsidR="00E53C72">
              <w:rPr>
                <w:rFonts w:ascii="Arial Narrow" w:eastAsia="Calibri" w:hAnsi="Arial Narrow" w:cs="Arial"/>
                <w:sz w:val="20"/>
                <w:szCs w:val="20"/>
              </w:rPr>
            </w:r>
            <w:r w:rsidR="00E53C72">
              <w:rPr>
                <w:rFonts w:ascii="Arial Narrow" w:eastAsia="Calibri" w:hAnsi="Arial Narrow" w:cs="Arial"/>
                <w:sz w:val="20"/>
                <w:szCs w:val="20"/>
              </w:rPr>
              <w:fldChar w:fldCharType="separate"/>
            </w:r>
            <w:r w:rsidRPr="00C85BA1">
              <w:rPr>
                <w:rFonts w:ascii="Arial Narrow" w:eastAsia="Calibri" w:hAnsi="Arial Narrow" w:cs="Arial"/>
                <w:sz w:val="20"/>
                <w:szCs w:val="20"/>
              </w:rPr>
              <w:fldChar w:fldCharType="end"/>
            </w:r>
            <w:r w:rsidRPr="00C85BA1">
              <w:rPr>
                <w:rFonts w:ascii="Arial Narrow" w:eastAsia="Calibri" w:hAnsi="Arial Narrow" w:cs="Arial"/>
                <w:sz w:val="20"/>
                <w:szCs w:val="20"/>
              </w:rPr>
              <w:t>Authority Required – Streamlined</w:t>
            </w:r>
          </w:p>
        </w:tc>
      </w:tr>
      <w:tr w:rsidR="004C3BA7" w:rsidRPr="00C85BA1" w14:paraId="4B1971C2" w14:textId="77777777" w:rsidTr="004C3BA7">
        <w:tc>
          <w:tcPr>
            <w:tcW w:w="5000" w:type="pct"/>
            <w:vAlign w:val="center"/>
          </w:tcPr>
          <w:p w14:paraId="6BC6F7B3" w14:textId="0BAEAD44"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Administrative Advice:</w:t>
            </w:r>
            <w:r w:rsidR="002C524F">
              <w:rPr>
                <w:rFonts w:ascii="Arial Narrow" w:hAnsi="Arial Narrow"/>
                <w:color w:val="333333"/>
                <w:sz w:val="20"/>
                <w:szCs w:val="20"/>
              </w:rPr>
              <w:t xml:space="preserve"> </w:t>
            </w:r>
            <w:r w:rsidRPr="00C85BA1">
              <w:rPr>
                <w:rFonts w:ascii="Arial Narrow" w:hAnsi="Arial Narrow"/>
                <w:color w:val="333333"/>
                <w:sz w:val="20"/>
                <w:szCs w:val="20"/>
              </w:rPr>
              <w:t>Special Pricing Arrangements apply</w:t>
            </w:r>
          </w:p>
        </w:tc>
      </w:tr>
      <w:tr w:rsidR="004C3BA7" w:rsidRPr="00C85BA1" w14:paraId="4C6B7797" w14:textId="77777777" w:rsidTr="004C3BA7">
        <w:tc>
          <w:tcPr>
            <w:tcW w:w="5000" w:type="pct"/>
            <w:vAlign w:val="center"/>
          </w:tcPr>
          <w:p w14:paraId="3F69799E" w14:textId="77777777" w:rsidR="004C3BA7" w:rsidRPr="00C85BA1" w:rsidRDefault="004C3BA7" w:rsidP="00164E49">
            <w:pPr>
              <w:jc w:val="left"/>
              <w:rPr>
                <w:rFonts w:ascii="Arial Narrow" w:hAnsi="Arial Narrow"/>
                <w:bCs/>
                <w:color w:val="333333"/>
                <w:sz w:val="20"/>
                <w:szCs w:val="20"/>
              </w:rPr>
            </w:pPr>
            <w:r w:rsidRPr="00C85BA1">
              <w:rPr>
                <w:rFonts w:ascii="Arial Narrow" w:hAnsi="Arial Narrow"/>
                <w:b/>
                <w:bCs/>
                <w:color w:val="333333"/>
                <w:sz w:val="20"/>
                <w:szCs w:val="20"/>
              </w:rPr>
              <w:t xml:space="preserve">Episodicity: </w:t>
            </w:r>
            <w:r w:rsidRPr="00C85BA1">
              <w:rPr>
                <w:rFonts w:ascii="Arial Narrow" w:hAnsi="Arial Narrow"/>
                <w:bCs/>
                <w:color w:val="333333"/>
                <w:sz w:val="20"/>
                <w:szCs w:val="20"/>
              </w:rPr>
              <w:t>Chronic</w:t>
            </w:r>
          </w:p>
        </w:tc>
      </w:tr>
      <w:tr w:rsidR="004C3BA7" w:rsidRPr="00C85BA1" w14:paraId="4FEE30A0" w14:textId="77777777" w:rsidTr="004C3BA7">
        <w:tc>
          <w:tcPr>
            <w:tcW w:w="5000" w:type="pct"/>
            <w:vAlign w:val="center"/>
          </w:tcPr>
          <w:p w14:paraId="71CC9146" w14:textId="77777777" w:rsidR="004C3BA7" w:rsidRPr="00C85BA1" w:rsidRDefault="004C3BA7" w:rsidP="00164E49">
            <w:pPr>
              <w:jc w:val="left"/>
              <w:rPr>
                <w:rFonts w:ascii="Arial Narrow" w:hAnsi="Arial Narrow"/>
                <w:b/>
                <w:bCs/>
                <w:color w:val="333333"/>
                <w:sz w:val="20"/>
                <w:szCs w:val="20"/>
              </w:rPr>
            </w:pPr>
            <w:r w:rsidRPr="00C85BA1">
              <w:rPr>
                <w:rFonts w:ascii="Arial Narrow" w:hAnsi="Arial Narrow"/>
                <w:b/>
                <w:bCs/>
                <w:color w:val="333333"/>
                <w:sz w:val="20"/>
                <w:szCs w:val="20"/>
              </w:rPr>
              <w:t xml:space="preserve">Condition: </w:t>
            </w:r>
            <w:r w:rsidRPr="00C85BA1">
              <w:rPr>
                <w:rFonts w:ascii="Arial Narrow" w:hAnsi="Arial Narrow"/>
                <w:bCs/>
                <w:color w:val="333333"/>
                <w:sz w:val="20"/>
                <w:szCs w:val="20"/>
              </w:rPr>
              <w:t>Chronic myeloid leukaemia</w:t>
            </w:r>
          </w:p>
        </w:tc>
      </w:tr>
      <w:tr w:rsidR="004C3BA7" w:rsidRPr="00C85BA1" w14:paraId="1FC1A86C" w14:textId="77777777" w:rsidTr="004C3BA7">
        <w:tc>
          <w:tcPr>
            <w:tcW w:w="5000" w:type="pct"/>
            <w:vAlign w:val="center"/>
            <w:hideMark/>
          </w:tcPr>
          <w:p w14:paraId="28C81B07"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Indication:</w:t>
            </w:r>
            <w:r w:rsidRPr="00C85BA1">
              <w:rPr>
                <w:rFonts w:ascii="Arial Narrow" w:hAnsi="Arial Narrow"/>
                <w:color w:val="333333"/>
                <w:sz w:val="20"/>
                <w:szCs w:val="20"/>
              </w:rPr>
              <w:t xml:space="preserve"> Chronic myeloid leukaemia</w:t>
            </w:r>
          </w:p>
        </w:tc>
      </w:tr>
      <w:tr w:rsidR="004C3BA7" w:rsidRPr="00C85BA1" w14:paraId="27DE2370" w14:textId="77777777" w:rsidTr="004C3BA7">
        <w:tc>
          <w:tcPr>
            <w:tcW w:w="5000" w:type="pct"/>
            <w:vAlign w:val="center"/>
            <w:hideMark/>
          </w:tcPr>
          <w:p w14:paraId="005DC1BD"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Treatment Phase:</w:t>
            </w:r>
            <w:r w:rsidRPr="00C85BA1">
              <w:rPr>
                <w:rFonts w:ascii="Arial Narrow" w:hAnsi="Arial Narrow"/>
                <w:color w:val="333333"/>
                <w:sz w:val="20"/>
                <w:szCs w:val="20"/>
              </w:rPr>
              <w:t xml:space="preserve"> Grandfather </w:t>
            </w:r>
          </w:p>
        </w:tc>
      </w:tr>
      <w:tr w:rsidR="004C3BA7" w:rsidRPr="00C85BA1" w14:paraId="1A04DBC2" w14:textId="77777777" w:rsidTr="004C3BA7">
        <w:tc>
          <w:tcPr>
            <w:tcW w:w="5000" w:type="pct"/>
            <w:vAlign w:val="center"/>
            <w:hideMark/>
          </w:tcPr>
          <w:p w14:paraId="52296B43"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Clinical criteria:</w:t>
            </w:r>
          </w:p>
        </w:tc>
      </w:tr>
      <w:tr w:rsidR="004C3BA7" w:rsidRPr="00C85BA1" w14:paraId="5171BE01" w14:textId="77777777" w:rsidTr="004C3BA7">
        <w:tc>
          <w:tcPr>
            <w:tcW w:w="5000" w:type="pct"/>
            <w:vAlign w:val="center"/>
            <w:hideMark/>
          </w:tcPr>
          <w:p w14:paraId="17346E22"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color w:val="333333"/>
                <w:sz w:val="20"/>
                <w:szCs w:val="20"/>
              </w:rPr>
              <w:t>Patient must have previously received non-PBS subsidised with this drug for this condition prior to [list date]</w:t>
            </w:r>
            <w:r w:rsidRPr="00C85BA1">
              <w:rPr>
                <w:rFonts w:ascii="Arial Narrow" w:hAnsi="Arial Narrow"/>
                <w:sz w:val="20"/>
                <w:szCs w:val="20"/>
              </w:rPr>
              <w:t xml:space="preserve"> </w:t>
            </w:r>
          </w:p>
        </w:tc>
      </w:tr>
      <w:tr w:rsidR="004C3BA7" w:rsidRPr="00C85BA1" w14:paraId="565BAA66" w14:textId="77777777" w:rsidTr="004C3BA7">
        <w:tc>
          <w:tcPr>
            <w:tcW w:w="5000" w:type="pct"/>
            <w:vAlign w:val="center"/>
          </w:tcPr>
          <w:p w14:paraId="0D6427E8" w14:textId="77777777" w:rsidR="004C3BA7" w:rsidRPr="00C85BA1" w:rsidRDefault="004C3BA7" w:rsidP="00164E49">
            <w:pPr>
              <w:jc w:val="left"/>
              <w:rPr>
                <w:rFonts w:ascii="Arial Narrow" w:hAnsi="Arial Narrow"/>
                <w:b/>
                <w:bCs/>
                <w:color w:val="333333"/>
                <w:sz w:val="20"/>
                <w:szCs w:val="20"/>
              </w:rPr>
            </w:pPr>
            <w:r w:rsidRPr="00C85BA1">
              <w:rPr>
                <w:rFonts w:ascii="Arial Narrow" w:hAnsi="Arial Narrow"/>
                <w:b/>
                <w:bCs/>
                <w:color w:val="333333"/>
                <w:sz w:val="20"/>
                <w:szCs w:val="20"/>
              </w:rPr>
              <w:t>AND</w:t>
            </w:r>
          </w:p>
        </w:tc>
      </w:tr>
      <w:tr w:rsidR="004C3BA7" w:rsidRPr="00C85BA1" w14:paraId="2B6CEE13" w14:textId="77777777" w:rsidTr="004C3BA7">
        <w:tc>
          <w:tcPr>
            <w:tcW w:w="5000" w:type="pct"/>
            <w:vAlign w:val="center"/>
          </w:tcPr>
          <w:p w14:paraId="73BCC20A" w14:textId="77777777" w:rsidR="004C3BA7" w:rsidRPr="00C85BA1" w:rsidRDefault="004C3BA7" w:rsidP="00164E49">
            <w:pPr>
              <w:jc w:val="left"/>
              <w:rPr>
                <w:rFonts w:ascii="Arial Narrow" w:hAnsi="Arial Narrow"/>
                <w:b/>
                <w:bCs/>
                <w:color w:val="333333"/>
                <w:sz w:val="20"/>
                <w:szCs w:val="20"/>
              </w:rPr>
            </w:pPr>
            <w:r w:rsidRPr="00C85BA1">
              <w:rPr>
                <w:rFonts w:ascii="Arial Narrow" w:hAnsi="Arial Narrow"/>
                <w:b/>
                <w:bCs/>
                <w:color w:val="333333"/>
                <w:sz w:val="20"/>
                <w:szCs w:val="20"/>
              </w:rPr>
              <w:t>Clinical criteria:</w:t>
            </w:r>
          </w:p>
        </w:tc>
      </w:tr>
      <w:tr w:rsidR="004C3BA7" w:rsidRPr="00C85BA1" w14:paraId="1C9EF0BB" w14:textId="77777777" w:rsidTr="004C3BA7">
        <w:tc>
          <w:tcPr>
            <w:tcW w:w="5000" w:type="pct"/>
            <w:vAlign w:val="center"/>
          </w:tcPr>
          <w:p w14:paraId="565882CE"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color w:val="333333"/>
                <w:sz w:val="20"/>
                <w:szCs w:val="20"/>
              </w:rPr>
              <w:t>Patient must have previously demonstrated to be expressing the T315I mutation confirmed through a bone marrow biopsy pathology report</w:t>
            </w:r>
          </w:p>
        </w:tc>
      </w:tr>
      <w:tr w:rsidR="004C3BA7" w:rsidRPr="00C85BA1" w14:paraId="5DB5FBB5" w14:textId="77777777" w:rsidTr="004C3BA7">
        <w:tc>
          <w:tcPr>
            <w:tcW w:w="5000" w:type="pct"/>
            <w:vAlign w:val="center"/>
            <w:hideMark/>
          </w:tcPr>
          <w:p w14:paraId="64B70E8C"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AND</w:t>
            </w:r>
          </w:p>
        </w:tc>
      </w:tr>
      <w:tr w:rsidR="004C3BA7" w:rsidRPr="00C85BA1" w14:paraId="2BC5E899" w14:textId="77777777" w:rsidTr="004C3BA7">
        <w:tc>
          <w:tcPr>
            <w:tcW w:w="5000" w:type="pct"/>
            <w:vAlign w:val="center"/>
            <w:hideMark/>
          </w:tcPr>
          <w:p w14:paraId="0C4AC721"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Clinical criteria:</w:t>
            </w:r>
          </w:p>
        </w:tc>
      </w:tr>
      <w:tr w:rsidR="004C3BA7" w:rsidRPr="00C85BA1" w14:paraId="40B000A2" w14:textId="77777777" w:rsidTr="004C3BA7">
        <w:tc>
          <w:tcPr>
            <w:tcW w:w="5000" w:type="pct"/>
            <w:vAlign w:val="center"/>
            <w:hideMark/>
          </w:tcPr>
          <w:p w14:paraId="57ADC6C9"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color w:val="333333"/>
                <w:sz w:val="20"/>
                <w:szCs w:val="20"/>
              </w:rPr>
              <w:t>The treatment must be the sole PBS-subsidised therapy for this condition</w:t>
            </w:r>
          </w:p>
        </w:tc>
      </w:tr>
      <w:tr w:rsidR="004C3BA7" w:rsidRPr="00C85BA1" w14:paraId="0BD863A7" w14:textId="77777777" w:rsidTr="004C3BA7">
        <w:tc>
          <w:tcPr>
            <w:tcW w:w="5000" w:type="pct"/>
            <w:vAlign w:val="center"/>
            <w:hideMark/>
          </w:tcPr>
          <w:p w14:paraId="362385FF"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AND</w:t>
            </w:r>
          </w:p>
        </w:tc>
      </w:tr>
      <w:tr w:rsidR="004C3BA7" w:rsidRPr="00C85BA1" w14:paraId="0CC188DE" w14:textId="77777777" w:rsidTr="004C3BA7">
        <w:tc>
          <w:tcPr>
            <w:tcW w:w="5000" w:type="pct"/>
            <w:vAlign w:val="center"/>
            <w:hideMark/>
          </w:tcPr>
          <w:p w14:paraId="7CB0267D"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Clinical criteria:</w:t>
            </w:r>
          </w:p>
        </w:tc>
      </w:tr>
      <w:tr w:rsidR="004C3BA7" w:rsidRPr="00C85BA1" w14:paraId="5F29DB87" w14:textId="77777777" w:rsidTr="004C3BA7">
        <w:tc>
          <w:tcPr>
            <w:tcW w:w="5000" w:type="pct"/>
            <w:vAlign w:val="center"/>
            <w:hideMark/>
          </w:tcPr>
          <w:p w14:paraId="2AC83F1C" w14:textId="41FD7F6F" w:rsidR="004A7BE4" w:rsidRPr="00C85BA1" w:rsidRDefault="004C3BA7" w:rsidP="004A7BE4">
            <w:pPr>
              <w:jc w:val="left"/>
              <w:rPr>
                <w:rFonts w:ascii="Arial Narrow" w:hAnsi="Arial Narrow"/>
                <w:color w:val="333333"/>
                <w:sz w:val="20"/>
                <w:szCs w:val="20"/>
              </w:rPr>
            </w:pPr>
            <w:r w:rsidRPr="00C85BA1">
              <w:rPr>
                <w:rFonts w:ascii="Arial Narrow" w:hAnsi="Arial Narrow"/>
                <w:color w:val="333333"/>
                <w:sz w:val="20"/>
                <w:szCs w:val="20"/>
              </w:rPr>
              <w:t>The condition must be in the chronic phase</w:t>
            </w:r>
            <w:r w:rsidR="004A7BE4" w:rsidRPr="00C85BA1">
              <w:rPr>
                <w:rFonts w:ascii="Arial Narrow" w:hAnsi="Arial Narrow"/>
                <w:color w:val="333333"/>
                <w:sz w:val="20"/>
                <w:szCs w:val="20"/>
              </w:rPr>
              <w:t xml:space="preserve"> </w:t>
            </w:r>
          </w:p>
        </w:tc>
      </w:tr>
      <w:tr w:rsidR="004C3BA7" w:rsidRPr="00C85BA1" w14:paraId="3EB0C9F1" w14:textId="77777777" w:rsidTr="004C3BA7">
        <w:tc>
          <w:tcPr>
            <w:tcW w:w="5000" w:type="pct"/>
            <w:vAlign w:val="center"/>
          </w:tcPr>
          <w:p w14:paraId="65EFE1A8"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AND</w:t>
            </w:r>
          </w:p>
        </w:tc>
      </w:tr>
      <w:tr w:rsidR="004C3BA7" w:rsidRPr="00C85BA1" w14:paraId="1899A762" w14:textId="77777777" w:rsidTr="004C3BA7">
        <w:tc>
          <w:tcPr>
            <w:tcW w:w="5000" w:type="pct"/>
            <w:vAlign w:val="center"/>
          </w:tcPr>
          <w:p w14:paraId="71E27B1B"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b/>
                <w:bCs/>
                <w:color w:val="333333"/>
                <w:sz w:val="20"/>
                <w:szCs w:val="20"/>
              </w:rPr>
              <w:t>Clinical criteria:</w:t>
            </w:r>
          </w:p>
        </w:tc>
      </w:tr>
      <w:tr w:rsidR="004C3BA7" w:rsidRPr="00C85BA1" w14:paraId="74A416AC" w14:textId="77777777" w:rsidTr="004C3BA7">
        <w:tc>
          <w:tcPr>
            <w:tcW w:w="5000" w:type="pct"/>
            <w:vAlign w:val="center"/>
          </w:tcPr>
          <w:p w14:paraId="5FC919BF"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color w:val="333333"/>
                <w:sz w:val="20"/>
                <w:szCs w:val="20"/>
              </w:rPr>
              <w:t>Patient must have demonstrated a major cytogenetic response; OR</w:t>
            </w:r>
          </w:p>
          <w:p w14:paraId="40ED8F6D" w14:textId="77777777" w:rsidR="004C3BA7" w:rsidRPr="00C85BA1" w:rsidRDefault="004C3BA7" w:rsidP="00164E49">
            <w:pPr>
              <w:jc w:val="left"/>
              <w:rPr>
                <w:rFonts w:ascii="Arial Narrow" w:hAnsi="Arial Narrow"/>
                <w:color w:val="333333"/>
                <w:sz w:val="20"/>
                <w:szCs w:val="20"/>
              </w:rPr>
            </w:pPr>
            <w:r w:rsidRPr="00C85BA1">
              <w:rPr>
                <w:rFonts w:ascii="Arial Narrow" w:hAnsi="Arial Narrow"/>
                <w:color w:val="333333"/>
                <w:sz w:val="20"/>
                <w:szCs w:val="20"/>
              </w:rPr>
              <w:t>Patient must have demonstrated a peripheral blood level of BCR-ABL of less than 1%</w:t>
            </w:r>
          </w:p>
        </w:tc>
      </w:tr>
    </w:tbl>
    <w:p w14:paraId="7F7D74CF" w14:textId="4739D348" w:rsidR="00472871" w:rsidRDefault="00472871" w:rsidP="002C524F">
      <w:pPr>
        <w:pStyle w:val="3-BodyText"/>
        <w:numPr>
          <w:ilvl w:val="0"/>
          <w:numId w:val="0"/>
        </w:numPr>
        <w:spacing w:before="120"/>
      </w:pPr>
      <w:r w:rsidRPr="00C33D30">
        <w:rPr>
          <w:i/>
        </w:rPr>
        <w:t xml:space="preserve">For more detail on PBAC’s view, see section </w:t>
      </w:r>
      <w:r w:rsidR="00A070F1">
        <w:rPr>
          <w:i/>
        </w:rPr>
        <w:t>6</w:t>
      </w:r>
      <w:r w:rsidR="00A070F1" w:rsidRPr="00C33D30">
        <w:rPr>
          <w:i/>
        </w:rPr>
        <w:t xml:space="preserve"> </w:t>
      </w:r>
      <w:r w:rsidRPr="00C33D30">
        <w:rPr>
          <w:i/>
        </w:rPr>
        <w:t>PBAC outcome.</w:t>
      </w:r>
    </w:p>
    <w:p w14:paraId="008116F1" w14:textId="1CB4A251" w:rsidR="0021699C" w:rsidRDefault="0021699C" w:rsidP="004C3BA7">
      <w:pPr>
        <w:pStyle w:val="2-SectionHeading"/>
      </w:pPr>
      <w:r>
        <w:lastRenderedPageBreak/>
        <w:t>Comparator</w:t>
      </w:r>
    </w:p>
    <w:p w14:paraId="076502B7" w14:textId="73CB9A9A" w:rsidR="007C20ED" w:rsidRPr="00716598" w:rsidRDefault="007C20ED" w:rsidP="00716598">
      <w:pPr>
        <w:pStyle w:val="3-BodyText"/>
      </w:pPr>
      <w:r w:rsidRPr="00716598">
        <w:t>The July 2022 submission nominated nilotinib as the main comparator</w:t>
      </w:r>
      <w:r w:rsidR="00716598" w:rsidRPr="00716598">
        <w:t>; the submission stated this was based on</w:t>
      </w:r>
      <w:r w:rsidRPr="00716598">
        <w:t xml:space="preserve"> an analysis of a 10% PBS sample of TKI sequences show</w:t>
      </w:r>
      <w:r w:rsidR="00716598" w:rsidRPr="00716598">
        <w:t>ing</w:t>
      </w:r>
      <w:r w:rsidRPr="00716598">
        <w:t xml:space="preserve"> that nilotinib was used in the largest number of patients receiving a third TKI.</w:t>
      </w:r>
      <w:r w:rsidR="00716598" w:rsidRPr="00716598">
        <w:t xml:space="preserve"> </w:t>
      </w:r>
      <w:r w:rsidRPr="00716598">
        <w:t>Ponatinib was nominated as a supplementary comparator</w:t>
      </w:r>
      <w:r w:rsidR="00716598" w:rsidRPr="00716598">
        <w:t>; the submission stated</w:t>
      </w:r>
      <w:r w:rsidRPr="00716598">
        <w:t xml:space="preserve"> it was likely to be the most used TKI in patients receiving a fourth TKI.</w:t>
      </w:r>
    </w:p>
    <w:p w14:paraId="3FC7C3B3" w14:textId="014B11BE" w:rsidR="00716598" w:rsidRPr="003721A0" w:rsidRDefault="00302C53" w:rsidP="00302C53">
      <w:pPr>
        <w:pStyle w:val="3-BodyText"/>
        <w:rPr>
          <w:snapToGrid w:val="0"/>
          <w:lang w:val="en-GB"/>
        </w:rPr>
      </w:pPr>
      <w:bookmarkStart w:id="13" w:name="_Ref110192493"/>
      <w:r w:rsidRPr="003721A0">
        <w:rPr>
          <w:snapToGrid w:val="0"/>
          <w:lang w:val="en-GB"/>
        </w:rPr>
        <w:t>The PBAC considered</w:t>
      </w:r>
      <w:r w:rsidR="002E4230" w:rsidRPr="003721A0">
        <w:rPr>
          <w:snapToGrid w:val="0"/>
          <w:lang w:val="en-GB"/>
        </w:rPr>
        <w:t xml:space="preserve"> </w:t>
      </w:r>
      <w:r w:rsidR="002E4230" w:rsidRPr="003721A0">
        <w:t>at the July 2022 meeting that</w:t>
      </w:r>
      <w:r w:rsidRPr="003721A0">
        <w:rPr>
          <w:snapToGrid w:val="0"/>
          <w:lang w:val="en-GB"/>
        </w:rPr>
        <w:t xml:space="preserve"> defining the comparator</w:t>
      </w:r>
      <w:r w:rsidR="00A32D9B">
        <w:rPr>
          <w:snapToGrid w:val="0"/>
          <w:lang w:val="en-GB"/>
        </w:rPr>
        <w:t xml:space="preserve"> was</w:t>
      </w:r>
      <w:r w:rsidRPr="003721A0">
        <w:rPr>
          <w:snapToGrid w:val="0"/>
          <w:lang w:val="en-GB"/>
        </w:rPr>
        <w:t xml:space="preserve"> complex due to the change in the use of TKIs over the last 24-48 months, whereby the second generation TKIs are increasingly being used first and second line, and imatinib is increasingly the third TKI prescribed</w:t>
      </w:r>
      <w:r w:rsidR="002E4230" w:rsidRPr="003721A0">
        <w:rPr>
          <w:snapToGrid w:val="0"/>
          <w:lang w:val="en-GB"/>
        </w:rPr>
        <w:t xml:space="preserve"> </w:t>
      </w:r>
      <w:r w:rsidR="002E4230" w:rsidRPr="003721A0">
        <w:rPr>
          <w:lang w:val="en-GB"/>
        </w:rPr>
        <w:t>(</w:t>
      </w:r>
      <w:r w:rsidR="002E4230" w:rsidRPr="003721A0">
        <w:t xml:space="preserve">paragraph 7.7, asciminib </w:t>
      </w:r>
      <w:r w:rsidR="00C61714">
        <w:t>PSD</w:t>
      </w:r>
      <w:r w:rsidR="003721A0">
        <w:t>, July 2022</w:t>
      </w:r>
      <w:r w:rsidR="002E4230" w:rsidRPr="003721A0">
        <w:rPr>
          <w:lang w:val="en-GB"/>
        </w:rPr>
        <w:t>)</w:t>
      </w:r>
      <w:r w:rsidRPr="003721A0">
        <w:rPr>
          <w:snapToGrid w:val="0"/>
          <w:lang w:val="en-GB"/>
        </w:rPr>
        <w:t xml:space="preserve">. The PBAC considered the analyses based on the 10% PBS sample which looked at the pattern of use of TKIs were difficult to interpret. The analysis of the individual treatment sequences was limited by the small sample size and lack of applicability to current clinical practice given it relied on patients initiating treatment back to 2016. The analysis of the proportion of patients on a third or later TKI was limited because it used a prevalence approach rather than considering initiating patients and patients are unlikely to switch TKI treatment unless they experience treatment failure or intolerance. </w:t>
      </w:r>
    </w:p>
    <w:p w14:paraId="6CC845BC" w14:textId="1B0AA795" w:rsidR="00302C53" w:rsidRPr="003721A0" w:rsidRDefault="003721A0" w:rsidP="00302C53">
      <w:pPr>
        <w:pStyle w:val="3-BodyText"/>
        <w:rPr>
          <w:snapToGrid w:val="0"/>
          <w:lang w:val="en-GB"/>
        </w:rPr>
      </w:pPr>
      <w:r>
        <w:rPr>
          <w:snapToGrid w:val="0"/>
          <w:lang w:val="en-GB"/>
        </w:rPr>
        <w:t>T</w:t>
      </w:r>
      <w:r w:rsidR="00302C53" w:rsidRPr="003721A0">
        <w:rPr>
          <w:snapToGrid w:val="0"/>
          <w:lang w:val="en-GB"/>
        </w:rPr>
        <w:t>he PBAC considered</w:t>
      </w:r>
      <w:r w:rsidR="00716598" w:rsidRPr="003721A0">
        <w:rPr>
          <w:snapToGrid w:val="0"/>
          <w:lang w:val="en-GB"/>
        </w:rPr>
        <w:t xml:space="preserve"> in July 2022</w:t>
      </w:r>
      <w:r w:rsidR="00302C53" w:rsidRPr="003721A0">
        <w:rPr>
          <w:snapToGrid w:val="0"/>
          <w:lang w:val="en-GB"/>
        </w:rPr>
        <w:t xml:space="preserve"> the treatment replaced or displaced by asciminib would depend on the clinical scenario and could include a second generation TKI (nilotinib or dasatinib), imatinib, ponatinib (primarily for patients with T315I mutation) or a non-TKI therapy including </w:t>
      </w:r>
      <w:r w:rsidR="00302C53" w:rsidRPr="003721A0">
        <w:t xml:space="preserve">allogeneic transplantation. The PBAC considered that, for some patients, asciminib likely provides a significant improvement in efficacy over imatinib, and as an </w:t>
      </w:r>
      <w:r w:rsidR="00302C53" w:rsidRPr="0054560B">
        <w:t>additional TKI with a different mechanism of action, asciminib likely provides a significant improvement in efficacy and/or reduction in toxicity over standard of care (non-TKI</w:t>
      </w:r>
      <w:r w:rsidR="00302C53" w:rsidRPr="00E07B26">
        <w:t xml:space="preserve"> therapy) for patients who have either failed, or</w:t>
      </w:r>
      <w:r w:rsidR="00E07B26">
        <w:t xml:space="preserve"> are</w:t>
      </w:r>
      <w:r w:rsidR="00302C53" w:rsidRPr="00E07B26">
        <w:t xml:space="preserve"> unable to tolerate, both dasatinib and nilotinib. </w:t>
      </w:r>
      <w:r w:rsidR="00302C53" w:rsidRPr="009B4CB9">
        <w:rPr>
          <w:snapToGrid w:val="0"/>
          <w:lang w:val="en-GB"/>
        </w:rPr>
        <w:t>In this context, the PBAC considered that the comparison presented</w:t>
      </w:r>
      <w:r w:rsidR="00716598" w:rsidRPr="009B4CB9">
        <w:rPr>
          <w:snapToGrid w:val="0"/>
          <w:lang w:val="en-GB"/>
        </w:rPr>
        <w:t xml:space="preserve"> in the July 2022 submission</w:t>
      </w:r>
      <w:r w:rsidR="00302C53" w:rsidRPr="009B4CB9">
        <w:rPr>
          <w:snapToGrid w:val="0"/>
          <w:lang w:val="en-GB"/>
        </w:rPr>
        <w:t xml:space="preserve"> of asciminib versus nilotinib</w:t>
      </w:r>
      <w:r w:rsidR="0054560B" w:rsidRPr="009B4CB9">
        <w:rPr>
          <w:snapToGrid w:val="0"/>
          <w:lang w:val="en-GB"/>
        </w:rPr>
        <w:t xml:space="preserve"> was</w:t>
      </w:r>
      <w:r w:rsidR="00302C53" w:rsidRPr="009B4CB9">
        <w:rPr>
          <w:snapToGrid w:val="0"/>
          <w:lang w:val="en-GB"/>
        </w:rPr>
        <w:t xml:space="preserve"> informative</w:t>
      </w:r>
      <w:r w:rsidRPr="009B4CB9">
        <w:rPr>
          <w:snapToGrid w:val="0"/>
          <w:lang w:val="en-GB"/>
        </w:rPr>
        <w:t xml:space="preserve"> but advised that a resubmission should </w:t>
      </w:r>
      <w:r w:rsidRPr="009B4CB9">
        <w:rPr>
          <w:lang w:val="en-GB"/>
        </w:rPr>
        <w:t xml:space="preserve">reflect </w:t>
      </w:r>
      <w:r w:rsidRPr="0054560B">
        <w:t>benchmarking</w:t>
      </w:r>
      <w:r w:rsidRPr="003721A0">
        <w:t xml:space="preserve"> against the second generation TKIs, nilotinib and dasatinib </w:t>
      </w:r>
      <w:r w:rsidRPr="003721A0">
        <w:rPr>
          <w:lang w:val="en-GB"/>
        </w:rPr>
        <w:t>(</w:t>
      </w:r>
      <w:r w:rsidRPr="003721A0">
        <w:t xml:space="preserve">paragraph 7.7, asciminib </w:t>
      </w:r>
      <w:r w:rsidR="00C61714">
        <w:t>PSD</w:t>
      </w:r>
      <w:r w:rsidRPr="003721A0">
        <w:t>, July 2022</w:t>
      </w:r>
      <w:r w:rsidRPr="003721A0">
        <w:rPr>
          <w:lang w:val="en-GB"/>
        </w:rPr>
        <w:t>)</w:t>
      </w:r>
      <w:r w:rsidR="00302C53" w:rsidRPr="003721A0">
        <w:rPr>
          <w:snapToGrid w:val="0"/>
          <w:lang w:val="en-GB"/>
        </w:rPr>
        <w:t xml:space="preserve">. </w:t>
      </w:r>
    </w:p>
    <w:bookmarkEnd w:id="13"/>
    <w:p w14:paraId="23CC398B" w14:textId="4FF0C42D" w:rsidR="00302C53" w:rsidRPr="002E4230" w:rsidRDefault="00302C53" w:rsidP="00302C53">
      <w:pPr>
        <w:pStyle w:val="3-BodyText"/>
      </w:pPr>
      <w:r w:rsidRPr="002E4230">
        <w:rPr>
          <w:lang w:val="en-GB"/>
        </w:rPr>
        <w:t xml:space="preserve">The PBAC considered </w:t>
      </w:r>
      <w:r w:rsidRPr="002E4230">
        <w:t>at the July 2022 meeting that</w:t>
      </w:r>
      <w:r w:rsidRPr="002E4230">
        <w:rPr>
          <w:lang w:val="en-GB"/>
        </w:rPr>
        <w:t xml:space="preserve"> ponatinib is a relevant comparator for patients with the T315I mutation, however noted that the submission did not present any comparative evidence between asciminib and ponatinib in this patient group</w:t>
      </w:r>
      <w:r w:rsidR="002E4230" w:rsidRPr="002E4230">
        <w:rPr>
          <w:lang w:val="en-GB"/>
        </w:rPr>
        <w:t xml:space="preserve"> (</w:t>
      </w:r>
      <w:r w:rsidR="002E4230" w:rsidRPr="002E4230">
        <w:t xml:space="preserve">paragraph 7.8, asciminib </w:t>
      </w:r>
      <w:r w:rsidR="00C61714">
        <w:t>PSD</w:t>
      </w:r>
      <w:r w:rsidR="006A01C6">
        <w:t>, July 2022</w:t>
      </w:r>
      <w:r w:rsidR="002E4230" w:rsidRPr="002E4230">
        <w:rPr>
          <w:lang w:val="en-GB"/>
        </w:rPr>
        <w:t>)</w:t>
      </w:r>
      <w:r w:rsidRPr="002E4230">
        <w:rPr>
          <w:lang w:val="en-GB"/>
        </w:rPr>
        <w:t>.</w:t>
      </w:r>
    </w:p>
    <w:p w14:paraId="45546801" w14:textId="62A2E2D0" w:rsidR="002E4230" w:rsidRPr="00472871" w:rsidRDefault="00AF222C" w:rsidP="00302C53">
      <w:pPr>
        <w:pStyle w:val="3-BodyText"/>
      </w:pPr>
      <w:r w:rsidRPr="005835DF">
        <w:rPr>
          <w:lang w:val="en-GB"/>
        </w:rPr>
        <w:t xml:space="preserve">The resubmission did not specifically re-define the comparator for asciminib; however, it presented clinical data for a comparison in the T315I mutation population of asciminib vs ponatinib, and it presented an economic evaluation in the non-T315I mutation population </w:t>
      </w:r>
      <w:r w:rsidR="008E089A">
        <w:rPr>
          <w:lang w:val="en-GB"/>
        </w:rPr>
        <w:t>for both</w:t>
      </w:r>
      <w:r w:rsidRPr="005835DF">
        <w:rPr>
          <w:lang w:val="en-GB"/>
        </w:rPr>
        <w:t xml:space="preserve"> asciminib v</w:t>
      </w:r>
      <w:r w:rsidR="003B36F8">
        <w:rPr>
          <w:lang w:val="en-GB"/>
        </w:rPr>
        <w:t>ersu</w:t>
      </w:r>
      <w:r w:rsidRPr="005835DF">
        <w:rPr>
          <w:lang w:val="en-GB"/>
        </w:rPr>
        <w:t>s nilotinib and asciminib v</w:t>
      </w:r>
      <w:r w:rsidR="003B36F8">
        <w:rPr>
          <w:lang w:val="en-GB"/>
        </w:rPr>
        <w:t>ersu</w:t>
      </w:r>
      <w:r w:rsidRPr="005835DF">
        <w:rPr>
          <w:lang w:val="en-GB"/>
        </w:rPr>
        <w:t>s dasatinib.</w:t>
      </w:r>
    </w:p>
    <w:p w14:paraId="477B937E" w14:textId="1DE4380E" w:rsidR="00472871" w:rsidRPr="005835DF" w:rsidRDefault="00472871" w:rsidP="00472871">
      <w:pPr>
        <w:pStyle w:val="3-BodyText"/>
        <w:numPr>
          <w:ilvl w:val="0"/>
          <w:numId w:val="0"/>
        </w:numPr>
        <w:ind w:left="720"/>
      </w:pPr>
      <w:r w:rsidRPr="00C33D30">
        <w:rPr>
          <w:i/>
        </w:rPr>
        <w:lastRenderedPageBreak/>
        <w:t xml:space="preserve">For more detail on PBAC’s view, see section </w:t>
      </w:r>
      <w:r w:rsidR="00A070F1">
        <w:rPr>
          <w:i/>
        </w:rPr>
        <w:t>6</w:t>
      </w:r>
      <w:r w:rsidR="00A070F1" w:rsidRPr="00C33D30">
        <w:rPr>
          <w:i/>
        </w:rPr>
        <w:t xml:space="preserve"> </w:t>
      </w:r>
      <w:r w:rsidRPr="00C33D30">
        <w:rPr>
          <w:i/>
        </w:rPr>
        <w:t>PBAC outcome.</w:t>
      </w:r>
    </w:p>
    <w:p w14:paraId="30BB6D0D" w14:textId="5D682B53" w:rsidR="004C3BA7" w:rsidRDefault="004C3BA7" w:rsidP="007C20ED">
      <w:pPr>
        <w:pStyle w:val="2-SectionHeading"/>
      </w:pPr>
      <w:r>
        <w:t>Consideration of the evidence</w:t>
      </w:r>
    </w:p>
    <w:p w14:paraId="0052FE93" w14:textId="3100E067" w:rsidR="00EB6A78" w:rsidRDefault="00EB6A78" w:rsidP="00EB6A78">
      <w:pPr>
        <w:pStyle w:val="3-BodyText"/>
      </w:pPr>
      <w:r w:rsidRPr="004A7CE6">
        <w:rPr>
          <w:rFonts w:eastAsia="Times New Roman" w:cs="Arial"/>
          <w:snapToGrid w:val="0"/>
          <w:szCs w:val="24"/>
        </w:rPr>
        <w:t xml:space="preserve">As an early re-entry resubmission, the </w:t>
      </w:r>
      <w:r>
        <w:rPr>
          <w:rFonts w:eastAsia="Times New Roman" w:cs="Arial"/>
          <w:snapToGrid w:val="0"/>
          <w:szCs w:val="24"/>
        </w:rPr>
        <w:t>clinical evidence</w:t>
      </w:r>
      <w:r w:rsidRPr="004A7CE6">
        <w:rPr>
          <w:rFonts w:eastAsia="Times New Roman" w:cs="Arial"/>
          <w:snapToGrid w:val="0"/>
          <w:szCs w:val="24"/>
        </w:rPr>
        <w:t xml:space="preserve"> has not been independently evaluated.</w:t>
      </w:r>
    </w:p>
    <w:p w14:paraId="39F44099" w14:textId="77777777" w:rsidR="00DE19F7" w:rsidRPr="006E1229" w:rsidRDefault="00DE19F7" w:rsidP="00DE19F7">
      <w:pPr>
        <w:pStyle w:val="4-SubsectionHeading"/>
      </w:pPr>
      <w:bookmarkStart w:id="14" w:name="_Hlk76375935"/>
      <w:r w:rsidRPr="006E1229">
        <w:t>Sponsor hearing</w:t>
      </w:r>
    </w:p>
    <w:p w14:paraId="22EA8D97" w14:textId="1B9A94BF" w:rsidR="00DE19F7" w:rsidRPr="00F91542" w:rsidRDefault="00DE19F7" w:rsidP="00DE19F7">
      <w:pPr>
        <w:pStyle w:val="3-BodyText"/>
        <w:rPr>
          <w:snapToGrid w:val="0"/>
        </w:rPr>
      </w:pPr>
      <w:r w:rsidRPr="00F91542">
        <w:rPr>
          <w:snapToGrid w:val="0"/>
        </w:rPr>
        <w:t>There was no hearing for this item.</w:t>
      </w:r>
    </w:p>
    <w:p w14:paraId="1B468DA2" w14:textId="77777777" w:rsidR="00DE19F7" w:rsidRPr="006E1229" w:rsidRDefault="00DE19F7" w:rsidP="00DE19F7">
      <w:pPr>
        <w:pStyle w:val="4-SubsectionHeading"/>
      </w:pPr>
      <w:r w:rsidRPr="006E1229">
        <w:t>Consumer comments</w:t>
      </w:r>
    </w:p>
    <w:p w14:paraId="0CF24915" w14:textId="0E5BB350" w:rsidR="00DE19F7" w:rsidRPr="00985350" w:rsidRDefault="00985350" w:rsidP="00930FB7">
      <w:pPr>
        <w:pStyle w:val="3-BodyText"/>
        <w:rPr>
          <w:snapToGrid w:val="0"/>
        </w:rPr>
      </w:pPr>
      <w:bookmarkStart w:id="15" w:name="_Hlk76382618"/>
      <w:bookmarkEnd w:id="14"/>
      <w:r w:rsidRPr="00985350">
        <w:rPr>
          <w:snapToGrid w:val="0"/>
        </w:rPr>
        <w:t>The PBAC noted that no consumer comments were received for this item.</w:t>
      </w:r>
      <w:bookmarkEnd w:id="15"/>
      <w:r>
        <w:rPr>
          <w:snapToGrid w:val="0"/>
        </w:rPr>
        <w:t xml:space="preserve"> </w:t>
      </w:r>
      <w:r w:rsidR="00FC64A3" w:rsidRPr="00985350">
        <w:rPr>
          <w:bCs/>
          <w:snapToGrid w:val="0"/>
        </w:rPr>
        <w:t xml:space="preserve">The PBAC previously noted and welcomed the input from a health care professional and </w:t>
      </w:r>
      <w:r w:rsidR="0082590F">
        <w:rPr>
          <w:bCs/>
          <w:snapToGrid w:val="0"/>
        </w:rPr>
        <w:t xml:space="preserve">two </w:t>
      </w:r>
      <w:r w:rsidR="00FC64A3" w:rsidRPr="00985350">
        <w:rPr>
          <w:bCs/>
          <w:snapToGrid w:val="0"/>
        </w:rPr>
        <w:t>organisation</w:t>
      </w:r>
      <w:r w:rsidRPr="00985350">
        <w:rPr>
          <w:bCs/>
          <w:snapToGrid w:val="0"/>
        </w:rPr>
        <w:t xml:space="preserve">s </w:t>
      </w:r>
      <w:r w:rsidR="0082590F">
        <w:rPr>
          <w:bCs/>
          <w:snapToGrid w:val="0"/>
        </w:rPr>
        <w:t>(</w:t>
      </w:r>
      <w:r w:rsidRPr="00985350">
        <w:rPr>
          <w:bCs/>
          <w:snapToGrid w:val="0"/>
        </w:rPr>
        <w:t>The Leukemia Foundation and Rare Cancers Australia)</w:t>
      </w:r>
      <w:r w:rsidR="00FC64A3" w:rsidRPr="00985350">
        <w:rPr>
          <w:bCs/>
          <w:snapToGrid w:val="0"/>
        </w:rPr>
        <w:t xml:space="preserve"> via the Consumer Comments facility on the PBS website in relation to consideration of </w:t>
      </w:r>
      <w:r w:rsidR="00DB281B" w:rsidRPr="00DB281B">
        <w:rPr>
          <w:bCs/>
          <w:snapToGrid w:val="0"/>
        </w:rPr>
        <w:t>asciminib</w:t>
      </w:r>
      <w:r w:rsidR="00FC64A3" w:rsidRPr="00985350">
        <w:rPr>
          <w:bCs/>
          <w:snapToGrid w:val="0"/>
        </w:rPr>
        <w:t xml:space="preserve"> at the </w:t>
      </w:r>
      <w:r w:rsidRPr="00985350">
        <w:rPr>
          <w:bCs/>
          <w:snapToGrid w:val="0"/>
        </w:rPr>
        <w:t>July</w:t>
      </w:r>
      <w:r w:rsidR="00FC64A3" w:rsidRPr="00985350">
        <w:rPr>
          <w:bCs/>
          <w:snapToGrid w:val="0"/>
        </w:rPr>
        <w:t xml:space="preserve"> 202</w:t>
      </w:r>
      <w:r w:rsidRPr="00985350">
        <w:rPr>
          <w:bCs/>
          <w:snapToGrid w:val="0"/>
        </w:rPr>
        <w:t>2</w:t>
      </w:r>
      <w:r w:rsidR="00FC64A3" w:rsidRPr="00985350">
        <w:rPr>
          <w:bCs/>
          <w:snapToGrid w:val="0"/>
        </w:rPr>
        <w:t xml:space="preserve"> PBAC meeting (</w:t>
      </w:r>
      <w:r w:rsidR="00FC64A3" w:rsidRPr="00985350">
        <w:rPr>
          <w:rFonts w:eastAsia="Arial Narrow"/>
          <w:szCs w:val="20"/>
        </w:rPr>
        <w:t xml:space="preserve">paragraph 6.2, </w:t>
      </w:r>
      <w:r w:rsidRPr="00D17411">
        <w:rPr>
          <w:rFonts w:eastAsia="Arial Narrow"/>
          <w:szCs w:val="20"/>
        </w:rPr>
        <w:t>July 2022</w:t>
      </w:r>
      <w:r w:rsidR="00FC64A3" w:rsidRPr="00D17411">
        <w:rPr>
          <w:rFonts w:eastAsia="Arial Narrow"/>
          <w:szCs w:val="20"/>
        </w:rPr>
        <w:t xml:space="preserve"> PSD</w:t>
      </w:r>
      <w:r w:rsidR="00FC64A3" w:rsidRPr="00985350">
        <w:rPr>
          <w:rFonts w:eastAsia="Arial Narrow"/>
          <w:szCs w:val="20"/>
        </w:rPr>
        <w:t>)</w:t>
      </w:r>
      <w:r w:rsidR="00FC64A3" w:rsidRPr="00985350">
        <w:rPr>
          <w:bCs/>
          <w:snapToGrid w:val="0"/>
        </w:rPr>
        <w:t>.</w:t>
      </w:r>
    </w:p>
    <w:p w14:paraId="58152002" w14:textId="4E9FF7A1" w:rsidR="004C3BA7" w:rsidRDefault="0037208C" w:rsidP="004C3BA7">
      <w:pPr>
        <w:pStyle w:val="4-SubsectionHeading"/>
      </w:pPr>
      <w:r>
        <w:t>Clinical trials</w:t>
      </w:r>
    </w:p>
    <w:p w14:paraId="757B085F" w14:textId="20D19E10" w:rsidR="004C3BA7" w:rsidRDefault="00E70948" w:rsidP="00E70948">
      <w:pPr>
        <w:pStyle w:val="3-BodyText"/>
        <w:rPr>
          <w:lang w:eastAsia="en-US"/>
        </w:rPr>
      </w:pPr>
      <w:r w:rsidRPr="004A7CE6">
        <w:rPr>
          <w:rFonts w:eastAsia="Times New Roman" w:cs="Arial"/>
          <w:snapToGrid w:val="0"/>
          <w:szCs w:val="24"/>
        </w:rPr>
        <w:t xml:space="preserve">The </w:t>
      </w:r>
      <w:r>
        <w:rPr>
          <w:rFonts w:eastAsia="Times New Roman" w:cs="Arial"/>
          <w:snapToGrid w:val="0"/>
          <w:szCs w:val="24"/>
        </w:rPr>
        <w:t>July</w:t>
      </w:r>
      <w:r w:rsidRPr="004A7CE6">
        <w:rPr>
          <w:rFonts w:eastAsia="Times New Roman" w:cs="Arial"/>
          <w:snapToGrid w:val="0"/>
          <w:szCs w:val="24"/>
        </w:rPr>
        <w:t xml:space="preserve"> 202</w:t>
      </w:r>
      <w:r>
        <w:rPr>
          <w:rFonts w:eastAsia="Times New Roman" w:cs="Arial"/>
          <w:snapToGrid w:val="0"/>
          <w:szCs w:val="24"/>
        </w:rPr>
        <w:t>2</w:t>
      </w:r>
      <w:r w:rsidRPr="004A7CE6">
        <w:rPr>
          <w:rFonts w:eastAsia="Times New Roman" w:cs="Arial"/>
          <w:snapToGrid w:val="0"/>
          <w:szCs w:val="24"/>
        </w:rPr>
        <w:t xml:space="preserve"> consideration of </w:t>
      </w:r>
      <w:r>
        <w:rPr>
          <w:rFonts w:eastAsia="Times New Roman" w:cs="Arial"/>
          <w:snapToGrid w:val="0"/>
          <w:szCs w:val="24"/>
        </w:rPr>
        <w:t xml:space="preserve">asciminib for </w:t>
      </w:r>
      <w:r w:rsidRPr="00A93F80">
        <w:t>patients with CML-CP who have failed or are intolerant of at least 2 prior TKIs</w:t>
      </w:r>
      <w:r w:rsidRPr="004A7CE6">
        <w:rPr>
          <w:rFonts w:eastAsia="Times New Roman" w:cs="Arial"/>
          <w:snapToGrid w:val="0"/>
          <w:szCs w:val="24"/>
        </w:rPr>
        <w:t xml:space="preserve"> was based on </w:t>
      </w:r>
      <w:r w:rsidRPr="00B22BCB">
        <w:t xml:space="preserve">one head-to-head trial comparing asciminib to bosutinib (N=233), ASCEMBL. </w:t>
      </w:r>
      <w:r w:rsidR="005A40B1">
        <w:t>E</w:t>
      </w:r>
      <w:r w:rsidRPr="00B22BCB">
        <w:t>fficacy and safety data from the asciminib arm of ASCEMBL were used to perform a</w:t>
      </w:r>
      <w:r>
        <w:t>n</w:t>
      </w:r>
      <w:r w:rsidRPr="00B22BCB">
        <w:t xml:space="preserve"> unadjusted</w:t>
      </w:r>
      <w:r>
        <w:t>,</w:t>
      </w:r>
      <w:r w:rsidRPr="00B22BCB">
        <w:t xml:space="preserve"> unanchored indirect treatment comparison (ITC) against two single-arm nilotinib trials, ENACT and </w:t>
      </w:r>
      <w:r w:rsidRPr="0038675B">
        <w:t xml:space="preserve">Giles </w:t>
      </w:r>
      <w:r w:rsidRPr="005835DF">
        <w:rPr>
          <w:iCs/>
        </w:rPr>
        <w:t>et al.</w:t>
      </w:r>
      <w:r w:rsidRPr="00B22BCB">
        <w:t xml:space="preserve"> (2010), and one single-arm ponatinib trial, PACE.</w:t>
      </w:r>
      <w:r w:rsidR="001942FB">
        <w:t xml:space="preserve"> </w:t>
      </w:r>
      <w:r w:rsidR="00FE341B">
        <w:t>T</w:t>
      </w:r>
      <w:r w:rsidR="001942FB">
        <w:t>he PBAC considered that non-inferior efficacy of asciminib against nilotinib is likely supported</w:t>
      </w:r>
      <w:r w:rsidR="00FE341B">
        <w:t xml:space="preserve"> but did not support the claim of superior safety to </w:t>
      </w:r>
      <w:r w:rsidR="00FE341B" w:rsidRPr="00D3204F">
        <w:t>nilotinib (paragraph</w:t>
      </w:r>
      <w:r w:rsidR="00D3204F">
        <w:t xml:space="preserve"> </w:t>
      </w:r>
      <w:r w:rsidR="00D3204F">
        <w:fldChar w:fldCharType="begin" w:fldLock="1"/>
      </w:r>
      <w:r w:rsidR="00D3204F">
        <w:instrText xml:space="preserve"> REF _Ref120206001 \r \h </w:instrText>
      </w:r>
      <w:r w:rsidR="00D3204F">
        <w:fldChar w:fldCharType="separate"/>
      </w:r>
      <w:r w:rsidR="00D3204F">
        <w:t>2.2</w:t>
      </w:r>
      <w:r w:rsidR="00D3204F">
        <w:fldChar w:fldCharType="end"/>
      </w:r>
      <w:r w:rsidR="00FE341B" w:rsidRPr="00D3204F">
        <w:t>)</w:t>
      </w:r>
      <w:r w:rsidR="001942FB" w:rsidRPr="00D3204F">
        <w:t>.</w:t>
      </w:r>
      <w:r w:rsidR="005A40B1" w:rsidRPr="00D3204F">
        <w:rPr>
          <w:lang w:eastAsia="en-US"/>
        </w:rPr>
        <w:t xml:space="preserve"> </w:t>
      </w:r>
      <w:r w:rsidRPr="00D3204F">
        <w:rPr>
          <w:rFonts w:eastAsia="Times New Roman" w:cs="Arial"/>
          <w:snapToGrid w:val="0"/>
          <w:szCs w:val="24"/>
        </w:rPr>
        <w:t>No</w:t>
      </w:r>
      <w:r w:rsidRPr="00E70948">
        <w:rPr>
          <w:rFonts w:eastAsia="Times New Roman" w:cs="Arial"/>
          <w:snapToGrid w:val="0"/>
          <w:szCs w:val="24"/>
        </w:rPr>
        <w:t xml:space="preserve"> additional clinical data were presented in the resubmission for this patient population.</w:t>
      </w:r>
    </w:p>
    <w:p w14:paraId="59346308" w14:textId="78770339" w:rsidR="00EA1AF7" w:rsidRDefault="00007986" w:rsidP="00EA1AF7">
      <w:pPr>
        <w:pStyle w:val="3-BodyText"/>
      </w:pPr>
      <w:r w:rsidRPr="00007986">
        <w:t>The July 2022 submission did not seek a PBS listing for asciminib in patients with the T315I mutation</w:t>
      </w:r>
      <w:r>
        <w:t>,</w:t>
      </w:r>
      <w:r w:rsidRPr="00007986">
        <w:t xml:space="preserve"> although the proposed PBS restrictions did not specifically exclude </w:t>
      </w:r>
      <w:r w:rsidR="005A40B1">
        <w:t xml:space="preserve">this </w:t>
      </w:r>
      <w:r w:rsidRPr="00007986">
        <w:t>patient</w:t>
      </w:r>
      <w:r w:rsidR="005A40B1">
        <w:t xml:space="preserve"> group</w:t>
      </w:r>
      <w:r w:rsidRPr="00007986">
        <w:t>.</w:t>
      </w:r>
      <w:r w:rsidR="005A40B1">
        <w:t xml:space="preserve"> The ASCEMBL trial excluded patients with the </w:t>
      </w:r>
      <w:r w:rsidR="005A40B1" w:rsidRPr="002B4570">
        <w:t>T315I-mutat</w:t>
      </w:r>
      <w:r w:rsidR="005A40B1">
        <w:t>ion</w:t>
      </w:r>
      <w:r w:rsidR="005A40B1" w:rsidRPr="002B4570">
        <w:t xml:space="preserve"> to facilitate the use of bosutinib in the comparator arm, as</w:t>
      </w:r>
      <w:r w:rsidR="005A40B1">
        <w:t xml:space="preserve"> </w:t>
      </w:r>
      <w:r w:rsidR="005A40B1" w:rsidRPr="008F0001">
        <w:t>patients with this mutation would not be expected to respond to bosutinib</w:t>
      </w:r>
      <w:r w:rsidR="005A40B1">
        <w:t>.</w:t>
      </w:r>
      <w:r w:rsidRPr="00007986">
        <w:t xml:space="preserve"> The July 2022 submission presented the results of</w:t>
      </w:r>
      <w:r w:rsidR="00976104">
        <w:t xml:space="preserve"> the</w:t>
      </w:r>
      <w:r w:rsidRPr="00007986">
        <w:t xml:space="preserve"> </w:t>
      </w:r>
      <w:r w:rsidR="0037208C">
        <w:t>X2101</w:t>
      </w:r>
      <w:r w:rsidR="00976104">
        <w:t xml:space="preserve"> trial,</w:t>
      </w:r>
      <w:r w:rsidRPr="00007986">
        <w:t xml:space="preserve"> as reported in Hughes et al. 2019 (data </w:t>
      </w:r>
      <w:r w:rsidR="00097F08" w:rsidRPr="00007986">
        <w:t>cut-off</w:t>
      </w:r>
      <w:r w:rsidRPr="00007986">
        <w:t>: September 2017)</w:t>
      </w:r>
      <w:r w:rsidR="00976104">
        <w:t xml:space="preserve">. </w:t>
      </w:r>
    </w:p>
    <w:p w14:paraId="6D02D8B4" w14:textId="1A0083CD" w:rsidR="00007986" w:rsidRDefault="00FE291B" w:rsidP="00007986">
      <w:pPr>
        <w:pStyle w:val="3-BodyText"/>
      </w:pPr>
      <w:r>
        <w:t>As requested by the PBAC, t</w:t>
      </w:r>
      <w:r w:rsidR="0037208C">
        <w:t>he resubmission presented a</w:t>
      </w:r>
      <w:r w:rsidR="002441C7">
        <w:t xml:space="preserve">n </w:t>
      </w:r>
      <w:r w:rsidR="002441C7" w:rsidRPr="005270B7">
        <w:t>unanchored and unadjusted</w:t>
      </w:r>
      <w:r w:rsidR="0037208C">
        <w:t xml:space="preserve"> comparison of asciminib and ponatinib using the </w:t>
      </w:r>
      <w:r w:rsidR="0037208C" w:rsidRPr="0037208C">
        <w:t>T315I mutation cohort</w:t>
      </w:r>
      <w:r w:rsidR="0037208C">
        <w:t>s from the X2101 and PACE trials, respectively.</w:t>
      </w:r>
      <w:r w:rsidR="002A7241">
        <w:t xml:space="preserve"> F</w:t>
      </w:r>
      <w:r w:rsidR="002A7241" w:rsidRPr="00007986">
        <w:t>urther details are provided</w:t>
      </w:r>
      <w:r w:rsidR="002A7241">
        <w:t xml:space="preserve"> for </w:t>
      </w:r>
      <w:r w:rsidR="002A7241" w:rsidRPr="00007986">
        <w:t>patients with the T315I mutation from the</w:t>
      </w:r>
      <w:r w:rsidR="002A7241">
        <w:t xml:space="preserve"> </w:t>
      </w:r>
      <w:r w:rsidR="002A7241" w:rsidRPr="00007986">
        <w:t>X2101</w:t>
      </w:r>
      <w:r w:rsidR="002A7241">
        <w:t xml:space="preserve"> trial</w:t>
      </w:r>
      <w:r w:rsidR="002A7241" w:rsidRPr="00007986">
        <w:t xml:space="preserve"> C</w:t>
      </w:r>
      <w:r w:rsidR="002A7241">
        <w:t xml:space="preserve">linical </w:t>
      </w:r>
      <w:r w:rsidR="002A7241" w:rsidRPr="00007986">
        <w:t>S</w:t>
      </w:r>
      <w:r w:rsidR="002A7241">
        <w:t xml:space="preserve">tudy </w:t>
      </w:r>
      <w:r w:rsidR="002A7241" w:rsidRPr="00007986">
        <w:t>R</w:t>
      </w:r>
      <w:r w:rsidR="002A7241">
        <w:t>eport</w:t>
      </w:r>
      <w:r w:rsidR="002A7241" w:rsidRPr="00007986">
        <w:t xml:space="preserve"> (data </w:t>
      </w:r>
      <w:r w:rsidR="00097F08" w:rsidRPr="00007986">
        <w:t>cut-off</w:t>
      </w:r>
      <w:r w:rsidR="002A7241" w:rsidRPr="00007986">
        <w:t xml:space="preserve">: 2 April 2020) as well as a supplementary analysis which was conducted in the T315I mutation analysis set with a later data cut (data cut-off date: 6 January </w:t>
      </w:r>
      <w:r w:rsidR="002A7241" w:rsidRPr="003027CF">
        <w:t>2021).</w:t>
      </w:r>
      <w:r w:rsidR="0037208C" w:rsidRPr="003027CF">
        <w:t xml:space="preserve"> </w:t>
      </w:r>
      <w:r w:rsidR="003027CF" w:rsidRPr="003027CF">
        <w:rPr>
          <w:rFonts w:cstheme="minorHAnsi"/>
          <w:szCs w:val="24"/>
        </w:rPr>
        <w:fldChar w:fldCharType="begin" w:fldLock="1"/>
      </w:r>
      <w:r w:rsidR="003027CF" w:rsidRPr="003027CF">
        <w:rPr>
          <w:rFonts w:cstheme="minorHAnsi"/>
          <w:szCs w:val="24"/>
        </w:rPr>
        <w:instrText xml:space="preserve"> REF _Ref114225647 \h  \* MERGEFORMAT </w:instrText>
      </w:r>
      <w:r w:rsidR="003027CF" w:rsidRPr="003027CF">
        <w:rPr>
          <w:rFonts w:cstheme="minorHAnsi"/>
          <w:szCs w:val="24"/>
        </w:rPr>
      </w:r>
      <w:r w:rsidR="003027CF" w:rsidRPr="003027CF">
        <w:rPr>
          <w:rFonts w:cstheme="minorHAnsi"/>
          <w:szCs w:val="24"/>
        </w:rPr>
        <w:fldChar w:fldCharType="separate"/>
      </w:r>
      <w:r w:rsidR="00196FF1" w:rsidRPr="00196FF1">
        <w:rPr>
          <w:rFonts w:cstheme="minorHAnsi"/>
          <w:szCs w:val="24"/>
        </w:rPr>
        <w:t xml:space="preserve">Table </w:t>
      </w:r>
      <w:r w:rsidR="00196FF1" w:rsidRPr="00196FF1">
        <w:rPr>
          <w:rFonts w:cstheme="minorHAnsi"/>
          <w:noProof/>
          <w:szCs w:val="24"/>
        </w:rPr>
        <w:t>3</w:t>
      </w:r>
      <w:r w:rsidR="003027CF" w:rsidRPr="003027CF">
        <w:rPr>
          <w:rFonts w:cstheme="minorHAnsi"/>
          <w:szCs w:val="24"/>
        </w:rPr>
        <w:fldChar w:fldCharType="end"/>
      </w:r>
      <w:r w:rsidR="0037208C" w:rsidRPr="003027CF">
        <w:t xml:space="preserve"> shows details of the trials</w:t>
      </w:r>
      <w:r w:rsidR="0037208C" w:rsidRPr="00B22BCB">
        <w:t xml:space="preserve"> presented in the submission</w:t>
      </w:r>
      <w:r w:rsidR="0037208C">
        <w:t>.</w:t>
      </w:r>
    </w:p>
    <w:p w14:paraId="050A97E3" w14:textId="7560E0B6" w:rsidR="0037208C" w:rsidRPr="003027CF" w:rsidRDefault="003027CF" w:rsidP="003027CF">
      <w:pPr>
        <w:pStyle w:val="Caption"/>
        <w:keepNext/>
        <w:spacing w:after="0"/>
        <w:jc w:val="left"/>
        <w:rPr>
          <w:rFonts w:ascii="Arial Narrow" w:hAnsi="Arial Narrow"/>
          <w:b/>
          <w:bCs/>
          <w:i w:val="0"/>
          <w:iCs w:val="0"/>
          <w:color w:val="auto"/>
          <w:sz w:val="20"/>
          <w:szCs w:val="20"/>
        </w:rPr>
      </w:pPr>
      <w:bookmarkStart w:id="16" w:name="_Ref114225647"/>
      <w:r w:rsidRPr="003027CF">
        <w:rPr>
          <w:rFonts w:ascii="Arial Narrow" w:hAnsi="Arial Narrow"/>
          <w:b/>
          <w:bCs/>
          <w:i w:val="0"/>
          <w:iCs w:val="0"/>
          <w:color w:val="auto"/>
          <w:sz w:val="20"/>
          <w:szCs w:val="20"/>
        </w:rPr>
        <w:lastRenderedPageBreak/>
        <w:t xml:space="preserve">Table </w:t>
      </w:r>
      <w:r w:rsidRPr="003027CF">
        <w:rPr>
          <w:rFonts w:ascii="Arial Narrow" w:hAnsi="Arial Narrow"/>
          <w:b/>
          <w:bCs/>
          <w:i w:val="0"/>
          <w:iCs w:val="0"/>
          <w:color w:val="auto"/>
          <w:sz w:val="20"/>
          <w:szCs w:val="20"/>
        </w:rPr>
        <w:fldChar w:fldCharType="begin" w:fldLock="1"/>
      </w:r>
      <w:r w:rsidRPr="003027CF">
        <w:rPr>
          <w:rFonts w:ascii="Arial Narrow" w:hAnsi="Arial Narrow"/>
          <w:b/>
          <w:bCs/>
          <w:i w:val="0"/>
          <w:iCs w:val="0"/>
          <w:color w:val="auto"/>
          <w:sz w:val="20"/>
          <w:szCs w:val="20"/>
        </w:rPr>
        <w:instrText xml:space="preserve"> SEQ Table \* ARABIC </w:instrText>
      </w:r>
      <w:r w:rsidRPr="003027CF">
        <w:rPr>
          <w:rFonts w:ascii="Arial Narrow" w:hAnsi="Arial Narrow"/>
          <w:b/>
          <w:bCs/>
          <w:i w:val="0"/>
          <w:iCs w:val="0"/>
          <w:color w:val="auto"/>
          <w:sz w:val="20"/>
          <w:szCs w:val="20"/>
        </w:rPr>
        <w:fldChar w:fldCharType="separate"/>
      </w:r>
      <w:r w:rsidR="00100F00">
        <w:rPr>
          <w:rFonts w:ascii="Arial Narrow" w:hAnsi="Arial Narrow"/>
          <w:b/>
          <w:bCs/>
          <w:i w:val="0"/>
          <w:iCs w:val="0"/>
          <w:noProof/>
          <w:color w:val="auto"/>
          <w:sz w:val="20"/>
          <w:szCs w:val="20"/>
        </w:rPr>
        <w:t>3</w:t>
      </w:r>
      <w:r w:rsidRPr="003027CF">
        <w:rPr>
          <w:rFonts w:ascii="Arial Narrow" w:hAnsi="Arial Narrow"/>
          <w:b/>
          <w:bCs/>
          <w:i w:val="0"/>
          <w:iCs w:val="0"/>
          <w:color w:val="auto"/>
          <w:sz w:val="20"/>
          <w:szCs w:val="20"/>
        </w:rPr>
        <w:fldChar w:fldCharType="end"/>
      </w:r>
      <w:bookmarkEnd w:id="16"/>
      <w:r w:rsidR="0037208C" w:rsidRPr="003027CF">
        <w:rPr>
          <w:rStyle w:val="CommentReference"/>
          <w:rFonts w:ascii="Arial Narrow" w:hAnsi="Arial Narrow"/>
          <w:b/>
          <w:bCs/>
          <w:i w:val="0"/>
          <w:iCs w:val="0"/>
          <w:color w:val="auto"/>
          <w:sz w:val="20"/>
          <w:szCs w:val="20"/>
        </w:rPr>
        <w:t>: Trials and associated reports presented in the submission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5"/>
        <w:gridCol w:w="4796"/>
        <w:gridCol w:w="2787"/>
      </w:tblGrid>
      <w:tr w:rsidR="0037208C" w:rsidRPr="002B4570" w14:paraId="197321DE" w14:textId="77777777" w:rsidTr="00D55773">
        <w:trPr>
          <w:tblHeader/>
        </w:trPr>
        <w:tc>
          <w:tcPr>
            <w:tcW w:w="796" w:type="pct"/>
          </w:tcPr>
          <w:p w14:paraId="0271A1EE" w14:textId="77777777" w:rsidR="0037208C" w:rsidRPr="002B4570" w:rsidRDefault="0037208C" w:rsidP="008C60A1">
            <w:pPr>
              <w:pStyle w:val="In-tableHeading"/>
              <w:rPr>
                <w:lang w:val="en-AU"/>
              </w:rPr>
            </w:pPr>
            <w:r w:rsidRPr="002B4570">
              <w:rPr>
                <w:lang w:val="en-AU"/>
              </w:rPr>
              <w:t>Trial ID</w:t>
            </w:r>
          </w:p>
        </w:tc>
        <w:tc>
          <w:tcPr>
            <w:tcW w:w="2659" w:type="pct"/>
          </w:tcPr>
          <w:p w14:paraId="5C5DDF5B" w14:textId="77777777" w:rsidR="0037208C" w:rsidRPr="002B4570" w:rsidRDefault="0037208C" w:rsidP="008C60A1">
            <w:pPr>
              <w:pStyle w:val="In-tableHeading"/>
              <w:rPr>
                <w:lang w:val="en-AU"/>
              </w:rPr>
            </w:pPr>
            <w:r w:rsidRPr="002B4570">
              <w:rPr>
                <w:lang w:val="en-AU"/>
              </w:rPr>
              <w:t>Protocol title/ Publication title</w:t>
            </w:r>
          </w:p>
        </w:tc>
        <w:tc>
          <w:tcPr>
            <w:tcW w:w="1545" w:type="pct"/>
          </w:tcPr>
          <w:p w14:paraId="184E933C" w14:textId="77777777" w:rsidR="0037208C" w:rsidRPr="002B4570" w:rsidRDefault="0037208C" w:rsidP="008C60A1">
            <w:pPr>
              <w:pStyle w:val="In-tableHeading"/>
              <w:rPr>
                <w:lang w:val="en-AU"/>
              </w:rPr>
            </w:pPr>
            <w:r w:rsidRPr="002B4570">
              <w:rPr>
                <w:lang w:val="en-AU"/>
              </w:rPr>
              <w:t>Publication citation</w:t>
            </w:r>
          </w:p>
        </w:tc>
      </w:tr>
      <w:tr w:rsidR="0037208C" w:rsidRPr="002B4570" w14:paraId="678D3BD6" w14:textId="77777777" w:rsidTr="00D55773">
        <w:trPr>
          <w:tblHeader/>
        </w:trPr>
        <w:tc>
          <w:tcPr>
            <w:tcW w:w="5000" w:type="pct"/>
            <w:gridSpan w:val="3"/>
          </w:tcPr>
          <w:p w14:paraId="70E6F68C" w14:textId="5E44FDDE" w:rsidR="0037208C" w:rsidRPr="002B4570" w:rsidRDefault="0037208C" w:rsidP="008C60A1">
            <w:pPr>
              <w:pStyle w:val="In-tableHeading"/>
              <w:rPr>
                <w:lang w:val="en-AU"/>
              </w:rPr>
            </w:pPr>
            <w:r w:rsidRPr="002B4570">
              <w:rPr>
                <w:lang w:val="en-AU"/>
              </w:rPr>
              <w:t>Asciminib trial</w:t>
            </w:r>
            <w:r w:rsidR="007E0DB0">
              <w:rPr>
                <w:lang w:val="en-AU"/>
              </w:rPr>
              <w:t>s</w:t>
            </w:r>
          </w:p>
        </w:tc>
      </w:tr>
      <w:tr w:rsidR="0037208C" w:rsidRPr="002B4570" w14:paraId="5C5612AC" w14:textId="77777777" w:rsidTr="00D55773">
        <w:tc>
          <w:tcPr>
            <w:tcW w:w="796" w:type="pct"/>
          </w:tcPr>
          <w:p w14:paraId="303D7EFF" w14:textId="77777777" w:rsidR="0037208C" w:rsidRPr="004E66F5" w:rsidRDefault="0037208C" w:rsidP="008C60A1">
            <w:pPr>
              <w:pStyle w:val="TableText"/>
            </w:pPr>
            <w:r w:rsidRPr="004E66F5">
              <w:t>ASCEMBL</w:t>
            </w:r>
          </w:p>
        </w:tc>
        <w:tc>
          <w:tcPr>
            <w:tcW w:w="2659" w:type="pct"/>
          </w:tcPr>
          <w:p w14:paraId="423DD8F3" w14:textId="251E4BBF" w:rsidR="0037208C" w:rsidRPr="004E66F5" w:rsidRDefault="0037208C" w:rsidP="008C60A1">
            <w:pPr>
              <w:pStyle w:val="TableText"/>
              <w:rPr>
                <w:szCs w:val="18"/>
              </w:rPr>
            </w:pPr>
            <w:r w:rsidRPr="004E66F5">
              <w:rPr>
                <w:szCs w:val="18"/>
              </w:rPr>
              <w:t>ASCEMBL CSR: A Phase III, multi</w:t>
            </w:r>
            <w:r w:rsidR="008D4DD2">
              <w:rPr>
                <w:szCs w:val="18"/>
              </w:rPr>
              <w:t xml:space="preserve"> </w:t>
            </w:r>
            <w:r w:rsidR="00097F08" w:rsidRPr="004E66F5">
              <w:rPr>
                <w:szCs w:val="18"/>
              </w:rPr>
              <w:t>cent</w:t>
            </w:r>
            <w:r w:rsidR="008D4DD2">
              <w:rPr>
                <w:szCs w:val="18"/>
              </w:rPr>
              <w:t>er</w:t>
            </w:r>
            <w:r w:rsidRPr="004E66F5">
              <w:rPr>
                <w:szCs w:val="18"/>
              </w:rPr>
              <w:t xml:space="preserve">, open-label, randomised study of oral ABL001 (asciminib) versus bosutinib in patients with chronic myelogenous leukaemia in chronic phase (CML-CP), previously treated with 2 or more tyrosine kinase inhibitors. </w:t>
            </w:r>
          </w:p>
        </w:tc>
        <w:tc>
          <w:tcPr>
            <w:tcW w:w="1545" w:type="pct"/>
          </w:tcPr>
          <w:p w14:paraId="59B8B3B9" w14:textId="77777777" w:rsidR="0037208C" w:rsidRPr="004E66F5" w:rsidRDefault="0037208C" w:rsidP="008C60A1">
            <w:pPr>
              <w:pStyle w:val="TableText"/>
            </w:pPr>
            <w:r w:rsidRPr="004E66F5">
              <w:rPr>
                <w:bCs w:val="0"/>
              </w:rPr>
              <w:t>-</w:t>
            </w:r>
            <w:r w:rsidRPr="004E66F5">
              <w:t xml:space="preserve"> Version date: 20 September 2019 (Week 24 data – primary endpoint analysis)</w:t>
            </w:r>
          </w:p>
          <w:p w14:paraId="1DD3AB0F" w14:textId="77777777" w:rsidR="0037208C" w:rsidRPr="004E66F5" w:rsidRDefault="0037208C" w:rsidP="008C60A1">
            <w:pPr>
              <w:pStyle w:val="TableText"/>
            </w:pPr>
            <w:r w:rsidRPr="004E66F5">
              <w:t>- Version date: 5 March 2021 (supplementary CSR to support 30 day efficacy and safety update)</w:t>
            </w:r>
          </w:p>
        </w:tc>
      </w:tr>
      <w:tr w:rsidR="007E0DB0" w:rsidRPr="002B4570" w14:paraId="0090CDA9" w14:textId="77777777" w:rsidTr="00D55773">
        <w:tc>
          <w:tcPr>
            <w:tcW w:w="796" w:type="pct"/>
            <w:vMerge w:val="restart"/>
          </w:tcPr>
          <w:p w14:paraId="6BB74B82" w14:textId="5138D2D2" w:rsidR="007E0DB0" w:rsidRPr="00263034" w:rsidRDefault="007E0DB0" w:rsidP="008C60A1">
            <w:pPr>
              <w:pStyle w:val="TableText"/>
              <w:rPr>
                <w:highlight w:val="yellow"/>
              </w:rPr>
            </w:pPr>
            <w:r w:rsidRPr="00EA1AF7">
              <w:t>CABL001</w:t>
            </w:r>
            <w:r w:rsidRPr="00007986">
              <w:t>X2101</w:t>
            </w:r>
            <w:r>
              <w:t xml:space="preserve"> (X2101)</w:t>
            </w:r>
          </w:p>
        </w:tc>
        <w:tc>
          <w:tcPr>
            <w:tcW w:w="2659" w:type="pct"/>
          </w:tcPr>
          <w:p w14:paraId="71D8BB7A" w14:textId="190D0A57" w:rsidR="007E0DB0" w:rsidRPr="00263034" w:rsidRDefault="007E0DB0" w:rsidP="008C60A1">
            <w:pPr>
              <w:pStyle w:val="TableText"/>
              <w:rPr>
                <w:szCs w:val="18"/>
                <w:highlight w:val="yellow"/>
              </w:rPr>
            </w:pPr>
            <w:r w:rsidRPr="00007986">
              <w:t>Hughes et al.</w:t>
            </w:r>
            <w:r>
              <w:t xml:space="preserve"> </w:t>
            </w:r>
            <w:r w:rsidR="004E66F5" w:rsidRPr="006B5A0B">
              <w:t>Asciminib in Chronic Myeloid Leukemia after ABL Kinase Inhibitor Failure.</w:t>
            </w:r>
          </w:p>
        </w:tc>
        <w:tc>
          <w:tcPr>
            <w:tcW w:w="1545" w:type="pct"/>
          </w:tcPr>
          <w:p w14:paraId="229D1DE6" w14:textId="36703C89" w:rsidR="007E0DB0" w:rsidRPr="00263034" w:rsidRDefault="004E66F5" w:rsidP="008C60A1">
            <w:pPr>
              <w:pStyle w:val="TableText"/>
              <w:rPr>
                <w:bCs w:val="0"/>
                <w:highlight w:val="yellow"/>
              </w:rPr>
            </w:pPr>
            <w:r w:rsidRPr="004E66F5">
              <w:rPr>
                <w:iCs/>
              </w:rPr>
              <w:t>N Engl J Med 2019</w:t>
            </w:r>
            <w:r>
              <w:rPr>
                <w:iCs/>
              </w:rPr>
              <w:t>;</w:t>
            </w:r>
            <w:r w:rsidRPr="006B5A0B">
              <w:t xml:space="preserve"> 381</w:t>
            </w:r>
            <w:r w:rsidRPr="006B5A0B">
              <w:rPr>
                <w:b/>
              </w:rPr>
              <w:t>,</w:t>
            </w:r>
            <w:r w:rsidRPr="006B5A0B">
              <w:t xml:space="preserve"> 2315-2326</w:t>
            </w:r>
            <w:r>
              <w:t xml:space="preserve"> </w:t>
            </w:r>
            <w:r w:rsidR="007E0DB0">
              <w:t xml:space="preserve">(data </w:t>
            </w:r>
            <w:r w:rsidR="00097F08">
              <w:t>cut-off</w:t>
            </w:r>
            <w:r w:rsidR="007E0DB0">
              <w:t xml:space="preserve"> September 2017)</w:t>
            </w:r>
          </w:p>
        </w:tc>
      </w:tr>
      <w:tr w:rsidR="007E0DB0" w:rsidRPr="002B4570" w14:paraId="16720518" w14:textId="77777777" w:rsidTr="00D55773">
        <w:tc>
          <w:tcPr>
            <w:tcW w:w="796" w:type="pct"/>
            <w:vMerge/>
          </w:tcPr>
          <w:p w14:paraId="707E05A3" w14:textId="77777777" w:rsidR="007E0DB0" w:rsidRPr="00263034" w:rsidRDefault="007E0DB0" w:rsidP="008C60A1">
            <w:pPr>
              <w:pStyle w:val="TableText"/>
              <w:rPr>
                <w:highlight w:val="yellow"/>
              </w:rPr>
            </w:pPr>
          </w:p>
        </w:tc>
        <w:tc>
          <w:tcPr>
            <w:tcW w:w="2659" w:type="pct"/>
          </w:tcPr>
          <w:p w14:paraId="52EE2DE6" w14:textId="13EBECCB" w:rsidR="00D55773" w:rsidRPr="00D55773" w:rsidRDefault="007E0DB0" w:rsidP="00D55773">
            <w:pPr>
              <w:pStyle w:val="TableText"/>
              <w:rPr>
                <w:szCs w:val="18"/>
              </w:rPr>
            </w:pPr>
            <w:r w:rsidRPr="007E0DB0">
              <w:rPr>
                <w:szCs w:val="18"/>
              </w:rPr>
              <w:t xml:space="preserve">X2101 CSR: </w:t>
            </w:r>
            <w:r w:rsidR="00D55773" w:rsidRPr="00D55773">
              <w:rPr>
                <w:szCs w:val="18"/>
              </w:rPr>
              <w:t xml:space="preserve">A phase I, </w:t>
            </w:r>
            <w:r w:rsidR="00097F08" w:rsidRPr="00D55773">
              <w:rPr>
                <w:szCs w:val="18"/>
              </w:rPr>
              <w:t>multicente</w:t>
            </w:r>
            <w:r w:rsidR="008D4DD2">
              <w:rPr>
                <w:szCs w:val="18"/>
              </w:rPr>
              <w:t>r</w:t>
            </w:r>
            <w:r w:rsidR="00D55773" w:rsidRPr="00D55773">
              <w:rPr>
                <w:szCs w:val="18"/>
              </w:rPr>
              <w:t>, open-label study of oral ABL001 in</w:t>
            </w:r>
            <w:r w:rsidR="00D55773">
              <w:rPr>
                <w:szCs w:val="18"/>
              </w:rPr>
              <w:t xml:space="preserve"> </w:t>
            </w:r>
            <w:r w:rsidR="00D55773" w:rsidRPr="00D55773">
              <w:rPr>
                <w:szCs w:val="18"/>
              </w:rPr>
              <w:t>patients with chronic myelogenous leukemia or</w:t>
            </w:r>
          </w:p>
          <w:p w14:paraId="1663AD2B" w14:textId="77777777" w:rsidR="00D55773" w:rsidRPr="00D55773" w:rsidRDefault="00D55773" w:rsidP="00D55773">
            <w:pPr>
              <w:pStyle w:val="TableText"/>
              <w:rPr>
                <w:szCs w:val="18"/>
              </w:rPr>
            </w:pPr>
            <w:r w:rsidRPr="00D55773">
              <w:rPr>
                <w:szCs w:val="18"/>
              </w:rPr>
              <w:t>Philadelphia Chromosome-positive acute lymphoblastic</w:t>
            </w:r>
          </w:p>
          <w:p w14:paraId="2DAB2BB0" w14:textId="08F71195" w:rsidR="007E0DB0" w:rsidRPr="00263034" w:rsidRDefault="00D55773" w:rsidP="00D55773">
            <w:pPr>
              <w:pStyle w:val="TableText"/>
              <w:rPr>
                <w:szCs w:val="18"/>
                <w:highlight w:val="yellow"/>
              </w:rPr>
            </w:pPr>
            <w:r w:rsidRPr="00D55773">
              <w:rPr>
                <w:szCs w:val="18"/>
              </w:rPr>
              <w:t>leukemia</w:t>
            </w:r>
          </w:p>
        </w:tc>
        <w:tc>
          <w:tcPr>
            <w:tcW w:w="1545" w:type="pct"/>
          </w:tcPr>
          <w:p w14:paraId="1AB7C0F4" w14:textId="496ED9A5" w:rsidR="007E0DB0" w:rsidRPr="00263034" w:rsidRDefault="00D55773" w:rsidP="008C60A1">
            <w:pPr>
              <w:pStyle w:val="TableText"/>
              <w:rPr>
                <w:bCs w:val="0"/>
                <w:highlight w:val="yellow"/>
              </w:rPr>
            </w:pPr>
            <w:r w:rsidRPr="004E66F5">
              <w:rPr>
                <w:bCs w:val="0"/>
              </w:rPr>
              <w:t>-</w:t>
            </w:r>
            <w:r w:rsidRPr="004E66F5">
              <w:t xml:space="preserve"> Version date: </w:t>
            </w:r>
            <w:r w:rsidRPr="00D55773">
              <w:t>20</w:t>
            </w:r>
            <w:r>
              <w:t xml:space="preserve"> </w:t>
            </w:r>
            <w:r w:rsidRPr="00D55773">
              <w:t>Sep</w:t>
            </w:r>
            <w:r>
              <w:t xml:space="preserve">tember </w:t>
            </w:r>
            <w:r w:rsidRPr="00D55773">
              <w:t xml:space="preserve">2019 </w:t>
            </w:r>
            <w:r w:rsidR="007E0DB0">
              <w:t xml:space="preserve">(data </w:t>
            </w:r>
            <w:r w:rsidR="00097F08">
              <w:t>cut-off</w:t>
            </w:r>
            <w:r w:rsidR="007E0DB0">
              <w:t xml:space="preserve"> 2 April 2020)</w:t>
            </w:r>
          </w:p>
        </w:tc>
      </w:tr>
      <w:tr w:rsidR="007E0DB0" w:rsidRPr="002B4570" w14:paraId="474FC0B0" w14:textId="77777777" w:rsidTr="00D55773">
        <w:tc>
          <w:tcPr>
            <w:tcW w:w="796" w:type="pct"/>
            <w:vMerge/>
          </w:tcPr>
          <w:p w14:paraId="77030F0D" w14:textId="77777777" w:rsidR="007E0DB0" w:rsidRPr="00263034" w:rsidRDefault="007E0DB0" w:rsidP="008C60A1">
            <w:pPr>
              <w:pStyle w:val="TableText"/>
              <w:rPr>
                <w:highlight w:val="yellow"/>
              </w:rPr>
            </w:pPr>
          </w:p>
        </w:tc>
        <w:tc>
          <w:tcPr>
            <w:tcW w:w="2659" w:type="pct"/>
          </w:tcPr>
          <w:p w14:paraId="4B654D59" w14:textId="0F11FF58" w:rsidR="007E0DB0" w:rsidRPr="00D55773" w:rsidRDefault="00D55773" w:rsidP="00636B96">
            <w:pPr>
              <w:pStyle w:val="TableText"/>
            </w:pPr>
            <w:r w:rsidRPr="007E0DB0">
              <w:rPr>
                <w:szCs w:val="18"/>
              </w:rPr>
              <w:t>X2101 CSR:</w:t>
            </w:r>
            <w:r>
              <w:rPr>
                <w:szCs w:val="18"/>
              </w:rPr>
              <w:t xml:space="preserve"> </w:t>
            </w:r>
            <w:r w:rsidR="007E0DB0">
              <w:t>S</w:t>
            </w:r>
            <w:r w:rsidR="007E0DB0" w:rsidRPr="00A93F80">
              <w:t xml:space="preserve">upplementary analysis in the T315I </w:t>
            </w:r>
            <w:r w:rsidR="007E0DB0">
              <w:t>mutation analysis set</w:t>
            </w:r>
          </w:p>
        </w:tc>
        <w:tc>
          <w:tcPr>
            <w:tcW w:w="1545" w:type="pct"/>
          </w:tcPr>
          <w:p w14:paraId="0E4C1C82" w14:textId="77777777" w:rsidR="00D55773" w:rsidRDefault="00636B96" w:rsidP="008C60A1">
            <w:pPr>
              <w:pStyle w:val="TableText"/>
            </w:pPr>
            <w:r w:rsidRPr="004E66F5">
              <w:rPr>
                <w:bCs w:val="0"/>
              </w:rPr>
              <w:t>-</w:t>
            </w:r>
            <w:r w:rsidRPr="004E66F5">
              <w:t xml:space="preserve"> Version date: </w:t>
            </w:r>
            <w:r>
              <w:t>5</w:t>
            </w:r>
            <w:r w:rsidRPr="004E66F5">
              <w:t xml:space="preserve"> </w:t>
            </w:r>
            <w:r>
              <w:t>March</w:t>
            </w:r>
            <w:r w:rsidRPr="004E66F5">
              <w:t xml:space="preserve"> 20</w:t>
            </w:r>
            <w:r>
              <w:t xml:space="preserve">21 </w:t>
            </w:r>
          </w:p>
          <w:p w14:paraId="08553144" w14:textId="3FF8D172" w:rsidR="007E0DB0" w:rsidRDefault="007E0DB0" w:rsidP="008C60A1">
            <w:pPr>
              <w:pStyle w:val="TableText"/>
            </w:pPr>
            <w:r>
              <w:t xml:space="preserve">(data </w:t>
            </w:r>
            <w:r w:rsidR="00097F08">
              <w:t>cut-off</w:t>
            </w:r>
            <w:r>
              <w:t xml:space="preserve"> 6 Jan 2021)</w:t>
            </w:r>
          </w:p>
        </w:tc>
      </w:tr>
      <w:tr w:rsidR="00263034" w:rsidRPr="002B4570" w14:paraId="7E4BCF34" w14:textId="77777777" w:rsidTr="00D55773">
        <w:trPr>
          <w:trHeight w:val="223"/>
        </w:trPr>
        <w:tc>
          <w:tcPr>
            <w:tcW w:w="5000" w:type="pct"/>
            <w:gridSpan w:val="3"/>
          </w:tcPr>
          <w:p w14:paraId="7C63088C" w14:textId="77777777" w:rsidR="00263034" w:rsidRPr="002B4570" w:rsidRDefault="00263034" w:rsidP="008C60A1">
            <w:pPr>
              <w:pStyle w:val="TableText"/>
              <w:rPr>
                <w:b/>
                <w:bCs w:val="0"/>
              </w:rPr>
            </w:pPr>
            <w:r w:rsidRPr="002B4570">
              <w:rPr>
                <w:b/>
                <w:bCs w:val="0"/>
              </w:rPr>
              <w:t>Ponatinib trial</w:t>
            </w:r>
          </w:p>
        </w:tc>
      </w:tr>
      <w:tr w:rsidR="00263034" w:rsidRPr="002B4570" w14:paraId="47043846" w14:textId="77777777" w:rsidTr="00D55773">
        <w:trPr>
          <w:trHeight w:val="235"/>
        </w:trPr>
        <w:tc>
          <w:tcPr>
            <w:tcW w:w="796" w:type="pct"/>
            <w:vMerge w:val="restart"/>
          </w:tcPr>
          <w:p w14:paraId="3D58F0E8" w14:textId="77777777" w:rsidR="00263034" w:rsidRPr="004E66F5" w:rsidRDefault="00263034" w:rsidP="008C60A1">
            <w:pPr>
              <w:pStyle w:val="TableText"/>
            </w:pPr>
            <w:r w:rsidRPr="004E66F5">
              <w:t>PACE</w:t>
            </w:r>
          </w:p>
        </w:tc>
        <w:tc>
          <w:tcPr>
            <w:tcW w:w="2659" w:type="pct"/>
          </w:tcPr>
          <w:p w14:paraId="181EC73B" w14:textId="77777777" w:rsidR="00263034" w:rsidRPr="004E66F5" w:rsidRDefault="00263034" w:rsidP="008C60A1">
            <w:pPr>
              <w:pStyle w:val="TableText"/>
            </w:pPr>
            <w:r w:rsidRPr="004E66F5">
              <w:t>Cortes et al. A Phase 2 trial of ponatinib in Philadelphia chromosome-positive leukaemias.</w:t>
            </w:r>
          </w:p>
        </w:tc>
        <w:tc>
          <w:tcPr>
            <w:tcW w:w="1545" w:type="pct"/>
          </w:tcPr>
          <w:p w14:paraId="6FCDD8D4" w14:textId="77777777" w:rsidR="00263034" w:rsidRPr="004E66F5" w:rsidRDefault="00263034" w:rsidP="008C60A1">
            <w:pPr>
              <w:pStyle w:val="TableText"/>
            </w:pPr>
            <w:r w:rsidRPr="004E66F5">
              <w:t>New Eng J Med 2013; 369 (19): 1783-1796.</w:t>
            </w:r>
          </w:p>
        </w:tc>
      </w:tr>
      <w:tr w:rsidR="00263034" w:rsidRPr="002B4570" w14:paraId="20409B45" w14:textId="77777777" w:rsidTr="00D55773">
        <w:trPr>
          <w:trHeight w:val="516"/>
        </w:trPr>
        <w:tc>
          <w:tcPr>
            <w:tcW w:w="796" w:type="pct"/>
            <w:vMerge/>
          </w:tcPr>
          <w:p w14:paraId="07EFA7A1" w14:textId="77777777" w:rsidR="00263034" w:rsidRPr="004E66F5" w:rsidRDefault="00263034" w:rsidP="008C60A1">
            <w:pPr>
              <w:pStyle w:val="TableText"/>
            </w:pPr>
          </w:p>
        </w:tc>
        <w:tc>
          <w:tcPr>
            <w:tcW w:w="2659" w:type="pct"/>
          </w:tcPr>
          <w:p w14:paraId="0FFE88EF" w14:textId="77777777" w:rsidR="00263034" w:rsidRPr="004E66F5" w:rsidRDefault="00263034" w:rsidP="008C60A1">
            <w:pPr>
              <w:pStyle w:val="TableText"/>
            </w:pPr>
            <w:r w:rsidRPr="004E66F5">
              <w:t>Cortes et al. Ponatinib efficacy and safety in Philadelphia chromosome-positive leukaemia: final 5-year results of the phase 2 PACE trial.</w:t>
            </w:r>
          </w:p>
        </w:tc>
        <w:tc>
          <w:tcPr>
            <w:tcW w:w="1545" w:type="pct"/>
          </w:tcPr>
          <w:p w14:paraId="32D7EA34" w14:textId="77777777" w:rsidR="00263034" w:rsidRPr="004E66F5" w:rsidRDefault="00263034" w:rsidP="008C60A1">
            <w:pPr>
              <w:pStyle w:val="TableText"/>
            </w:pPr>
            <w:r w:rsidRPr="004E66F5">
              <w:t>Blood 2018; 132 (4): 393-404.</w:t>
            </w:r>
          </w:p>
        </w:tc>
      </w:tr>
    </w:tbl>
    <w:p w14:paraId="2A3A443A" w14:textId="39946C5F" w:rsidR="00B96A78" w:rsidRPr="000715F6" w:rsidRDefault="00263034" w:rsidP="000715F6">
      <w:pPr>
        <w:pStyle w:val="TableText"/>
        <w:spacing w:after="120"/>
        <w:rPr>
          <w:sz w:val="18"/>
          <w:szCs w:val="18"/>
        </w:rPr>
      </w:pPr>
      <w:r w:rsidRPr="004E66F5">
        <w:rPr>
          <w:sz w:val="18"/>
          <w:szCs w:val="18"/>
        </w:rPr>
        <w:t xml:space="preserve">Source: </w:t>
      </w:r>
      <w:r w:rsidR="004E66F5" w:rsidRPr="004E66F5">
        <w:rPr>
          <w:sz w:val="18"/>
          <w:szCs w:val="18"/>
        </w:rPr>
        <w:t>S</w:t>
      </w:r>
      <w:r w:rsidR="004E66F5">
        <w:rPr>
          <w:sz w:val="18"/>
          <w:szCs w:val="18"/>
        </w:rPr>
        <w:t>ubmission p34 and submission Appendix 4.</w:t>
      </w:r>
    </w:p>
    <w:p w14:paraId="4861650E" w14:textId="1E81CC60" w:rsidR="00C92F53" w:rsidRPr="00563671" w:rsidRDefault="00C92F53" w:rsidP="00C92F53">
      <w:pPr>
        <w:pStyle w:val="3-BodyText"/>
      </w:pPr>
      <w:r w:rsidRPr="00563671">
        <w:t>The key eligibility criteria for</w:t>
      </w:r>
      <w:r w:rsidR="00E332A2" w:rsidRPr="00563671">
        <w:t xml:space="preserve"> the</w:t>
      </w:r>
      <w:r w:rsidRPr="00563671">
        <w:t xml:space="preserve"> X2101 and PACE</w:t>
      </w:r>
      <w:r w:rsidR="00E332A2" w:rsidRPr="00563671">
        <w:t xml:space="preserve"> studies</w:t>
      </w:r>
      <w:r w:rsidRPr="00563671">
        <w:t xml:space="preserve"> relating to the patients enrolled with the T315I mutation are presented in</w:t>
      </w:r>
      <w:r w:rsidR="00E332A2" w:rsidRPr="00563671">
        <w:t xml:space="preserve"> </w:t>
      </w:r>
      <w:r w:rsidR="00E332A2" w:rsidRPr="00563671">
        <w:rPr>
          <w:rFonts w:cstheme="minorHAnsi"/>
        </w:rPr>
        <w:fldChar w:fldCharType="begin" w:fldLock="1"/>
      </w:r>
      <w:r w:rsidR="00E332A2" w:rsidRPr="00563671">
        <w:rPr>
          <w:rFonts w:cstheme="minorHAnsi"/>
        </w:rPr>
        <w:instrText xml:space="preserve"> REF _Ref114487206 \h </w:instrText>
      </w:r>
      <w:r w:rsidR="00563671" w:rsidRPr="00563671">
        <w:rPr>
          <w:rFonts w:cstheme="minorHAnsi"/>
        </w:rPr>
        <w:instrText xml:space="preserve"> \* MERGEFORMAT </w:instrText>
      </w:r>
      <w:r w:rsidR="00E332A2" w:rsidRPr="00563671">
        <w:rPr>
          <w:rFonts w:cstheme="minorHAnsi"/>
        </w:rPr>
      </w:r>
      <w:r w:rsidR="00E332A2" w:rsidRPr="00563671">
        <w:rPr>
          <w:rFonts w:cstheme="minorHAnsi"/>
        </w:rPr>
        <w:fldChar w:fldCharType="separate"/>
      </w:r>
      <w:r w:rsidR="00196FF1" w:rsidRPr="00196FF1">
        <w:rPr>
          <w:rFonts w:cstheme="minorHAnsi"/>
        </w:rPr>
        <w:t xml:space="preserve">Table </w:t>
      </w:r>
      <w:r w:rsidR="00196FF1" w:rsidRPr="00196FF1">
        <w:rPr>
          <w:rFonts w:cstheme="minorHAnsi"/>
          <w:noProof/>
        </w:rPr>
        <w:t>4</w:t>
      </w:r>
      <w:r w:rsidR="00E332A2" w:rsidRPr="00563671">
        <w:rPr>
          <w:rFonts w:cstheme="minorHAnsi"/>
        </w:rPr>
        <w:fldChar w:fldCharType="end"/>
      </w:r>
      <w:r w:rsidRPr="00563671">
        <w:t xml:space="preserve">. </w:t>
      </w:r>
      <w:r w:rsidR="00563671" w:rsidRPr="00563671">
        <w:t>P</w:t>
      </w:r>
      <w:r w:rsidRPr="00563671">
        <w:t>atients with CML-CP who had developed the T315I mutation were eligible for either clinical trial if the patient had received at least one prior TKI treatment. Both clinical trials enrolled patients with an Eastern Cooperative Oncology Group (ECOG) performance status 0 to 2, adequate renal function, adequate hepatic function, and normal pancreatic status.</w:t>
      </w:r>
    </w:p>
    <w:p w14:paraId="3D09BE7D" w14:textId="76DB9714" w:rsidR="00C92F53" w:rsidRPr="00E332A2" w:rsidRDefault="00E332A2" w:rsidP="00E332A2">
      <w:pPr>
        <w:pStyle w:val="Tableheading"/>
        <w:jc w:val="left"/>
        <w:rPr>
          <w:rFonts w:ascii="Arial Narrow" w:hAnsi="Arial Narrow"/>
        </w:rPr>
      </w:pPr>
      <w:bookmarkStart w:id="17" w:name="_Ref114487206"/>
      <w:bookmarkStart w:id="18" w:name="_Toc112315922"/>
      <w:r w:rsidRPr="00E332A2">
        <w:rPr>
          <w:rFonts w:ascii="Arial Narrow" w:hAnsi="Arial Narrow"/>
        </w:rPr>
        <w:t xml:space="preserve">Table </w:t>
      </w:r>
      <w:r w:rsidRPr="00E332A2">
        <w:rPr>
          <w:rFonts w:ascii="Arial Narrow" w:hAnsi="Arial Narrow"/>
        </w:rPr>
        <w:fldChar w:fldCharType="begin" w:fldLock="1"/>
      </w:r>
      <w:r w:rsidRPr="00E332A2">
        <w:rPr>
          <w:rFonts w:ascii="Arial Narrow" w:hAnsi="Arial Narrow"/>
        </w:rPr>
        <w:instrText xml:space="preserve"> SEQ Table \* ARABIC </w:instrText>
      </w:r>
      <w:r w:rsidRPr="00E332A2">
        <w:rPr>
          <w:rFonts w:ascii="Arial Narrow" w:hAnsi="Arial Narrow"/>
        </w:rPr>
        <w:fldChar w:fldCharType="separate"/>
      </w:r>
      <w:r w:rsidR="00100F00">
        <w:rPr>
          <w:rFonts w:ascii="Arial Narrow" w:hAnsi="Arial Narrow"/>
          <w:noProof/>
        </w:rPr>
        <w:t>4</w:t>
      </w:r>
      <w:r w:rsidRPr="00E332A2">
        <w:rPr>
          <w:rFonts w:ascii="Arial Narrow" w:hAnsi="Arial Narrow"/>
        </w:rPr>
        <w:fldChar w:fldCharType="end"/>
      </w:r>
      <w:bookmarkEnd w:id="17"/>
      <w:r w:rsidRPr="00E332A2">
        <w:rPr>
          <w:rFonts w:ascii="Arial Narrow" w:hAnsi="Arial Narrow"/>
        </w:rPr>
        <w:t>:</w:t>
      </w:r>
      <w:r w:rsidR="00C92F53" w:rsidRPr="00E332A2">
        <w:rPr>
          <w:rFonts w:ascii="Arial Narrow" w:hAnsi="Arial Narrow"/>
        </w:rPr>
        <w:t xml:space="preserve"> Key eligibility criteria</w:t>
      </w:r>
      <w:bookmarkEnd w:id="18"/>
    </w:p>
    <w:tbl>
      <w:tblPr>
        <w:tblStyle w:val="TableGrid"/>
        <w:tblW w:w="5000" w:type="pct"/>
        <w:tblLook w:val="04A0" w:firstRow="1" w:lastRow="0" w:firstColumn="1" w:lastColumn="0" w:noHBand="0" w:noVBand="1"/>
        <w:tblCaption w:val="Table 4: Key eligibility criteria"/>
      </w:tblPr>
      <w:tblGrid>
        <w:gridCol w:w="4508"/>
        <w:gridCol w:w="4508"/>
      </w:tblGrid>
      <w:tr w:rsidR="00C92F53" w:rsidRPr="00E332A2" w14:paraId="69A93CA2" w14:textId="77777777" w:rsidTr="004D1BE9">
        <w:trPr>
          <w:trHeight w:val="284"/>
          <w:tblHeader/>
        </w:trPr>
        <w:tc>
          <w:tcPr>
            <w:tcW w:w="2500" w:type="pct"/>
          </w:tcPr>
          <w:p w14:paraId="39DD8FF0" w14:textId="1408C8AF" w:rsidR="00C92F53" w:rsidRPr="00563671" w:rsidRDefault="00C92F53" w:rsidP="004D1BE9">
            <w:pPr>
              <w:rPr>
                <w:rFonts w:ascii="Arial Narrow" w:hAnsi="Arial Narrow"/>
                <w:b/>
                <w:bCs/>
                <w:sz w:val="20"/>
                <w:szCs w:val="20"/>
              </w:rPr>
            </w:pPr>
            <w:r w:rsidRPr="00563671">
              <w:rPr>
                <w:rFonts w:ascii="Arial Narrow" w:hAnsi="Arial Narrow"/>
                <w:b/>
                <w:bCs/>
                <w:sz w:val="20"/>
                <w:szCs w:val="20"/>
              </w:rPr>
              <w:t>X2101</w:t>
            </w:r>
            <w:r w:rsidR="00E332A2" w:rsidRPr="00563671">
              <w:rPr>
                <w:rFonts w:ascii="Arial Narrow" w:hAnsi="Arial Narrow"/>
                <w:b/>
                <w:bCs/>
                <w:sz w:val="20"/>
                <w:szCs w:val="20"/>
              </w:rPr>
              <w:t xml:space="preserve"> trial</w:t>
            </w:r>
            <w:r w:rsidR="00E332A2" w:rsidRPr="00563671">
              <w:rPr>
                <w:rFonts w:ascii="Arial Narrow" w:hAnsi="Arial Narrow"/>
                <w:b/>
                <w:bCs/>
                <w:sz w:val="20"/>
                <w:szCs w:val="20"/>
                <w:vertAlign w:val="superscript"/>
              </w:rPr>
              <w:t>a</w:t>
            </w:r>
          </w:p>
        </w:tc>
        <w:tc>
          <w:tcPr>
            <w:tcW w:w="2500" w:type="pct"/>
          </w:tcPr>
          <w:p w14:paraId="03E7AB74" w14:textId="12BFEDF5" w:rsidR="00C92F53" w:rsidRPr="00563671" w:rsidRDefault="00C92F53" w:rsidP="004D1BE9">
            <w:pPr>
              <w:rPr>
                <w:rFonts w:ascii="Arial Narrow" w:hAnsi="Arial Narrow"/>
                <w:b/>
                <w:bCs/>
                <w:sz w:val="20"/>
                <w:szCs w:val="20"/>
              </w:rPr>
            </w:pPr>
            <w:r w:rsidRPr="00563671">
              <w:rPr>
                <w:rFonts w:ascii="Arial Narrow" w:hAnsi="Arial Narrow"/>
                <w:b/>
                <w:bCs/>
                <w:sz w:val="20"/>
                <w:szCs w:val="20"/>
              </w:rPr>
              <w:t>PACE</w:t>
            </w:r>
            <w:r w:rsidR="00E332A2" w:rsidRPr="00563671">
              <w:rPr>
                <w:rFonts w:ascii="Arial Narrow" w:hAnsi="Arial Narrow"/>
                <w:b/>
                <w:bCs/>
                <w:sz w:val="20"/>
                <w:szCs w:val="20"/>
              </w:rPr>
              <w:t xml:space="preserve"> trial</w:t>
            </w:r>
            <w:r w:rsidR="00E332A2" w:rsidRPr="00563671">
              <w:rPr>
                <w:rFonts w:ascii="Arial Narrow" w:hAnsi="Arial Narrow"/>
                <w:b/>
                <w:bCs/>
                <w:sz w:val="20"/>
                <w:szCs w:val="20"/>
                <w:vertAlign w:val="superscript"/>
              </w:rPr>
              <w:t>a</w:t>
            </w:r>
          </w:p>
        </w:tc>
      </w:tr>
      <w:tr w:rsidR="00C92F53" w:rsidRPr="00E332A2" w14:paraId="26D7C53B" w14:textId="77777777" w:rsidTr="004D1BE9">
        <w:trPr>
          <w:trHeight w:val="284"/>
        </w:trPr>
        <w:tc>
          <w:tcPr>
            <w:tcW w:w="2500" w:type="pct"/>
            <w:gridSpan w:val="2"/>
            <w:shd w:val="clear" w:color="auto" w:fill="F2F2F2" w:themeFill="background1" w:themeFillShade="F2"/>
          </w:tcPr>
          <w:p w14:paraId="1C87F53C" w14:textId="77777777" w:rsidR="00C92F53" w:rsidRPr="00563671" w:rsidRDefault="00C92F53" w:rsidP="004D1BE9">
            <w:pPr>
              <w:rPr>
                <w:rFonts w:ascii="Arial Narrow" w:hAnsi="Arial Narrow"/>
                <w:b/>
                <w:bCs/>
                <w:sz w:val="20"/>
                <w:szCs w:val="20"/>
              </w:rPr>
            </w:pPr>
            <w:r w:rsidRPr="00563671">
              <w:rPr>
                <w:rFonts w:ascii="Arial Narrow" w:hAnsi="Arial Narrow"/>
                <w:b/>
                <w:bCs/>
                <w:sz w:val="20"/>
                <w:szCs w:val="20"/>
              </w:rPr>
              <w:t>Inclusion criteria</w:t>
            </w:r>
          </w:p>
        </w:tc>
      </w:tr>
      <w:tr w:rsidR="00C92F53" w:rsidRPr="00E332A2" w14:paraId="2FE2A20D" w14:textId="77777777" w:rsidTr="004D1BE9">
        <w:trPr>
          <w:trHeight w:val="284"/>
        </w:trPr>
        <w:tc>
          <w:tcPr>
            <w:tcW w:w="2500" w:type="pct"/>
            <w:vMerge w:val="restart"/>
          </w:tcPr>
          <w:p w14:paraId="3EB63862" w14:textId="1ABD5C4F" w:rsidR="00C92F53" w:rsidRPr="00563671" w:rsidRDefault="00C92F53" w:rsidP="00E45741">
            <w:pPr>
              <w:pStyle w:val="Bull1table"/>
              <w:spacing w:after="120" w:line="240" w:lineRule="auto"/>
              <w:contextualSpacing w:val="0"/>
              <w:jc w:val="left"/>
              <w:rPr>
                <w:rFonts w:ascii="Arial Narrow" w:hAnsi="Arial Narrow"/>
              </w:rPr>
            </w:pPr>
            <w:r w:rsidRPr="00563671">
              <w:rPr>
                <w:rFonts w:ascii="Arial Narrow" w:hAnsi="Arial Narrow"/>
              </w:rPr>
              <w:t>Male or female patients ≥ 18 years of age who presented the following:</w:t>
            </w:r>
          </w:p>
          <w:p w14:paraId="6F9DDA2C" w14:textId="77777777" w:rsidR="00C92F53" w:rsidRPr="00563671" w:rsidRDefault="00C92F53" w:rsidP="00E45741">
            <w:pPr>
              <w:pStyle w:val="ListParagraph"/>
              <w:numPr>
                <w:ilvl w:val="0"/>
                <w:numId w:val="23"/>
              </w:numPr>
              <w:rPr>
                <w:rFonts w:ascii="Arial Narrow" w:hAnsi="Arial Narrow"/>
                <w:sz w:val="20"/>
                <w:szCs w:val="20"/>
              </w:rPr>
            </w:pPr>
            <w:r w:rsidRPr="00563671">
              <w:rPr>
                <w:rFonts w:ascii="Arial Narrow" w:hAnsi="Arial Narrow"/>
                <w:sz w:val="20"/>
                <w:szCs w:val="20"/>
              </w:rPr>
              <w:t>Patients with CML in the CP or AP who exhibited relapsed disease associated with the presence of the T315I “gatekeeper mutation” after at least one TKI were also eligible provided that no other effective therapy exists (criteria introduced with protocol amendment 4).</w:t>
            </w:r>
          </w:p>
        </w:tc>
        <w:tc>
          <w:tcPr>
            <w:tcW w:w="2500" w:type="pct"/>
          </w:tcPr>
          <w:p w14:paraId="15C7AA45" w14:textId="77777777" w:rsidR="00C92F53" w:rsidRPr="00563671" w:rsidRDefault="00C92F53" w:rsidP="00E45741">
            <w:pPr>
              <w:pStyle w:val="Bull1table"/>
              <w:spacing w:after="120" w:line="240" w:lineRule="auto"/>
              <w:contextualSpacing w:val="0"/>
              <w:jc w:val="left"/>
              <w:rPr>
                <w:rFonts w:ascii="Arial Narrow" w:hAnsi="Arial Narrow"/>
              </w:rPr>
            </w:pPr>
            <w:r w:rsidRPr="00563671">
              <w:rPr>
                <w:rFonts w:ascii="Arial Narrow" w:hAnsi="Arial Narrow"/>
              </w:rPr>
              <w:t xml:space="preserve">Patients </w:t>
            </w:r>
            <w:r w:rsidRPr="00563671">
              <w:rPr>
                <w:rFonts w:ascii="Arial Narrow" w:hAnsi="Arial Narrow" w:cstheme="minorHAnsi"/>
              </w:rPr>
              <w:t>≥</w:t>
            </w:r>
            <w:r w:rsidRPr="00563671">
              <w:rPr>
                <w:rFonts w:ascii="Arial Narrow" w:hAnsi="Arial Narrow"/>
              </w:rPr>
              <w:t xml:space="preserve"> 18 years must have CML in any phase (CP, AP or BP of any phenotype) or Ph+ ALL.</w:t>
            </w:r>
          </w:p>
          <w:p w14:paraId="27DBDC47" w14:textId="77777777" w:rsidR="00C92F53" w:rsidRPr="00563671" w:rsidRDefault="00C92F53" w:rsidP="00E45741">
            <w:pPr>
              <w:pStyle w:val="Bull2table"/>
              <w:numPr>
                <w:ilvl w:val="0"/>
                <w:numId w:val="25"/>
              </w:numPr>
              <w:spacing w:after="120" w:line="240" w:lineRule="auto"/>
              <w:contextualSpacing w:val="0"/>
              <w:jc w:val="left"/>
              <w:rPr>
                <w:rFonts w:ascii="Arial Narrow" w:hAnsi="Arial Narrow"/>
              </w:rPr>
            </w:pPr>
            <w:r w:rsidRPr="00563671">
              <w:rPr>
                <w:rFonts w:ascii="Arial Narrow" w:hAnsi="Arial Narrow"/>
              </w:rPr>
              <w:t>All patients must have screening bone marrow cytogenetics with conventional banding performed within 42 days prior to initiating treatment.</w:t>
            </w:r>
          </w:p>
          <w:p w14:paraId="389E6703" w14:textId="77777777" w:rsidR="00C92F53" w:rsidRPr="00563671" w:rsidRDefault="00C92F53" w:rsidP="00E45741">
            <w:pPr>
              <w:pStyle w:val="Bull2table"/>
              <w:numPr>
                <w:ilvl w:val="0"/>
                <w:numId w:val="25"/>
              </w:numPr>
              <w:spacing w:after="120" w:line="240" w:lineRule="auto"/>
              <w:contextualSpacing w:val="0"/>
              <w:jc w:val="left"/>
              <w:rPr>
                <w:rFonts w:ascii="Arial Narrow" w:hAnsi="Arial Narrow"/>
              </w:rPr>
            </w:pPr>
            <w:r w:rsidRPr="00563671">
              <w:rPr>
                <w:rFonts w:ascii="Arial Narrow" w:hAnsi="Arial Narrow"/>
              </w:rPr>
              <w:t>Examination of at least 20 metaphases is required. If less than 20 metaphases are examined, the bone marrow aspirate should be repeated</w:t>
            </w:r>
          </w:p>
        </w:tc>
      </w:tr>
      <w:tr w:rsidR="00C92F53" w:rsidRPr="00E332A2" w14:paraId="61633162" w14:textId="77777777" w:rsidTr="004D1BE9">
        <w:trPr>
          <w:trHeight w:val="284"/>
        </w:trPr>
        <w:tc>
          <w:tcPr>
            <w:tcW w:w="2500" w:type="pct"/>
            <w:vMerge/>
          </w:tcPr>
          <w:p w14:paraId="246F9CE6" w14:textId="77777777" w:rsidR="00C92F53" w:rsidRPr="00563671" w:rsidRDefault="00C92F53" w:rsidP="00563671">
            <w:pPr>
              <w:spacing w:after="120" w:line="276" w:lineRule="auto"/>
              <w:jc w:val="left"/>
              <w:rPr>
                <w:rFonts w:ascii="Arial Narrow" w:hAnsi="Arial Narrow"/>
                <w:sz w:val="20"/>
                <w:szCs w:val="20"/>
              </w:rPr>
            </w:pPr>
          </w:p>
        </w:tc>
        <w:tc>
          <w:tcPr>
            <w:tcW w:w="2500" w:type="pct"/>
          </w:tcPr>
          <w:p w14:paraId="68E2E4AA" w14:textId="77777777" w:rsidR="00C92F53" w:rsidRPr="00563671" w:rsidRDefault="00C92F53" w:rsidP="00E45741">
            <w:pPr>
              <w:pStyle w:val="Bull1table"/>
              <w:spacing w:after="120" w:line="240" w:lineRule="auto"/>
              <w:contextualSpacing w:val="0"/>
              <w:jc w:val="left"/>
              <w:rPr>
                <w:rFonts w:ascii="Arial Narrow" w:hAnsi="Arial Narrow"/>
              </w:rPr>
            </w:pPr>
            <w:r w:rsidRPr="00563671">
              <w:rPr>
                <w:rFonts w:ascii="Arial Narrow" w:hAnsi="Arial Narrow"/>
              </w:rPr>
              <w:t>Develop the T315I mutation after any TKI therapy.</w:t>
            </w:r>
          </w:p>
          <w:p w14:paraId="636B480A" w14:textId="77777777" w:rsidR="00C92F53" w:rsidRPr="00563671" w:rsidRDefault="00C92F53" w:rsidP="00E45741">
            <w:pPr>
              <w:pStyle w:val="Bull2table"/>
              <w:numPr>
                <w:ilvl w:val="0"/>
                <w:numId w:val="25"/>
              </w:numPr>
              <w:spacing w:after="120" w:line="240" w:lineRule="auto"/>
              <w:contextualSpacing w:val="0"/>
              <w:jc w:val="left"/>
              <w:rPr>
                <w:rFonts w:ascii="Arial Narrow" w:hAnsi="Arial Narrow"/>
              </w:rPr>
            </w:pPr>
            <w:r w:rsidRPr="00563671">
              <w:rPr>
                <w:rFonts w:ascii="Arial Narrow" w:hAnsi="Arial Narrow"/>
              </w:rPr>
              <w:t>Patients with T315I mutation after any TKI need not have been treated with dasatinib or nilotinib.</w:t>
            </w:r>
          </w:p>
          <w:p w14:paraId="25B79242" w14:textId="59E0DA10" w:rsidR="00C92F53" w:rsidRPr="00563671" w:rsidRDefault="00C92F53" w:rsidP="00E45741">
            <w:pPr>
              <w:pStyle w:val="Bull2table"/>
              <w:numPr>
                <w:ilvl w:val="0"/>
                <w:numId w:val="25"/>
              </w:numPr>
              <w:spacing w:after="120" w:line="240" w:lineRule="auto"/>
              <w:contextualSpacing w:val="0"/>
              <w:jc w:val="left"/>
              <w:rPr>
                <w:rFonts w:ascii="Arial Narrow" w:hAnsi="Arial Narrow"/>
              </w:rPr>
            </w:pPr>
            <w:r w:rsidRPr="00563671">
              <w:rPr>
                <w:rFonts w:ascii="Arial Narrow" w:hAnsi="Arial Narrow"/>
              </w:rPr>
              <w:t>Patients with T315I in CP must have less than a CCyR (&gt;</w:t>
            </w:r>
            <w:r w:rsidR="00E332A2" w:rsidRPr="00563671">
              <w:rPr>
                <w:rFonts w:ascii="Arial Narrow" w:hAnsi="Arial Narrow"/>
              </w:rPr>
              <w:t> </w:t>
            </w:r>
            <w:r w:rsidRPr="00563671">
              <w:rPr>
                <w:rFonts w:ascii="Arial Narrow" w:hAnsi="Arial Narrow"/>
              </w:rPr>
              <w:t>0% Ph+).</w:t>
            </w:r>
          </w:p>
          <w:p w14:paraId="0E72B3AA" w14:textId="41E643CF" w:rsidR="00C92F53" w:rsidRPr="00563671" w:rsidRDefault="00C92F53" w:rsidP="00E45741">
            <w:pPr>
              <w:pStyle w:val="Bull2table"/>
              <w:numPr>
                <w:ilvl w:val="0"/>
                <w:numId w:val="25"/>
              </w:numPr>
              <w:spacing w:after="120" w:line="240" w:lineRule="auto"/>
              <w:contextualSpacing w:val="0"/>
              <w:jc w:val="left"/>
              <w:rPr>
                <w:rFonts w:ascii="Arial Narrow" w:hAnsi="Arial Narrow"/>
              </w:rPr>
            </w:pPr>
            <w:r w:rsidRPr="00563671">
              <w:rPr>
                <w:rFonts w:ascii="Arial Narrow" w:hAnsi="Arial Narrow"/>
              </w:rPr>
              <w:lastRenderedPageBreak/>
              <w:t>Patients with any history of T315I mutation will be eligible for study participation. However, only those patients who carry a T315I mutation that is detected by direct sequencing in a pre-treatment blood sample using the study’s central laboratory will be analysed in the T315I subset</w:t>
            </w:r>
            <w:r w:rsidR="00563671">
              <w:rPr>
                <w:rFonts w:ascii="Arial Narrow" w:hAnsi="Arial Narrow"/>
              </w:rPr>
              <w:t>.</w:t>
            </w:r>
          </w:p>
        </w:tc>
      </w:tr>
      <w:tr w:rsidR="00C92F53" w:rsidRPr="00E332A2" w14:paraId="1E0C3912" w14:textId="77777777" w:rsidTr="004D1BE9">
        <w:trPr>
          <w:trHeight w:val="284"/>
        </w:trPr>
        <w:tc>
          <w:tcPr>
            <w:tcW w:w="2500" w:type="pct"/>
          </w:tcPr>
          <w:p w14:paraId="356A7862" w14:textId="77777777" w:rsidR="00C92F53" w:rsidRPr="00563671" w:rsidRDefault="00C92F53" w:rsidP="004D1BE9">
            <w:pPr>
              <w:pStyle w:val="Bull1table"/>
              <w:spacing w:line="240" w:lineRule="auto"/>
              <w:contextualSpacing w:val="0"/>
              <w:rPr>
                <w:rFonts w:ascii="Arial Narrow" w:hAnsi="Arial Narrow"/>
              </w:rPr>
            </w:pPr>
            <w:r w:rsidRPr="00563671">
              <w:rPr>
                <w:rFonts w:ascii="Arial Narrow" w:hAnsi="Arial Narrow"/>
              </w:rPr>
              <w:lastRenderedPageBreak/>
              <w:t>ECOG PS of 0 to 2</w:t>
            </w:r>
          </w:p>
        </w:tc>
        <w:tc>
          <w:tcPr>
            <w:tcW w:w="2500" w:type="pct"/>
          </w:tcPr>
          <w:p w14:paraId="50992423" w14:textId="77777777" w:rsidR="00C92F53" w:rsidRPr="00563671" w:rsidRDefault="00C92F53" w:rsidP="004D1BE9">
            <w:pPr>
              <w:pStyle w:val="Bull1table"/>
              <w:spacing w:line="240" w:lineRule="auto"/>
              <w:contextualSpacing w:val="0"/>
              <w:rPr>
                <w:rFonts w:ascii="Arial Narrow" w:hAnsi="Arial Narrow"/>
              </w:rPr>
            </w:pPr>
            <w:r w:rsidRPr="00563671">
              <w:rPr>
                <w:rFonts w:ascii="Arial Narrow" w:hAnsi="Arial Narrow"/>
              </w:rPr>
              <w:t>ECOG PS of ≤ 2</w:t>
            </w:r>
          </w:p>
        </w:tc>
      </w:tr>
      <w:tr w:rsidR="00C92F53" w:rsidRPr="00E332A2" w14:paraId="178BDBA7" w14:textId="77777777" w:rsidTr="004D1BE9">
        <w:trPr>
          <w:trHeight w:val="284"/>
        </w:trPr>
        <w:tc>
          <w:tcPr>
            <w:tcW w:w="2500" w:type="pct"/>
          </w:tcPr>
          <w:p w14:paraId="55F61FA9" w14:textId="77777777" w:rsidR="00C92F53" w:rsidRPr="00E332A2" w:rsidRDefault="00C92F53" w:rsidP="00E332A2">
            <w:pPr>
              <w:spacing w:after="120" w:line="276" w:lineRule="auto"/>
              <w:rPr>
                <w:rFonts w:ascii="Arial Narrow" w:hAnsi="Arial Narrow"/>
                <w:sz w:val="20"/>
                <w:szCs w:val="20"/>
                <w:highlight w:val="lightGray"/>
              </w:rPr>
            </w:pPr>
          </w:p>
        </w:tc>
        <w:tc>
          <w:tcPr>
            <w:tcW w:w="2500" w:type="pct"/>
          </w:tcPr>
          <w:p w14:paraId="5E29721B" w14:textId="77777777" w:rsidR="00C92F53" w:rsidRPr="00563671" w:rsidRDefault="00C92F53" w:rsidP="00563671">
            <w:pPr>
              <w:pStyle w:val="Bull1table"/>
              <w:spacing w:after="120"/>
              <w:contextualSpacing w:val="0"/>
              <w:jc w:val="left"/>
              <w:rPr>
                <w:rFonts w:ascii="Arial Narrow" w:hAnsi="Arial Narrow"/>
              </w:rPr>
            </w:pPr>
            <w:r w:rsidRPr="00563671">
              <w:rPr>
                <w:rFonts w:ascii="Arial Narrow" w:hAnsi="Arial Narrow"/>
              </w:rPr>
              <w:t>Adequate renal function defined as serum creatinine &lt; 1.5 × ULN.</w:t>
            </w:r>
          </w:p>
          <w:p w14:paraId="770B5C3C" w14:textId="77777777" w:rsidR="00C92F53" w:rsidRPr="00563671" w:rsidRDefault="00C92F53" w:rsidP="00563671">
            <w:pPr>
              <w:pStyle w:val="Bull1table"/>
              <w:spacing w:line="240" w:lineRule="auto"/>
              <w:contextualSpacing w:val="0"/>
              <w:jc w:val="left"/>
              <w:rPr>
                <w:rFonts w:ascii="Arial Narrow" w:hAnsi="Arial Narrow"/>
              </w:rPr>
            </w:pPr>
            <w:r w:rsidRPr="00563671">
              <w:rPr>
                <w:rFonts w:ascii="Arial Narrow" w:hAnsi="Arial Narrow"/>
              </w:rPr>
              <w:t>Adequate hepatic function defined as:</w:t>
            </w:r>
          </w:p>
          <w:p w14:paraId="4ABF93D4" w14:textId="77777777" w:rsidR="00563671" w:rsidRDefault="00C92F53" w:rsidP="00563671">
            <w:pPr>
              <w:pStyle w:val="Bull2table"/>
              <w:numPr>
                <w:ilvl w:val="0"/>
                <w:numId w:val="32"/>
              </w:numPr>
              <w:spacing w:line="240" w:lineRule="auto"/>
              <w:ind w:left="340" w:hanging="142"/>
              <w:contextualSpacing w:val="0"/>
              <w:jc w:val="left"/>
              <w:rPr>
                <w:rFonts w:ascii="Arial Narrow" w:hAnsi="Arial Narrow"/>
              </w:rPr>
            </w:pPr>
            <w:r w:rsidRPr="00563671">
              <w:rPr>
                <w:rFonts w:ascii="Arial Narrow" w:hAnsi="Arial Narrow"/>
              </w:rPr>
              <w:t>Total bilirubin &lt; 1.5 × ULN,</w:t>
            </w:r>
          </w:p>
          <w:p w14:paraId="309321FE" w14:textId="74646690" w:rsidR="00C92F53" w:rsidRPr="00563671" w:rsidRDefault="00C92F53" w:rsidP="00563671">
            <w:pPr>
              <w:pStyle w:val="Bull2table"/>
              <w:numPr>
                <w:ilvl w:val="0"/>
                <w:numId w:val="32"/>
              </w:numPr>
              <w:spacing w:line="240" w:lineRule="auto"/>
              <w:ind w:left="340" w:hanging="142"/>
              <w:contextualSpacing w:val="0"/>
              <w:jc w:val="left"/>
              <w:rPr>
                <w:rFonts w:ascii="Arial Narrow" w:hAnsi="Arial Narrow"/>
              </w:rPr>
            </w:pPr>
            <w:r w:rsidRPr="00563671">
              <w:rPr>
                <w:rFonts w:ascii="Arial Narrow" w:hAnsi="Arial Narrow"/>
              </w:rPr>
              <w:t>ALT and AST &lt; 2.5 × ULN (&lt; 5 x ULN if liver involvement with leukemia)</w:t>
            </w:r>
          </w:p>
        </w:tc>
      </w:tr>
      <w:tr w:rsidR="00C92F53" w:rsidRPr="00E332A2" w14:paraId="1B2FDF01" w14:textId="77777777" w:rsidTr="004D1BE9">
        <w:trPr>
          <w:trHeight w:val="284"/>
        </w:trPr>
        <w:tc>
          <w:tcPr>
            <w:tcW w:w="2500" w:type="pct"/>
          </w:tcPr>
          <w:p w14:paraId="6B7648FE" w14:textId="77777777" w:rsidR="00C92F53" w:rsidRPr="00E332A2" w:rsidRDefault="00C92F53" w:rsidP="00E332A2">
            <w:pPr>
              <w:spacing w:after="120" w:line="276" w:lineRule="auto"/>
              <w:rPr>
                <w:rFonts w:ascii="Arial Narrow" w:hAnsi="Arial Narrow"/>
                <w:sz w:val="20"/>
                <w:szCs w:val="20"/>
                <w:highlight w:val="lightGray"/>
              </w:rPr>
            </w:pPr>
          </w:p>
        </w:tc>
        <w:tc>
          <w:tcPr>
            <w:tcW w:w="2500" w:type="pct"/>
          </w:tcPr>
          <w:p w14:paraId="33DB225F" w14:textId="77777777" w:rsidR="00C92F53" w:rsidRPr="00E45741" w:rsidRDefault="00C92F53" w:rsidP="00E45741">
            <w:pPr>
              <w:pStyle w:val="Bull1table"/>
              <w:spacing w:line="240" w:lineRule="auto"/>
              <w:contextualSpacing w:val="0"/>
              <w:jc w:val="left"/>
              <w:rPr>
                <w:rFonts w:ascii="Arial Narrow" w:hAnsi="Arial Narrow"/>
              </w:rPr>
            </w:pPr>
            <w:r w:rsidRPr="00E45741">
              <w:rPr>
                <w:rFonts w:ascii="Arial Narrow" w:hAnsi="Arial Narrow"/>
              </w:rPr>
              <w:t>Normal pancreatic status defined as:</w:t>
            </w:r>
          </w:p>
          <w:p w14:paraId="78C27824" w14:textId="77777777" w:rsidR="00C92F53" w:rsidRPr="00E45741" w:rsidRDefault="00C92F53" w:rsidP="00E45741">
            <w:pPr>
              <w:pStyle w:val="Bull2table"/>
              <w:numPr>
                <w:ilvl w:val="0"/>
                <w:numId w:val="33"/>
              </w:numPr>
              <w:spacing w:line="240" w:lineRule="auto"/>
              <w:ind w:left="343" w:hanging="142"/>
              <w:contextualSpacing w:val="0"/>
              <w:jc w:val="left"/>
              <w:rPr>
                <w:rFonts w:ascii="Arial Narrow" w:hAnsi="Arial Narrow"/>
              </w:rPr>
            </w:pPr>
            <w:r w:rsidRPr="00E45741">
              <w:rPr>
                <w:rFonts w:ascii="Arial Narrow" w:hAnsi="Arial Narrow"/>
              </w:rPr>
              <w:t>Lipase ≤ 1.5 × ULN for institution</w:t>
            </w:r>
          </w:p>
          <w:p w14:paraId="5787F0EB" w14:textId="77777777" w:rsidR="00C92F53" w:rsidRPr="00E45741" w:rsidRDefault="00C92F53" w:rsidP="00E45741">
            <w:pPr>
              <w:pStyle w:val="Bull2table"/>
              <w:numPr>
                <w:ilvl w:val="0"/>
                <w:numId w:val="33"/>
              </w:numPr>
              <w:spacing w:line="240" w:lineRule="auto"/>
              <w:ind w:left="343" w:hanging="142"/>
              <w:contextualSpacing w:val="0"/>
              <w:jc w:val="left"/>
              <w:rPr>
                <w:rFonts w:ascii="Arial Narrow" w:hAnsi="Arial Narrow"/>
              </w:rPr>
            </w:pPr>
            <w:r w:rsidRPr="00E45741">
              <w:rPr>
                <w:rFonts w:ascii="Arial Narrow" w:hAnsi="Arial Narrow"/>
              </w:rPr>
              <w:t>Amylase ≤ 1.5 × ULN for institution</w:t>
            </w:r>
          </w:p>
          <w:p w14:paraId="15323A52" w14:textId="77777777" w:rsidR="00C92F53" w:rsidRPr="00E45741" w:rsidRDefault="00C92F53" w:rsidP="00E45741">
            <w:pPr>
              <w:pStyle w:val="Bull1table"/>
              <w:numPr>
                <w:ilvl w:val="0"/>
                <w:numId w:val="33"/>
              </w:numPr>
              <w:spacing w:after="120" w:line="240" w:lineRule="auto"/>
              <w:ind w:left="340" w:hanging="142"/>
              <w:contextualSpacing w:val="0"/>
              <w:jc w:val="left"/>
              <w:rPr>
                <w:rFonts w:ascii="Arial Narrow" w:hAnsi="Arial Narrow"/>
              </w:rPr>
            </w:pPr>
            <w:r w:rsidRPr="00E45741">
              <w:rPr>
                <w:rFonts w:ascii="Arial Narrow" w:hAnsi="Arial Narrow"/>
              </w:rPr>
              <w:t>Prothrombin time &lt; 1.5 × ULN.</w:t>
            </w:r>
          </w:p>
          <w:p w14:paraId="286A9055" w14:textId="248997B3" w:rsidR="00C92F53" w:rsidRPr="00E45741" w:rsidRDefault="00C92F53" w:rsidP="00E45741">
            <w:pPr>
              <w:pStyle w:val="Bull1table"/>
              <w:spacing w:line="240" w:lineRule="auto"/>
              <w:contextualSpacing w:val="0"/>
              <w:jc w:val="left"/>
              <w:rPr>
                <w:rFonts w:ascii="Arial Narrow" w:hAnsi="Arial Narrow"/>
                <w:highlight w:val="lightGray"/>
              </w:rPr>
            </w:pPr>
            <w:r w:rsidRPr="00E45741">
              <w:rPr>
                <w:rFonts w:ascii="Arial Narrow" w:hAnsi="Arial Narrow"/>
              </w:rPr>
              <w:t>Normal QTcF interval on screening ECG evaluation, defined as QTcF of ≤ 450 ms in males or ≤ 470 ms in females.</w:t>
            </w:r>
          </w:p>
        </w:tc>
      </w:tr>
      <w:tr w:rsidR="00C92F53" w:rsidRPr="00E332A2" w14:paraId="68B9F09A" w14:textId="77777777" w:rsidTr="004D1BE9">
        <w:trPr>
          <w:trHeight w:val="284"/>
        </w:trPr>
        <w:tc>
          <w:tcPr>
            <w:tcW w:w="2500" w:type="pct"/>
            <w:gridSpan w:val="2"/>
            <w:shd w:val="clear" w:color="auto" w:fill="F2F2F2" w:themeFill="background1" w:themeFillShade="F2"/>
          </w:tcPr>
          <w:p w14:paraId="168ADFD7" w14:textId="77777777" w:rsidR="00C92F53" w:rsidRPr="00E332A2" w:rsidRDefault="00C92F53" w:rsidP="004D1BE9">
            <w:pPr>
              <w:keepNext/>
              <w:keepLines/>
              <w:rPr>
                <w:rFonts w:ascii="Arial Narrow" w:hAnsi="Arial Narrow"/>
                <w:b/>
                <w:bCs/>
                <w:sz w:val="20"/>
                <w:szCs w:val="20"/>
                <w:highlight w:val="lightGray"/>
              </w:rPr>
            </w:pPr>
            <w:r w:rsidRPr="004D1BE9">
              <w:rPr>
                <w:rFonts w:ascii="Arial Narrow" w:hAnsi="Arial Narrow"/>
                <w:b/>
                <w:bCs/>
                <w:sz w:val="20"/>
                <w:szCs w:val="20"/>
              </w:rPr>
              <w:t>Exclusion criteria</w:t>
            </w:r>
          </w:p>
        </w:tc>
      </w:tr>
      <w:tr w:rsidR="00C92F53" w:rsidRPr="00E332A2" w14:paraId="59DD3892" w14:textId="77777777" w:rsidTr="004D1BE9">
        <w:trPr>
          <w:trHeight w:val="284"/>
        </w:trPr>
        <w:tc>
          <w:tcPr>
            <w:tcW w:w="2500" w:type="pct"/>
          </w:tcPr>
          <w:p w14:paraId="4050384F" w14:textId="77777777" w:rsidR="00C92F53" w:rsidRPr="004D1BE9" w:rsidRDefault="00C92F53" w:rsidP="004D1BE9">
            <w:pPr>
              <w:keepNext/>
              <w:keepLines/>
              <w:spacing w:after="120"/>
              <w:jc w:val="left"/>
              <w:rPr>
                <w:rFonts w:ascii="Arial Narrow" w:hAnsi="Arial Narrow"/>
                <w:sz w:val="20"/>
                <w:szCs w:val="20"/>
              </w:rPr>
            </w:pPr>
            <w:r w:rsidRPr="004D1BE9">
              <w:rPr>
                <w:rFonts w:ascii="Arial Narrow" w:hAnsi="Arial Narrow"/>
                <w:sz w:val="20"/>
                <w:szCs w:val="20"/>
              </w:rPr>
              <w:t>The following clinical laboratory results within 3 days before the first dose of study treatment:</w:t>
            </w:r>
          </w:p>
          <w:p w14:paraId="608D0BE9" w14:textId="77777777" w:rsidR="00C92F53" w:rsidRPr="004D1BE9" w:rsidRDefault="00C92F53" w:rsidP="004D1BE9">
            <w:pPr>
              <w:pStyle w:val="ListParagraph"/>
              <w:keepNext/>
              <w:keepLines/>
              <w:numPr>
                <w:ilvl w:val="0"/>
                <w:numId w:val="34"/>
              </w:numPr>
              <w:spacing w:after="0"/>
              <w:ind w:left="447" w:hanging="141"/>
              <w:rPr>
                <w:rFonts w:ascii="Arial Narrow" w:hAnsi="Arial Narrow"/>
                <w:sz w:val="20"/>
                <w:szCs w:val="20"/>
              </w:rPr>
            </w:pPr>
            <w:r w:rsidRPr="004D1BE9">
              <w:rPr>
                <w:rFonts w:ascii="Arial Narrow" w:hAnsi="Arial Narrow"/>
                <w:sz w:val="20"/>
                <w:szCs w:val="20"/>
              </w:rPr>
              <w:t>For CML-CP and AP patients:</w:t>
            </w:r>
          </w:p>
          <w:p w14:paraId="1E0EC1FD" w14:textId="77777777" w:rsidR="00C92F53" w:rsidRPr="004D1BE9" w:rsidRDefault="00C92F53" w:rsidP="004D1BE9">
            <w:pPr>
              <w:pStyle w:val="ListParagraph"/>
              <w:keepNext/>
              <w:keepLines/>
              <w:numPr>
                <w:ilvl w:val="1"/>
                <w:numId w:val="34"/>
              </w:numPr>
              <w:spacing w:after="0"/>
              <w:ind w:left="873" w:hanging="284"/>
              <w:rPr>
                <w:rFonts w:ascii="Arial Narrow" w:hAnsi="Arial Narrow"/>
                <w:sz w:val="20"/>
                <w:szCs w:val="20"/>
              </w:rPr>
            </w:pPr>
            <w:r w:rsidRPr="004D1BE9">
              <w:rPr>
                <w:rFonts w:ascii="Arial Narrow" w:hAnsi="Arial Narrow"/>
                <w:sz w:val="20"/>
                <w:szCs w:val="20"/>
              </w:rPr>
              <w:t>Absolute neutrophil count (ANC) ≤ 0.5 x 10</w:t>
            </w:r>
            <w:r w:rsidRPr="004D1BE9">
              <w:rPr>
                <w:rFonts w:ascii="Arial Narrow" w:hAnsi="Arial Narrow"/>
                <w:sz w:val="20"/>
                <w:szCs w:val="20"/>
                <w:vertAlign w:val="superscript"/>
              </w:rPr>
              <w:t>9</w:t>
            </w:r>
            <w:r w:rsidRPr="004D1BE9">
              <w:rPr>
                <w:rFonts w:ascii="Arial Narrow" w:hAnsi="Arial Narrow"/>
                <w:sz w:val="20"/>
                <w:szCs w:val="20"/>
              </w:rPr>
              <w:t>/L</w:t>
            </w:r>
          </w:p>
          <w:p w14:paraId="3734C04E" w14:textId="77777777" w:rsidR="00C92F53" w:rsidRPr="004D1BE9" w:rsidRDefault="00C92F53" w:rsidP="004D1BE9">
            <w:pPr>
              <w:pStyle w:val="ListParagraph"/>
              <w:keepNext/>
              <w:keepLines/>
              <w:numPr>
                <w:ilvl w:val="1"/>
                <w:numId w:val="34"/>
              </w:numPr>
              <w:spacing w:after="0"/>
              <w:ind w:left="873" w:hanging="284"/>
              <w:rPr>
                <w:rFonts w:ascii="Arial Narrow" w:hAnsi="Arial Narrow"/>
                <w:sz w:val="20"/>
                <w:szCs w:val="20"/>
              </w:rPr>
            </w:pPr>
            <w:r w:rsidRPr="004D1BE9">
              <w:rPr>
                <w:rFonts w:ascii="Arial Narrow" w:hAnsi="Arial Narrow"/>
                <w:sz w:val="20"/>
                <w:szCs w:val="20"/>
              </w:rPr>
              <w:t>Haemoglobin ≤ 9.0 g/dL</w:t>
            </w:r>
          </w:p>
          <w:p w14:paraId="7DC24F6B" w14:textId="77777777" w:rsidR="00C92F53" w:rsidRPr="004D1BE9" w:rsidRDefault="00C92F53" w:rsidP="004D1BE9">
            <w:pPr>
              <w:pStyle w:val="ListParagraph"/>
              <w:keepNext/>
              <w:keepLines/>
              <w:numPr>
                <w:ilvl w:val="1"/>
                <w:numId w:val="34"/>
              </w:numPr>
              <w:spacing w:after="0"/>
              <w:ind w:left="873" w:hanging="284"/>
              <w:rPr>
                <w:rFonts w:ascii="Arial Narrow" w:hAnsi="Arial Narrow"/>
                <w:sz w:val="20"/>
                <w:szCs w:val="20"/>
              </w:rPr>
            </w:pPr>
            <w:r w:rsidRPr="004D1BE9">
              <w:rPr>
                <w:rFonts w:ascii="Arial Narrow" w:hAnsi="Arial Narrow"/>
                <w:sz w:val="20"/>
                <w:szCs w:val="20"/>
              </w:rPr>
              <w:t>Platelets ≤ 50 x 10</w:t>
            </w:r>
            <w:r w:rsidRPr="004D1BE9">
              <w:rPr>
                <w:rFonts w:ascii="Arial Narrow" w:hAnsi="Arial Narrow"/>
                <w:sz w:val="20"/>
                <w:szCs w:val="20"/>
                <w:vertAlign w:val="superscript"/>
              </w:rPr>
              <w:t>9</w:t>
            </w:r>
            <w:r w:rsidRPr="004D1BE9">
              <w:rPr>
                <w:rFonts w:ascii="Arial Narrow" w:hAnsi="Arial Narrow"/>
                <w:sz w:val="20"/>
                <w:szCs w:val="20"/>
              </w:rPr>
              <w:t>/L</w:t>
            </w:r>
          </w:p>
          <w:p w14:paraId="226DA8F8" w14:textId="61E86577" w:rsidR="00C92F53" w:rsidRPr="004D1BE9" w:rsidRDefault="00C92F53" w:rsidP="004D1BE9">
            <w:pPr>
              <w:pStyle w:val="ListParagraph"/>
              <w:keepNext/>
              <w:keepLines/>
              <w:numPr>
                <w:ilvl w:val="0"/>
                <w:numId w:val="34"/>
              </w:numPr>
              <w:ind w:left="448" w:hanging="142"/>
              <w:rPr>
                <w:rFonts w:ascii="Arial Narrow" w:hAnsi="Arial Narrow"/>
                <w:sz w:val="20"/>
                <w:szCs w:val="20"/>
              </w:rPr>
            </w:pPr>
            <w:r w:rsidRPr="004D1BE9">
              <w:rPr>
                <w:rFonts w:ascii="Arial Narrow" w:hAnsi="Arial Narrow"/>
                <w:sz w:val="20"/>
                <w:szCs w:val="20"/>
              </w:rPr>
              <w:t>Total bilirubin &gt; 1.5 times the ULN, except for patients with Gilbert’s syndrome, who were excluded if total bilirubin is &gt; 3 times the ULN or if direct bilirubin is &gt; 1.5 times the ULN</w:t>
            </w:r>
          </w:p>
          <w:p w14:paraId="63F7F78D" w14:textId="7B6FA880" w:rsidR="00C92F53" w:rsidRPr="004D1BE9" w:rsidRDefault="00C92F53" w:rsidP="004D1BE9">
            <w:pPr>
              <w:pStyle w:val="ListParagraph"/>
              <w:keepNext/>
              <w:keepLines/>
              <w:numPr>
                <w:ilvl w:val="0"/>
                <w:numId w:val="34"/>
              </w:numPr>
              <w:ind w:left="448" w:hanging="142"/>
              <w:rPr>
                <w:rFonts w:ascii="Arial Narrow" w:hAnsi="Arial Narrow"/>
                <w:sz w:val="20"/>
                <w:szCs w:val="20"/>
              </w:rPr>
            </w:pPr>
            <w:r w:rsidRPr="004D1BE9">
              <w:rPr>
                <w:rFonts w:ascii="Arial Narrow" w:hAnsi="Arial Narrow"/>
                <w:sz w:val="20"/>
                <w:szCs w:val="20"/>
              </w:rPr>
              <w:t>AST or ALT &gt; 3 times the ULN</w:t>
            </w:r>
          </w:p>
          <w:p w14:paraId="3AE0C4AC" w14:textId="77777777" w:rsidR="00C92F53" w:rsidRPr="004D1BE9" w:rsidRDefault="00C92F53" w:rsidP="004D1BE9">
            <w:pPr>
              <w:pStyle w:val="ListParagraph"/>
              <w:keepNext/>
              <w:keepLines/>
              <w:numPr>
                <w:ilvl w:val="0"/>
                <w:numId w:val="34"/>
              </w:numPr>
              <w:ind w:left="448" w:hanging="142"/>
              <w:rPr>
                <w:rFonts w:ascii="Arial Narrow" w:hAnsi="Arial Narrow"/>
                <w:sz w:val="20"/>
                <w:szCs w:val="20"/>
              </w:rPr>
            </w:pPr>
            <w:r w:rsidRPr="004D1BE9">
              <w:rPr>
                <w:rFonts w:ascii="Arial Narrow" w:hAnsi="Arial Narrow"/>
                <w:sz w:val="20"/>
                <w:szCs w:val="20"/>
              </w:rPr>
              <w:t>Alkaline phosphatase &gt; 2.5 times the ULN unless considered to be not of hepatic origin</w:t>
            </w:r>
          </w:p>
          <w:p w14:paraId="5BE5DC44" w14:textId="77777777" w:rsidR="00C92F53" w:rsidRPr="004D1BE9" w:rsidRDefault="00C92F53" w:rsidP="004D1BE9">
            <w:pPr>
              <w:pStyle w:val="ListParagraph"/>
              <w:keepNext/>
              <w:keepLines/>
              <w:numPr>
                <w:ilvl w:val="0"/>
                <w:numId w:val="34"/>
              </w:numPr>
              <w:spacing w:after="0"/>
              <w:ind w:left="447" w:hanging="141"/>
              <w:rPr>
                <w:rFonts w:ascii="Arial Narrow" w:hAnsi="Arial Narrow"/>
                <w:sz w:val="20"/>
                <w:szCs w:val="20"/>
              </w:rPr>
            </w:pPr>
            <w:r w:rsidRPr="004D1BE9">
              <w:rPr>
                <w:rFonts w:ascii="Arial Narrow" w:hAnsi="Arial Narrow"/>
                <w:sz w:val="20"/>
                <w:szCs w:val="20"/>
              </w:rPr>
              <w:t>Creatinine &gt; 1.5 ULN</w:t>
            </w:r>
          </w:p>
          <w:p w14:paraId="7FEA26BA" w14:textId="77777777" w:rsidR="004D1BE9" w:rsidRDefault="00C92F53" w:rsidP="004D1BE9">
            <w:pPr>
              <w:pStyle w:val="ListParagraph"/>
              <w:keepNext/>
              <w:keepLines/>
              <w:numPr>
                <w:ilvl w:val="0"/>
                <w:numId w:val="34"/>
              </w:numPr>
              <w:spacing w:after="0"/>
              <w:ind w:left="447" w:hanging="141"/>
              <w:rPr>
                <w:rFonts w:ascii="Arial Narrow" w:hAnsi="Arial Narrow"/>
                <w:sz w:val="20"/>
                <w:szCs w:val="20"/>
              </w:rPr>
            </w:pPr>
            <w:r w:rsidRPr="004D1BE9">
              <w:rPr>
                <w:rFonts w:ascii="Arial Narrow" w:hAnsi="Arial Narrow"/>
                <w:sz w:val="20"/>
                <w:szCs w:val="20"/>
              </w:rPr>
              <w:t>Amylase values above the institutional ULN</w:t>
            </w:r>
          </w:p>
          <w:p w14:paraId="5D1E6173" w14:textId="54DCA155" w:rsidR="00C92F53" w:rsidRPr="004D1BE9" w:rsidRDefault="00C92F53" w:rsidP="004D1BE9">
            <w:pPr>
              <w:pStyle w:val="ListParagraph"/>
              <w:keepNext/>
              <w:keepLines/>
              <w:numPr>
                <w:ilvl w:val="0"/>
                <w:numId w:val="34"/>
              </w:numPr>
              <w:spacing w:after="0"/>
              <w:ind w:left="447" w:hanging="141"/>
              <w:rPr>
                <w:rFonts w:ascii="Arial Narrow" w:hAnsi="Arial Narrow"/>
                <w:sz w:val="20"/>
                <w:szCs w:val="20"/>
              </w:rPr>
            </w:pPr>
            <w:r w:rsidRPr="004D1BE9">
              <w:rPr>
                <w:rFonts w:ascii="Arial Narrow" w:hAnsi="Arial Narrow"/>
                <w:sz w:val="20"/>
                <w:szCs w:val="20"/>
              </w:rPr>
              <w:t>Lipase values above the institutional ULN</w:t>
            </w:r>
            <w:r w:rsidR="004D1BE9">
              <w:rPr>
                <w:rFonts w:ascii="Arial Narrow" w:hAnsi="Arial Narrow"/>
                <w:sz w:val="20"/>
                <w:szCs w:val="20"/>
              </w:rPr>
              <w:t>.</w:t>
            </w:r>
          </w:p>
        </w:tc>
        <w:tc>
          <w:tcPr>
            <w:tcW w:w="2500" w:type="pct"/>
          </w:tcPr>
          <w:p w14:paraId="718D6EB6" w14:textId="77777777" w:rsidR="00C92F53" w:rsidRPr="00E332A2" w:rsidRDefault="00C92F53" w:rsidP="004D1BE9">
            <w:pPr>
              <w:keepNext/>
              <w:keepLines/>
              <w:spacing w:after="120" w:line="276" w:lineRule="auto"/>
              <w:rPr>
                <w:rFonts w:ascii="Arial Narrow" w:hAnsi="Arial Narrow"/>
                <w:sz w:val="20"/>
                <w:szCs w:val="20"/>
                <w:highlight w:val="lightGray"/>
              </w:rPr>
            </w:pPr>
          </w:p>
        </w:tc>
      </w:tr>
    </w:tbl>
    <w:p w14:paraId="16D02E01" w14:textId="221A82BD" w:rsidR="00C92F53" w:rsidRPr="00E332A2" w:rsidRDefault="00C92F53" w:rsidP="0072742D">
      <w:pPr>
        <w:pStyle w:val="Tablefooter"/>
        <w:rPr>
          <w:rFonts w:ascii="Arial Narrow" w:hAnsi="Arial Narrow"/>
        </w:rPr>
      </w:pPr>
      <w:r w:rsidRPr="00E332A2">
        <w:rPr>
          <w:rFonts w:ascii="Arial Narrow" w:hAnsi="Arial Narrow"/>
        </w:rPr>
        <w:t xml:space="preserve">Source: </w:t>
      </w:r>
      <w:r w:rsidR="00E332A2" w:rsidRPr="00E332A2">
        <w:rPr>
          <w:rFonts w:ascii="Arial Narrow" w:hAnsi="Arial Narrow"/>
        </w:rPr>
        <w:t xml:space="preserve">Resubmission Table 2-1; </w:t>
      </w:r>
      <w:r w:rsidRPr="00E332A2">
        <w:rPr>
          <w:rFonts w:ascii="Arial Narrow" w:hAnsi="Arial Narrow"/>
        </w:rPr>
        <w:t xml:space="preserve">Appendix 4: X2101 CSR, Section 9.3, p123-126, Appendix 5: </w:t>
      </w:r>
      <w:hyperlink w:anchor="_ENREF_1" w:tooltip="Cortes, 2013 #2" w:history="1">
        <w:r w:rsidRPr="00E332A2">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E332A2">
          <w:rPr>
            <w:rFonts w:ascii="Arial Narrow" w:hAnsi="Arial Narrow"/>
          </w:rPr>
          <w:instrText xml:space="preserve"> ADDIN EN.CITE </w:instrText>
        </w:r>
        <w:r w:rsidRPr="00E332A2">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E332A2">
          <w:rPr>
            <w:rFonts w:ascii="Arial Narrow" w:hAnsi="Arial Narrow"/>
          </w:rPr>
          <w:instrText xml:space="preserve"> ADDIN EN.CITE.DATA </w:instrText>
        </w:r>
        <w:r w:rsidRPr="00E332A2">
          <w:rPr>
            <w:rFonts w:ascii="Arial Narrow" w:hAnsi="Arial Narrow"/>
          </w:rPr>
        </w:r>
        <w:r w:rsidRPr="00E332A2">
          <w:rPr>
            <w:rFonts w:ascii="Arial Narrow" w:hAnsi="Arial Narrow"/>
          </w:rPr>
          <w:fldChar w:fldCharType="end"/>
        </w:r>
        <w:r w:rsidRPr="00E332A2">
          <w:rPr>
            <w:rFonts w:ascii="Arial Narrow" w:hAnsi="Arial Narrow"/>
          </w:rPr>
        </w:r>
        <w:r w:rsidRPr="00E332A2">
          <w:rPr>
            <w:rFonts w:ascii="Arial Narrow" w:hAnsi="Arial Narrow"/>
          </w:rPr>
          <w:fldChar w:fldCharType="separate"/>
        </w:r>
        <w:r w:rsidRPr="00E332A2">
          <w:rPr>
            <w:rFonts w:ascii="Arial Narrow" w:hAnsi="Arial Narrow"/>
            <w:noProof/>
          </w:rPr>
          <w:t>Cortes et al. (2013)</w:t>
        </w:r>
        <w:r w:rsidRPr="00E332A2">
          <w:rPr>
            <w:rFonts w:ascii="Arial Narrow" w:hAnsi="Arial Narrow"/>
          </w:rPr>
          <w:fldChar w:fldCharType="end"/>
        </w:r>
      </w:hyperlink>
      <w:r w:rsidR="00E332A2" w:rsidRPr="00E332A2">
        <w:rPr>
          <w:rFonts w:ascii="Arial Narrow" w:hAnsi="Arial Narrow"/>
        </w:rPr>
        <w:t>.</w:t>
      </w:r>
    </w:p>
    <w:p w14:paraId="5F14156B" w14:textId="07DA933D" w:rsidR="002441C7" w:rsidRDefault="002441C7" w:rsidP="0072742D">
      <w:pPr>
        <w:rPr>
          <w:rFonts w:ascii="Arial Narrow" w:eastAsiaTheme="minorHAnsi" w:hAnsi="Arial Narrow" w:cstheme="minorBidi"/>
          <w:sz w:val="18"/>
          <w:szCs w:val="18"/>
          <w:lang w:eastAsia="en-US"/>
        </w:rPr>
      </w:pPr>
      <w:r>
        <w:rPr>
          <w:rFonts w:ascii="Arial Narrow" w:eastAsiaTheme="minorHAnsi" w:hAnsi="Arial Narrow" w:cstheme="minorBidi"/>
          <w:sz w:val="18"/>
          <w:szCs w:val="18"/>
          <w:lang w:eastAsia="en-US"/>
        </w:rPr>
        <w:t xml:space="preserve">ALL = </w:t>
      </w:r>
      <w:r w:rsidRPr="002441C7">
        <w:rPr>
          <w:rFonts w:ascii="Arial Narrow" w:eastAsiaTheme="minorHAnsi" w:hAnsi="Arial Narrow" w:cstheme="minorBidi"/>
          <w:sz w:val="18"/>
          <w:szCs w:val="18"/>
          <w:lang w:eastAsia="en-US"/>
        </w:rPr>
        <w:t>acute lymphoblastic leukemia</w:t>
      </w:r>
      <w:r>
        <w:rPr>
          <w:rFonts w:ascii="Arial Narrow" w:eastAsiaTheme="minorHAnsi" w:hAnsi="Arial Narrow" w:cstheme="minorBidi"/>
          <w:sz w:val="18"/>
          <w:szCs w:val="18"/>
          <w:lang w:eastAsia="en-US"/>
        </w:rPr>
        <w:t xml:space="preserve">; </w:t>
      </w:r>
      <w:r w:rsidR="00AE147C">
        <w:rPr>
          <w:rFonts w:ascii="Arial Narrow" w:eastAsiaTheme="minorHAnsi" w:hAnsi="Arial Narrow" w:cstheme="minorBidi"/>
          <w:sz w:val="18"/>
          <w:szCs w:val="18"/>
          <w:lang w:eastAsia="en-US"/>
        </w:rPr>
        <w:t xml:space="preserve">ALT = </w:t>
      </w:r>
      <w:r w:rsidR="00AE147C" w:rsidRPr="004D1BE9">
        <w:rPr>
          <w:rFonts w:ascii="Arial Narrow" w:hAnsi="Arial Narrow"/>
          <w:sz w:val="20"/>
          <w:szCs w:val="20"/>
        </w:rPr>
        <w:t>alanine aminotransferase</w:t>
      </w:r>
      <w:r w:rsidR="00AE147C">
        <w:rPr>
          <w:rFonts w:ascii="Arial Narrow" w:hAnsi="Arial Narrow"/>
          <w:sz w:val="20"/>
          <w:szCs w:val="20"/>
        </w:rPr>
        <w:t xml:space="preserve">; </w:t>
      </w:r>
      <w:r>
        <w:rPr>
          <w:rFonts w:ascii="Arial Narrow" w:eastAsiaTheme="minorHAnsi" w:hAnsi="Arial Narrow" w:cstheme="minorBidi"/>
          <w:sz w:val="18"/>
          <w:szCs w:val="18"/>
          <w:lang w:eastAsia="en-US"/>
        </w:rPr>
        <w:t xml:space="preserve">AP = acute phase; </w:t>
      </w:r>
      <w:r w:rsidR="00AE147C">
        <w:rPr>
          <w:rFonts w:ascii="Arial Narrow" w:eastAsiaTheme="minorHAnsi" w:hAnsi="Arial Narrow" w:cstheme="minorBidi"/>
          <w:sz w:val="18"/>
          <w:szCs w:val="18"/>
          <w:lang w:eastAsia="en-US"/>
        </w:rPr>
        <w:t>AST = a</w:t>
      </w:r>
      <w:r w:rsidR="00AE147C" w:rsidRPr="00AE147C">
        <w:rPr>
          <w:rFonts w:ascii="Arial Narrow" w:eastAsiaTheme="minorHAnsi" w:hAnsi="Arial Narrow" w:cstheme="minorBidi"/>
          <w:sz w:val="18"/>
          <w:szCs w:val="18"/>
          <w:lang w:eastAsia="en-US"/>
        </w:rPr>
        <w:t>spartate aminotransferase</w:t>
      </w:r>
      <w:r w:rsidR="00AE147C">
        <w:rPr>
          <w:rFonts w:ascii="Arial Narrow" w:eastAsiaTheme="minorHAnsi" w:hAnsi="Arial Narrow" w:cstheme="minorBidi"/>
          <w:sz w:val="18"/>
          <w:szCs w:val="18"/>
          <w:lang w:eastAsia="en-US"/>
        </w:rPr>
        <w:t xml:space="preserve">; </w:t>
      </w:r>
      <w:r w:rsidRPr="002441C7">
        <w:rPr>
          <w:rFonts w:ascii="Arial Narrow" w:eastAsiaTheme="minorHAnsi" w:hAnsi="Arial Narrow" w:cstheme="minorBidi"/>
          <w:sz w:val="18"/>
          <w:szCs w:val="18"/>
          <w:lang w:eastAsia="en-US"/>
        </w:rPr>
        <w:t xml:space="preserve">CCyR </w:t>
      </w:r>
      <w:r>
        <w:rPr>
          <w:rFonts w:ascii="Arial Narrow" w:eastAsiaTheme="minorHAnsi" w:hAnsi="Arial Narrow" w:cstheme="minorBidi"/>
          <w:sz w:val="18"/>
          <w:szCs w:val="18"/>
          <w:lang w:eastAsia="en-US"/>
        </w:rPr>
        <w:t xml:space="preserve">= </w:t>
      </w:r>
      <w:r w:rsidRPr="002441C7">
        <w:rPr>
          <w:rFonts w:ascii="Arial Narrow" w:eastAsiaTheme="minorHAnsi" w:hAnsi="Arial Narrow" w:cstheme="minorBidi"/>
          <w:sz w:val="18"/>
          <w:szCs w:val="18"/>
          <w:lang w:eastAsia="en-US"/>
        </w:rPr>
        <w:t>complete cytogenetic response</w:t>
      </w:r>
      <w:r>
        <w:rPr>
          <w:rFonts w:ascii="Arial Narrow" w:eastAsiaTheme="minorHAnsi" w:hAnsi="Arial Narrow" w:cstheme="minorBidi"/>
          <w:sz w:val="18"/>
          <w:szCs w:val="18"/>
          <w:lang w:eastAsia="en-US"/>
        </w:rPr>
        <w:t xml:space="preserve">; </w:t>
      </w:r>
      <w:r w:rsidRPr="002441C7">
        <w:rPr>
          <w:rFonts w:ascii="Arial Narrow" w:eastAsiaTheme="minorHAnsi" w:hAnsi="Arial Narrow" w:cstheme="minorBidi"/>
          <w:sz w:val="18"/>
          <w:szCs w:val="18"/>
          <w:lang w:eastAsia="en-US"/>
        </w:rPr>
        <w:t>CP = chronic phase; CML = chronic myeloid leukaemia</w:t>
      </w:r>
      <w:r>
        <w:rPr>
          <w:rFonts w:ascii="Arial Narrow" w:eastAsiaTheme="minorHAnsi" w:hAnsi="Arial Narrow" w:cstheme="minorBidi"/>
          <w:sz w:val="18"/>
          <w:szCs w:val="18"/>
          <w:lang w:eastAsia="en-US"/>
        </w:rPr>
        <w:t xml:space="preserve">; </w:t>
      </w:r>
      <w:r w:rsidR="0072742D">
        <w:rPr>
          <w:rFonts w:ascii="Arial Narrow" w:eastAsiaTheme="minorHAnsi" w:hAnsi="Arial Narrow" w:cstheme="minorBidi"/>
          <w:sz w:val="18"/>
          <w:szCs w:val="18"/>
          <w:lang w:eastAsia="en-US"/>
        </w:rPr>
        <w:t xml:space="preserve">ECOG PS = </w:t>
      </w:r>
      <w:r w:rsidR="0072742D" w:rsidRPr="0072742D">
        <w:rPr>
          <w:rFonts w:ascii="Arial Narrow" w:eastAsiaTheme="minorHAnsi" w:hAnsi="Arial Narrow" w:cstheme="minorBidi"/>
          <w:sz w:val="18"/>
          <w:szCs w:val="18"/>
          <w:lang w:eastAsia="en-US"/>
        </w:rPr>
        <w:t xml:space="preserve">Eastern Cooperative Oncology Group </w:t>
      </w:r>
      <w:r w:rsidR="0072742D">
        <w:rPr>
          <w:rFonts w:ascii="Arial Narrow" w:eastAsiaTheme="minorHAnsi" w:hAnsi="Arial Narrow" w:cstheme="minorBidi"/>
          <w:sz w:val="18"/>
          <w:szCs w:val="18"/>
          <w:lang w:eastAsia="en-US"/>
        </w:rPr>
        <w:t xml:space="preserve">performance status; </w:t>
      </w:r>
      <w:r w:rsidRPr="002441C7">
        <w:rPr>
          <w:rFonts w:ascii="Arial Narrow" w:eastAsiaTheme="minorHAnsi" w:hAnsi="Arial Narrow" w:cstheme="minorBidi"/>
          <w:sz w:val="18"/>
          <w:szCs w:val="18"/>
          <w:lang w:eastAsia="en-US"/>
        </w:rPr>
        <w:t>Ph+</w:t>
      </w:r>
      <w:r>
        <w:rPr>
          <w:rFonts w:ascii="Arial Narrow" w:eastAsiaTheme="minorHAnsi" w:hAnsi="Arial Narrow" w:cstheme="minorBidi"/>
          <w:sz w:val="18"/>
          <w:szCs w:val="18"/>
          <w:lang w:eastAsia="en-US"/>
        </w:rPr>
        <w:t xml:space="preserve"> = Philadelphia chromosome positive; TKI = tyrosine kinase inhibitor</w:t>
      </w:r>
      <w:r w:rsidR="00AE147C">
        <w:rPr>
          <w:rFonts w:ascii="Arial Narrow" w:eastAsiaTheme="minorHAnsi" w:hAnsi="Arial Narrow" w:cstheme="minorBidi"/>
          <w:sz w:val="18"/>
          <w:szCs w:val="18"/>
          <w:lang w:eastAsia="en-US"/>
        </w:rPr>
        <w:t xml:space="preserve">; </w:t>
      </w:r>
      <w:r w:rsidR="00AE147C" w:rsidRPr="00AE147C">
        <w:rPr>
          <w:rFonts w:ascii="Arial Narrow" w:eastAsiaTheme="minorHAnsi" w:hAnsi="Arial Narrow" w:cstheme="minorBidi"/>
          <w:sz w:val="18"/>
          <w:szCs w:val="18"/>
          <w:lang w:eastAsia="en-US"/>
        </w:rPr>
        <w:t xml:space="preserve">ULN = </w:t>
      </w:r>
      <w:r w:rsidR="00AE147C" w:rsidRPr="00AE147C">
        <w:rPr>
          <w:rFonts w:ascii="Arial Narrow" w:hAnsi="Arial Narrow"/>
          <w:sz w:val="18"/>
          <w:szCs w:val="18"/>
        </w:rPr>
        <w:t>upper limit of the normal range</w:t>
      </w:r>
      <w:r w:rsidRPr="00AE147C">
        <w:rPr>
          <w:rFonts w:ascii="Arial Narrow" w:eastAsiaTheme="minorHAnsi" w:hAnsi="Arial Narrow" w:cstheme="minorBidi"/>
          <w:sz w:val="18"/>
          <w:szCs w:val="18"/>
          <w:lang w:eastAsia="en-US"/>
        </w:rPr>
        <w:t>.</w:t>
      </w:r>
      <w:r w:rsidRPr="002441C7">
        <w:rPr>
          <w:rFonts w:ascii="Arial Narrow" w:eastAsiaTheme="minorHAnsi" w:hAnsi="Arial Narrow" w:cstheme="minorBidi"/>
          <w:sz w:val="18"/>
          <w:szCs w:val="18"/>
          <w:lang w:eastAsia="en-US"/>
        </w:rPr>
        <w:t xml:space="preserve"> </w:t>
      </w:r>
    </w:p>
    <w:p w14:paraId="16782D9D" w14:textId="350D6CCF" w:rsidR="003806EC" w:rsidRDefault="00E332A2" w:rsidP="0072742D">
      <w:pPr>
        <w:rPr>
          <w:rFonts w:ascii="Arial Narrow" w:hAnsi="Arial Narrow"/>
          <w:sz w:val="18"/>
          <w:szCs w:val="18"/>
        </w:rPr>
      </w:pPr>
      <w:r w:rsidRPr="00E332A2">
        <w:rPr>
          <w:rFonts w:ascii="Arial Narrow" w:hAnsi="Arial Narrow"/>
          <w:sz w:val="18"/>
          <w:szCs w:val="18"/>
        </w:rPr>
        <w:t xml:space="preserve">a </w:t>
      </w:r>
      <w:r w:rsidR="00C92F53" w:rsidRPr="00E332A2">
        <w:rPr>
          <w:rFonts w:ascii="Arial Narrow" w:hAnsi="Arial Narrow"/>
          <w:sz w:val="18"/>
          <w:szCs w:val="18"/>
        </w:rPr>
        <w:t>Only eligibility criteria pertaining to patients with T315I mutations is presented</w:t>
      </w:r>
      <w:r w:rsidRPr="00E332A2">
        <w:rPr>
          <w:rFonts w:ascii="Arial Narrow" w:hAnsi="Arial Narrow"/>
          <w:sz w:val="18"/>
          <w:szCs w:val="18"/>
        </w:rPr>
        <w:t>.</w:t>
      </w:r>
    </w:p>
    <w:p w14:paraId="4CA16A69" w14:textId="77777777" w:rsidR="003806EC" w:rsidRDefault="003806EC" w:rsidP="003806EC">
      <w:pPr>
        <w:spacing w:line="276" w:lineRule="auto"/>
        <w:rPr>
          <w:rFonts w:ascii="Arial Narrow" w:hAnsi="Arial Narrow"/>
          <w:sz w:val="18"/>
          <w:szCs w:val="18"/>
        </w:rPr>
      </w:pPr>
    </w:p>
    <w:p w14:paraId="20634770" w14:textId="4FABAB61" w:rsidR="00C92F53" w:rsidRPr="00F766F1" w:rsidRDefault="00C92F53" w:rsidP="00E50A4A">
      <w:pPr>
        <w:pStyle w:val="3-BodyText"/>
      </w:pPr>
      <w:r w:rsidRPr="00F766F1">
        <w:t>In</w:t>
      </w:r>
      <w:r w:rsidR="00F766F1" w:rsidRPr="00F766F1">
        <w:t xml:space="preserve"> the</w:t>
      </w:r>
      <w:r w:rsidRPr="00F766F1">
        <w:t xml:space="preserve"> X2101</w:t>
      </w:r>
      <w:r w:rsidR="00F766F1" w:rsidRPr="00F766F1">
        <w:t xml:space="preserve"> trial</w:t>
      </w:r>
      <w:r w:rsidRPr="00F766F1">
        <w:t>,</w:t>
      </w:r>
      <w:r w:rsidR="00F766F1" w:rsidRPr="00F766F1">
        <w:t xml:space="preserve"> </w:t>
      </w:r>
      <w:r w:rsidRPr="00F766F1">
        <w:t xml:space="preserve">48 CML-CP patients harbouring the T315I mutation </w:t>
      </w:r>
      <w:r w:rsidR="00F766F1" w:rsidRPr="00F766F1">
        <w:t>were</w:t>
      </w:r>
      <w:r w:rsidRPr="00F766F1">
        <w:t xml:space="preserve"> treated with asciminib 200 mg twice daily</w:t>
      </w:r>
      <w:r w:rsidR="00F766F1" w:rsidRPr="00F766F1">
        <w:t>. Of these patients,</w:t>
      </w:r>
      <w:r w:rsidRPr="00F766F1">
        <w:t xml:space="preserve"> 77.1% were male and 22.9% female. The patients were White (58.3%), Asian (25.0%), and Black or African American (2.1%), and unreported or unknown (14.6%). The </w:t>
      </w:r>
      <w:r w:rsidR="0072742D" w:rsidRPr="0072742D">
        <w:t xml:space="preserve">Eastern Cooperative </w:t>
      </w:r>
      <w:r w:rsidR="0072742D" w:rsidRPr="0072742D">
        <w:lastRenderedPageBreak/>
        <w:t xml:space="preserve">Oncology Group performance status </w:t>
      </w:r>
      <w:r w:rsidR="0072742D">
        <w:t>(</w:t>
      </w:r>
      <w:r w:rsidRPr="00F766F1">
        <w:t>ECOG</w:t>
      </w:r>
      <w:r w:rsidR="0072742D">
        <w:t>)</w:t>
      </w:r>
      <w:r w:rsidRPr="00F766F1">
        <w:t xml:space="preserve"> performance status was 0 in 75.0% of patients and 1 in 25.0% of patients. </w:t>
      </w:r>
    </w:p>
    <w:p w14:paraId="0C7FAF08" w14:textId="0B846FC8" w:rsidR="00C92F53" w:rsidRPr="00F766F1" w:rsidRDefault="00F766F1" w:rsidP="00C92F53">
      <w:pPr>
        <w:pStyle w:val="3-BodyText"/>
      </w:pPr>
      <w:r w:rsidRPr="00F766F1">
        <w:rPr>
          <w:rFonts w:cstheme="minorHAnsi"/>
        </w:rPr>
        <w:fldChar w:fldCharType="begin" w:fldLock="1"/>
      </w:r>
      <w:r w:rsidRPr="00F766F1">
        <w:rPr>
          <w:rFonts w:cstheme="minorHAnsi"/>
        </w:rPr>
        <w:instrText xml:space="preserve"> REF _Ref114488946 \h  \* MERGEFORMAT </w:instrText>
      </w:r>
      <w:r w:rsidRPr="00F766F1">
        <w:rPr>
          <w:rFonts w:cstheme="minorHAnsi"/>
        </w:rPr>
      </w:r>
      <w:r w:rsidRPr="00F766F1">
        <w:rPr>
          <w:rFonts w:cstheme="minorHAnsi"/>
        </w:rPr>
        <w:fldChar w:fldCharType="separate"/>
      </w:r>
      <w:r w:rsidR="00196FF1" w:rsidRPr="00196FF1">
        <w:rPr>
          <w:rFonts w:cstheme="minorHAnsi"/>
        </w:rPr>
        <w:t xml:space="preserve">Table </w:t>
      </w:r>
      <w:r w:rsidR="00196FF1" w:rsidRPr="00196FF1">
        <w:rPr>
          <w:rFonts w:cstheme="minorHAnsi"/>
          <w:noProof/>
        </w:rPr>
        <w:t>5</w:t>
      </w:r>
      <w:r w:rsidRPr="00F766F1">
        <w:rPr>
          <w:rFonts w:cstheme="minorHAnsi"/>
        </w:rPr>
        <w:fldChar w:fldCharType="end"/>
      </w:r>
      <w:r>
        <w:rPr>
          <w:rFonts w:cstheme="minorHAnsi"/>
        </w:rPr>
        <w:t xml:space="preserve"> </w:t>
      </w:r>
      <w:r w:rsidR="00C92F53" w:rsidRPr="00F766F1">
        <w:t>presents the comparable baseline characteristics of the patients with the T315I mutation in</w:t>
      </w:r>
      <w:r w:rsidR="00E50A4A" w:rsidRPr="00F766F1">
        <w:t xml:space="preserve"> the</w:t>
      </w:r>
      <w:r w:rsidR="00C92F53" w:rsidRPr="00F766F1">
        <w:t xml:space="preserve"> X2101 and PACE</w:t>
      </w:r>
      <w:r w:rsidR="00E50A4A" w:rsidRPr="00F766F1">
        <w:t xml:space="preserve"> trials</w:t>
      </w:r>
      <w:r w:rsidR="00C92F53" w:rsidRPr="00F766F1">
        <w:t>. The median age of patients was 56.2 years in X2101 compared with 52 years in PACE. Patients in</w:t>
      </w:r>
      <w:r w:rsidRPr="00F766F1">
        <w:t xml:space="preserve"> the</w:t>
      </w:r>
      <w:r w:rsidR="00C92F53" w:rsidRPr="00F766F1">
        <w:t xml:space="preserve"> X2101</w:t>
      </w:r>
      <w:r w:rsidRPr="00F766F1">
        <w:t xml:space="preserve"> trial</w:t>
      </w:r>
      <w:r w:rsidR="00C92F53" w:rsidRPr="00F766F1">
        <w:t xml:space="preserve"> were more likely to have received a greater number of TKIs</w:t>
      </w:r>
      <w:r w:rsidRPr="00F766F1">
        <w:t>,</w:t>
      </w:r>
      <w:r w:rsidR="00C92F53" w:rsidRPr="00F766F1">
        <w:t xml:space="preserve"> with 25/48 patients (52.0%) receiving </w:t>
      </w:r>
      <w:r w:rsidR="00C92F53" w:rsidRPr="00F766F1">
        <w:rPr>
          <w:rFonts w:cstheme="minorHAnsi"/>
        </w:rPr>
        <w:t>≥</w:t>
      </w:r>
      <w:r w:rsidR="00C92F53" w:rsidRPr="00F766F1">
        <w:t xml:space="preserve">3 prior TKIs compared 26/64 (41%) in PACE. </w:t>
      </w:r>
    </w:p>
    <w:p w14:paraId="196A6EBF" w14:textId="51E2E7D1" w:rsidR="00C92F53" w:rsidRPr="00F766F1" w:rsidRDefault="00F766F1" w:rsidP="00F766F1">
      <w:pPr>
        <w:pStyle w:val="Tableheading"/>
        <w:keepLines/>
        <w:jc w:val="left"/>
        <w:rPr>
          <w:rFonts w:ascii="Arial Narrow" w:hAnsi="Arial Narrow"/>
        </w:rPr>
      </w:pPr>
      <w:bookmarkStart w:id="19" w:name="_Ref114488946"/>
      <w:bookmarkStart w:id="20" w:name="_Toc112315923"/>
      <w:r w:rsidRPr="00F766F1">
        <w:rPr>
          <w:rFonts w:ascii="Arial Narrow" w:hAnsi="Arial Narrow"/>
        </w:rPr>
        <w:t xml:space="preserve">Table </w:t>
      </w:r>
      <w:r w:rsidRPr="00F766F1">
        <w:rPr>
          <w:rFonts w:ascii="Arial Narrow" w:hAnsi="Arial Narrow"/>
        </w:rPr>
        <w:fldChar w:fldCharType="begin" w:fldLock="1"/>
      </w:r>
      <w:r w:rsidRPr="00F766F1">
        <w:rPr>
          <w:rFonts w:ascii="Arial Narrow" w:hAnsi="Arial Narrow"/>
        </w:rPr>
        <w:instrText xml:space="preserve"> SEQ Table \* ARABIC </w:instrText>
      </w:r>
      <w:r w:rsidRPr="00F766F1">
        <w:rPr>
          <w:rFonts w:ascii="Arial Narrow" w:hAnsi="Arial Narrow"/>
        </w:rPr>
        <w:fldChar w:fldCharType="separate"/>
      </w:r>
      <w:r w:rsidR="00100F00">
        <w:rPr>
          <w:rFonts w:ascii="Arial Narrow" w:hAnsi="Arial Narrow"/>
          <w:noProof/>
        </w:rPr>
        <w:t>5</w:t>
      </w:r>
      <w:r w:rsidRPr="00F766F1">
        <w:rPr>
          <w:rFonts w:ascii="Arial Narrow" w:hAnsi="Arial Narrow"/>
        </w:rPr>
        <w:fldChar w:fldCharType="end"/>
      </w:r>
      <w:bookmarkEnd w:id="19"/>
      <w:r w:rsidRPr="00F766F1">
        <w:rPr>
          <w:rFonts w:ascii="Arial Narrow" w:hAnsi="Arial Narrow"/>
        </w:rPr>
        <w:t xml:space="preserve">: </w:t>
      </w:r>
      <w:r w:rsidR="00C92F53" w:rsidRPr="00F766F1">
        <w:rPr>
          <w:rFonts w:ascii="Arial Narrow" w:hAnsi="Arial Narrow"/>
        </w:rPr>
        <w:t>Comparable baseline characteristics in X2101 and PACE</w:t>
      </w:r>
      <w:bookmarkEnd w:id="20"/>
      <w:r w:rsidR="00C92F53" w:rsidRPr="00F766F1">
        <w:rPr>
          <w:rFonts w:ascii="Arial Narrow" w:hAnsi="Arial Narrow"/>
        </w:rPr>
        <w:t xml:space="preserve"> </w:t>
      </w:r>
    </w:p>
    <w:tbl>
      <w:tblPr>
        <w:tblStyle w:val="TableGrid"/>
        <w:tblW w:w="0" w:type="auto"/>
        <w:tblLook w:val="04A0" w:firstRow="1" w:lastRow="0" w:firstColumn="1" w:lastColumn="0" w:noHBand="0" w:noVBand="1"/>
        <w:tblCaption w:val="Table 5: Comparable baseline characteristics in X2101 and PACE "/>
      </w:tblPr>
      <w:tblGrid>
        <w:gridCol w:w="3005"/>
        <w:gridCol w:w="3005"/>
        <w:gridCol w:w="3006"/>
      </w:tblGrid>
      <w:tr w:rsidR="00C92F53" w:rsidRPr="00F766F1" w14:paraId="4DF653C4" w14:textId="77777777" w:rsidTr="00750019">
        <w:tc>
          <w:tcPr>
            <w:tcW w:w="3005" w:type="dxa"/>
            <w:shd w:val="clear" w:color="auto" w:fill="F2F2F2" w:themeFill="background1" w:themeFillShade="F2"/>
          </w:tcPr>
          <w:p w14:paraId="232748A4" w14:textId="77777777" w:rsidR="00C92F53" w:rsidRPr="00F766F1" w:rsidRDefault="00C92F53" w:rsidP="00F766F1">
            <w:pPr>
              <w:pStyle w:val="SyneviNormal"/>
              <w:keepNext/>
              <w:keepLines/>
              <w:spacing w:line="276" w:lineRule="auto"/>
              <w:rPr>
                <w:rFonts w:ascii="Arial Narrow" w:hAnsi="Arial Narrow"/>
                <w:sz w:val="20"/>
                <w:highlight w:val="lightGray"/>
                <w:lang w:val="en-AU"/>
              </w:rPr>
            </w:pPr>
          </w:p>
        </w:tc>
        <w:tc>
          <w:tcPr>
            <w:tcW w:w="3005" w:type="dxa"/>
            <w:shd w:val="clear" w:color="auto" w:fill="F2F2F2" w:themeFill="background1" w:themeFillShade="F2"/>
          </w:tcPr>
          <w:p w14:paraId="351A7859" w14:textId="77777777" w:rsidR="00C92F53" w:rsidRPr="00F766F1" w:rsidRDefault="00C92F53" w:rsidP="00F766F1">
            <w:pPr>
              <w:pStyle w:val="SyneviNormal"/>
              <w:keepNext/>
              <w:keepLines/>
              <w:spacing w:line="276" w:lineRule="auto"/>
              <w:jc w:val="center"/>
              <w:rPr>
                <w:rFonts w:ascii="Arial Narrow" w:hAnsi="Arial Narrow"/>
                <w:b/>
                <w:bCs/>
                <w:sz w:val="20"/>
                <w:lang w:val="en-AU"/>
              </w:rPr>
            </w:pPr>
            <w:r w:rsidRPr="00F766F1">
              <w:rPr>
                <w:rFonts w:ascii="Arial Narrow" w:hAnsi="Arial Narrow"/>
                <w:b/>
                <w:bCs/>
                <w:sz w:val="20"/>
                <w:lang w:val="en-AU"/>
              </w:rPr>
              <w:t>X2101</w:t>
            </w:r>
          </w:p>
          <w:p w14:paraId="5387ADB8" w14:textId="77777777" w:rsidR="00C92F53" w:rsidRPr="00F766F1" w:rsidRDefault="00C92F53" w:rsidP="00F766F1">
            <w:pPr>
              <w:pStyle w:val="SyneviNormal"/>
              <w:keepNext/>
              <w:keepLines/>
              <w:spacing w:line="276" w:lineRule="auto"/>
              <w:jc w:val="center"/>
              <w:rPr>
                <w:rFonts w:ascii="Arial Narrow" w:hAnsi="Arial Narrow"/>
                <w:b/>
                <w:bCs/>
                <w:sz w:val="20"/>
                <w:lang w:val="en-AU"/>
              </w:rPr>
            </w:pPr>
            <w:r w:rsidRPr="00F766F1">
              <w:rPr>
                <w:rFonts w:ascii="Arial Narrow" w:hAnsi="Arial Narrow"/>
                <w:b/>
                <w:bCs/>
                <w:sz w:val="20"/>
                <w:lang w:val="en-AU"/>
              </w:rPr>
              <w:t>T315I mutation cohort</w:t>
            </w:r>
          </w:p>
          <w:p w14:paraId="17205F50" w14:textId="77777777" w:rsidR="00C92F53" w:rsidRPr="00F766F1" w:rsidRDefault="00C92F53" w:rsidP="00F766F1">
            <w:pPr>
              <w:pStyle w:val="SyneviNormal"/>
              <w:keepNext/>
              <w:keepLines/>
              <w:spacing w:line="276" w:lineRule="auto"/>
              <w:jc w:val="center"/>
              <w:rPr>
                <w:rFonts w:ascii="Arial Narrow" w:hAnsi="Arial Narrow"/>
                <w:b/>
                <w:bCs/>
                <w:sz w:val="20"/>
                <w:lang w:val="en-AU"/>
              </w:rPr>
            </w:pPr>
            <w:r w:rsidRPr="00F766F1">
              <w:rPr>
                <w:rFonts w:ascii="Arial Narrow" w:hAnsi="Arial Narrow"/>
                <w:b/>
                <w:bCs/>
                <w:sz w:val="20"/>
                <w:lang w:val="en-AU"/>
              </w:rPr>
              <w:t>(N = 48)</w:t>
            </w:r>
          </w:p>
        </w:tc>
        <w:tc>
          <w:tcPr>
            <w:tcW w:w="3006" w:type="dxa"/>
            <w:shd w:val="clear" w:color="auto" w:fill="F2F2F2" w:themeFill="background1" w:themeFillShade="F2"/>
          </w:tcPr>
          <w:p w14:paraId="4FF53004" w14:textId="77777777" w:rsidR="00C92F53" w:rsidRPr="00F766F1" w:rsidRDefault="00C92F53" w:rsidP="00F766F1">
            <w:pPr>
              <w:pStyle w:val="SyneviNormal"/>
              <w:keepNext/>
              <w:keepLines/>
              <w:spacing w:line="276" w:lineRule="auto"/>
              <w:jc w:val="center"/>
              <w:rPr>
                <w:rFonts w:ascii="Arial Narrow" w:hAnsi="Arial Narrow"/>
                <w:b/>
                <w:bCs/>
                <w:sz w:val="20"/>
                <w:lang w:val="en-AU"/>
              </w:rPr>
            </w:pPr>
            <w:r w:rsidRPr="00F766F1">
              <w:rPr>
                <w:rFonts w:ascii="Arial Narrow" w:hAnsi="Arial Narrow"/>
                <w:b/>
                <w:bCs/>
                <w:sz w:val="20"/>
                <w:lang w:val="en-AU"/>
              </w:rPr>
              <w:t>PACE</w:t>
            </w:r>
          </w:p>
          <w:p w14:paraId="0C3FECE3" w14:textId="77777777" w:rsidR="00C92F53" w:rsidRPr="00F766F1" w:rsidRDefault="00C92F53" w:rsidP="00F766F1">
            <w:pPr>
              <w:pStyle w:val="SyneviNormal"/>
              <w:keepNext/>
              <w:keepLines/>
              <w:spacing w:line="276" w:lineRule="auto"/>
              <w:jc w:val="center"/>
              <w:rPr>
                <w:rFonts w:ascii="Arial Narrow" w:hAnsi="Arial Narrow"/>
                <w:b/>
                <w:bCs/>
                <w:sz w:val="20"/>
                <w:lang w:val="en-AU"/>
              </w:rPr>
            </w:pPr>
            <w:r w:rsidRPr="00F766F1">
              <w:rPr>
                <w:rFonts w:ascii="Arial Narrow" w:hAnsi="Arial Narrow"/>
                <w:b/>
                <w:bCs/>
                <w:sz w:val="20"/>
                <w:lang w:val="en-AU"/>
              </w:rPr>
              <w:t>T315I mutation cohort</w:t>
            </w:r>
          </w:p>
          <w:p w14:paraId="0B6F755E"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b/>
                <w:bCs/>
                <w:sz w:val="20"/>
                <w:lang w:val="en-AU"/>
              </w:rPr>
              <w:t>(N = 64)</w:t>
            </w:r>
          </w:p>
        </w:tc>
      </w:tr>
      <w:tr w:rsidR="00C92F53" w:rsidRPr="00F766F1" w14:paraId="2B171E36" w14:textId="77777777" w:rsidTr="00750019">
        <w:tc>
          <w:tcPr>
            <w:tcW w:w="3005" w:type="dxa"/>
          </w:tcPr>
          <w:p w14:paraId="7DF85E04" w14:textId="77777777" w:rsidR="00C92F53" w:rsidRPr="00F766F1" w:rsidRDefault="00C92F53" w:rsidP="00F766F1">
            <w:pPr>
              <w:pStyle w:val="SyneviNormal"/>
              <w:keepNext/>
              <w:keepLines/>
              <w:spacing w:line="276" w:lineRule="auto"/>
              <w:rPr>
                <w:rFonts w:ascii="Arial Narrow" w:hAnsi="Arial Narrow"/>
                <w:sz w:val="20"/>
                <w:lang w:val="en-AU"/>
              </w:rPr>
            </w:pPr>
            <w:r w:rsidRPr="00F766F1">
              <w:rPr>
                <w:rFonts w:ascii="Arial Narrow" w:hAnsi="Arial Narrow"/>
                <w:sz w:val="20"/>
                <w:lang w:val="en-AU"/>
              </w:rPr>
              <w:t>Age (years), median (range)</w:t>
            </w:r>
          </w:p>
        </w:tc>
        <w:tc>
          <w:tcPr>
            <w:tcW w:w="3005" w:type="dxa"/>
          </w:tcPr>
          <w:p w14:paraId="3C3BBB29"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56.5 (26-86)</w:t>
            </w:r>
          </w:p>
        </w:tc>
        <w:tc>
          <w:tcPr>
            <w:tcW w:w="3006" w:type="dxa"/>
          </w:tcPr>
          <w:p w14:paraId="5A87E989"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52 (18-87)</w:t>
            </w:r>
          </w:p>
        </w:tc>
      </w:tr>
      <w:tr w:rsidR="00C92F53" w:rsidRPr="00F766F1" w14:paraId="0A0FE6E1" w14:textId="77777777" w:rsidTr="00750019">
        <w:tc>
          <w:tcPr>
            <w:tcW w:w="3005" w:type="dxa"/>
          </w:tcPr>
          <w:p w14:paraId="30EED79B" w14:textId="77777777" w:rsidR="00C92F53" w:rsidRPr="00F766F1" w:rsidRDefault="00C92F53" w:rsidP="00F766F1">
            <w:pPr>
              <w:pStyle w:val="SyneviNormal"/>
              <w:keepNext/>
              <w:keepLines/>
              <w:spacing w:line="276" w:lineRule="auto"/>
              <w:rPr>
                <w:rFonts w:ascii="Arial Narrow" w:hAnsi="Arial Narrow"/>
                <w:sz w:val="20"/>
                <w:lang w:val="en-AU"/>
              </w:rPr>
            </w:pPr>
            <w:r w:rsidRPr="00F766F1">
              <w:rPr>
                <w:rFonts w:ascii="Arial Narrow" w:hAnsi="Arial Narrow"/>
                <w:sz w:val="20"/>
                <w:lang w:val="en-AU"/>
              </w:rPr>
              <w:t>Number of prior TKIs</w:t>
            </w:r>
          </w:p>
          <w:p w14:paraId="55D234EB" w14:textId="77777777" w:rsidR="00C92F53" w:rsidRPr="00F766F1" w:rsidRDefault="00C92F53" w:rsidP="00F766F1">
            <w:pPr>
              <w:pStyle w:val="SyneviNormal"/>
              <w:keepNext/>
              <w:keepLines/>
              <w:spacing w:line="276" w:lineRule="auto"/>
              <w:ind w:left="720"/>
              <w:rPr>
                <w:rFonts w:ascii="Arial Narrow" w:hAnsi="Arial Narrow"/>
                <w:sz w:val="20"/>
                <w:lang w:val="en-AU"/>
              </w:rPr>
            </w:pPr>
            <w:r w:rsidRPr="00F766F1">
              <w:rPr>
                <w:rFonts w:ascii="Arial Narrow" w:hAnsi="Arial Narrow"/>
                <w:sz w:val="20"/>
                <w:lang w:val="en-AU"/>
              </w:rPr>
              <w:t>1</w:t>
            </w:r>
          </w:p>
          <w:p w14:paraId="7C44EC84" w14:textId="77777777" w:rsidR="00C92F53" w:rsidRPr="00F766F1" w:rsidRDefault="00C92F53" w:rsidP="00F766F1">
            <w:pPr>
              <w:pStyle w:val="SyneviNormal"/>
              <w:keepNext/>
              <w:keepLines/>
              <w:spacing w:line="276" w:lineRule="auto"/>
              <w:ind w:left="720"/>
              <w:rPr>
                <w:rFonts w:ascii="Arial Narrow" w:hAnsi="Arial Narrow"/>
                <w:sz w:val="20"/>
                <w:lang w:val="en-AU"/>
              </w:rPr>
            </w:pPr>
            <w:r w:rsidRPr="00F766F1">
              <w:rPr>
                <w:rFonts w:ascii="Arial Narrow" w:hAnsi="Arial Narrow"/>
                <w:sz w:val="20"/>
                <w:lang w:val="en-AU"/>
              </w:rPr>
              <w:t>2</w:t>
            </w:r>
          </w:p>
          <w:p w14:paraId="7B32794A" w14:textId="77777777" w:rsidR="00C92F53" w:rsidRPr="00F766F1" w:rsidRDefault="00C92F53" w:rsidP="00F766F1">
            <w:pPr>
              <w:pStyle w:val="SyneviNormal"/>
              <w:keepNext/>
              <w:keepLines/>
              <w:spacing w:line="276" w:lineRule="auto"/>
              <w:ind w:left="720"/>
              <w:rPr>
                <w:rFonts w:ascii="Arial Narrow" w:hAnsi="Arial Narrow"/>
                <w:sz w:val="20"/>
                <w:lang w:val="en-AU"/>
              </w:rPr>
            </w:pPr>
            <w:r w:rsidRPr="00F766F1">
              <w:rPr>
                <w:rFonts w:ascii="Arial Narrow" w:hAnsi="Arial Narrow"/>
                <w:sz w:val="20"/>
                <w:lang w:val="en-AU"/>
              </w:rPr>
              <w:t>3</w:t>
            </w:r>
          </w:p>
          <w:p w14:paraId="5A63F71B" w14:textId="77777777" w:rsidR="00C92F53" w:rsidRPr="00F766F1" w:rsidRDefault="00C92F53" w:rsidP="00F766F1">
            <w:pPr>
              <w:pStyle w:val="SyneviNormal"/>
              <w:keepNext/>
              <w:keepLines/>
              <w:spacing w:line="276" w:lineRule="auto"/>
              <w:ind w:left="720"/>
              <w:rPr>
                <w:rFonts w:ascii="Arial Narrow" w:hAnsi="Arial Narrow"/>
                <w:sz w:val="20"/>
                <w:lang w:val="en-AU"/>
              </w:rPr>
            </w:pPr>
            <w:r w:rsidRPr="00F766F1">
              <w:rPr>
                <w:rFonts w:ascii="Arial Narrow" w:hAnsi="Arial Narrow"/>
                <w:sz w:val="20"/>
                <w:lang w:val="en-AU"/>
              </w:rPr>
              <w:t>4</w:t>
            </w:r>
          </w:p>
          <w:p w14:paraId="480B9DF3" w14:textId="77777777" w:rsidR="00C92F53" w:rsidRPr="00F766F1" w:rsidRDefault="00C92F53" w:rsidP="00F766F1">
            <w:pPr>
              <w:pStyle w:val="SyneviNormal"/>
              <w:keepNext/>
              <w:keepLines/>
              <w:spacing w:line="276" w:lineRule="auto"/>
              <w:ind w:left="720"/>
              <w:rPr>
                <w:rFonts w:ascii="Arial Narrow" w:hAnsi="Arial Narrow"/>
                <w:sz w:val="20"/>
                <w:lang w:val="en-AU"/>
              </w:rPr>
            </w:pPr>
            <w:r w:rsidRPr="00F766F1">
              <w:rPr>
                <w:rFonts w:ascii="Arial Narrow" w:hAnsi="Arial Narrow" w:cs="Calibri"/>
                <w:sz w:val="20"/>
                <w:lang w:val="en-AU"/>
              </w:rPr>
              <w:t>≥</w:t>
            </w:r>
            <w:r w:rsidRPr="00F766F1">
              <w:rPr>
                <w:rFonts w:ascii="Arial Narrow" w:hAnsi="Arial Narrow"/>
                <w:sz w:val="20"/>
                <w:lang w:val="en-AU"/>
              </w:rPr>
              <w:t xml:space="preserve"> 5</w:t>
            </w:r>
          </w:p>
        </w:tc>
        <w:tc>
          <w:tcPr>
            <w:tcW w:w="3005" w:type="dxa"/>
          </w:tcPr>
          <w:p w14:paraId="00B756A3" w14:textId="77777777" w:rsidR="00C92F53" w:rsidRPr="00F766F1" w:rsidRDefault="00C92F53" w:rsidP="00F766F1">
            <w:pPr>
              <w:pStyle w:val="SyneviNormal"/>
              <w:keepNext/>
              <w:keepLines/>
              <w:spacing w:line="276" w:lineRule="auto"/>
              <w:jc w:val="center"/>
              <w:rPr>
                <w:rFonts w:ascii="Arial Narrow" w:hAnsi="Arial Narrow"/>
                <w:sz w:val="20"/>
                <w:lang w:val="en-AU"/>
              </w:rPr>
            </w:pPr>
          </w:p>
          <w:p w14:paraId="14835926"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8 (16.7)</w:t>
            </w:r>
          </w:p>
          <w:p w14:paraId="0DFFC78C"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15 (31.3)</w:t>
            </w:r>
          </w:p>
          <w:p w14:paraId="28970271"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17 (35.4)</w:t>
            </w:r>
          </w:p>
          <w:p w14:paraId="44456A33"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7 (14.6)</w:t>
            </w:r>
          </w:p>
          <w:p w14:paraId="3608111D"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1 (2.1)</w:t>
            </w:r>
          </w:p>
        </w:tc>
        <w:tc>
          <w:tcPr>
            <w:tcW w:w="3006" w:type="dxa"/>
          </w:tcPr>
          <w:p w14:paraId="6E855AF3" w14:textId="77777777" w:rsidR="00C92F53" w:rsidRPr="00F766F1" w:rsidRDefault="00C92F53" w:rsidP="00F766F1">
            <w:pPr>
              <w:pStyle w:val="SyneviNormal"/>
              <w:keepNext/>
              <w:keepLines/>
              <w:spacing w:line="276" w:lineRule="auto"/>
              <w:jc w:val="center"/>
              <w:rPr>
                <w:rFonts w:ascii="Arial Narrow" w:hAnsi="Arial Narrow"/>
                <w:sz w:val="20"/>
                <w:lang w:val="en-AU"/>
              </w:rPr>
            </w:pPr>
          </w:p>
          <w:p w14:paraId="0CFF1F2E"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w:t>
            </w:r>
          </w:p>
          <w:p w14:paraId="325BE7C7"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w:t>
            </w:r>
          </w:p>
          <w:p w14:paraId="0AD77C63"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w:t>
            </w:r>
          </w:p>
          <w:p w14:paraId="07CB9332"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w:t>
            </w:r>
          </w:p>
          <w:p w14:paraId="27DAA59B"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w:t>
            </w:r>
          </w:p>
        </w:tc>
      </w:tr>
      <w:tr w:rsidR="00C92F53" w:rsidRPr="00F766F1" w14:paraId="60E424E7" w14:textId="77777777" w:rsidTr="00750019">
        <w:tc>
          <w:tcPr>
            <w:tcW w:w="3005" w:type="dxa"/>
          </w:tcPr>
          <w:p w14:paraId="1F1908BA" w14:textId="77777777" w:rsidR="00C92F53" w:rsidRPr="00F766F1" w:rsidRDefault="00C92F53" w:rsidP="00F766F1">
            <w:pPr>
              <w:pStyle w:val="SyneviNormal"/>
              <w:keepNext/>
              <w:keepLines/>
              <w:spacing w:line="276" w:lineRule="auto"/>
              <w:rPr>
                <w:rFonts w:ascii="Arial Narrow" w:hAnsi="Arial Narrow"/>
                <w:sz w:val="20"/>
                <w:lang w:val="en-AU"/>
              </w:rPr>
            </w:pPr>
            <w:r w:rsidRPr="00F766F1">
              <w:rPr>
                <w:rFonts w:ascii="Arial Narrow" w:hAnsi="Arial Narrow"/>
                <w:sz w:val="20"/>
                <w:lang w:val="en-AU"/>
              </w:rPr>
              <w:t>Prior TKIs,</w:t>
            </w:r>
          </w:p>
          <w:p w14:paraId="1E7089E2" w14:textId="77777777" w:rsidR="00C92F53" w:rsidRPr="00F766F1" w:rsidRDefault="00C92F53" w:rsidP="00F766F1">
            <w:pPr>
              <w:pStyle w:val="SyneviNormal"/>
              <w:keepNext/>
              <w:keepLines/>
              <w:spacing w:line="276" w:lineRule="auto"/>
              <w:ind w:left="720"/>
              <w:rPr>
                <w:rFonts w:ascii="Arial Narrow" w:hAnsi="Arial Narrow"/>
                <w:sz w:val="20"/>
                <w:lang w:val="en-AU"/>
              </w:rPr>
            </w:pPr>
            <w:r w:rsidRPr="00F766F1">
              <w:rPr>
                <w:rFonts w:ascii="Arial Narrow" w:hAnsi="Arial Narrow"/>
                <w:sz w:val="20"/>
                <w:lang w:val="en-AU"/>
              </w:rPr>
              <w:t xml:space="preserve">Median number, n </w:t>
            </w:r>
          </w:p>
          <w:p w14:paraId="5E66736C" w14:textId="77777777" w:rsidR="00C92F53" w:rsidRPr="00F766F1" w:rsidRDefault="00C92F53" w:rsidP="00F766F1">
            <w:pPr>
              <w:pStyle w:val="SyneviNormal"/>
              <w:keepNext/>
              <w:keepLines/>
              <w:spacing w:line="276" w:lineRule="auto"/>
              <w:ind w:left="720"/>
              <w:rPr>
                <w:rFonts w:ascii="Arial Narrow" w:hAnsi="Arial Narrow"/>
                <w:sz w:val="20"/>
                <w:lang w:val="en-AU"/>
              </w:rPr>
            </w:pPr>
            <w:r w:rsidRPr="00F766F1">
              <w:rPr>
                <w:rFonts w:ascii="Arial Narrow" w:hAnsi="Arial Narrow"/>
                <w:sz w:val="20"/>
                <w:lang w:val="en-AU"/>
              </w:rPr>
              <w:t>2, n (%)</w:t>
            </w:r>
          </w:p>
          <w:p w14:paraId="1B66EBA6" w14:textId="77777777" w:rsidR="00C92F53" w:rsidRPr="00F766F1" w:rsidRDefault="00C92F53" w:rsidP="00F766F1">
            <w:pPr>
              <w:pStyle w:val="SyneviNormal"/>
              <w:keepNext/>
              <w:keepLines/>
              <w:spacing w:line="276" w:lineRule="auto"/>
              <w:ind w:left="720"/>
              <w:rPr>
                <w:rFonts w:ascii="Arial Narrow" w:hAnsi="Arial Narrow"/>
                <w:sz w:val="20"/>
                <w:lang w:val="en-AU"/>
              </w:rPr>
            </w:pPr>
            <w:r w:rsidRPr="00F766F1">
              <w:rPr>
                <w:rFonts w:ascii="Arial Narrow" w:hAnsi="Arial Narrow" w:cs="Calibri"/>
                <w:sz w:val="20"/>
                <w:lang w:val="en-AU"/>
              </w:rPr>
              <w:t>≥</w:t>
            </w:r>
            <w:r w:rsidRPr="00F766F1">
              <w:rPr>
                <w:rFonts w:ascii="Arial Narrow" w:hAnsi="Arial Narrow"/>
                <w:sz w:val="20"/>
                <w:lang w:val="en-AU"/>
              </w:rPr>
              <w:t xml:space="preserve"> 3, n (%)</w:t>
            </w:r>
          </w:p>
        </w:tc>
        <w:tc>
          <w:tcPr>
            <w:tcW w:w="3005" w:type="dxa"/>
          </w:tcPr>
          <w:p w14:paraId="566B0AFB" w14:textId="77777777" w:rsidR="00C92F53" w:rsidRPr="00F766F1" w:rsidRDefault="00C92F53" w:rsidP="00F766F1">
            <w:pPr>
              <w:pStyle w:val="SyneviNormal"/>
              <w:keepNext/>
              <w:keepLines/>
              <w:spacing w:line="276" w:lineRule="auto"/>
              <w:jc w:val="center"/>
              <w:rPr>
                <w:rFonts w:ascii="Arial Narrow" w:hAnsi="Arial Narrow"/>
                <w:sz w:val="20"/>
                <w:lang w:val="en-AU"/>
              </w:rPr>
            </w:pPr>
          </w:p>
          <w:p w14:paraId="63912A8E"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w:t>
            </w:r>
          </w:p>
          <w:p w14:paraId="531A6E97"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w:t>
            </w:r>
          </w:p>
          <w:p w14:paraId="38116B00"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w:t>
            </w:r>
          </w:p>
        </w:tc>
        <w:tc>
          <w:tcPr>
            <w:tcW w:w="3006" w:type="dxa"/>
          </w:tcPr>
          <w:p w14:paraId="0F42B82B" w14:textId="77777777" w:rsidR="00C92F53" w:rsidRPr="00F766F1" w:rsidRDefault="00C92F53" w:rsidP="00F766F1">
            <w:pPr>
              <w:pStyle w:val="SyneviNormal"/>
              <w:keepNext/>
              <w:keepLines/>
              <w:spacing w:line="276" w:lineRule="auto"/>
              <w:jc w:val="center"/>
              <w:rPr>
                <w:rFonts w:ascii="Arial Narrow" w:hAnsi="Arial Narrow"/>
                <w:sz w:val="20"/>
                <w:lang w:val="en-AU"/>
              </w:rPr>
            </w:pPr>
          </w:p>
          <w:p w14:paraId="0DA002F2"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2.0</w:t>
            </w:r>
          </w:p>
          <w:p w14:paraId="4E9DAFAA"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27 (42)</w:t>
            </w:r>
          </w:p>
          <w:p w14:paraId="1268FDFA" w14:textId="77777777" w:rsidR="00C92F53" w:rsidRPr="00F766F1" w:rsidRDefault="00C92F53" w:rsidP="00F766F1">
            <w:pPr>
              <w:pStyle w:val="SyneviNormal"/>
              <w:keepNext/>
              <w:keepLines/>
              <w:spacing w:line="276" w:lineRule="auto"/>
              <w:jc w:val="center"/>
              <w:rPr>
                <w:rFonts w:ascii="Arial Narrow" w:hAnsi="Arial Narrow"/>
                <w:sz w:val="20"/>
                <w:lang w:val="en-AU"/>
              </w:rPr>
            </w:pPr>
            <w:r w:rsidRPr="00F766F1">
              <w:rPr>
                <w:rFonts w:ascii="Arial Narrow" w:hAnsi="Arial Narrow"/>
                <w:sz w:val="20"/>
                <w:lang w:val="en-AU"/>
              </w:rPr>
              <w:t>26 (41)</w:t>
            </w:r>
          </w:p>
        </w:tc>
      </w:tr>
    </w:tbl>
    <w:p w14:paraId="78D1D268" w14:textId="213FE3D4" w:rsidR="00C369F6" w:rsidRDefault="00C369F6" w:rsidP="00F766F1">
      <w:pPr>
        <w:pStyle w:val="Tablefooter"/>
        <w:keepNext/>
        <w:keepLines/>
        <w:rPr>
          <w:rFonts w:ascii="Arial Narrow" w:hAnsi="Arial Narrow"/>
        </w:rPr>
      </w:pPr>
      <w:r>
        <w:rPr>
          <w:rFonts w:ascii="Arial Narrow" w:hAnsi="Arial Narrow"/>
        </w:rPr>
        <w:t>TKI = tyrosine kinase inhibitor</w:t>
      </w:r>
      <w:r w:rsidRPr="00AE147C">
        <w:rPr>
          <w:rFonts w:ascii="Arial Narrow" w:hAnsi="Arial Narrow"/>
        </w:rPr>
        <w:t>.</w:t>
      </w:r>
    </w:p>
    <w:p w14:paraId="5E56DCE2" w14:textId="7750FB9E" w:rsidR="002A7241" w:rsidRPr="00F766F1" w:rsidRDefault="00C92F53" w:rsidP="00F766F1">
      <w:pPr>
        <w:pStyle w:val="Tablefooter"/>
        <w:keepNext/>
        <w:keepLines/>
        <w:rPr>
          <w:rFonts w:ascii="Arial Narrow" w:hAnsi="Arial Narrow"/>
        </w:rPr>
      </w:pPr>
      <w:r w:rsidRPr="00F766F1">
        <w:rPr>
          <w:rFonts w:ascii="Arial Narrow" w:hAnsi="Arial Narrow"/>
        </w:rPr>
        <w:t xml:space="preserve">Source: </w:t>
      </w:r>
      <w:r w:rsidR="00F766F1" w:rsidRPr="00F766F1">
        <w:rPr>
          <w:rFonts w:ascii="Arial Narrow" w:hAnsi="Arial Narrow"/>
        </w:rPr>
        <w:t xml:space="preserve">Resubmission Table 2-2; </w:t>
      </w:r>
      <w:r w:rsidRPr="00F766F1">
        <w:rPr>
          <w:rFonts w:ascii="Arial Narrow" w:hAnsi="Arial Narrow"/>
        </w:rPr>
        <w:t xml:space="preserve">Appendix 4: X2101 CSR, Table 10-24, p179; Table 10-36, p191; Appendix 5: </w:t>
      </w:r>
      <w:hyperlink w:anchor="_ENREF_1" w:tooltip="Cortes, 2013 #2" w:history="1">
        <w:r w:rsidRPr="00F766F1">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F766F1">
          <w:rPr>
            <w:rFonts w:ascii="Arial Narrow" w:hAnsi="Arial Narrow"/>
          </w:rPr>
          <w:instrText xml:space="preserve"> ADDIN EN.CITE </w:instrText>
        </w:r>
        <w:r w:rsidRPr="00F766F1">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F766F1">
          <w:rPr>
            <w:rFonts w:ascii="Arial Narrow" w:hAnsi="Arial Narrow"/>
          </w:rPr>
          <w:instrText xml:space="preserve"> ADDIN EN.CITE.DATA </w:instrText>
        </w:r>
        <w:r w:rsidRPr="00F766F1">
          <w:rPr>
            <w:rFonts w:ascii="Arial Narrow" w:hAnsi="Arial Narrow"/>
          </w:rPr>
        </w:r>
        <w:r w:rsidRPr="00F766F1">
          <w:rPr>
            <w:rFonts w:ascii="Arial Narrow" w:hAnsi="Arial Narrow"/>
          </w:rPr>
          <w:fldChar w:fldCharType="end"/>
        </w:r>
        <w:r w:rsidRPr="00F766F1">
          <w:rPr>
            <w:rFonts w:ascii="Arial Narrow" w:hAnsi="Arial Narrow"/>
          </w:rPr>
        </w:r>
        <w:r w:rsidRPr="00F766F1">
          <w:rPr>
            <w:rFonts w:ascii="Arial Narrow" w:hAnsi="Arial Narrow"/>
          </w:rPr>
          <w:fldChar w:fldCharType="separate"/>
        </w:r>
        <w:r w:rsidRPr="00F766F1">
          <w:rPr>
            <w:rFonts w:ascii="Arial Narrow" w:hAnsi="Arial Narrow"/>
            <w:noProof/>
          </w:rPr>
          <w:t>Cortes et al. (2013)</w:t>
        </w:r>
        <w:r w:rsidRPr="00F766F1">
          <w:rPr>
            <w:rFonts w:ascii="Arial Narrow" w:hAnsi="Arial Narrow"/>
          </w:rPr>
          <w:fldChar w:fldCharType="end"/>
        </w:r>
      </w:hyperlink>
      <w:r w:rsidRPr="00F766F1">
        <w:rPr>
          <w:rFonts w:ascii="Arial Narrow" w:hAnsi="Arial Narrow"/>
        </w:rPr>
        <w:t>, Table S5, p46</w:t>
      </w:r>
      <w:r w:rsidR="00F766F1">
        <w:rPr>
          <w:rFonts w:ascii="Arial Narrow" w:hAnsi="Arial Narrow"/>
        </w:rPr>
        <w:t>.</w:t>
      </w:r>
    </w:p>
    <w:p w14:paraId="5AC32DD5" w14:textId="11D0BA72" w:rsidR="002A7241" w:rsidRDefault="002A7241" w:rsidP="00A940F6">
      <w:pPr>
        <w:pStyle w:val="4-SubsectionHeading"/>
      </w:pPr>
      <w:r>
        <w:t>Comparative effectiveness</w:t>
      </w:r>
    </w:p>
    <w:p w14:paraId="266EC4CE" w14:textId="5AAEDA4D" w:rsidR="00A940F6" w:rsidRPr="0039787B" w:rsidRDefault="00A940F6" w:rsidP="00A940F6">
      <w:pPr>
        <w:pStyle w:val="3-BodyText"/>
        <w:numPr>
          <w:ilvl w:val="0"/>
          <w:numId w:val="0"/>
        </w:numPr>
        <w:rPr>
          <w:b/>
          <w:bCs/>
          <w:i/>
          <w:iCs/>
        </w:rPr>
      </w:pPr>
      <w:r w:rsidRPr="0039787B">
        <w:rPr>
          <w:b/>
          <w:bCs/>
          <w:i/>
          <w:iCs/>
        </w:rPr>
        <w:t>X2101</w:t>
      </w:r>
      <w:r w:rsidR="0039787B" w:rsidRPr="0039787B">
        <w:rPr>
          <w:b/>
          <w:bCs/>
          <w:i/>
          <w:iCs/>
        </w:rPr>
        <w:t xml:space="preserve"> trial</w:t>
      </w:r>
      <w:r w:rsidR="0039787B">
        <w:rPr>
          <w:b/>
          <w:bCs/>
          <w:i/>
          <w:iCs/>
        </w:rPr>
        <w:t xml:space="preserve"> (asciminib)</w:t>
      </w:r>
    </w:p>
    <w:p w14:paraId="21E5B57F" w14:textId="0FE4540C" w:rsidR="00A940F6" w:rsidRPr="00A56268" w:rsidRDefault="00A940F6" w:rsidP="00A940F6">
      <w:pPr>
        <w:pStyle w:val="3-BodyText"/>
      </w:pPr>
      <w:r w:rsidRPr="00A56268">
        <w:t>The primary objective of the Phase 1 study X2101 was to determine the maximum tolerated dose and/or recommended dose for expansion. The asciminib 200</w:t>
      </w:r>
      <w:r w:rsidR="003D6834">
        <w:t> </w:t>
      </w:r>
      <w:r w:rsidRPr="00A56268">
        <w:t xml:space="preserve">mg twice daily dose was selected for patients with CML-CP and harbouring the T315I mutation. The secondary objective of X2101 was to assess preliminary anti-CML activity associated with asciminib. </w:t>
      </w:r>
      <w:r w:rsidR="009901ED">
        <w:t>M</w:t>
      </w:r>
      <w:r w:rsidR="009901ED" w:rsidRPr="00A0693D">
        <w:t xml:space="preserve">ajor molecular response </w:t>
      </w:r>
      <w:r w:rsidR="009901ED">
        <w:t>(</w:t>
      </w:r>
      <w:r w:rsidRPr="00A56268">
        <w:t>MMR</w:t>
      </w:r>
      <w:r w:rsidR="009901ED">
        <w:t>)</w:t>
      </w:r>
      <w:r w:rsidRPr="00A56268">
        <w:t xml:space="preserve"> rate by 24 weeks of treatment was the main efficacy outcome. </w:t>
      </w:r>
    </w:p>
    <w:p w14:paraId="6025D3C7" w14:textId="22027384" w:rsidR="00A940F6" w:rsidRPr="00A56268" w:rsidRDefault="00FE4C22" w:rsidP="00A56268">
      <w:pPr>
        <w:pStyle w:val="3-BodyText"/>
      </w:pPr>
      <w:r w:rsidRPr="00A56268">
        <w:rPr>
          <w:rFonts w:cstheme="minorHAnsi"/>
        </w:rPr>
        <w:fldChar w:fldCharType="begin" w:fldLock="1"/>
      </w:r>
      <w:r w:rsidRPr="00A56268">
        <w:rPr>
          <w:rFonts w:cstheme="minorHAnsi"/>
        </w:rPr>
        <w:instrText xml:space="preserve"> REF _Ref114492604 \h  \* MERGEFORMAT </w:instrText>
      </w:r>
      <w:r w:rsidRPr="00A56268">
        <w:rPr>
          <w:rFonts w:cstheme="minorHAnsi"/>
        </w:rPr>
      </w:r>
      <w:r w:rsidRPr="00A56268">
        <w:rPr>
          <w:rFonts w:cstheme="minorHAnsi"/>
        </w:rPr>
        <w:fldChar w:fldCharType="separate"/>
      </w:r>
      <w:r w:rsidR="00196FF1" w:rsidRPr="00196FF1">
        <w:rPr>
          <w:rFonts w:cstheme="minorHAnsi"/>
        </w:rPr>
        <w:t xml:space="preserve">Table </w:t>
      </w:r>
      <w:r w:rsidR="00196FF1" w:rsidRPr="00196FF1">
        <w:rPr>
          <w:rFonts w:cstheme="minorHAnsi"/>
          <w:noProof/>
        </w:rPr>
        <w:t>6</w:t>
      </w:r>
      <w:r w:rsidRPr="00A56268">
        <w:rPr>
          <w:rFonts w:cstheme="minorHAnsi"/>
        </w:rPr>
        <w:fldChar w:fldCharType="end"/>
      </w:r>
      <w:r>
        <w:rPr>
          <w:rFonts w:cstheme="minorHAnsi"/>
        </w:rPr>
        <w:t xml:space="preserve"> presents a</w:t>
      </w:r>
      <w:r w:rsidR="00A940F6" w:rsidRPr="00A56268">
        <w:t xml:space="preserve"> summary of the MMR rate and cumulative MMR rate for the T315I mutation analysis set at the data cut of 6 January 2021. There were 45 patients in the T315I mutation analysis set, defined as CML-CP patients with centrally confirmed T315I mutation (Sanger sequencing), treated with asciminib 200 mg twice daily, with evaluable </w:t>
      </w:r>
      <w:r w:rsidR="00C034EF" w:rsidRPr="00C034EF">
        <w:t>real time quantitative polymerase chain reaction</w:t>
      </w:r>
      <w:r w:rsidR="00C034EF">
        <w:t xml:space="preserve"> (</w:t>
      </w:r>
      <w:r w:rsidR="00A940F6" w:rsidRPr="00A56268">
        <w:t>RQ-PCR</w:t>
      </w:r>
      <w:r w:rsidR="00C034EF">
        <w:t>)</w:t>
      </w:r>
      <w:r w:rsidR="00A940F6" w:rsidRPr="00A56268">
        <w:t xml:space="preserve"> data (IS) who were not in MMR at baseline. Of these 45 patients, 19 patients were ponatinib naïve at baseline and 26 patients had previously received treatment with ponatinib.</w:t>
      </w:r>
    </w:p>
    <w:p w14:paraId="263A6976" w14:textId="5803D7FD" w:rsidR="00A940F6" w:rsidRPr="00A56268" w:rsidRDefault="00A56268" w:rsidP="00A56268">
      <w:pPr>
        <w:pStyle w:val="Tableheading"/>
        <w:jc w:val="left"/>
        <w:rPr>
          <w:rFonts w:ascii="Arial Narrow" w:hAnsi="Arial Narrow"/>
        </w:rPr>
      </w:pPr>
      <w:bookmarkStart w:id="21" w:name="_Ref114492604"/>
      <w:bookmarkStart w:id="22" w:name="_Toc112315924"/>
      <w:r w:rsidRPr="00A56268">
        <w:rPr>
          <w:rFonts w:ascii="Arial Narrow" w:hAnsi="Arial Narrow"/>
        </w:rPr>
        <w:lastRenderedPageBreak/>
        <w:t xml:space="preserve">Table </w:t>
      </w:r>
      <w:r w:rsidRPr="00A56268">
        <w:rPr>
          <w:rFonts w:ascii="Arial Narrow" w:hAnsi="Arial Narrow"/>
        </w:rPr>
        <w:fldChar w:fldCharType="begin" w:fldLock="1"/>
      </w:r>
      <w:r w:rsidRPr="00A56268">
        <w:rPr>
          <w:rFonts w:ascii="Arial Narrow" w:hAnsi="Arial Narrow"/>
        </w:rPr>
        <w:instrText xml:space="preserve"> SEQ Table \* ARABIC </w:instrText>
      </w:r>
      <w:r w:rsidRPr="00A56268">
        <w:rPr>
          <w:rFonts w:ascii="Arial Narrow" w:hAnsi="Arial Narrow"/>
        </w:rPr>
        <w:fldChar w:fldCharType="separate"/>
      </w:r>
      <w:r w:rsidR="00100F00">
        <w:rPr>
          <w:rFonts w:ascii="Arial Narrow" w:hAnsi="Arial Narrow"/>
          <w:noProof/>
        </w:rPr>
        <w:t>6</w:t>
      </w:r>
      <w:r w:rsidRPr="00A56268">
        <w:rPr>
          <w:rFonts w:ascii="Arial Narrow" w:hAnsi="Arial Narrow"/>
        </w:rPr>
        <w:fldChar w:fldCharType="end"/>
      </w:r>
      <w:bookmarkEnd w:id="21"/>
      <w:r w:rsidRPr="00A56268">
        <w:rPr>
          <w:rFonts w:ascii="Arial Narrow" w:hAnsi="Arial Narrow"/>
        </w:rPr>
        <w:t xml:space="preserve">: </w:t>
      </w:r>
      <w:r w:rsidR="00A940F6" w:rsidRPr="00A56268">
        <w:rPr>
          <w:rFonts w:ascii="Arial Narrow" w:hAnsi="Arial Narrow"/>
        </w:rPr>
        <w:t>MMR and cumulative MMR</w:t>
      </w:r>
      <w:r w:rsidR="00FE4C22">
        <w:rPr>
          <w:rFonts w:ascii="Arial Narrow" w:hAnsi="Arial Narrow"/>
        </w:rPr>
        <w:t xml:space="preserve"> in the</w:t>
      </w:r>
      <w:r w:rsidR="00A940F6" w:rsidRPr="00A56268">
        <w:rPr>
          <w:rFonts w:ascii="Arial Narrow" w:hAnsi="Arial Narrow"/>
        </w:rPr>
        <w:t xml:space="preserve"> X2101</w:t>
      </w:r>
      <w:bookmarkEnd w:id="22"/>
      <w:r w:rsidRPr="00A56268">
        <w:rPr>
          <w:rFonts w:ascii="Arial Narrow" w:hAnsi="Arial Narrow"/>
        </w:rPr>
        <w:t xml:space="preserve"> study</w:t>
      </w:r>
    </w:p>
    <w:tbl>
      <w:tblPr>
        <w:tblStyle w:val="TableGrid"/>
        <w:tblW w:w="5000" w:type="pct"/>
        <w:tblLook w:val="04A0" w:firstRow="1" w:lastRow="0" w:firstColumn="1" w:lastColumn="0" w:noHBand="0" w:noVBand="1"/>
        <w:tblCaption w:val="Table 6: MMR and cumulative MMR in the X2101 study"/>
      </w:tblPr>
      <w:tblGrid>
        <w:gridCol w:w="1776"/>
        <w:gridCol w:w="2414"/>
        <w:gridCol w:w="2413"/>
        <w:gridCol w:w="2413"/>
      </w:tblGrid>
      <w:tr w:rsidR="00A940F6" w:rsidRPr="000D3AF3" w14:paraId="1A1EC7B1" w14:textId="77777777" w:rsidTr="00750019">
        <w:trPr>
          <w:trHeight w:val="238"/>
        </w:trPr>
        <w:tc>
          <w:tcPr>
            <w:tcW w:w="985" w:type="pct"/>
            <w:tcBorders>
              <w:bottom w:val="nil"/>
            </w:tcBorders>
          </w:tcPr>
          <w:p w14:paraId="29ECAA7C" w14:textId="77777777" w:rsidR="00A940F6" w:rsidRPr="000D3AF3" w:rsidRDefault="00A940F6" w:rsidP="00750019">
            <w:pPr>
              <w:pStyle w:val="Tableheading"/>
              <w:rPr>
                <w:rFonts w:ascii="Arial Narrow" w:hAnsi="Arial Narrow"/>
              </w:rPr>
            </w:pPr>
            <w:r w:rsidRPr="000D3AF3">
              <w:rPr>
                <w:rFonts w:ascii="Arial Narrow" w:hAnsi="Arial Narrow"/>
              </w:rPr>
              <w:t>Response, n (%)</w:t>
            </w:r>
          </w:p>
        </w:tc>
        <w:tc>
          <w:tcPr>
            <w:tcW w:w="4015" w:type="pct"/>
            <w:gridSpan w:val="3"/>
            <w:tcBorders>
              <w:bottom w:val="single" w:sz="4" w:space="0" w:color="auto"/>
            </w:tcBorders>
          </w:tcPr>
          <w:p w14:paraId="77552FFC" w14:textId="77777777" w:rsidR="00A940F6" w:rsidRPr="000D3AF3" w:rsidRDefault="00A940F6" w:rsidP="00750019">
            <w:pPr>
              <w:pStyle w:val="Tableheading"/>
              <w:rPr>
                <w:rFonts w:ascii="Arial Narrow" w:hAnsi="Arial Narrow"/>
              </w:rPr>
            </w:pPr>
            <w:r w:rsidRPr="000D3AF3">
              <w:rPr>
                <w:rFonts w:ascii="Arial Narrow" w:hAnsi="Arial Narrow"/>
              </w:rPr>
              <w:t>Asciminib 200 twice daily, n (%)</w:t>
            </w:r>
          </w:p>
        </w:tc>
      </w:tr>
      <w:tr w:rsidR="00A940F6" w:rsidRPr="000D3AF3" w14:paraId="1D14F6C4" w14:textId="77777777" w:rsidTr="00750019">
        <w:trPr>
          <w:trHeight w:val="238"/>
        </w:trPr>
        <w:tc>
          <w:tcPr>
            <w:tcW w:w="985" w:type="pct"/>
            <w:tcBorders>
              <w:top w:val="nil"/>
              <w:left w:val="single" w:sz="4" w:space="0" w:color="auto"/>
              <w:bottom w:val="nil"/>
              <w:right w:val="single" w:sz="4" w:space="0" w:color="auto"/>
            </w:tcBorders>
          </w:tcPr>
          <w:p w14:paraId="29DF8F91" w14:textId="77777777" w:rsidR="00A940F6" w:rsidRPr="000D3AF3" w:rsidRDefault="00A940F6" w:rsidP="00750019">
            <w:pPr>
              <w:pStyle w:val="Tableheading"/>
              <w:rPr>
                <w:rFonts w:ascii="Arial Narrow" w:hAnsi="Arial Narrow"/>
              </w:rPr>
            </w:pPr>
          </w:p>
        </w:tc>
        <w:tc>
          <w:tcPr>
            <w:tcW w:w="1339" w:type="pct"/>
            <w:tcBorders>
              <w:top w:val="single" w:sz="4" w:space="0" w:color="auto"/>
              <w:left w:val="single" w:sz="4" w:space="0" w:color="auto"/>
              <w:bottom w:val="nil"/>
              <w:right w:val="single" w:sz="4" w:space="0" w:color="auto"/>
            </w:tcBorders>
          </w:tcPr>
          <w:p w14:paraId="00938559" w14:textId="77777777" w:rsidR="00A940F6" w:rsidRPr="000D3AF3" w:rsidRDefault="00A940F6" w:rsidP="00750019">
            <w:pPr>
              <w:pStyle w:val="Tableheading"/>
              <w:rPr>
                <w:rFonts w:ascii="Arial Narrow" w:hAnsi="Arial Narrow"/>
              </w:rPr>
            </w:pPr>
            <w:r w:rsidRPr="000D3AF3">
              <w:rPr>
                <w:rFonts w:ascii="Arial Narrow" w:hAnsi="Arial Narrow"/>
              </w:rPr>
              <w:t>T315I mutation set</w:t>
            </w:r>
          </w:p>
        </w:tc>
        <w:tc>
          <w:tcPr>
            <w:tcW w:w="1338" w:type="pct"/>
            <w:tcBorders>
              <w:top w:val="single" w:sz="4" w:space="0" w:color="auto"/>
              <w:left w:val="single" w:sz="4" w:space="0" w:color="auto"/>
              <w:bottom w:val="nil"/>
              <w:right w:val="single" w:sz="4" w:space="0" w:color="auto"/>
            </w:tcBorders>
          </w:tcPr>
          <w:p w14:paraId="366F4860" w14:textId="77777777" w:rsidR="00A940F6" w:rsidRPr="000D3AF3" w:rsidRDefault="00A940F6" w:rsidP="00750019">
            <w:pPr>
              <w:pStyle w:val="Tableheading"/>
              <w:rPr>
                <w:rFonts w:ascii="Arial Narrow" w:hAnsi="Arial Narrow"/>
              </w:rPr>
            </w:pPr>
            <w:r w:rsidRPr="000D3AF3">
              <w:rPr>
                <w:rFonts w:ascii="Arial Narrow" w:hAnsi="Arial Narrow"/>
              </w:rPr>
              <w:t>Ponatinib-naive</w:t>
            </w:r>
          </w:p>
        </w:tc>
        <w:tc>
          <w:tcPr>
            <w:tcW w:w="1338" w:type="pct"/>
            <w:tcBorders>
              <w:top w:val="single" w:sz="4" w:space="0" w:color="auto"/>
              <w:left w:val="single" w:sz="4" w:space="0" w:color="auto"/>
              <w:bottom w:val="nil"/>
              <w:right w:val="single" w:sz="4" w:space="0" w:color="auto"/>
            </w:tcBorders>
          </w:tcPr>
          <w:p w14:paraId="663868AF" w14:textId="77777777" w:rsidR="00A940F6" w:rsidRPr="000D3AF3" w:rsidRDefault="00A940F6" w:rsidP="00750019">
            <w:pPr>
              <w:pStyle w:val="Tableheading"/>
              <w:rPr>
                <w:rFonts w:ascii="Arial Narrow" w:hAnsi="Arial Narrow"/>
              </w:rPr>
            </w:pPr>
            <w:r w:rsidRPr="000D3AF3">
              <w:rPr>
                <w:rFonts w:ascii="Arial Narrow" w:hAnsi="Arial Narrow"/>
              </w:rPr>
              <w:t>Ponatinib pre-treated</w:t>
            </w:r>
          </w:p>
        </w:tc>
      </w:tr>
      <w:tr w:rsidR="00A940F6" w:rsidRPr="000D3AF3" w14:paraId="60A652FD" w14:textId="77777777" w:rsidTr="00750019">
        <w:trPr>
          <w:trHeight w:val="238"/>
        </w:trPr>
        <w:tc>
          <w:tcPr>
            <w:tcW w:w="985" w:type="pct"/>
            <w:tcBorders>
              <w:top w:val="nil"/>
              <w:left w:val="single" w:sz="4" w:space="0" w:color="auto"/>
              <w:bottom w:val="single" w:sz="4" w:space="0" w:color="auto"/>
              <w:right w:val="single" w:sz="4" w:space="0" w:color="auto"/>
            </w:tcBorders>
          </w:tcPr>
          <w:p w14:paraId="484B73FA" w14:textId="77777777" w:rsidR="00A940F6" w:rsidRPr="000D3AF3" w:rsidRDefault="00A940F6" w:rsidP="00750019">
            <w:pPr>
              <w:pStyle w:val="Tableheading"/>
              <w:rPr>
                <w:rFonts w:ascii="Arial Narrow" w:hAnsi="Arial Narrow"/>
              </w:rPr>
            </w:pPr>
          </w:p>
        </w:tc>
        <w:tc>
          <w:tcPr>
            <w:tcW w:w="1339" w:type="pct"/>
            <w:tcBorders>
              <w:top w:val="nil"/>
              <w:left w:val="single" w:sz="4" w:space="0" w:color="auto"/>
              <w:bottom w:val="single" w:sz="4" w:space="0" w:color="auto"/>
              <w:right w:val="single" w:sz="4" w:space="0" w:color="auto"/>
            </w:tcBorders>
          </w:tcPr>
          <w:p w14:paraId="11AD0F32" w14:textId="77777777" w:rsidR="00A940F6" w:rsidRPr="000D3AF3" w:rsidRDefault="00A940F6" w:rsidP="00750019">
            <w:pPr>
              <w:pStyle w:val="Tableheading"/>
              <w:rPr>
                <w:rFonts w:ascii="Arial Narrow" w:hAnsi="Arial Narrow"/>
              </w:rPr>
            </w:pPr>
            <w:r w:rsidRPr="000D3AF3">
              <w:rPr>
                <w:rFonts w:ascii="Arial Narrow" w:hAnsi="Arial Narrow"/>
              </w:rPr>
              <w:t>N = 45</w:t>
            </w:r>
          </w:p>
        </w:tc>
        <w:tc>
          <w:tcPr>
            <w:tcW w:w="1338" w:type="pct"/>
            <w:tcBorders>
              <w:top w:val="nil"/>
              <w:left w:val="single" w:sz="4" w:space="0" w:color="auto"/>
              <w:bottom w:val="single" w:sz="4" w:space="0" w:color="auto"/>
              <w:right w:val="single" w:sz="4" w:space="0" w:color="auto"/>
            </w:tcBorders>
          </w:tcPr>
          <w:p w14:paraId="372CAEAE" w14:textId="77777777" w:rsidR="00A940F6" w:rsidRPr="000D3AF3" w:rsidRDefault="00A940F6" w:rsidP="00750019">
            <w:pPr>
              <w:pStyle w:val="Tableheading"/>
              <w:rPr>
                <w:rFonts w:ascii="Arial Narrow" w:hAnsi="Arial Narrow"/>
              </w:rPr>
            </w:pPr>
            <w:r w:rsidRPr="000D3AF3">
              <w:rPr>
                <w:rFonts w:ascii="Arial Narrow" w:hAnsi="Arial Narrow"/>
              </w:rPr>
              <w:t>N = 19</w:t>
            </w:r>
          </w:p>
        </w:tc>
        <w:tc>
          <w:tcPr>
            <w:tcW w:w="1338" w:type="pct"/>
            <w:tcBorders>
              <w:top w:val="nil"/>
              <w:left w:val="single" w:sz="4" w:space="0" w:color="auto"/>
              <w:bottom w:val="single" w:sz="4" w:space="0" w:color="auto"/>
              <w:right w:val="single" w:sz="4" w:space="0" w:color="auto"/>
            </w:tcBorders>
          </w:tcPr>
          <w:p w14:paraId="483627EC" w14:textId="77777777" w:rsidR="00A940F6" w:rsidRPr="000D3AF3" w:rsidRDefault="00A940F6" w:rsidP="00750019">
            <w:pPr>
              <w:pStyle w:val="Tableheading"/>
              <w:rPr>
                <w:rFonts w:ascii="Arial Narrow" w:hAnsi="Arial Narrow"/>
              </w:rPr>
            </w:pPr>
            <w:r w:rsidRPr="000D3AF3">
              <w:rPr>
                <w:rFonts w:ascii="Arial Narrow" w:hAnsi="Arial Narrow"/>
              </w:rPr>
              <w:t>N = 26</w:t>
            </w:r>
          </w:p>
        </w:tc>
      </w:tr>
      <w:tr w:rsidR="00A940F6" w:rsidRPr="000D3AF3" w14:paraId="7B04F0F5" w14:textId="77777777" w:rsidTr="00750019">
        <w:trPr>
          <w:trHeight w:val="238"/>
        </w:trPr>
        <w:tc>
          <w:tcPr>
            <w:tcW w:w="2324" w:type="pct"/>
            <w:gridSpan w:val="2"/>
            <w:tcBorders>
              <w:top w:val="single" w:sz="4" w:space="0" w:color="auto"/>
              <w:bottom w:val="single" w:sz="4" w:space="0" w:color="auto"/>
            </w:tcBorders>
            <w:shd w:val="clear" w:color="auto" w:fill="F2F2F2"/>
          </w:tcPr>
          <w:p w14:paraId="67CA8DF9" w14:textId="77777777" w:rsidR="00A940F6" w:rsidRPr="000D3AF3" w:rsidRDefault="00A940F6" w:rsidP="00750019">
            <w:pPr>
              <w:pStyle w:val="Btable"/>
              <w:rPr>
                <w:rFonts w:ascii="Arial Narrow" w:hAnsi="Arial Narrow"/>
              </w:rPr>
            </w:pPr>
            <w:r w:rsidRPr="000D3AF3">
              <w:rPr>
                <w:rFonts w:ascii="Arial Narrow" w:hAnsi="Arial Narrow"/>
              </w:rPr>
              <w:t>MMR rate at specific timepoints</w:t>
            </w:r>
          </w:p>
        </w:tc>
        <w:tc>
          <w:tcPr>
            <w:tcW w:w="1338" w:type="pct"/>
            <w:tcBorders>
              <w:top w:val="single" w:sz="4" w:space="0" w:color="auto"/>
              <w:bottom w:val="single" w:sz="4" w:space="0" w:color="auto"/>
            </w:tcBorders>
            <w:shd w:val="clear" w:color="auto" w:fill="F2F2F2"/>
          </w:tcPr>
          <w:p w14:paraId="60B57008" w14:textId="77777777" w:rsidR="00A940F6" w:rsidRPr="000D3AF3" w:rsidRDefault="00A940F6" w:rsidP="00750019">
            <w:pPr>
              <w:pStyle w:val="Btable"/>
              <w:rPr>
                <w:rFonts w:ascii="Arial Narrow" w:hAnsi="Arial Narrow"/>
              </w:rPr>
            </w:pPr>
          </w:p>
        </w:tc>
        <w:tc>
          <w:tcPr>
            <w:tcW w:w="1338" w:type="pct"/>
            <w:tcBorders>
              <w:top w:val="single" w:sz="4" w:space="0" w:color="auto"/>
              <w:bottom w:val="single" w:sz="4" w:space="0" w:color="auto"/>
            </w:tcBorders>
            <w:shd w:val="clear" w:color="auto" w:fill="F2F2F2"/>
          </w:tcPr>
          <w:p w14:paraId="2B97D64C" w14:textId="77777777" w:rsidR="00A940F6" w:rsidRPr="000D3AF3" w:rsidRDefault="00A940F6" w:rsidP="00750019">
            <w:pPr>
              <w:pStyle w:val="Btable"/>
              <w:rPr>
                <w:rFonts w:ascii="Arial Narrow" w:hAnsi="Arial Narrow"/>
              </w:rPr>
            </w:pPr>
          </w:p>
        </w:tc>
      </w:tr>
      <w:tr w:rsidR="00A940F6" w:rsidRPr="000D3AF3" w14:paraId="7EF91490" w14:textId="77777777" w:rsidTr="00750019">
        <w:trPr>
          <w:trHeight w:val="238"/>
        </w:trPr>
        <w:tc>
          <w:tcPr>
            <w:tcW w:w="985" w:type="pct"/>
            <w:tcBorders>
              <w:bottom w:val="single" w:sz="4" w:space="0" w:color="auto"/>
            </w:tcBorders>
          </w:tcPr>
          <w:p w14:paraId="079CCE8F" w14:textId="77777777" w:rsidR="00A940F6" w:rsidRPr="000D3AF3" w:rsidRDefault="00A940F6" w:rsidP="00750019">
            <w:pPr>
              <w:pStyle w:val="Tabletext0"/>
              <w:rPr>
                <w:rFonts w:ascii="Arial Narrow" w:hAnsi="Arial Narrow"/>
              </w:rPr>
            </w:pPr>
            <w:r w:rsidRPr="000D3AF3">
              <w:rPr>
                <w:rFonts w:ascii="Arial Narrow" w:hAnsi="Arial Narrow"/>
              </w:rPr>
              <w:t xml:space="preserve">Week 24 </w:t>
            </w:r>
          </w:p>
        </w:tc>
        <w:tc>
          <w:tcPr>
            <w:tcW w:w="1339" w:type="pct"/>
            <w:tcBorders>
              <w:bottom w:val="single" w:sz="4" w:space="0" w:color="auto"/>
            </w:tcBorders>
          </w:tcPr>
          <w:p w14:paraId="77CAE032" w14:textId="69930C0C"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45</w:t>
            </w:r>
            <w:r w:rsidR="00A56268" w:rsidRPr="000D3AF3">
              <w:rPr>
                <w:rFonts w:ascii="Arial Narrow" w:hAnsi="Arial Narrow"/>
              </w:rPr>
              <w:t xml:space="preserve">; </w:t>
            </w:r>
            <w:r w:rsidR="00A940F6" w:rsidRPr="000D3AF3">
              <w:rPr>
                <w:rFonts w:ascii="Arial Narrow" w:hAnsi="Arial Narrow"/>
              </w:rPr>
              <w:t>17 (37.8)</w:t>
            </w:r>
          </w:p>
        </w:tc>
        <w:tc>
          <w:tcPr>
            <w:tcW w:w="1338" w:type="pct"/>
            <w:tcBorders>
              <w:bottom w:val="single" w:sz="4" w:space="0" w:color="auto"/>
            </w:tcBorders>
          </w:tcPr>
          <w:p w14:paraId="73773C0C" w14:textId="33EAAB5D"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19</w:t>
            </w:r>
            <w:r w:rsidR="00A56268" w:rsidRPr="000D3AF3">
              <w:rPr>
                <w:rFonts w:ascii="Arial Narrow" w:hAnsi="Arial Narrow"/>
              </w:rPr>
              <w:t xml:space="preserve">; </w:t>
            </w:r>
            <w:r w:rsidR="00A940F6" w:rsidRPr="000D3AF3">
              <w:rPr>
                <w:rFonts w:ascii="Arial Narrow" w:hAnsi="Arial Narrow"/>
              </w:rPr>
              <w:t>10 (52.6)</w:t>
            </w:r>
          </w:p>
        </w:tc>
        <w:tc>
          <w:tcPr>
            <w:tcW w:w="1338" w:type="pct"/>
            <w:tcBorders>
              <w:bottom w:val="single" w:sz="4" w:space="0" w:color="auto"/>
            </w:tcBorders>
          </w:tcPr>
          <w:p w14:paraId="11F1A950" w14:textId="5541F209"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26</w:t>
            </w:r>
            <w:r w:rsidR="00A56268" w:rsidRPr="000D3AF3">
              <w:rPr>
                <w:rFonts w:ascii="Arial Narrow" w:hAnsi="Arial Narrow"/>
              </w:rPr>
              <w:t xml:space="preserve">; </w:t>
            </w:r>
            <w:r w:rsidR="00A940F6" w:rsidRPr="000D3AF3">
              <w:rPr>
                <w:rFonts w:ascii="Arial Narrow" w:hAnsi="Arial Narrow"/>
              </w:rPr>
              <w:t>7 (26.9)</w:t>
            </w:r>
          </w:p>
        </w:tc>
      </w:tr>
      <w:tr w:rsidR="00A940F6" w:rsidRPr="000D3AF3" w14:paraId="55C78F17" w14:textId="77777777" w:rsidTr="00750019">
        <w:trPr>
          <w:trHeight w:val="238"/>
        </w:trPr>
        <w:tc>
          <w:tcPr>
            <w:tcW w:w="985" w:type="pct"/>
            <w:tcBorders>
              <w:top w:val="single" w:sz="4" w:space="0" w:color="auto"/>
              <w:bottom w:val="single" w:sz="4" w:space="0" w:color="auto"/>
            </w:tcBorders>
          </w:tcPr>
          <w:p w14:paraId="3496C27D" w14:textId="77777777" w:rsidR="00A940F6" w:rsidRPr="000D3AF3" w:rsidRDefault="00A940F6" w:rsidP="00750019">
            <w:pPr>
              <w:pStyle w:val="Tabletext0"/>
              <w:rPr>
                <w:rFonts w:ascii="Arial Narrow" w:hAnsi="Arial Narrow"/>
              </w:rPr>
            </w:pPr>
            <w:r w:rsidRPr="000D3AF3">
              <w:rPr>
                <w:rFonts w:ascii="Arial Narrow" w:hAnsi="Arial Narrow"/>
              </w:rPr>
              <w:t>Week 48</w:t>
            </w:r>
          </w:p>
        </w:tc>
        <w:tc>
          <w:tcPr>
            <w:tcW w:w="1339" w:type="pct"/>
            <w:tcBorders>
              <w:top w:val="single" w:sz="4" w:space="0" w:color="auto"/>
              <w:bottom w:val="single" w:sz="4" w:space="0" w:color="auto"/>
            </w:tcBorders>
          </w:tcPr>
          <w:p w14:paraId="77BF4487" w14:textId="477669F8"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45</w:t>
            </w:r>
            <w:r w:rsidR="00A56268" w:rsidRPr="000D3AF3">
              <w:rPr>
                <w:rFonts w:ascii="Arial Narrow" w:hAnsi="Arial Narrow"/>
              </w:rPr>
              <w:t xml:space="preserve">; </w:t>
            </w:r>
            <w:r w:rsidR="00A940F6" w:rsidRPr="000D3AF3">
              <w:rPr>
                <w:rFonts w:ascii="Arial Narrow" w:hAnsi="Arial Narrow"/>
              </w:rPr>
              <w:t>16 (35.6)</w:t>
            </w:r>
          </w:p>
        </w:tc>
        <w:tc>
          <w:tcPr>
            <w:tcW w:w="1338" w:type="pct"/>
            <w:tcBorders>
              <w:top w:val="single" w:sz="4" w:space="0" w:color="auto"/>
              <w:bottom w:val="single" w:sz="4" w:space="0" w:color="auto"/>
            </w:tcBorders>
          </w:tcPr>
          <w:p w14:paraId="59AD2841" w14:textId="05889B8F"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19</w:t>
            </w:r>
            <w:r w:rsidR="00A56268" w:rsidRPr="000D3AF3">
              <w:rPr>
                <w:rFonts w:ascii="Arial Narrow" w:hAnsi="Arial Narrow"/>
              </w:rPr>
              <w:t xml:space="preserve">; </w:t>
            </w:r>
            <w:r w:rsidR="00A940F6" w:rsidRPr="000D3AF3">
              <w:rPr>
                <w:rFonts w:ascii="Arial Narrow" w:hAnsi="Arial Narrow"/>
              </w:rPr>
              <w:t>9 (47.4)</w:t>
            </w:r>
          </w:p>
        </w:tc>
        <w:tc>
          <w:tcPr>
            <w:tcW w:w="1338" w:type="pct"/>
            <w:tcBorders>
              <w:top w:val="single" w:sz="4" w:space="0" w:color="auto"/>
              <w:bottom w:val="single" w:sz="4" w:space="0" w:color="auto"/>
            </w:tcBorders>
          </w:tcPr>
          <w:p w14:paraId="67E84C64" w14:textId="3A7B9E7D"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26</w:t>
            </w:r>
            <w:r w:rsidR="00A56268" w:rsidRPr="000D3AF3">
              <w:rPr>
                <w:rFonts w:ascii="Arial Narrow" w:hAnsi="Arial Narrow"/>
              </w:rPr>
              <w:t xml:space="preserve">; </w:t>
            </w:r>
            <w:r w:rsidR="00A940F6" w:rsidRPr="000D3AF3">
              <w:rPr>
                <w:rFonts w:ascii="Arial Narrow" w:hAnsi="Arial Narrow"/>
              </w:rPr>
              <w:t>7 (26.9)</w:t>
            </w:r>
          </w:p>
        </w:tc>
      </w:tr>
      <w:tr w:rsidR="00A940F6" w:rsidRPr="000D3AF3" w14:paraId="4E1FA7A2" w14:textId="77777777" w:rsidTr="00750019">
        <w:trPr>
          <w:trHeight w:val="238"/>
        </w:trPr>
        <w:tc>
          <w:tcPr>
            <w:tcW w:w="985" w:type="pct"/>
            <w:tcBorders>
              <w:top w:val="single" w:sz="4" w:space="0" w:color="auto"/>
              <w:bottom w:val="single" w:sz="4" w:space="0" w:color="auto"/>
            </w:tcBorders>
          </w:tcPr>
          <w:p w14:paraId="63C93B5F" w14:textId="77777777" w:rsidR="00A940F6" w:rsidRPr="000D3AF3" w:rsidRDefault="00A940F6" w:rsidP="00750019">
            <w:pPr>
              <w:pStyle w:val="Tabletext0"/>
              <w:rPr>
                <w:rFonts w:ascii="Arial Narrow" w:hAnsi="Arial Narrow"/>
              </w:rPr>
            </w:pPr>
            <w:r w:rsidRPr="000D3AF3">
              <w:rPr>
                <w:rFonts w:ascii="Arial Narrow" w:hAnsi="Arial Narrow"/>
              </w:rPr>
              <w:t>Week 72</w:t>
            </w:r>
          </w:p>
        </w:tc>
        <w:tc>
          <w:tcPr>
            <w:tcW w:w="1339" w:type="pct"/>
            <w:tcBorders>
              <w:top w:val="single" w:sz="4" w:space="0" w:color="auto"/>
              <w:bottom w:val="single" w:sz="4" w:space="0" w:color="auto"/>
            </w:tcBorders>
          </w:tcPr>
          <w:p w14:paraId="6AC5FCB5" w14:textId="48ACBA97"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44</w:t>
            </w:r>
            <w:r w:rsidR="00A56268" w:rsidRPr="000D3AF3">
              <w:rPr>
                <w:rFonts w:ascii="Arial Narrow" w:hAnsi="Arial Narrow"/>
              </w:rPr>
              <w:t xml:space="preserve">; </w:t>
            </w:r>
            <w:r w:rsidR="00A940F6" w:rsidRPr="000D3AF3">
              <w:rPr>
                <w:rFonts w:ascii="Arial Narrow" w:hAnsi="Arial Narrow"/>
              </w:rPr>
              <w:t>15 (34.1)</w:t>
            </w:r>
          </w:p>
        </w:tc>
        <w:tc>
          <w:tcPr>
            <w:tcW w:w="1338" w:type="pct"/>
            <w:tcBorders>
              <w:top w:val="single" w:sz="4" w:space="0" w:color="auto"/>
              <w:bottom w:val="single" w:sz="4" w:space="0" w:color="auto"/>
            </w:tcBorders>
          </w:tcPr>
          <w:p w14:paraId="6D431CC6" w14:textId="6197FA8F"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19</w:t>
            </w:r>
            <w:r w:rsidR="00A56268" w:rsidRPr="000D3AF3">
              <w:rPr>
                <w:rFonts w:ascii="Arial Narrow" w:hAnsi="Arial Narrow"/>
              </w:rPr>
              <w:t xml:space="preserve">; </w:t>
            </w:r>
            <w:r w:rsidR="00A940F6" w:rsidRPr="000D3AF3">
              <w:rPr>
                <w:rFonts w:ascii="Arial Narrow" w:hAnsi="Arial Narrow"/>
              </w:rPr>
              <w:t>9 (47.4)</w:t>
            </w:r>
          </w:p>
        </w:tc>
        <w:tc>
          <w:tcPr>
            <w:tcW w:w="1338" w:type="pct"/>
            <w:tcBorders>
              <w:top w:val="single" w:sz="4" w:space="0" w:color="auto"/>
              <w:bottom w:val="single" w:sz="4" w:space="0" w:color="auto"/>
            </w:tcBorders>
          </w:tcPr>
          <w:p w14:paraId="03F0F625" w14:textId="36C173A8"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25</w:t>
            </w:r>
            <w:r w:rsidR="00A56268" w:rsidRPr="000D3AF3">
              <w:rPr>
                <w:rFonts w:ascii="Arial Narrow" w:hAnsi="Arial Narrow"/>
              </w:rPr>
              <w:t xml:space="preserve">; </w:t>
            </w:r>
            <w:r w:rsidR="00A940F6" w:rsidRPr="000D3AF3">
              <w:rPr>
                <w:rFonts w:ascii="Arial Narrow" w:hAnsi="Arial Narrow"/>
              </w:rPr>
              <w:t>6 (24.0)</w:t>
            </w:r>
          </w:p>
        </w:tc>
      </w:tr>
      <w:tr w:rsidR="00A940F6" w:rsidRPr="000D3AF3" w14:paraId="49308332" w14:textId="77777777" w:rsidTr="00750019">
        <w:trPr>
          <w:trHeight w:val="238"/>
        </w:trPr>
        <w:tc>
          <w:tcPr>
            <w:tcW w:w="985" w:type="pct"/>
            <w:tcBorders>
              <w:top w:val="single" w:sz="4" w:space="0" w:color="auto"/>
              <w:bottom w:val="single" w:sz="4" w:space="0" w:color="auto"/>
            </w:tcBorders>
          </w:tcPr>
          <w:p w14:paraId="2F6EC28D" w14:textId="77777777" w:rsidR="00A940F6" w:rsidRPr="000D3AF3" w:rsidRDefault="00A940F6" w:rsidP="00750019">
            <w:pPr>
              <w:pStyle w:val="Tabletext0"/>
              <w:rPr>
                <w:rFonts w:ascii="Arial Narrow" w:hAnsi="Arial Narrow"/>
              </w:rPr>
            </w:pPr>
            <w:r w:rsidRPr="000D3AF3">
              <w:rPr>
                <w:rFonts w:ascii="Arial Narrow" w:hAnsi="Arial Narrow"/>
              </w:rPr>
              <w:t>Week 96</w:t>
            </w:r>
          </w:p>
        </w:tc>
        <w:tc>
          <w:tcPr>
            <w:tcW w:w="1339" w:type="pct"/>
            <w:tcBorders>
              <w:top w:val="single" w:sz="4" w:space="0" w:color="auto"/>
              <w:bottom w:val="single" w:sz="4" w:space="0" w:color="auto"/>
            </w:tcBorders>
          </w:tcPr>
          <w:p w14:paraId="40B4B130" w14:textId="14CC4936"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37</w:t>
            </w:r>
            <w:r w:rsidR="00A56268" w:rsidRPr="000D3AF3">
              <w:rPr>
                <w:rFonts w:ascii="Arial Narrow" w:hAnsi="Arial Narrow"/>
              </w:rPr>
              <w:t xml:space="preserve">; </w:t>
            </w:r>
            <w:r w:rsidR="00A940F6" w:rsidRPr="000D3AF3">
              <w:rPr>
                <w:rFonts w:ascii="Arial Narrow" w:hAnsi="Arial Narrow"/>
              </w:rPr>
              <w:t>13 (35.1)</w:t>
            </w:r>
          </w:p>
        </w:tc>
        <w:tc>
          <w:tcPr>
            <w:tcW w:w="1338" w:type="pct"/>
            <w:tcBorders>
              <w:top w:val="single" w:sz="4" w:space="0" w:color="auto"/>
              <w:bottom w:val="single" w:sz="4" w:space="0" w:color="auto"/>
            </w:tcBorders>
          </w:tcPr>
          <w:p w14:paraId="2BB62E30" w14:textId="67DD22BE"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16</w:t>
            </w:r>
            <w:r w:rsidR="00A56268" w:rsidRPr="000D3AF3">
              <w:rPr>
                <w:rFonts w:ascii="Arial Narrow" w:hAnsi="Arial Narrow"/>
              </w:rPr>
              <w:t xml:space="preserve">; </w:t>
            </w:r>
            <w:r w:rsidR="00A940F6" w:rsidRPr="000D3AF3">
              <w:rPr>
                <w:rFonts w:ascii="Arial Narrow" w:hAnsi="Arial Narrow"/>
              </w:rPr>
              <w:t>10 (62.5)</w:t>
            </w:r>
          </w:p>
        </w:tc>
        <w:tc>
          <w:tcPr>
            <w:tcW w:w="1338" w:type="pct"/>
            <w:tcBorders>
              <w:top w:val="single" w:sz="4" w:space="0" w:color="auto"/>
              <w:bottom w:val="single" w:sz="4" w:space="0" w:color="auto"/>
            </w:tcBorders>
          </w:tcPr>
          <w:p w14:paraId="0A390990" w14:textId="36797A8B"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21</w:t>
            </w:r>
            <w:r w:rsidR="00A56268" w:rsidRPr="000D3AF3">
              <w:rPr>
                <w:rFonts w:ascii="Arial Narrow" w:hAnsi="Arial Narrow"/>
              </w:rPr>
              <w:t xml:space="preserve">; </w:t>
            </w:r>
            <w:r w:rsidR="00A940F6" w:rsidRPr="000D3AF3">
              <w:rPr>
                <w:rFonts w:ascii="Arial Narrow" w:hAnsi="Arial Narrow"/>
              </w:rPr>
              <w:t>3 (14.3)</w:t>
            </w:r>
          </w:p>
        </w:tc>
      </w:tr>
      <w:tr w:rsidR="00A940F6" w:rsidRPr="000D3AF3" w14:paraId="0770D662" w14:textId="77777777" w:rsidTr="00750019">
        <w:trPr>
          <w:trHeight w:val="238"/>
        </w:trPr>
        <w:tc>
          <w:tcPr>
            <w:tcW w:w="2324" w:type="pct"/>
            <w:gridSpan w:val="2"/>
            <w:tcBorders>
              <w:bottom w:val="single" w:sz="4" w:space="0" w:color="auto"/>
            </w:tcBorders>
            <w:shd w:val="clear" w:color="auto" w:fill="F2F2F2"/>
          </w:tcPr>
          <w:p w14:paraId="6526039B" w14:textId="77777777" w:rsidR="00A940F6" w:rsidRPr="000D3AF3" w:rsidRDefault="00A940F6" w:rsidP="00750019">
            <w:pPr>
              <w:pStyle w:val="Btable"/>
              <w:rPr>
                <w:rFonts w:ascii="Arial Narrow" w:hAnsi="Arial Narrow"/>
              </w:rPr>
            </w:pPr>
            <w:r w:rsidRPr="000D3AF3">
              <w:rPr>
                <w:rFonts w:ascii="Arial Narrow" w:hAnsi="Arial Narrow"/>
              </w:rPr>
              <w:t>Cumulative MMR rate by specific timepoints</w:t>
            </w:r>
          </w:p>
        </w:tc>
        <w:tc>
          <w:tcPr>
            <w:tcW w:w="1338" w:type="pct"/>
            <w:tcBorders>
              <w:bottom w:val="single" w:sz="4" w:space="0" w:color="auto"/>
            </w:tcBorders>
            <w:shd w:val="clear" w:color="auto" w:fill="F2F2F2"/>
          </w:tcPr>
          <w:p w14:paraId="7E654778" w14:textId="77777777" w:rsidR="00A940F6" w:rsidRPr="000D3AF3" w:rsidRDefault="00A940F6" w:rsidP="00750019">
            <w:pPr>
              <w:pStyle w:val="Btable"/>
              <w:rPr>
                <w:rFonts w:ascii="Arial Narrow" w:hAnsi="Arial Narrow"/>
              </w:rPr>
            </w:pPr>
          </w:p>
        </w:tc>
        <w:tc>
          <w:tcPr>
            <w:tcW w:w="1338" w:type="pct"/>
            <w:tcBorders>
              <w:bottom w:val="single" w:sz="4" w:space="0" w:color="auto"/>
            </w:tcBorders>
            <w:shd w:val="clear" w:color="auto" w:fill="F2F2F2"/>
          </w:tcPr>
          <w:p w14:paraId="0E73B198" w14:textId="77777777" w:rsidR="00A940F6" w:rsidRPr="000D3AF3" w:rsidRDefault="00A940F6" w:rsidP="00750019">
            <w:pPr>
              <w:pStyle w:val="Btable"/>
              <w:rPr>
                <w:rFonts w:ascii="Arial Narrow" w:hAnsi="Arial Narrow"/>
              </w:rPr>
            </w:pPr>
          </w:p>
        </w:tc>
      </w:tr>
      <w:tr w:rsidR="00A940F6" w:rsidRPr="000D3AF3" w14:paraId="667B5B9D" w14:textId="77777777" w:rsidTr="00750019">
        <w:trPr>
          <w:trHeight w:val="238"/>
        </w:trPr>
        <w:tc>
          <w:tcPr>
            <w:tcW w:w="985" w:type="pct"/>
            <w:tcBorders>
              <w:bottom w:val="single" w:sz="4" w:space="0" w:color="auto"/>
            </w:tcBorders>
          </w:tcPr>
          <w:p w14:paraId="0EDD2FFE" w14:textId="77777777" w:rsidR="00A940F6" w:rsidRPr="000D3AF3" w:rsidRDefault="00A940F6" w:rsidP="00750019">
            <w:pPr>
              <w:pStyle w:val="Tabletext0"/>
              <w:rPr>
                <w:rFonts w:ascii="Arial Narrow" w:hAnsi="Arial Narrow"/>
              </w:rPr>
            </w:pPr>
            <w:r w:rsidRPr="000D3AF3">
              <w:rPr>
                <w:rFonts w:ascii="Arial Narrow" w:hAnsi="Arial Narrow"/>
              </w:rPr>
              <w:t xml:space="preserve">Week 24 </w:t>
            </w:r>
          </w:p>
        </w:tc>
        <w:tc>
          <w:tcPr>
            <w:tcW w:w="1339" w:type="pct"/>
            <w:tcBorders>
              <w:bottom w:val="single" w:sz="4" w:space="0" w:color="auto"/>
            </w:tcBorders>
          </w:tcPr>
          <w:p w14:paraId="0D8799D3" w14:textId="270183C3"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45</w:t>
            </w:r>
            <w:r w:rsidR="00A56268" w:rsidRPr="000D3AF3">
              <w:rPr>
                <w:rFonts w:ascii="Arial Narrow" w:hAnsi="Arial Narrow"/>
              </w:rPr>
              <w:t xml:space="preserve">; </w:t>
            </w:r>
            <w:r w:rsidR="00A940F6" w:rsidRPr="000D3AF3">
              <w:rPr>
                <w:rFonts w:ascii="Arial Narrow" w:hAnsi="Arial Narrow"/>
              </w:rPr>
              <w:t>19 (42.2)</w:t>
            </w:r>
          </w:p>
        </w:tc>
        <w:tc>
          <w:tcPr>
            <w:tcW w:w="1338" w:type="pct"/>
            <w:tcBorders>
              <w:bottom w:val="single" w:sz="4" w:space="0" w:color="auto"/>
            </w:tcBorders>
          </w:tcPr>
          <w:p w14:paraId="6EB2C674" w14:textId="498C1B25"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19</w:t>
            </w:r>
            <w:r w:rsidR="00A56268" w:rsidRPr="000D3AF3">
              <w:rPr>
                <w:rFonts w:ascii="Arial Narrow" w:hAnsi="Arial Narrow"/>
              </w:rPr>
              <w:t xml:space="preserve">; </w:t>
            </w:r>
            <w:r w:rsidR="00A940F6" w:rsidRPr="000D3AF3">
              <w:rPr>
                <w:rFonts w:ascii="Arial Narrow" w:hAnsi="Arial Narrow"/>
              </w:rPr>
              <w:t>11 (57.9)</w:t>
            </w:r>
          </w:p>
        </w:tc>
        <w:tc>
          <w:tcPr>
            <w:tcW w:w="1338" w:type="pct"/>
            <w:tcBorders>
              <w:bottom w:val="single" w:sz="4" w:space="0" w:color="auto"/>
            </w:tcBorders>
          </w:tcPr>
          <w:p w14:paraId="16D0E203" w14:textId="6E552F2A"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26</w:t>
            </w:r>
            <w:r w:rsidR="00A56268" w:rsidRPr="000D3AF3">
              <w:rPr>
                <w:rFonts w:ascii="Arial Narrow" w:hAnsi="Arial Narrow"/>
              </w:rPr>
              <w:t xml:space="preserve">; </w:t>
            </w:r>
            <w:r w:rsidR="00A940F6" w:rsidRPr="000D3AF3">
              <w:rPr>
                <w:rFonts w:ascii="Arial Narrow" w:hAnsi="Arial Narrow"/>
              </w:rPr>
              <w:t>8 (30.8)</w:t>
            </w:r>
          </w:p>
        </w:tc>
      </w:tr>
      <w:tr w:rsidR="00A940F6" w:rsidRPr="000D3AF3" w14:paraId="3C71C4B5" w14:textId="77777777" w:rsidTr="00750019">
        <w:trPr>
          <w:trHeight w:val="238"/>
        </w:trPr>
        <w:tc>
          <w:tcPr>
            <w:tcW w:w="985" w:type="pct"/>
            <w:tcBorders>
              <w:top w:val="single" w:sz="4" w:space="0" w:color="auto"/>
              <w:bottom w:val="single" w:sz="4" w:space="0" w:color="auto"/>
            </w:tcBorders>
          </w:tcPr>
          <w:p w14:paraId="25767DAA" w14:textId="77777777" w:rsidR="00A940F6" w:rsidRPr="000D3AF3" w:rsidRDefault="00A940F6" w:rsidP="00750019">
            <w:pPr>
              <w:pStyle w:val="Tabletext0"/>
              <w:rPr>
                <w:rFonts w:ascii="Arial Narrow" w:hAnsi="Arial Narrow"/>
              </w:rPr>
            </w:pPr>
            <w:r w:rsidRPr="000D3AF3">
              <w:rPr>
                <w:rFonts w:ascii="Arial Narrow" w:hAnsi="Arial Narrow"/>
              </w:rPr>
              <w:t>Week 48</w:t>
            </w:r>
          </w:p>
        </w:tc>
        <w:tc>
          <w:tcPr>
            <w:tcW w:w="1339" w:type="pct"/>
            <w:tcBorders>
              <w:top w:val="single" w:sz="4" w:space="0" w:color="auto"/>
              <w:bottom w:val="single" w:sz="4" w:space="0" w:color="auto"/>
            </w:tcBorders>
          </w:tcPr>
          <w:p w14:paraId="4B26DFA1" w14:textId="2E5C3F6D"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45</w:t>
            </w:r>
            <w:r w:rsidR="00A56268" w:rsidRPr="000D3AF3">
              <w:rPr>
                <w:rFonts w:ascii="Arial Narrow" w:hAnsi="Arial Narrow"/>
              </w:rPr>
              <w:t xml:space="preserve">; </w:t>
            </w:r>
            <w:r w:rsidR="00A940F6" w:rsidRPr="000D3AF3">
              <w:rPr>
                <w:rFonts w:ascii="Arial Narrow" w:hAnsi="Arial Narrow"/>
              </w:rPr>
              <w:t>20 (44.4)</w:t>
            </w:r>
          </w:p>
        </w:tc>
        <w:tc>
          <w:tcPr>
            <w:tcW w:w="1338" w:type="pct"/>
            <w:tcBorders>
              <w:top w:val="single" w:sz="4" w:space="0" w:color="auto"/>
              <w:bottom w:val="single" w:sz="4" w:space="0" w:color="auto"/>
            </w:tcBorders>
          </w:tcPr>
          <w:p w14:paraId="0CA39079" w14:textId="7FD6FE46"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19</w:t>
            </w:r>
            <w:r w:rsidR="00A56268" w:rsidRPr="000D3AF3">
              <w:rPr>
                <w:rFonts w:ascii="Arial Narrow" w:hAnsi="Arial Narrow"/>
              </w:rPr>
              <w:t xml:space="preserve">; </w:t>
            </w:r>
            <w:r w:rsidR="00A940F6" w:rsidRPr="000D3AF3">
              <w:rPr>
                <w:rFonts w:ascii="Arial Narrow" w:hAnsi="Arial Narrow"/>
              </w:rPr>
              <w:t>11 (57.9)</w:t>
            </w:r>
          </w:p>
        </w:tc>
        <w:tc>
          <w:tcPr>
            <w:tcW w:w="1338" w:type="pct"/>
            <w:tcBorders>
              <w:top w:val="single" w:sz="4" w:space="0" w:color="auto"/>
              <w:bottom w:val="single" w:sz="4" w:space="0" w:color="auto"/>
            </w:tcBorders>
          </w:tcPr>
          <w:p w14:paraId="2594118B" w14:textId="62ACB410"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26</w:t>
            </w:r>
            <w:r w:rsidR="00A56268" w:rsidRPr="000D3AF3">
              <w:rPr>
                <w:rFonts w:ascii="Arial Narrow" w:hAnsi="Arial Narrow"/>
              </w:rPr>
              <w:t xml:space="preserve">; </w:t>
            </w:r>
            <w:r w:rsidR="00A940F6" w:rsidRPr="000D3AF3">
              <w:rPr>
                <w:rFonts w:ascii="Arial Narrow" w:hAnsi="Arial Narrow"/>
              </w:rPr>
              <w:t>9 (34.6)</w:t>
            </w:r>
          </w:p>
        </w:tc>
      </w:tr>
      <w:tr w:rsidR="00A940F6" w:rsidRPr="000D3AF3" w14:paraId="386B7179" w14:textId="77777777" w:rsidTr="00750019">
        <w:trPr>
          <w:trHeight w:val="238"/>
        </w:trPr>
        <w:tc>
          <w:tcPr>
            <w:tcW w:w="985" w:type="pct"/>
            <w:tcBorders>
              <w:top w:val="single" w:sz="4" w:space="0" w:color="auto"/>
              <w:bottom w:val="single" w:sz="4" w:space="0" w:color="auto"/>
            </w:tcBorders>
          </w:tcPr>
          <w:p w14:paraId="73942AF8" w14:textId="77777777" w:rsidR="00A940F6" w:rsidRPr="000D3AF3" w:rsidRDefault="00A940F6" w:rsidP="00750019">
            <w:pPr>
              <w:pStyle w:val="Tabletext0"/>
              <w:rPr>
                <w:rFonts w:ascii="Arial Narrow" w:hAnsi="Arial Narrow"/>
              </w:rPr>
            </w:pPr>
            <w:r w:rsidRPr="000D3AF3">
              <w:rPr>
                <w:rFonts w:ascii="Arial Narrow" w:hAnsi="Arial Narrow"/>
              </w:rPr>
              <w:t>Week 72</w:t>
            </w:r>
          </w:p>
        </w:tc>
        <w:tc>
          <w:tcPr>
            <w:tcW w:w="1339" w:type="pct"/>
            <w:tcBorders>
              <w:top w:val="single" w:sz="4" w:space="0" w:color="auto"/>
              <w:bottom w:val="single" w:sz="4" w:space="0" w:color="auto"/>
            </w:tcBorders>
          </w:tcPr>
          <w:p w14:paraId="639D171E" w14:textId="4888D670"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45</w:t>
            </w:r>
            <w:r w:rsidR="00A56268" w:rsidRPr="000D3AF3">
              <w:rPr>
                <w:rFonts w:ascii="Arial Narrow" w:hAnsi="Arial Narrow"/>
              </w:rPr>
              <w:t xml:space="preserve">; </w:t>
            </w:r>
            <w:r w:rsidR="00A940F6" w:rsidRPr="000D3AF3">
              <w:rPr>
                <w:rFonts w:ascii="Arial Narrow" w:hAnsi="Arial Narrow"/>
              </w:rPr>
              <w:t>21 (46.7)</w:t>
            </w:r>
          </w:p>
        </w:tc>
        <w:tc>
          <w:tcPr>
            <w:tcW w:w="1338" w:type="pct"/>
            <w:tcBorders>
              <w:top w:val="single" w:sz="4" w:space="0" w:color="auto"/>
              <w:bottom w:val="single" w:sz="4" w:space="0" w:color="auto"/>
            </w:tcBorders>
          </w:tcPr>
          <w:p w14:paraId="5FEEA7C4" w14:textId="08D44385"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19</w:t>
            </w:r>
            <w:r w:rsidR="00A56268" w:rsidRPr="000D3AF3">
              <w:rPr>
                <w:rFonts w:ascii="Arial Narrow" w:hAnsi="Arial Narrow"/>
              </w:rPr>
              <w:t xml:space="preserve">; </w:t>
            </w:r>
            <w:r w:rsidR="00A940F6" w:rsidRPr="000D3AF3">
              <w:rPr>
                <w:rFonts w:ascii="Arial Narrow" w:hAnsi="Arial Narrow"/>
              </w:rPr>
              <w:t>12 (63.2)</w:t>
            </w:r>
          </w:p>
        </w:tc>
        <w:tc>
          <w:tcPr>
            <w:tcW w:w="1338" w:type="pct"/>
            <w:tcBorders>
              <w:top w:val="single" w:sz="4" w:space="0" w:color="auto"/>
              <w:bottom w:val="single" w:sz="4" w:space="0" w:color="auto"/>
            </w:tcBorders>
          </w:tcPr>
          <w:p w14:paraId="5D198E0D" w14:textId="7B7E18B4"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26</w:t>
            </w:r>
            <w:r w:rsidR="00A56268" w:rsidRPr="000D3AF3">
              <w:rPr>
                <w:rFonts w:ascii="Arial Narrow" w:hAnsi="Arial Narrow"/>
              </w:rPr>
              <w:t xml:space="preserve">; </w:t>
            </w:r>
            <w:r w:rsidR="00A940F6" w:rsidRPr="000D3AF3">
              <w:rPr>
                <w:rFonts w:ascii="Arial Narrow" w:hAnsi="Arial Narrow"/>
              </w:rPr>
              <w:t>9 (34.6)</w:t>
            </w:r>
          </w:p>
        </w:tc>
      </w:tr>
      <w:tr w:rsidR="00A940F6" w:rsidRPr="000D3AF3" w14:paraId="2FA4BA20" w14:textId="77777777" w:rsidTr="00750019">
        <w:trPr>
          <w:trHeight w:val="238"/>
        </w:trPr>
        <w:tc>
          <w:tcPr>
            <w:tcW w:w="985" w:type="pct"/>
            <w:tcBorders>
              <w:top w:val="single" w:sz="4" w:space="0" w:color="auto"/>
              <w:bottom w:val="single" w:sz="4" w:space="0" w:color="auto"/>
            </w:tcBorders>
          </w:tcPr>
          <w:p w14:paraId="0CED0640" w14:textId="77777777" w:rsidR="00A940F6" w:rsidRPr="000D3AF3" w:rsidRDefault="00A940F6" w:rsidP="00750019">
            <w:pPr>
              <w:pStyle w:val="Tabletext0"/>
              <w:rPr>
                <w:rFonts w:ascii="Arial Narrow" w:hAnsi="Arial Narrow"/>
              </w:rPr>
            </w:pPr>
            <w:r w:rsidRPr="000D3AF3">
              <w:rPr>
                <w:rFonts w:ascii="Arial Narrow" w:hAnsi="Arial Narrow"/>
              </w:rPr>
              <w:t>Week 96</w:t>
            </w:r>
          </w:p>
        </w:tc>
        <w:tc>
          <w:tcPr>
            <w:tcW w:w="1339" w:type="pct"/>
            <w:tcBorders>
              <w:top w:val="single" w:sz="4" w:space="0" w:color="auto"/>
              <w:bottom w:val="single" w:sz="4" w:space="0" w:color="auto"/>
            </w:tcBorders>
          </w:tcPr>
          <w:p w14:paraId="624900C3" w14:textId="01500AD6"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45</w:t>
            </w:r>
            <w:r w:rsidR="00A56268" w:rsidRPr="000D3AF3">
              <w:rPr>
                <w:rFonts w:ascii="Arial Narrow" w:hAnsi="Arial Narrow"/>
              </w:rPr>
              <w:t xml:space="preserve">; </w:t>
            </w:r>
            <w:r w:rsidR="00A940F6" w:rsidRPr="000D3AF3">
              <w:rPr>
                <w:rFonts w:ascii="Arial Narrow" w:hAnsi="Arial Narrow"/>
              </w:rPr>
              <w:t>22 (48.9)</w:t>
            </w:r>
          </w:p>
        </w:tc>
        <w:tc>
          <w:tcPr>
            <w:tcW w:w="1338" w:type="pct"/>
            <w:tcBorders>
              <w:top w:val="single" w:sz="4" w:space="0" w:color="auto"/>
              <w:bottom w:val="single" w:sz="4" w:space="0" w:color="auto"/>
            </w:tcBorders>
          </w:tcPr>
          <w:p w14:paraId="4A88D692" w14:textId="6D67A84C"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19</w:t>
            </w:r>
            <w:r w:rsidR="00A56268" w:rsidRPr="000D3AF3">
              <w:rPr>
                <w:rFonts w:ascii="Arial Narrow" w:hAnsi="Arial Narrow"/>
              </w:rPr>
              <w:t xml:space="preserve">; </w:t>
            </w:r>
            <w:r w:rsidR="00A940F6" w:rsidRPr="000D3AF3">
              <w:rPr>
                <w:rFonts w:ascii="Arial Narrow" w:hAnsi="Arial Narrow"/>
              </w:rPr>
              <w:t>13 (68.4)</w:t>
            </w:r>
          </w:p>
        </w:tc>
        <w:tc>
          <w:tcPr>
            <w:tcW w:w="1338" w:type="pct"/>
            <w:tcBorders>
              <w:top w:val="single" w:sz="4" w:space="0" w:color="auto"/>
              <w:bottom w:val="single" w:sz="4" w:space="0" w:color="auto"/>
            </w:tcBorders>
          </w:tcPr>
          <w:p w14:paraId="52A56F1E" w14:textId="5E6EB958" w:rsidR="00A940F6" w:rsidRPr="000D3AF3" w:rsidRDefault="00A25900" w:rsidP="00A56268">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26</w:t>
            </w:r>
            <w:r w:rsidR="00A56268" w:rsidRPr="000D3AF3">
              <w:rPr>
                <w:rFonts w:ascii="Arial Narrow" w:hAnsi="Arial Narrow"/>
              </w:rPr>
              <w:t xml:space="preserve">; </w:t>
            </w:r>
            <w:r w:rsidR="00A940F6" w:rsidRPr="000D3AF3">
              <w:rPr>
                <w:rFonts w:ascii="Arial Narrow" w:hAnsi="Arial Narrow"/>
              </w:rPr>
              <w:t>9 (34.6)</w:t>
            </w:r>
          </w:p>
        </w:tc>
      </w:tr>
    </w:tbl>
    <w:p w14:paraId="58BC5846" w14:textId="73CF7A23" w:rsidR="00A940F6" w:rsidRPr="00A56268" w:rsidRDefault="00A940F6" w:rsidP="00A940F6">
      <w:pPr>
        <w:pStyle w:val="Tablefooter"/>
        <w:rPr>
          <w:rFonts w:ascii="Arial Narrow" w:hAnsi="Arial Narrow"/>
        </w:rPr>
      </w:pPr>
      <w:r w:rsidRPr="00A56268">
        <w:rPr>
          <w:rFonts w:ascii="Arial Narrow" w:hAnsi="Arial Narrow"/>
        </w:rPr>
        <w:t xml:space="preserve">Source: </w:t>
      </w:r>
      <w:r w:rsidR="00A56268" w:rsidRPr="00A56268">
        <w:rPr>
          <w:rFonts w:ascii="Arial Narrow" w:hAnsi="Arial Narrow"/>
        </w:rPr>
        <w:t xml:space="preserve">Resubmission Table 2-3; </w:t>
      </w:r>
      <w:r w:rsidRPr="00A56268">
        <w:rPr>
          <w:rFonts w:ascii="Arial Narrow" w:hAnsi="Arial Narrow"/>
        </w:rPr>
        <w:t>Appendix 3: PI, p16, Appendix 4: X2101 Supplement 1, Table 14.2-2.4, p60-61; Table 14.2-2.5, p65-67; Table 14.2-2.6, p77-80; Table 14.2-4.4, p111-112; Table 14.2-4.5, p116-118; Table 14.2-4.6, p128-131</w:t>
      </w:r>
      <w:r w:rsidR="00A56268" w:rsidRPr="00A56268">
        <w:rPr>
          <w:rFonts w:ascii="Arial Narrow" w:hAnsi="Arial Narrow"/>
        </w:rPr>
        <w:t>.</w:t>
      </w:r>
    </w:p>
    <w:p w14:paraId="0A1C5D38" w14:textId="77777777" w:rsidR="00B96A78" w:rsidRPr="00B96A78" w:rsidRDefault="00C369F6" w:rsidP="00C369F6">
      <w:pPr>
        <w:pStyle w:val="Tablefooter"/>
        <w:spacing w:after="120"/>
        <w:rPr>
          <w:rFonts w:ascii="Arial Narrow" w:hAnsi="Arial Narrow"/>
          <w:b/>
          <w:bCs/>
        </w:rPr>
      </w:pPr>
      <w:r>
        <w:rPr>
          <w:rFonts w:ascii="Arial Narrow" w:hAnsi="Arial Narrow"/>
        </w:rPr>
        <w:t xml:space="preserve">MMR = </w:t>
      </w:r>
      <w:r w:rsidRPr="00C369F6">
        <w:rPr>
          <w:rFonts w:ascii="Arial Narrow" w:hAnsi="Arial Narrow"/>
        </w:rPr>
        <w:t>major molecular response</w:t>
      </w:r>
      <w:r>
        <w:rPr>
          <w:rFonts w:ascii="Arial Narrow" w:hAnsi="Arial Narrow"/>
        </w:rPr>
        <w:t>.</w:t>
      </w:r>
    </w:p>
    <w:p w14:paraId="150A5D63" w14:textId="18582F54" w:rsidR="00A56268" w:rsidRPr="0088542C" w:rsidRDefault="00A56268" w:rsidP="00A56268">
      <w:pPr>
        <w:pStyle w:val="3-BodyText"/>
      </w:pPr>
      <w:r w:rsidRPr="0088542C">
        <w:t xml:space="preserve">The MMR rate includes only patients who are in MMR at a specific timepoint. The MMR rates at Week 24, Week 48, Week 72 and Week 96 were 37.8%, 35.6%, 34.1%, and 35.1% respectively. The majority of responses were observed within the first 24 weeks of treatment. </w:t>
      </w:r>
    </w:p>
    <w:p w14:paraId="49B5AA23" w14:textId="77777777" w:rsidR="00A56268" w:rsidRPr="0088542C" w:rsidRDefault="00A56268" w:rsidP="00A56268">
      <w:pPr>
        <w:pStyle w:val="3-BodyText"/>
      </w:pPr>
      <w:r w:rsidRPr="0088542C">
        <w:t xml:space="preserve">The cumulative MMR rate includes patients who achieved MMR up to the time of measurement even if they might have subsequently lost response (i.e., by later timepoints). The cumulative incidence of MMR kept increasing steadily over time. MMR was achieved by 24 weeks in 42% of patients and in 49% patients by Week 96. </w:t>
      </w:r>
    </w:p>
    <w:p w14:paraId="0E96C431" w14:textId="0D27C4CD" w:rsidR="00A56268" w:rsidRPr="0088542C" w:rsidRDefault="00A56268" w:rsidP="00A56268">
      <w:pPr>
        <w:pStyle w:val="3-BodyText"/>
      </w:pPr>
      <w:r w:rsidRPr="0088542C">
        <w:t>The MMR rate was numerically higher amongst ponatinib-naïve patients at Week 24 (52.6%) compared with patients previously treated with ponatinib (26.9%). Similarly, the cumulative MMR rate was higher amongst ponatinib-naïve patients at Week 24 (57.9%) compared with patients previously treated with ponatinib (30.8%). A higher MMR and cumulative MMR was observed at all time points for ponatinib-naïve patients compared with ponatinib pre-treated patients.</w:t>
      </w:r>
    </w:p>
    <w:p w14:paraId="6B15ED03" w14:textId="6A9305B1" w:rsidR="00A940F6" w:rsidRPr="007F3642" w:rsidRDefault="007F3642" w:rsidP="006A2956">
      <w:pPr>
        <w:pStyle w:val="3-BodyText"/>
      </w:pPr>
      <w:r w:rsidRPr="007F3642">
        <w:t>With respect to cytogenic response, o</w:t>
      </w:r>
      <w:r w:rsidR="00A940F6" w:rsidRPr="007F3642">
        <w:t xml:space="preserve">f the 48 patients with CML-CP harbouring the T315I mutation and treated with asciminib 200 mg twice daily, 9 patients were in </w:t>
      </w:r>
      <w:r w:rsidR="009901ED" w:rsidRPr="00A0693D">
        <w:t xml:space="preserve">complete cytogenetic response </w:t>
      </w:r>
      <w:r w:rsidR="009901ED">
        <w:t>(</w:t>
      </w:r>
      <w:r w:rsidR="00A940F6" w:rsidRPr="007F3642">
        <w:t>CCyR</w:t>
      </w:r>
      <w:r w:rsidR="009901ED">
        <w:t>)</w:t>
      </w:r>
      <w:r w:rsidR="00A940F6" w:rsidRPr="007F3642">
        <w:t xml:space="preserve"> at screening and hence were not considered in the analysis of CCyR. A further 7 patients did not have a bone marrow sample to assess cytogenic response at study entry and were also excluded from the analysis of CCyR. A total of 32 patients were not in CCyR at baseline and had a valid bone marrow sample to assess cytogenetic response at baseline. </w:t>
      </w:r>
    </w:p>
    <w:p w14:paraId="43327B5C" w14:textId="621421E6" w:rsidR="00A940F6" w:rsidRPr="007F3642" w:rsidRDefault="008F3E30" w:rsidP="00A940F6">
      <w:pPr>
        <w:pStyle w:val="3-BodyText"/>
      </w:pPr>
      <w:r w:rsidRPr="007F3642">
        <w:rPr>
          <w:rFonts w:cstheme="minorHAnsi"/>
        </w:rPr>
        <w:fldChar w:fldCharType="begin" w:fldLock="1"/>
      </w:r>
      <w:r w:rsidRPr="007F3642">
        <w:rPr>
          <w:rFonts w:cstheme="minorHAnsi"/>
        </w:rPr>
        <w:instrText xml:space="preserve"> REF _Ref114493739 \h  \* MERGEFORMAT </w:instrText>
      </w:r>
      <w:r w:rsidRPr="007F3642">
        <w:rPr>
          <w:rFonts w:cstheme="minorHAnsi"/>
        </w:rPr>
      </w:r>
      <w:r w:rsidRPr="007F3642">
        <w:rPr>
          <w:rFonts w:cstheme="minorHAnsi"/>
        </w:rPr>
        <w:fldChar w:fldCharType="separate"/>
      </w:r>
      <w:r w:rsidR="00196FF1" w:rsidRPr="00196FF1">
        <w:rPr>
          <w:rFonts w:cstheme="minorHAnsi"/>
        </w:rPr>
        <w:t xml:space="preserve">Table </w:t>
      </w:r>
      <w:r w:rsidR="00196FF1" w:rsidRPr="00196FF1">
        <w:rPr>
          <w:rFonts w:cstheme="minorHAnsi"/>
          <w:noProof/>
        </w:rPr>
        <w:t>7</w:t>
      </w:r>
      <w:r w:rsidRPr="007F3642">
        <w:rPr>
          <w:rFonts w:cstheme="minorHAnsi"/>
        </w:rPr>
        <w:fldChar w:fldCharType="end"/>
      </w:r>
      <w:r w:rsidRPr="007F3642">
        <w:t xml:space="preserve"> presents t</w:t>
      </w:r>
      <w:r w:rsidR="00A940F6" w:rsidRPr="007F3642">
        <w:t xml:space="preserve">he cytogenetic responses to asciminib for these 32 patients at the data cut-off of 2 April 2020, which was the most recent analysis of CCyR. Bone marrow samples were not collected for all patients at all time points and were not collected at any time post-screening for 9 patients. Therefore, the proportions of patients who achieved a CCyR at each time point were </w:t>
      </w:r>
      <w:r w:rsidR="00A940F6" w:rsidRPr="007F3642">
        <w:lastRenderedPageBreak/>
        <w:t>also recalculated as a proportion of patients with non-missing data and presented in</w:t>
      </w:r>
      <w:r w:rsidR="007F3642" w:rsidRPr="007F3642">
        <w:t xml:space="preserve"> </w:t>
      </w:r>
      <w:r w:rsidR="007F3642" w:rsidRPr="007F3642">
        <w:rPr>
          <w:rFonts w:cstheme="minorHAnsi"/>
        </w:rPr>
        <w:fldChar w:fldCharType="begin" w:fldLock="1"/>
      </w:r>
      <w:r w:rsidR="007F3642" w:rsidRPr="007F3642">
        <w:rPr>
          <w:rFonts w:cstheme="minorHAnsi"/>
        </w:rPr>
        <w:instrText xml:space="preserve"> REF _Ref114493739 \h  \* MERGEFORMAT </w:instrText>
      </w:r>
      <w:r w:rsidR="007F3642" w:rsidRPr="007F3642">
        <w:rPr>
          <w:rFonts w:cstheme="minorHAnsi"/>
        </w:rPr>
      </w:r>
      <w:r w:rsidR="007F3642" w:rsidRPr="007F3642">
        <w:rPr>
          <w:rFonts w:cstheme="minorHAnsi"/>
        </w:rPr>
        <w:fldChar w:fldCharType="separate"/>
      </w:r>
      <w:r w:rsidR="00196FF1" w:rsidRPr="00196FF1">
        <w:rPr>
          <w:rFonts w:cstheme="minorHAnsi"/>
        </w:rPr>
        <w:t xml:space="preserve">Table </w:t>
      </w:r>
      <w:r w:rsidR="00196FF1" w:rsidRPr="00196FF1">
        <w:rPr>
          <w:rFonts w:cstheme="minorHAnsi"/>
          <w:noProof/>
        </w:rPr>
        <w:t>7</w:t>
      </w:r>
      <w:r w:rsidR="007F3642" w:rsidRPr="007F3642">
        <w:rPr>
          <w:rFonts w:cstheme="minorHAnsi"/>
        </w:rPr>
        <w:fldChar w:fldCharType="end"/>
      </w:r>
      <w:r w:rsidR="00A940F6" w:rsidRPr="007F3642">
        <w:t xml:space="preserve">. By Week 24, 10 patients of the 23 (47.6%) evaluable patients with at least one valid assessment after screening had achieved a CCyR and this increased to 13 patients (56.5%) by Week 96. </w:t>
      </w:r>
    </w:p>
    <w:p w14:paraId="02B34839" w14:textId="29FE549D" w:rsidR="00A940F6" w:rsidRPr="00FE4C22" w:rsidRDefault="00FE4C22" w:rsidP="00FE4C22">
      <w:pPr>
        <w:pStyle w:val="Tableheading"/>
        <w:jc w:val="left"/>
        <w:rPr>
          <w:rFonts w:ascii="Arial Narrow" w:hAnsi="Arial Narrow"/>
        </w:rPr>
      </w:pPr>
      <w:bookmarkStart w:id="23" w:name="_Ref114493739"/>
      <w:bookmarkStart w:id="24" w:name="_Ref112079790"/>
      <w:bookmarkStart w:id="25" w:name="_Toc112315925"/>
      <w:r w:rsidRPr="00FE4C22">
        <w:rPr>
          <w:rFonts w:ascii="Arial Narrow" w:hAnsi="Arial Narrow"/>
        </w:rPr>
        <w:t xml:space="preserve">Table </w:t>
      </w:r>
      <w:r w:rsidRPr="00FE4C22">
        <w:rPr>
          <w:rFonts w:ascii="Arial Narrow" w:hAnsi="Arial Narrow"/>
        </w:rPr>
        <w:fldChar w:fldCharType="begin" w:fldLock="1"/>
      </w:r>
      <w:r w:rsidRPr="00FE4C22">
        <w:rPr>
          <w:rFonts w:ascii="Arial Narrow" w:hAnsi="Arial Narrow"/>
        </w:rPr>
        <w:instrText xml:space="preserve"> SEQ Table \* ARABIC </w:instrText>
      </w:r>
      <w:r w:rsidRPr="00FE4C22">
        <w:rPr>
          <w:rFonts w:ascii="Arial Narrow" w:hAnsi="Arial Narrow"/>
        </w:rPr>
        <w:fldChar w:fldCharType="separate"/>
      </w:r>
      <w:r w:rsidR="00100F00">
        <w:rPr>
          <w:rFonts w:ascii="Arial Narrow" w:hAnsi="Arial Narrow"/>
          <w:noProof/>
        </w:rPr>
        <w:t>7</w:t>
      </w:r>
      <w:r w:rsidRPr="00FE4C22">
        <w:rPr>
          <w:rFonts w:ascii="Arial Narrow" w:hAnsi="Arial Narrow"/>
        </w:rPr>
        <w:fldChar w:fldCharType="end"/>
      </w:r>
      <w:bookmarkEnd w:id="23"/>
      <w:r w:rsidRPr="00FE4C22">
        <w:rPr>
          <w:rFonts w:ascii="Arial Narrow" w:hAnsi="Arial Narrow"/>
        </w:rPr>
        <w:t xml:space="preserve">: </w:t>
      </w:r>
      <w:r w:rsidR="00A940F6" w:rsidRPr="00FE4C22">
        <w:rPr>
          <w:rFonts w:ascii="Arial Narrow" w:hAnsi="Arial Narrow"/>
        </w:rPr>
        <w:t>Cumulative CCyR</w:t>
      </w:r>
      <w:bookmarkEnd w:id="24"/>
      <w:r w:rsidRPr="00FE4C22">
        <w:rPr>
          <w:rFonts w:ascii="Arial Narrow" w:hAnsi="Arial Narrow"/>
        </w:rPr>
        <w:t xml:space="preserve"> in the</w:t>
      </w:r>
      <w:r w:rsidR="00A940F6" w:rsidRPr="00FE4C22">
        <w:rPr>
          <w:rFonts w:ascii="Arial Narrow" w:hAnsi="Arial Narrow"/>
        </w:rPr>
        <w:t xml:space="preserve"> X2101</w:t>
      </w:r>
      <w:bookmarkEnd w:id="25"/>
      <w:r w:rsidRPr="00FE4C22">
        <w:rPr>
          <w:rFonts w:ascii="Arial Narrow" w:hAnsi="Arial Narrow"/>
        </w:rPr>
        <w:t xml:space="preserve"> study</w:t>
      </w:r>
    </w:p>
    <w:tbl>
      <w:tblPr>
        <w:tblStyle w:val="TableGrid"/>
        <w:tblW w:w="5000" w:type="pct"/>
        <w:tblLook w:val="04A0" w:firstRow="1" w:lastRow="0" w:firstColumn="1" w:lastColumn="0" w:noHBand="0" w:noVBand="1"/>
        <w:tblCaption w:val="Table 7: Cumulative CCyR in the X2101 study"/>
      </w:tblPr>
      <w:tblGrid>
        <w:gridCol w:w="2830"/>
        <w:gridCol w:w="1545"/>
        <w:gridCol w:w="1547"/>
        <w:gridCol w:w="1547"/>
        <w:gridCol w:w="1547"/>
      </w:tblGrid>
      <w:tr w:rsidR="00A940F6" w:rsidRPr="000D3AF3" w14:paraId="33394ABE" w14:textId="77777777" w:rsidTr="00750019">
        <w:trPr>
          <w:trHeight w:val="238"/>
        </w:trPr>
        <w:tc>
          <w:tcPr>
            <w:tcW w:w="1569" w:type="pct"/>
            <w:vMerge w:val="restart"/>
            <w:tcBorders>
              <w:top w:val="single" w:sz="4" w:space="0" w:color="auto"/>
              <w:left w:val="single" w:sz="4" w:space="0" w:color="auto"/>
              <w:right w:val="single" w:sz="4" w:space="0" w:color="auto"/>
            </w:tcBorders>
            <w:shd w:val="clear" w:color="auto" w:fill="F2F2F2" w:themeFill="background1" w:themeFillShade="F2"/>
          </w:tcPr>
          <w:p w14:paraId="32E67758" w14:textId="77777777" w:rsidR="00A940F6" w:rsidRPr="000D3AF3" w:rsidRDefault="00A940F6" w:rsidP="00750019">
            <w:pPr>
              <w:pStyle w:val="Tableheading"/>
              <w:rPr>
                <w:rFonts w:ascii="Arial Narrow" w:hAnsi="Arial Narrow"/>
              </w:rPr>
            </w:pPr>
          </w:p>
        </w:tc>
        <w:tc>
          <w:tcPr>
            <w:tcW w:w="3431"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7D2D22" w14:textId="77777777" w:rsidR="00A940F6" w:rsidRPr="000D3AF3" w:rsidRDefault="00A940F6" w:rsidP="00750019">
            <w:pPr>
              <w:pStyle w:val="Tableheading"/>
              <w:rPr>
                <w:rFonts w:ascii="Arial Narrow" w:hAnsi="Arial Narrow"/>
              </w:rPr>
            </w:pPr>
            <w:r w:rsidRPr="000D3AF3">
              <w:rPr>
                <w:rFonts w:ascii="Arial Narrow" w:hAnsi="Arial Narrow"/>
              </w:rPr>
              <w:t>Asciminib 200 mg twice daily cohort</w:t>
            </w:r>
          </w:p>
        </w:tc>
      </w:tr>
      <w:tr w:rsidR="00A940F6" w:rsidRPr="000D3AF3" w14:paraId="67771890" w14:textId="77777777" w:rsidTr="00750019">
        <w:trPr>
          <w:trHeight w:val="238"/>
        </w:trPr>
        <w:tc>
          <w:tcPr>
            <w:tcW w:w="1569" w:type="pct"/>
            <w:vMerge/>
            <w:tcBorders>
              <w:left w:val="single" w:sz="4" w:space="0" w:color="auto"/>
              <w:bottom w:val="single" w:sz="4" w:space="0" w:color="auto"/>
              <w:right w:val="single" w:sz="4" w:space="0" w:color="auto"/>
            </w:tcBorders>
            <w:shd w:val="clear" w:color="auto" w:fill="F2F2F2" w:themeFill="background1" w:themeFillShade="F2"/>
          </w:tcPr>
          <w:p w14:paraId="37F52940" w14:textId="77777777" w:rsidR="00A940F6" w:rsidRPr="000D3AF3" w:rsidRDefault="00A940F6" w:rsidP="00750019">
            <w:pPr>
              <w:pStyle w:val="Tableheading"/>
              <w:rPr>
                <w:rFonts w:ascii="Arial Narrow" w:hAnsi="Arial Narrow"/>
              </w:rPr>
            </w:pPr>
          </w:p>
        </w:tc>
        <w:tc>
          <w:tcPr>
            <w:tcW w:w="8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C4800" w14:textId="77777777" w:rsidR="00A940F6" w:rsidRPr="000D3AF3" w:rsidRDefault="00A940F6" w:rsidP="00750019">
            <w:pPr>
              <w:pStyle w:val="Tableheading"/>
              <w:rPr>
                <w:rFonts w:ascii="Arial Narrow" w:hAnsi="Arial Narrow"/>
              </w:rPr>
            </w:pPr>
            <w:r w:rsidRPr="000D3AF3">
              <w:rPr>
                <w:rFonts w:ascii="Arial Narrow" w:hAnsi="Arial Narrow"/>
              </w:rPr>
              <w:t xml:space="preserve">Week 24 </w:t>
            </w:r>
          </w:p>
          <w:p w14:paraId="4AA31A57" w14:textId="4F32D302" w:rsidR="00A940F6" w:rsidRPr="000D3AF3" w:rsidRDefault="00A940F6" w:rsidP="00750019">
            <w:pPr>
              <w:pStyle w:val="Tableheading"/>
              <w:rPr>
                <w:rFonts w:ascii="Arial Narrow" w:hAnsi="Arial Narrow"/>
              </w:rPr>
            </w:pPr>
            <w:r w:rsidRPr="000D3AF3">
              <w:rPr>
                <w:rFonts w:ascii="Arial Narrow" w:hAnsi="Arial Narrow"/>
              </w:rPr>
              <w:t>(N = 32)</w:t>
            </w:r>
            <w:r w:rsidR="00FE4C22" w:rsidRPr="000D3AF3">
              <w:rPr>
                <w:rFonts w:ascii="Arial Narrow" w:hAnsi="Arial Narrow"/>
                <w:vertAlign w:val="superscript"/>
              </w:rPr>
              <w:t>a</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365C7C" w14:textId="77777777" w:rsidR="00A940F6" w:rsidRPr="000D3AF3" w:rsidRDefault="00A940F6" w:rsidP="00750019">
            <w:pPr>
              <w:pStyle w:val="Tableheading"/>
              <w:rPr>
                <w:rFonts w:ascii="Arial Narrow" w:hAnsi="Arial Narrow"/>
              </w:rPr>
            </w:pPr>
            <w:r w:rsidRPr="000D3AF3">
              <w:rPr>
                <w:rFonts w:ascii="Arial Narrow" w:hAnsi="Arial Narrow"/>
              </w:rPr>
              <w:t>Week 48</w:t>
            </w:r>
          </w:p>
          <w:p w14:paraId="3686FBEE" w14:textId="48B9C979" w:rsidR="00A940F6" w:rsidRPr="000D3AF3" w:rsidRDefault="00FE4C22" w:rsidP="00750019">
            <w:pPr>
              <w:pStyle w:val="Tableheading"/>
              <w:rPr>
                <w:rFonts w:ascii="Arial Narrow" w:hAnsi="Arial Narrow"/>
              </w:rPr>
            </w:pPr>
            <w:r w:rsidRPr="000D3AF3">
              <w:rPr>
                <w:rFonts w:ascii="Arial Narrow" w:hAnsi="Arial Narrow"/>
              </w:rPr>
              <w:t>(N = 32)</w:t>
            </w:r>
            <w:r w:rsidRPr="000D3AF3">
              <w:rPr>
                <w:rFonts w:ascii="Arial Narrow" w:hAnsi="Arial Narrow"/>
                <w:vertAlign w:val="superscript"/>
              </w:rPr>
              <w:t>a</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BAF1A" w14:textId="77777777" w:rsidR="00A940F6" w:rsidRPr="000D3AF3" w:rsidRDefault="00A940F6" w:rsidP="00750019">
            <w:pPr>
              <w:pStyle w:val="Tableheading"/>
              <w:rPr>
                <w:rFonts w:ascii="Arial Narrow" w:hAnsi="Arial Narrow"/>
              </w:rPr>
            </w:pPr>
            <w:r w:rsidRPr="000D3AF3">
              <w:rPr>
                <w:rFonts w:ascii="Arial Narrow" w:hAnsi="Arial Narrow"/>
              </w:rPr>
              <w:t>Week 72</w:t>
            </w:r>
          </w:p>
          <w:p w14:paraId="6AF969E2" w14:textId="4A179697" w:rsidR="00A940F6" w:rsidRPr="000D3AF3" w:rsidRDefault="00FE4C22" w:rsidP="00750019">
            <w:pPr>
              <w:pStyle w:val="Tableheading"/>
              <w:rPr>
                <w:rFonts w:ascii="Arial Narrow" w:hAnsi="Arial Narrow"/>
              </w:rPr>
            </w:pPr>
            <w:r w:rsidRPr="000D3AF3">
              <w:rPr>
                <w:rFonts w:ascii="Arial Narrow" w:hAnsi="Arial Narrow"/>
              </w:rPr>
              <w:t>(N = 32)</w:t>
            </w:r>
            <w:r w:rsidRPr="000D3AF3">
              <w:rPr>
                <w:rFonts w:ascii="Arial Narrow" w:hAnsi="Arial Narrow"/>
                <w:vertAlign w:val="superscript"/>
              </w:rPr>
              <w:t>a</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60039A" w14:textId="3B979444" w:rsidR="00A940F6" w:rsidRPr="000D3AF3" w:rsidRDefault="00A940F6" w:rsidP="00750019">
            <w:pPr>
              <w:pStyle w:val="Tableheading"/>
              <w:rPr>
                <w:rFonts w:ascii="Arial Narrow" w:hAnsi="Arial Narrow"/>
              </w:rPr>
            </w:pPr>
            <w:r w:rsidRPr="000D3AF3">
              <w:rPr>
                <w:rFonts w:ascii="Arial Narrow" w:hAnsi="Arial Narrow"/>
              </w:rPr>
              <w:t>Week 96</w:t>
            </w:r>
            <w:r w:rsidRPr="000D3AF3">
              <w:rPr>
                <w:rFonts w:ascii="Arial Narrow" w:hAnsi="Arial Narrow"/>
              </w:rPr>
              <w:br/>
            </w:r>
            <w:r w:rsidR="00FE4C22" w:rsidRPr="000D3AF3">
              <w:rPr>
                <w:rFonts w:ascii="Arial Narrow" w:hAnsi="Arial Narrow"/>
              </w:rPr>
              <w:t>(N = 32)</w:t>
            </w:r>
            <w:r w:rsidR="00FE4C22" w:rsidRPr="000D3AF3">
              <w:rPr>
                <w:rFonts w:ascii="Arial Narrow" w:hAnsi="Arial Narrow"/>
                <w:vertAlign w:val="superscript"/>
              </w:rPr>
              <w:t>a</w:t>
            </w:r>
          </w:p>
        </w:tc>
      </w:tr>
      <w:tr w:rsidR="00A940F6" w:rsidRPr="000D3AF3" w14:paraId="588F3B8E" w14:textId="77777777" w:rsidTr="00750019">
        <w:trPr>
          <w:trHeight w:val="238"/>
        </w:trPr>
        <w:tc>
          <w:tcPr>
            <w:tcW w:w="1569" w:type="pct"/>
            <w:tcBorders>
              <w:top w:val="single" w:sz="4" w:space="0" w:color="auto"/>
              <w:left w:val="single" w:sz="4" w:space="0" w:color="auto"/>
              <w:bottom w:val="nil"/>
              <w:right w:val="single" w:sz="4" w:space="0" w:color="auto"/>
            </w:tcBorders>
          </w:tcPr>
          <w:p w14:paraId="5EF6429F" w14:textId="77777777" w:rsidR="00A940F6" w:rsidRPr="000D3AF3" w:rsidRDefault="00A940F6" w:rsidP="00750019">
            <w:pPr>
              <w:pStyle w:val="Tabletext0"/>
              <w:rPr>
                <w:rFonts w:ascii="Arial Narrow" w:hAnsi="Arial Narrow"/>
              </w:rPr>
            </w:pPr>
            <w:r w:rsidRPr="000D3AF3">
              <w:rPr>
                <w:rFonts w:ascii="Arial Narrow" w:hAnsi="Arial Narrow"/>
              </w:rPr>
              <w:t>MCyR</w:t>
            </w:r>
          </w:p>
        </w:tc>
        <w:tc>
          <w:tcPr>
            <w:tcW w:w="857" w:type="pct"/>
            <w:tcBorders>
              <w:top w:val="single" w:sz="4" w:space="0" w:color="auto"/>
              <w:left w:val="single" w:sz="4" w:space="0" w:color="auto"/>
              <w:bottom w:val="nil"/>
              <w:right w:val="single" w:sz="4" w:space="0" w:color="auto"/>
            </w:tcBorders>
          </w:tcPr>
          <w:p w14:paraId="2866C6B3" w14:textId="77777777" w:rsidR="00A940F6" w:rsidRPr="000D3AF3" w:rsidRDefault="00A940F6" w:rsidP="00750019">
            <w:pPr>
              <w:pStyle w:val="Tablecentre"/>
              <w:rPr>
                <w:rFonts w:ascii="Arial Narrow" w:hAnsi="Arial Narrow"/>
              </w:rPr>
            </w:pPr>
            <w:r w:rsidRPr="000D3AF3">
              <w:rPr>
                <w:rFonts w:ascii="Arial Narrow" w:hAnsi="Arial Narrow"/>
              </w:rPr>
              <w:t>17 (53.1)</w:t>
            </w:r>
          </w:p>
        </w:tc>
        <w:tc>
          <w:tcPr>
            <w:tcW w:w="858" w:type="pct"/>
            <w:tcBorders>
              <w:top w:val="single" w:sz="4" w:space="0" w:color="auto"/>
              <w:left w:val="single" w:sz="4" w:space="0" w:color="auto"/>
              <w:bottom w:val="nil"/>
              <w:right w:val="single" w:sz="4" w:space="0" w:color="auto"/>
            </w:tcBorders>
          </w:tcPr>
          <w:p w14:paraId="09E17AF3" w14:textId="77777777" w:rsidR="00A940F6" w:rsidRPr="000D3AF3" w:rsidRDefault="00A940F6" w:rsidP="00750019">
            <w:pPr>
              <w:pStyle w:val="Tablecentre"/>
              <w:rPr>
                <w:rFonts w:ascii="Arial Narrow" w:hAnsi="Arial Narrow"/>
              </w:rPr>
            </w:pPr>
            <w:r w:rsidRPr="000D3AF3">
              <w:rPr>
                <w:rFonts w:ascii="Arial Narrow" w:hAnsi="Arial Narrow"/>
              </w:rPr>
              <w:t>17 (53.1)</w:t>
            </w:r>
          </w:p>
        </w:tc>
        <w:tc>
          <w:tcPr>
            <w:tcW w:w="858" w:type="pct"/>
            <w:tcBorders>
              <w:top w:val="single" w:sz="4" w:space="0" w:color="auto"/>
              <w:left w:val="single" w:sz="4" w:space="0" w:color="auto"/>
              <w:bottom w:val="nil"/>
              <w:right w:val="single" w:sz="4" w:space="0" w:color="auto"/>
            </w:tcBorders>
          </w:tcPr>
          <w:p w14:paraId="2A367F6A" w14:textId="77777777" w:rsidR="00A940F6" w:rsidRPr="000D3AF3" w:rsidRDefault="00A940F6" w:rsidP="00750019">
            <w:pPr>
              <w:pStyle w:val="Tablecentre"/>
              <w:rPr>
                <w:rFonts w:ascii="Arial Narrow" w:hAnsi="Arial Narrow"/>
              </w:rPr>
            </w:pPr>
            <w:r w:rsidRPr="000D3AF3">
              <w:rPr>
                <w:rFonts w:ascii="Arial Narrow" w:hAnsi="Arial Narrow"/>
              </w:rPr>
              <w:t>17 (53.1)</w:t>
            </w:r>
          </w:p>
        </w:tc>
        <w:tc>
          <w:tcPr>
            <w:tcW w:w="858" w:type="pct"/>
            <w:tcBorders>
              <w:top w:val="single" w:sz="4" w:space="0" w:color="auto"/>
              <w:left w:val="single" w:sz="4" w:space="0" w:color="auto"/>
              <w:bottom w:val="nil"/>
              <w:right w:val="single" w:sz="4" w:space="0" w:color="auto"/>
            </w:tcBorders>
          </w:tcPr>
          <w:p w14:paraId="07C2D5C3" w14:textId="77777777" w:rsidR="00A940F6" w:rsidRPr="000D3AF3" w:rsidRDefault="00A940F6" w:rsidP="00750019">
            <w:pPr>
              <w:pStyle w:val="Tablecentre"/>
              <w:rPr>
                <w:rFonts w:ascii="Arial Narrow" w:hAnsi="Arial Narrow"/>
              </w:rPr>
            </w:pPr>
            <w:r w:rsidRPr="000D3AF3">
              <w:rPr>
                <w:rFonts w:ascii="Arial Narrow" w:hAnsi="Arial Narrow"/>
              </w:rPr>
              <w:t>18 (56.3)</w:t>
            </w:r>
          </w:p>
        </w:tc>
      </w:tr>
      <w:tr w:rsidR="00A940F6" w:rsidRPr="000D3AF3" w14:paraId="0588404B" w14:textId="77777777" w:rsidTr="00750019">
        <w:trPr>
          <w:trHeight w:val="238"/>
        </w:trPr>
        <w:tc>
          <w:tcPr>
            <w:tcW w:w="1569" w:type="pct"/>
            <w:tcBorders>
              <w:top w:val="nil"/>
              <w:left w:val="single" w:sz="4" w:space="0" w:color="auto"/>
              <w:bottom w:val="nil"/>
              <w:right w:val="single" w:sz="4" w:space="0" w:color="auto"/>
            </w:tcBorders>
          </w:tcPr>
          <w:p w14:paraId="09ECACC0" w14:textId="77777777" w:rsidR="00A940F6" w:rsidRPr="000D3AF3" w:rsidRDefault="00A940F6" w:rsidP="00750019">
            <w:pPr>
              <w:pStyle w:val="Tabletext0"/>
              <w:ind w:left="720"/>
              <w:rPr>
                <w:rFonts w:ascii="Arial Narrow" w:hAnsi="Arial Narrow"/>
              </w:rPr>
            </w:pPr>
            <w:r w:rsidRPr="000D3AF3">
              <w:rPr>
                <w:rFonts w:ascii="Arial Narrow" w:hAnsi="Arial Narrow"/>
              </w:rPr>
              <w:t>CCyR</w:t>
            </w:r>
          </w:p>
        </w:tc>
        <w:tc>
          <w:tcPr>
            <w:tcW w:w="857" w:type="pct"/>
            <w:tcBorders>
              <w:top w:val="nil"/>
              <w:left w:val="single" w:sz="4" w:space="0" w:color="auto"/>
              <w:bottom w:val="nil"/>
              <w:right w:val="single" w:sz="4" w:space="0" w:color="auto"/>
            </w:tcBorders>
          </w:tcPr>
          <w:p w14:paraId="57AC0662" w14:textId="77777777" w:rsidR="00A940F6" w:rsidRPr="000D3AF3" w:rsidRDefault="00A940F6" w:rsidP="00750019">
            <w:pPr>
              <w:pStyle w:val="Tablecentre"/>
              <w:rPr>
                <w:rFonts w:ascii="Arial Narrow" w:hAnsi="Arial Narrow"/>
              </w:rPr>
            </w:pPr>
            <w:r w:rsidRPr="000D3AF3">
              <w:rPr>
                <w:rFonts w:ascii="Arial Narrow" w:hAnsi="Arial Narrow"/>
              </w:rPr>
              <w:t>10 (31.3)</w:t>
            </w:r>
          </w:p>
        </w:tc>
        <w:tc>
          <w:tcPr>
            <w:tcW w:w="858" w:type="pct"/>
            <w:tcBorders>
              <w:top w:val="nil"/>
              <w:left w:val="single" w:sz="4" w:space="0" w:color="auto"/>
              <w:bottom w:val="nil"/>
              <w:right w:val="single" w:sz="4" w:space="0" w:color="auto"/>
            </w:tcBorders>
          </w:tcPr>
          <w:p w14:paraId="7D7DC620" w14:textId="77777777" w:rsidR="00A940F6" w:rsidRPr="000D3AF3" w:rsidRDefault="00A940F6" w:rsidP="00750019">
            <w:pPr>
              <w:pStyle w:val="Tablecentre"/>
              <w:rPr>
                <w:rFonts w:ascii="Arial Narrow" w:hAnsi="Arial Narrow"/>
              </w:rPr>
            </w:pPr>
            <w:r w:rsidRPr="000D3AF3">
              <w:rPr>
                <w:rFonts w:ascii="Arial Narrow" w:hAnsi="Arial Narrow"/>
              </w:rPr>
              <w:t>12 (37.5)</w:t>
            </w:r>
          </w:p>
        </w:tc>
        <w:tc>
          <w:tcPr>
            <w:tcW w:w="858" w:type="pct"/>
            <w:tcBorders>
              <w:top w:val="nil"/>
              <w:left w:val="single" w:sz="4" w:space="0" w:color="auto"/>
              <w:bottom w:val="nil"/>
              <w:right w:val="single" w:sz="4" w:space="0" w:color="auto"/>
            </w:tcBorders>
          </w:tcPr>
          <w:p w14:paraId="5D26A260" w14:textId="77777777" w:rsidR="00A940F6" w:rsidRPr="000D3AF3" w:rsidRDefault="00A940F6" w:rsidP="00750019">
            <w:pPr>
              <w:pStyle w:val="Tablecentre"/>
              <w:rPr>
                <w:rFonts w:ascii="Arial Narrow" w:hAnsi="Arial Narrow"/>
              </w:rPr>
            </w:pPr>
            <w:r w:rsidRPr="000D3AF3">
              <w:rPr>
                <w:rFonts w:ascii="Arial Narrow" w:hAnsi="Arial Narrow"/>
              </w:rPr>
              <w:t>12 (37.5)</w:t>
            </w:r>
          </w:p>
        </w:tc>
        <w:tc>
          <w:tcPr>
            <w:tcW w:w="858" w:type="pct"/>
            <w:tcBorders>
              <w:top w:val="nil"/>
              <w:left w:val="single" w:sz="4" w:space="0" w:color="auto"/>
              <w:bottom w:val="nil"/>
              <w:right w:val="single" w:sz="4" w:space="0" w:color="auto"/>
            </w:tcBorders>
          </w:tcPr>
          <w:p w14:paraId="2E301451" w14:textId="77777777" w:rsidR="00A940F6" w:rsidRPr="000D3AF3" w:rsidRDefault="00A940F6" w:rsidP="00750019">
            <w:pPr>
              <w:pStyle w:val="Tablecentre"/>
              <w:rPr>
                <w:rFonts w:ascii="Arial Narrow" w:hAnsi="Arial Narrow"/>
              </w:rPr>
            </w:pPr>
            <w:r w:rsidRPr="000D3AF3">
              <w:rPr>
                <w:rFonts w:ascii="Arial Narrow" w:hAnsi="Arial Narrow"/>
              </w:rPr>
              <w:t>13 (40.6)</w:t>
            </w:r>
          </w:p>
        </w:tc>
      </w:tr>
      <w:tr w:rsidR="00A940F6" w:rsidRPr="000D3AF3" w14:paraId="436EE5E1" w14:textId="77777777" w:rsidTr="00750019">
        <w:trPr>
          <w:trHeight w:val="238"/>
        </w:trPr>
        <w:tc>
          <w:tcPr>
            <w:tcW w:w="1569" w:type="pct"/>
            <w:tcBorders>
              <w:top w:val="nil"/>
              <w:left w:val="single" w:sz="4" w:space="0" w:color="auto"/>
              <w:bottom w:val="single" w:sz="4" w:space="0" w:color="auto"/>
              <w:right w:val="single" w:sz="4" w:space="0" w:color="auto"/>
            </w:tcBorders>
          </w:tcPr>
          <w:p w14:paraId="5717410E" w14:textId="77777777" w:rsidR="00A940F6" w:rsidRPr="000D3AF3" w:rsidRDefault="00A940F6" w:rsidP="00750019">
            <w:pPr>
              <w:pStyle w:val="Tabletext0"/>
              <w:ind w:left="720"/>
              <w:rPr>
                <w:rFonts w:ascii="Arial Narrow" w:hAnsi="Arial Narrow"/>
              </w:rPr>
            </w:pPr>
            <w:r w:rsidRPr="000D3AF3">
              <w:rPr>
                <w:rFonts w:ascii="Arial Narrow" w:hAnsi="Arial Narrow"/>
              </w:rPr>
              <w:t>PCyR</w:t>
            </w:r>
          </w:p>
        </w:tc>
        <w:tc>
          <w:tcPr>
            <w:tcW w:w="857" w:type="pct"/>
            <w:tcBorders>
              <w:top w:val="nil"/>
              <w:left w:val="single" w:sz="4" w:space="0" w:color="auto"/>
              <w:bottom w:val="single" w:sz="4" w:space="0" w:color="auto"/>
              <w:right w:val="single" w:sz="4" w:space="0" w:color="auto"/>
            </w:tcBorders>
          </w:tcPr>
          <w:p w14:paraId="32279EB0" w14:textId="77777777" w:rsidR="00A940F6" w:rsidRPr="000D3AF3" w:rsidRDefault="00A940F6" w:rsidP="00750019">
            <w:pPr>
              <w:pStyle w:val="Tablecentre"/>
              <w:rPr>
                <w:rFonts w:ascii="Arial Narrow" w:hAnsi="Arial Narrow"/>
              </w:rPr>
            </w:pPr>
            <w:r w:rsidRPr="000D3AF3">
              <w:rPr>
                <w:rFonts w:ascii="Arial Narrow" w:hAnsi="Arial Narrow"/>
              </w:rPr>
              <w:t>7 (21.9)</w:t>
            </w:r>
          </w:p>
        </w:tc>
        <w:tc>
          <w:tcPr>
            <w:tcW w:w="858" w:type="pct"/>
            <w:tcBorders>
              <w:top w:val="nil"/>
              <w:left w:val="single" w:sz="4" w:space="0" w:color="auto"/>
              <w:bottom w:val="single" w:sz="4" w:space="0" w:color="auto"/>
              <w:right w:val="single" w:sz="4" w:space="0" w:color="auto"/>
            </w:tcBorders>
          </w:tcPr>
          <w:p w14:paraId="34FF8F4B" w14:textId="77777777" w:rsidR="00A940F6" w:rsidRPr="000D3AF3" w:rsidRDefault="00A940F6" w:rsidP="00750019">
            <w:pPr>
              <w:pStyle w:val="Tablecentre"/>
              <w:rPr>
                <w:rFonts w:ascii="Arial Narrow" w:hAnsi="Arial Narrow"/>
              </w:rPr>
            </w:pPr>
            <w:r w:rsidRPr="000D3AF3">
              <w:rPr>
                <w:rFonts w:ascii="Arial Narrow" w:hAnsi="Arial Narrow"/>
              </w:rPr>
              <w:t>5 (15.6)</w:t>
            </w:r>
          </w:p>
        </w:tc>
        <w:tc>
          <w:tcPr>
            <w:tcW w:w="858" w:type="pct"/>
            <w:tcBorders>
              <w:top w:val="nil"/>
              <w:left w:val="single" w:sz="4" w:space="0" w:color="auto"/>
              <w:bottom w:val="single" w:sz="4" w:space="0" w:color="auto"/>
              <w:right w:val="single" w:sz="4" w:space="0" w:color="auto"/>
            </w:tcBorders>
          </w:tcPr>
          <w:p w14:paraId="4B29036B" w14:textId="77777777" w:rsidR="00A940F6" w:rsidRPr="000D3AF3" w:rsidRDefault="00A940F6" w:rsidP="00750019">
            <w:pPr>
              <w:pStyle w:val="Tablecentre"/>
              <w:rPr>
                <w:rFonts w:ascii="Arial Narrow" w:hAnsi="Arial Narrow"/>
              </w:rPr>
            </w:pPr>
            <w:r w:rsidRPr="000D3AF3">
              <w:rPr>
                <w:rFonts w:ascii="Arial Narrow" w:hAnsi="Arial Narrow"/>
              </w:rPr>
              <w:t>5 (15.6)</w:t>
            </w:r>
          </w:p>
        </w:tc>
        <w:tc>
          <w:tcPr>
            <w:tcW w:w="858" w:type="pct"/>
            <w:tcBorders>
              <w:top w:val="nil"/>
              <w:left w:val="single" w:sz="4" w:space="0" w:color="auto"/>
              <w:bottom w:val="single" w:sz="4" w:space="0" w:color="auto"/>
              <w:right w:val="single" w:sz="4" w:space="0" w:color="auto"/>
            </w:tcBorders>
          </w:tcPr>
          <w:p w14:paraId="7F74EB2C" w14:textId="77777777" w:rsidR="00A940F6" w:rsidRPr="000D3AF3" w:rsidRDefault="00A940F6" w:rsidP="00750019">
            <w:pPr>
              <w:pStyle w:val="Tablecentre"/>
              <w:rPr>
                <w:rFonts w:ascii="Arial Narrow" w:hAnsi="Arial Narrow"/>
              </w:rPr>
            </w:pPr>
            <w:r w:rsidRPr="000D3AF3">
              <w:rPr>
                <w:rFonts w:ascii="Arial Narrow" w:hAnsi="Arial Narrow"/>
              </w:rPr>
              <w:t>5 (15.6)</w:t>
            </w:r>
          </w:p>
        </w:tc>
      </w:tr>
      <w:tr w:rsidR="00A940F6" w:rsidRPr="000D3AF3" w14:paraId="06B6C842" w14:textId="77777777" w:rsidTr="00750019">
        <w:trPr>
          <w:trHeight w:val="238"/>
        </w:trPr>
        <w:tc>
          <w:tcPr>
            <w:tcW w:w="1569" w:type="pct"/>
            <w:tcBorders>
              <w:top w:val="single" w:sz="4" w:space="0" w:color="auto"/>
              <w:left w:val="single" w:sz="4" w:space="0" w:color="auto"/>
              <w:bottom w:val="single" w:sz="4" w:space="0" w:color="auto"/>
              <w:right w:val="single" w:sz="4" w:space="0" w:color="auto"/>
            </w:tcBorders>
          </w:tcPr>
          <w:p w14:paraId="1075BBFD" w14:textId="77777777" w:rsidR="00A940F6" w:rsidRPr="000D3AF3" w:rsidRDefault="00A940F6" w:rsidP="00750019">
            <w:pPr>
              <w:pStyle w:val="Tabletext0"/>
              <w:rPr>
                <w:rFonts w:ascii="Arial Narrow" w:hAnsi="Arial Narrow"/>
              </w:rPr>
            </w:pPr>
            <w:r w:rsidRPr="000D3AF3">
              <w:rPr>
                <w:rFonts w:ascii="Arial Narrow" w:hAnsi="Arial Narrow"/>
              </w:rPr>
              <w:t>Minor cytogenic response</w:t>
            </w:r>
          </w:p>
        </w:tc>
        <w:tc>
          <w:tcPr>
            <w:tcW w:w="857" w:type="pct"/>
            <w:tcBorders>
              <w:top w:val="single" w:sz="4" w:space="0" w:color="auto"/>
              <w:left w:val="single" w:sz="4" w:space="0" w:color="auto"/>
              <w:bottom w:val="single" w:sz="4" w:space="0" w:color="auto"/>
              <w:right w:val="single" w:sz="4" w:space="0" w:color="auto"/>
            </w:tcBorders>
          </w:tcPr>
          <w:p w14:paraId="0FB984D2" w14:textId="77777777" w:rsidR="00A940F6" w:rsidRPr="000D3AF3" w:rsidRDefault="00A940F6" w:rsidP="00750019">
            <w:pPr>
              <w:pStyle w:val="Tablecentre"/>
              <w:rPr>
                <w:rFonts w:ascii="Arial Narrow" w:hAnsi="Arial Narrow"/>
              </w:rPr>
            </w:pPr>
            <w:r w:rsidRPr="000D3AF3">
              <w:rPr>
                <w:rFonts w:ascii="Arial Narrow" w:hAnsi="Arial Narrow"/>
              </w:rPr>
              <w:t>0</w:t>
            </w:r>
          </w:p>
        </w:tc>
        <w:tc>
          <w:tcPr>
            <w:tcW w:w="858" w:type="pct"/>
            <w:tcBorders>
              <w:top w:val="single" w:sz="4" w:space="0" w:color="auto"/>
              <w:left w:val="single" w:sz="4" w:space="0" w:color="auto"/>
              <w:bottom w:val="single" w:sz="4" w:space="0" w:color="auto"/>
              <w:right w:val="single" w:sz="4" w:space="0" w:color="auto"/>
            </w:tcBorders>
          </w:tcPr>
          <w:p w14:paraId="5B2930B2" w14:textId="77777777" w:rsidR="00A940F6" w:rsidRPr="000D3AF3" w:rsidRDefault="00A940F6" w:rsidP="00750019">
            <w:pPr>
              <w:pStyle w:val="Tablecentre"/>
              <w:rPr>
                <w:rFonts w:ascii="Arial Narrow" w:hAnsi="Arial Narrow"/>
              </w:rPr>
            </w:pPr>
            <w:r w:rsidRPr="000D3AF3">
              <w:rPr>
                <w:rFonts w:ascii="Arial Narrow" w:hAnsi="Arial Narrow"/>
              </w:rPr>
              <w:t>0</w:t>
            </w:r>
          </w:p>
        </w:tc>
        <w:tc>
          <w:tcPr>
            <w:tcW w:w="858" w:type="pct"/>
            <w:tcBorders>
              <w:top w:val="single" w:sz="4" w:space="0" w:color="auto"/>
              <w:left w:val="single" w:sz="4" w:space="0" w:color="auto"/>
              <w:bottom w:val="single" w:sz="4" w:space="0" w:color="auto"/>
              <w:right w:val="single" w:sz="4" w:space="0" w:color="auto"/>
            </w:tcBorders>
          </w:tcPr>
          <w:p w14:paraId="563E16A5" w14:textId="77777777" w:rsidR="00A940F6" w:rsidRPr="000D3AF3" w:rsidRDefault="00A940F6" w:rsidP="00750019">
            <w:pPr>
              <w:pStyle w:val="Tablecentre"/>
              <w:rPr>
                <w:rFonts w:ascii="Arial Narrow" w:hAnsi="Arial Narrow"/>
              </w:rPr>
            </w:pPr>
            <w:r w:rsidRPr="000D3AF3">
              <w:rPr>
                <w:rFonts w:ascii="Arial Narrow" w:hAnsi="Arial Narrow"/>
              </w:rPr>
              <w:t>0</w:t>
            </w:r>
          </w:p>
        </w:tc>
        <w:tc>
          <w:tcPr>
            <w:tcW w:w="858" w:type="pct"/>
            <w:tcBorders>
              <w:top w:val="single" w:sz="4" w:space="0" w:color="auto"/>
              <w:left w:val="single" w:sz="4" w:space="0" w:color="auto"/>
              <w:bottom w:val="single" w:sz="4" w:space="0" w:color="auto"/>
              <w:right w:val="single" w:sz="4" w:space="0" w:color="auto"/>
            </w:tcBorders>
          </w:tcPr>
          <w:p w14:paraId="26F7AD0E" w14:textId="77777777" w:rsidR="00A940F6" w:rsidRPr="000D3AF3" w:rsidRDefault="00A940F6" w:rsidP="00750019">
            <w:pPr>
              <w:pStyle w:val="Tablecentre"/>
              <w:rPr>
                <w:rFonts w:ascii="Arial Narrow" w:hAnsi="Arial Narrow"/>
              </w:rPr>
            </w:pPr>
            <w:r w:rsidRPr="000D3AF3">
              <w:rPr>
                <w:rFonts w:ascii="Arial Narrow" w:hAnsi="Arial Narrow"/>
              </w:rPr>
              <w:t>0</w:t>
            </w:r>
          </w:p>
        </w:tc>
      </w:tr>
      <w:tr w:rsidR="00A940F6" w:rsidRPr="000D3AF3" w14:paraId="1885BAD3" w14:textId="77777777" w:rsidTr="00750019">
        <w:trPr>
          <w:trHeight w:val="238"/>
        </w:trPr>
        <w:tc>
          <w:tcPr>
            <w:tcW w:w="1569" w:type="pct"/>
            <w:tcBorders>
              <w:top w:val="single" w:sz="4" w:space="0" w:color="auto"/>
              <w:left w:val="single" w:sz="4" w:space="0" w:color="auto"/>
              <w:bottom w:val="single" w:sz="4" w:space="0" w:color="auto"/>
              <w:right w:val="single" w:sz="4" w:space="0" w:color="auto"/>
            </w:tcBorders>
          </w:tcPr>
          <w:p w14:paraId="2D2D3B1C" w14:textId="77777777" w:rsidR="00A940F6" w:rsidRPr="000D3AF3" w:rsidRDefault="00A940F6" w:rsidP="00750019">
            <w:pPr>
              <w:pStyle w:val="Tabletext0"/>
              <w:rPr>
                <w:rFonts w:ascii="Arial Narrow" w:hAnsi="Arial Narrow"/>
              </w:rPr>
            </w:pPr>
            <w:r w:rsidRPr="000D3AF3">
              <w:rPr>
                <w:rFonts w:ascii="Arial Narrow" w:hAnsi="Arial Narrow"/>
              </w:rPr>
              <w:t>Minimal cytogenic response</w:t>
            </w:r>
          </w:p>
        </w:tc>
        <w:tc>
          <w:tcPr>
            <w:tcW w:w="857" w:type="pct"/>
            <w:tcBorders>
              <w:top w:val="single" w:sz="4" w:space="0" w:color="auto"/>
              <w:left w:val="single" w:sz="4" w:space="0" w:color="auto"/>
              <w:bottom w:val="single" w:sz="4" w:space="0" w:color="auto"/>
              <w:right w:val="single" w:sz="4" w:space="0" w:color="auto"/>
            </w:tcBorders>
          </w:tcPr>
          <w:p w14:paraId="3B415E50" w14:textId="77777777" w:rsidR="00A940F6" w:rsidRPr="000D3AF3" w:rsidRDefault="00A940F6" w:rsidP="00750019">
            <w:pPr>
              <w:pStyle w:val="Tablecentre"/>
              <w:rPr>
                <w:rFonts w:ascii="Arial Narrow" w:hAnsi="Arial Narrow"/>
              </w:rPr>
            </w:pPr>
            <w:r w:rsidRPr="000D3AF3">
              <w:rPr>
                <w:rFonts w:ascii="Arial Narrow" w:hAnsi="Arial Narrow"/>
              </w:rPr>
              <w:t>1 (3.1)</w:t>
            </w:r>
          </w:p>
        </w:tc>
        <w:tc>
          <w:tcPr>
            <w:tcW w:w="858" w:type="pct"/>
            <w:tcBorders>
              <w:top w:val="single" w:sz="4" w:space="0" w:color="auto"/>
              <w:left w:val="single" w:sz="4" w:space="0" w:color="auto"/>
              <w:bottom w:val="single" w:sz="4" w:space="0" w:color="auto"/>
              <w:right w:val="single" w:sz="4" w:space="0" w:color="auto"/>
            </w:tcBorders>
          </w:tcPr>
          <w:p w14:paraId="55CC054B" w14:textId="77777777" w:rsidR="00A940F6" w:rsidRPr="000D3AF3" w:rsidRDefault="00A940F6" w:rsidP="00750019">
            <w:pPr>
              <w:pStyle w:val="Tablecentre"/>
              <w:rPr>
                <w:rFonts w:ascii="Arial Narrow" w:hAnsi="Arial Narrow"/>
              </w:rPr>
            </w:pPr>
            <w:r w:rsidRPr="000D3AF3">
              <w:rPr>
                <w:rFonts w:ascii="Arial Narrow" w:hAnsi="Arial Narrow"/>
              </w:rPr>
              <w:t>1 (3.1)</w:t>
            </w:r>
          </w:p>
        </w:tc>
        <w:tc>
          <w:tcPr>
            <w:tcW w:w="858" w:type="pct"/>
            <w:tcBorders>
              <w:top w:val="single" w:sz="4" w:space="0" w:color="auto"/>
              <w:left w:val="single" w:sz="4" w:space="0" w:color="auto"/>
              <w:bottom w:val="single" w:sz="4" w:space="0" w:color="auto"/>
              <w:right w:val="single" w:sz="4" w:space="0" w:color="auto"/>
            </w:tcBorders>
          </w:tcPr>
          <w:p w14:paraId="0EF3ED1C" w14:textId="77777777" w:rsidR="00A940F6" w:rsidRPr="000D3AF3" w:rsidRDefault="00A940F6" w:rsidP="00750019">
            <w:pPr>
              <w:pStyle w:val="Tablecentre"/>
              <w:rPr>
                <w:rFonts w:ascii="Arial Narrow" w:hAnsi="Arial Narrow"/>
              </w:rPr>
            </w:pPr>
            <w:r w:rsidRPr="000D3AF3">
              <w:rPr>
                <w:rFonts w:ascii="Arial Narrow" w:hAnsi="Arial Narrow"/>
              </w:rPr>
              <w:t>2 (6.3)</w:t>
            </w:r>
          </w:p>
        </w:tc>
        <w:tc>
          <w:tcPr>
            <w:tcW w:w="858" w:type="pct"/>
            <w:tcBorders>
              <w:top w:val="single" w:sz="4" w:space="0" w:color="auto"/>
              <w:left w:val="single" w:sz="4" w:space="0" w:color="auto"/>
              <w:bottom w:val="single" w:sz="4" w:space="0" w:color="auto"/>
              <w:right w:val="single" w:sz="4" w:space="0" w:color="auto"/>
            </w:tcBorders>
          </w:tcPr>
          <w:p w14:paraId="3EDBFD00" w14:textId="77777777" w:rsidR="00A940F6" w:rsidRPr="000D3AF3" w:rsidRDefault="00A940F6" w:rsidP="00750019">
            <w:pPr>
              <w:pStyle w:val="Tablecentre"/>
              <w:rPr>
                <w:rFonts w:ascii="Arial Narrow" w:hAnsi="Arial Narrow"/>
              </w:rPr>
            </w:pPr>
            <w:r w:rsidRPr="000D3AF3">
              <w:rPr>
                <w:rFonts w:ascii="Arial Narrow" w:hAnsi="Arial Narrow"/>
              </w:rPr>
              <w:t>2 (6.3)</w:t>
            </w:r>
          </w:p>
        </w:tc>
      </w:tr>
      <w:tr w:rsidR="00A940F6" w:rsidRPr="000D3AF3" w14:paraId="5B386EB7" w14:textId="77777777" w:rsidTr="00750019">
        <w:trPr>
          <w:trHeight w:val="238"/>
        </w:trPr>
        <w:tc>
          <w:tcPr>
            <w:tcW w:w="1569" w:type="pct"/>
            <w:tcBorders>
              <w:top w:val="single" w:sz="4" w:space="0" w:color="auto"/>
              <w:left w:val="single" w:sz="4" w:space="0" w:color="auto"/>
              <w:bottom w:val="single" w:sz="4" w:space="0" w:color="auto"/>
              <w:right w:val="single" w:sz="4" w:space="0" w:color="auto"/>
            </w:tcBorders>
          </w:tcPr>
          <w:p w14:paraId="5D5CF19D" w14:textId="77777777" w:rsidR="00A940F6" w:rsidRPr="000D3AF3" w:rsidRDefault="00A940F6" w:rsidP="00750019">
            <w:pPr>
              <w:pStyle w:val="Tabletext0"/>
              <w:rPr>
                <w:rFonts w:ascii="Arial Narrow" w:hAnsi="Arial Narrow"/>
              </w:rPr>
            </w:pPr>
            <w:r w:rsidRPr="000D3AF3">
              <w:rPr>
                <w:rFonts w:ascii="Arial Narrow" w:hAnsi="Arial Narrow"/>
              </w:rPr>
              <w:t>No cytogenic response</w:t>
            </w:r>
          </w:p>
        </w:tc>
        <w:tc>
          <w:tcPr>
            <w:tcW w:w="857" w:type="pct"/>
            <w:tcBorders>
              <w:top w:val="single" w:sz="4" w:space="0" w:color="auto"/>
              <w:left w:val="single" w:sz="4" w:space="0" w:color="auto"/>
              <w:bottom w:val="single" w:sz="4" w:space="0" w:color="auto"/>
              <w:right w:val="single" w:sz="4" w:space="0" w:color="auto"/>
            </w:tcBorders>
          </w:tcPr>
          <w:p w14:paraId="51AE0061" w14:textId="77777777" w:rsidR="00A940F6" w:rsidRPr="000D3AF3" w:rsidRDefault="00A940F6" w:rsidP="00750019">
            <w:pPr>
              <w:pStyle w:val="Tablecentre"/>
              <w:rPr>
                <w:rFonts w:ascii="Arial Narrow" w:hAnsi="Arial Narrow"/>
              </w:rPr>
            </w:pPr>
            <w:r w:rsidRPr="000D3AF3">
              <w:rPr>
                <w:rFonts w:ascii="Arial Narrow" w:hAnsi="Arial Narrow"/>
              </w:rPr>
              <w:t>3 (9.4)</w:t>
            </w:r>
          </w:p>
        </w:tc>
        <w:tc>
          <w:tcPr>
            <w:tcW w:w="858" w:type="pct"/>
            <w:tcBorders>
              <w:top w:val="single" w:sz="4" w:space="0" w:color="auto"/>
              <w:left w:val="single" w:sz="4" w:space="0" w:color="auto"/>
              <w:bottom w:val="single" w:sz="4" w:space="0" w:color="auto"/>
              <w:right w:val="single" w:sz="4" w:space="0" w:color="auto"/>
            </w:tcBorders>
          </w:tcPr>
          <w:p w14:paraId="1B517C1B" w14:textId="77777777" w:rsidR="00A940F6" w:rsidRPr="000D3AF3" w:rsidRDefault="00A940F6" w:rsidP="00750019">
            <w:pPr>
              <w:pStyle w:val="Tablecentre"/>
              <w:rPr>
                <w:rFonts w:ascii="Arial Narrow" w:hAnsi="Arial Narrow"/>
              </w:rPr>
            </w:pPr>
            <w:r w:rsidRPr="000D3AF3">
              <w:rPr>
                <w:rFonts w:ascii="Arial Narrow" w:hAnsi="Arial Narrow"/>
              </w:rPr>
              <w:t>3 (9.4)</w:t>
            </w:r>
          </w:p>
        </w:tc>
        <w:tc>
          <w:tcPr>
            <w:tcW w:w="858" w:type="pct"/>
            <w:tcBorders>
              <w:top w:val="single" w:sz="4" w:space="0" w:color="auto"/>
              <w:left w:val="single" w:sz="4" w:space="0" w:color="auto"/>
              <w:bottom w:val="single" w:sz="4" w:space="0" w:color="auto"/>
              <w:right w:val="single" w:sz="4" w:space="0" w:color="auto"/>
            </w:tcBorders>
          </w:tcPr>
          <w:p w14:paraId="2012DCBF" w14:textId="77777777" w:rsidR="00A940F6" w:rsidRPr="000D3AF3" w:rsidRDefault="00A940F6" w:rsidP="00750019">
            <w:pPr>
              <w:pStyle w:val="Tablecentre"/>
              <w:rPr>
                <w:rFonts w:ascii="Arial Narrow" w:hAnsi="Arial Narrow"/>
              </w:rPr>
            </w:pPr>
            <w:r w:rsidRPr="000D3AF3">
              <w:rPr>
                <w:rFonts w:ascii="Arial Narrow" w:hAnsi="Arial Narrow"/>
              </w:rPr>
              <w:t>3 (9.4)</w:t>
            </w:r>
          </w:p>
        </w:tc>
        <w:tc>
          <w:tcPr>
            <w:tcW w:w="858" w:type="pct"/>
            <w:tcBorders>
              <w:top w:val="single" w:sz="4" w:space="0" w:color="auto"/>
              <w:left w:val="single" w:sz="4" w:space="0" w:color="auto"/>
              <w:bottom w:val="single" w:sz="4" w:space="0" w:color="auto"/>
              <w:right w:val="single" w:sz="4" w:space="0" w:color="auto"/>
            </w:tcBorders>
          </w:tcPr>
          <w:p w14:paraId="0EAB4310" w14:textId="77777777" w:rsidR="00A940F6" w:rsidRPr="000D3AF3" w:rsidRDefault="00A940F6" w:rsidP="00750019">
            <w:pPr>
              <w:pStyle w:val="Tablecentre"/>
              <w:rPr>
                <w:rFonts w:ascii="Arial Narrow" w:hAnsi="Arial Narrow"/>
              </w:rPr>
            </w:pPr>
            <w:r w:rsidRPr="000D3AF3">
              <w:rPr>
                <w:rFonts w:ascii="Arial Narrow" w:hAnsi="Arial Narrow"/>
              </w:rPr>
              <w:t>3 (9.4)</w:t>
            </w:r>
          </w:p>
        </w:tc>
      </w:tr>
      <w:tr w:rsidR="00A940F6" w:rsidRPr="000D3AF3" w14:paraId="25561BF9" w14:textId="77777777" w:rsidTr="00750019">
        <w:trPr>
          <w:trHeight w:val="238"/>
        </w:trPr>
        <w:tc>
          <w:tcPr>
            <w:tcW w:w="1569" w:type="pct"/>
            <w:tcBorders>
              <w:top w:val="single" w:sz="4" w:space="0" w:color="auto"/>
              <w:left w:val="single" w:sz="4" w:space="0" w:color="auto"/>
              <w:bottom w:val="double" w:sz="4" w:space="0" w:color="auto"/>
              <w:right w:val="single" w:sz="4" w:space="0" w:color="auto"/>
            </w:tcBorders>
          </w:tcPr>
          <w:p w14:paraId="1EFC3B46" w14:textId="77777777" w:rsidR="00A940F6" w:rsidRPr="000D3AF3" w:rsidRDefault="00A940F6" w:rsidP="00750019">
            <w:pPr>
              <w:pStyle w:val="Tabletext0"/>
              <w:rPr>
                <w:rFonts w:ascii="Arial Narrow" w:hAnsi="Arial Narrow"/>
              </w:rPr>
            </w:pPr>
            <w:r w:rsidRPr="000D3AF3">
              <w:rPr>
                <w:rFonts w:ascii="Arial Narrow" w:hAnsi="Arial Narrow"/>
              </w:rPr>
              <w:t>Missing</w:t>
            </w:r>
          </w:p>
        </w:tc>
        <w:tc>
          <w:tcPr>
            <w:tcW w:w="857" w:type="pct"/>
            <w:tcBorders>
              <w:top w:val="single" w:sz="4" w:space="0" w:color="auto"/>
              <w:left w:val="single" w:sz="4" w:space="0" w:color="auto"/>
              <w:bottom w:val="double" w:sz="4" w:space="0" w:color="auto"/>
              <w:right w:val="single" w:sz="4" w:space="0" w:color="auto"/>
            </w:tcBorders>
          </w:tcPr>
          <w:p w14:paraId="4D7AA945" w14:textId="77777777" w:rsidR="00A940F6" w:rsidRPr="000D3AF3" w:rsidRDefault="00A940F6" w:rsidP="00750019">
            <w:pPr>
              <w:pStyle w:val="Tablecentre"/>
              <w:rPr>
                <w:rFonts w:ascii="Arial Narrow" w:hAnsi="Arial Narrow"/>
              </w:rPr>
            </w:pPr>
            <w:r w:rsidRPr="000D3AF3">
              <w:rPr>
                <w:rFonts w:ascii="Arial Narrow" w:hAnsi="Arial Narrow"/>
              </w:rPr>
              <w:t>11 (34.4)</w:t>
            </w:r>
          </w:p>
        </w:tc>
        <w:tc>
          <w:tcPr>
            <w:tcW w:w="858" w:type="pct"/>
            <w:tcBorders>
              <w:top w:val="single" w:sz="4" w:space="0" w:color="auto"/>
              <w:left w:val="single" w:sz="4" w:space="0" w:color="auto"/>
              <w:bottom w:val="double" w:sz="4" w:space="0" w:color="auto"/>
              <w:right w:val="single" w:sz="4" w:space="0" w:color="auto"/>
            </w:tcBorders>
          </w:tcPr>
          <w:p w14:paraId="75BCA8C9" w14:textId="77777777" w:rsidR="00A940F6" w:rsidRPr="000D3AF3" w:rsidRDefault="00A940F6" w:rsidP="00750019">
            <w:pPr>
              <w:pStyle w:val="Tablecentre"/>
              <w:rPr>
                <w:rFonts w:ascii="Arial Narrow" w:hAnsi="Arial Narrow"/>
              </w:rPr>
            </w:pPr>
            <w:r w:rsidRPr="000D3AF3">
              <w:rPr>
                <w:rFonts w:ascii="Arial Narrow" w:hAnsi="Arial Narrow"/>
              </w:rPr>
              <w:t>11 (34.4)</w:t>
            </w:r>
          </w:p>
        </w:tc>
        <w:tc>
          <w:tcPr>
            <w:tcW w:w="858" w:type="pct"/>
            <w:tcBorders>
              <w:top w:val="single" w:sz="4" w:space="0" w:color="auto"/>
              <w:left w:val="single" w:sz="4" w:space="0" w:color="auto"/>
              <w:bottom w:val="double" w:sz="4" w:space="0" w:color="auto"/>
              <w:right w:val="single" w:sz="4" w:space="0" w:color="auto"/>
            </w:tcBorders>
          </w:tcPr>
          <w:p w14:paraId="61A4165C" w14:textId="77777777" w:rsidR="00A940F6" w:rsidRPr="000D3AF3" w:rsidRDefault="00A940F6" w:rsidP="00750019">
            <w:pPr>
              <w:pStyle w:val="Tablecentre"/>
              <w:rPr>
                <w:rFonts w:ascii="Arial Narrow" w:hAnsi="Arial Narrow"/>
              </w:rPr>
            </w:pPr>
            <w:r w:rsidRPr="000D3AF3">
              <w:rPr>
                <w:rFonts w:ascii="Arial Narrow" w:hAnsi="Arial Narrow"/>
              </w:rPr>
              <w:t>10 (31.3)</w:t>
            </w:r>
          </w:p>
        </w:tc>
        <w:tc>
          <w:tcPr>
            <w:tcW w:w="858" w:type="pct"/>
            <w:tcBorders>
              <w:top w:val="single" w:sz="4" w:space="0" w:color="auto"/>
              <w:left w:val="single" w:sz="4" w:space="0" w:color="auto"/>
              <w:bottom w:val="double" w:sz="4" w:space="0" w:color="auto"/>
              <w:right w:val="single" w:sz="4" w:space="0" w:color="auto"/>
            </w:tcBorders>
          </w:tcPr>
          <w:p w14:paraId="6EFAC4A0" w14:textId="77777777" w:rsidR="00A940F6" w:rsidRPr="000D3AF3" w:rsidRDefault="00A940F6" w:rsidP="00750019">
            <w:pPr>
              <w:pStyle w:val="Tablecentre"/>
              <w:rPr>
                <w:rFonts w:ascii="Arial Narrow" w:hAnsi="Arial Narrow"/>
              </w:rPr>
            </w:pPr>
            <w:r w:rsidRPr="000D3AF3">
              <w:rPr>
                <w:rFonts w:ascii="Arial Narrow" w:hAnsi="Arial Narrow"/>
              </w:rPr>
              <w:t>9 (28.1)</w:t>
            </w:r>
          </w:p>
        </w:tc>
      </w:tr>
      <w:tr w:rsidR="00A940F6" w:rsidRPr="000D3AF3" w14:paraId="5D9D8BBC" w14:textId="77777777" w:rsidTr="00750019">
        <w:trPr>
          <w:trHeight w:val="238"/>
        </w:trPr>
        <w:tc>
          <w:tcPr>
            <w:tcW w:w="1569" w:type="pct"/>
            <w:tcBorders>
              <w:top w:val="double" w:sz="4" w:space="0" w:color="auto"/>
              <w:left w:val="single" w:sz="4" w:space="0" w:color="auto"/>
              <w:bottom w:val="single" w:sz="4" w:space="0" w:color="auto"/>
              <w:right w:val="single" w:sz="4" w:space="0" w:color="auto"/>
            </w:tcBorders>
          </w:tcPr>
          <w:p w14:paraId="737BDE05" w14:textId="77777777" w:rsidR="00A940F6" w:rsidRPr="000D3AF3" w:rsidRDefault="00A940F6" w:rsidP="00750019">
            <w:pPr>
              <w:pStyle w:val="Tabletext0"/>
              <w:rPr>
                <w:rFonts w:ascii="Arial Narrow" w:hAnsi="Arial Narrow"/>
              </w:rPr>
            </w:pPr>
            <w:r w:rsidRPr="000D3AF3">
              <w:rPr>
                <w:rFonts w:ascii="Arial Narrow" w:hAnsi="Arial Narrow"/>
              </w:rPr>
              <w:t>CCyR as a proportion of patients with non-missing data</w:t>
            </w:r>
          </w:p>
        </w:tc>
        <w:tc>
          <w:tcPr>
            <w:tcW w:w="857" w:type="pct"/>
            <w:tcBorders>
              <w:top w:val="double" w:sz="4" w:space="0" w:color="auto"/>
              <w:left w:val="single" w:sz="4" w:space="0" w:color="auto"/>
              <w:bottom w:val="single" w:sz="4" w:space="0" w:color="auto"/>
              <w:right w:val="single" w:sz="4" w:space="0" w:color="auto"/>
            </w:tcBorders>
          </w:tcPr>
          <w:p w14:paraId="7201595A" w14:textId="77777777" w:rsidR="00A940F6" w:rsidRPr="000D3AF3" w:rsidRDefault="00A940F6" w:rsidP="00750019">
            <w:pPr>
              <w:pStyle w:val="Tablecentre"/>
              <w:rPr>
                <w:rFonts w:ascii="Arial Narrow" w:hAnsi="Arial Narrow"/>
              </w:rPr>
            </w:pPr>
            <w:r w:rsidRPr="000D3AF3">
              <w:rPr>
                <w:rFonts w:ascii="Arial Narrow" w:hAnsi="Arial Narrow"/>
              </w:rPr>
              <w:t>n = 21</w:t>
            </w:r>
          </w:p>
          <w:p w14:paraId="38CDD57F" w14:textId="77777777" w:rsidR="00A940F6" w:rsidRPr="000D3AF3" w:rsidRDefault="00A940F6" w:rsidP="00750019">
            <w:pPr>
              <w:pStyle w:val="Tablecentre"/>
              <w:rPr>
                <w:rFonts w:ascii="Arial Narrow" w:hAnsi="Arial Narrow"/>
              </w:rPr>
            </w:pPr>
            <w:r w:rsidRPr="000D3AF3">
              <w:rPr>
                <w:rFonts w:ascii="Arial Narrow" w:hAnsi="Arial Narrow"/>
              </w:rPr>
              <w:t>10 (47.6)</w:t>
            </w:r>
          </w:p>
        </w:tc>
        <w:tc>
          <w:tcPr>
            <w:tcW w:w="858" w:type="pct"/>
            <w:tcBorders>
              <w:top w:val="double" w:sz="4" w:space="0" w:color="auto"/>
              <w:left w:val="single" w:sz="4" w:space="0" w:color="auto"/>
              <w:bottom w:val="single" w:sz="4" w:space="0" w:color="auto"/>
              <w:right w:val="single" w:sz="4" w:space="0" w:color="auto"/>
            </w:tcBorders>
          </w:tcPr>
          <w:p w14:paraId="4B843018" w14:textId="77777777" w:rsidR="00A940F6" w:rsidRPr="000D3AF3" w:rsidRDefault="00A940F6" w:rsidP="00750019">
            <w:pPr>
              <w:pStyle w:val="Tablecentre"/>
              <w:rPr>
                <w:rFonts w:ascii="Arial Narrow" w:hAnsi="Arial Narrow"/>
              </w:rPr>
            </w:pPr>
            <w:r w:rsidRPr="000D3AF3">
              <w:rPr>
                <w:rFonts w:ascii="Arial Narrow" w:hAnsi="Arial Narrow"/>
              </w:rPr>
              <w:t>n = 21</w:t>
            </w:r>
          </w:p>
          <w:p w14:paraId="2935E316" w14:textId="77777777" w:rsidR="00A940F6" w:rsidRPr="000D3AF3" w:rsidRDefault="00A940F6" w:rsidP="00750019">
            <w:pPr>
              <w:pStyle w:val="Tablecentre"/>
              <w:rPr>
                <w:rFonts w:ascii="Arial Narrow" w:hAnsi="Arial Narrow"/>
              </w:rPr>
            </w:pPr>
            <w:r w:rsidRPr="000D3AF3">
              <w:rPr>
                <w:rFonts w:ascii="Arial Narrow" w:hAnsi="Arial Narrow"/>
              </w:rPr>
              <w:t>12 (57.1)</w:t>
            </w:r>
          </w:p>
        </w:tc>
        <w:tc>
          <w:tcPr>
            <w:tcW w:w="858" w:type="pct"/>
            <w:tcBorders>
              <w:top w:val="double" w:sz="4" w:space="0" w:color="auto"/>
              <w:left w:val="single" w:sz="4" w:space="0" w:color="auto"/>
              <w:bottom w:val="single" w:sz="4" w:space="0" w:color="auto"/>
              <w:right w:val="single" w:sz="4" w:space="0" w:color="auto"/>
            </w:tcBorders>
          </w:tcPr>
          <w:p w14:paraId="135578B8" w14:textId="77777777" w:rsidR="00A940F6" w:rsidRPr="000D3AF3" w:rsidRDefault="00A940F6" w:rsidP="00750019">
            <w:pPr>
              <w:pStyle w:val="Tablecentre"/>
              <w:rPr>
                <w:rFonts w:ascii="Arial Narrow" w:hAnsi="Arial Narrow"/>
              </w:rPr>
            </w:pPr>
            <w:r w:rsidRPr="000D3AF3">
              <w:rPr>
                <w:rFonts w:ascii="Arial Narrow" w:hAnsi="Arial Narrow"/>
              </w:rPr>
              <w:t>n = 22</w:t>
            </w:r>
          </w:p>
          <w:p w14:paraId="5104E763" w14:textId="77777777" w:rsidR="00A940F6" w:rsidRPr="000D3AF3" w:rsidRDefault="00A940F6" w:rsidP="00750019">
            <w:pPr>
              <w:pStyle w:val="Tablecentre"/>
              <w:rPr>
                <w:rFonts w:ascii="Arial Narrow" w:hAnsi="Arial Narrow"/>
              </w:rPr>
            </w:pPr>
            <w:r w:rsidRPr="000D3AF3">
              <w:rPr>
                <w:rFonts w:ascii="Arial Narrow" w:hAnsi="Arial Narrow"/>
              </w:rPr>
              <w:t>12 (54.5)</w:t>
            </w:r>
          </w:p>
        </w:tc>
        <w:tc>
          <w:tcPr>
            <w:tcW w:w="858" w:type="pct"/>
            <w:tcBorders>
              <w:top w:val="double" w:sz="4" w:space="0" w:color="auto"/>
              <w:left w:val="single" w:sz="4" w:space="0" w:color="auto"/>
              <w:bottom w:val="single" w:sz="4" w:space="0" w:color="auto"/>
              <w:right w:val="single" w:sz="4" w:space="0" w:color="auto"/>
            </w:tcBorders>
          </w:tcPr>
          <w:p w14:paraId="442D91D0" w14:textId="77777777" w:rsidR="00A940F6" w:rsidRPr="000D3AF3" w:rsidRDefault="00A940F6" w:rsidP="00750019">
            <w:pPr>
              <w:pStyle w:val="Tablecentre"/>
              <w:rPr>
                <w:rFonts w:ascii="Arial Narrow" w:hAnsi="Arial Narrow"/>
              </w:rPr>
            </w:pPr>
            <w:r w:rsidRPr="000D3AF3">
              <w:rPr>
                <w:rFonts w:ascii="Arial Narrow" w:hAnsi="Arial Narrow"/>
              </w:rPr>
              <w:t>n = 23</w:t>
            </w:r>
          </w:p>
          <w:p w14:paraId="233FB207" w14:textId="77777777" w:rsidR="00A940F6" w:rsidRPr="000D3AF3" w:rsidRDefault="00A940F6" w:rsidP="00750019">
            <w:pPr>
              <w:pStyle w:val="Tablecentre"/>
              <w:rPr>
                <w:rFonts w:ascii="Arial Narrow" w:hAnsi="Arial Narrow"/>
              </w:rPr>
            </w:pPr>
            <w:r w:rsidRPr="000D3AF3">
              <w:rPr>
                <w:rFonts w:ascii="Arial Narrow" w:hAnsi="Arial Narrow"/>
              </w:rPr>
              <w:t>13 (56.5)</w:t>
            </w:r>
          </w:p>
        </w:tc>
      </w:tr>
    </w:tbl>
    <w:p w14:paraId="18339E9A" w14:textId="6B57A13B" w:rsidR="00A940F6" w:rsidRDefault="00A940F6" w:rsidP="006A2956">
      <w:pPr>
        <w:pStyle w:val="Tablefooter"/>
        <w:rPr>
          <w:rFonts w:ascii="Arial Narrow" w:hAnsi="Arial Narrow"/>
        </w:rPr>
      </w:pPr>
      <w:r w:rsidRPr="00FE4C22">
        <w:rPr>
          <w:rFonts w:ascii="Arial Narrow" w:hAnsi="Arial Narrow"/>
        </w:rPr>
        <w:t xml:space="preserve">Source: </w:t>
      </w:r>
      <w:r w:rsidR="00FE4C22" w:rsidRPr="00FE4C22">
        <w:rPr>
          <w:rFonts w:ascii="Arial Narrow" w:hAnsi="Arial Narrow"/>
        </w:rPr>
        <w:t xml:space="preserve">Resubmission Table 2-4; </w:t>
      </w:r>
      <w:r w:rsidRPr="00FE4C22">
        <w:rPr>
          <w:rFonts w:ascii="Arial Narrow" w:hAnsi="Arial Narrow"/>
        </w:rPr>
        <w:t>Appendix 4: X2101 CSR, p17, p216, Table 14.2-7.4, p1197-1203</w:t>
      </w:r>
      <w:r w:rsidR="00FE4C22" w:rsidRPr="00FE4C22">
        <w:rPr>
          <w:rFonts w:ascii="Arial Narrow" w:hAnsi="Arial Narrow"/>
        </w:rPr>
        <w:t>.</w:t>
      </w:r>
    </w:p>
    <w:p w14:paraId="651C0A7A" w14:textId="17300585" w:rsidR="00FE4C22" w:rsidRPr="00FE4C22" w:rsidRDefault="00406FB5" w:rsidP="00FE4C22">
      <w:pPr>
        <w:pStyle w:val="Tablefooter"/>
        <w:rPr>
          <w:rFonts w:ascii="Arial Narrow" w:hAnsi="Arial Narrow"/>
        </w:rPr>
      </w:pPr>
      <w:r w:rsidRPr="002441C7">
        <w:rPr>
          <w:rFonts w:ascii="Arial Narrow" w:hAnsi="Arial Narrow"/>
        </w:rPr>
        <w:t xml:space="preserve">CCyR </w:t>
      </w:r>
      <w:r>
        <w:rPr>
          <w:rFonts w:ascii="Arial Narrow" w:hAnsi="Arial Narrow"/>
        </w:rPr>
        <w:t xml:space="preserve">= </w:t>
      </w:r>
      <w:r w:rsidRPr="002441C7">
        <w:rPr>
          <w:rFonts w:ascii="Arial Narrow" w:hAnsi="Arial Narrow"/>
        </w:rPr>
        <w:t xml:space="preserve">complete cytogenetic </w:t>
      </w:r>
      <w:r w:rsidRPr="00CA3DA7">
        <w:rPr>
          <w:rFonts w:ascii="Arial Narrow" w:hAnsi="Arial Narrow"/>
        </w:rPr>
        <w:t xml:space="preserve">response; MCyR = </w:t>
      </w:r>
      <w:r w:rsidR="00CA3DA7" w:rsidRPr="00CA3DA7">
        <w:rPr>
          <w:rFonts w:ascii="Arial Narrow" w:hAnsi="Arial Narrow"/>
        </w:rPr>
        <w:t>major cytogenetic response</w:t>
      </w:r>
      <w:r w:rsidRPr="00CA3DA7">
        <w:rPr>
          <w:rFonts w:ascii="Arial Narrow" w:hAnsi="Arial Narrow"/>
        </w:rPr>
        <w:t xml:space="preserve">; PCyR = </w:t>
      </w:r>
      <w:r w:rsidR="00CA3DA7" w:rsidRPr="00CA3DA7">
        <w:rPr>
          <w:rFonts w:ascii="Arial Narrow" w:hAnsi="Arial Narrow"/>
        </w:rPr>
        <w:t>partial cytogenetic response</w:t>
      </w:r>
      <w:r w:rsidR="00FE4C22" w:rsidRPr="00CA3DA7">
        <w:rPr>
          <w:rFonts w:ascii="Arial Narrow" w:hAnsi="Arial Narrow"/>
        </w:rPr>
        <w:t>.</w:t>
      </w:r>
    </w:p>
    <w:p w14:paraId="40CF206F" w14:textId="77777777" w:rsidR="00FE4C22" w:rsidRPr="00A93F80" w:rsidRDefault="00FE4C22" w:rsidP="006A2956">
      <w:pPr>
        <w:pStyle w:val="Tablefooter"/>
      </w:pPr>
    </w:p>
    <w:p w14:paraId="455A817C" w14:textId="00F9985D" w:rsidR="00A940F6" w:rsidRPr="0039787B" w:rsidRDefault="00A940F6" w:rsidP="00D960B6">
      <w:pPr>
        <w:pStyle w:val="3-BodyText"/>
        <w:numPr>
          <w:ilvl w:val="0"/>
          <w:numId w:val="0"/>
        </w:numPr>
        <w:ind w:left="720" w:hanging="720"/>
        <w:rPr>
          <w:b/>
          <w:bCs/>
          <w:i/>
          <w:iCs/>
        </w:rPr>
      </w:pPr>
      <w:r w:rsidRPr="0039787B">
        <w:rPr>
          <w:b/>
          <w:bCs/>
          <w:i/>
          <w:iCs/>
        </w:rPr>
        <w:t>PACE</w:t>
      </w:r>
      <w:r w:rsidR="0039787B" w:rsidRPr="0039787B">
        <w:rPr>
          <w:b/>
          <w:bCs/>
          <w:i/>
          <w:iCs/>
        </w:rPr>
        <w:t xml:space="preserve"> trial</w:t>
      </w:r>
      <w:r w:rsidR="0039787B">
        <w:rPr>
          <w:b/>
          <w:bCs/>
          <w:i/>
          <w:iCs/>
        </w:rPr>
        <w:t xml:space="preserve"> (ponatinib)</w:t>
      </w:r>
    </w:p>
    <w:p w14:paraId="230A1ACC" w14:textId="7341A68C" w:rsidR="00A940F6" w:rsidRPr="00DD1C0A" w:rsidRDefault="00A940F6" w:rsidP="00D960B6">
      <w:pPr>
        <w:pStyle w:val="3-BodyText"/>
      </w:pPr>
      <w:r w:rsidRPr="00DD1C0A">
        <w:t>The results of</w:t>
      </w:r>
      <w:r w:rsidR="003D6834">
        <w:t xml:space="preserve"> the</w:t>
      </w:r>
      <w:r w:rsidRPr="00DD1C0A">
        <w:t xml:space="preserve"> PACE</w:t>
      </w:r>
      <w:r w:rsidR="003D6834">
        <w:t xml:space="preserve"> trial</w:t>
      </w:r>
      <w:r w:rsidRPr="00DD1C0A">
        <w:t xml:space="preserve"> were presented in full in the </w:t>
      </w:r>
      <w:r w:rsidR="00DD1C0A" w:rsidRPr="00DD1C0A">
        <w:t>July 2022</w:t>
      </w:r>
      <w:r w:rsidRPr="00DD1C0A">
        <w:t xml:space="preserve"> submission. The July 2022 submission focused on the resistant/intolerant cohort of PACE because 98% patients received at least two prior TKIs, which aligns with the population proposed in that submission</w:t>
      </w:r>
      <w:r w:rsidR="00DD1C0A" w:rsidRPr="00DD1C0A">
        <w:t xml:space="preserve"> (non-T315I mutation)</w:t>
      </w:r>
      <w:r w:rsidRPr="00DD1C0A">
        <w:t xml:space="preserve">. The clinical evaluation in </w:t>
      </w:r>
      <w:r w:rsidR="00DD1C0A" w:rsidRPr="00DD1C0A">
        <w:t>the</w:t>
      </w:r>
      <w:r w:rsidRPr="00DD1C0A">
        <w:t xml:space="preserve"> </w:t>
      </w:r>
      <w:r w:rsidR="00DD1C0A" w:rsidRPr="00DD1C0A">
        <w:t>re</w:t>
      </w:r>
      <w:r w:rsidRPr="00DD1C0A">
        <w:t>submission focus</w:t>
      </w:r>
      <w:r w:rsidR="00DD1C0A" w:rsidRPr="00DD1C0A">
        <w:t>ed</w:t>
      </w:r>
      <w:r w:rsidRPr="00DD1C0A">
        <w:t xml:space="preserve"> on the T315I</w:t>
      </w:r>
      <w:r w:rsidR="00DD1C0A" w:rsidRPr="00DD1C0A">
        <w:t xml:space="preserve"> mutation</w:t>
      </w:r>
      <w:r w:rsidRPr="00DD1C0A">
        <w:t xml:space="preserve"> cohort of</w:t>
      </w:r>
      <w:r w:rsidR="00DD1C0A" w:rsidRPr="00DD1C0A">
        <w:t xml:space="preserve"> the</w:t>
      </w:r>
      <w:r w:rsidRPr="00DD1C0A">
        <w:t xml:space="preserve"> PACE</w:t>
      </w:r>
      <w:r w:rsidR="00DD1C0A" w:rsidRPr="00DD1C0A">
        <w:t xml:space="preserve"> trial</w:t>
      </w:r>
      <w:r w:rsidRPr="00DD1C0A">
        <w:t xml:space="preserve">. </w:t>
      </w:r>
    </w:p>
    <w:p w14:paraId="45F7531E" w14:textId="64AC2C1F" w:rsidR="00A940F6" w:rsidRPr="003C482B" w:rsidRDefault="00A940F6" w:rsidP="00D960B6">
      <w:pPr>
        <w:pStyle w:val="3-BodyText"/>
      </w:pPr>
      <w:r w:rsidRPr="003C482B">
        <w:t>The cumulative MMR was a secondary efficacy outcome in</w:t>
      </w:r>
      <w:r w:rsidR="00DD1C0A" w:rsidRPr="003C482B">
        <w:t xml:space="preserve"> the</w:t>
      </w:r>
      <w:r w:rsidRPr="003C482B">
        <w:t xml:space="preserve"> PACE</w:t>
      </w:r>
      <w:r w:rsidR="00DD1C0A" w:rsidRPr="003C482B">
        <w:t xml:space="preserve"> trial</w:t>
      </w:r>
      <w:r w:rsidRPr="003C482B">
        <w:t xml:space="preserve"> and the results are presented for the T315I cohort in</w:t>
      </w:r>
      <w:r w:rsidR="003C482B" w:rsidRPr="003C482B">
        <w:rPr>
          <w:b/>
          <w:bCs/>
        </w:rPr>
        <w:t xml:space="preserve"> </w:t>
      </w:r>
      <w:r w:rsidR="003C482B" w:rsidRPr="003C482B">
        <w:rPr>
          <w:rFonts w:cstheme="minorHAnsi"/>
          <w:b/>
          <w:bCs/>
        </w:rPr>
        <w:fldChar w:fldCharType="begin" w:fldLock="1"/>
      </w:r>
      <w:r w:rsidR="003C482B" w:rsidRPr="003C482B">
        <w:rPr>
          <w:rFonts w:cstheme="minorHAnsi"/>
          <w:b/>
          <w:bCs/>
        </w:rPr>
        <w:instrText xml:space="preserve"> REF _Ref114495041 \h  \* MERGEFORMAT </w:instrText>
      </w:r>
      <w:r w:rsidR="003C482B" w:rsidRPr="003C482B">
        <w:rPr>
          <w:rFonts w:cstheme="minorHAnsi"/>
          <w:b/>
          <w:bCs/>
        </w:rPr>
      </w:r>
      <w:r w:rsidR="003C482B" w:rsidRPr="003C482B">
        <w:rPr>
          <w:rFonts w:cstheme="minorHAnsi"/>
          <w:b/>
          <w:bCs/>
        </w:rPr>
        <w:fldChar w:fldCharType="separate"/>
      </w:r>
      <w:r w:rsidR="00196FF1" w:rsidRPr="00196FF1">
        <w:rPr>
          <w:rFonts w:cstheme="minorHAnsi"/>
        </w:rPr>
        <w:t xml:space="preserve">Table </w:t>
      </w:r>
      <w:r w:rsidR="00196FF1" w:rsidRPr="00196FF1">
        <w:rPr>
          <w:rFonts w:cstheme="minorHAnsi"/>
          <w:noProof/>
        </w:rPr>
        <w:t>8</w:t>
      </w:r>
      <w:r w:rsidR="003C482B" w:rsidRPr="003C482B">
        <w:rPr>
          <w:rFonts w:cstheme="minorHAnsi"/>
          <w:b/>
          <w:bCs/>
        </w:rPr>
        <w:fldChar w:fldCharType="end"/>
      </w:r>
      <w:r w:rsidRPr="003C482B">
        <w:t xml:space="preserve">. At the primary analysis, 56% patients harbouring a T315I mutation had achieved an MMR by 12 months. This proportion increased to 58% patients at the 5-year analysis. </w:t>
      </w:r>
    </w:p>
    <w:p w14:paraId="3C3C8CB3" w14:textId="316F732A" w:rsidR="00A940F6" w:rsidRPr="00BA20C3" w:rsidRDefault="00BA20C3" w:rsidP="00BA20C3">
      <w:pPr>
        <w:pStyle w:val="Tableheading"/>
        <w:jc w:val="left"/>
        <w:rPr>
          <w:rFonts w:ascii="Arial Narrow" w:hAnsi="Arial Narrow"/>
        </w:rPr>
      </w:pPr>
      <w:bookmarkStart w:id="26" w:name="_Ref114495041"/>
      <w:bookmarkStart w:id="27" w:name="_Toc112315926"/>
      <w:r w:rsidRPr="003C482B">
        <w:rPr>
          <w:rFonts w:ascii="Arial Narrow" w:hAnsi="Arial Narrow"/>
        </w:rPr>
        <w:t xml:space="preserve">Table </w:t>
      </w:r>
      <w:r w:rsidRPr="003C482B">
        <w:rPr>
          <w:rFonts w:ascii="Arial Narrow" w:hAnsi="Arial Narrow"/>
        </w:rPr>
        <w:fldChar w:fldCharType="begin" w:fldLock="1"/>
      </w:r>
      <w:r w:rsidRPr="003C482B">
        <w:rPr>
          <w:rFonts w:ascii="Arial Narrow" w:hAnsi="Arial Narrow"/>
        </w:rPr>
        <w:instrText xml:space="preserve"> SEQ Table \* ARABIC </w:instrText>
      </w:r>
      <w:r w:rsidRPr="003C482B">
        <w:rPr>
          <w:rFonts w:ascii="Arial Narrow" w:hAnsi="Arial Narrow"/>
        </w:rPr>
        <w:fldChar w:fldCharType="separate"/>
      </w:r>
      <w:r w:rsidR="00100F00">
        <w:rPr>
          <w:rFonts w:ascii="Arial Narrow" w:hAnsi="Arial Narrow"/>
          <w:noProof/>
        </w:rPr>
        <w:t>8</w:t>
      </w:r>
      <w:r w:rsidRPr="003C482B">
        <w:rPr>
          <w:rFonts w:ascii="Arial Narrow" w:hAnsi="Arial Narrow"/>
        </w:rPr>
        <w:fldChar w:fldCharType="end"/>
      </w:r>
      <w:bookmarkEnd w:id="26"/>
      <w:r w:rsidRPr="003C482B">
        <w:rPr>
          <w:rFonts w:ascii="Arial Narrow" w:hAnsi="Arial Narrow"/>
        </w:rPr>
        <w:t xml:space="preserve">: </w:t>
      </w:r>
      <w:r w:rsidR="00A940F6" w:rsidRPr="003C482B">
        <w:rPr>
          <w:rFonts w:ascii="Arial Narrow" w:hAnsi="Arial Narrow"/>
        </w:rPr>
        <w:t>Cumulative MMR rates</w:t>
      </w:r>
      <w:r w:rsidR="00F34D6A">
        <w:rPr>
          <w:rFonts w:ascii="Arial Narrow" w:hAnsi="Arial Narrow"/>
        </w:rPr>
        <w:t xml:space="preserve"> in the</w:t>
      </w:r>
      <w:r w:rsidR="00A940F6" w:rsidRPr="003C482B">
        <w:rPr>
          <w:rFonts w:ascii="Arial Narrow" w:hAnsi="Arial Narrow"/>
        </w:rPr>
        <w:t xml:space="preserve"> PACE</w:t>
      </w:r>
      <w:bookmarkEnd w:id="27"/>
      <w:r w:rsidR="00F34D6A">
        <w:rPr>
          <w:rFonts w:ascii="Arial Narrow" w:hAnsi="Arial Narrow"/>
        </w:rPr>
        <w:t xml:space="preserve"> trial</w:t>
      </w:r>
    </w:p>
    <w:tbl>
      <w:tblPr>
        <w:tblStyle w:val="TableGrid"/>
        <w:tblW w:w="5000" w:type="pct"/>
        <w:tblLook w:val="04A0" w:firstRow="1" w:lastRow="0" w:firstColumn="1" w:lastColumn="0" w:noHBand="0" w:noVBand="1"/>
        <w:tblCaption w:val="Table 8: Cumulative MMR rates in the PACE trial"/>
      </w:tblPr>
      <w:tblGrid>
        <w:gridCol w:w="5215"/>
        <w:gridCol w:w="3801"/>
      </w:tblGrid>
      <w:tr w:rsidR="00A940F6" w:rsidRPr="003C482B" w14:paraId="26809586" w14:textId="77777777" w:rsidTr="00750019">
        <w:tc>
          <w:tcPr>
            <w:tcW w:w="2892" w:type="pct"/>
            <w:tcBorders>
              <w:bottom w:val="nil"/>
            </w:tcBorders>
            <w:shd w:val="clear" w:color="auto" w:fill="F2F2F2"/>
          </w:tcPr>
          <w:p w14:paraId="79EE90F5" w14:textId="07516DDD" w:rsidR="00A940F6" w:rsidRPr="003C482B" w:rsidRDefault="00A940F6" w:rsidP="00750019">
            <w:pPr>
              <w:pStyle w:val="Tableheading"/>
              <w:rPr>
                <w:rFonts w:ascii="Arial Narrow" w:hAnsi="Arial Narrow"/>
              </w:rPr>
            </w:pPr>
            <w:r w:rsidRPr="003C482B">
              <w:rPr>
                <w:rFonts w:ascii="Arial Narrow" w:hAnsi="Arial Narrow"/>
              </w:rPr>
              <w:t>Proportion of patients</w:t>
            </w:r>
          </w:p>
        </w:tc>
        <w:tc>
          <w:tcPr>
            <w:tcW w:w="2108" w:type="pct"/>
            <w:tcBorders>
              <w:bottom w:val="nil"/>
            </w:tcBorders>
            <w:shd w:val="clear" w:color="auto" w:fill="F2F2F2"/>
          </w:tcPr>
          <w:p w14:paraId="503BF05A" w14:textId="77777777" w:rsidR="00A940F6" w:rsidRPr="003C482B" w:rsidRDefault="00A940F6" w:rsidP="00750019">
            <w:pPr>
              <w:pStyle w:val="Tableheading"/>
              <w:rPr>
                <w:rFonts w:ascii="Arial Narrow" w:hAnsi="Arial Narrow"/>
              </w:rPr>
            </w:pPr>
            <w:r w:rsidRPr="003C482B">
              <w:rPr>
                <w:rFonts w:ascii="Arial Narrow" w:hAnsi="Arial Narrow"/>
              </w:rPr>
              <w:t>T315I cohort</w:t>
            </w:r>
          </w:p>
        </w:tc>
      </w:tr>
      <w:tr w:rsidR="00A940F6" w:rsidRPr="003C482B" w14:paraId="62548CD4" w14:textId="77777777" w:rsidTr="00750019">
        <w:tc>
          <w:tcPr>
            <w:tcW w:w="2892" w:type="pct"/>
            <w:tcBorders>
              <w:top w:val="nil"/>
              <w:bottom w:val="single" w:sz="4" w:space="0" w:color="auto"/>
            </w:tcBorders>
            <w:shd w:val="clear" w:color="auto" w:fill="F2F2F2"/>
          </w:tcPr>
          <w:p w14:paraId="2DF4ED94" w14:textId="77777777" w:rsidR="00A940F6" w:rsidRPr="003C482B" w:rsidRDefault="00A940F6" w:rsidP="00750019">
            <w:pPr>
              <w:pStyle w:val="Tableheading"/>
              <w:rPr>
                <w:rFonts w:ascii="Arial Narrow" w:hAnsi="Arial Narrow"/>
              </w:rPr>
            </w:pPr>
          </w:p>
        </w:tc>
        <w:tc>
          <w:tcPr>
            <w:tcW w:w="2108" w:type="pct"/>
            <w:tcBorders>
              <w:top w:val="nil"/>
              <w:bottom w:val="single" w:sz="4" w:space="0" w:color="auto"/>
            </w:tcBorders>
            <w:shd w:val="clear" w:color="auto" w:fill="F2F2F2"/>
          </w:tcPr>
          <w:p w14:paraId="1865BBFD" w14:textId="77777777" w:rsidR="00A940F6" w:rsidRPr="003C482B" w:rsidRDefault="00A940F6" w:rsidP="00750019">
            <w:pPr>
              <w:pStyle w:val="Tableheading"/>
              <w:rPr>
                <w:rFonts w:ascii="Arial Narrow" w:hAnsi="Arial Narrow"/>
              </w:rPr>
            </w:pPr>
            <w:r w:rsidRPr="003C482B">
              <w:rPr>
                <w:rFonts w:ascii="Arial Narrow" w:hAnsi="Arial Narrow"/>
              </w:rPr>
              <w:t>N = 64</w:t>
            </w:r>
          </w:p>
          <w:p w14:paraId="284B0D93" w14:textId="11E9972E" w:rsidR="003C482B" w:rsidRPr="003C482B" w:rsidRDefault="003C482B" w:rsidP="00750019">
            <w:pPr>
              <w:pStyle w:val="Tableheading"/>
              <w:rPr>
                <w:rFonts w:ascii="Arial Narrow" w:hAnsi="Arial Narrow"/>
              </w:rPr>
            </w:pPr>
            <w:r w:rsidRPr="003C482B">
              <w:rPr>
                <w:rFonts w:ascii="Arial Narrow" w:hAnsi="Arial Narrow"/>
              </w:rPr>
              <w:t>n (%)</w:t>
            </w:r>
          </w:p>
        </w:tc>
      </w:tr>
      <w:tr w:rsidR="00A940F6" w:rsidRPr="003C482B" w14:paraId="15129A85" w14:textId="77777777" w:rsidTr="00750019">
        <w:tc>
          <w:tcPr>
            <w:tcW w:w="2892" w:type="pct"/>
            <w:tcBorders>
              <w:top w:val="single" w:sz="4" w:space="0" w:color="auto"/>
              <w:left w:val="single" w:sz="4" w:space="0" w:color="auto"/>
              <w:bottom w:val="nil"/>
              <w:right w:val="single" w:sz="4" w:space="0" w:color="auto"/>
            </w:tcBorders>
          </w:tcPr>
          <w:p w14:paraId="60AB8558" w14:textId="77777777" w:rsidR="00A940F6" w:rsidRPr="003C482B" w:rsidRDefault="00A940F6" w:rsidP="00750019">
            <w:pPr>
              <w:pStyle w:val="Tabletext0"/>
              <w:rPr>
                <w:rFonts w:ascii="Arial Narrow" w:hAnsi="Arial Narrow"/>
              </w:rPr>
            </w:pPr>
            <w:r w:rsidRPr="003C482B">
              <w:rPr>
                <w:rFonts w:ascii="Arial Narrow" w:hAnsi="Arial Narrow"/>
              </w:rPr>
              <w:t>By 6 months</w:t>
            </w:r>
          </w:p>
        </w:tc>
        <w:tc>
          <w:tcPr>
            <w:tcW w:w="2108" w:type="pct"/>
            <w:tcBorders>
              <w:top w:val="single" w:sz="4" w:space="0" w:color="auto"/>
              <w:left w:val="single" w:sz="4" w:space="0" w:color="auto"/>
              <w:bottom w:val="nil"/>
              <w:right w:val="single" w:sz="4" w:space="0" w:color="auto"/>
            </w:tcBorders>
          </w:tcPr>
          <w:p w14:paraId="2F276320" w14:textId="28A96BF2" w:rsidR="00A940F6" w:rsidRPr="003C482B" w:rsidRDefault="00A940F6" w:rsidP="00750019">
            <w:pPr>
              <w:pStyle w:val="Tablecentre"/>
              <w:rPr>
                <w:rFonts w:ascii="Arial Narrow" w:hAnsi="Arial Narrow"/>
              </w:rPr>
            </w:pPr>
            <w:r w:rsidRPr="003C482B">
              <w:rPr>
                <w:rFonts w:ascii="Arial Narrow" w:hAnsi="Arial Narrow"/>
              </w:rPr>
              <w:t>26 (40.6)</w:t>
            </w:r>
            <w:r w:rsidR="003C482B" w:rsidRPr="003C482B">
              <w:rPr>
                <w:rFonts w:ascii="Arial Narrow" w:hAnsi="Arial Narrow"/>
                <w:vertAlign w:val="superscript"/>
              </w:rPr>
              <w:t>a</w:t>
            </w:r>
          </w:p>
        </w:tc>
      </w:tr>
      <w:tr w:rsidR="00A940F6" w:rsidRPr="003C482B" w14:paraId="7E1C1CA6" w14:textId="77777777" w:rsidTr="00750019">
        <w:tc>
          <w:tcPr>
            <w:tcW w:w="2892" w:type="pct"/>
            <w:tcBorders>
              <w:top w:val="nil"/>
              <w:left w:val="single" w:sz="4" w:space="0" w:color="auto"/>
              <w:bottom w:val="nil"/>
              <w:right w:val="single" w:sz="4" w:space="0" w:color="auto"/>
            </w:tcBorders>
          </w:tcPr>
          <w:p w14:paraId="05BE9645" w14:textId="77777777" w:rsidR="00A940F6" w:rsidRPr="003C482B" w:rsidRDefault="00A940F6" w:rsidP="00750019">
            <w:pPr>
              <w:pStyle w:val="Tabletext0"/>
              <w:rPr>
                <w:rFonts w:ascii="Arial Narrow" w:hAnsi="Arial Narrow"/>
              </w:rPr>
            </w:pPr>
            <w:r w:rsidRPr="003C482B">
              <w:rPr>
                <w:rFonts w:ascii="Arial Narrow" w:hAnsi="Arial Narrow"/>
              </w:rPr>
              <w:t>By 12 months (primary analysis)</w:t>
            </w:r>
          </w:p>
        </w:tc>
        <w:tc>
          <w:tcPr>
            <w:tcW w:w="2108" w:type="pct"/>
            <w:tcBorders>
              <w:top w:val="nil"/>
              <w:left w:val="single" w:sz="4" w:space="0" w:color="auto"/>
              <w:bottom w:val="nil"/>
              <w:right w:val="single" w:sz="4" w:space="0" w:color="auto"/>
            </w:tcBorders>
          </w:tcPr>
          <w:p w14:paraId="7B978026" w14:textId="77777777" w:rsidR="00A940F6" w:rsidRPr="003C482B" w:rsidRDefault="00A940F6" w:rsidP="00750019">
            <w:pPr>
              <w:pStyle w:val="Tablecentre"/>
              <w:rPr>
                <w:rFonts w:ascii="Arial Narrow" w:hAnsi="Arial Narrow"/>
              </w:rPr>
            </w:pPr>
            <w:r w:rsidRPr="003C482B">
              <w:rPr>
                <w:rFonts w:ascii="Arial Narrow" w:hAnsi="Arial Narrow"/>
              </w:rPr>
              <w:t>36 (56)</w:t>
            </w:r>
          </w:p>
        </w:tc>
      </w:tr>
      <w:tr w:rsidR="00A940F6" w:rsidRPr="003C482B" w14:paraId="540C2F80" w14:textId="77777777" w:rsidTr="00750019">
        <w:tc>
          <w:tcPr>
            <w:tcW w:w="2892" w:type="pct"/>
            <w:tcBorders>
              <w:top w:val="nil"/>
              <w:left w:val="single" w:sz="4" w:space="0" w:color="auto"/>
              <w:bottom w:val="single" w:sz="4" w:space="0" w:color="auto"/>
              <w:right w:val="single" w:sz="4" w:space="0" w:color="auto"/>
            </w:tcBorders>
          </w:tcPr>
          <w:p w14:paraId="17840D69" w14:textId="77777777" w:rsidR="00A940F6" w:rsidRPr="003C482B" w:rsidRDefault="00A940F6" w:rsidP="00750019">
            <w:pPr>
              <w:pStyle w:val="Btable"/>
              <w:rPr>
                <w:rFonts w:ascii="Arial Narrow" w:hAnsi="Arial Narrow"/>
                <w:b w:val="0"/>
                <w:bCs w:val="0"/>
              </w:rPr>
            </w:pPr>
            <w:r w:rsidRPr="003C482B">
              <w:rPr>
                <w:rFonts w:ascii="Arial Narrow" w:hAnsi="Arial Narrow"/>
                <w:b w:val="0"/>
                <w:bCs w:val="0"/>
              </w:rPr>
              <w:t xml:space="preserve">By 5-years </w:t>
            </w:r>
          </w:p>
        </w:tc>
        <w:tc>
          <w:tcPr>
            <w:tcW w:w="2108" w:type="pct"/>
            <w:tcBorders>
              <w:top w:val="nil"/>
              <w:left w:val="single" w:sz="4" w:space="0" w:color="auto"/>
              <w:bottom w:val="single" w:sz="4" w:space="0" w:color="auto"/>
              <w:right w:val="single" w:sz="4" w:space="0" w:color="auto"/>
            </w:tcBorders>
          </w:tcPr>
          <w:p w14:paraId="4003276C" w14:textId="77777777" w:rsidR="00A940F6" w:rsidRPr="003C482B" w:rsidRDefault="00A940F6" w:rsidP="00750019">
            <w:pPr>
              <w:pStyle w:val="Btable"/>
              <w:jc w:val="center"/>
              <w:rPr>
                <w:rFonts w:ascii="Arial Narrow" w:hAnsi="Arial Narrow"/>
                <w:b w:val="0"/>
                <w:bCs w:val="0"/>
              </w:rPr>
            </w:pPr>
            <w:r w:rsidRPr="003C482B">
              <w:rPr>
                <w:rFonts w:ascii="Arial Narrow" w:hAnsi="Arial Narrow"/>
                <w:b w:val="0"/>
                <w:bCs w:val="0"/>
              </w:rPr>
              <w:t>37 (58)</w:t>
            </w:r>
          </w:p>
        </w:tc>
      </w:tr>
    </w:tbl>
    <w:p w14:paraId="72873676" w14:textId="61D9D81F" w:rsidR="00A940F6" w:rsidRDefault="00A940F6" w:rsidP="003D1F4E">
      <w:pPr>
        <w:pStyle w:val="Tablefooter"/>
        <w:rPr>
          <w:rFonts w:ascii="Arial Narrow" w:hAnsi="Arial Narrow"/>
        </w:rPr>
      </w:pPr>
      <w:r w:rsidRPr="003C482B">
        <w:rPr>
          <w:rFonts w:ascii="Arial Narrow" w:hAnsi="Arial Narrow"/>
        </w:rPr>
        <w:t xml:space="preserve">Source: </w:t>
      </w:r>
      <w:r w:rsidR="003C482B" w:rsidRPr="003C482B">
        <w:rPr>
          <w:rFonts w:ascii="Arial Narrow" w:hAnsi="Arial Narrow"/>
        </w:rPr>
        <w:t xml:space="preserve">Resubmission Table 2-5; </w:t>
      </w:r>
      <w:r w:rsidRPr="003C482B">
        <w:rPr>
          <w:rFonts w:ascii="Arial Narrow" w:hAnsi="Arial Narrow"/>
        </w:rPr>
        <w:t>Appendix 1: July 2022 submission, Appendix 16, Table 1, p3; main body Table 5(a).5-2, p140; Appendix</w:t>
      </w:r>
      <w:r w:rsidR="003C482B">
        <w:rPr>
          <w:rFonts w:ascii="Arial Narrow" w:hAnsi="Arial Narrow"/>
        </w:rPr>
        <w:t> </w:t>
      </w:r>
      <w:r w:rsidRPr="003C482B">
        <w:rPr>
          <w:rFonts w:ascii="Arial Narrow" w:hAnsi="Arial Narrow"/>
        </w:rPr>
        <w:t xml:space="preserve">5: </w:t>
      </w:r>
      <w:hyperlink w:anchor="_ENREF_1" w:tooltip="Cortes, 2013 #2" w:history="1">
        <w:r w:rsidRPr="003C482B">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3C482B">
          <w:rPr>
            <w:rFonts w:ascii="Arial Narrow" w:hAnsi="Arial Narrow"/>
          </w:rPr>
          <w:instrText xml:space="preserve"> ADDIN EN.CITE </w:instrText>
        </w:r>
        <w:r w:rsidRPr="003C482B">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3C482B">
          <w:rPr>
            <w:rFonts w:ascii="Arial Narrow" w:hAnsi="Arial Narrow"/>
          </w:rPr>
          <w:instrText xml:space="preserve"> ADDIN EN.CITE.DATA </w:instrText>
        </w:r>
        <w:r w:rsidRPr="003C482B">
          <w:rPr>
            <w:rFonts w:ascii="Arial Narrow" w:hAnsi="Arial Narrow"/>
          </w:rPr>
        </w:r>
        <w:r w:rsidRPr="003C482B">
          <w:rPr>
            <w:rFonts w:ascii="Arial Narrow" w:hAnsi="Arial Narrow"/>
          </w:rPr>
          <w:fldChar w:fldCharType="end"/>
        </w:r>
        <w:r w:rsidRPr="003C482B">
          <w:rPr>
            <w:rFonts w:ascii="Arial Narrow" w:hAnsi="Arial Narrow"/>
          </w:rPr>
        </w:r>
        <w:r w:rsidRPr="003C482B">
          <w:rPr>
            <w:rFonts w:ascii="Arial Narrow" w:hAnsi="Arial Narrow"/>
          </w:rPr>
          <w:fldChar w:fldCharType="separate"/>
        </w:r>
        <w:r w:rsidRPr="003C482B">
          <w:rPr>
            <w:rFonts w:ascii="Arial Narrow" w:hAnsi="Arial Narrow"/>
            <w:noProof/>
          </w:rPr>
          <w:t>Cortes et al. (2013)</w:t>
        </w:r>
        <w:r w:rsidRPr="003C482B">
          <w:rPr>
            <w:rFonts w:ascii="Arial Narrow" w:hAnsi="Arial Narrow"/>
            <w:noProof/>
          </w:rPr>
          <w:fldChar w:fldCharType="end"/>
        </w:r>
      </w:hyperlink>
      <w:r w:rsidRPr="003C482B">
        <w:rPr>
          <w:rFonts w:ascii="Arial Narrow" w:hAnsi="Arial Narrow"/>
        </w:rPr>
        <w:t xml:space="preserve"> Figure 1A p 1789; </w:t>
      </w:r>
      <w:hyperlink w:anchor="_ENREF_1" w:tooltip="Cortes, 2013 #2" w:history="1">
        <w:r w:rsidRPr="003C482B">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3C482B">
          <w:rPr>
            <w:rFonts w:ascii="Arial Narrow" w:hAnsi="Arial Narrow"/>
          </w:rPr>
          <w:instrText xml:space="preserve"> ADDIN EN.CITE </w:instrText>
        </w:r>
        <w:r w:rsidRPr="003C482B">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3C482B">
          <w:rPr>
            <w:rFonts w:ascii="Arial Narrow" w:hAnsi="Arial Narrow"/>
          </w:rPr>
          <w:instrText xml:space="preserve"> ADDIN EN.CITE.DATA </w:instrText>
        </w:r>
        <w:r w:rsidRPr="003C482B">
          <w:rPr>
            <w:rFonts w:ascii="Arial Narrow" w:hAnsi="Arial Narrow"/>
          </w:rPr>
        </w:r>
        <w:r w:rsidRPr="003C482B">
          <w:rPr>
            <w:rFonts w:ascii="Arial Narrow" w:hAnsi="Arial Narrow"/>
          </w:rPr>
          <w:fldChar w:fldCharType="end"/>
        </w:r>
        <w:r w:rsidRPr="003C482B">
          <w:rPr>
            <w:rFonts w:ascii="Arial Narrow" w:hAnsi="Arial Narrow"/>
          </w:rPr>
        </w:r>
        <w:r w:rsidRPr="003C482B">
          <w:rPr>
            <w:rFonts w:ascii="Arial Narrow" w:hAnsi="Arial Narrow"/>
          </w:rPr>
          <w:fldChar w:fldCharType="separate"/>
        </w:r>
        <w:r w:rsidRPr="003C482B">
          <w:rPr>
            <w:rFonts w:ascii="Arial Narrow" w:hAnsi="Arial Narrow"/>
            <w:noProof/>
          </w:rPr>
          <w:t>Cortes et al. (2013)</w:t>
        </w:r>
        <w:r w:rsidRPr="003C482B">
          <w:rPr>
            <w:rFonts w:ascii="Arial Narrow" w:hAnsi="Arial Narrow"/>
            <w:noProof/>
          </w:rPr>
          <w:fldChar w:fldCharType="end"/>
        </w:r>
      </w:hyperlink>
      <w:r w:rsidRPr="003C482B">
        <w:rPr>
          <w:rFonts w:ascii="Arial Narrow" w:hAnsi="Arial Narrow"/>
        </w:rPr>
        <w:t xml:space="preserve"> supplement Table S3 pdf p 43; </w:t>
      </w:r>
      <w:hyperlink w:anchor="_ENREF_2" w:tooltip="Cortes, 2018 #3" w:history="1">
        <w:r w:rsidRPr="003C482B">
          <w:rPr>
            <w:rFonts w:ascii="Arial Narrow" w:hAnsi="Arial Narrow"/>
          </w:rPr>
          <w:fldChar w:fldCharType="begin" w:fldLock="1">
            <w:fldData xml:space="preserve">PEVuZE5vdGU+PENpdGUgQXV0aG9yWWVhcj0iMSI+PEF1dGhvcj5Db3J0ZXM8L0F1dGhvcj48WWVh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</w:fldData>
          </w:fldChar>
        </w:r>
        <w:r w:rsidRPr="003C482B">
          <w:rPr>
            <w:rFonts w:ascii="Arial Narrow" w:hAnsi="Arial Narrow"/>
          </w:rPr>
          <w:instrText xml:space="preserve"> ADDIN EN.CITE </w:instrText>
        </w:r>
        <w:r w:rsidRPr="003C482B">
          <w:rPr>
            <w:rFonts w:ascii="Arial Narrow" w:hAnsi="Arial Narrow"/>
          </w:rPr>
          <w:fldChar w:fldCharType="begin" w:fldLock="1">
            <w:fldData xml:space="preserve">PEVuZE5vdGU+PENpdGUgQXV0aG9yWWVhcj0iMSI+PEF1dGhvcj5Db3J0ZXM8L0F1dGhvcj48WWVh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</w:fldData>
          </w:fldChar>
        </w:r>
        <w:r w:rsidRPr="003C482B">
          <w:rPr>
            <w:rFonts w:ascii="Arial Narrow" w:hAnsi="Arial Narrow"/>
          </w:rPr>
          <w:instrText xml:space="preserve"> ADDIN EN.CITE.DATA </w:instrText>
        </w:r>
        <w:r w:rsidRPr="003C482B">
          <w:rPr>
            <w:rFonts w:ascii="Arial Narrow" w:hAnsi="Arial Narrow"/>
          </w:rPr>
        </w:r>
        <w:r w:rsidRPr="003C482B">
          <w:rPr>
            <w:rFonts w:ascii="Arial Narrow" w:hAnsi="Arial Narrow"/>
          </w:rPr>
          <w:fldChar w:fldCharType="end"/>
        </w:r>
        <w:r w:rsidRPr="003C482B">
          <w:rPr>
            <w:rFonts w:ascii="Arial Narrow" w:hAnsi="Arial Narrow"/>
          </w:rPr>
        </w:r>
        <w:r w:rsidRPr="003C482B">
          <w:rPr>
            <w:rFonts w:ascii="Arial Narrow" w:hAnsi="Arial Narrow"/>
          </w:rPr>
          <w:fldChar w:fldCharType="separate"/>
        </w:r>
        <w:r w:rsidRPr="003C482B">
          <w:rPr>
            <w:rFonts w:ascii="Arial Narrow" w:hAnsi="Arial Narrow"/>
            <w:noProof/>
          </w:rPr>
          <w:t>Cortes et al. (2018)</w:t>
        </w:r>
        <w:r w:rsidRPr="003C482B">
          <w:rPr>
            <w:rFonts w:ascii="Arial Narrow" w:hAnsi="Arial Narrow"/>
            <w:noProof/>
          </w:rPr>
          <w:fldChar w:fldCharType="end"/>
        </w:r>
      </w:hyperlink>
      <w:r w:rsidRPr="003C482B">
        <w:rPr>
          <w:rFonts w:ascii="Arial Narrow" w:hAnsi="Arial Narrow"/>
        </w:rPr>
        <w:t xml:space="preserve"> Figure 1A p 396, Supplement, Figure S1C, p9</w:t>
      </w:r>
      <w:r w:rsidR="003C482B">
        <w:rPr>
          <w:rFonts w:ascii="Arial Narrow" w:hAnsi="Arial Narrow"/>
        </w:rPr>
        <w:t>.</w:t>
      </w:r>
    </w:p>
    <w:p w14:paraId="7D450BDA" w14:textId="774CF0CF" w:rsidR="00BE012B" w:rsidRPr="003C482B" w:rsidRDefault="00CF7D84" w:rsidP="003D1F4E">
      <w:pPr>
        <w:pStyle w:val="Tablefooter"/>
        <w:rPr>
          <w:rFonts w:ascii="Arial Narrow" w:hAnsi="Arial Narrow"/>
        </w:rPr>
      </w:pPr>
      <w:r>
        <w:rPr>
          <w:rFonts w:ascii="Arial Narrow" w:hAnsi="Arial Narrow"/>
        </w:rPr>
        <w:t>MMR = major molecular response.</w:t>
      </w:r>
    </w:p>
    <w:p w14:paraId="0992FB9B" w14:textId="6140F5C6" w:rsidR="00A940F6" w:rsidRPr="003C482B" w:rsidRDefault="003C482B" w:rsidP="00B852EE">
      <w:pPr>
        <w:pStyle w:val="Tablefooter"/>
        <w:rPr>
          <w:rFonts w:ascii="Arial Narrow" w:hAnsi="Arial Narrow"/>
        </w:rPr>
      </w:pPr>
      <w:r>
        <w:rPr>
          <w:rFonts w:ascii="Arial Narrow" w:hAnsi="Arial Narrow"/>
        </w:rPr>
        <w:t xml:space="preserve">a </w:t>
      </w:r>
      <w:r w:rsidR="00A940F6" w:rsidRPr="003C482B">
        <w:rPr>
          <w:rFonts w:ascii="Arial Narrow" w:hAnsi="Arial Narrow"/>
        </w:rPr>
        <w:t xml:space="preserve">Estimated from </w:t>
      </w:r>
      <w:hyperlink w:anchor="_ENREF_2" w:tooltip="Cortes, 2018 #3" w:history="1">
        <w:r w:rsidR="00A940F6" w:rsidRPr="003C482B">
          <w:rPr>
            <w:rFonts w:ascii="Arial Narrow" w:hAnsi="Arial Narrow"/>
          </w:rPr>
          <w:fldChar w:fldCharType="begin" w:fldLock="1">
            <w:fldData xml:space="preserve">PEVuZE5vdGU+PENpdGUgQXV0aG9yWWVhcj0iMSI+PEF1dGhvcj5Db3J0ZXM8L0F1dGhvcj48WWVh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</w:fldData>
          </w:fldChar>
        </w:r>
        <w:r w:rsidR="00A940F6" w:rsidRPr="003C482B">
          <w:rPr>
            <w:rFonts w:ascii="Arial Narrow" w:hAnsi="Arial Narrow"/>
          </w:rPr>
          <w:instrText xml:space="preserve"> ADDIN EN.CITE </w:instrText>
        </w:r>
        <w:r w:rsidR="00A940F6" w:rsidRPr="003C482B">
          <w:rPr>
            <w:rFonts w:ascii="Arial Narrow" w:hAnsi="Arial Narrow"/>
          </w:rPr>
          <w:fldChar w:fldCharType="begin" w:fldLock="1">
            <w:fldData xml:space="preserve">PEVuZE5vdGU+PENpdGUgQXV0aG9yWWVhcj0iMSI+PEF1dGhvcj5Db3J0ZXM8L0F1dGhvcj48WWVh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</w:fldData>
          </w:fldChar>
        </w:r>
        <w:r w:rsidR="00A940F6" w:rsidRPr="003C482B">
          <w:rPr>
            <w:rFonts w:ascii="Arial Narrow" w:hAnsi="Arial Narrow"/>
          </w:rPr>
          <w:instrText xml:space="preserve"> ADDIN EN.CITE.DATA </w:instrText>
        </w:r>
        <w:r w:rsidR="00A940F6" w:rsidRPr="003C482B">
          <w:rPr>
            <w:rFonts w:ascii="Arial Narrow" w:hAnsi="Arial Narrow"/>
          </w:rPr>
        </w:r>
        <w:r w:rsidR="00A940F6" w:rsidRPr="003C482B">
          <w:rPr>
            <w:rFonts w:ascii="Arial Narrow" w:hAnsi="Arial Narrow"/>
          </w:rPr>
          <w:fldChar w:fldCharType="end"/>
        </w:r>
        <w:r w:rsidR="00A940F6" w:rsidRPr="003C482B">
          <w:rPr>
            <w:rFonts w:ascii="Arial Narrow" w:hAnsi="Arial Narrow"/>
          </w:rPr>
        </w:r>
        <w:r w:rsidR="00A940F6" w:rsidRPr="003C482B">
          <w:rPr>
            <w:rFonts w:ascii="Arial Narrow" w:hAnsi="Arial Narrow"/>
          </w:rPr>
          <w:fldChar w:fldCharType="separate"/>
        </w:r>
        <w:r w:rsidR="00A940F6" w:rsidRPr="003C482B">
          <w:rPr>
            <w:rFonts w:ascii="Arial Narrow" w:hAnsi="Arial Narrow"/>
            <w:noProof/>
          </w:rPr>
          <w:t>Cortes et al. (2018)</w:t>
        </w:r>
        <w:r w:rsidR="00A940F6" w:rsidRPr="003C482B">
          <w:rPr>
            <w:rFonts w:ascii="Arial Narrow" w:hAnsi="Arial Narrow"/>
            <w:noProof/>
          </w:rPr>
          <w:fldChar w:fldCharType="end"/>
        </w:r>
      </w:hyperlink>
      <w:r w:rsidR="00A940F6" w:rsidRPr="003C482B">
        <w:rPr>
          <w:rFonts w:ascii="Arial Narrow" w:hAnsi="Arial Narrow"/>
        </w:rPr>
        <w:t xml:space="preserve"> Figure S1C</w:t>
      </w:r>
      <w:r>
        <w:rPr>
          <w:rFonts w:ascii="Arial Narrow" w:hAnsi="Arial Narrow"/>
        </w:rPr>
        <w:t>.</w:t>
      </w:r>
    </w:p>
    <w:p w14:paraId="672B04E3" w14:textId="77777777" w:rsidR="00B852EE" w:rsidRPr="00A93F80" w:rsidRDefault="00B852EE" w:rsidP="00B852EE">
      <w:pPr>
        <w:pStyle w:val="Tablefooter"/>
      </w:pPr>
    </w:p>
    <w:p w14:paraId="66CB25B3" w14:textId="58E3DFF5" w:rsidR="00A940F6" w:rsidRPr="00F34D6A" w:rsidRDefault="00A940F6" w:rsidP="00B852EE">
      <w:pPr>
        <w:pStyle w:val="3-BodyText"/>
      </w:pPr>
      <w:r w:rsidRPr="00F34D6A">
        <w:lastRenderedPageBreak/>
        <w:t>Patients in the CML-CP T315I cohort of</w:t>
      </w:r>
      <w:r w:rsidR="003C482B" w:rsidRPr="00F34D6A">
        <w:t xml:space="preserve"> the</w:t>
      </w:r>
      <w:r w:rsidRPr="00F34D6A">
        <w:t xml:space="preserve"> PACE</w:t>
      </w:r>
      <w:r w:rsidR="003C482B" w:rsidRPr="00F34D6A">
        <w:t xml:space="preserve"> trial</w:t>
      </w:r>
      <w:r w:rsidRPr="00F34D6A">
        <w:t xml:space="preserve"> were required to have less than a CCyR at baseline</w:t>
      </w:r>
      <w:r w:rsidR="003C482B" w:rsidRPr="00F34D6A">
        <w:t xml:space="preserve"> (</w:t>
      </w:r>
      <w:r w:rsidR="003C482B" w:rsidRPr="00F34D6A">
        <w:rPr>
          <w:rFonts w:cstheme="minorHAnsi"/>
        </w:rPr>
        <w:fldChar w:fldCharType="begin" w:fldLock="1"/>
      </w:r>
      <w:r w:rsidR="003C482B" w:rsidRPr="00F34D6A">
        <w:rPr>
          <w:rFonts w:cstheme="minorHAnsi"/>
        </w:rPr>
        <w:instrText xml:space="preserve"> REF _Ref114487206 \h  \* MERGEFORMAT </w:instrText>
      </w:r>
      <w:r w:rsidR="003C482B" w:rsidRPr="00F34D6A">
        <w:rPr>
          <w:rFonts w:cstheme="minorHAnsi"/>
        </w:rPr>
      </w:r>
      <w:r w:rsidR="003C482B" w:rsidRPr="00F34D6A">
        <w:rPr>
          <w:rFonts w:cstheme="minorHAnsi"/>
        </w:rPr>
        <w:fldChar w:fldCharType="separate"/>
      </w:r>
      <w:r w:rsidR="00196FF1" w:rsidRPr="00196FF1">
        <w:rPr>
          <w:rFonts w:cstheme="minorHAnsi"/>
        </w:rPr>
        <w:t xml:space="preserve">Table </w:t>
      </w:r>
      <w:r w:rsidR="00196FF1" w:rsidRPr="00196FF1">
        <w:rPr>
          <w:rFonts w:cstheme="minorHAnsi"/>
          <w:noProof/>
        </w:rPr>
        <w:t>4</w:t>
      </w:r>
      <w:r w:rsidR="003C482B" w:rsidRPr="00F34D6A">
        <w:rPr>
          <w:rFonts w:cstheme="minorHAnsi"/>
        </w:rPr>
        <w:fldChar w:fldCharType="end"/>
      </w:r>
      <w:r w:rsidR="003C482B" w:rsidRPr="00F34D6A">
        <w:t xml:space="preserve">) </w:t>
      </w:r>
      <w:r w:rsidRPr="00F34D6A">
        <w:t>to be eligible for the clinical trial. Hence, all patients (N</w:t>
      </w:r>
      <w:r w:rsidR="004C2B68">
        <w:t> </w:t>
      </w:r>
      <w:r w:rsidRPr="00F34D6A">
        <w:t>=</w:t>
      </w:r>
      <w:r w:rsidR="004C2B68">
        <w:t> </w:t>
      </w:r>
      <w:r w:rsidRPr="00F34D6A">
        <w:t>64) were considered in the analysis of CCyR and the results are presented in</w:t>
      </w:r>
      <w:r w:rsidR="003C482B" w:rsidRPr="00F34D6A">
        <w:t xml:space="preserve"> </w:t>
      </w:r>
      <w:r w:rsidR="00F34D6A" w:rsidRPr="00F34D6A">
        <w:rPr>
          <w:rFonts w:cstheme="minorHAnsi"/>
        </w:rPr>
        <w:fldChar w:fldCharType="begin" w:fldLock="1"/>
      </w:r>
      <w:r w:rsidR="00F34D6A" w:rsidRPr="00F34D6A">
        <w:rPr>
          <w:rFonts w:cstheme="minorHAnsi"/>
        </w:rPr>
        <w:instrText xml:space="preserve"> REF _Ref114495478 \h  \* MERGEFORMAT </w:instrText>
      </w:r>
      <w:r w:rsidR="00F34D6A" w:rsidRPr="00F34D6A">
        <w:rPr>
          <w:rFonts w:cstheme="minorHAnsi"/>
        </w:rPr>
      </w:r>
      <w:r w:rsidR="00F34D6A" w:rsidRPr="00F34D6A">
        <w:rPr>
          <w:rFonts w:cstheme="minorHAnsi"/>
        </w:rPr>
        <w:fldChar w:fldCharType="separate"/>
      </w:r>
      <w:r w:rsidR="00196FF1" w:rsidRPr="00196FF1">
        <w:rPr>
          <w:rFonts w:cstheme="minorHAnsi"/>
        </w:rPr>
        <w:t>Table</w:t>
      </w:r>
      <w:r w:rsidR="004C2B68">
        <w:rPr>
          <w:rFonts w:cstheme="minorHAnsi"/>
        </w:rPr>
        <w:t> </w:t>
      </w:r>
      <w:r w:rsidR="00196FF1" w:rsidRPr="00196FF1">
        <w:rPr>
          <w:rFonts w:cstheme="minorHAnsi"/>
          <w:noProof/>
        </w:rPr>
        <w:t>9</w:t>
      </w:r>
      <w:r w:rsidR="00F34D6A" w:rsidRPr="00F34D6A">
        <w:rPr>
          <w:rFonts w:cstheme="minorHAnsi"/>
        </w:rPr>
        <w:fldChar w:fldCharType="end"/>
      </w:r>
      <w:r w:rsidRPr="00F34D6A">
        <w:t>. The cumulative CCyR rate increased from 62.5% by 6 months to 70% by 5</w:t>
      </w:r>
      <w:r w:rsidR="004C2B68">
        <w:t> </w:t>
      </w:r>
      <w:r w:rsidRPr="00F34D6A">
        <w:t xml:space="preserve">years. </w:t>
      </w:r>
    </w:p>
    <w:p w14:paraId="1A722D4E" w14:textId="25656017" w:rsidR="00A940F6" w:rsidRPr="003C482B" w:rsidRDefault="003C482B" w:rsidP="003C482B">
      <w:pPr>
        <w:pStyle w:val="Tableheading"/>
        <w:jc w:val="left"/>
        <w:rPr>
          <w:rFonts w:ascii="Arial Narrow" w:hAnsi="Arial Narrow"/>
        </w:rPr>
      </w:pPr>
      <w:bookmarkStart w:id="28" w:name="_Ref114495478"/>
      <w:bookmarkStart w:id="29" w:name="_Toc112315927"/>
      <w:r w:rsidRPr="003C482B">
        <w:rPr>
          <w:rFonts w:ascii="Arial Narrow" w:hAnsi="Arial Narrow"/>
        </w:rPr>
        <w:t xml:space="preserve">Table </w:t>
      </w:r>
      <w:r w:rsidRPr="003C482B">
        <w:rPr>
          <w:rFonts w:ascii="Arial Narrow" w:hAnsi="Arial Narrow"/>
        </w:rPr>
        <w:fldChar w:fldCharType="begin" w:fldLock="1"/>
      </w:r>
      <w:r w:rsidRPr="003C482B">
        <w:rPr>
          <w:rFonts w:ascii="Arial Narrow" w:hAnsi="Arial Narrow"/>
        </w:rPr>
        <w:instrText xml:space="preserve"> SEQ Table \* ARABIC </w:instrText>
      </w:r>
      <w:r w:rsidRPr="003C482B">
        <w:rPr>
          <w:rFonts w:ascii="Arial Narrow" w:hAnsi="Arial Narrow"/>
        </w:rPr>
        <w:fldChar w:fldCharType="separate"/>
      </w:r>
      <w:r w:rsidR="00100F00">
        <w:rPr>
          <w:rFonts w:ascii="Arial Narrow" w:hAnsi="Arial Narrow"/>
          <w:noProof/>
        </w:rPr>
        <w:t>9</w:t>
      </w:r>
      <w:r w:rsidRPr="003C482B">
        <w:rPr>
          <w:rFonts w:ascii="Arial Narrow" w:hAnsi="Arial Narrow"/>
        </w:rPr>
        <w:fldChar w:fldCharType="end"/>
      </w:r>
      <w:bookmarkEnd w:id="28"/>
      <w:r w:rsidRPr="003C482B">
        <w:rPr>
          <w:rFonts w:ascii="Arial Narrow" w:hAnsi="Arial Narrow"/>
        </w:rPr>
        <w:t xml:space="preserve">: </w:t>
      </w:r>
      <w:r w:rsidR="00A940F6" w:rsidRPr="003C482B">
        <w:rPr>
          <w:rFonts w:ascii="Arial Narrow" w:hAnsi="Arial Narrow"/>
        </w:rPr>
        <w:t>Cumulative CCyR rate</w:t>
      </w:r>
      <w:r w:rsidRPr="003C482B">
        <w:rPr>
          <w:rFonts w:ascii="Arial Narrow" w:hAnsi="Arial Narrow"/>
        </w:rPr>
        <w:t xml:space="preserve"> in the</w:t>
      </w:r>
      <w:r w:rsidR="00A940F6" w:rsidRPr="003C482B">
        <w:rPr>
          <w:rFonts w:ascii="Arial Narrow" w:hAnsi="Arial Narrow"/>
        </w:rPr>
        <w:t xml:space="preserve"> PACE</w:t>
      </w:r>
      <w:bookmarkEnd w:id="29"/>
      <w:r w:rsidRPr="003C482B">
        <w:rPr>
          <w:rFonts w:ascii="Arial Narrow" w:hAnsi="Arial Narrow"/>
        </w:rPr>
        <w:t xml:space="preserve"> trial</w:t>
      </w:r>
    </w:p>
    <w:tbl>
      <w:tblPr>
        <w:tblStyle w:val="TableGrid"/>
        <w:tblW w:w="5000" w:type="pct"/>
        <w:tblLook w:val="04A0" w:firstRow="1" w:lastRow="0" w:firstColumn="1" w:lastColumn="0" w:noHBand="0" w:noVBand="1"/>
        <w:tblCaption w:val="Table 9: Cumulative CCyR rate in the PACE trial"/>
      </w:tblPr>
      <w:tblGrid>
        <w:gridCol w:w="5215"/>
        <w:gridCol w:w="3801"/>
      </w:tblGrid>
      <w:tr w:rsidR="00A940F6" w:rsidRPr="00A25900" w14:paraId="2F1FCAB5" w14:textId="77777777" w:rsidTr="00750019">
        <w:tc>
          <w:tcPr>
            <w:tcW w:w="2892" w:type="pct"/>
            <w:tcBorders>
              <w:bottom w:val="nil"/>
            </w:tcBorders>
            <w:shd w:val="clear" w:color="auto" w:fill="F2F2F2"/>
          </w:tcPr>
          <w:p w14:paraId="2940C4AE" w14:textId="77777777" w:rsidR="00A940F6" w:rsidRPr="00A25900" w:rsidRDefault="00A940F6" w:rsidP="00750019">
            <w:pPr>
              <w:pStyle w:val="Tableheading"/>
              <w:rPr>
                <w:rFonts w:ascii="Arial Narrow" w:hAnsi="Arial Narrow"/>
              </w:rPr>
            </w:pPr>
            <w:r w:rsidRPr="00A25900">
              <w:rPr>
                <w:rFonts w:ascii="Arial Narrow" w:hAnsi="Arial Narrow"/>
              </w:rPr>
              <w:t>Proportion of patients, n (%)</w:t>
            </w:r>
          </w:p>
        </w:tc>
        <w:tc>
          <w:tcPr>
            <w:tcW w:w="2108" w:type="pct"/>
            <w:tcBorders>
              <w:bottom w:val="nil"/>
            </w:tcBorders>
            <w:shd w:val="clear" w:color="auto" w:fill="F2F2F2"/>
          </w:tcPr>
          <w:p w14:paraId="34C61BA8" w14:textId="77777777" w:rsidR="00A940F6" w:rsidRPr="00A25900" w:rsidRDefault="00A940F6" w:rsidP="00750019">
            <w:pPr>
              <w:pStyle w:val="Tableheading"/>
              <w:rPr>
                <w:rFonts w:ascii="Arial Narrow" w:hAnsi="Arial Narrow"/>
              </w:rPr>
            </w:pPr>
            <w:r w:rsidRPr="00A25900">
              <w:rPr>
                <w:rFonts w:ascii="Arial Narrow" w:hAnsi="Arial Narrow"/>
              </w:rPr>
              <w:t>T315I cohort</w:t>
            </w:r>
          </w:p>
        </w:tc>
      </w:tr>
      <w:tr w:rsidR="00A940F6" w:rsidRPr="00A25900" w14:paraId="7044F2BE" w14:textId="77777777" w:rsidTr="00750019">
        <w:tc>
          <w:tcPr>
            <w:tcW w:w="2892" w:type="pct"/>
            <w:tcBorders>
              <w:top w:val="nil"/>
              <w:bottom w:val="single" w:sz="4" w:space="0" w:color="auto"/>
            </w:tcBorders>
            <w:shd w:val="clear" w:color="auto" w:fill="F2F2F2"/>
          </w:tcPr>
          <w:p w14:paraId="71B050F3" w14:textId="77777777" w:rsidR="00A940F6" w:rsidRPr="00A25900" w:rsidRDefault="00A940F6" w:rsidP="00750019">
            <w:pPr>
              <w:pStyle w:val="Tableheading"/>
              <w:rPr>
                <w:rFonts w:ascii="Arial Narrow" w:hAnsi="Arial Narrow"/>
              </w:rPr>
            </w:pPr>
          </w:p>
        </w:tc>
        <w:tc>
          <w:tcPr>
            <w:tcW w:w="2108" w:type="pct"/>
            <w:tcBorders>
              <w:top w:val="nil"/>
              <w:bottom w:val="single" w:sz="4" w:space="0" w:color="auto"/>
            </w:tcBorders>
            <w:shd w:val="clear" w:color="auto" w:fill="F2F2F2"/>
          </w:tcPr>
          <w:p w14:paraId="141E7A42" w14:textId="77777777" w:rsidR="00A940F6" w:rsidRPr="00A25900" w:rsidRDefault="00A940F6" w:rsidP="00750019">
            <w:pPr>
              <w:pStyle w:val="Tableheading"/>
              <w:rPr>
                <w:rFonts w:ascii="Arial Narrow" w:hAnsi="Arial Narrow"/>
              </w:rPr>
            </w:pPr>
            <w:r w:rsidRPr="00A25900">
              <w:rPr>
                <w:rFonts w:ascii="Arial Narrow" w:hAnsi="Arial Narrow"/>
              </w:rPr>
              <w:t>N = 64</w:t>
            </w:r>
          </w:p>
        </w:tc>
      </w:tr>
      <w:tr w:rsidR="00A940F6" w:rsidRPr="00A25900" w14:paraId="518103C0" w14:textId="77777777" w:rsidTr="00750019">
        <w:tc>
          <w:tcPr>
            <w:tcW w:w="2892" w:type="pct"/>
            <w:tcBorders>
              <w:top w:val="single" w:sz="4" w:space="0" w:color="auto"/>
              <w:left w:val="single" w:sz="4" w:space="0" w:color="auto"/>
              <w:bottom w:val="nil"/>
              <w:right w:val="single" w:sz="4" w:space="0" w:color="auto"/>
            </w:tcBorders>
          </w:tcPr>
          <w:p w14:paraId="202148C7" w14:textId="77777777" w:rsidR="00A940F6" w:rsidRPr="00A25900" w:rsidRDefault="00A940F6" w:rsidP="00750019">
            <w:pPr>
              <w:pStyle w:val="Tabletext0"/>
              <w:rPr>
                <w:rFonts w:ascii="Arial Narrow" w:hAnsi="Arial Narrow"/>
              </w:rPr>
            </w:pPr>
            <w:r w:rsidRPr="00A25900">
              <w:rPr>
                <w:rFonts w:ascii="Arial Narrow" w:hAnsi="Arial Narrow"/>
              </w:rPr>
              <w:t xml:space="preserve">By 6 months </w:t>
            </w:r>
          </w:p>
        </w:tc>
        <w:tc>
          <w:tcPr>
            <w:tcW w:w="2108" w:type="pct"/>
            <w:tcBorders>
              <w:top w:val="single" w:sz="4" w:space="0" w:color="auto"/>
              <w:left w:val="single" w:sz="4" w:space="0" w:color="auto"/>
              <w:bottom w:val="nil"/>
              <w:right w:val="single" w:sz="4" w:space="0" w:color="auto"/>
            </w:tcBorders>
          </w:tcPr>
          <w:p w14:paraId="37F1C78B" w14:textId="2D177212" w:rsidR="00A940F6" w:rsidRPr="00A25900" w:rsidRDefault="00A940F6" w:rsidP="00750019">
            <w:pPr>
              <w:pStyle w:val="Tablecentre"/>
              <w:rPr>
                <w:rFonts w:ascii="Arial Narrow" w:hAnsi="Arial Narrow"/>
              </w:rPr>
            </w:pPr>
            <w:r w:rsidRPr="00A25900">
              <w:rPr>
                <w:rFonts w:ascii="Arial Narrow" w:hAnsi="Arial Narrow"/>
              </w:rPr>
              <w:t>40 (62.5)</w:t>
            </w:r>
            <w:r w:rsidR="00A25900" w:rsidRPr="00A25900">
              <w:rPr>
                <w:rFonts w:ascii="Arial Narrow" w:hAnsi="Arial Narrow"/>
                <w:vertAlign w:val="superscript"/>
              </w:rPr>
              <w:t>a</w:t>
            </w:r>
          </w:p>
        </w:tc>
      </w:tr>
      <w:tr w:rsidR="00A940F6" w:rsidRPr="00A25900" w14:paraId="04CED678" w14:textId="77777777" w:rsidTr="00750019">
        <w:tc>
          <w:tcPr>
            <w:tcW w:w="2892" w:type="pct"/>
            <w:tcBorders>
              <w:top w:val="nil"/>
              <w:left w:val="single" w:sz="4" w:space="0" w:color="auto"/>
              <w:bottom w:val="nil"/>
              <w:right w:val="single" w:sz="4" w:space="0" w:color="auto"/>
            </w:tcBorders>
          </w:tcPr>
          <w:p w14:paraId="5D79B7F0" w14:textId="77777777" w:rsidR="00A940F6" w:rsidRPr="00A25900" w:rsidRDefault="00A940F6" w:rsidP="00750019">
            <w:pPr>
              <w:pStyle w:val="Tabletext0"/>
              <w:rPr>
                <w:rFonts w:ascii="Arial Narrow" w:hAnsi="Arial Narrow"/>
              </w:rPr>
            </w:pPr>
            <w:r w:rsidRPr="00A25900">
              <w:rPr>
                <w:rFonts w:ascii="Arial Narrow" w:hAnsi="Arial Narrow"/>
              </w:rPr>
              <w:t xml:space="preserve">By 12 months </w:t>
            </w:r>
          </w:p>
        </w:tc>
        <w:tc>
          <w:tcPr>
            <w:tcW w:w="2108" w:type="pct"/>
            <w:tcBorders>
              <w:top w:val="nil"/>
              <w:left w:val="single" w:sz="4" w:space="0" w:color="auto"/>
              <w:bottom w:val="nil"/>
              <w:right w:val="single" w:sz="4" w:space="0" w:color="auto"/>
            </w:tcBorders>
          </w:tcPr>
          <w:p w14:paraId="21924E34" w14:textId="77777777" w:rsidR="00A940F6" w:rsidRPr="00A25900" w:rsidRDefault="00A940F6" w:rsidP="00750019">
            <w:pPr>
              <w:pStyle w:val="Tablecentre"/>
              <w:rPr>
                <w:rFonts w:ascii="Arial Narrow" w:hAnsi="Arial Narrow"/>
              </w:rPr>
            </w:pPr>
            <w:r w:rsidRPr="00A25900">
              <w:rPr>
                <w:rFonts w:ascii="Arial Narrow" w:hAnsi="Arial Narrow"/>
              </w:rPr>
              <w:t>42 (65.6)</w:t>
            </w:r>
          </w:p>
        </w:tc>
      </w:tr>
      <w:tr w:rsidR="00A940F6" w:rsidRPr="00A25900" w14:paraId="51F3971D" w14:textId="77777777" w:rsidTr="00750019">
        <w:tc>
          <w:tcPr>
            <w:tcW w:w="2892" w:type="pct"/>
            <w:tcBorders>
              <w:top w:val="nil"/>
              <w:left w:val="single" w:sz="4" w:space="0" w:color="auto"/>
              <w:bottom w:val="single" w:sz="4" w:space="0" w:color="auto"/>
              <w:right w:val="single" w:sz="4" w:space="0" w:color="auto"/>
            </w:tcBorders>
          </w:tcPr>
          <w:p w14:paraId="0E066834" w14:textId="77777777" w:rsidR="00A940F6" w:rsidRPr="00A25900" w:rsidRDefault="00A940F6" w:rsidP="00750019">
            <w:pPr>
              <w:pStyle w:val="Btable"/>
              <w:rPr>
                <w:rFonts w:ascii="Arial Narrow" w:hAnsi="Arial Narrow"/>
                <w:b w:val="0"/>
                <w:bCs w:val="0"/>
              </w:rPr>
            </w:pPr>
            <w:r w:rsidRPr="00A25900">
              <w:rPr>
                <w:rFonts w:ascii="Arial Narrow" w:hAnsi="Arial Narrow"/>
                <w:b w:val="0"/>
                <w:bCs w:val="0"/>
              </w:rPr>
              <w:t xml:space="preserve">By 5-years </w:t>
            </w:r>
          </w:p>
        </w:tc>
        <w:tc>
          <w:tcPr>
            <w:tcW w:w="2108" w:type="pct"/>
            <w:tcBorders>
              <w:top w:val="nil"/>
              <w:left w:val="single" w:sz="4" w:space="0" w:color="auto"/>
              <w:bottom w:val="single" w:sz="4" w:space="0" w:color="auto"/>
              <w:right w:val="single" w:sz="4" w:space="0" w:color="auto"/>
            </w:tcBorders>
          </w:tcPr>
          <w:p w14:paraId="26D8459E" w14:textId="77777777" w:rsidR="00A940F6" w:rsidRPr="00A25900" w:rsidRDefault="00A940F6" w:rsidP="00750019">
            <w:pPr>
              <w:pStyle w:val="Btable"/>
              <w:jc w:val="center"/>
              <w:rPr>
                <w:rFonts w:ascii="Arial Narrow" w:hAnsi="Arial Narrow"/>
                <w:b w:val="0"/>
                <w:bCs w:val="0"/>
              </w:rPr>
            </w:pPr>
            <w:r w:rsidRPr="00A25900">
              <w:rPr>
                <w:rFonts w:ascii="Arial Narrow" w:hAnsi="Arial Narrow"/>
                <w:b w:val="0"/>
                <w:bCs w:val="0"/>
              </w:rPr>
              <w:t>45 (70)</w:t>
            </w:r>
          </w:p>
        </w:tc>
      </w:tr>
    </w:tbl>
    <w:p w14:paraId="08F90FC7" w14:textId="0BAA58ED" w:rsidR="00A940F6" w:rsidRDefault="00A940F6" w:rsidP="00CF73F8">
      <w:pPr>
        <w:pStyle w:val="Tablefooter"/>
        <w:rPr>
          <w:rFonts w:ascii="Arial Narrow" w:hAnsi="Arial Narrow"/>
        </w:rPr>
      </w:pPr>
      <w:r w:rsidRPr="00A25900">
        <w:rPr>
          <w:rFonts w:ascii="Arial Narrow" w:hAnsi="Arial Narrow"/>
        </w:rPr>
        <w:t xml:space="preserve">Source: </w:t>
      </w:r>
      <w:r w:rsidR="00A25900" w:rsidRPr="003C482B">
        <w:rPr>
          <w:rFonts w:ascii="Arial Narrow" w:hAnsi="Arial Narrow"/>
        </w:rPr>
        <w:t>Resubmission Table 2-</w:t>
      </w:r>
      <w:r w:rsidR="00A25900">
        <w:rPr>
          <w:rFonts w:ascii="Arial Narrow" w:hAnsi="Arial Narrow"/>
        </w:rPr>
        <w:t xml:space="preserve">6; </w:t>
      </w:r>
      <w:r w:rsidRPr="00A25900">
        <w:rPr>
          <w:rFonts w:ascii="Arial Narrow" w:hAnsi="Arial Narrow"/>
        </w:rPr>
        <w:t xml:space="preserve">Appendix 1: July 2022 submission, Appendix 16, Table 1, p3; main body Table 5(a).5-2, p140; Appendix 5: </w:t>
      </w:r>
      <w:hyperlink w:anchor="_ENREF_1" w:tooltip="Cortes, 2013 #2" w:history="1">
        <w:r w:rsidRPr="00A25900">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A25900">
          <w:rPr>
            <w:rFonts w:ascii="Arial Narrow" w:hAnsi="Arial Narrow"/>
          </w:rPr>
          <w:instrText xml:space="preserve"> ADDIN EN.CITE </w:instrText>
        </w:r>
        <w:r w:rsidRPr="00A25900">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A25900">
          <w:rPr>
            <w:rFonts w:ascii="Arial Narrow" w:hAnsi="Arial Narrow"/>
          </w:rPr>
          <w:instrText xml:space="preserve"> ADDIN EN.CITE.DATA </w:instrText>
        </w:r>
        <w:r w:rsidRPr="00A25900">
          <w:rPr>
            <w:rFonts w:ascii="Arial Narrow" w:hAnsi="Arial Narrow"/>
          </w:rPr>
        </w:r>
        <w:r w:rsidRPr="00A25900">
          <w:rPr>
            <w:rFonts w:ascii="Arial Narrow" w:hAnsi="Arial Narrow"/>
          </w:rPr>
          <w:fldChar w:fldCharType="end"/>
        </w:r>
        <w:r w:rsidRPr="00A25900">
          <w:rPr>
            <w:rFonts w:ascii="Arial Narrow" w:hAnsi="Arial Narrow"/>
          </w:rPr>
        </w:r>
        <w:r w:rsidRPr="00A25900">
          <w:rPr>
            <w:rFonts w:ascii="Arial Narrow" w:hAnsi="Arial Narrow"/>
          </w:rPr>
          <w:fldChar w:fldCharType="separate"/>
        </w:r>
        <w:r w:rsidRPr="00A25900">
          <w:rPr>
            <w:rFonts w:ascii="Arial Narrow" w:hAnsi="Arial Narrow"/>
            <w:noProof/>
          </w:rPr>
          <w:t>Cortes et al. (2013)</w:t>
        </w:r>
        <w:r w:rsidRPr="00A25900">
          <w:rPr>
            <w:rFonts w:ascii="Arial Narrow" w:hAnsi="Arial Narrow"/>
            <w:noProof/>
          </w:rPr>
          <w:fldChar w:fldCharType="end"/>
        </w:r>
      </w:hyperlink>
      <w:r w:rsidRPr="00A25900">
        <w:rPr>
          <w:rFonts w:ascii="Arial Narrow" w:hAnsi="Arial Narrow"/>
        </w:rPr>
        <w:t xml:space="preserve"> Figure 1A p 1789; </w:t>
      </w:r>
      <w:hyperlink w:anchor="_ENREF_1" w:tooltip="Cortes, 2013 #2" w:history="1">
        <w:r w:rsidRPr="00A25900">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A25900">
          <w:rPr>
            <w:rFonts w:ascii="Arial Narrow" w:hAnsi="Arial Narrow"/>
          </w:rPr>
          <w:instrText xml:space="preserve"> ADDIN EN.CITE </w:instrText>
        </w:r>
        <w:r w:rsidRPr="00A25900">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A25900">
          <w:rPr>
            <w:rFonts w:ascii="Arial Narrow" w:hAnsi="Arial Narrow"/>
          </w:rPr>
          <w:instrText xml:space="preserve"> ADDIN EN.CITE.DATA </w:instrText>
        </w:r>
        <w:r w:rsidRPr="00A25900">
          <w:rPr>
            <w:rFonts w:ascii="Arial Narrow" w:hAnsi="Arial Narrow"/>
          </w:rPr>
        </w:r>
        <w:r w:rsidRPr="00A25900">
          <w:rPr>
            <w:rFonts w:ascii="Arial Narrow" w:hAnsi="Arial Narrow"/>
          </w:rPr>
          <w:fldChar w:fldCharType="end"/>
        </w:r>
        <w:r w:rsidRPr="00A25900">
          <w:rPr>
            <w:rFonts w:ascii="Arial Narrow" w:hAnsi="Arial Narrow"/>
          </w:rPr>
        </w:r>
        <w:r w:rsidRPr="00A25900">
          <w:rPr>
            <w:rFonts w:ascii="Arial Narrow" w:hAnsi="Arial Narrow"/>
          </w:rPr>
          <w:fldChar w:fldCharType="separate"/>
        </w:r>
        <w:r w:rsidRPr="00A25900">
          <w:rPr>
            <w:rFonts w:ascii="Arial Narrow" w:hAnsi="Arial Narrow"/>
            <w:noProof/>
          </w:rPr>
          <w:t>Cortes et al. (2013)</w:t>
        </w:r>
        <w:r w:rsidRPr="00A25900">
          <w:rPr>
            <w:rFonts w:ascii="Arial Narrow" w:hAnsi="Arial Narrow"/>
            <w:noProof/>
          </w:rPr>
          <w:fldChar w:fldCharType="end"/>
        </w:r>
      </w:hyperlink>
      <w:r w:rsidRPr="00A25900">
        <w:rPr>
          <w:rFonts w:ascii="Arial Narrow" w:hAnsi="Arial Narrow"/>
        </w:rPr>
        <w:t xml:space="preserve"> supplement Table S3 pdf p 43; </w:t>
      </w:r>
      <w:hyperlink w:anchor="_ENREF_2" w:tooltip="Cortes, 2018 #3" w:history="1">
        <w:r w:rsidRPr="00A25900">
          <w:rPr>
            <w:rFonts w:ascii="Arial Narrow" w:hAnsi="Arial Narrow"/>
          </w:rPr>
          <w:fldChar w:fldCharType="begin" w:fldLock="1">
            <w:fldData xml:space="preserve">PEVuZE5vdGU+PENpdGUgQXV0aG9yWWVhcj0iMSI+PEF1dGhvcj5Db3J0ZXM8L0F1dGhvcj48WWVh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</w:fldData>
          </w:fldChar>
        </w:r>
        <w:r w:rsidRPr="00A25900">
          <w:rPr>
            <w:rFonts w:ascii="Arial Narrow" w:hAnsi="Arial Narrow"/>
          </w:rPr>
          <w:instrText xml:space="preserve"> ADDIN EN.CITE </w:instrText>
        </w:r>
        <w:r w:rsidRPr="00A25900">
          <w:rPr>
            <w:rFonts w:ascii="Arial Narrow" w:hAnsi="Arial Narrow"/>
          </w:rPr>
          <w:fldChar w:fldCharType="begin" w:fldLock="1">
            <w:fldData xml:space="preserve">PEVuZE5vdGU+PENpdGUgQXV0aG9yWWVhcj0iMSI+PEF1dGhvcj5Db3J0ZXM8L0F1dGhvcj48WWVh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</w:fldData>
          </w:fldChar>
        </w:r>
        <w:r w:rsidRPr="00A25900">
          <w:rPr>
            <w:rFonts w:ascii="Arial Narrow" w:hAnsi="Arial Narrow"/>
          </w:rPr>
          <w:instrText xml:space="preserve"> ADDIN EN.CITE.DATA </w:instrText>
        </w:r>
        <w:r w:rsidRPr="00A25900">
          <w:rPr>
            <w:rFonts w:ascii="Arial Narrow" w:hAnsi="Arial Narrow"/>
          </w:rPr>
        </w:r>
        <w:r w:rsidRPr="00A25900">
          <w:rPr>
            <w:rFonts w:ascii="Arial Narrow" w:hAnsi="Arial Narrow"/>
          </w:rPr>
          <w:fldChar w:fldCharType="end"/>
        </w:r>
        <w:r w:rsidRPr="00A25900">
          <w:rPr>
            <w:rFonts w:ascii="Arial Narrow" w:hAnsi="Arial Narrow"/>
          </w:rPr>
        </w:r>
        <w:r w:rsidRPr="00A25900">
          <w:rPr>
            <w:rFonts w:ascii="Arial Narrow" w:hAnsi="Arial Narrow"/>
          </w:rPr>
          <w:fldChar w:fldCharType="separate"/>
        </w:r>
        <w:r w:rsidRPr="00A25900">
          <w:rPr>
            <w:rFonts w:ascii="Arial Narrow" w:hAnsi="Arial Narrow"/>
            <w:noProof/>
          </w:rPr>
          <w:t>Cortes et al. (2018)</w:t>
        </w:r>
        <w:r w:rsidRPr="00A25900">
          <w:rPr>
            <w:rFonts w:ascii="Arial Narrow" w:hAnsi="Arial Narrow"/>
            <w:noProof/>
          </w:rPr>
          <w:fldChar w:fldCharType="end"/>
        </w:r>
      </w:hyperlink>
      <w:r w:rsidRPr="00A25900">
        <w:rPr>
          <w:rFonts w:ascii="Arial Narrow" w:hAnsi="Arial Narrow"/>
        </w:rPr>
        <w:t xml:space="preserve"> Figure 1A p 396, Supplement, Figure S1B, p9</w:t>
      </w:r>
      <w:r w:rsidR="00A25900">
        <w:rPr>
          <w:rFonts w:ascii="Arial Narrow" w:hAnsi="Arial Narrow"/>
        </w:rPr>
        <w:t>.</w:t>
      </w:r>
    </w:p>
    <w:p w14:paraId="21222F93" w14:textId="45B0EAA2" w:rsidR="00BE012B" w:rsidRPr="00A25900" w:rsidRDefault="00CF7D84" w:rsidP="00CF73F8">
      <w:pPr>
        <w:pStyle w:val="Tablefooter"/>
        <w:rPr>
          <w:rFonts w:ascii="Arial Narrow" w:hAnsi="Arial Narrow"/>
        </w:rPr>
      </w:pPr>
      <w:r>
        <w:rPr>
          <w:rFonts w:ascii="Arial Narrow" w:hAnsi="Arial Narrow"/>
        </w:rPr>
        <w:t>CCyR = complete cytogenic response.</w:t>
      </w:r>
    </w:p>
    <w:p w14:paraId="55DEE968" w14:textId="673FF1BB" w:rsidR="00A940F6" w:rsidRPr="00A25900" w:rsidRDefault="00A25900" w:rsidP="00CF73F8">
      <w:pPr>
        <w:pStyle w:val="Tablefooter"/>
        <w:rPr>
          <w:rFonts w:ascii="Arial Narrow" w:hAnsi="Arial Narrow"/>
        </w:rPr>
      </w:pPr>
      <w:r w:rsidRPr="00A25900">
        <w:rPr>
          <w:rFonts w:ascii="Arial Narrow" w:hAnsi="Arial Narrow"/>
        </w:rPr>
        <w:t xml:space="preserve">a </w:t>
      </w:r>
      <w:r w:rsidR="00A940F6" w:rsidRPr="00A25900">
        <w:rPr>
          <w:rFonts w:ascii="Arial Narrow" w:hAnsi="Arial Narrow"/>
        </w:rPr>
        <w:t>Estimated from Cortes et al, 2018 Figure S1B</w:t>
      </w:r>
      <w:r>
        <w:rPr>
          <w:rFonts w:ascii="Arial Narrow" w:hAnsi="Arial Narrow"/>
        </w:rPr>
        <w:t>.</w:t>
      </w:r>
    </w:p>
    <w:p w14:paraId="125B74EB" w14:textId="77777777" w:rsidR="00CF73F8" w:rsidRPr="00A93F80" w:rsidRDefault="00CF73F8" w:rsidP="00CF73F8">
      <w:pPr>
        <w:pStyle w:val="Tablefooter"/>
      </w:pPr>
    </w:p>
    <w:p w14:paraId="591653F9" w14:textId="77777777" w:rsidR="00B96A78" w:rsidRPr="00B96A78" w:rsidRDefault="00A940F6" w:rsidP="00CF73F8">
      <w:pPr>
        <w:pStyle w:val="3-BodyText"/>
        <w:numPr>
          <w:ilvl w:val="0"/>
          <w:numId w:val="0"/>
        </w:numPr>
        <w:ind w:left="720" w:hanging="720"/>
        <w:rPr>
          <w:u w:val="single"/>
        </w:rPr>
      </w:pPr>
      <w:r w:rsidRPr="0039787B">
        <w:rPr>
          <w:b/>
          <w:bCs/>
          <w:i/>
          <w:iCs/>
        </w:rPr>
        <w:t>Indirect comparison of efficacy</w:t>
      </w:r>
      <w:r w:rsidR="0039787B" w:rsidRPr="0039787B">
        <w:rPr>
          <w:b/>
          <w:bCs/>
          <w:i/>
          <w:iCs/>
        </w:rPr>
        <w:t>:</w:t>
      </w:r>
      <w:r w:rsidR="0039787B">
        <w:rPr>
          <w:b/>
          <w:bCs/>
          <w:i/>
          <w:iCs/>
        </w:rPr>
        <w:t xml:space="preserve"> </w:t>
      </w:r>
      <w:r w:rsidR="0039787B" w:rsidRPr="0039787B">
        <w:rPr>
          <w:b/>
          <w:bCs/>
          <w:i/>
          <w:iCs/>
        </w:rPr>
        <w:t xml:space="preserve">X2101 </w:t>
      </w:r>
      <w:r w:rsidR="0039787B">
        <w:rPr>
          <w:b/>
          <w:bCs/>
          <w:i/>
          <w:iCs/>
        </w:rPr>
        <w:t xml:space="preserve">(asciminib) vs </w:t>
      </w:r>
      <w:r w:rsidR="0039787B" w:rsidRPr="0039787B">
        <w:rPr>
          <w:b/>
          <w:bCs/>
          <w:i/>
          <w:iCs/>
        </w:rPr>
        <w:t xml:space="preserve">PACE </w:t>
      </w:r>
      <w:r w:rsidR="0039787B">
        <w:rPr>
          <w:b/>
          <w:bCs/>
          <w:i/>
          <w:iCs/>
        </w:rPr>
        <w:t>(ponatinib)</w:t>
      </w:r>
    </w:p>
    <w:p w14:paraId="15C833E3" w14:textId="7D30ED8E" w:rsidR="00A940F6" w:rsidRPr="00A25900" w:rsidRDefault="00A940F6" w:rsidP="00CF73F8">
      <w:pPr>
        <w:pStyle w:val="3-BodyText"/>
      </w:pPr>
      <w:r w:rsidRPr="00A25900">
        <w:t xml:space="preserve">The results of the </w:t>
      </w:r>
      <w:r w:rsidR="00497662" w:rsidRPr="003D6834">
        <w:t>unanchored and unadjusted</w:t>
      </w:r>
      <w:r w:rsidR="00497662" w:rsidRPr="00A25900">
        <w:t xml:space="preserve"> </w:t>
      </w:r>
      <w:r w:rsidRPr="00A25900">
        <w:t>indirect comparison of cumulative MMR in CML-CP patients harbouring the T315I mutation are presented in</w:t>
      </w:r>
      <w:r w:rsidR="00A25900" w:rsidRPr="00A25900">
        <w:t xml:space="preserve"> </w:t>
      </w:r>
      <w:r w:rsidR="00A25900" w:rsidRPr="00A25900">
        <w:rPr>
          <w:rFonts w:cstheme="minorHAnsi"/>
        </w:rPr>
        <w:fldChar w:fldCharType="begin" w:fldLock="1"/>
      </w:r>
      <w:r w:rsidR="00A25900" w:rsidRPr="00A25900">
        <w:rPr>
          <w:rFonts w:cstheme="minorHAnsi"/>
        </w:rPr>
        <w:instrText xml:space="preserve"> REF _Ref114505637 \h  \* MERGEFORMAT </w:instrText>
      </w:r>
      <w:r w:rsidR="00A25900" w:rsidRPr="00A25900">
        <w:rPr>
          <w:rFonts w:cstheme="minorHAnsi"/>
        </w:rPr>
      </w:r>
      <w:r w:rsidR="00A25900" w:rsidRPr="00A25900">
        <w:rPr>
          <w:rFonts w:cstheme="minorHAnsi"/>
        </w:rPr>
        <w:fldChar w:fldCharType="separate"/>
      </w:r>
      <w:r w:rsidR="00196FF1" w:rsidRPr="00196FF1">
        <w:rPr>
          <w:rFonts w:cstheme="minorHAnsi"/>
        </w:rPr>
        <w:t xml:space="preserve">Table </w:t>
      </w:r>
      <w:r w:rsidR="00196FF1" w:rsidRPr="00196FF1">
        <w:rPr>
          <w:rFonts w:cstheme="minorHAnsi"/>
          <w:noProof/>
        </w:rPr>
        <w:t>10</w:t>
      </w:r>
      <w:r w:rsidR="00A25900" w:rsidRPr="00A25900">
        <w:rPr>
          <w:rFonts w:cstheme="minorHAnsi"/>
        </w:rPr>
        <w:fldChar w:fldCharType="end"/>
      </w:r>
      <w:r w:rsidRPr="00A25900">
        <w:t>. The comparisons were conducted using the T315I mutation analysis set from X2101, which comprises both ponatinib-naïve and ponatinib pre-treated patients, as well as the subgroup of ponatinib-naïve patients. Patients in the T315I mutation analysis set are those patients that align with the proposed PBS criteria (i.e., at least one prior TKI and harbour the T315I mutation). Patients in the ponatinib-naïve subgroup of X2101 most closely align with those in PACE with respect to being ponatinib-naïve at baseline. There was no statistically significant difference between asciminib and ponatinib in any of the comparisons of cumulative MMR.</w:t>
      </w:r>
    </w:p>
    <w:p w14:paraId="3C7B5B90" w14:textId="63BA03A1" w:rsidR="00A940F6" w:rsidRPr="00A25900" w:rsidRDefault="00A25900" w:rsidP="00A25900">
      <w:pPr>
        <w:pStyle w:val="Tableheading"/>
        <w:jc w:val="left"/>
        <w:rPr>
          <w:rFonts w:ascii="Arial Narrow" w:hAnsi="Arial Narrow"/>
        </w:rPr>
      </w:pPr>
      <w:bookmarkStart w:id="30" w:name="_Ref114505637"/>
      <w:bookmarkStart w:id="31" w:name="_Toc112315928"/>
      <w:r w:rsidRPr="00A25900">
        <w:rPr>
          <w:rFonts w:ascii="Arial Narrow" w:hAnsi="Arial Narrow"/>
        </w:rPr>
        <w:t xml:space="preserve">Table </w:t>
      </w:r>
      <w:r w:rsidRPr="00A25900">
        <w:rPr>
          <w:rFonts w:ascii="Arial Narrow" w:hAnsi="Arial Narrow"/>
        </w:rPr>
        <w:fldChar w:fldCharType="begin" w:fldLock="1"/>
      </w:r>
      <w:r w:rsidRPr="00A25900">
        <w:rPr>
          <w:rFonts w:ascii="Arial Narrow" w:hAnsi="Arial Narrow"/>
        </w:rPr>
        <w:instrText xml:space="preserve"> SEQ Table \* ARABIC </w:instrText>
      </w:r>
      <w:r w:rsidRPr="00A25900">
        <w:rPr>
          <w:rFonts w:ascii="Arial Narrow" w:hAnsi="Arial Narrow"/>
        </w:rPr>
        <w:fldChar w:fldCharType="separate"/>
      </w:r>
      <w:r w:rsidR="00100F00">
        <w:rPr>
          <w:rFonts w:ascii="Arial Narrow" w:hAnsi="Arial Narrow"/>
          <w:noProof/>
        </w:rPr>
        <w:t>10</w:t>
      </w:r>
      <w:r w:rsidRPr="00A25900">
        <w:rPr>
          <w:rFonts w:ascii="Arial Narrow" w:hAnsi="Arial Narrow"/>
        </w:rPr>
        <w:fldChar w:fldCharType="end"/>
      </w:r>
      <w:bookmarkEnd w:id="30"/>
      <w:r w:rsidRPr="00A25900">
        <w:rPr>
          <w:rFonts w:ascii="Arial Narrow" w:hAnsi="Arial Narrow"/>
        </w:rPr>
        <w:t xml:space="preserve">: </w:t>
      </w:r>
      <w:r w:rsidR="00A940F6" w:rsidRPr="00A25900">
        <w:rPr>
          <w:rFonts w:ascii="Arial Narrow" w:hAnsi="Arial Narrow"/>
        </w:rPr>
        <w:t>Indirect comparison of cumulative MMR in patients with T315I mutation</w:t>
      </w:r>
      <w:bookmarkEnd w:id="31"/>
      <w:r w:rsidR="0047714D">
        <w:rPr>
          <w:rFonts w:ascii="Arial Narrow" w:hAnsi="Arial Narrow"/>
        </w:rPr>
        <w:t>*</w:t>
      </w:r>
    </w:p>
    <w:tbl>
      <w:tblPr>
        <w:tblStyle w:val="TableGrid"/>
        <w:tblW w:w="5000" w:type="pct"/>
        <w:tblLook w:val="04A0" w:firstRow="1" w:lastRow="0" w:firstColumn="1" w:lastColumn="0" w:noHBand="0" w:noVBand="1"/>
        <w:tblCaption w:val="Table 10: Indirect comparison of cumulative MMR in patients with T315I mutation*"/>
      </w:tblPr>
      <w:tblGrid>
        <w:gridCol w:w="1555"/>
        <w:gridCol w:w="1134"/>
        <w:gridCol w:w="1275"/>
        <w:gridCol w:w="1590"/>
        <w:gridCol w:w="1729"/>
        <w:gridCol w:w="1733"/>
      </w:tblGrid>
      <w:tr w:rsidR="00A940F6" w:rsidRPr="000D3AF3" w14:paraId="6B5CBECC" w14:textId="77777777" w:rsidTr="00A25900">
        <w:tc>
          <w:tcPr>
            <w:tcW w:w="862" w:type="pct"/>
            <w:tcBorders>
              <w:bottom w:val="single" w:sz="4" w:space="0" w:color="auto"/>
            </w:tcBorders>
            <w:shd w:val="clear" w:color="auto" w:fill="FFFFFF" w:themeFill="background1"/>
          </w:tcPr>
          <w:p w14:paraId="637483D1" w14:textId="77777777" w:rsidR="00A940F6" w:rsidRPr="000D3AF3" w:rsidRDefault="00A940F6" w:rsidP="00750019">
            <w:pPr>
              <w:pStyle w:val="Tableheading"/>
              <w:jc w:val="left"/>
              <w:rPr>
                <w:rFonts w:ascii="Arial Narrow" w:hAnsi="Arial Narrow"/>
              </w:rPr>
            </w:pPr>
            <w:r w:rsidRPr="000D3AF3">
              <w:rPr>
                <w:rFonts w:ascii="Arial Narrow" w:hAnsi="Arial Narrow"/>
              </w:rPr>
              <w:t>Outcomes/ Timepoint</w:t>
            </w:r>
          </w:p>
        </w:tc>
        <w:tc>
          <w:tcPr>
            <w:tcW w:w="629" w:type="pct"/>
            <w:tcBorders>
              <w:bottom w:val="single" w:sz="4" w:space="0" w:color="auto"/>
            </w:tcBorders>
            <w:shd w:val="clear" w:color="auto" w:fill="FFFFFF" w:themeFill="background1"/>
            <w:vAlign w:val="center"/>
          </w:tcPr>
          <w:p w14:paraId="1E9ED959" w14:textId="77777777" w:rsidR="00A940F6" w:rsidRPr="000D3AF3" w:rsidRDefault="00A940F6" w:rsidP="00750019">
            <w:pPr>
              <w:pStyle w:val="Tableheading"/>
              <w:rPr>
                <w:rFonts w:ascii="Arial Narrow" w:hAnsi="Arial Narrow"/>
              </w:rPr>
            </w:pPr>
            <w:r w:rsidRPr="000D3AF3">
              <w:rPr>
                <w:rFonts w:ascii="Arial Narrow" w:hAnsi="Arial Narrow"/>
              </w:rPr>
              <w:t>Asciminib 200 mg twice daily</w:t>
            </w:r>
          </w:p>
          <w:p w14:paraId="07F1E755" w14:textId="4F04EDF1" w:rsidR="00E2758B" w:rsidRPr="000D3AF3" w:rsidRDefault="00E2758B" w:rsidP="00750019">
            <w:pPr>
              <w:pStyle w:val="Tableheading"/>
              <w:rPr>
                <w:rFonts w:ascii="Arial Narrow" w:hAnsi="Arial Narrow"/>
              </w:rPr>
            </w:pPr>
            <w:r w:rsidRPr="000D3AF3">
              <w:rPr>
                <w:rFonts w:ascii="Arial Narrow" w:hAnsi="Arial Narrow"/>
              </w:rPr>
              <w:t>n (%)</w:t>
            </w:r>
          </w:p>
        </w:tc>
        <w:tc>
          <w:tcPr>
            <w:tcW w:w="707" w:type="pct"/>
            <w:tcBorders>
              <w:bottom w:val="single" w:sz="4" w:space="0" w:color="auto"/>
            </w:tcBorders>
            <w:shd w:val="clear" w:color="auto" w:fill="FFFFFF" w:themeFill="background1"/>
            <w:vAlign w:val="center"/>
          </w:tcPr>
          <w:p w14:paraId="4426DE51" w14:textId="77777777" w:rsidR="00A940F6" w:rsidRPr="000D3AF3" w:rsidRDefault="00A940F6" w:rsidP="00750019">
            <w:pPr>
              <w:pStyle w:val="Tableheading"/>
              <w:rPr>
                <w:rFonts w:ascii="Arial Narrow" w:hAnsi="Arial Narrow"/>
              </w:rPr>
            </w:pPr>
            <w:r w:rsidRPr="000D3AF3">
              <w:rPr>
                <w:rFonts w:ascii="Arial Narrow" w:hAnsi="Arial Narrow"/>
              </w:rPr>
              <w:t>Ponatinib 45</w:t>
            </w:r>
            <w:r w:rsidR="00E2758B" w:rsidRPr="000D3AF3">
              <w:rPr>
                <w:rFonts w:ascii="Arial Narrow" w:hAnsi="Arial Narrow"/>
              </w:rPr>
              <w:t> </w:t>
            </w:r>
            <w:r w:rsidRPr="000D3AF3">
              <w:rPr>
                <w:rFonts w:ascii="Arial Narrow" w:hAnsi="Arial Narrow"/>
              </w:rPr>
              <w:t>mg once daily</w:t>
            </w:r>
          </w:p>
          <w:p w14:paraId="66446BC3" w14:textId="222B969B" w:rsidR="00E2758B" w:rsidRPr="000D3AF3" w:rsidRDefault="00E2758B" w:rsidP="00750019">
            <w:pPr>
              <w:pStyle w:val="Tableheading"/>
              <w:rPr>
                <w:rFonts w:ascii="Arial Narrow" w:hAnsi="Arial Narrow"/>
              </w:rPr>
            </w:pPr>
            <w:r w:rsidRPr="000D3AF3">
              <w:rPr>
                <w:rFonts w:ascii="Arial Narrow" w:hAnsi="Arial Narrow"/>
              </w:rPr>
              <w:t>n (%)</w:t>
            </w:r>
          </w:p>
        </w:tc>
        <w:tc>
          <w:tcPr>
            <w:tcW w:w="882" w:type="pct"/>
            <w:tcBorders>
              <w:bottom w:val="single" w:sz="4" w:space="0" w:color="auto"/>
            </w:tcBorders>
            <w:shd w:val="clear" w:color="auto" w:fill="FFFFFF" w:themeFill="background1"/>
            <w:vAlign w:val="center"/>
          </w:tcPr>
          <w:p w14:paraId="1900662D" w14:textId="77777777" w:rsidR="00A940F6" w:rsidRPr="000D3AF3" w:rsidRDefault="00A940F6" w:rsidP="00750019">
            <w:pPr>
              <w:pStyle w:val="Tableheading"/>
              <w:rPr>
                <w:rFonts w:ascii="Arial Narrow" w:hAnsi="Arial Narrow"/>
              </w:rPr>
            </w:pPr>
            <w:r w:rsidRPr="000D3AF3">
              <w:rPr>
                <w:rFonts w:ascii="Arial Narrow" w:hAnsi="Arial Narrow"/>
              </w:rPr>
              <w:t>OR (95% CI)</w:t>
            </w:r>
          </w:p>
          <w:p w14:paraId="69E70768" w14:textId="6E1E3CF6" w:rsidR="00E2758B" w:rsidRPr="000D3AF3" w:rsidRDefault="00E2758B" w:rsidP="00750019">
            <w:pPr>
              <w:pStyle w:val="Tableheading"/>
              <w:rPr>
                <w:rFonts w:ascii="Arial Narrow" w:hAnsi="Arial Narrow"/>
              </w:rPr>
            </w:pPr>
            <w:r w:rsidRPr="000D3AF3">
              <w:rPr>
                <w:rFonts w:ascii="Arial Narrow" w:hAnsi="Arial Narrow"/>
              </w:rPr>
              <w:t>P value</w:t>
            </w:r>
          </w:p>
        </w:tc>
        <w:tc>
          <w:tcPr>
            <w:tcW w:w="959" w:type="pct"/>
            <w:tcBorders>
              <w:bottom w:val="single" w:sz="4" w:space="0" w:color="auto"/>
            </w:tcBorders>
            <w:shd w:val="clear" w:color="auto" w:fill="FFFFFF" w:themeFill="background1"/>
            <w:vAlign w:val="center"/>
          </w:tcPr>
          <w:p w14:paraId="6DD52645" w14:textId="77777777" w:rsidR="00A940F6" w:rsidRPr="000D3AF3" w:rsidRDefault="00A940F6" w:rsidP="00750019">
            <w:pPr>
              <w:pStyle w:val="Tableheading"/>
              <w:rPr>
                <w:rFonts w:ascii="Arial Narrow" w:hAnsi="Arial Narrow"/>
              </w:rPr>
            </w:pPr>
            <w:r w:rsidRPr="000D3AF3">
              <w:rPr>
                <w:rFonts w:ascii="Arial Narrow" w:hAnsi="Arial Narrow"/>
              </w:rPr>
              <w:t>RR (95% CI)</w:t>
            </w:r>
          </w:p>
          <w:p w14:paraId="5F140C60" w14:textId="1A715383" w:rsidR="00E2758B" w:rsidRPr="000D3AF3" w:rsidRDefault="00E2758B" w:rsidP="00750019">
            <w:pPr>
              <w:pStyle w:val="Tableheading"/>
              <w:rPr>
                <w:rFonts w:ascii="Arial Narrow" w:hAnsi="Arial Narrow"/>
              </w:rPr>
            </w:pPr>
            <w:r w:rsidRPr="000D3AF3">
              <w:rPr>
                <w:rFonts w:ascii="Arial Narrow" w:hAnsi="Arial Narrow"/>
              </w:rPr>
              <w:t>P value</w:t>
            </w:r>
          </w:p>
        </w:tc>
        <w:tc>
          <w:tcPr>
            <w:tcW w:w="961" w:type="pct"/>
            <w:tcBorders>
              <w:bottom w:val="single" w:sz="4" w:space="0" w:color="auto"/>
            </w:tcBorders>
            <w:shd w:val="clear" w:color="auto" w:fill="FFFFFF" w:themeFill="background1"/>
            <w:vAlign w:val="center"/>
          </w:tcPr>
          <w:p w14:paraId="1F7C0985" w14:textId="77777777" w:rsidR="00A940F6" w:rsidRPr="000D3AF3" w:rsidRDefault="00A940F6" w:rsidP="00750019">
            <w:pPr>
              <w:pStyle w:val="Tableheading"/>
              <w:rPr>
                <w:rFonts w:ascii="Arial Narrow" w:hAnsi="Arial Narrow"/>
              </w:rPr>
            </w:pPr>
            <w:r w:rsidRPr="000D3AF3">
              <w:rPr>
                <w:rFonts w:ascii="Arial Narrow" w:hAnsi="Arial Narrow"/>
              </w:rPr>
              <w:t>RD (95% CI)</w:t>
            </w:r>
          </w:p>
          <w:p w14:paraId="1F2BB8C9" w14:textId="7485EBE2" w:rsidR="00E2758B" w:rsidRPr="000D3AF3" w:rsidRDefault="00E2758B" w:rsidP="00750019">
            <w:pPr>
              <w:pStyle w:val="Tableheading"/>
              <w:rPr>
                <w:rFonts w:ascii="Arial Narrow" w:hAnsi="Arial Narrow"/>
              </w:rPr>
            </w:pPr>
            <w:r w:rsidRPr="000D3AF3">
              <w:rPr>
                <w:rFonts w:ascii="Arial Narrow" w:hAnsi="Arial Narrow"/>
              </w:rPr>
              <w:t>P value</w:t>
            </w:r>
          </w:p>
        </w:tc>
      </w:tr>
      <w:tr w:rsidR="00A940F6" w:rsidRPr="000D3AF3" w14:paraId="77C14608" w14:textId="77777777" w:rsidTr="00750019">
        <w:tc>
          <w:tcPr>
            <w:tcW w:w="5000" w:type="pct"/>
            <w:gridSpan w:val="6"/>
            <w:tcBorders>
              <w:top w:val="single" w:sz="4" w:space="0" w:color="auto"/>
              <w:bottom w:val="nil"/>
            </w:tcBorders>
            <w:shd w:val="clear" w:color="auto" w:fill="F2F2F2" w:themeFill="background1" w:themeFillShade="F2"/>
          </w:tcPr>
          <w:p w14:paraId="601098C2" w14:textId="77777777" w:rsidR="00A940F6" w:rsidRPr="000D3AF3" w:rsidRDefault="00A940F6" w:rsidP="00750019">
            <w:pPr>
              <w:pStyle w:val="Btable"/>
              <w:rPr>
                <w:rFonts w:ascii="Arial Narrow" w:hAnsi="Arial Narrow"/>
              </w:rPr>
            </w:pPr>
            <w:r w:rsidRPr="000D3AF3">
              <w:rPr>
                <w:rFonts w:ascii="Arial Narrow" w:hAnsi="Arial Narrow"/>
              </w:rPr>
              <w:t>Asciminib (T315I mutation analysis set)</w:t>
            </w:r>
          </w:p>
        </w:tc>
      </w:tr>
      <w:tr w:rsidR="00A940F6" w:rsidRPr="000D3AF3" w14:paraId="64D2824E" w14:textId="77777777" w:rsidTr="00A25900">
        <w:tc>
          <w:tcPr>
            <w:tcW w:w="862" w:type="pct"/>
            <w:tcBorders>
              <w:top w:val="single" w:sz="4" w:space="0" w:color="auto"/>
              <w:bottom w:val="single" w:sz="4" w:space="0" w:color="auto"/>
            </w:tcBorders>
          </w:tcPr>
          <w:p w14:paraId="4CA88EE7" w14:textId="77777777" w:rsidR="00A940F6" w:rsidRPr="000D3AF3" w:rsidRDefault="00A940F6" w:rsidP="00A25900">
            <w:pPr>
              <w:pStyle w:val="Tabletext0"/>
              <w:jc w:val="left"/>
              <w:rPr>
                <w:rFonts w:ascii="Arial Narrow" w:hAnsi="Arial Narrow"/>
              </w:rPr>
            </w:pPr>
            <w:r w:rsidRPr="000D3AF3">
              <w:rPr>
                <w:rFonts w:ascii="Arial Narrow" w:hAnsi="Arial Narrow"/>
              </w:rPr>
              <w:t>By 24 weeks /</w:t>
            </w:r>
          </w:p>
          <w:p w14:paraId="797F0044" w14:textId="5CBD7D24" w:rsidR="00A940F6" w:rsidRPr="000D3AF3" w:rsidRDefault="00A940F6" w:rsidP="00A25900">
            <w:pPr>
              <w:pStyle w:val="Tabletext0"/>
              <w:jc w:val="left"/>
              <w:rPr>
                <w:rFonts w:ascii="Arial Narrow" w:hAnsi="Arial Narrow"/>
              </w:rPr>
            </w:pPr>
            <w:r w:rsidRPr="000D3AF3">
              <w:rPr>
                <w:rFonts w:ascii="Arial Narrow" w:hAnsi="Arial Narrow"/>
              </w:rPr>
              <w:t>6 months</w:t>
            </w:r>
          </w:p>
        </w:tc>
        <w:tc>
          <w:tcPr>
            <w:tcW w:w="629" w:type="pct"/>
            <w:tcBorders>
              <w:top w:val="single" w:sz="4" w:space="0" w:color="auto"/>
              <w:bottom w:val="single" w:sz="4" w:space="0" w:color="auto"/>
            </w:tcBorders>
          </w:tcPr>
          <w:p w14:paraId="183A346E" w14:textId="3EBFD73D" w:rsidR="00A940F6" w:rsidRPr="000D3AF3" w:rsidRDefault="00A25900" w:rsidP="00750019">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45</w:t>
            </w:r>
          </w:p>
          <w:p w14:paraId="0BFA2007" w14:textId="77777777" w:rsidR="00A940F6" w:rsidRPr="000D3AF3" w:rsidRDefault="00A940F6" w:rsidP="00750019">
            <w:pPr>
              <w:pStyle w:val="Tablecentre"/>
              <w:rPr>
                <w:rFonts w:ascii="Arial Narrow" w:hAnsi="Arial Narrow"/>
              </w:rPr>
            </w:pPr>
            <w:r w:rsidRPr="000D3AF3">
              <w:rPr>
                <w:rFonts w:ascii="Arial Narrow" w:hAnsi="Arial Narrow"/>
              </w:rPr>
              <w:t>19 (42.2)</w:t>
            </w:r>
          </w:p>
        </w:tc>
        <w:tc>
          <w:tcPr>
            <w:tcW w:w="707" w:type="pct"/>
            <w:tcBorders>
              <w:top w:val="single" w:sz="4" w:space="0" w:color="auto"/>
              <w:bottom w:val="single" w:sz="4" w:space="0" w:color="auto"/>
            </w:tcBorders>
          </w:tcPr>
          <w:p w14:paraId="15AB6BA3" w14:textId="77777777" w:rsidR="00A940F6" w:rsidRPr="000D3AF3" w:rsidRDefault="00A940F6" w:rsidP="00750019">
            <w:pPr>
              <w:pStyle w:val="Tablecentre"/>
              <w:rPr>
                <w:rFonts w:ascii="Arial Narrow" w:hAnsi="Arial Narrow"/>
              </w:rPr>
            </w:pPr>
            <w:r w:rsidRPr="000D3AF3">
              <w:rPr>
                <w:rFonts w:ascii="Arial Narrow" w:hAnsi="Arial Narrow"/>
              </w:rPr>
              <w:t>N = 64</w:t>
            </w:r>
          </w:p>
          <w:p w14:paraId="6C4CFD71" w14:textId="77777777" w:rsidR="00A940F6" w:rsidRPr="000D3AF3" w:rsidRDefault="00A940F6" w:rsidP="00750019">
            <w:pPr>
              <w:pStyle w:val="Tablecentre"/>
              <w:rPr>
                <w:rFonts w:ascii="Arial Narrow" w:hAnsi="Arial Narrow"/>
              </w:rPr>
            </w:pPr>
            <w:r w:rsidRPr="000D3AF3">
              <w:rPr>
                <w:rFonts w:ascii="Arial Narrow" w:hAnsi="Arial Narrow"/>
              </w:rPr>
              <w:t>26 (40.6)</w:t>
            </w:r>
          </w:p>
        </w:tc>
        <w:tc>
          <w:tcPr>
            <w:tcW w:w="882" w:type="pct"/>
            <w:tcBorders>
              <w:top w:val="single" w:sz="4" w:space="0" w:color="auto"/>
              <w:bottom w:val="single" w:sz="4" w:space="0" w:color="auto"/>
            </w:tcBorders>
          </w:tcPr>
          <w:p w14:paraId="60A3BEDA" w14:textId="77777777" w:rsidR="00A940F6" w:rsidRPr="000D3AF3" w:rsidRDefault="00A940F6" w:rsidP="00750019">
            <w:pPr>
              <w:pStyle w:val="Tablecentre"/>
              <w:rPr>
                <w:rFonts w:ascii="Arial Narrow" w:hAnsi="Arial Narrow"/>
              </w:rPr>
            </w:pPr>
            <w:r w:rsidRPr="000D3AF3">
              <w:rPr>
                <w:rFonts w:ascii="Arial Narrow" w:hAnsi="Arial Narrow"/>
              </w:rPr>
              <w:t>1.07 (0.49, 2.32)</w:t>
            </w:r>
          </w:p>
          <w:p w14:paraId="04DD9321" w14:textId="77777777" w:rsidR="00A940F6" w:rsidRPr="000D3AF3" w:rsidRDefault="00A940F6" w:rsidP="00750019">
            <w:pPr>
              <w:pStyle w:val="Tablecentre"/>
              <w:rPr>
                <w:rFonts w:ascii="Arial Narrow" w:hAnsi="Arial Narrow"/>
              </w:rPr>
            </w:pPr>
            <w:r w:rsidRPr="000D3AF3">
              <w:rPr>
                <w:rFonts w:ascii="Arial Narrow" w:hAnsi="Arial Narrow"/>
              </w:rPr>
              <w:t>P = 0.87</w:t>
            </w:r>
          </w:p>
        </w:tc>
        <w:tc>
          <w:tcPr>
            <w:tcW w:w="959" w:type="pct"/>
            <w:tcBorders>
              <w:top w:val="single" w:sz="4" w:space="0" w:color="auto"/>
              <w:bottom w:val="single" w:sz="4" w:space="0" w:color="auto"/>
            </w:tcBorders>
          </w:tcPr>
          <w:p w14:paraId="43621BF9" w14:textId="77777777" w:rsidR="00A940F6" w:rsidRPr="000D3AF3" w:rsidRDefault="00A940F6" w:rsidP="00750019">
            <w:pPr>
              <w:pStyle w:val="Tablecentre"/>
              <w:rPr>
                <w:rFonts w:ascii="Arial Narrow" w:hAnsi="Arial Narrow"/>
              </w:rPr>
            </w:pPr>
            <w:r w:rsidRPr="000D3AF3">
              <w:rPr>
                <w:rFonts w:ascii="Arial Narrow" w:hAnsi="Arial Narrow"/>
              </w:rPr>
              <w:t>1.04 (0.66, 1.63)</w:t>
            </w:r>
          </w:p>
          <w:p w14:paraId="25D80822" w14:textId="77777777" w:rsidR="00A940F6" w:rsidRPr="000D3AF3" w:rsidRDefault="00A940F6" w:rsidP="00750019">
            <w:pPr>
              <w:pStyle w:val="Tablecentre"/>
              <w:rPr>
                <w:rFonts w:ascii="Arial Narrow" w:hAnsi="Arial Narrow"/>
              </w:rPr>
            </w:pPr>
            <w:r w:rsidRPr="000D3AF3">
              <w:rPr>
                <w:rFonts w:ascii="Arial Narrow" w:hAnsi="Arial Narrow"/>
              </w:rPr>
              <w:t>P = 0.87</w:t>
            </w:r>
          </w:p>
        </w:tc>
        <w:tc>
          <w:tcPr>
            <w:tcW w:w="961" w:type="pct"/>
            <w:tcBorders>
              <w:top w:val="single" w:sz="4" w:space="0" w:color="auto"/>
              <w:bottom w:val="single" w:sz="4" w:space="0" w:color="auto"/>
            </w:tcBorders>
          </w:tcPr>
          <w:p w14:paraId="6BBCD0AC" w14:textId="77777777" w:rsidR="00A940F6" w:rsidRPr="000D3AF3" w:rsidRDefault="00A940F6" w:rsidP="00750019">
            <w:pPr>
              <w:pStyle w:val="Tablecentre"/>
              <w:rPr>
                <w:rFonts w:ascii="Arial Narrow" w:hAnsi="Arial Narrow"/>
              </w:rPr>
            </w:pPr>
            <w:r w:rsidRPr="000D3AF3">
              <w:rPr>
                <w:rFonts w:ascii="Arial Narrow" w:hAnsi="Arial Narrow"/>
              </w:rPr>
              <w:t>0.02 (-0.17, 0.20)</w:t>
            </w:r>
          </w:p>
          <w:p w14:paraId="459E4BE6" w14:textId="77777777" w:rsidR="00A940F6" w:rsidRPr="000D3AF3" w:rsidRDefault="00A940F6" w:rsidP="00750019">
            <w:pPr>
              <w:pStyle w:val="Tablecentre"/>
              <w:rPr>
                <w:rFonts w:ascii="Arial Narrow" w:hAnsi="Arial Narrow"/>
              </w:rPr>
            </w:pPr>
            <w:r w:rsidRPr="000D3AF3">
              <w:rPr>
                <w:rFonts w:ascii="Arial Narrow" w:hAnsi="Arial Narrow"/>
              </w:rPr>
              <w:t>P = 0.87</w:t>
            </w:r>
          </w:p>
        </w:tc>
      </w:tr>
      <w:tr w:rsidR="00A940F6" w:rsidRPr="000D3AF3" w14:paraId="3E2E8D03" w14:textId="77777777" w:rsidTr="00A25900">
        <w:tc>
          <w:tcPr>
            <w:tcW w:w="862" w:type="pct"/>
            <w:tcBorders>
              <w:top w:val="single" w:sz="4" w:space="0" w:color="auto"/>
              <w:bottom w:val="single" w:sz="4" w:space="0" w:color="auto"/>
            </w:tcBorders>
          </w:tcPr>
          <w:p w14:paraId="7ADDDCAC" w14:textId="77777777" w:rsidR="00A940F6" w:rsidRPr="000D3AF3" w:rsidRDefault="00A940F6" w:rsidP="00A25900">
            <w:pPr>
              <w:pStyle w:val="Tabletext0"/>
              <w:jc w:val="left"/>
              <w:rPr>
                <w:rFonts w:ascii="Arial Narrow" w:hAnsi="Arial Narrow"/>
              </w:rPr>
            </w:pPr>
            <w:r w:rsidRPr="000D3AF3">
              <w:rPr>
                <w:rFonts w:ascii="Arial Narrow" w:hAnsi="Arial Narrow"/>
              </w:rPr>
              <w:t xml:space="preserve">By 48 weeks / </w:t>
            </w:r>
          </w:p>
          <w:p w14:paraId="2C67B9BB" w14:textId="178D65FB" w:rsidR="00A940F6" w:rsidRPr="000D3AF3" w:rsidRDefault="00A940F6" w:rsidP="00A25900">
            <w:pPr>
              <w:pStyle w:val="Tabletext0"/>
              <w:jc w:val="left"/>
              <w:rPr>
                <w:rFonts w:ascii="Arial Narrow" w:hAnsi="Arial Narrow"/>
              </w:rPr>
            </w:pPr>
            <w:r w:rsidRPr="000D3AF3">
              <w:rPr>
                <w:rFonts w:ascii="Arial Narrow" w:hAnsi="Arial Narrow"/>
              </w:rPr>
              <w:t>12 months</w:t>
            </w:r>
          </w:p>
        </w:tc>
        <w:tc>
          <w:tcPr>
            <w:tcW w:w="629" w:type="pct"/>
            <w:tcBorders>
              <w:top w:val="single" w:sz="4" w:space="0" w:color="auto"/>
              <w:bottom w:val="single" w:sz="4" w:space="0" w:color="auto"/>
            </w:tcBorders>
          </w:tcPr>
          <w:p w14:paraId="224D0F88" w14:textId="77777777" w:rsidR="00A940F6" w:rsidRPr="000D3AF3" w:rsidRDefault="00A940F6" w:rsidP="00750019">
            <w:pPr>
              <w:pStyle w:val="Tablecentre"/>
              <w:rPr>
                <w:rFonts w:ascii="Arial Narrow" w:hAnsi="Arial Narrow"/>
              </w:rPr>
            </w:pPr>
            <w:r w:rsidRPr="000D3AF3">
              <w:rPr>
                <w:rFonts w:ascii="Arial Narrow" w:hAnsi="Arial Narrow"/>
              </w:rPr>
              <w:t>N = 45</w:t>
            </w:r>
          </w:p>
          <w:p w14:paraId="01598AA9" w14:textId="77777777" w:rsidR="00A940F6" w:rsidRPr="000D3AF3" w:rsidRDefault="00A940F6" w:rsidP="00750019">
            <w:pPr>
              <w:pStyle w:val="Tablecentre"/>
              <w:rPr>
                <w:rFonts w:ascii="Arial Narrow" w:hAnsi="Arial Narrow"/>
              </w:rPr>
            </w:pPr>
            <w:r w:rsidRPr="000D3AF3">
              <w:rPr>
                <w:rFonts w:ascii="Arial Narrow" w:hAnsi="Arial Narrow"/>
              </w:rPr>
              <w:t>20 (44.4)</w:t>
            </w:r>
          </w:p>
        </w:tc>
        <w:tc>
          <w:tcPr>
            <w:tcW w:w="707" w:type="pct"/>
            <w:tcBorders>
              <w:top w:val="single" w:sz="4" w:space="0" w:color="auto"/>
              <w:bottom w:val="single" w:sz="4" w:space="0" w:color="auto"/>
            </w:tcBorders>
          </w:tcPr>
          <w:p w14:paraId="632915FD" w14:textId="77777777" w:rsidR="00A940F6" w:rsidRPr="000D3AF3" w:rsidRDefault="00A940F6" w:rsidP="00750019">
            <w:pPr>
              <w:pStyle w:val="Tablecentre"/>
              <w:rPr>
                <w:rFonts w:ascii="Arial Narrow" w:hAnsi="Arial Narrow"/>
              </w:rPr>
            </w:pPr>
            <w:r w:rsidRPr="000D3AF3">
              <w:rPr>
                <w:rFonts w:ascii="Arial Narrow" w:hAnsi="Arial Narrow"/>
              </w:rPr>
              <w:t>N = 64</w:t>
            </w:r>
          </w:p>
          <w:p w14:paraId="3A3D6547" w14:textId="77777777" w:rsidR="00A940F6" w:rsidRPr="000D3AF3" w:rsidRDefault="00A940F6" w:rsidP="00750019">
            <w:pPr>
              <w:pStyle w:val="Tablecentre"/>
              <w:rPr>
                <w:rFonts w:ascii="Arial Narrow" w:hAnsi="Arial Narrow"/>
              </w:rPr>
            </w:pPr>
            <w:r w:rsidRPr="000D3AF3">
              <w:rPr>
                <w:rFonts w:ascii="Arial Narrow" w:hAnsi="Arial Narrow"/>
              </w:rPr>
              <w:t>36 (56)</w:t>
            </w:r>
          </w:p>
        </w:tc>
        <w:tc>
          <w:tcPr>
            <w:tcW w:w="882" w:type="pct"/>
            <w:tcBorders>
              <w:top w:val="single" w:sz="4" w:space="0" w:color="auto"/>
              <w:bottom w:val="single" w:sz="4" w:space="0" w:color="auto"/>
            </w:tcBorders>
          </w:tcPr>
          <w:p w14:paraId="606315FB" w14:textId="77777777" w:rsidR="00A940F6" w:rsidRPr="000D3AF3" w:rsidRDefault="00A940F6" w:rsidP="00750019">
            <w:pPr>
              <w:pStyle w:val="Tablecentre"/>
              <w:rPr>
                <w:rFonts w:ascii="Arial Narrow" w:hAnsi="Arial Narrow"/>
              </w:rPr>
            </w:pPr>
            <w:r w:rsidRPr="000D3AF3">
              <w:rPr>
                <w:rFonts w:ascii="Arial Narrow" w:hAnsi="Arial Narrow"/>
              </w:rPr>
              <w:t>0.62 (0.29, 1.34)</w:t>
            </w:r>
          </w:p>
          <w:p w14:paraId="544F1912" w14:textId="77777777" w:rsidR="00A940F6" w:rsidRPr="000D3AF3" w:rsidRDefault="00A940F6" w:rsidP="00750019">
            <w:pPr>
              <w:pStyle w:val="Tablecentre"/>
              <w:rPr>
                <w:rFonts w:ascii="Arial Narrow" w:hAnsi="Arial Narrow"/>
              </w:rPr>
            </w:pPr>
            <w:r w:rsidRPr="000D3AF3">
              <w:rPr>
                <w:rFonts w:ascii="Arial Narrow" w:hAnsi="Arial Narrow"/>
              </w:rPr>
              <w:t>P = 0.23</w:t>
            </w:r>
          </w:p>
        </w:tc>
        <w:tc>
          <w:tcPr>
            <w:tcW w:w="959" w:type="pct"/>
            <w:tcBorders>
              <w:top w:val="single" w:sz="4" w:space="0" w:color="auto"/>
              <w:bottom w:val="single" w:sz="4" w:space="0" w:color="auto"/>
            </w:tcBorders>
          </w:tcPr>
          <w:p w14:paraId="7981AE0A" w14:textId="77777777" w:rsidR="00A940F6" w:rsidRPr="000D3AF3" w:rsidRDefault="00A940F6" w:rsidP="00750019">
            <w:pPr>
              <w:pStyle w:val="Tablecentre"/>
              <w:rPr>
                <w:rFonts w:ascii="Arial Narrow" w:hAnsi="Arial Narrow"/>
              </w:rPr>
            </w:pPr>
            <w:r w:rsidRPr="000D3AF3">
              <w:rPr>
                <w:rFonts w:ascii="Arial Narrow" w:hAnsi="Arial Narrow"/>
              </w:rPr>
              <w:t>0.79 (0.53, 1.17)</w:t>
            </w:r>
          </w:p>
          <w:p w14:paraId="7EFEA20D" w14:textId="77777777" w:rsidR="00A940F6" w:rsidRPr="000D3AF3" w:rsidRDefault="00A940F6" w:rsidP="00750019">
            <w:pPr>
              <w:pStyle w:val="Tablecentre"/>
              <w:rPr>
                <w:rFonts w:ascii="Arial Narrow" w:hAnsi="Arial Narrow"/>
              </w:rPr>
            </w:pPr>
            <w:r w:rsidRPr="000D3AF3">
              <w:rPr>
                <w:rFonts w:ascii="Arial Narrow" w:hAnsi="Arial Narrow"/>
              </w:rPr>
              <w:t>P = 0.24</w:t>
            </w:r>
          </w:p>
        </w:tc>
        <w:tc>
          <w:tcPr>
            <w:tcW w:w="961" w:type="pct"/>
            <w:tcBorders>
              <w:top w:val="single" w:sz="4" w:space="0" w:color="auto"/>
              <w:bottom w:val="single" w:sz="4" w:space="0" w:color="auto"/>
            </w:tcBorders>
          </w:tcPr>
          <w:p w14:paraId="099BC6A2" w14:textId="77777777" w:rsidR="00A940F6" w:rsidRPr="000D3AF3" w:rsidRDefault="00A940F6" w:rsidP="00750019">
            <w:pPr>
              <w:pStyle w:val="Tablecentre"/>
              <w:rPr>
                <w:rFonts w:ascii="Arial Narrow" w:hAnsi="Arial Narrow"/>
              </w:rPr>
            </w:pPr>
            <w:r w:rsidRPr="000D3AF3">
              <w:rPr>
                <w:rFonts w:ascii="Arial Narrow" w:hAnsi="Arial Narrow"/>
              </w:rPr>
              <w:t>-0.12 (-0.31, 0.07)</w:t>
            </w:r>
          </w:p>
          <w:p w14:paraId="381FFCB5" w14:textId="77777777" w:rsidR="00A940F6" w:rsidRPr="000D3AF3" w:rsidRDefault="00A940F6" w:rsidP="00750019">
            <w:pPr>
              <w:pStyle w:val="Tablecentre"/>
              <w:rPr>
                <w:rFonts w:ascii="Arial Narrow" w:hAnsi="Arial Narrow"/>
              </w:rPr>
            </w:pPr>
            <w:r w:rsidRPr="000D3AF3">
              <w:rPr>
                <w:rFonts w:ascii="Arial Narrow" w:hAnsi="Arial Narrow"/>
              </w:rPr>
              <w:t>P = 0.22</w:t>
            </w:r>
          </w:p>
        </w:tc>
      </w:tr>
      <w:tr w:rsidR="00A940F6" w:rsidRPr="000D3AF3" w14:paraId="4A9F9C65" w14:textId="77777777" w:rsidTr="00750019">
        <w:tc>
          <w:tcPr>
            <w:tcW w:w="5000" w:type="pct"/>
            <w:gridSpan w:val="6"/>
            <w:tcBorders>
              <w:top w:val="single" w:sz="4" w:space="0" w:color="auto"/>
              <w:bottom w:val="single" w:sz="4" w:space="0" w:color="auto"/>
            </w:tcBorders>
            <w:shd w:val="clear" w:color="auto" w:fill="F2F2F2" w:themeFill="background1" w:themeFillShade="F2"/>
          </w:tcPr>
          <w:p w14:paraId="1AE47D17" w14:textId="77777777" w:rsidR="00A940F6" w:rsidRPr="000D3AF3" w:rsidRDefault="00A940F6" w:rsidP="00750019">
            <w:pPr>
              <w:pStyle w:val="Btable"/>
              <w:rPr>
                <w:rFonts w:ascii="Arial Narrow" w:hAnsi="Arial Narrow"/>
              </w:rPr>
            </w:pPr>
            <w:r w:rsidRPr="000D3AF3">
              <w:rPr>
                <w:rFonts w:ascii="Arial Narrow" w:hAnsi="Arial Narrow"/>
              </w:rPr>
              <w:t>Asciminib (ponatinib-naïve patients)</w:t>
            </w:r>
          </w:p>
        </w:tc>
      </w:tr>
      <w:tr w:rsidR="00A940F6" w:rsidRPr="000D3AF3" w14:paraId="26D3A484" w14:textId="77777777" w:rsidTr="00A25900">
        <w:tc>
          <w:tcPr>
            <w:tcW w:w="862" w:type="pct"/>
            <w:tcBorders>
              <w:top w:val="single" w:sz="4" w:space="0" w:color="auto"/>
              <w:bottom w:val="single" w:sz="4" w:space="0" w:color="auto"/>
            </w:tcBorders>
          </w:tcPr>
          <w:p w14:paraId="683F9BA4" w14:textId="77777777" w:rsidR="00A940F6" w:rsidRPr="000D3AF3" w:rsidRDefault="00A940F6" w:rsidP="00750019">
            <w:pPr>
              <w:pStyle w:val="Tabletext0"/>
              <w:rPr>
                <w:rFonts w:ascii="Arial Narrow" w:hAnsi="Arial Narrow"/>
              </w:rPr>
            </w:pPr>
            <w:r w:rsidRPr="000D3AF3">
              <w:rPr>
                <w:rFonts w:ascii="Arial Narrow" w:hAnsi="Arial Narrow"/>
              </w:rPr>
              <w:t>By 24 weeks /</w:t>
            </w:r>
          </w:p>
          <w:p w14:paraId="6B42D152" w14:textId="6C2966CB" w:rsidR="00A940F6" w:rsidRPr="000D3AF3" w:rsidRDefault="00A940F6" w:rsidP="00750019">
            <w:pPr>
              <w:pStyle w:val="Tabletext0"/>
              <w:rPr>
                <w:rFonts w:ascii="Arial Narrow" w:hAnsi="Arial Narrow"/>
              </w:rPr>
            </w:pPr>
            <w:r w:rsidRPr="000D3AF3">
              <w:rPr>
                <w:rFonts w:ascii="Arial Narrow" w:hAnsi="Arial Narrow"/>
              </w:rPr>
              <w:t>6 months</w:t>
            </w:r>
          </w:p>
        </w:tc>
        <w:tc>
          <w:tcPr>
            <w:tcW w:w="629" w:type="pct"/>
            <w:tcBorders>
              <w:top w:val="single" w:sz="4" w:space="0" w:color="auto"/>
              <w:bottom w:val="single" w:sz="4" w:space="0" w:color="auto"/>
            </w:tcBorders>
          </w:tcPr>
          <w:p w14:paraId="7D652275" w14:textId="038958A7" w:rsidR="00A940F6" w:rsidRPr="000D3AF3" w:rsidRDefault="00A25900" w:rsidP="00750019">
            <w:pPr>
              <w:pStyle w:val="Tablecentre"/>
              <w:rPr>
                <w:rFonts w:ascii="Arial Narrow" w:hAnsi="Arial Narrow"/>
              </w:rPr>
            </w:pPr>
            <w:r w:rsidRPr="000D3AF3">
              <w:rPr>
                <w:rFonts w:ascii="Arial Narrow" w:hAnsi="Arial Narrow"/>
              </w:rPr>
              <w:t>N</w:t>
            </w:r>
            <w:r w:rsidR="00A940F6" w:rsidRPr="000D3AF3">
              <w:rPr>
                <w:rFonts w:ascii="Arial Narrow" w:hAnsi="Arial Narrow"/>
              </w:rPr>
              <w:t xml:space="preserve"> = 19</w:t>
            </w:r>
          </w:p>
          <w:p w14:paraId="2BE7E375" w14:textId="77777777" w:rsidR="00A940F6" w:rsidRPr="000D3AF3" w:rsidRDefault="00A940F6" w:rsidP="00750019">
            <w:pPr>
              <w:pStyle w:val="Tablecentre"/>
              <w:rPr>
                <w:rFonts w:ascii="Arial Narrow" w:hAnsi="Arial Narrow"/>
              </w:rPr>
            </w:pPr>
            <w:r w:rsidRPr="000D3AF3">
              <w:rPr>
                <w:rFonts w:ascii="Arial Narrow" w:hAnsi="Arial Narrow"/>
              </w:rPr>
              <w:t>11 (57.9)</w:t>
            </w:r>
          </w:p>
        </w:tc>
        <w:tc>
          <w:tcPr>
            <w:tcW w:w="707" w:type="pct"/>
            <w:tcBorders>
              <w:top w:val="single" w:sz="4" w:space="0" w:color="auto"/>
              <w:bottom w:val="single" w:sz="4" w:space="0" w:color="auto"/>
            </w:tcBorders>
          </w:tcPr>
          <w:p w14:paraId="7A0DCA34" w14:textId="77777777" w:rsidR="00A940F6" w:rsidRPr="000D3AF3" w:rsidRDefault="00A940F6" w:rsidP="00750019">
            <w:pPr>
              <w:pStyle w:val="Tablecentre"/>
              <w:rPr>
                <w:rFonts w:ascii="Arial Narrow" w:hAnsi="Arial Narrow"/>
              </w:rPr>
            </w:pPr>
            <w:r w:rsidRPr="000D3AF3">
              <w:rPr>
                <w:rFonts w:ascii="Arial Narrow" w:hAnsi="Arial Narrow"/>
              </w:rPr>
              <w:t>N = 64</w:t>
            </w:r>
          </w:p>
          <w:p w14:paraId="7E1330C3" w14:textId="77777777" w:rsidR="00A940F6" w:rsidRPr="000D3AF3" w:rsidRDefault="00A940F6" w:rsidP="00750019">
            <w:pPr>
              <w:pStyle w:val="Tablecentre"/>
              <w:rPr>
                <w:rFonts w:ascii="Arial Narrow" w:hAnsi="Arial Narrow"/>
              </w:rPr>
            </w:pPr>
            <w:r w:rsidRPr="000D3AF3">
              <w:rPr>
                <w:rFonts w:ascii="Arial Narrow" w:hAnsi="Arial Narrow"/>
              </w:rPr>
              <w:t>26 (40.6)</w:t>
            </w:r>
          </w:p>
        </w:tc>
        <w:tc>
          <w:tcPr>
            <w:tcW w:w="882" w:type="pct"/>
            <w:tcBorders>
              <w:top w:val="single" w:sz="4" w:space="0" w:color="auto"/>
              <w:bottom w:val="single" w:sz="4" w:space="0" w:color="auto"/>
            </w:tcBorders>
          </w:tcPr>
          <w:p w14:paraId="41429D0E" w14:textId="77777777" w:rsidR="00A940F6" w:rsidRPr="000D3AF3" w:rsidRDefault="00A940F6" w:rsidP="00750019">
            <w:pPr>
              <w:pStyle w:val="Tablecentre"/>
              <w:rPr>
                <w:rFonts w:ascii="Arial Narrow" w:hAnsi="Arial Narrow"/>
              </w:rPr>
            </w:pPr>
            <w:r w:rsidRPr="000D3AF3">
              <w:rPr>
                <w:rFonts w:ascii="Arial Narrow" w:hAnsi="Arial Narrow"/>
              </w:rPr>
              <w:t>2.01 (0.71, 5.68)</w:t>
            </w:r>
          </w:p>
          <w:p w14:paraId="338FF170" w14:textId="77777777" w:rsidR="00A940F6" w:rsidRPr="000D3AF3" w:rsidRDefault="00A940F6" w:rsidP="00750019">
            <w:pPr>
              <w:pStyle w:val="Tablecentre"/>
              <w:rPr>
                <w:rFonts w:ascii="Arial Narrow" w:hAnsi="Arial Narrow"/>
              </w:rPr>
            </w:pPr>
            <w:r w:rsidRPr="000D3AF3">
              <w:rPr>
                <w:rFonts w:ascii="Arial Narrow" w:hAnsi="Arial Narrow"/>
              </w:rPr>
              <w:t>P = 0.19</w:t>
            </w:r>
          </w:p>
        </w:tc>
        <w:tc>
          <w:tcPr>
            <w:tcW w:w="959" w:type="pct"/>
            <w:tcBorders>
              <w:top w:val="single" w:sz="4" w:space="0" w:color="auto"/>
              <w:bottom w:val="single" w:sz="4" w:space="0" w:color="auto"/>
            </w:tcBorders>
          </w:tcPr>
          <w:p w14:paraId="342E16E0" w14:textId="77777777" w:rsidR="00A940F6" w:rsidRPr="000D3AF3" w:rsidRDefault="00A940F6" w:rsidP="00750019">
            <w:pPr>
              <w:pStyle w:val="Tablecentre"/>
              <w:rPr>
                <w:rFonts w:ascii="Arial Narrow" w:hAnsi="Arial Narrow"/>
              </w:rPr>
            </w:pPr>
            <w:r w:rsidRPr="000D3AF3">
              <w:rPr>
                <w:rFonts w:ascii="Arial Narrow" w:hAnsi="Arial Narrow"/>
              </w:rPr>
              <w:t>1.43 (0.88, 2.31)</w:t>
            </w:r>
          </w:p>
          <w:p w14:paraId="67306A43" w14:textId="77777777" w:rsidR="00A940F6" w:rsidRPr="000D3AF3" w:rsidRDefault="00A940F6" w:rsidP="00750019">
            <w:pPr>
              <w:pStyle w:val="Tablecentre"/>
              <w:rPr>
                <w:rFonts w:ascii="Arial Narrow" w:hAnsi="Arial Narrow"/>
              </w:rPr>
            </w:pPr>
            <w:r w:rsidRPr="000D3AF3">
              <w:rPr>
                <w:rFonts w:ascii="Arial Narrow" w:hAnsi="Arial Narrow"/>
              </w:rPr>
              <w:t>P = 0.15</w:t>
            </w:r>
          </w:p>
        </w:tc>
        <w:tc>
          <w:tcPr>
            <w:tcW w:w="961" w:type="pct"/>
            <w:tcBorders>
              <w:top w:val="single" w:sz="4" w:space="0" w:color="auto"/>
              <w:bottom w:val="single" w:sz="4" w:space="0" w:color="auto"/>
            </w:tcBorders>
          </w:tcPr>
          <w:p w14:paraId="476972D7" w14:textId="77777777" w:rsidR="00A940F6" w:rsidRPr="000D3AF3" w:rsidRDefault="00A940F6" w:rsidP="00750019">
            <w:pPr>
              <w:pStyle w:val="Tablecentre"/>
              <w:rPr>
                <w:rFonts w:ascii="Arial Narrow" w:hAnsi="Arial Narrow"/>
              </w:rPr>
            </w:pPr>
            <w:r w:rsidRPr="000D3AF3">
              <w:rPr>
                <w:rFonts w:ascii="Arial Narrow" w:hAnsi="Arial Narrow"/>
              </w:rPr>
              <w:t>0.17 (-0.08, 0.43)</w:t>
            </w:r>
          </w:p>
          <w:p w14:paraId="33678E87" w14:textId="77777777" w:rsidR="00A940F6" w:rsidRPr="000D3AF3" w:rsidRDefault="00A940F6" w:rsidP="00750019">
            <w:pPr>
              <w:pStyle w:val="Tablecentre"/>
              <w:rPr>
                <w:rFonts w:ascii="Arial Narrow" w:hAnsi="Arial Narrow"/>
              </w:rPr>
            </w:pPr>
            <w:r w:rsidRPr="000D3AF3">
              <w:rPr>
                <w:rFonts w:ascii="Arial Narrow" w:hAnsi="Arial Narrow"/>
              </w:rPr>
              <w:t>P = 0.18</w:t>
            </w:r>
          </w:p>
        </w:tc>
      </w:tr>
      <w:tr w:rsidR="00A940F6" w:rsidRPr="000D3AF3" w14:paraId="64FE3A17" w14:textId="77777777" w:rsidTr="00A25900">
        <w:tc>
          <w:tcPr>
            <w:tcW w:w="862" w:type="pct"/>
            <w:tcBorders>
              <w:top w:val="single" w:sz="4" w:space="0" w:color="auto"/>
              <w:bottom w:val="single" w:sz="4" w:space="0" w:color="auto"/>
            </w:tcBorders>
          </w:tcPr>
          <w:p w14:paraId="205B1CC5" w14:textId="6EA823E4" w:rsidR="00A940F6" w:rsidRPr="000D3AF3" w:rsidRDefault="00A940F6" w:rsidP="00750019">
            <w:pPr>
              <w:pStyle w:val="Tabletext0"/>
              <w:rPr>
                <w:rFonts w:ascii="Arial Narrow" w:hAnsi="Arial Narrow"/>
              </w:rPr>
            </w:pPr>
            <w:r w:rsidRPr="000D3AF3">
              <w:rPr>
                <w:rFonts w:ascii="Arial Narrow" w:hAnsi="Arial Narrow"/>
              </w:rPr>
              <w:t>By 48 weeks / 12 months</w:t>
            </w:r>
          </w:p>
        </w:tc>
        <w:tc>
          <w:tcPr>
            <w:tcW w:w="629" w:type="pct"/>
            <w:tcBorders>
              <w:top w:val="single" w:sz="4" w:space="0" w:color="auto"/>
              <w:bottom w:val="single" w:sz="4" w:space="0" w:color="auto"/>
            </w:tcBorders>
          </w:tcPr>
          <w:p w14:paraId="626B699C" w14:textId="77777777" w:rsidR="00A940F6" w:rsidRPr="000D3AF3" w:rsidRDefault="00A940F6" w:rsidP="00750019">
            <w:pPr>
              <w:pStyle w:val="Tablecentre"/>
              <w:rPr>
                <w:rFonts w:ascii="Arial Narrow" w:hAnsi="Arial Narrow"/>
              </w:rPr>
            </w:pPr>
            <w:r w:rsidRPr="000D3AF3">
              <w:rPr>
                <w:rFonts w:ascii="Arial Narrow" w:hAnsi="Arial Narrow"/>
              </w:rPr>
              <w:t>N = 19</w:t>
            </w:r>
          </w:p>
          <w:p w14:paraId="4DBF80C7" w14:textId="77777777" w:rsidR="00A940F6" w:rsidRPr="000D3AF3" w:rsidRDefault="00A940F6" w:rsidP="00750019">
            <w:pPr>
              <w:pStyle w:val="Tablecentre"/>
              <w:rPr>
                <w:rFonts w:ascii="Arial Narrow" w:hAnsi="Arial Narrow"/>
              </w:rPr>
            </w:pPr>
            <w:r w:rsidRPr="000D3AF3">
              <w:rPr>
                <w:rFonts w:ascii="Arial Narrow" w:hAnsi="Arial Narrow"/>
              </w:rPr>
              <w:t>11 (57.9)</w:t>
            </w:r>
          </w:p>
        </w:tc>
        <w:tc>
          <w:tcPr>
            <w:tcW w:w="707" w:type="pct"/>
            <w:tcBorders>
              <w:top w:val="single" w:sz="4" w:space="0" w:color="auto"/>
              <w:bottom w:val="single" w:sz="4" w:space="0" w:color="auto"/>
            </w:tcBorders>
          </w:tcPr>
          <w:p w14:paraId="46BC3CD7" w14:textId="77777777" w:rsidR="00A940F6" w:rsidRPr="000D3AF3" w:rsidRDefault="00A940F6" w:rsidP="00750019">
            <w:pPr>
              <w:pStyle w:val="Tablecentre"/>
              <w:rPr>
                <w:rFonts w:ascii="Arial Narrow" w:hAnsi="Arial Narrow"/>
              </w:rPr>
            </w:pPr>
            <w:r w:rsidRPr="000D3AF3">
              <w:rPr>
                <w:rFonts w:ascii="Arial Narrow" w:hAnsi="Arial Narrow"/>
              </w:rPr>
              <w:t xml:space="preserve">N = 64 </w:t>
            </w:r>
          </w:p>
          <w:p w14:paraId="3E76E92F" w14:textId="77777777" w:rsidR="00A940F6" w:rsidRPr="000D3AF3" w:rsidRDefault="00A940F6" w:rsidP="00750019">
            <w:pPr>
              <w:pStyle w:val="Tablecentre"/>
              <w:rPr>
                <w:rFonts w:ascii="Arial Narrow" w:hAnsi="Arial Narrow"/>
              </w:rPr>
            </w:pPr>
            <w:r w:rsidRPr="000D3AF3">
              <w:rPr>
                <w:rFonts w:ascii="Arial Narrow" w:hAnsi="Arial Narrow"/>
              </w:rPr>
              <w:t>36 (56)</w:t>
            </w:r>
          </w:p>
        </w:tc>
        <w:tc>
          <w:tcPr>
            <w:tcW w:w="882" w:type="pct"/>
            <w:tcBorders>
              <w:top w:val="single" w:sz="4" w:space="0" w:color="auto"/>
              <w:bottom w:val="single" w:sz="4" w:space="0" w:color="auto"/>
            </w:tcBorders>
          </w:tcPr>
          <w:p w14:paraId="72DC8B2F" w14:textId="77777777" w:rsidR="00A940F6" w:rsidRPr="000D3AF3" w:rsidRDefault="00A940F6" w:rsidP="00750019">
            <w:pPr>
              <w:pStyle w:val="Tablecentre"/>
              <w:rPr>
                <w:rFonts w:ascii="Arial Narrow" w:hAnsi="Arial Narrow"/>
              </w:rPr>
            </w:pPr>
            <w:r w:rsidRPr="000D3AF3">
              <w:rPr>
                <w:rFonts w:ascii="Arial Narrow" w:hAnsi="Arial Narrow"/>
              </w:rPr>
              <w:t>1.07 (0.38, 3.01)</w:t>
            </w:r>
          </w:p>
          <w:p w14:paraId="11D4857C" w14:textId="77777777" w:rsidR="00A940F6" w:rsidRPr="000D3AF3" w:rsidRDefault="00A940F6" w:rsidP="00750019">
            <w:pPr>
              <w:pStyle w:val="Tablecentre"/>
              <w:rPr>
                <w:rFonts w:ascii="Arial Narrow" w:hAnsi="Arial Narrow"/>
              </w:rPr>
            </w:pPr>
            <w:r w:rsidRPr="000D3AF3">
              <w:rPr>
                <w:rFonts w:ascii="Arial Narrow" w:hAnsi="Arial Narrow"/>
              </w:rPr>
              <w:t>P = 0.90</w:t>
            </w:r>
          </w:p>
        </w:tc>
        <w:tc>
          <w:tcPr>
            <w:tcW w:w="959" w:type="pct"/>
            <w:tcBorders>
              <w:top w:val="single" w:sz="4" w:space="0" w:color="auto"/>
              <w:bottom w:val="single" w:sz="4" w:space="0" w:color="auto"/>
            </w:tcBorders>
          </w:tcPr>
          <w:p w14:paraId="21119FD2" w14:textId="77777777" w:rsidR="00A940F6" w:rsidRPr="000D3AF3" w:rsidRDefault="00A940F6" w:rsidP="00750019">
            <w:pPr>
              <w:pStyle w:val="Tablecentre"/>
              <w:rPr>
                <w:rFonts w:ascii="Arial Narrow" w:hAnsi="Arial Narrow"/>
              </w:rPr>
            </w:pPr>
            <w:r w:rsidRPr="000D3AF3">
              <w:rPr>
                <w:rFonts w:ascii="Arial Narrow" w:hAnsi="Arial Narrow"/>
              </w:rPr>
              <w:t>1.03 (0.66, 1.60)</w:t>
            </w:r>
          </w:p>
          <w:p w14:paraId="3C2CF07D" w14:textId="77777777" w:rsidR="00A940F6" w:rsidRPr="000D3AF3" w:rsidRDefault="00A940F6" w:rsidP="00750019">
            <w:pPr>
              <w:pStyle w:val="Tablecentre"/>
              <w:rPr>
                <w:rFonts w:ascii="Arial Narrow" w:hAnsi="Arial Narrow"/>
              </w:rPr>
            </w:pPr>
            <w:r w:rsidRPr="000D3AF3">
              <w:rPr>
                <w:rFonts w:ascii="Arial Narrow" w:hAnsi="Arial Narrow"/>
              </w:rPr>
              <w:t>P = 0.90</w:t>
            </w:r>
          </w:p>
        </w:tc>
        <w:tc>
          <w:tcPr>
            <w:tcW w:w="961" w:type="pct"/>
            <w:tcBorders>
              <w:top w:val="single" w:sz="4" w:space="0" w:color="auto"/>
              <w:bottom w:val="single" w:sz="4" w:space="0" w:color="auto"/>
            </w:tcBorders>
          </w:tcPr>
          <w:p w14:paraId="2312C3E7" w14:textId="77777777" w:rsidR="00A940F6" w:rsidRPr="000D3AF3" w:rsidRDefault="00A940F6" w:rsidP="00750019">
            <w:pPr>
              <w:pStyle w:val="Tablecentre"/>
              <w:rPr>
                <w:rFonts w:ascii="Arial Narrow" w:hAnsi="Arial Narrow"/>
              </w:rPr>
            </w:pPr>
            <w:r w:rsidRPr="000D3AF3">
              <w:rPr>
                <w:rFonts w:ascii="Arial Narrow" w:hAnsi="Arial Narrow"/>
              </w:rPr>
              <w:t>0.02 (-0.24, 0.27)</w:t>
            </w:r>
          </w:p>
          <w:p w14:paraId="21F23C40" w14:textId="77777777" w:rsidR="00A940F6" w:rsidRPr="000D3AF3" w:rsidRDefault="00A940F6" w:rsidP="00750019">
            <w:pPr>
              <w:pStyle w:val="Tablecentre"/>
              <w:rPr>
                <w:rFonts w:ascii="Arial Narrow" w:hAnsi="Arial Narrow"/>
              </w:rPr>
            </w:pPr>
            <w:r w:rsidRPr="000D3AF3">
              <w:rPr>
                <w:rFonts w:ascii="Arial Narrow" w:hAnsi="Arial Narrow"/>
              </w:rPr>
              <w:t>P = 0.90</w:t>
            </w:r>
          </w:p>
        </w:tc>
      </w:tr>
    </w:tbl>
    <w:p w14:paraId="7FABC1AA" w14:textId="63258273" w:rsidR="00CF73F8" w:rsidRDefault="00A25900" w:rsidP="00BE012B">
      <w:pPr>
        <w:pStyle w:val="3-BodyText"/>
        <w:numPr>
          <w:ilvl w:val="0"/>
          <w:numId w:val="0"/>
        </w:numPr>
        <w:spacing w:after="0"/>
        <w:ind w:left="720" w:hanging="720"/>
        <w:rPr>
          <w:rFonts w:ascii="Arial Narrow" w:hAnsi="Arial Narrow"/>
          <w:sz w:val="18"/>
          <w:szCs w:val="18"/>
        </w:rPr>
      </w:pPr>
      <w:r w:rsidRPr="00A25900">
        <w:rPr>
          <w:rFonts w:ascii="Arial Narrow" w:hAnsi="Arial Narrow"/>
          <w:sz w:val="18"/>
          <w:szCs w:val="18"/>
        </w:rPr>
        <w:t>Source: Resubmission Table 2-7</w:t>
      </w:r>
    </w:p>
    <w:p w14:paraId="310A6D4A" w14:textId="63105295" w:rsidR="00BE012B" w:rsidRDefault="00497662" w:rsidP="00BE012B">
      <w:pPr>
        <w:pStyle w:val="3-BodyText"/>
        <w:numPr>
          <w:ilvl w:val="0"/>
          <w:numId w:val="0"/>
        </w:numPr>
        <w:spacing w:after="0"/>
        <w:ind w:left="720" w:hanging="720"/>
        <w:rPr>
          <w:rFonts w:ascii="Arial Narrow" w:hAnsi="Arial Narrow"/>
          <w:sz w:val="18"/>
          <w:szCs w:val="18"/>
        </w:rPr>
      </w:pPr>
      <w:r>
        <w:rPr>
          <w:rFonts w:ascii="Arial Narrow" w:hAnsi="Arial Narrow"/>
          <w:sz w:val="18"/>
          <w:szCs w:val="18"/>
        </w:rPr>
        <w:t>MMR = major molecular response; OR = odds ratio; RD = risk difference; RR = relative risk.</w:t>
      </w:r>
    </w:p>
    <w:p w14:paraId="1AD7DE49" w14:textId="722A1FC9" w:rsidR="00C0633A" w:rsidRPr="00716D0B" w:rsidRDefault="0047714D" w:rsidP="00C0633A">
      <w:pPr>
        <w:pStyle w:val="3-BodyText"/>
        <w:numPr>
          <w:ilvl w:val="0"/>
          <w:numId w:val="0"/>
        </w:numPr>
        <w:spacing w:after="0"/>
        <w:ind w:left="720" w:hanging="720"/>
        <w:rPr>
          <w:rFonts w:ascii="Arial Narrow" w:hAnsi="Arial Narrow"/>
          <w:i/>
          <w:iCs/>
          <w:sz w:val="18"/>
          <w:szCs w:val="18"/>
        </w:rPr>
      </w:pPr>
      <w:r>
        <w:rPr>
          <w:rFonts w:ascii="Arial Narrow" w:hAnsi="Arial Narrow"/>
          <w:i/>
          <w:iCs/>
          <w:sz w:val="18"/>
          <w:szCs w:val="18"/>
        </w:rPr>
        <w:lastRenderedPageBreak/>
        <w:t>*</w:t>
      </w:r>
      <w:r w:rsidR="00C0633A" w:rsidRPr="00716D0B">
        <w:rPr>
          <w:rFonts w:ascii="Arial Narrow" w:hAnsi="Arial Narrow"/>
          <w:i/>
          <w:iCs/>
          <w:sz w:val="18"/>
          <w:szCs w:val="18"/>
        </w:rPr>
        <w:t>Note: The results presented in Table 10 are derived from an unanchored and unadjusted indirect comparison specifically for the purposes of informing the PBAC consideration.  Interpretation of the results and their application should therefore be limited to seeking to understand the basis for the PBAC outcome and should not be used for any other purpose.</w:t>
      </w:r>
    </w:p>
    <w:p w14:paraId="48A06D2B" w14:textId="77777777" w:rsidR="00B96A78" w:rsidRPr="00B96A78" w:rsidRDefault="00B96A78" w:rsidP="00BE012B">
      <w:pPr>
        <w:pStyle w:val="3-BodyText"/>
        <w:numPr>
          <w:ilvl w:val="0"/>
          <w:numId w:val="0"/>
        </w:numPr>
        <w:spacing w:after="0"/>
        <w:ind w:left="720" w:hanging="720"/>
        <w:rPr>
          <w:sz w:val="18"/>
          <w:szCs w:val="18"/>
        </w:rPr>
      </w:pPr>
    </w:p>
    <w:p w14:paraId="58E6DCF0" w14:textId="46092DD8" w:rsidR="00A940F6" w:rsidRPr="008526AF" w:rsidRDefault="00A940F6" w:rsidP="00CF73F8">
      <w:pPr>
        <w:pStyle w:val="3-BodyText"/>
      </w:pPr>
      <w:r w:rsidRPr="008526AF">
        <w:t xml:space="preserve">The results of the </w:t>
      </w:r>
      <w:r w:rsidR="00497662" w:rsidRPr="004C2B68">
        <w:t>unanchored and unadjusted</w:t>
      </w:r>
      <w:r w:rsidR="00497662" w:rsidRPr="008526AF">
        <w:t xml:space="preserve"> </w:t>
      </w:r>
      <w:r w:rsidRPr="008526AF">
        <w:t>indirect comparison of cumulative CCyR in CML-CP patients harbouring the T315I mutation are presented in</w:t>
      </w:r>
      <w:r w:rsidR="00B407A7" w:rsidRPr="008526AF">
        <w:t xml:space="preserve"> </w:t>
      </w:r>
      <w:r w:rsidR="00B407A7" w:rsidRPr="008526AF">
        <w:rPr>
          <w:rFonts w:cstheme="minorHAnsi"/>
        </w:rPr>
        <w:fldChar w:fldCharType="begin" w:fldLock="1"/>
      </w:r>
      <w:r w:rsidR="00B407A7" w:rsidRPr="008526AF">
        <w:rPr>
          <w:rFonts w:cstheme="minorHAnsi"/>
        </w:rPr>
        <w:instrText xml:space="preserve"> REF _Ref114506184 \h  \* MERGEFORMAT </w:instrText>
      </w:r>
      <w:r w:rsidR="00B407A7" w:rsidRPr="008526AF">
        <w:rPr>
          <w:rFonts w:cstheme="minorHAnsi"/>
        </w:rPr>
      </w:r>
      <w:r w:rsidR="00B407A7" w:rsidRPr="008526AF">
        <w:rPr>
          <w:rFonts w:cstheme="minorHAnsi"/>
        </w:rPr>
        <w:fldChar w:fldCharType="separate"/>
      </w:r>
      <w:r w:rsidR="00196FF1" w:rsidRPr="00196FF1">
        <w:rPr>
          <w:rFonts w:cstheme="minorHAnsi"/>
        </w:rPr>
        <w:t xml:space="preserve">Table </w:t>
      </w:r>
      <w:r w:rsidR="00196FF1" w:rsidRPr="00196FF1">
        <w:rPr>
          <w:rFonts w:cstheme="minorHAnsi"/>
          <w:noProof/>
        </w:rPr>
        <w:t>11</w:t>
      </w:r>
      <w:r w:rsidR="00B407A7" w:rsidRPr="008526AF">
        <w:rPr>
          <w:rFonts w:cstheme="minorHAnsi"/>
        </w:rPr>
        <w:fldChar w:fldCharType="end"/>
      </w:r>
      <w:r w:rsidRPr="008526AF">
        <w:t>. The proportions of patients from X2101 were calculated based on the patients who were not in CCyR at baseline and who had bone marrow samples to determine response at both baseline and the relevant time point. There was no statistically significant difference between asciminib and ponatinib at either time point for the comparison of cumulative CCyR.</w:t>
      </w:r>
    </w:p>
    <w:p w14:paraId="2BB6C8B8" w14:textId="55125C3A" w:rsidR="00A940F6" w:rsidRPr="00B407A7" w:rsidRDefault="00B407A7" w:rsidP="00B407A7">
      <w:pPr>
        <w:pStyle w:val="Tableheading"/>
        <w:jc w:val="left"/>
        <w:rPr>
          <w:rFonts w:ascii="Arial Narrow" w:hAnsi="Arial Narrow"/>
        </w:rPr>
      </w:pPr>
      <w:bookmarkStart w:id="32" w:name="_Ref114506184"/>
      <w:bookmarkStart w:id="33" w:name="_Toc112315929"/>
      <w:r w:rsidRPr="00B407A7">
        <w:rPr>
          <w:rFonts w:ascii="Arial Narrow" w:hAnsi="Arial Narrow"/>
        </w:rPr>
        <w:t xml:space="preserve">Table </w:t>
      </w:r>
      <w:r w:rsidRPr="00B407A7">
        <w:rPr>
          <w:rFonts w:ascii="Arial Narrow" w:hAnsi="Arial Narrow"/>
        </w:rPr>
        <w:fldChar w:fldCharType="begin" w:fldLock="1"/>
      </w:r>
      <w:r w:rsidRPr="00B407A7">
        <w:rPr>
          <w:rFonts w:ascii="Arial Narrow" w:hAnsi="Arial Narrow"/>
        </w:rPr>
        <w:instrText xml:space="preserve"> SEQ Table \* ARABIC </w:instrText>
      </w:r>
      <w:r w:rsidRPr="00B407A7">
        <w:rPr>
          <w:rFonts w:ascii="Arial Narrow" w:hAnsi="Arial Narrow"/>
        </w:rPr>
        <w:fldChar w:fldCharType="separate"/>
      </w:r>
      <w:r w:rsidR="00100F00">
        <w:rPr>
          <w:rFonts w:ascii="Arial Narrow" w:hAnsi="Arial Narrow"/>
          <w:noProof/>
        </w:rPr>
        <w:t>11</w:t>
      </w:r>
      <w:r w:rsidRPr="00B407A7">
        <w:rPr>
          <w:rFonts w:ascii="Arial Narrow" w:hAnsi="Arial Narrow"/>
        </w:rPr>
        <w:fldChar w:fldCharType="end"/>
      </w:r>
      <w:bookmarkEnd w:id="32"/>
      <w:r w:rsidRPr="00B407A7">
        <w:rPr>
          <w:rFonts w:ascii="Arial Narrow" w:hAnsi="Arial Narrow"/>
        </w:rPr>
        <w:t xml:space="preserve">: </w:t>
      </w:r>
      <w:r w:rsidR="00A940F6" w:rsidRPr="00B407A7">
        <w:rPr>
          <w:rFonts w:ascii="Arial Narrow" w:hAnsi="Arial Narrow"/>
        </w:rPr>
        <w:t>Indirect comparison of cumulative CCyR in patients with T315I mutation</w:t>
      </w:r>
      <w:bookmarkEnd w:id="33"/>
      <w:r w:rsidR="0047714D">
        <w:rPr>
          <w:rFonts w:ascii="Arial Narrow" w:hAnsi="Arial Narrow"/>
        </w:rPr>
        <w:t>*</w:t>
      </w:r>
    </w:p>
    <w:tbl>
      <w:tblPr>
        <w:tblStyle w:val="TableGrid"/>
        <w:tblW w:w="5000" w:type="pct"/>
        <w:tblLook w:val="04A0" w:firstRow="1" w:lastRow="0" w:firstColumn="1" w:lastColumn="0" w:noHBand="0" w:noVBand="1"/>
        <w:tblCaption w:val="Table 11: Indirect comparison of cumulative CCyR in patients with T315I mutation*"/>
      </w:tblPr>
      <w:tblGrid>
        <w:gridCol w:w="1414"/>
        <w:gridCol w:w="1134"/>
        <w:gridCol w:w="1275"/>
        <w:gridCol w:w="1731"/>
        <w:gridCol w:w="1731"/>
        <w:gridCol w:w="1731"/>
      </w:tblGrid>
      <w:tr w:rsidR="00A940F6" w:rsidRPr="00B407A7" w14:paraId="0480964B" w14:textId="77777777" w:rsidTr="00750019">
        <w:tc>
          <w:tcPr>
            <w:tcW w:w="784" w:type="pct"/>
            <w:tcBorders>
              <w:bottom w:val="single" w:sz="4" w:space="0" w:color="auto"/>
            </w:tcBorders>
            <w:shd w:val="clear" w:color="auto" w:fill="F2F2F2"/>
          </w:tcPr>
          <w:p w14:paraId="1E3EF30B" w14:textId="77777777" w:rsidR="00A940F6" w:rsidRPr="00B407A7" w:rsidRDefault="00A940F6" w:rsidP="00750019">
            <w:pPr>
              <w:pStyle w:val="Tableheading"/>
              <w:jc w:val="left"/>
              <w:rPr>
                <w:rFonts w:ascii="Arial Narrow" w:hAnsi="Arial Narrow"/>
              </w:rPr>
            </w:pPr>
            <w:r w:rsidRPr="00B407A7">
              <w:rPr>
                <w:rFonts w:ascii="Arial Narrow" w:hAnsi="Arial Narrow"/>
              </w:rPr>
              <w:t>Outcomes/ Timepoint</w:t>
            </w:r>
          </w:p>
        </w:tc>
        <w:tc>
          <w:tcPr>
            <w:tcW w:w="629" w:type="pct"/>
            <w:tcBorders>
              <w:bottom w:val="single" w:sz="4" w:space="0" w:color="auto"/>
            </w:tcBorders>
            <w:shd w:val="clear" w:color="auto" w:fill="F2F2F2"/>
            <w:vAlign w:val="center"/>
          </w:tcPr>
          <w:p w14:paraId="3CD6886C" w14:textId="77777777" w:rsidR="00A940F6" w:rsidRPr="00B407A7" w:rsidRDefault="00A940F6" w:rsidP="00750019">
            <w:pPr>
              <w:pStyle w:val="Tableheading"/>
              <w:rPr>
                <w:rFonts w:ascii="Arial Narrow" w:hAnsi="Arial Narrow"/>
              </w:rPr>
            </w:pPr>
            <w:r w:rsidRPr="00B407A7">
              <w:rPr>
                <w:rFonts w:ascii="Arial Narrow" w:hAnsi="Arial Narrow"/>
              </w:rPr>
              <w:t>Asciminib 200 mg twice daily</w:t>
            </w:r>
          </w:p>
          <w:p w14:paraId="6FFEA950" w14:textId="3F18F9F0" w:rsidR="00B407A7" w:rsidRPr="00B407A7" w:rsidRDefault="00B407A7" w:rsidP="00750019">
            <w:pPr>
              <w:pStyle w:val="Tableheading"/>
              <w:rPr>
                <w:rFonts w:ascii="Arial Narrow" w:hAnsi="Arial Narrow"/>
              </w:rPr>
            </w:pPr>
            <w:r w:rsidRPr="00B407A7">
              <w:rPr>
                <w:rFonts w:ascii="Arial Narrow" w:hAnsi="Arial Narrow"/>
              </w:rPr>
              <w:t>n (%)</w:t>
            </w:r>
          </w:p>
        </w:tc>
        <w:tc>
          <w:tcPr>
            <w:tcW w:w="707" w:type="pct"/>
            <w:tcBorders>
              <w:bottom w:val="single" w:sz="4" w:space="0" w:color="auto"/>
            </w:tcBorders>
            <w:shd w:val="clear" w:color="auto" w:fill="F2F2F2"/>
            <w:vAlign w:val="center"/>
          </w:tcPr>
          <w:p w14:paraId="17B2445F" w14:textId="77777777" w:rsidR="00A940F6" w:rsidRPr="00B407A7" w:rsidRDefault="00A940F6" w:rsidP="00750019">
            <w:pPr>
              <w:pStyle w:val="Tableheading"/>
              <w:rPr>
                <w:rFonts w:ascii="Arial Narrow" w:hAnsi="Arial Narrow"/>
              </w:rPr>
            </w:pPr>
            <w:r w:rsidRPr="00B407A7">
              <w:rPr>
                <w:rFonts w:ascii="Arial Narrow" w:hAnsi="Arial Narrow"/>
              </w:rPr>
              <w:t xml:space="preserve">Ponatinib </w:t>
            </w:r>
          </w:p>
          <w:p w14:paraId="5F8EDCD2" w14:textId="77777777" w:rsidR="00A940F6" w:rsidRPr="00B407A7" w:rsidRDefault="00A940F6" w:rsidP="00750019">
            <w:pPr>
              <w:pStyle w:val="Tableheading"/>
              <w:rPr>
                <w:rFonts w:ascii="Arial Narrow" w:hAnsi="Arial Narrow"/>
              </w:rPr>
            </w:pPr>
            <w:r w:rsidRPr="00B407A7">
              <w:rPr>
                <w:rFonts w:ascii="Arial Narrow" w:hAnsi="Arial Narrow"/>
              </w:rPr>
              <w:t>45 mg once daily</w:t>
            </w:r>
          </w:p>
          <w:p w14:paraId="2CF5AFFA" w14:textId="3C39528A" w:rsidR="00B407A7" w:rsidRPr="00B407A7" w:rsidRDefault="00B407A7" w:rsidP="00750019">
            <w:pPr>
              <w:pStyle w:val="Tableheading"/>
              <w:rPr>
                <w:rFonts w:ascii="Arial Narrow" w:hAnsi="Arial Narrow"/>
              </w:rPr>
            </w:pPr>
            <w:r w:rsidRPr="00B407A7">
              <w:rPr>
                <w:rFonts w:ascii="Arial Narrow" w:hAnsi="Arial Narrow"/>
              </w:rPr>
              <w:t>n (%)</w:t>
            </w:r>
          </w:p>
        </w:tc>
        <w:tc>
          <w:tcPr>
            <w:tcW w:w="960" w:type="pct"/>
            <w:tcBorders>
              <w:bottom w:val="single" w:sz="4" w:space="0" w:color="auto"/>
            </w:tcBorders>
            <w:shd w:val="clear" w:color="auto" w:fill="F2F2F2"/>
            <w:vAlign w:val="center"/>
          </w:tcPr>
          <w:p w14:paraId="158FCA0A" w14:textId="77777777" w:rsidR="00A940F6" w:rsidRPr="00B407A7" w:rsidRDefault="00A940F6" w:rsidP="00750019">
            <w:pPr>
              <w:pStyle w:val="Tableheading"/>
              <w:rPr>
                <w:rFonts w:ascii="Arial Narrow" w:hAnsi="Arial Narrow"/>
              </w:rPr>
            </w:pPr>
            <w:r w:rsidRPr="00B407A7">
              <w:rPr>
                <w:rFonts w:ascii="Arial Narrow" w:hAnsi="Arial Narrow"/>
              </w:rPr>
              <w:t>OR (95% CI)</w:t>
            </w:r>
          </w:p>
          <w:p w14:paraId="686CDDE3" w14:textId="48469303" w:rsidR="00B407A7" w:rsidRPr="00B407A7" w:rsidRDefault="00B407A7" w:rsidP="00750019">
            <w:pPr>
              <w:pStyle w:val="Tableheading"/>
              <w:rPr>
                <w:rFonts w:ascii="Arial Narrow" w:hAnsi="Arial Narrow"/>
              </w:rPr>
            </w:pPr>
            <w:r w:rsidRPr="00B407A7">
              <w:rPr>
                <w:rFonts w:ascii="Arial Narrow" w:hAnsi="Arial Narrow"/>
              </w:rPr>
              <w:t>P value</w:t>
            </w:r>
          </w:p>
        </w:tc>
        <w:tc>
          <w:tcPr>
            <w:tcW w:w="960" w:type="pct"/>
            <w:tcBorders>
              <w:bottom w:val="single" w:sz="4" w:space="0" w:color="auto"/>
            </w:tcBorders>
            <w:shd w:val="clear" w:color="auto" w:fill="F2F2F2"/>
            <w:vAlign w:val="center"/>
          </w:tcPr>
          <w:p w14:paraId="6D85B6EB" w14:textId="77777777" w:rsidR="00A940F6" w:rsidRPr="00B407A7" w:rsidRDefault="00A940F6" w:rsidP="00750019">
            <w:pPr>
              <w:pStyle w:val="Tableheading"/>
              <w:rPr>
                <w:rFonts w:ascii="Arial Narrow" w:hAnsi="Arial Narrow"/>
              </w:rPr>
            </w:pPr>
            <w:r w:rsidRPr="00B407A7">
              <w:rPr>
                <w:rFonts w:ascii="Arial Narrow" w:hAnsi="Arial Narrow"/>
              </w:rPr>
              <w:t>RR (95% CI)</w:t>
            </w:r>
          </w:p>
          <w:p w14:paraId="33894607" w14:textId="3DC73F78" w:rsidR="00B407A7" w:rsidRPr="00B407A7" w:rsidRDefault="00B407A7" w:rsidP="00750019">
            <w:pPr>
              <w:pStyle w:val="Tableheading"/>
              <w:rPr>
                <w:rFonts w:ascii="Arial Narrow" w:hAnsi="Arial Narrow"/>
              </w:rPr>
            </w:pPr>
            <w:r w:rsidRPr="00B407A7">
              <w:rPr>
                <w:rFonts w:ascii="Arial Narrow" w:hAnsi="Arial Narrow"/>
              </w:rPr>
              <w:t>P value</w:t>
            </w:r>
          </w:p>
        </w:tc>
        <w:tc>
          <w:tcPr>
            <w:tcW w:w="960" w:type="pct"/>
            <w:tcBorders>
              <w:bottom w:val="single" w:sz="4" w:space="0" w:color="auto"/>
            </w:tcBorders>
            <w:shd w:val="clear" w:color="auto" w:fill="F2F2F2"/>
            <w:vAlign w:val="center"/>
          </w:tcPr>
          <w:p w14:paraId="260D3E8C" w14:textId="77777777" w:rsidR="00A940F6" w:rsidRPr="00B407A7" w:rsidRDefault="00A940F6" w:rsidP="00750019">
            <w:pPr>
              <w:pStyle w:val="Tableheading"/>
              <w:rPr>
                <w:rFonts w:ascii="Arial Narrow" w:hAnsi="Arial Narrow"/>
              </w:rPr>
            </w:pPr>
            <w:r w:rsidRPr="00B407A7">
              <w:rPr>
                <w:rFonts w:ascii="Arial Narrow" w:hAnsi="Arial Narrow"/>
              </w:rPr>
              <w:t>RD (95% CI)</w:t>
            </w:r>
          </w:p>
          <w:p w14:paraId="345037FC" w14:textId="652553A7" w:rsidR="00B407A7" w:rsidRPr="00B407A7" w:rsidRDefault="00B407A7" w:rsidP="00750019">
            <w:pPr>
              <w:pStyle w:val="Tableheading"/>
              <w:rPr>
                <w:rFonts w:ascii="Arial Narrow" w:hAnsi="Arial Narrow"/>
              </w:rPr>
            </w:pPr>
            <w:r w:rsidRPr="00B407A7">
              <w:rPr>
                <w:rFonts w:ascii="Arial Narrow" w:hAnsi="Arial Narrow"/>
              </w:rPr>
              <w:t>P value</w:t>
            </w:r>
          </w:p>
        </w:tc>
      </w:tr>
      <w:tr w:rsidR="00A940F6" w:rsidRPr="00B407A7" w14:paraId="0FA7258D" w14:textId="77777777" w:rsidTr="00750019">
        <w:tc>
          <w:tcPr>
            <w:tcW w:w="784" w:type="pct"/>
            <w:tcBorders>
              <w:top w:val="single" w:sz="4" w:space="0" w:color="auto"/>
              <w:bottom w:val="single" w:sz="4" w:space="0" w:color="auto"/>
            </w:tcBorders>
          </w:tcPr>
          <w:p w14:paraId="54126342" w14:textId="77777777" w:rsidR="00A940F6" w:rsidRPr="00B407A7" w:rsidRDefault="00A940F6" w:rsidP="00750019">
            <w:pPr>
              <w:pStyle w:val="Tabletext0"/>
              <w:rPr>
                <w:rFonts w:ascii="Arial Narrow" w:hAnsi="Arial Narrow"/>
              </w:rPr>
            </w:pPr>
            <w:r w:rsidRPr="00B407A7">
              <w:rPr>
                <w:rFonts w:ascii="Arial Narrow" w:hAnsi="Arial Narrow"/>
              </w:rPr>
              <w:t>By 24 weeks / 6 months</w:t>
            </w:r>
          </w:p>
        </w:tc>
        <w:tc>
          <w:tcPr>
            <w:tcW w:w="629" w:type="pct"/>
            <w:tcBorders>
              <w:top w:val="single" w:sz="4" w:space="0" w:color="auto"/>
              <w:bottom w:val="single" w:sz="4" w:space="0" w:color="auto"/>
            </w:tcBorders>
          </w:tcPr>
          <w:p w14:paraId="6076B4AA" w14:textId="77777777" w:rsidR="00A940F6" w:rsidRPr="00B407A7" w:rsidRDefault="00A940F6" w:rsidP="00750019">
            <w:pPr>
              <w:pStyle w:val="Tablecentre"/>
              <w:rPr>
                <w:rFonts w:ascii="Arial Narrow" w:hAnsi="Arial Narrow"/>
              </w:rPr>
            </w:pPr>
            <w:r w:rsidRPr="00B407A7">
              <w:rPr>
                <w:rFonts w:ascii="Arial Narrow" w:hAnsi="Arial Narrow"/>
              </w:rPr>
              <w:t>N = 21</w:t>
            </w:r>
          </w:p>
          <w:p w14:paraId="44FDC7DB" w14:textId="77777777" w:rsidR="00A940F6" w:rsidRPr="00B407A7" w:rsidRDefault="00A940F6" w:rsidP="00750019">
            <w:pPr>
              <w:pStyle w:val="Tablecentre"/>
              <w:rPr>
                <w:rFonts w:ascii="Arial Narrow" w:hAnsi="Arial Narrow"/>
              </w:rPr>
            </w:pPr>
            <w:r w:rsidRPr="00B407A7">
              <w:rPr>
                <w:rFonts w:ascii="Arial Narrow" w:hAnsi="Arial Narrow"/>
              </w:rPr>
              <w:t>10 (47.6)</w:t>
            </w:r>
          </w:p>
        </w:tc>
        <w:tc>
          <w:tcPr>
            <w:tcW w:w="707" w:type="pct"/>
            <w:tcBorders>
              <w:top w:val="single" w:sz="4" w:space="0" w:color="auto"/>
              <w:bottom w:val="single" w:sz="4" w:space="0" w:color="auto"/>
            </w:tcBorders>
          </w:tcPr>
          <w:p w14:paraId="56E8FE30" w14:textId="77777777" w:rsidR="00A940F6" w:rsidRPr="00B407A7" w:rsidRDefault="00A940F6" w:rsidP="00750019">
            <w:pPr>
              <w:pStyle w:val="Tablecentre"/>
              <w:rPr>
                <w:rFonts w:ascii="Arial Narrow" w:hAnsi="Arial Narrow"/>
              </w:rPr>
            </w:pPr>
            <w:r w:rsidRPr="00B407A7">
              <w:rPr>
                <w:rFonts w:ascii="Arial Narrow" w:hAnsi="Arial Narrow"/>
              </w:rPr>
              <w:t>N = 64</w:t>
            </w:r>
          </w:p>
          <w:p w14:paraId="436C6B47" w14:textId="77777777" w:rsidR="00A940F6" w:rsidRPr="00B407A7" w:rsidRDefault="00A940F6" w:rsidP="00750019">
            <w:pPr>
              <w:pStyle w:val="Tablecentre"/>
              <w:rPr>
                <w:rFonts w:ascii="Arial Narrow" w:hAnsi="Arial Narrow"/>
              </w:rPr>
            </w:pPr>
            <w:r w:rsidRPr="00B407A7">
              <w:rPr>
                <w:rFonts w:ascii="Arial Narrow" w:hAnsi="Arial Narrow"/>
              </w:rPr>
              <w:t>40 (62.5)</w:t>
            </w:r>
          </w:p>
        </w:tc>
        <w:tc>
          <w:tcPr>
            <w:tcW w:w="960" w:type="pct"/>
            <w:tcBorders>
              <w:top w:val="single" w:sz="4" w:space="0" w:color="auto"/>
              <w:bottom w:val="single" w:sz="4" w:space="0" w:color="auto"/>
            </w:tcBorders>
          </w:tcPr>
          <w:p w14:paraId="315C5597" w14:textId="77777777" w:rsidR="00A940F6" w:rsidRPr="00B407A7" w:rsidRDefault="00A940F6" w:rsidP="00750019">
            <w:pPr>
              <w:pStyle w:val="Tablecentre"/>
              <w:rPr>
                <w:rFonts w:ascii="Arial Narrow" w:hAnsi="Arial Narrow"/>
              </w:rPr>
            </w:pPr>
            <w:r w:rsidRPr="00B407A7">
              <w:rPr>
                <w:rFonts w:ascii="Arial Narrow" w:hAnsi="Arial Narrow"/>
              </w:rPr>
              <w:t>0.55 (0.20, 1.47)</w:t>
            </w:r>
          </w:p>
          <w:p w14:paraId="3E4C50AE" w14:textId="77777777" w:rsidR="00A940F6" w:rsidRPr="00B407A7" w:rsidRDefault="00A940F6" w:rsidP="00750019">
            <w:pPr>
              <w:pStyle w:val="Tablecentre"/>
              <w:rPr>
                <w:rFonts w:ascii="Arial Narrow" w:hAnsi="Arial Narrow"/>
              </w:rPr>
            </w:pPr>
            <w:r w:rsidRPr="00B407A7">
              <w:rPr>
                <w:rFonts w:ascii="Arial Narrow" w:hAnsi="Arial Narrow"/>
              </w:rPr>
              <w:t>P = 0.23</w:t>
            </w:r>
          </w:p>
        </w:tc>
        <w:tc>
          <w:tcPr>
            <w:tcW w:w="960" w:type="pct"/>
            <w:tcBorders>
              <w:top w:val="single" w:sz="4" w:space="0" w:color="auto"/>
              <w:bottom w:val="single" w:sz="4" w:space="0" w:color="auto"/>
            </w:tcBorders>
          </w:tcPr>
          <w:p w14:paraId="10C0005A" w14:textId="77777777" w:rsidR="00A940F6" w:rsidRPr="00B407A7" w:rsidRDefault="00A940F6" w:rsidP="00750019">
            <w:pPr>
              <w:pStyle w:val="Tablecentre"/>
              <w:rPr>
                <w:rFonts w:ascii="Arial Narrow" w:hAnsi="Arial Narrow"/>
              </w:rPr>
            </w:pPr>
            <w:r w:rsidRPr="00B407A7">
              <w:rPr>
                <w:rFonts w:ascii="Arial Narrow" w:hAnsi="Arial Narrow"/>
              </w:rPr>
              <w:t>0.76 (0.47, 1.24)</w:t>
            </w:r>
          </w:p>
          <w:p w14:paraId="30DA27B5" w14:textId="77777777" w:rsidR="00A940F6" w:rsidRPr="00B407A7" w:rsidRDefault="00A940F6" w:rsidP="00750019">
            <w:pPr>
              <w:pStyle w:val="Tablecentre"/>
              <w:rPr>
                <w:rFonts w:ascii="Arial Narrow" w:hAnsi="Arial Narrow"/>
              </w:rPr>
            </w:pPr>
            <w:r w:rsidRPr="00B407A7">
              <w:rPr>
                <w:rFonts w:ascii="Arial Narrow" w:hAnsi="Arial Narrow"/>
              </w:rPr>
              <w:t>P = 0.27</w:t>
            </w:r>
          </w:p>
        </w:tc>
        <w:tc>
          <w:tcPr>
            <w:tcW w:w="960" w:type="pct"/>
            <w:tcBorders>
              <w:top w:val="single" w:sz="4" w:space="0" w:color="auto"/>
              <w:bottom w:val="single" w:sz="4" w:space="0" w:color="auto"/>
            </w:tcBorders>
          </w:tcPr>
          <w:p w14:paraId="3C320845" w14:textId="77777777" w:rsidR="00A940F6" w:rsidRPr="00B407A7" w:rsidRDefault="00A940F6" w:rsidP="00750019">
            <w:pPr>
              <w:pStyle w:val="Tablecentre"/>
              <w:rPr>
                <w:rFonts w:ascii="Arial Narrow" w:hAnsi="Arial Narrow"/>
              </w:rPr>
            </w:pPr>
            <w:r w:rsidRPr="00B407A7">
              <w:rPr>
                <w:rFonts w:ascii="Arial Narrow" w:hAnsi="Arial Narrow"/>
              </w:rPr>
              <w:t>-0.15 (-0.39, 0.10)</w:t>
            </w:r>
          </w:p>
          <w:p w14:paraId="66741DC6" w14:textId="77777777" w:rsidR="00A940F6" w:rsidRPr="00B407A7" w:rsidRDefault="00A940F6" w:rsidP="00750019">
            <w:pPr>
              <w:pStyle w:val="Tablecentre"/>
              <w:rPr>
                <w:rFonts w:ascii="Arial Narrow" w:hAnsi="Arial Narrow"/>
              </w:rPr>
            </w:pPr>
            <w:r w:rsidRPr="00B407A7">
              <w:rPr>
                <w:rFonts w:ascii="Arial Narrow" w:hAnsi="Arial Narrow"/>
              </w:rPr>
              <w:t>P = 0.23</w:t>
            </w:r>
          </w:p>
        </w:tc>
      </w:tr>
      <w:tr w:rsidR="00A940F6" w:rsidRPr="00B407A7" w14:paraId="1E6F6F55" w14:textId="77777777" w:rsidTr="00750019">
        <w:tc>
          <w:tcPr>
            <w:tcW w:w="784" w:type="pct"/>
            <w:tcBorders>
              <w:top w:val="single" w:sz="4" w:space="0" w:color="auto"/>
              <w:bottom w:val="single" w:sz="4" w:space="0" w:color="auto"/>
            </w:tcBorders>
          </w:tcPr>
          <w:p w14:paraId="1A5845ED" w14:textId="77777777" w:rsidR="00A940F6" w:rsidRPr="00B407A7" w:rsidRDefault="00A940F6" w:rsidP="00750019">
            <w:pPr>
              <w:pStyle w:val="Tabletext0"/>
              <w:rPr>
                <w:rFonts w:ascii="Arial Narrow" w:hAnsi="Arial Narrow"/>
              </w:rPr>
            </w:pPr>
            <w:r w:rsidRPr="00B407A7">
              <w:rPr>
                <w:rFonts w:ascii="Arial Narrow" w:hAnsi="Arial Narrow"/>
              </w:rPr>
              <w:t xml:space="preserve">By 48 weeks / </w:t>
            </w:r>
          </w:p>
          <w:p w14:paraId="477F5550" w14:textId="77777777" w:rsidR="00A940F6" w:rsidRPr="00B407A7" w:rsidRDefault="00A940F6" w:rsidP="00750019">
            <w:pPr>
              <w:pStyle w:val="Tabletext0"/>
              <w:rPr>
                <w:rFonts w:ascii="Arial Narrow" w:hAnsi="Arial Narrow"/>
              </w:rPr>
            </w:pPr>
            <w:r w:rsidRPr="00B407A7">
              <w:rPr>
                <w:rFonts w:ascii="Arial Narrow" w:hAnsi="Arial Narrow"/>
              </w:rPr>
              <w:t>12 months</w:t>
            </w:r>
          </w:p>
        </w:tc>
        <w:tc>
          <w:tcPr>
            <w:tcW w:w="629" w:type="pct"/>
            <w:tcBorders>
              <w:top w:val="single" w:sz="4" w:space="0" w:color="auto"/>
              <w:bottom w:val="single" w:sz="4" w:space="0" w:color="auto"/>
            </w:tcBorders>
          </w:tcPr>
          <w:p w14:paraId="7AF8AB16" w14:textId="77777777" w:rsidR="00A940F6" w:rsidRPr="00B407A7" w:rsidRDefault="00A940F6" w:rsidP="00750019">
            <w:pPr>
              <w:pStyle w:val="Tablecentre"/>
              <w:rPr>
                <w:rFonts w:ascii="Arial Narrow" w:hAnsi="Arial Narrow"/>
              </w:rPr>
            </w:pPr>
            <w:r w:rsidRPr="00B407A7">
              <w:rPr>
                <w:rFonts w:ascii="Arial Narrow" w:hAnsi="Arial Narrow"/>
              </w:rPr>
              <w:t>N = 21</w:t>
            </w:r>
          </w:p>
          <w:p w14:paraId="30C860B5" w14:textId="77777777" w:rsidR="00A940F6" w:rsidRPr="00B407A7" w:rsidRDefault="00A940F6" w:rsidP="00750019">
            <w:pPr>
              <w:pStyle w:val="Tablecentre"/>
              <w:rPr>
                <w:rFonts w:ascii="Arial Narrow" w:hAnsi="Arial Narrow"/>
              </w:rPr>
            </w:pPr>
            <w:r w:rsidRPr="00B407A7">
              <w:rPr>
                <w:rFonts w:ascii="Arial Narrow" w:hAnsi="Arial Narrow"/>
              </w:rPr>
              <w:t>12 (57.1)</w:t>
            </w:r>
          </w:p>
        </w:tc>
        <w:tc>
          <w:tcPr>
            <w:tcW w:w="707" w:type="pct"/>
            <w:tcBorders>
              <w:top w:val="single" w:sz="4" w:space="0" w:color="auto"/>
              <w:bottom w:val="single" w:sz="4" w:space="0" w:color="auto"/>
            </w:tcBorders>
          </w:tcPr>
          <w:p w14:paraId="1232C105" w14:textId="77777777" w:rsidR="00A940F6" w:rsidRPr="00B407A7" w:rsidRDefault="00A940F6" w:rsidP="00750019">
            <w:pPr>
              <w:pStyle w:val="Tablecentre"/>
              <w:rPr>
                <w:rFonts w:ascii="Arial Narrow" w:hAnsi="Arial Narrow"/>
              </w:rPr>
            </w:pPr>
            <w:r w:rsidRPr="00B407A7">
              <w:rPr>
                <w:rFonts w:ascii="Arial Narrow" w:hAnsi="Arial Narrow"/>
              </w:rPr>
              <w:t>N = 64</w:t>
            </w:r>
          </w:p>
          <w:p w14:paraId="4023984F" w14:textId="77777777" w:rsidR="00A940F6" w:rsidRPr="00B407A7" w:rsidRDefault="00A940F6" w:rsidP="00750019">
            <w:pPr>
              <w:pStyle w:val="Tablecentre"/>
              <w:rPr>
                <w:rFonts w:ascii="Arial Narrow" w:hAnsi="Arial Narrow"/>
              </w:rPr>
            </w:pPr>
            <w:r w:rsidRPr="00B407A7">
              <w:rPr>
                <w:rFonts w:ascii="Arial Narrow" w:hAnsi="Arial Narrow"/>
              </w:rPr>
              <w:t>42 (65.6)</w:t>
            </w:r>
          </w:p>
        </w:tc>
        <w:tc>
          <w:tcPr>
            <w:tcW w:w="960" w:type="pct"/>
            <w:tcBorders>
              <w:top w:val="single" w:sz="4" w:space="0" w:color="auto"/>
              <w:bottom w:val="single" w:sz="4" w:space="0" w:color="auto"/>
            </w:tcBorders>
          </w:tcPr>
          <w:p w14:paraId="3096F115" w14:textId="77777777" w:rsidR="00A940F6" w:rsidRPr="00B407A7" w:rsidRDefault="00A940F6" w:rsidP="00750019">
            <w:pPr>
              <w:pStyle w:val="Tablecentre"/>
              <w:rPr>
                <w:rFonts w:ascii="Arial Narrow" w:hAnsi="Arial Narrow"/>
              </w:rPr>
            </w:pPr>
            <w:r w:rsidRPr="00B407A7">
              <w:rPr>
                <w:rFonts w:ascii="Arial Narrow" w:hAnsi="Arial Narrow"/>
              </w:rPr>
              <w:t>0.70 (0.26, 1.91)</w:t>
            </w:r>
          </w:p>
          <w:p w14:paraId="29AB7910" w14:textId="77777777" w:rsidR="00A940F6" w:rsidRPr="00B407A7" w:rsidRDefault="00A940F6" w:rsidP="00750019">
            <w:pPr>
              <w:pStyle w:val="Tablecentre"/>
              <w:rPr>
                <w:rFonts w:ascii="Arial Narrow" w:hAnsi="Arial Narrow"/>
              </w:rPr>
            </w:pPr>
            <w:r w:rsidRPr="00B407A7">
              <w:rPr>
                <w:rFonts w:ascii="Arial Narrow" w:hAnsi="Arial Narrow"/>
              </w:rPr>
              <w:t>P = 0.48</w:t>
            </w:r>
          </w:p>
        </w:tc>
        <w:tc>
          <w:tcPr>
            <w:tcW w:w="960" w:type="pct"/>
            <w:tcBorders>
              <w:top w:val="single" w:sz="4" w:space="0" w:color="auto"/>
              <w:bottom w:val="single" w:sz="4" w:space="0" w:color="auto"/>
            </w:tcBorders>
          </w:tcPr>
          <w:p w14:paraId="32502AC3" w14:textId="77777777" w:rsidR="00A940F6" w:rsidRPr="00B407A7" w:rsidRDefault="00A940F6" w:rsidP="00750019">
            <w:pPr>
              <w:pStyle w:val="Tablecentre"/>
              <w:rPr>
                <w:rFonts w:ascii="Arial Narrow" w:hAnsi="Arial Narrow"/>
              </w:rPr>
            </w:pPr>
            <w:r w:rsidRPr="00B407A7">
              <w:rPr>
                <w:rFonts w:ascii="Arial Narrow" w:hAnsi="Arial Narrow"/>
              </w:rPr>
              <w:t>0.87 (0.58, 1.31)</w:t>
            </w:r>
          </w:p>
          <w:p w14:paraId="48854D69" w14:textId="77777777" w:rsidR="00A940F6" w:rsidRPr="00B407A7" w:rsidRDefault="00A940F6" w:rsidP="00750019">
            <w:pPr>
              <w:pStyle w:val="Tablecentre"/>
              <w:rPr>
                <w:rFonts w:ascii="Arial Narrow" w:hAnsi="Arial Narrow"/>
              </w:rPr>
            </w:pPr>
            <w:r w:rsidRPr="00B407A7">
              <w:rPr>
                <w:rFonts w:ascii="Arial Narrow" w:hAnsi="Arial Narrow"/>
              </w:rPr>
              <w:t>P = 0.51</w:t>
            </w:r>
          </w:p>
        </w:tc>
        <w:tc>
          <w:tcPr>
            <w:tcW w:w="960" w:type="pct"/>
            <w:tcBorders>
              <w:top w:val="single" w:sz="4" w:space="0" w:color="auto"/>
              <w:bottom w:val="single" w:sz="4" w:space="0" w:color="auto"/>
            </w:tcBorders>
          </w:tcPr>
          <w:p w14:paraId="3CF7956E" w14:textId="77777777" w:rsidR="00A940F6" w:rsidRPr="00B407A7" w:rsidRDefault="00A940F6" w:rsidP="00750019">
            <w:pPr>
              <w:pStyle w:val="Tablecentre"/>
              <w:rPr>
                <w:rFonts w:ascii="Arial Narrow" w:hAnsi="Arial Narrow"/>
              </w:rPr>
            </w:pPr>
            <w:r w:rsidRPr="00B407A7">
              <w:rPr>
                <w:rFonts w:ascii="Arial Narrow" w:hAnsi="Arial Narrow"/>
              </w:rPr>
              <w:t>-0.08 (-0.33, 0.16)</w:t>
            </w:r>
          </w:p>
          <w:p w14:paraId="012C601A" w14:textId="77777777" w:rsidR="00A940F6" w:rsidRPr="00B407A7" w:rsidRDefault="00A940F6" w:rsidP="00750019">
            <w:pPr>
              <w:pStyle w:val="Tablecentre"/>
              <w:rPr>
                <w:rFonts w:ascii="Arial Narrow" w:hAnsi="Arial Narrow"/>
              </w:rPr>
            </w:pPr>
            <w:r w:rsidRPr="00B407A7">
              <w:rPr>
                <w:rFonts w:ascii="Arial Narrow" w:hAnsi="Arial Narrow"/>
              </w:rPr>
              <w:t>P = 0.49</w:t>
            </w:r>
          </w:p>
        </w:tc>
      </w:tr>
    </w:tbl>
    <w:p w14:paraId="35058925" w14:textId="0C327B52" w:rsidR="00A940F6" w:rsidRDefault="00B407A7" w:rsidP="00BE012B">
      <w:pPr>
        <w:pStyle w:val="3-BodyText"/>
        <w:numPr>
          <w:ilvl w:val="0"/>
          <w:numId w:val="0"/>
        </w:numPr>
        <w:spacing w:after="0"/>
        <w:ind w:left="720" w:hanging="720"/>
        <w:rPr>
          <w:rFonts w:ascii="Arial Narrow" w:hAnsi="Arial Narrow"/>
          <w:sz w:val="18"/>
          <w:szCs w:val="18"/>
        </w:rPr>
      </w:pPr>
      <w:r w:rsidRPr="00A25900">
        <w:rPr>
          <w:rFonts w:ascii="Arial Narrow" w:hAnsi="Arial Narrow"/>
          <w:sz w:val="18"/>
          <w:szCs w:val="18"/>
        </w:rPr>
        <w:t>Source: Resubmission Table 2-</w:t>
      </w:r>
      <w:r>
        <w:rPr>
          <w:rFonts w:ascii="Arial Narrow" w:hAnsi="Arial Narrow"/>
          <w:sz w:val="18"/>
          <w:szCs w:val="18"/>
        </w:rPr>
        <w:t>8</w:t>
      </w:r>
    </w:p>
    <w:p w14:paraId="20683C85" w14:textId="1687AE3F" w:rsidR="00497662" w:rsidRDefault="00497662" w:rsidP="00497662">
      <w:pPr>
        <w:pStyle w:val="3-BodyText"/>
        <w:numPr>
          <w:ilvl w:val="0"/>
          <w:numId w:val="0"/>
        </w:numPr>
        <w:spacing w:after="0"/>
        <w:ind w:left="720" w:hanging="720"/>
        <w:rPr>
          <w:rFonts w:ascii="Arial Narrow" w:hAnsi="Arial Narrow"/>
          <w:sz w:val="18"/>
          <w:szCs w:val="18"/>
        </w:rPr>
      </w:pPr>
      <w:r>
        <w:rPr>
          <w:rFonts w:ascii="Arial Narrow" w:hAnsi="Arial Narrow"/>
          <w:sz w:val="18"/>
          <w:szCs w:val="18"/>
        </w:rPr>
        <w:t>CCyR = complete cytogenic response; OR = odds ratio; RD = risk difference; RR = relative risk.</w:t>
      </w:r>
    </w:p>
    <w:p w14:paraId="6DCB4D4B" w14:textId="3C6900CD" w:rsidR="00C0633A" w:rsidRPr="00716D0B" w:rsidRDefault="0047714D" w:rsidP="00C0633A">
      <w:pPr>
        <w:pStyle w:val="3-BodyText"/>
        <w:numPr>
          <w:ilvl w:val="0"/>
          <w:numId w:val="0"/>
        </w:numPr>
        <w:spacing w:after="0"/>
        <w:ind w:left="720" w:hanging="720"/>
        <w:rPr>
          <w:rFonts w:ascii="Arial Narrow" w:hAnsi="Arial Narrow"/>
          <w:i/>
          <w:iCs/>
          <w:sz w:val="18"/>
          <w:szCs w:val="18"/>
        </w:rPr>
      </w:pPr>
      <w:r>
        <w:rPr>
          <w:rFonts w:ascii="Arial Narrow" w:hAnsi="Arial Narrow"/>
          <w:sz w:val="18"/>
          <w:szCs w:val="18"/>
        </w:rPr>
        <w:t>*</w:t>
      </w:r>
      <w:r w:rsidR="00C0633A" w:rsidRPr="00716D0B">
        <w:rPr>
          <w:rFonts w:ascii="Arial Narrow" w:hAnsi="Arial Narrow"/>
          <w:i/>
          <w:iCs/>
          <w:sz w:val="18"/>
          <w:szCs w:val="18"/>
        </w:rPr>
        <w:t>Note: The results presented in Table 11 are derived from an unanchored and unadjusted indirect comparison specifically for the purposes of informing the PBAC consideration.  Interpretation of the results and their application should therefore be limited to seeking to understand the basis for the PBAC outcome and should not be used for any other purpose.</w:t>
      </w:r>
    </w:p>
    <w:p w14:paraId="6E347722" w14:textId="77777777" w:rsidR="00C0633A" w:rsidRDefault="00C0633A" w:rsidP="00497662">
      <w:pPr>
        <w:pStyle w:val="3-BodyText"/>
        <w:numPr>
          <w:ilvl w:val="0"/>
          <w:numId w:val="0"/>
        </w:numPr>
        <w:spacing w:after="0"/>
        <w:ind w:left="720" w:hanging="720"/>
        <w:rPr>
          <w:rFonts w:ascii="Arial Narrow" w:hAnsi="Arial Narrow"/>
          <w:sz w:val="18"/>
          <w:szCs w:val="18"/>
        </w:rPr>
      </w:pPr>
    </w:p>
    <w:p w14:paraId="2B333348" w14:textId="47170FBA" w:rsidR="00976104" w:rsidRDefault="00976104" w:rsidP="00976104">
      <w:pPr>
        <w:pStyle w:val="4-SubsectionHeading"/>
      </w:pPr>
      <w:r>
        <w:t>Comparative harms</w:t>
      </w:r>
    </w:p>
    <w:p w14:paraId="19BF5CE0" w14:textId="77777777" w:rsidR="00B96A78" w:rsidRPr="00B96A78" w:rsidRDefault="00A0693D" w:rsidP="003D6834">
      <w:pPr>
        <w:spacing w:after="120"/>
        <w:rPr>
          <w:u w:val="single"/>
        </w:rPr>
      </w:pPr>
      <w:r w:rsidRPr="0039787B">
        <w:rPr>
          <w:b/>
          <w:bCs/>
          <w:i/>
          <w:iCs/>
        </w:rPr>
        <w:t>X2101 trial</w:t>
      </w:r>
      <w:r>
        <w:rPr>
          <w:b/>
          <w:bCs/>
          <w:i/>
          <w:iCs/>
        </w:rPr>
        <w:t xml:space="preserve"> (asciminib)</w:t>
      </w:r>
    </w:p>
    <w:p w14:paraId="40E734B7" w14:textId="4D88F22C" w:rsidR="00DF44DD" w:rsidRPr="00BE012B" w:rsidRDefault="00DF44DD" w:rsidP="003D6834">
      <w:pPr>
        <w:pStyle w:val="3-BodyText"/>
      </w:pPr>
      <w:r w:rsidRPr="00BE012B">
        <w:t>At the data cut-off of 6 January 2021, the mean duration of exposure to asciminib 200</w:t>
      </w:r>
      <w:r w:rsidR="00BE012B" w:rsidRPr="00BE012B">
        <w:t> </w:t>
      </w:r>
      <w:r w:rsidRPr="00BE012B">
        <w:t>mg twice daily in patients with a confirmed T315I mutation at screening (n = 48) was 103.0 weeks (SD: 61.90). The median duration of exposure was 108.2 weeks (range 2-215). The mean dose per day was 370.8 mg (SD: 52.54) (and the median dose was 398.3 mg (range 179-400). An overview of adverse events</w:t>
      </w:r>
      <w:r w:rsidR="00502F06">
        <w:t xml:space="preserve"> (AEs)</w:t>
      </w:r>
      <w:r w:rsidRPr="00BE012B">
        <w:t xml:space="preserve"> in patients with the T315I mutation who received asciminib 200 mg twice daily is presented in</w:t>
      </w:r>
      <w:r w:rsidR="00BE012B" w:rsidRPr="00BE012B">
        <w:t xml:space="preserve"> </w:t>
      </w:r>
      <w:r w:rsidR="00BE012B" w:rsidRPr="00BE012B">
        <w:rPr>
          <w:rFonts w:cstheme="minorHAnsi"/>
        </w:rPr>
        <w:fldChar w:fldCharType="begin" w:fldLock="1"/>
      </w:r>
      <w:r w:rsidR="00BE012B" w:rsidRPr="00BE012B">
        <w:rPr>
          <w:rFonts w:cstheme="minorHAnsi"/>
        </w:rPr>
        <w:instrText xml:space="preserve"> REF _Ref114506652 \h  \* MERGEFORMAT </w:instrText>
      </w:r>
      <w:r w:rsidR="00BE012B" w:rsidRPr="00BE012B">
        <w:rPr>
          <w:rFonts w:cstheme="minorHAnsi"/>
        </w:rPr>
      </w:r>
      <w:r w:rsidR="00BE012B" w:rsidRPr="00BE012B">
        <w:rPr>
          <w:rFonts w:cstheme="minorHAnsi"/>
        </w:rPr>
        <w:fldChar w:fldCharType="separate"/>
      </w:r>
      <w:r w:rsidR="00196FF1" w:rsidRPr="00196FF1">
        <w:rPr>
          <w:rFonts w:cstheme="minorHAnsi"/>
        </w:rPr>
        <w:t>Table</w:t>
      </w:r>
      <w:r w:rsidR="003D6834">
        <w:rPr>
          <w:rFonts w:ascii="Arial Narrow" w:hAnsi="Arial Narrow"/>
        </w:rPr>
        <w:t> </w:t>
      </w:r>
      <w:r w:rsidR="00196FF1" w:rsidRPr="003D6834">
        <w:rPr>
          <w:rFonts w:cstheme="minorHAnsi"/>
          <w:noProof/>
        </w:rPr>
        <w:t>12</w:t>
      </w:r>
      <w:r w:rsidR="00BE012B" w:rsidRPr="00BE012B">
        <w:rPr>
          <w:rFonts w:cstheme="minorHAnsi"/>
        </w:rPr>
        <w:fldChar w:fldCharType="end"/>
      </w:r>
      <w:r w:rsidRPr="00BE012B">
        <w:t>.</w:t>
      </w:r>
    </w:p>
    <w:p w14:paraId="00DE2335" w14:textId="39BC6D19" w:rsidR="00DF44DD" w:rsidRPr="00BE012B" w:rsidRDefault="00BE012B" w:rsidP="00104475">
      <w:pPr>
        <w:pStyle w:val="Tableheading"/>
        <w:keepNext w:val="0"/>
        <w:jc w:val="left"/>
        <w:rPr>
          <w:rFonts w:ascii="Arial Narrow" w:hAnsi="Arial Narrow"/>
          <w:highlight w:val="lightGray"/>
        </w:rPr>
      </w:pPr>
      <w:bookmarkStart w:id="34" w:name="_Ref114506652"/>
      <w:bookmarkStart w:id="35" w:name="_Toc112315930"/>
      <w:r w:rsidRPr="00BE012B">
        <w:rPr>
          <w:rFonts w:ascii="Arial Narrow" w:hAnsi="Arial Narrow"/>
        </w:rPr>
        <w:t xml:space="preserve">Table </w:t>
      </w:r>
      <w:r w:rsidRPr="00BE012B">
        <w:rPr>
          <w:rFonts w:ascii="Arial Narrow" w:hAnsi="Arial Narrow"/>
        </w:rPr>
        <w:fldChar w:fldCharType="begin" w:fldLock="1"/>
      </w:r>
      <w:r w:rsidRPr="00BE012B">
        <w:rPr>
          <w:rFonts w:ascii="Arial Narrow" w:hAnsi="Arial Narrow"/>
        </w:rPr>
        <w:instrText xml:space="preserve"> SEQ Table \* ARABIC </w:instrText>
      </w:r>
      <w:r w:rsidRPr="00BE012B">
        <w:rPr>
          <w:rFonts w:ascii="Arial Narrow" w:hAnsi="Arial Narrow"/>
        </w:rPr>
        <w:fldChar w:fldCharType="separate"/>
      </w:r>
      <w:r w:rsidR="00100F00">
        <w:rPr>
          <w:rFonts w:ascii="Arial Narrow" w:hAnsi="Arial Narrow"/>
          <w:noProof/>
        </w:rPr>
        <w:t>12</w:t>
      </w:r>
      <w:r w:rsidRPr="00BE012B">
        <w:rPr>
          <w:rFonts w:ascii="Arial Narrow" w:hAnsi="Arial Narrow"/>
        </w:rPr>
        <w:fldChar w:fldCharType="end"/>
      </w:r>
      <w:bookmarkEnd w:id="34"/>
      <w:r w:rsidRPr="00BE012B">
        <w:rPr>
          <w:rFonts w:ascii="Arial Narrow" w:hAnsi="Arial Narrow"/>
        </w:rPr>
        <w:t xml:space="preserve">: </w:t>
      </w:r>
      <w:r w:rsidR="00DF44DD" w:rsidRPr="00BE012B">
        <w:rPr>
          <w:rFonts w:ascii="Arial Narrow" w:hAnsi="Arial Narrow"/>
        </w:rPr>
        <w:t>Overview of adverse events in the T315I safety population (6 January 2021)</w:t>
      </w:r>
      <w:bookmarkEnd w:id="35"/>
    </w:p>
    <w:tbl>
      <w:tblPr>
        <w:tblStyle w:val="TableGrid"/>
        <w:tblW w:w="5000" w:type="pct"/>
        <w:tblLook w:val="04A0" w:firstRow="1" w:lastRow="0" w:firstColumn="1" w:lastColumn="0" w:noHBand="0" w:noVBand="1"/>
        <w:tblCaption w:val="Table 12: Overview of adverse events in the T315I safety population (6 January 2021)"/>
      </w:tblPr>
      <w:tblGrid>
        <w:gridCol w:w="4508"/>
        <w:gridCol w:w="4508"/>
      </w:tblGrid>
      <w:tr w:rsidR="00DF44DD" w:rsidRPr="00BE012B" w14:paraId="6BD86767" w14:textId="77777777" w:rsidTr="00750019">
        <w:tc>
          <w:tcPr>
            <w:tcW w:w="2500" w:type="pct"/>
            <w:shd w:val="clear" w:color="auto" w:fill="F2F2F2" w:themeFill="background1" w:themeFillShade="F2"/>
          </w:tcPr>
          <w:p w14:paraId="64F949BF" w14:textId="77777777" w:rsidR="00DF44DD" w:rsidRPr="00BE012B" w:rsidRDefault="00DF44DD" w:rsidP="00104475">
            <w:pPr>
              <w:spacing w:line="276" w:lineRule="auto"/>
              <w:rPr>
                <w:rFonts w:ascii="Arial Narrow" w:hAnsi="Arial Narrow"/>
                <w:sz w:val="20"/>
                <w:szCs w:val="20"/>
              </w:rPr>
            </w:pPr>
          </w:p>
        </w:tc>
        <w:tc>
          <w:tcPr>
            <w:tcW w:w="2500" w:type="pct"/>
            <w:shd w:val="clear" w:color="auto" w:fill="F2F2F2" w:themeFill="background1" w:themeFillShade="F2"/>
          </w:tcPr>
          <w:p w14:paraId="1A2E2CA5" w14:textId="77777777" w:rsidR="00DF44DD" w:rsidRPr="00BE012B" w:rsidRDefault="00DF44DD" w:rsidP="00104475">
            <w:pPr>
              <w:spacing w:line="276" w:lineRule="auto"/>
              <w:jc w:val="center"/>
              <w:rPr>
                <w:rFonts w:ascii="Arial Narrow" w:hAnsi="Arial Narrow"/>
                <w:b/>
                <w:bCs/>
                <w:sz w:val="20"/>
                <w:szCs w:val="20"/>
              </w:rPr>
            </w:pPr>
            <w:r w:rsidRPr="00BE012B">
              <w:rPr>
                <w:rFonts w:ascii="Arial Narrow" w:hAnsi="Arial Narrow"/>
                <w:b/>
                <w:bCs/>
                <w:sz w:val="20"/>
                <w:szCs w:val="20"/>
              </w:rPr>
              <w:t>T315I safety population (N = 48)</w:t>
            </w:r>
          </w:p>
          <w:p w14:paraId="4A8F05A5" w14:textId="68227013" w:rsidR="00BE012B" w:rsidRPr="00BE012B" w:rsidRDefault="00BE012B" w:rsidP="00104475">
            <w:pPr>
              <w:spacing w:line="276" w:lineRule="auto"/>
              <w:jc w:val="center"/>
              <w:rPr>
                <w:rFonts w:ascii="Arial Narrow" w:hAnsi="Arial Narrow"/>
                <w:b/>
                <w:bCs/>
                <w:sz w:val="20"/>
                <w:szCs w:val="20"/>
              </w:rPr>
            </w:pPr>
            <w:r w:rsidRPr="00BE012B">
              <w:rPr>
                <w:rFonts w:ascii="Arial Narrow" w:hAnsi="Arial Narrow"/>
                <w:b/>
                <w:bCs/>
                <w:sz w:val="20"/>
                <w:szCs w:val="20"/>
              </w:rPr>
              <w:t>n (%)</w:t>
            </w:r>
          </w:p>
        </w:tc>
      </w:tr>
      <w:tr w:rsidR="00DF44DD" w:rsidRPr="00BE012B" w14:paraId="646D4A79" w14:textId="77777777" w:rsidTr="00750019">
        <w:tc>
          <w:tcPr>
            <w:tcW w:w="2500" w:type="pct"/>
          </w:tcPr>
          <w:p w14:paraId="6803B9CD" w14:textId="77777777" w:rsidR="00DF44DD" w:rsidRPr="00BE012B" w:rsidRDefault="00DF44DD" w:rsidP="00104475">
            <w:pPr>
              <w:spacing w:line="276" w:lineRule="auto"/>
              <w:rPr>
                <w:rFonts w:ascii="Arial Narrow" w:hAnsi="Arial Narrow"/>
                <w:sz w:val="20"/>
                <w:szCs w:val="20"/>
              </w:rPr>
            </w:pPr>
            <w:r w:rsidRPr="00BE012B">
              <w:rPr>
                <w:rFonts w:ascii="Arial Narrow" w:hAnsi="Arial Narrow"/>
                <w:sz w:val="20"/>
                <w:szCs w:val="20"/>
              </w:rPr>
              <w:t>Adverse events</w:t>
            </w:r>
          </w:p>
        </w:tc>
        <w:tc>
          <w:tcPr>
            <w:tcW w:w="2500" w:type="pct"/>
          </w:tcPr>
          <w:p w14:paraId="71FBD027" w14:textId="77777777" w:rsidR="00DF44DD" w:rsidRPr="00BE012B" w:rsidRDefault="00DF44DD" w:rsidP="00104475">
            <w:pPr>
              <w:spacing w:line="276" w:lineRule="auto"/>
              <w:jc w:val="center"/>
              <w:rPr>
                <w:rFonts w:ascii="Arial Narrow" w:hAnsi="Arial Narrow"/>
                <w:sz w:val="20"/>
                <w:szCs w:val="20"/>
              </w:rPr>
            </w:pPr>
            <w:r w:rsidRPr="00BE012B">
              <w:rPr>
                <w:rFonts w:ascii="Arial Narrow" w:hAnsi="Arial Narrow"/>
                <w:sz w:val="20"/>
                <w:szCs w:val="20"/>
              </w:rPr>
              <w:t>48 (100)</w:t>
            </w:r>
          </w:p>
        </w:tc>
      </w:tr>
      <w:tr w:rsidR="00DF44DD" w:rsidRPr="00BE012B" w14:paraId="1C367C8E" w14:textId="77777777" w:rsidTr="00750019">
        <w:tc>
          <w:tcPr>
            <w:tcW w:w="2500" w:type="pct"/>
          </w:tcPr>
          <w:p w14:paraId="4FCEE9C9" w14:textId="77777777" w:rsidR="00DF44DD" w:rsidRPr="00BE012B" w:rsidRDefault="00DF44DD" w:rsidP="00104475">
            <w:pPr>
              <w:spacing w:line="276" w:lineRule="auto"/>
              <w:ind w:left="720"/>
              <w:rPr>
                <w:rFonts w:ascii="Arial Narrow" w:hAnsi="Arial Narrow"/>
                <w:sz w:val="20"/>
                <w:szCs w:val="20"/>
              </w:rPr>
            </w:pPr>
            <w:r w:rsidRPr="00BE012B">
              <w:rPr>
                <w:rFonts w:ascii="Arial Narrow" w:hAnsi="Arial Narrow"/>
                <w:sz w:val="20"/>
                <w:szCs w:val="20"/>
              </w:rPr>
              <w:t>Treatment-related</w:t>
            </w:r>
          </w:p>
        </w:tc>
        <w:tc>
          <w:tcPr>
            <w:tcW w:w="2500" w:type="pct"/>
          </w:tcPr>
          <w:p w14:paraId="4FEB9817" w14:textId="77777777" w:rsidR="00DF44DD" w:rsidRPr="00BE012B" w:rsidRDefault="00DF44DD" w:rsidP="00104475">
            <w:pPr>
              <w:spacing w:line="276" w:lineRule="auto"/>
              <w:jc w:val="center"/>
              <w:rPr>
                <w:rFonts w:ascii="Arial Narrow" w:hAnsi="Arial Narrow"/>
                <w:sz w:val="20"/>
                <w:szCs w:val="20"/>
              </w:rPr>
            </w:pPr>
            <w:r w:rsidRPr="00BE012B">
              <w:rPr>
                <w:rFonts w:ascii="Arial Narrow" w:hAnsi="Arial Narrow"/>
                <w:sz w:val="20"/>
                <w:szCs w:val="20"/>
              </w:rPr>
              <w:t>41 (85.4)</w:t>
            </w:r>
          </w:p>
        </w:tc>
      </w:tr>
      <w:tr w:rsidR="00DF44DD" w:rsidRPr="00BE012B" w14:paraId="7752EBF7" w14:textId="77777777" w:rsidTr="00750019">
        <w:tc>
          <w:tcPr>
            <w:tcW w:w="2500" w:type="pct"/>
          </w:tcPr>
          <w:p w14:paraId="71551106" w14:textId="77777777" w:rsidR="00DF44DD" w:rsidRPr="00BE012B" w:rsidRDefault="00DF44DD" w:rsidP="00104475">
            <w:pPr>
              <w:spacing w:line="276" w:lineRule="auto"/>
              <w:rPr>
                <w:rFonts w:ascii="Arial Narrow" w:hAnsi="Arial Narrow"/>
                <w:sz w:val="20"/>
                <w:szCs w:val="20"/>
              </w:rPr>
            </w:pPr>
            <w:r w:rsidRPr="00BE012B">
              <w:rPr>
                <w:rFonts w:ascii="Arial Narrow" w:hAnsi="Arial Narrow"/>
                <w:sz w:val="20"/>
                <w:szCs w:val="20"/>
              </w:rPr>
              <w:t xml:space="preserve">AEs with grade </w:t>
            </w:r>
            <w:r w:rsidRPr="00BE012B">
              <w:rPr>
                <w:rFonts w:ascii="Arial Narrow" w:hAnsi="Arial Narrow" w:cs="Calibri"/>
                <w:sz w:val="20"/>
                <w:szCs w:val="20"/>
              </w:rPr>
              <w:t>≥</w:t>
            </w:r>
            <w:r w:rsidRPr="00BE012B">
              <w:rPr>
                <w:rFonts w:ascii="Arial Narrow" w:hAnsi="Arial Narrow"/>
                <w:sz w:val="20"/>
                <w:szCs w:val="20"/>
              </w:rPr>
              <w:t xml:space="preserve"> 3</w:t>
            </w:r>
          </w:p>
        </w:tc>
        <w:tc>
          <w:tcPr>
            <w:tcW w:w="2500" w:type="pct"/>
          </w:tcPr>
          <w:p w14:paraId="677B1148" w14:textId="77777777" w:rsidR="00DF44DD" w:rsidRPr="00BE012B" w:rsidRDefault="00DF44DD" w:rsidP="00104475">
            <w:pPr>
              <w:spacing w:line="276" w:lineRule="auto"/>
              <w:jc w:val="center"/>
              <w:rPr>
                <w:rFonts w:ascii="Arial Narrow" w:hAnsi="Arial Narrow"/>
                <w:sz w:val="20"/>
                <w:szCs w:val="20"/>
              </w:rPr>
            </w:pPr>
            <w:r w:rsidRPr="00BE012B">
              <w:rPr>
                <w:rFonts w:ascii="Arial Narrow" w:hAnsi="Arial Narrow"/>
                <w:sz w:val="20"/>
                <w:szCs w:val="20"/>
              </w:rPr>
              <w:t>29 (60.4)</w:t>
            </w:r>
          </w:p>
        </w:tc>
      </w:tr>
      <w:tr w:rsidR="00DF44DD" w:rsidRPr="00BE012B" w14:paraId="37961152" w14:textId="77777777" w:rsidTr="00750019">
        <w:tc>
          <w:tcPr>
            <w:tcW w:w="2500" w:type="pct"/>
          </w:tcPr>
          <w:p w14:paraId="433369C0" w14:textId="77777777" w:rsidR="00DF44DD" w:rsidRPr="00BE012B" w:rsidRDefault="00DF44DD" w:rsidP="00104475">
            <w:pPr>
              <w:spacing w:line="276" w:lineRule="auto"/>
              <w:ind w:left="720"/>
              <w:rPr>
                <w:rFonts w:ascii="Arial Narrow" w:hAnsi="Arial Narrow"/>
                <w:sz w:val="20"/>
                <w:szCs w:val="20"/>
              </w:rPr>
            </w:pPr>
            <w:r w:rsidRPr="00BE012B">
              <w:rPr>
                <w:rFonts w:ascii="Arial Narrow" w:hAnsi="Arial Narrow"/>
                <w:sz w:val="20"/>
                <w:szCs w:val="20"/>
              </w:rPr>
              <w:t>Treatment-related</w:t>
            </w:r>
          </w:p>
        </w:tc>
        <w:tc>
          <w:tcPr>
            <w:tcW w:w="2500" w:type="pct"/>
          </w:tcPr>
          <w:p w14:paraId="266CD0E1" w14:textId="77777777" w:rsidR="00DF44DD" w:rsidRPr="00BE012B" w:rsidRDefault="00DF44DD" w:rsidP="00104475">
            <w:pPr>
              <w:spacing w:line="276" w:lineRule="auto"/>
              <w:jc w:val="center"/>
              <w:rPr>
                <w:rFonts w:ascii="Arial Narrow" w:hAnsi="Arial Narrow"/>
                <w:sz w:val="20"/>
                <w:szCs w:val="20"/>
              </w:rPr>
            </w:pPr>
            <w:r w:rsidRPr="00BE012B">
              <w:rPr>
                <w:rFonts w:ascii="Arial Narrow" w:hAnsi="Arial Narrow"/>
                <w:sz w:val="20"/>
                <w:szCs w:val="20"/>
              </w:rPr>
              <w:t>18 (37.5)</w:t>
            </w:r>
          </w:p>
        </w:tc>
      </w:tr>
      <w:tr w:rsidR="00DF44DD" w:rsidRPr="00BE012B" w14:paraId="07A3877F" w14:textId="77777777" w:rsidTr="00750019">
        <w:tc>
          <w:tcPr>
            <w:tcW w:w="2500" w:type="pct"/>
          </w:tcPr>
          <w:p w14:paraId="13233881" w14:textId="77777777" w:rsidR="00DF44DD" w:rsidRPr="00BE012B" w:rsidRDefault="00DF44DD" w:rsidP="00104475">
            <w:pPr>
              <w:spacing w:line="276" w:lineRule="auto"/>
              <w:rPr>
                <w:rFonts w:ascii="Arial Narrow" w:hAnsi="Arial Narrow"/>
                <w:sz w:val="20"/>
                <w:szCs w:val="20"/>
              </w:rPr>
            </w:pPr>
            <w:r w:rsidRPr="00BE012B">
              <w:rPr>
                <w:rFonts w:ascii="Arial Narrow" w:hAnsi="Arial Narrow"/>
                <w:sz w:val="20"/>
                <w:szCs w:val="20"/>
              </w:rPr>
              <w:t>SAEs</w:t>
            </w:r>
          </w:p>
        </w:tc>
        <w:tc>
          <w:tcPr>
            <w:tcW w:w="2500" w:type="pct"/>
          </w:tcPr>
          <w:p w14:paraId="493B6BCE" w14:textId="77777777" w:rsidR="00DF44DD" w:rsidRPr="00BE012B" w:rsidRDefault="00DF44DD" w:rsidP="00104475">
            <w:pPr>
              <w:spacing w:line="276" w:lineRule="auto"/>
              <w:jc w:val="center"/>
              <w:rPr>
                <w:rFonts w:ascii="Arial Narrow" w:hAnsi="Arial Narrow"/>
                <w:sz w:val="20"/>
                <w:szCs w:val="20"/>
              </w:rPr>
            </w:pPr>
            <w:r w:rsidRPr="00BE012B">
              <w:rPr>
                <w:rFonts w:ascii="Arial Narrow" w:hAnsi="Arial Narrow"/>
                <w:sz w:val="20"/>
                <w:szCs w:val="20"/>
              </w:rPr>
              <w:t>11 (22.9)</w:t>
            </w:r>
          </w:p>
        </w:tc>
      </w:tr>
      <w:tr w:rsidR="00DF44DD" w:rsidRPr="00BE012B" w14:paraId="2211AE2F" w14:textId="77777777" w:rsidTr="00750019">
        <w:tc>
          <w:tcPr>
            <w:tcW w:w="2500" w:type="pct"/>
          </w:tcPr>
          <w:p w14:paraId="2791B575" w14:textId="77777777" w:rsidR="00DF44DD" w:rsidRPr="00BE012B" w:rsidRDefault="00DF44DD" w:rsidP="00104475">
            <w:pPr>
              <w:spacing w:line="276" w:lineRule="auto"/>
              <w:ind w:left="720"/>
              <w:rPr>
                <w:rFonts w:ascii="Arial Narrow" w:hAnsi="Arial Narrow"/>
                <w:sz w:val="20"/>
                <w:szCs w:val="20"/>
              </w:rPr>
            </w:pPr>
            <w:r w:rsidRPr="00BE012B">
              <w:rPr>
                <w:rFonts w:ascii="Arial Narrow" w:hAnsi="Arial Narrow"/>
                <w:sz w:val="20"/>
                <w:szCs w:val="20"/>
              </w:rPr>
              <w:t>Treatment-related</w:t>
            </w:r>
          </w:p>
        </w:tc>
        <w:tc>
          <w:tcPr>
            <w:tcW w:w="2500" w:type="pct"/>
          </w:tcPr>
          <w:p w14:paraId="1BEB0453" w14:textId="77777777" w:rsidR="00DF44DD" w:rsidRPr="00BE012B" w:rsidRDefault="00DF44DD" w:rsidP="00104475">
            <w:pPr>
              <w:spacing w:line="276" w:lineRule="auto"/>
              <w:jc w:val="center"/>
              <w:rPr>
                <w:rFonts w:ascii="Arial Narrow" w:hAnsi="Arial Narrow"/>
                <w:sz w:val="20"/>
                <w:szCs w:val="20"/>
              </w:rPr>
            </w:pPr>
            <w:r w:rsidRPr="00BE012B">
              <w:rPr>
                <w:rFonts w:ascii="Arial Narrow" w:hAnsi="Arial Narrow"/>
                <w:sz w:val="20"/>
                <w:szCs w:val="20"/>
              </w:rPr>
              <w:t>2 (4.2)</w:t>
            </w:r>
          </w:p>
        </w:tc>
      </w:tr>
      <w:tr w:rsidR="00DF44DD" w:rsidRPr="00BE012B" w14:paraId="256846C8" w14:textId="77777777" w:rsidTr="00750019">
        <w:tc>
          <w:tcPr>
            <w:tcW w:w="2500" w:type="pct"/>
          </w:tcPr>
          <w:p w14:paraId="1B54063C" w14:textId="77777777" w:rsidR="00DF44DD" w:rsidRPr="00BE012B" w:rsidRDefault="00DF44DD" w:rsidP="00104475">
            <w:pPr>
              <w:spacing w:line="276" w:lineRule="auto"/>
              <w:rPr>
                <w:rFonts w:ascii="Arial Narrow" w:hAnsi="Arial Narrow"/>
                <w:sz w:val="20"/>
                <w:szCs w:val="20"/>
              </w:rPr>
            </w:pPr>
            <w:r w:rsidRPr="00BE012B">
              <w:rPr>
                <w:rFonts w:ascii="Arial Narrow" w:hAnsi="Arial Narrow"/>
                <w:sz w:val="20"/>
                <w:szCs w:val="20"/>
              </w:rPr>
              <w:t>Fatal SAEs</w:t>
            </w:r>
          </w:p>
        </w:tc>
        <w:tc>
          <w:tcPr>
            <w:tcW w:w="2500" w:type="pct"/>
          </w:tcPr>
          <w:p w14:paraId="017FF861" w14:textId="77777777" w:rsidR="00DF44DD" w:rsidRPr="00BE012B" w:rsidRDefault="00DF44DD" w:rsidP="00104475">
            <w:pPr>
              <w:spacing w:line="276" w:lineRule="auto"/>
              <w:jc w:val="center"/>
              <w:rPr>
                <w:rFonts w:ascii="Arial Narrow" w:hAnsi="Arial Narrow"/>
                <w:sz w:val="20"/>
                <w:szCs w:val="20"/>
              </w:rPr>
            </w:pPr>
            <w:r w:rsidRPr="00BE012B">
              <w:rPr>
                <w:rFonts w:ascii="Arial Narrow" w:hAnsi="Arial Narrow"/>
                <w:sz w:val="20"/>
                <w:szCs w:val="20"/>
              </w:rPr>
              <w:t>2 (4.2)</w:t>
            </w:r>
          </w:p>
        </w:tc>
      </w:tr>
      <w:tr w:rsidR="00DF44DD" w:rsidRPr="00BE012B" w14:paraId="1681D19C" w14:textId="77777777" w:rsidTr="00750019">
        <w:tc>
          <w:tcPr>
            <w:tcW w:w="2500" w:type="pct"/>
          </w:tcPr>
          <w:p w14:paraId="2C701A36" w14:textId="77777777" w:rsidR="00DF44DD" w:rsidRPr="00BE012B" w:rsidRDefault="00DF44DD" w:rsidP="00104475">
            <w:pPr>
              <w:spacing w:line="276" w:lineRule="auto"/>
              <w:rPr>
                <w:rFonts w:ascii="Arial Narrow" w:hAnsi="Arial Narrow"/>
                <w:sz w:val="20"/>
                <w:szCs w:val="20"/>
              </w:rPr>
            </w:pPr>
            <w:r w:rsidRPr="00BE012B">
              <w:rPr>
                <w:rFonts w:ascii="Arial Narrow" w:hAnsi="Arial Narrow"/>
                <w:sz w:val="20"/>
                <w:szCs w:val="20"/>
              </w:rPr>
              <w:lastRenderedPageBreak/>
              <w:t>AEs leading to discontinuation</w:t>
            </w:r>
          </w:p>
        </w:tc>
        <w:tc>
          <w:tcPr>
            <w:tcW w:w="2500" w:type="pct"/>
          </w:tcPr>
          <w:p w14:paraId="63AA4765" w14:textId="77777777" w:rsidR="00DF44DD" w:rsidRPr="00BE012B" w:rsidRDefault="00DF44DD" w:rsidP="00104475">
            <w:pPr>
              <w:spacing w:line="276" w:lineRule="auto"/>
              <w:jc w:val="center"/>
              <w:rPr>
                <w:rFonts w:ascii="Arial Narrow" w:hAnsi="Arial Narrow"/>
                <w:sz w:val="20"/>
                <w:szCs w:val="20"/>
              </w:rPr>
            </w:pPr>
            <w:r w:rsidRPr="00BE012B">
              <w:rPr>
                <w:rFonts w:ascii="Arial Narrow" w:hAnsi="Arial Narrow"/>
                <w:sz w:val="20"/>
                <w:szCs w:val="20"/>
              </w:rPr>
              <w:t>5 (10.4)</w:t>
            </w:r>
          </w:p>
        </w:tc>
      </w:tr>
      <w:tr w:rsidR="00DF44DD" w:rsidRPr="00BE012B" w14:paraId="44254F95" w14:textId="77777777" w:rsidTr="00750019">
        <w:tc>
          <w:tcPr>
            <w:tcW w:w="2500" w:type="pct"/>
          </w:tcPr>
          <w:p w14:paraId="0D531CA6" w14:textId="77777777" w:rsidR="00DF44DD" w:rsidRPr="00BE012B" w:rsidRDefault="00DF44DD" w:rsidP="00104475">
            <w:pPr>
              <w:spacing w:line="276" w:lineRule="auto"/>
              <w:ind w:left="720"/>
              <w:rPr>
                <w:rFonts w:ascii="Arial Narrow" w:hAnsi="Arial Narrow"/>
                <w:sz w:val="20"/>
                <w:szCs w:val="20"/>
              </w:rPr>
            </w:pPr>
            <w:r w:rsidRPr="00BE012B">
              <w:rPr>
                <w:rFonts w:ascii="Arial Narrow" w:hAnsi="Arial Narrow"/>
                <w:sz w:val="20"/>
                <w:szCs w:val="20"/>
              </w:rPr>
              <w:t>Treatment-related</w:t>
            </w:r>
          </w:p>
        </w:tc>
        <w:tc>
          <w:tcPr>
            <w:tcW w:w="2500" w:type="pct"/>
          </w:tcPr>
          <w:p w14:paraId="487ED104" w14:textId="77777777" w:rsidR="00DF44DD" w:rsidRPr="00BE012B" w:rsidRDefault="00DF44DD" w:rsidP="00104475">
            <w:pPr>
              <w:spacing w:line="276" w:lineRule="auto"/>
              <w:jc w:val="center"/>
              <w:rPr>
                <w:rFonts w:ascii="Arial Narrow" w:hAnsi="Arial Narrow"/>
                <w:sz w:val="20"/>
                <w:szCs w:val="20"/>
              </w:rPr>
            </w:pPr>
            <w:r w:rsidRPr="00BE012B">
              <w:rPr>
                <w:rFonts w:ascii="Arial Narrow" w:hAnsi="Arial Narrow"/>
                <w:sz w:val="20"/>
                <w:szCs w:val="20"/>
              </w:rPr>
              <w:t>2 (4.2)</w:t>
            </w:r>
          </w:p>
        </w:tc>
      </w:tr>
    </w:tbl>
    <w:p w14:paraId="666AEBC1" w14:textId="2DC8E681" w:rsidR="00DF44DD" w:rsidRDefault="00DF44DD" w:rsidP="00104475">
      <w:pPr>
        <w:rPr>
          <w:rFonts w:ascii="Arial Narrow" w:hAnsi="Arial Narrow"/>
          <w:sz w:val="18"/>
          <w:szCs w:val="18"/>
        </w:rPr>
      </w:pPr>
      <w:r w:rsidRPr="00BE012B">
        <w:rPr>
          <w:rFonts w:ascii="Arial Narrow" w:hAnsi="Arial Narrow"/>
          <w:sz w:val="18"/>
          <w:szCs w:val="18"/>
        </w:rPr>
        <w:t xml:space="preserve">Source: </w:t>
      </w:r>
      <w:r w:rsidR="00BE012B" w:rsidRPr="00BE012B">
        <w:rPr>
          <w:rFonts w:ascii="Arial Narrow" w:hAnsi="Arial Narrow"/>
          <w:sz w:val="18"/>
          <w:szCs w:val="18"/>
        </w:rPr>
        <w:t xml:space="preserve">Resubmission Table 2-9; </w:t>
      </w:r>
      <w:r w:rsidRPr="00BE012B">
        <w:rPr>
          <w:rFonts w:ascii="Arial Narrow" w:hAnsi="Arial Narrow"/>
          <w:sz w:val="18"/>
          <w:szCs w:val="18"/>
        </w:rPr>
        <w:t>Appendix 4: X2101 CSR Supplement 1, Table 14.3.1-20.1, p817</w:t>
      </w:r>
      <w:r w:rsidR="00502F06">
        <w:rPr>
          <w:rFonts w:ascii="Arial Narrow" w:hAnsi="Arial Narrow"/>
          <w:sz w:val="18"/>
          <w:szCs w:val="18"/>
        </w:rPr>
        <w:t>.</w:t>
      </w:r>
    </w:p>
    <w:p w14:paraId="5D5ABD83" w14:textId="28ECEBEF" w:rsidR="00B96A78" w:rsidRPr="000715F6" w:rsidRDefault="00852446" w:rsidP="00DF44DD">
      <w:pPr>
        <w:rPr>
          <w:rFonts w:ascii="Arial Narrow" w:hAnsi="Arial Narrow"/>
          <w:sz w:val="18"/>
          <w:szCs w:val="18"/>
        </w:rPr>
      </w:pPr>
      <w:r>
        <w:rPr>
          <w:rFonts w:ascii="Arial Narrow" w:hAnsi="Arial Narrow"/>
          <w:sz w:val="18"/>
          <w:szCs w:val="18"/>
        </w:rPr>
        <w:t>AEs = adverse events; SAEs = serious adverse events.</w:t>
      </w:r>
    </w:p>
    <w:p w14:paraId="3D5A7DA5" w14:textId="29C44924" w:rsidR="00DF44DD" w:rsidRPr="00502F06" w:rsidRDefault="00DF44DD" w:rsidP="00DF44DD">
      <w:pPr>
        <w:pStyle w:val="3-BodyText"/>
      </w:pPr>
      <w:r w:rsidRPr="00502F06">
        <w:t>The treatment-related AEs experienced by CML-CP patients harbouring the T315I mutation and treated with asciminib 200 mg twice daily at the data cut-off of 6 January 2021 are presented in</w:t>
      </w:r>
      <w:r w:rsidR="00502F06" w:rsidRPr="00502F06">
        <w:t xml:space="preserve"> </w:t>
      </w:r>
      <w:r w:rsidR="00502F06" w:rsidRPr="00502F06">
        <w:rPr>
          <w:rFonts w:cstheme="minorHAnsi"/>
        </w:rPr>
        <w:fldChar w:fldCharType="begin" w:fldLock="1"/>
      </w:r>
      <w:r w:rsidR="00502F06" w:rsidRPr="00502F06">
        <w:rPr>
          <w:rFonts w:cstheme="minorHAnsi"/>
        </w:rPr>
        <w:instrText xml:space="preserve"> REF _Ref114506995 \h  \* MERGEFORMAT </w:instrText>
      </w:r>
      <w:r w:rsidR="00502F06" w:rsidRPr="00502F06">
        <w:rPr>
          <w:rFonts w:cstheme="minorHAnsi"/>
        </w:rPr>
      </w:r>
      <w:r w:rsidR="00502F06" w:rsidRPr="00502F06">
        <w:rPr>
          <w:rFonts w:cstheme="minorHAnsi"/>
        </w:rPr>
        <w:fldChar w:fldCharType="separate"/>
      </w:r>
      <w:r w:rsidR="00196FF1" w:rsidRPr="00196FF1">
        <w:rPr>
          <w:rFonts w:cstheme="minorHAnsi"/>
        </w:rPr>
        <w:t xml:space="preserve">Table </w:t>
      </w:r>
      <w:r w:rsidR="00196FF1" w:rsidRPr="00196FF1">
        <w:rPr>
          <w:rFonts w:cstheme="minorHAnsi"/>
          <w:noProof/>
        </w:rPr>
        <w:t>13</w:t>
      </w:r>
      <w:r w:rsidR="00502F06" w:rsidRPr="00502F06">
        <w:rPr>
          <w:rFonts w:cstheme="minorHAnsi"/>
        </w:rPr>
        <w:fldChar w:fldCharType="end"/>
      </w:r>
      <w:r w:rsidRPr="00502F06">
        <w:t>.</w:t>
      </w:r>
    </w:p>
    <w:p w14:paraId="5392E64D" w14:textId="4BFBE97C" w:rsidR="00DF44DD" w:rsidRPr="00502F06" w:rsidRDefault="00502F06" w:rsidP="00502F06">
      <w:pPr>
        <w:pStyle w:val="Tableheading"/>
        <w:jc w:val="left"/>
        <w:rPr>
          <w:rFonts w:ascii="Arial Narrow" w:hAnsi="Arial Narrow"/>
        </w:rPr>
      </w:pPr>
      <w:bookmarkStart w:id="36" w:name="_Ref114506995"/>
      <w:bookmarkStart w:id="37" w:name="_Toc112315931"/>
      <w:r w:rsidRPr="00502F06">
        <w:rPr>
          <w:rFonts w:ascii="Arial Narrow" w:hAnsi="Arial Narrow"/>
        </w:rPr>
        <w:lastRenderedPageBreak/>
        <w:t xml:space="preserve">Table </w:t>
      </w:r>
      <w:r w:rsidRPr="00502F06">
        <w:rPr>
          <w:rFonts w:ascii="Arial Narrow" w:hAnsi="Arial Narrow"/>
        </w:rPr>
        <w:fldChar w:fldCharType="begin" w:fldLock="1"/>
      </w:r>
      <w:r w:rsidRPr="00502F06">
        <w:rPr>
          <w:rFonts w:ascii="Arial Narrow" w:hAnsi="Arial Narrow"/>
        </w:rPr>
        <w:instrText xml:space="preserve"> SEQ Table \* ARABIC </w:instrText>
      </w:r>
      <w:r w:rsidRPr="00502F06">
        <w:rPr>
          <w:rFonts w:ascii="Arial Narrow" w:hAnsi="Arial Narrow"/>
        </w:rPr>
        <w:fldChar w:fldCharType="separate"/>
      </w:r>
      <w:r w:rsidR="00100F00">
        <w:rPr>
          <w:rFonts w:ascii="Arial Narrow" w:hAnsi="Arial Narrow"/>
          <w:noProof/>
        </w:rPr>
        <w:t>13</w:t>
      </w:r>
      <w:r w:rsidRPr="00502F06">
        <w:rPr>
          <w:rFonts w:ascii="Arial Narrow" w:hAnsi="Arial Narrow"/>
        </w:rPr>
        <w:fldChar w:fldCharType="end"/>
      </w:r>
      <w:bookmarkEnd w:id="36"/>
      <w:r w:rsidRPr="00502F06">
        <w:rPr>
          <w:rFonts w:ascii="Arial Narrow" w:hAnsi="Arial Narrow"/>
        </w:rPr>
        <w:t xml:space="preserve">: </w:t>
      </w:r>
      <w:r w:rsidR="00DF44DD" w:rsidRPr="00502F06">
        <w:rPr>
          <w:rFonts w:ascii="Arial Narrow" w:hAnsi="Arial Narrow"/>
        </w:rPr>
        <w:t xml:space="preserve">Treatment-related AEs in greater than 5% population (any AE) or greater than 2% (grade </w:t>
      </w:r>
      <w:r w:rsidR="00DF44DD" w:rsidRPr="00502F06">
        <w:rPr>
          <w:rFonts w:ascii="Arial Narrow" w:hAnsi="Arial Narrow" w:cs="Calibri"/>
        </w:rPr>
        <w:t>≥</w:t>
      </w:r>
      <w:r w:rsidR="00DF44DD" w:rsidRPr="00502F06">
        <w:rPr>
          <w:rFonts w:ascii="Arial Narrow" w:hAnsi="Arial Narrow"/>
        </w:rPr>
        <w:t>3): X2101</w:t>
      </w:r>
      <w:bookmarkEnd w:id="37"/>
      <w:r w:rsidR="00701AB9">
        <w:rPr>
          <w:rFonts w:ascii="Arial Narrow" w:hAnsi="Arial Narrow"/>
        </w:rPr>
        <w:t xml:space="preserve"> trial</w:t>
      </w:r>
    </w:p>
    <w:tbl>
      <w:tblPr>
        <w:tblStyle w:val="TableGrid"/>
        <w:tblW w:w="5000" w:type="pct"/>
        <w:tblLook w:val="04A0" w:firstRow="1" w:lastRow="0" w:firstColumn="1" w:lastColumn="0" w:noHBand="0" w:noVBand="1"/>
        <w:tblCaption w:val="Table 13: Treatment-related AEs in greater than 5% population (any AE) or greater than 2% (grade ≥3): X2101 trial"/>
      </w:tblPr>
      <w:tblGrid>
        <w:gridCol w:w="4523"/>
        <w:gridCol w:w="2250"/>
        <w:gridCol w:w="2243"/>
      </w:tblGrid>
      <w:tr w:rsidR="00DF44DD" w:rsidRPr="000D3AF3" w14:paraId="28F26EAE" w14:textId="77777777" w:rsidTr="00750019">
        <w:trPr>
          <w:cantSplit/>
        </w:trPr>
        <w:tc>
          <w:tcPr>
            <w:tcW w:w="2508" w:type="pct"/>
            <w:tcBorders>
              <w:bottom w:val="nil"/>
            </w:tcBorders>
            <w:shd w:val="clear" w:color="auto" w:fill="F2F2F2"/>
          </w:tcPr>
          <w:p w14:paraId="4599FD20" w14:textId="77777777" w:rsidR="00DF44DD" w:rsidRPr="000D3AF3" w:rsidRDefault="00DF44DD" w:rsidP="00750019">
            <w:pPr>
              <w:pStyle w:val="Tableheading"/>
              <w:rPr>
                <w:rFonts w:ascii="Arial Narrow" w:hAnsi="Arial Narrow"/>
              </w:rPr>
            </w:pPr>
          </w:p>
        </w:tc>
        <w:tc>
          <w:tcPr>
            <w:tcW w:w="2492" w:type="pct"/>
            <w:gridSpan w:val="2"/>
            <w:tcBorders>
              <w:bottom w:val="single" w:sz="4" w:space="0" w:color="auto"/>
            </w:tcBorders>
            <w:shd w:val="clear" w:color="auto" w:fill="F2F2F2"/>
          </w:tcPr>
          <w:p w14:paraId="3F9096B5" w14:textId="77777777" w:rsidR="00DF44DD" w:rsidRPr="000D3AF3" w:rsidRDefault="00DF44DD" w:rsidP="00750019">
            <w:pPr>
              <w:pStyle w:val="Tableheading"/>
              <w:rPr>
                <w:rFonts w:ascii="Arial Narrow" w:hAnsi="Arial Narrow"/>
              </w:rPr>
            </w:pPr>
            <w:r w:rsidRPr="000D3AF3">
              <w:rPr>
                <w:rFonts w:ascii="Arial Narrow" w:hAnsi="Arial Narrow"/>
              </w:rPr>
              <w:t>T315I safety population (N = 48)</w:t>
            </w:r>
          </w:p>
        </w:tc>
      </w:tr>
      <w:tr w:rsidR="00DF44DD" w:rsidRPr="000D3AF3" w14:paraId="06A7BCB4" w14:textId="77777777" w:rsidTr="00750019">
        <w:trPr>
          <w:cantSplit/>
        </w:trPr>
        <w:tc>
          <w:tcPr>
            <w:tcW w:w="2508" w:type="pct"/>
            <w:tcBorders>
              <w:top w:val="nil"/>
              <w:bottom w:val="nil"/>
            </w:tcBorders>
            <w:shd w:val="clear" w:color="auto" w:fill="F2F2F2"/>
          </w:tcPr>
          <w:p w14:paraId="778CC347" w14:textId="77777777" w:rsidR="00DF44DD" w:rsidRPr="000D3AF3" w:rsidRDefault="00DF44DD" w:rsidP="00750019">
            <w:pPr>
              <w:pStyle w:val="Tableheading"/>
              <w:rPr>
                <w:rFonts w:ascii="Arial Narrow" w:hAnsi="Arial Narrow"/>
              </w:rPr>
            </w:pPr>
          </w:p>
        </w:tc>
        <w:tc>
          <w:tcPr>
            <w:tcW w:w="1248" w:type="pct"/>
            <w:tcBorders>
              <w:bottom w:val="nil"/>
            </w:tcBorders>
            <w:shd w:val="clear" w:color="auto" w:fill="F2F2F2"/>
          </w:tcPr>
          <w:p w14:paraId="6E2C723A" w14:textId="77777777" w:rsidR="00DF44DD" w:rsidRPr="000D3AF3" w:rsidRDefault="00DF44DD" w:rsidP="00750019">
            <w:pPr>
              <w:pStyle w:val="Tableheading"/>
              <w:rPr>
                <w:rFonts w:ascii="Arial Narrow" w:hAnsi="Arial Narrow"/>
              </w:rPr>
            </w:pPr>
            <w:r w:rsidRPr="000D3AF3">
              <w:rPr>
                <w:rFonts w:ascii="Arial Narrow" w:hAnsi="Arial Narrow"/>
              </w:rPr>
              <w:t>Any grade</w:t>
            </w:r>
          </w:p>
        </w:tc>
        <w:tc>
          <w:tcPr>
            <w:tcW w:w="1244" w:type="pct"/>
            <w:tcBorders>
              <w:bottom w:val="nil"/>
            </w:tcBorders>
            <w:shd w:val="clear" w:color="auto" w:fill="F2F2F2"/>
          </w:tcPr>
          <w:p w14:paraId="3A270997" w14:textId="20BE306D" w:rsidR="00DF44DD" w:rsidRPr="000D3AF3" w:rsidRDefault="00DF44DD" w:rsidP="00750019">
            <w:pPr>
              <w:pStyle w:val="Tableheading"/>
              <w:rPr>
                <w:rFonts w:ascii="Arial Narrow" w:hAnsi="Arial Narrow"/>
              </w:rPr>
            </w:pPr>
            <w:r w:rsidRPr="000D3AF3">
              <w:rPr>
                <w:rFonts w:ascii="Arial Narrow" w:hAnsi="Arial Narrow"/>
              </w:rPr>
              <w:t xml:space="preserve">Grade </w:t>
            </w:r>
            <w:r w:rsidRPr="000D3AF3">
              <w:rPr>
                <w:rFonts w:ascii="Arial Narrow" w:hAnsi="Arial Narrow" w:cstheme="minorHAnsi"/>
              </w:rPr>
              <w:t>≥</w:t>
            </w:r>
            <w:r w:rsidRPr="000D3AF3">
              <w:rPr>
                <w:rFonts w:ascii="Arial Narrow" w:hAnsi="Arial Narrow"/>
              </w:rPr>
              <w:t xml:space="preserve">3 </w:t>
            </w:r>
          </w:p>
        </w:tc>
      </w:tr>
      <w:tr w:rsidR="00DF44DD" w:rsidRPr="000D3AF3" w14:paraId="0389A622" w14:textId="77777777" w:rsidTr="00750019">
        <w:trPr>
          <w:cantSplit/>
        </w:trPr>
        <w:tc>
          <w:tcPr>
            <w:tcW w:w="2508" w:type="pct"/>
            <w:tcBorders>
              <w:top w:val="nil"/>
              <w:bottom w:val="single" w:sz="4" w:space="0" w:color="auto"/>
            </w:tcBorders>
            <w:shd w:val="clear" w:color="auto" w:fill="F2F2F2"/>
          </w:tcPr>
          <w:p w14:paraId="6BFEE682" w14:textId="77777777" w:rsidR="00DF44DD" w:rsidRPr="000D3AF3" w:rsidRDefault="00DF44DD" w:rsidP="00750019">
            <w:pPr>
              <w:pStyle w:val="Tableheading"/>
              <w:rPr>
                <w:rFonts w:ascii="Arial Narrow" w:hAnsi="Arial Narrow"/>
              </w:rPr>
            </w:pPr>
          </w:p>
        </w:tc>
        <w:tc>
          <w:tcPr>
            <w:tcW w:w="1248" w:type="pct"/>
            <w:tcBorders>
              <w:top w:val="nil"/>
              <w:bottom w:val="single" w:sz="4" w:space="0" w:color="auto"/>
            </w:tcBorders>
            <w:shd w:val="clear" w:color="auto" w:fill="F2F2F2"/>
          </w:tcPr>
          <w:p w14:paraId="2CDDEE02" w14:textId="77777777" w:rsidR="00DF44DD" w:rsidRPr="000D3AF3" w:rsidRDefault="00DF44DD" w:rsidP="00750019">
            <w:pPr>
              <w:pStyle w:val="Tableheading"/>
              <w:rPr>
                <w:rFonts w:ascii="Arial Narrow" w:hAnsi="Arial Narrow"/>
              </w:rPr>
            </w:pPr>
            <w:r w:rsidRPr="000D3AF3">
              <w:rPr>
                <w:rFonts w:ascii="Arial Narrow" w:hAnsi="Arial Narrow"/>
              </w:rPr>
              <w:t>n (%)</w:t>
            </w:r>
          </w:p>
        </w:tc>
        <w:tc>
          <w:tcPr>
            <w:tcW w:w="1244" w:type="pct"/>
            <w:tcBorders>
              <w:top w:val="nil"/>
              <w:bottom w:val="single" w:sz="4" w:space="0" w:color="auto"/>
            </w:tcBorders>
            <w:shd w:val="clear" w:color="auto" w:fill="F2F2F2"/>
          </w:tcPr>
          <w:p w14:paraId="5900820A" w14:textId="77777777" w:rsidR="00DF44DD" w:rsidRPr="000D3AF3" w:rsidRDefault="00DF44DD" w:rsidP="00750019">
            <w:pPr>
              <w:pStyle w:val="Tableheading"/>
              <w:rPr>
                <w:rFonts w:ascii="Arial Narrow" w:hAnsi="Arial Narrow"/>
              </w:rPr>
            </w:pPr>
            <w:r w:rsidRPr="000D3AF3">
              <w:rPr>
                <w:rFonts w:ascii="Arial Narrow" w:hAnsi="Arial Narrow"/>
              </w:rPr>
              <w:t>n (%)</w:t>
            </w:r>
          </w:p>
        </w:tc>
      </w:tr>
      <w:tr w:rsidR="00DF44DD" w:rsidRPr="000D3AF3" w14:paraId="540CDE5D" w14:textId="77777777" w:rsidTr="00750019">
        <w:tc>
          <w:tcPr>
            <w:tcW w:w="2508" w:type="pct"/>
            <w:tcBorders>
              <w:bottom w:val="single" w:sz="4" w:space="0" w:color="auto"/>
            </w:tcBorders>
          </w:tcPr>
          <w:p w14:paraId="52B71A6D" w14:textId="77777777" w:rsidR="00DF44DD" w:rsidRPr="000D3AF3" w:rsidRDefault="00DF44DD" w:rsidP="00750019">
            <w:pPr>
              <w:pStyle w:val="Btable"/>
              <w:rPr>
                <w:rFonts w:ascii="Arial Narrow" w:hAnsi="Arial Narrow"/>
                <w:b w:val="0"/>
                <w:bCs w:val="0"/>
              </w:rPr>
            </w:pPr>
            <w:r w:rsidRPr="000D3AF3">
              <w:rPr>
                <w:rFonts w:ascii="Arial Narrow" w:hAnsi="Arial Narrow"/>
                <w:b w:val="0"/>
                <w:bCs w:val="0"/>
              </w:rPr>
              <w:t>Total treatment-related AEs</w:t>
            </w:r>
          </w:p>
        </w:tc>
        <w:tc>
          <w:tcPr>
            <w:tcW w:w="1248" w:type="pct"/>
            <w:tcBorders>
              <w:bottom w:val="single" w:sz="4" w:space="0" w:color="auto"/>
            </w:tcBorders>
          </w:tcPr>
          <w:p w14:paraId="557DAAA7" w14:textId="77777777" w:rsidR="00DF44DD" w:rsidRPr="000D3AF3" w:rsidRDefault="00DF44DD" w:rsidP="00750019">
            <w:pPr>
              <w:pStyle w:val="Btable"/>
              <w:jc w:val="center"/>
              <w:rPr>
                <w:rFonts w:ascii="Arial Narrow" w:hAnsi="Arial Narrow"/>
                <w:b w:val="0"/>
                <w:bCs w:val="0"/>
              </w:rPr>
            </w:pPr>
            <w:r w:rsidRPr="000D3AF3">
              <w:rPr>
                <w:rFonts w:ascii="Arial Narrow" w:hAnsi="Arial Narrow"/>
                <w:b w:val="0"/>
                <w:bCs w:val="0"/>
              </w:rPr>
              <w:t>41 (85.4)</w:t>
            </w:r>
          </w:p>
        </w:tc>
        <w:tc>
          <w:tcPr>
            <w:tcW w:w="1244" w:type="pct"/>
            <w:tcBorders>
              <w:bottom w:val="single" w:sz="4" w:space="0" w:color="auto"/>
            </w:tcBorders>
          </w:tcPr>
          <w:p w14:paraId="5108A774" w14:textId="77777777" w:rsidR="00DF44DD" w:rsidRPr="000D3AF3" w:rsidRDefault="00DF44DD" w:rsidP="00750019">
            <w:pPr>
              <w:pStyle w:val="Btable"/>
              <w:jc w:val="center"/>
              <w:rPr>
                <w:rFonts w:ascii="Arial Narrow" w:hAnsi="Arial Narrow"/>
                <w:b w:val="0"/>
                <w:bCs w:val="0"/>
              </w:rPr>
            </w:pPr>
            <w:r w:rsidRPr="000D3AF3">
              <w:rPr>
                <w:rFonts w:ascii="Arial Narrow" w:hAnsi="Arial Narrow"/>
                <w:b w:val="0"/>
                <w:bCs w:val="0"/>
              </w:rPr>
              <w:t>18 (37.5)</w:t>
            </w:r>
          </w:p>
        </w:tc>
      </w:tr>
      <w:tr w:rsidR="00DF44DD" w:rsidRPr="000D3AF3" w14:paraId="5A6B1F2E" w14:textId="77777777" w:rsidTr="00750019">
        <w:tc>
          <w:tcPr>
            <w:tcW w:w="2508" w:type="pct"/>
            <w:tcBorders>
              <w:top w:val="single" w:sz="4" w:space="0" w:color="auto"/>
              <w:bottom w:val="single" w:sz="4" w:space="0" w:color="auto"/>
            </w:tcBorders>
          </w:tcPr>
          <w:p w14:paraId="0CBB6BBB" w14:textId="77777777" w:rsidR="00DF44DD" w:rsidRPr="000D3AF3" w:rsidRDefault="00DF44DD" w:rsidP="00750019">
            <w:pPr>
              <w:pStyle w:val="Tabletext0"/>
              <w:rPr>
                <w:rFonts w:ascii="Arial Narrow" w:hAnsi="Arial Narrow"/>
              </w:rPr>
            </w:pPr>
            <w:r w:rsidRPr="000D3AF3">
              <w:rPr>
                <w:rFonts w:ascii="Arial Narrow" w:hAnsi="Arial Narrow"/>
              </w:rPr>
              <w:t>Nausea</w:t>
            </w:r>
          </w:p>
        </w:tc>
        <w:tc>
          <w:tcPr>
            <w:tcW w:w="1248" w:type="pct"/>
            <w:tcBorders>
              <w:top w:val="single" w:sz="4" w:space="0" w:color="auto"/>
              <w:bottom w:val="single" w:sz="4" w:space="0" w:color="auto"/>
            </w:tcBorders>
            <w:vAlign w:val="bottom"/>
          </w:tcPr>
          <w:p w14:paraId="0D20A586" w14:textId="77777777" w:rsidR="00DF44DD" w:rsidRPr="000D3AF3" w:rsidRDefault="00DF44DD" w:rsidP="00750019">
            <w:pPr>
              <w:pStyle w:val="Tablecentre"/>
              <w:rPr>
                <w:rFonts w:ascii="Arial Narrow" w:hAnsi="Arial Narrow"/>
              </w:rPr>
            </w:pPr>
            <w:r w:rsidRPr="000D3AF3">
              <w:rPr>
                <w:rFonts w:ascii="Arial Narrow" w:hAnsi="Arial Narrow"/>
              </w:rPr>
              <w:t>9 (18.8)</w:t>
            </w:r>
          </w:p>
        </w:tc>
        <w:tc>
          <w:tcPr>
            <w:tcW w:w="1244" w:type="pct"/>
            <w:tcBorders>
              <w:top w:val="single" w:sz="4" w:space="0" w:color="auto"/>
              <w:bottom w:val="single" w:sz="4" w:space="0" w:color="auto"/>
            </w:tcBorders>
            <w:vAlign w:val="bottom"/>
          </w:tcPr>
          <w:p w14:paraId="387ACF2F" w14:textId="77777777" w:rsidR="00DF44DD" w:rsidRPr="000D3AF3" w:rsidRDefault="00DF44DD" w:rsidP="00750019">
            <w:pPr>
              <w:pStyle w:val="Tablecentre"/>
              <w:rPr>
                <w:rFonts w:ascii="Arial Narrow" w:hAnsi="Arial Narrow"/>
              </w:rPr>
            </w:pPr>
            <w:r w:rsidRPr="000D3AF3">
              <w:rPr>
                <w:rFonts w:ascii="Arial Narrow" w:hAnsi="Arial Narrow"/>
              </w:rPr>
              <w:t>0</w:t>
            </w:r>
          </w:p>
        </w:tc>
      </w:tr>
      <w:tr w:rsidR="00DF44DD" w:rsidRPr="000D3AF3" w14:paraId="6D939587" w14:textId="77777777" w:rsidTr="00750019">
        <w:tc>
          <w:tcPr>
            <w:tcW w:w="2508" w:type="pct"/>
            <w:tcBorders>
              <w:top w:val="single" w:sz="4" w:space="0" w:color="auto"/>
              <w:bottom w:val="single" w:sz="4" w:space="0" w:color="auto"/>
            </w:tcBorders>
          </w:tcPr>
          <w:p w14:paraId="5A981122" w14:textId="77777777" w:rsidR="00DF44DD" w:rsidRPr="000D3AF3" w:rsidRDefault="00DF44DD" w:rsidP="00750019">
            <w:pPr>
              <w:pStyle w:val="Tabletext0"/>
              <w:rPr>
                <w:rFonts w:ascii="Arial Narrow" w:hAnsi="Arial Narrow"/>
              </w:rPr>
            </w:pPr>
            <w:r w:rsidRPr="000D3AF3">
              <w:rPr>
                <w:rFonts w:ascii="Arial Narrow" w:hAnsi="Arial Narrow"/>
              </w:rPr>
              <w:t>Arthralgia</w:t>
            </w:r>
          </w:p>
        </w:tc>
        <w:tc>
          <w:tcPr>
            <w:tcW w:w="1248" w:type="pct"/>
            <w:tcBorders>
              <w:top w:val="single" w:sz="4" w:space="0" w:color="auto"/>
              <w:bottom w:val="single" w:sz="4" w:space="0" w:color="auto"/>
            </w:tcBorders>
            <w:vAlign w:val="bottom"/>
          </w:tcPr>
          <w:p w14:paraId="16D634FF" w14:textId="77777777" w:rsidR="00DF44DD" w:rsidRPr="000D3AF3" w:rsidRDefault="00DF44DD" w:rsidP="00750019">
            <w:pPr>
              <w:pStyle w:val="Tablecentre"/>
              <w:rPr>
                <w:rFonts w:ascii="Arial Narrow" w:hAnsi="Arial Narrow"/>
              </w:rPr>
            </w:pPr>
            <w:r w:rsidRPr="000D3AF3">
              <w:rPr>
                <w:rFonts w:ascii="Arial Narrow" w:hAnsi="Arial Narrow"/>
              </w:rPr>
              <w:t>6 (12.5)</w:t>
            </w:r>
          </w:p>
        </w:tc>
        <w:tc>
          <w:tcPr>
            <w:tcW w:w="1244" w:type="pct"/>
            <w:tcBorders>
              <w:top w:val="single" w:sz="4" w:space="0" w:color="auto"/>
              <w:bottom w:val="single" w:sz="4" w:space="0" w:color="auto"/>
            </w:tcBorders>
            <w:vAlign w:val="bottom"/>
          </w:tcPr>
          <w:p w14:paraId="32BBE6D7" w14:textId="77777777" w:rsidR="00DF44DD" w:rsidRPr="000D3AF3" w:rsidRDefault="00DF44DD" w:rsidP="00750019">
            <w:pPr>
              <w:pStyle w:val="Tablecentre"/>
              <w:rPr>
                <w:rFonts w:ascii="Arial Narrow" w:hAnsi="Arial Narrow"/>
              </w:rPr>
            </w:pPr>
            <w:r w:rsidRPr="000D3AF3">
              <w:rPr>
                <w:rFonts w:ascii="Arial Narrow" w:hAnsi="Arial Narrow"/>
              </w:rPr>
              <w:t>0</w:t>
            </w:r>
          </w:p>
        </w:tc>
      </w:tr>
      <w:tr w:rsidR="00DF44DD" w:rsidRPr="000D3AF3" w14:paraId="7765BADE" w14:textId="77777777" w:rsidTr="00750019">
        <w:tc>
          <w:tcPr>
            <w:tcW w:w="2508" w:type="pct"/>
            <w:tcBorders>
              <w:top w:val="single" w:sz="4" w:space="0" w:color="auto"/>
              <w:bottom w:val="single" w:sz="4" w:space="0" w:color="auto"/>
            </w:tcBorders>
          </w:tcPr>
          <w:p w14:paraId="51DC4A90" w14:textId="77777777" w:rsidR="00DF44DD" w:rsidRPr="000D3AF3" w:rsidRDefault="00DF44DD" w:rsidP="00750019">
            <w:pPr>
              <w:pStyle w:val="Tabletext0"/>
              <w:rPr>
                <w:rFonts w:ascii="Arial Narrow" w:hAnsi="Arial Narrow"/>
              </w:rPr>
            </w:pPr>
            <w:r w:rsidRPr="000D3AF3">
              <w:rPr>
                <w:rFonts w:ascii="Arial Narrow" w:hAnsi="Arial Narrow"/>
              </w:rPr>
              <w:t>Lipase increased</w:t>
            </w:r>
          </w:p>
        </w:tc>
        <w:tc>
          <w:tcPr>
            <w:tcW w:w="1248" w:type="pct"/>
            <w:tcBorders>
              <w:top w:val="single" w:sz="4" w:space="0" w:color="auto"/>
              <w:bottom w:val="single" w:sz="4" w:space="0" w:color="auto"/>
            </w:tcBorders>
            <w:vAlign w:val="bottom"/>
          </w:tcPr>
          <w:p w14:paraId="0B254D28" w14:textId="77777777" w:rsidR="00DF44DD" w:rsidRPr="000D3AF3" w:rsidRDefault="00DF44DD" w:rsidP="00750019">
            <w:pPr>
              <w:pStyle w:val="Tablecentre"/>
              <w:rPr>
                <w:rFonts w:ascii="Arial Narrow" w:hAnsi="Arial Narrow"/>
              </w:rPr>
            </w:pPr>
            <w:r w:rsidRPr="000D3AF3">
              <w:rPr>
                <w:rFonts w:ascii="Arial Narrow" w:hAnsi="Arial Narrow"/>
              </w:rPr>
              <w:t>11 (22.9)</w:t>
            </w:r>
          </w:p>
        </w:tc>
        <w:tc>
          <w:tcPr>
            <w:tcW w:w="1244" w:type="pct"/>
            <w:tcBorders>
              <w:top w:val="single" w:sz="4" w:space="0" w:color="auto"/>
              <w:bottom w:val="single" w:sz="4" w:space="0" w:color="auto"/>
            </w:tcBorders>
            <w:vAlign w:val="bottom"/>
          </w:tcPr>
          <w:p w14:paraId="310DBF04" w14:textId="77777777" w:rsidR="00DF44DD" w:rsidRPr="000D3AF3" w:rsidRDefault="00DF44DD" w:rsidP="00750019">
            <w:pPr>
              <w:pStyle w:val="Tablecentre"/>
              <w:rPr>
                <w:rFonts w:ascii="Arial Narrow" w:hAnsi="Arial Narrow"/>
              </w:rPr>
            </w:pPr>
            <w:r w:rsidRPr="000D3AF3">
              <w:rPr>
                <w:rFonts w:ascii="Arial Narrow" w:hAnsi="Arial Narrow"/>
              </w:rPr>
              <w:t>8 (16.7)</w:t>
            </w:r>
          </w:p>
        </w:tc>
      </w:tr>
      <w:tr w:rsidR="00DF44DD" w:rsidRPr="000D3AF3" w14:paraId="109C8607" w14:textId="77777777" w:rsidTr="00750019">
        <w:tc>
          <w:tcPr>
            <w:tcW w:w="2508" w:type="pct"/>
            <w:tcBorders>
              <w:top w:val="single" w:sz="4" w:space="0" w:color="auto"/>
              <w:bottom w:val="single" w:sz="4" w:space="0" w:color="auto"/>
            </w:tcBorders>
          </w:tcPr>
          <w:p w14:paraId="14BEBC41" w14:textId="77777777" w:rsidR="00DF44DD" w:rsidRPr="000D3AF3" w:rsidRDefault="00DF44DD" w:rsidP="00750019">
            <w:pPr>
              <w:pStyle w:val="Tabletext0"/>
              <w:rPr>
                <w:rFonts w:ascii="Arial Narrow" w:hAnsi="Arial Narrow"/>
              </w:rPr>
            </w:pPr>
            <w:r w:rsidRPr="000D3AF3">
              <w:rPr>
                <w:rFonts w:ascii="Arial Narrow" w:hAnsi="Arial Narrow"/>
              </w:rPr>
              <w:t>Fatigue</w:t>
            </w:r>
          </w:p>
        </w:tc>
        <w:tc>
          <w:tcPr>
            <w:tcW w:w="1248" w:type="pct"/>
            <w:tcBorders>
              <w:top w:val="single" w:sz="4" w:space="0" w:color="auto"/>
              <w:bottom w:val="single" w:sz="4" w:space="0" w:color="auto"/>
            </w:tcBorders>
            <w:vAlign w:val="bottom"/>
          </w:tcPr>
          <w:p w14:paraId="7448C8C6" w14:textId="77777777" w:rsidR="00DF44DD" w:rsidRPr="000D3AF3" w:rsidRDefault="00DF44DD" w:rsidP="00750019">
            <w:pPr>
              <w:pStyle w:val="Tablecentre"/>
              <w:rPr>
                <w:rFonts w:ascii="Arial Narrow" w:hAnsi="Arial Narrow"/>
              </w:rPr>
            </w:pPr>
            <w:r w:rsidRPr="000D3AF3">
              <w:rPr>
                <w:rFonts w:ascii="Arial Narrow" w:hAnsi="Arial Narrow"/>
              </w:rPr>
              <w:t>6 (12.5)</w:t>
            </w:r>
          </w:p>
        </w:tc>
        <w:tc>
          <w:tcPr>
            <w:tcW w:w="1244" w:type="pct"/>
            <w:tcBorders>
              <w:top w:val="single" w:sz="4" w:space="0" w:color="auto"/>
              <w:bottom w:val="single" w:sz="4" w:space="0" w:color="auto"/>
            </w:tcBorders>
            <w:vAlign w:val="bottom"/>
          </w:tcPr>
          <w:p w14:paraId="274B58DB"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3F69F653" w14:textId="77777777" w:rsidTr="00750019">
        <w:tc>
          <w:tcPr>
            <w:tcW w:w="2508" w:type="pct"/>
            <w:tcBorders>
              <w:top w:val="single" w:sz="4" w:space="0" w:color="auto"/>
              <w:bottom w:val="single" w:sz="4" w:space="0" w:color="auto"/>
            </w:tcBorders>
          </w:tcPr>
          <w:p w14:paraId="5FCE846C" w14:textId="77777777" w:rsidR="00DF44DD" w:rsidRPr="000D3AF3" w:rsidRDefault="00DF44DD" w:rsidP="00750019">
            <w:pPr>
              <w:pStyle w:val="Tabletext0"/>
              <w:rPr>
                <w:rFonts w:ascii="Arial Narrow" w:hAnsi="Arial Narrow"/>
              </w:rPr>
            </w:pPr>
            <w:r w:rsidRPr="000D3AF3">
              <w:rPr>
                <w:rFonts w:ascii="Arial Narrow" w:hAnsi="Arial Narrow"/>
              </w:rPr>
              <w:t>Myalgia</w:t>
            </w:r>
          </w:p>
        </w:tc>
        <w:tc>
          <w:tcPr>
            <w:tcW w:w="1248" w:type="pct"/>
            <w:tcBorders>
              <w:top w:val="single" w:sz="4" w:space="0" w:color="auto"/>
              <w:bottom w:val="single" w:sz="4" w:space="0" w:color="auto"/>
            </w:tcBorders>
            <w:vAlign w:val="bottom"/>
          </w:tcPr>
          <w:p w14:paraId="10BB00D3" w14:textId="77777777" w:rsidR="00DF44DD" w:rsidRPr="000D3AF3" w:rsidRDefault="00DF44DD" w:rsidP="00750019">
            <w:pPr>
              <w:pStyle w:val="Tablecentre"/>
              <w:rPr>
                <w:rFonts w:ascii="Arial Narrow" w:hAnsi="Arial Narrow"/>
              </w:rPr>
            </w:pPr>
            <w:r w:rsidRPr="000D3AF3">
              <w:rPr>
                <w:rFonts w:ascii="Arial Narrow" w:hAnsi="Arial Narrow"/>
              </w:rPr>
              <w:t>4 (8.3)</w:t>
            </w:r>
          </w:p>
        </w:tc>
        <w:tc>
          <w:tcPr>
            <w:tcW w:w="1244" w:type="pct"/>
            <w:tcBorders>
              <w:top w:val="single" w:sz="4" w:space="0" w:color="auto"/>
              <w:bottom w:val="single" w:sz="4" w:space="0" w:color="auto"/>
            </w:tcBorders>
            <w:vAlign w:val="bottom"/>
          </w:tcPr>
          <w:p w14:paraId="711B4D1B" w14:textId="77777777" w:rsidR="00DF44DD" w:rsidRPr="000D3AF3" w:rsidRDefault="00DF44DD" w:rsidP="00750019">
            <w:pPr>
              <w:pStyle w:val="Tablecentre"/>
              <w:rPr>
                <w:rFonts w:ascii="Arial Narrow" w:hAnsi="Arial Narrow"/>
              </w:rPr>
            </w:pPr>
            <w:r w:rsidRPr="000D3AF3">
              <w:rPr>
                <w:rFonts w:ascii="Arial Narrow" w:hAnsi="Arial Narrow"/>
              </w:rPr>
              <w:t>0</w:t>
            </w:r>
          </w:p>
        </w:tc>
      </w:tr>
      <w:tr w:rsidR="00DF44DD" w:rsidRPr="000D3AF3" w14:paraId="67EE0706" w14:textId="77777777" w:rsidTr="00750019">
        <w:tc>
          <w:tcPr>
            <w:tcW w:w="2508" w:type="pct"/>
            <w:tcBorders>
              <w:top w:val="single" w:sz="4" w:space="0" w:color="auto"/>
              <w:bottom w:val="single" w:sz="4" w:space="0" w:color="auto"/>
            </w:tcBorders>
          </w:tcPr>
          <w:p w14:paraId="5F1BAF2F" w14:textId="77777777" w:rsidR="00DF44DD" w:rsidRPr="000D3AF3" w:rsidRDefault="00DF44DD" w:rsidP="00750019">
            <w:pPr>
              <w:pStyle w:val="Tabletext0"/>
              <w:rPr>
                <w:rFonts w:ascii="Arial Narrow" w:hAnsi="Arial Narrow"/>
              </w:rPr>
            </w:pPr>
            <w:r w:rsidRPr="000D3AF3">
              <w:rPr>
                <w:rFonts w:ascii="Arial Narrow" w:hAnsi="Arial Narrow"/>
              </w:rPr>
              <w:t xml:space="preserve">Rash </w:t>
            </w:r>
          </w:p>
        </w:tc>
        <w:tc>
          <w:tcPr>
            <w:tcW w:w="1248" w:type="pct"/>
            <w:tcBorders>
              <w:top w:val="single" w:sz="4" w:space="0" w:color="auto"/>
              <w:bottom w:val="single" w:sz="4" w:space="0" w:color="auto"/>
            </w:tcBorders>
            <w:vAlign w:val="bottom"/>
          </w:tcPr>
          <w:p w14:paraId="441C8088" w14:textId="77777777" w:rsidR="00DF44DD" w:rsidRPr="000D3AF3" w:rsidRDefault="00DF44DD" w:rsidP="00750019">
            <w:pPr>
              <w:pStyle w:val="Tablecentre"/>
              <w:rPr>
                <w:rFonts w:ascii="Arial Narrow" w:hAnsi="Arial Narrow"/>
              </w:rPr>
            </w:pPr>
            <w:r w:rsidRPr="000D3AF3">
              <w:rPr>
                <w:rFonts w:ascii="Arial Narrow" w:hAnsi="Arial Narrow"/>
              </w:rPr>
              <w:t>3 (6.3)</w:t>
            </w:r>
          </w:p>
        </w:tc>
        <w:tc>
          <w:tcPr>
            <w:tcW w:w="1244" w:type="pct"/>
            <w:tcBorders>
              <w:top w:val="single" w:sz="4" w:space="0" w:color="auto"/>
              <w:bottom w:val="single" w:sz="4" w:space="0" w:color="auto"/>
            </w:tcBorders>
            <w:vAlign w:val="bottom"/>
          </w:tcPr>
          <w:p w14:paraId="147BAECF" w14:textId="77777777" w:rsidR="00DF44DD" w:rsidRPr="000D3AF3" w:rsidRDefault="00DF44DD" w:rsidP="00750019">
            <w:pPr>
              <w:pStyle w:val="Tablecentre"/>
              <w:rPr>
                <w:rFonts w:ascii="Arial Narrow" w:hAnsi="Arial Narrow"/>
              </w:rPr>
            </w:pPr>
            <w:r w:rsidRPr="000D3AF3">
              <w:rPr>
                <w:rFonts w:ascii="Arial Narrow" w:hAnsi="Arial Narrow"/>
              </w:rPr>
              <w:t>0</w:t>
            </w:r>
          </w:p>
        </w:tc>
      </w:tr>
      <w:tr w:rsidR="00DF44DD" w:rsidRPr="000D3AF3" w14:paraId="02ED2FDD" w14:textId="77777777" w:rsidTr="00750019">
        <w:tc>
          <w:tcPr>
            <w:tcW w:w="2508" w:type="pct"/>
            <w:tcBorders>
              <w:top w:val="single" w:sz="4" w:space="0" w:color="auto"/>
              <w:bottom w:val="single" w:sz="4" w:space="0" w:color="auto"/>
            </w:tcBorders>
          </w:tcPr>
          <w:p w14:paraId="31906A7D" w14:textId="77777777" w:rsidR="00DF44DD" w:rsidRPr="000D3AF3" w:rsidRDefault="00DF44DD" w:rsidP="00750019">
            <w:pPr>
              <w:pStyle w:val="Tabletext0"/>
              <w:rPr>
                <w:rFonts w:ascii="Arial Narrow" w:hAnsi="Arial Narrow"/>
              </w:rPr>
            </w:pPr>
            <w:r w:rsidRPr="000D3AF3">
              <w:rPr>
                <w:rFonts w:ascii="Arial Narrow" w:hAnsi="Arial Narrow"/>
              </w:rPr>
              <w:t>Diarrhoea</w:t>
            </w:r>
          </w:p>
        </w:tc>
        <w:tc>
          <w:tcPr>
            <w:tcW w:w="1248" w:type="pct"/>
            <w:tcBorders>
              <w:top w:val="single" w:sz="4" w:space="0" w:color="auto"/>
              <w:bottom w:val="single" w:sz="4" w:space="0" w:color="auto"/>
            </w:tcBorders>
            <w:vAlign w:val="bottom"/>
          </w:tcPr>
          <w:p w14:paraId="0C521A2D" w14:textId="77777777" w:rsidR="00DF44DD" w:rsidRPr="000D3AF3" w:rsidRDefault="00DF44DD" w:rsidP="00750019">
            <w:pPr>
              <w:pStyle w:val="Tablecentre"/>
              <w:rPr>
                <w:rFonts w:ascii="Arial Narrow" w:hAnsi="Arial Narrow"/>
              </w:rPr>
            </w:pPr>
            <w:r w:rsidRPr="000D3AF3">
              <w:rPr>
                <w:rFonts w:ascii="Arial Narrow" w:hAnsi="Arial Narrow"/>
              </w:rPr>
              <w:t>6 (12.5)</w:t>
            </w:r>
          </w:p>
        </w:tc>
        <w:tc>
          <w:tcPr>
            <w:tcW w:w="1244" w:type="pct"/>
            <w:tcBorders>
              <w:top w:val="single" w:sz="4" w:space="0" w:color="auto"/>
              <w:bottom w:val="single" w:sz="4" w:space="0" w:color="auto"/>
            </w:tcBorders>
            <w:vAlign w:val="bottom"/>
          </w:tcPr>
          <w:p w14:paraId="44C2DEE1" w14:textId="77777777" w:rsidR="00DF44DD" w:rsidRPr="000D3AF3" w:rsidRDefault="00DF44DD" w:rsidP="00750019">
            <w:pPr>
              <w:pStyle w:val="Tablecentre"/>
              <w:rPr>
                <w:rFonts w:ascii="Arial Narrow" w:hAnsi="Arial Narrow"/>
              </w:rPr>
            </w:pPr>
            <w:r w:rsidRPr="000D3AF3">
              <w:rPr>
                <w:rFonts w:ascii="Arial Narrow" w:hAnsi="Arial Narrow"/>
              </w:rPr>
              <w:t>0</w:t>
            </w:r>
          </w:p>
        </w:tc>
      </w:tr>
      <w:tr w:rsidR="00DF44DD" w:rsidRPr="000D3AF3" w14:paraId="6A970BD0" w14:textId="77777777" w:rsidTr="00750019">
        <w:tc>
          <w:tcPr>
            <w:tcW w:w="2508" w:type="pct"/>
            <w:tcBorders>
              <w:top w:val="single" w:sz="4" w:space="0" w:color="auto"/>
              <w:bottom w:val="single" w:sz="4" w:space="0" w:color="auto"/>
            </w:tcBorders>
          </w:tcPr>
          <w:p w14:paraId="6051E7C2" w14:textId="77777777" w:rsidR="00DF44DD" w:rsidRPr="000D3AF3" w:rsidRDefault="00DF44DD" w:rsidP="00750019">
            <w:pPr>
              <w:pStyle w:val="Tabletext0"/>
              <w:rPr>
                <w:rFonts w:ascii="Arial Narrow" w:hAnsi="Arial Narrow"/>
              </w:rPr>
            </w:pPr>
            <w:r w:rsidRPr="000D3AF3">
              <w:rPr>
                <w:rFonts w:ascii="Arial Narrow" w:hAnsi="Arial Narrow"/>
              </w:rPr>
              <w:t>Pruritus</w:t>
            </w:r>
          </w:p>
        </w:tc>
        <w:tc>
          <w:tcPr>
            <w:tcW w:w="1248" w:type="pct"/>
            <w:tcBorders>
              <w:top w:val="single" w:sz="4" w:space="0" w:color="auto"/>
              <w:bottom w:val="single" w:sz="4" w:space="0" w:color="auto"/>
            </w:tcBorders>
            <w:vAlign w:val="bottom"/>
          </w:tcPr>
          <w:p w14:paraId="4134D957" w14:textId="77777777" w:rsidR="00DF44DD" w:rsidRPr="000D3AF3" w:rsidRDefault="00DF44DD" w:rsidP="00750019">
            <w:pPr>
              <w:pStyle w:val="Tablecentre"/>
              <w:rPr>
                <w:rFonts w:ascii="Arial Narrow" w:hAnsi="Arial Narrow"/>
              </w:rPr>
            </w:pPr>
            <w:r w:rsidRPr="000D3AF3">
              <w:rPr>
                <w:rFonts w:ascii="Arial Narrow" w:hAnsi="Arial Narrow"/>
              </w:rPr>
              <w:t>5 (10.4)</w:t>
            </w:r>
          </w:p>
        </w:tc>
        <w:tc>
          <w:tcPr>
            <w:tcW w:w="1244" w:type="pct"/>
            <w:tcBorders>
              <w:top w:val="single" w:sz="4" w:space="0" w:color="auto"/>
              <w:bottom w:val="single" w:sz="4" w:space="0" w:color="auto"/>
            </w:tcBorders>
            <w:vAlign w:val="bottom"/>
          </w:tcPr>
          <w:p w14:paraId="2382C39C" w14:textId="77777777" w:rsidR="00DF44DD" w:rsidRPr="000D3AF3" w:rsidRDefault="00DF44DD" w:rsidP="00750019">
            <w:pPr>
              <w:pStyle w:val="Tablecentre"/>
              <w:rPr>
                <w:rFonts w:ascii="Arial Narrow" w:hAnsi="Arial Narrow"/>
              </w:rPr>
            </w:pPr>
            <w:r w:rsidRPr="000D3AF3">
              <w:rPr>
                <w:rFonts w:ascii="Arial Narrow" w:hAnsi="Arial Narrow"/>
              </w:rPr>
              <w:t>0</w:t>
            </w:r>
          </w:p>
        </w:tc>
      </w:tr>
      <w:tr w:rsidR="00DF44DD" w:rsidRPr="000D3AF3" w14:paraId="2FD55F9B" w14:textId="77777777" w:rsidTr="00750019">
        <w:tc>
          <w:tcPr>
            <w:tcW w:w="2508" w:type="pct"/>
            <w:tcBorders>
              <w:top w:val="single" w:sz="4" w:space="0" w:color="auto"/>
              <w:bottom w:val="single" w:sz="4" w:space="0" w:color="auto"/>
            </w:tcBorders>
          </w:tcPr>
          <w:p w14:paraId="3FAD2A17" w14:textId="77777777" w:rsidR="00DF44DD" w:rsidRPr="000D3AF3" w:rsidRDefault="00DF44DD" w:rsidP="00750019">
            <w:pPr>
              <w:pStyle w:val="Tabletext0"/>
              <w:rPr>
                <w:rFonts w:ascii="Arial Narrow" w:hAnsi="Arial Narrow"/>
              </w:rPr>
            </w:pPr>
            <w:r w:rsidRPr="000D3AF3">
              <w:rPr>
                <w:rFonts w:ascii="Arial Narrow" w:hAnsi="Arial Narrow"/>
              </w:rPr>
              <w:t>Headache</w:t>
            </w:r>
          </w:p>
        </w:tc>
        <w:tc>
          <w:tcPr>
            <w:tcW w:w="1248" w:type="pct"/>
            <w:tcBorders>
              <w:top w:val="single" w:sz="4" w:space="0" w:color="auto"/>
              <w:bottom w:val="single" w:sz="4" w:space="0" w:color="auto"/>
            </w:tcBorders>
            <w:vAlign w:val="bottom"/>
          </w:tcPr>
          <w:p w14:paraId="71349409" w14:textId="77777777" w:rsidR="00DF44DD" w:rsidRPr="000D3AF3" w:rsidRDefault="00DF44DD" w:rsidP="00750019">
            <w:pPr>
              <w:pStyle w:val="Tablecentre"/>
              <w:rPr>
                <w:rFonts w:ascii="Arial Narrow" w:hAnsi="Arial Narrow"/>
              </w:rPr>
            </w:pPr>
            <w:r w:rsidRPr="000D3AF3">
              <w:rPr>
                <w:rFonts w:ascii="Arial Narrow" w:hAnsi="Arial Narrow"/>
              </w:rPr>
              <w:t>5 (10.4)</w:t>
            </w:r>
          </w:p>
        </w:tc>
        <w:tc>
          <w:tcPr>
            <w:tcW w:w="1244" w:type="pct"/>
            <w:tcBorders>
              <w:top w:val="single" w:sz="4" w:space="0" w:color="auto"/>
              <w:bottom w:val="single" w:sz="4" w:space="0" w:color="auto"/>
            </w:tcBorders>
            <w:vAlign w:val="bottom"/>
          </w:tcPr>
          <w:p w14:paraId="09201BC1" w14:textId="77777777" w:rsidR="00DF44DD" w:rsidRPr="000D3AF3" w:rsidRDefault="00DF44DD" w:rsidP="00750019">
            <w:pPr>
              <w:pStyle w:val="Tablecentre"/>
              <w:rPr>
                <w:rFonts w:ascii="Arial Narrow" w:hAnsi="Arial Narrow"/>
              </w:rPr>
            </w:pPr>
            <w:r w:rsidRPr="000D3AF3">
              <w:rPr>
                <w:rFonts w:ascii="Arial Narrow" w:hAnsi="Arial Narrow"/>
              </w:rPr>
              <w:t>0</w:t>
            </w:r>
          </w:p>
        </w:tc>
      </w:tr>
      <w:tr w:rsidR="00DF44DD" w:rsidRPr="000D3AF3" w14:paraId="25CA172E" w14:textId="77777777" w:rsidTr="00750019">
        <w:tc>
          <w:tcPr>
            <w:tcW w:w="2508" w:type="pct"/>
            <w:tcBorders>
              <w:top w:val="single" w:sz="4" w:space="0" w:color="auto"/>
              <w:bottom w:val="single" w:sz="4" w:space="0" w:color="auto"/>
            </w:tcBorders>
          </w:tcPr>
          <w:p w14:paraId="27C18265" w14:textId="77777777" w:rsidR="00DF44DD" w:rsidRPr="000D3AF3" w:rsidRDefault="00DF44DD" w:rsidP="00750019">
            <w:pPr>
              <w:pStyle w:val="Tabletext0"/>
              <w:rPr>
                <w:rFonts w:ascii="Arial Narrow" w:hAnsi="Arial Narrow"/>
              </w:rPr>
            </w:pPr>
            <w:r w:rsidRPr="000D3AF3">
              <w:rPr>
                <w:rFonts w:ascii="Arial Narrow" w:hAnsi="Arial Narrow"/>
              </w:rPr>
              <w:t>Thrombocytopenia</w:t>
            </w:r>
          </w:p>
        </w:tc>
        <w:tc>
          <w:tcPr>
            <w:tcW w:w="1248" w:type="pct"/>
            <w:tcBorders>
              <w:top w:val="single" w:sz="4" w:space="0" w:color="auto"/>
              <w:bottom w:val="single" w:sz="4" w:space="0" w:color="auto"/>
            </w:tcBorders>
            <w:vAlign w:val="bottom"/>
          </w:tcPr>
          <w:p w14:paraId="45B4224D" w14:textId="77777777" w:rsidR="00DF44DD" w:rsidRPr="000D3AF3" w:rsidRDefault="00DF44DD" w:rsidP="00750019">
            <w:pPr>
              <w:pStyle w:val="Tablecentre"/>
              <w:rPr>
                <w:rFonts w:ascii="Arial Narrow" w:hAnsi="Arial Narrow"/>
              </w:rPr>
            </w:pPr>
            <w:r w:rsidRPr="000D3AF3">
              <w:rPr>
                <w:rFonts w:ascii="Arial Narrow" w:hAnsi="Arial Narrow"/>
              </w:rPr>
              <w:t>6 (12.5)</w:t>
            </w:r>
          </w:p>
        </w:tc>
        <w:tc>
          <w:tcPr>
            <w:tcW w:w="1244" w:type="pct"/>
            <w:tcBorders>
              <w:top w:val="single" w:sz="4" w:space="0" w:color="auto"/>
              <w:bottom w:val="single" w:sz="4" w:space="0" w:color="auto"/>
            </w:tcBorders>
            <w:vAlign w:val="bottom"/>
          </w:tcPr>
          <w:p w14:paraId="2A94B3FF" w14:textId="77777777" w:rsidR="00DF44DD" w:rsidRPr="000D3AF3" w:rsidRDefault="00DF44DD" w:rsidP="00750019">
            <w:pPr>
              <w:pStyle w:val="Tablecentre"/>
              <w:rPr>
                <w:rFonts w:ascii="Arial Narrow" w:hAnsi="Arial Narrow"/>
              </w:rPr>
            </w:pPr>
            <w:r w:rsidRPr="000D3AF3">
              <w:rPr>
                <w:rFonts w:ascii="Arial Narrow" w:hAnsi="Arial Narrow"/>
              </w:rPr>
              <w:t>5 (10.4)</w:t>
            </w:r>
          </w:p>
        </w:tc>
      </w:tr>
      <w:tr w:rsidR="00DF44DD" w:rsidRPr="000D3AF3" w14:paraId="4B8031D3" w14:textId="77777777" w:rsidTr="00750019">
        <w:tc>
          <w:tcPr>
            <w:tcW w:w="2508" w:type="pct"/>
            <w:tcBorders>
              <w:top w:val="single" w:sz="4" w:space="0" w:color="auto"/>
              <w:bottom w:val="single" w:sz="4" w:space="0" w:color="auto"/>
            </w:tcBorders>
          </w:tcPr>
          <w:p w14:paraId="54E7F582" w14:textId="77777777" w:rsidR="00DF44DD" w:rsidRPr="000D3AF3" w:rsidRDefault="00DF44DD" w:rsidP="00750019">
            <w:pPr>
              <w:pStyle w:val="Tabletext0"/>
              <w:rPr>
                <w:rFonts w:ascii="Arial Narrow" w:hAnsi="Arial Narrow"/>
              </w:rPr>
            </w:pPr>
            <w:r w:rsidRPr="000D3AF3">
              <w:rPr>
                <w:rFonts w:ascii="Arial Narrow" w:hAnsi="Arial Narrow"/>
              </w:rPr>
              <w:t>Alanine aminotransferase increased</w:t>
            </w:r>
          </w:p>
        </w:tc>
        <w:tc>
          <w:tcPr>
            <w:tcW w:w="1248" w:type="pct"/>
            <w:tcBorders>
              <w:top w:val="single" w:sz="4" w:space="0" w:color="auto"/>
              <w:bottom w:val="single" w:sz="4" w:space="0" w:color="auto"/>
            </w:tcBorders>
            <w:vAlign w:val="bottom"/>
          </w:tcPr>
          <w:p w14:paraId="61C26619" w14:textId="77777777" w:rsidR="00DF44DD" w:rsidRPr="000D3AF3" w:rsidRDefault="00DF44DD" w:rsidP="00750019">
            <w:pPr>
              <w:pStyle w:val="Tablecentre"/>
              <w:rPr>
                <w:rFonts w:ascii="Arial Narrow" w:hAnsi="Arial Narrow"/>
              </w:rPr>
            </w:pPr>
            <w:r w:rsidRPr="000D3AF3">
              <w:rPr>
                <w:rFonts w:ascii="Arial Narrow" w:hAnsi="Arial Narrow"/>
              </w:rPr>
              <w:t>4 (8.3)</w:t>
            </w:r>
          </w:p>
        </w:tc>
        <w:tc>
          <w:tcPr>
            <w:tcW w:w="1244" w:type="pct"/>
            <w:tcBorders>
              <w:top w:val="single" w:sz="4" w:space="0" w:color="auto"/>
              <w:bottom w:val="single" w:sz="4" w:space="0" w:color="auto"/>
            </w:tcBorders>
            <w:vAlign w:val="bottom"/>
          </w:tcPr>
          <w:p w14:paraId="79D3C02B"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4735312A" w14:textId="77777777" w:rsidTr="00750019">
        <w:tc>
          <w:tcPr>
            <w:tcW w:w="2508" w:type="pct"/>
            <w:tcBorders>
              <w:top w:val="single" w:sz="4" w:space="0" w:color="auto"/>
              <w:bottom w:val="single" w:sz="4" w:space="0" w:color="auto"/>
            </w:tcBorders>
          </w:tcPr>
          <w:p w14:paraId="10043D67" w14:textId="77777777" w:rsidR="00DF44DD" w:rsidRPr="000D3AF3" w:rsidRDefault="00DF44DD" w:rsidP="00750019">
            <w:pPr>
              <w:pStyle w:val="Tabletext0"/>
              <w:rPr>
                <w:rFonts w:ascii="Arial Narrow" w:hAnsi="Arial Narrow"/>
              </w:rPr>
            </w:pPr>
            <w:r w:rsidRPr="000D3AF3">
              <w:rPr>
                <w:rFonts w:ascii="Arial Narrow" w:hAnsi="Arial Narrow"/>
              </w:rPr>
              <w:t>Neutropenia</w:t>
            </w:r>
          </w:p>
        </w:tc>
        <w:tc>
          <w:tcPr>
            <w:tcW w:w="1248" w:type="pct"/>
            <w:tcBorders>
              <w:top w:val="single" w:sz="4" w:space="0" w:color="auto"/>
              <w:bottom w:val="single" w:sz="4" w:space="0" w:color="auto"/>
            </w:tcBorders>
            <w:vAlign w:val="bottom"/>
          </w:tcPr>
          <w:p w14:paraId="0DB4526A" w14:textId="77777777" w:rsidR="00DF44DD" w:rsidRPr="000D3AF3" w:rsidRDefault="00DF44DD" w:rsidP="00750019">
            <w:pPr>
              <w:pStyle w:val="Tablecentre"/>
              <w:rPr>
                <w:rFonts w:ascii="Arial Narrow" w:hAnsi="Arial Narrow"/>
              </w:rPr>
            </w:pPr>
            <w:r w:rsidRPr="000D3AF3">
              <w:rPr>
                <w:rFonts w:ascii="Arial Narrow" w:hAnsi="Arial Narrow"/>
              </w:rPr>
              <w:t>4 (8.3)</w:t>
            </w:r>
          </w:p>
        </w:tc>
        <w:tc>
          <w:tcPr>
            <w:tcW w:w="1244" w:type="pct"/>
            <w:tcBorders>
              <w:top w:val="single" w:sz="4" w:space="0" w:color="auto"/>
              <w:bottom w:val="single" w:sz="4" w:space="0" w:color="auto"/>
            </w:tcBorders>
            <w:vAlign w:val="bottom"/>
          </w:tcPr>
          <w:p w14:paraId="59CA769C" w14:textId="77777777" w:rsidR="00DF44DD" w:rsidRPr="000D3AF3" w:rsidRDefault="00DF44DD" w:rsidP="00750019">
            <w:pPr>
              <w:pStyle w:val="Tablecentre"/>
              <w:rPr>
                <w:rFonts w:ascii="Arial Narrow" w:hAnsi="Arial Narrow"/>
              </w:rPr>
            </w:pPr>
            <w:r w:rsidRPr="000D3AF3">
              <w:rPr>
                <w:rFonts w:ascii="Arial Narrow" w:hAnsi="Arial Narrow"/>
              </w:rPr>
              <w:t>3 (6.3)</w:t>
            </w:r>
          </w:p>
        </w:tc>
      </w:tr>
      <w:tr w:rsidR="00DF44DD" w:rsidRPr="000D3AF3" w14:paraId="3E1ECF0D" w14:textId="77777777" w:rsidTr="00750019">
        <w:tc>
          <w:tcPr>
            <w:tcW w:w="2508" w:type="pct"/>
            <w:tcBorders>
              <w:top w:val="single" w:sz="4" w:space="0" w:color="auto"/>
              <w:bottom w:val="single" w:sz="4" w:space="0" w:color="auto"/>
            </w:tcBorders>
          </w:tcPr>
          <w:p w14:paraId="5EABE0B6" w14:textId="77777777" w:rsidR="00DF44DD" w:rsidRPr="000D3AF3" w:rsidRDefault="00DF44DD" w:rsidP="00750019">
            <w:pPr>
              <w:pStyle w:val="Tabletext0"/>
              <w:rPr>
                <w:rFonts w:ascii="Arial Narrow" w:hAnsi="Arial Narrow"/>
              </w:rPr>
            </w:pPr>
            <w:r w:rsidRPr="000D3AF3">
              <w:rPr>
                <w:rFonts w:ascii="Arial Narrow" w:hAnsi="Arial Narrow"/>
              </w:rPr>
              <w:t>Vomiting</w:t>
            </w:r>
          </w:p>
        </w:tc>
        <w:tc>
          <w:tcPr>
            <w:tcW w:w="1248" w:type="pct"/>
            <w:tcBorders>
              <w:top w:val="single" w:sz="4" w:space="0" w:color="auto"/>
              <w:bottom w:val="single" w:sz="4" w:space="0" w:color="auto"/>
            </w:tcBorders>
            <w:vAlign w:val="bottom"/>
          </w:tcPr>
          <w:p w14:paraId="02D898C3" w14:textId="77777777" w:rsidR="00DF44DD" w:rsidRPr="000D3AF3" w:rsidRDefault="00DF44DD" w:rsidP="00750019">
            <w:pPr>
              <w:pStyle w:val="Tablecentre"/>
              <w:rPr>
                <w:rFonts w:ascii="Arial Narrow" w:hAnsi="Arial Narrow"/>
              </w:rPr>
            </w:pPr>
            <w:r w:rsidRPr="000D3AF3">
              <w:rPr>
                <w:rFonts w:ascii="Arial Narrow" w:hAnsi="Arial Narrow"/>
              </w:rPr>
              <w:t>5 (10.4)</w:t>
            </w:r>
          </w:p>
        </w:tc>
        <w:tc>
          <w:tcPr>
            <w:tcW w:w="1244" w:type="pct"/>
            <w:tcBorders>
              <w:top w:val="single" w:sz="4" w:space="0" w:color="auto"/>
              <w:bottom w:val="single" w:sz="4" w:space="0" w:color="auto"/>
            </w:tcBorders>
            <w:vAlign w:val="bottom"/>
          </w:tcPr>
          <w:p w14:paraId="4A6920DE" w14:textId="77777777" w:rsidR="00DF44DD" w:rsidRPr="000D3AF3" w:rsidRDefault="00DF44DD" w:rsidP="00750019">
            <w:pPr>
              <w:pStyle w:val="Tablecentre"/>
              <w:rPr>
                <w:rFonts w:ascii="Arial Narrow" w:hAnsi="Arial Narrow"/>
              </w:rPr>
            </w:pPr>
            <w:r w:rsidRPr="000D3AF3">
              <w:rPr>
                <w:rFonts w:ascii="Arial Narrow" w:hAnsi="Arial Narrow"/>
              </w:rPr>
              <w:t>0</w:t>
            </w:r>
          </w:p>
        </w:tc>
      </w:tr>
      <w:tr w:rsidR="00DF44DD" w:rsidRPr="000D3AF3" w14:paraId="2990388C" w14:textId="77777777" w:rsidTr="00750019">
        <w:tc>
          <w:tcPr>
            <w:tcW w:w="2508" w:type="pct"/>
            <w:tcBorders>
              <w:top w:val="single" w:sz="4" w:space="0" w:color="auto"/>
              <w:bottom w:val="single" w:sz="4" w:space="0" w:color="auto"/>
            </w:tcBorders>
          </w:tcPr>
          <w:p w14:paraId="3EF9ED81" w14:textId="77777777" w:rsidR="00DF44DD" w:rsidRPr="000D3AF3" w:rsidRDefault="00DF44DD" w:rsidP="00750019">
            <w:pPr>
              <w:pStyle w:val="Tabletext0"/>
              <w:rPr>
                <w:rFonts w:ascii="Arial Narrow" w:hAnsi="Arial Narrow"/>
              </w:rPr>
            </w:pPr>
            <w:r w:rsidRPr="000D3AF3">
              <w:rPr>
                <w:rFonts w:ascii="Arial Narrow" w:hAnsi="Arial Narrow"/>
              </w:rPr>
              <w:t>Amylase increased</w:t>
            </w:r>
          </w:p>
        </w:tc>
        <w:tc>
          <w:tcPr>
            <w:tcW w:w="1248" w:type="pct"/>
            <w:tcBorders>
              <w:top w:val="single" w:sz="4" w:space="0" w:color="auto"/>
              <w:bottom w:val="single" w:sz="4" w:space="0" w:color="auto"/>
            </w:tcBorders>
            <w:vAlign w:val="bottom"/>
          </w:tcPr>
          <w:p w14:paraId="15194828" w14:textId="77777777" w:rsidR="00DF44DD" w:rsidRPr="000D3AF3" w:rsidRDefault="00DF44DD" w:rsidP="00750019">
            <w:pPr>
              <w:pStyle w:val="Tablecentre"/>
              <w:rPr>
                <w:rFonts w:ascii="Arial Narrow" w:hAnsi="Arial Narrow"/>
              </w:rPr>
            </w:pPr>
            <w:r w:rsidRPr="000D3AF3">
              <w:rPr>
                <w:rFonts w:ascii="Arial Narrow" w:hAnsi="Arial Narrow"/>
              </w:rPr>
              <w:t>5 (10.4)</w:t>
            </w:r>
          </w:p>
        </w:tc>
        <w:tc>
          <w:tcPr>
            <w:tcW w:w="1244" w:type="pct"/>
            <w:tcBorders>
              <w:top w:val="single" w:sz="4" w:space="0" w:color="auto"/>
              <w:bottom w:val="single" w:sz="4" w:space="0" w:color="auto"/>
            </w:tcBorders>
            <w:vAlign w:val="bottom"/>
          </w:tcPr>
          <w:p w14:paraId="05F1D54A"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588DC9C0" w14:textId="77777777" w:rsidTr="00750019">
        <w:tc>
          <w:tcPr>
            <w:tcW w:w="2508" w:type="pct"/>
            <w:tcBorders>
              <w:top w:val="single" w:sz="4" w:space="0" w:color="auto"/>
              <w:bottom w:val="single" w:sz="4" w:space="0" w:color="auto"/>
            </w:tcBorders>
          </w:tcPr>
          <w:p w14:paraId="1CD62356" w14:textId="77777777" w:rsidR="00DF44DD" w:rsidRPr="000D3AF3" w:rsidRDefault="00DF44DD" w:rsidP="00750019">
            <w:pPr>
              <w:pStyle w:val="Tabletext0"/>
              <w:rPr>
                <w:rFonts w:ascii="Arial Narrow" w:hAnsi="Arial Narrow"/>
              </w:rPr>
            </w:pPr>
            <w:r w:rsidRPr="000D3AF3">
              <w:rPr>
                <w:rFonts w:ascii="Arial Narrow" w:hAnsi="Arial Narrow"/>
              </w:rPr>
              <w:t>Hyperuricaemia</w:t>
            </w:r>
          </w:p>
        </w:tc>
        <w:tc>
          <w:tcPr>
            <w:tcW w:w="1248" w:type="pct"/>
            <w:tcBorders>
              <w:top w:val="single" w:sz="4" w:space="0" w:color="auto"/>
              <w:bottom w:val="single" w:sz="4" w:space="0" w:color="auto"/>
            </w:tcBorders>
            <w:vAlign w:val="bottom"/>
          </w:tcPr>
          <w:p w14:paraId="5E1650DD" w14:textId="77777777" w:rsidR="00DF44DD" w:rsidRPr="000D3AF3" w:rsidRDefault="00DF44DD" w:rsidP="00750019">
            <w:pPr>
              <w:pStyle w:val="Tablecentre"/>
              <w:rPr>
                <w:rFonts w:ascii="Arial Narrow" w:hAnsi="Arial Narrow"/>
              </w:rPr>
            </w:pPr>
            <w:r w:rsidRPr="000D3AF3">
              <w:rPr>
                <w:rFonts w:ascii="Arial Narrow" w:hAnsi="Arial Narrow"/>
              </w:rPr>
              <w:t>4 (8.3)</w:t>
            </w:r>
          </w:p>
        </w:tc>
        <w:tc>
          <w:tcPr>
            <w:tcW w:w="1244" w:type="pct"/>
            <w:tcBorders>
              <w:top w:val="single" w:sz="4" w:space="0" w:color="auto"/>
              <w:bottom w:val="single" w:sz="4" w:space="0" w:color="auto"/>
            </w:tcBorders>
            <w:vAlign w:val="bottom"/>
          </w:tcPr>
          <w:p w14:paraId="19291816" w14:textId="77777777" w:rsidR="00DF44DD" w:rsidRPr="000D3AF3" w:rsidRDefault="00DF44DD" w:rsidP="00750019">
            <w:pPr>
              <w:pStyle w:val="Tablecentre"/>
              <w:rPr>
                <w:rFonts w:ascii="Arial Narrow" w:hAnsi="Arial Narrow"/>
              </w:rPr>
            </w:pPr>
            <w:r w:rsidRPr="000D3AF3">
              <w:rPr>
                <w:rFonts w:ascii="Arial Narrow" w:hAnsi="Arial Narrow"/>
              </w:rPr>
              <w:t>0</w:t>
            </w:r>
          </w:p>
        </w:tc>
      </w:tr>
      <w:tr w:rsidR="00DF44DD" w:rsidRPr="000D3AF3" w14:paraId="2D25A5B4" w14:textId="77777777" w:rsidTr="00750019">
        <w:tc>
          <w:tcPr>
            <w:tcW w:w="2508" w:type="pct"/>
            <w:tcBorders>
              <w:top w:val="single" w:sz="4" w:space="0" w:color="auto"/>
              <w:bottom w:val="single" w:sz="4" w:space="0" w:color="auto"/>
            </w:tcBorders>
          </w:tcPr>
          <w:p w14:paraId="5281A8B6" w14:textId="77777777" w:rsidR="00DF44DD" w:rsidRPr="000D3AF3" w:rsidRDefault="00DF44DD" w:rsidP="00750019">
            <w:pPr>
              <w:pStyle w:val="Tabletext0"/>
              <w:rPr>
                <w:rFonts w:ascii="Arial Narrow" w:hAnsi="Arial Narrow"/>
              </w:rPr>
            </w:pPr>
            <w:r w:rsidRPr="000D3AF3">
              <w:rPr>
                <w:rFonts w:ascii="Arial Narrow" w:hAnsi="Arial Narrow"/>
              </w:rPr>
              <w:t>Anaemia</w:t>
            </w:r>
          </w:p>
        </w:tc>
        <w:tc>
          <w:tcPr>
            <w:tcW w:w="1248" w:type="pct"/>
            <w:tcBorders>
              <w:top w:val="single" w:sz="4" w:space="0" w:color="auto"/>
              <w:bottom w:val="single" w:sz="4" w:space="0" w:color="auto"/>
            </w:tcBorders>
            <w:vAlign w:val="bottom"/>
          </w:tcPr>
          <w:p w14:paraId="53321F6A" w14:textId="77777777" w:rsidR="00DF44DD" w:rsidRPr="000D3AF3" w:rsidRDefault="00DF44DD" w:rsidP="00750019">
            <w:pPr>
              <w:pStyle w:val="Tablecentre"/>
              <w:rPr>
                <w:rFonts w:ascii="Arial Narrow" w:hAnsi="Arial Narrow"/>
              </w:rPr>
            </w:pPr>
            <w:r w:rsidRPr="000D3AF3">
              <w:rPr>
                <w:rFonts w:ascii="Arial Narrow" w:hAnsi="Arial Narrow"/>
              </w:rPr>
              <w:t>3 (6.3)</w:t>
            </w:r>
          </w:p>
        </w:tc>
        <w:tc>
          <w:tcPr>
            <w:tcW w:w="1244" w:type="pct"/>
            <w:tcBorders>
              <w:top w:val="single" w:sz="4" w:space="0" w:color="auto"/>
              <w:bottom w:val="single" w:sz="4" w:space="0" w:color="auto"/>
            </w:tcBorders>
            <w:vAlign w:val="bottom"/>
          </w:tcPr>
          <w:p w14:paraId="44EC026B"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3B3B6D90" w14:textId="77777777" w:rsidTr="00750019">
        <w:tc>
          <w:tcPr>
            <w:tcW w:w="2508" w:type="pct"/>
            <w:tcBorders>
              <w:top w:val="single" w:sz="4" w:space="0" w:color="auto"/>
              <w:bottom w:val="single" w:sz="4" w:space="0" w:color="auto"/>
            </w:tcBorders>
          </w:tcPr>
          <w:p w14:paraId="1852B446" w14:textId="77777777" w:rsidR="00DF44DD" w:rsidRPr="000D3AF3" w:rsidRDefault="00DF44DD" w:rsidP="00750019">
            <w:pPr>
              <w:pStyle w:val="Tabletext0"/>
              <w:rPr>
                <w:rFonts w:ascii="Arial Narrow" w:hAnsi="Arial Narrow"/>
              </w:rPr>
            </w:pPr>
            <w:r w:rsidRPr="000D3AF3">
              <w:rPr>
                <w:rFonts w:ascii="Arial Narrow" w:hAnsi="Arial Narrow"/>
              </w:rPr>
              <w:t>Aspartate aminotransferase increased</w:t>
            </w:r>
          </w:p>
        </w:tc>
        <w:tc>
          <w:tcPr>
            <w:tcW w:w="1248" w:type="pct"/>
            <w:tcBorders>
              <w:top w:val="single" w:sz="4" w:space="0" w:color="auto"/>
              <w:bottom w:val="single" w:sz="4" w:space="0" w:color="auto"/>
            </w:tcBorders>
            <w:vAlign w:val="bottom"/>
          </w:tcPr>
          <w:p w14:paraId="37DA98A7" w14:textId="77777777" w:rsidR="00DF44DD" w:rsidRPr="000D3AF3" w:rsidRDefault="00DF44DD" w:rsidP="00750019">
            <w:pPr>
              <w:pStyle w:val="Tablecentre"/>
              <w:rPr>
                <w:rFonts w:ascii="Arial Narrow" w:hAnsi="Arial Narrow"/>
              </w:rPr>
            </w:pPr>
            <w:r w:rsidRPr="000D3AF3">
              <w:rPr>
                <w:rFonts w:ascii="Arial Narrow" w:hAnsi="Arial Narrow"/>
              </w:rPr>
              <w:t>3 (6.3)</w:t>
            </w:r>
          </w:p>
        </w:tc>
        <w:tc>
          <w:tcPr>
            <w:tcW w:w="1244" w:type="pct"/>
            <w:tcBorders>
              <w:top w:val="single" w:sz="4" w:space="0" w:color="auto"/>
              <w:bottom w:val="single" w:sz="4" w:space="0" w:color="auto"/>
            </w:tcBorders>
            <w:vAlign w:val="bottom"/>
          </w:tcPr>
          <w:p w14:paraId="581F137C" w14:textId="77777777" w:rsidR="00DF44DD" w:rsidRPr="000D3AF3" w:rsidRDefault="00DF44DD" w:rsidP="00750019">
            <w:pPr>
              <w:pStyle w:val="Tablecentre"/>
              <w:rPr>
                <w:rFonts w:ascii="Arial Narrow" w:hAnsi="Arial Narrow"/>
              </w:rPr>
            </w:pPr>
            <w:r w:rsidRPr="000D3AF3">
              <w:rPr>
                <w:rFonts w:ascii="Arial Narrow" w:hAnsi="Arial Narrow"/>
              </w:rPr>
              <w:t>0</w:t>
            </w:r>
          </w:p>
        </w:tc>
      </w:tr>
      <w:tr w:rsidR="00DF44DD" w:rsidRPr="000D3AF3" w14:paraId="7FC07A7E" w14:textId="77777777" w:rsidTr="00750019">
        <w:tc>
          <w:tcPr>
            <w:tcW w:w="2508" w:type="pct"/>
            <w:tcBorders>
              <w:top w:val="single" w:sz="4" w:space="0" w:color="auto"/>
              <w:bottom w:val="single" w:sz="4" w:space="0" w:color="auto"/>
            </w:tcBorders>
          </w:tcPr>
          <w:p w14:paraId="71E70E44" w14:textId="77777777" w:rsidR="00DF44DD" w:rsidRPr="000D3AF3" w:rsidRDefault="00DF44DD" w:rsidP="00750019">
            <w:pPr>
              <w:pStyle w:val="Tabletext0"/>
              <w:rPr>
                <w:rFonts w:ascii="Arial Narrow" w:hAnsi="Arial Narrow"/>
              </w:rPr>
            </w:pPr>
            <w:r w:rsidRPr="000D3AF3">
              <w:rPr>
                <w:rFonts w:ascii="Arial Narrow" w:hAnsi="Arial Narrow"/>
              </w:rPr>
              <w:t>Gamma-glutamyltransferase increased</w:t>
            </w:r>
          </w:p>
        </w:tc>
        <w:tc>
          <w:tcPr>
            <w:tcW w:w="1248" w:type="pct"/>
            <w:tcBorders>
              <w:top w:val="single" w:sz="4" w:space="0" w:color="auto"/>
              <w:bottom w:val="single" w:sz="4" w:space="0" w:color="auto"/>
            </w:tcBorders>
            <w:vAlign w:val="bottom"/>
          </w:tcPr>
          <w:p w14:paraId="481B488E" w14:textId="77777777" w:rsidR="00DF44DD" w:rsidRPr="000D3AF3" w:rsidRDefault="00DF44DD" w:rsidP="00750019">
            <w:pPr>
              <w:pStyle w:val="Tablecentre"/>
              <w:rPr>
                <w:rFonts w:ascii="Arial Narrow" w:hAnsi="Arial Narrow"/>
              </w:rPr>
            </w:pPr>
            <w:r w:rsidRPr="000D3AF3">
              <w:rPr>
                <w:rFonts w:ascii="Arial Narrow" w:hAnsi="Arial Narrow"/>
              </w:rPr>
              <w:t>2 (4.2)</w:t>
            </w:r>
          </w:p>
        </w:tc>
        <w:tc>
          <w:tcPr>
            <w:tcW w:w="1244" w:type="pct"/>
            <w:tcBorders>
              <w:top w:val="single" w:sz="4" w:space="0" w:color="auto"/>
              <w:bottom w:val="single" w:sz="4" w:space="0" w:color="auto"/>
            </w:tcBorders>
            <w:vAlign w:val="bottom"/>
          </w:tcPr>
          <w:p w14:paraId="59BB412E"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6116A518" w14:textId="77777777" w:rsidTr="00750019">
        <w:tc>
          <w:tcPr>
            <w:tcW w:w="2508" w:type="pct"/>
            <w:tcBorders>
              <w:top w:val="single" w:sz="4" w:space="0" w:color="auto"/>
              <w:bottom w:val="single" w:sz="4" w:space="0" w:color="auto"/>
            </w:tcBorders>
          </w:tcPr>
          <w:p w14:paraId="16282C7C" w14:textId="77777777" w:rsidR="00DF44DD" w:rsidRPr="000D3AF3" w:rsidRDefault="00DF44DD" w:rsidP="00750019">
            <w:pPr>
              <w:pStyle w:val="Tabletext0"/>
              <w:rPr>
                <w:rFonts w:ascii="Arial Narrow" w:hAnsi="Arial Narrow"/>
              </w:rPr>
            </w:pPr>
            <w:r w:rsidRPr="000D3AF3">
              <w:rPr>
                <w:rFonts w:ascii="Arial Narrow" w:hAnsi="Arial Narrow"/>
              </w:rPr>
              <w:t>Musculoskeletal pain</w:t>
            </w:r>
          </w:p>
        </w:tc>
        <w:tc>
          <w:tcPr>
            <w:tcW w:w="1248" w:type="pct"/>
            <w:tcBorders>
              <w:top w:val="single" w:sz="4" w:space="0" w:color="auto"/>
              <w:bottom w:val="single" w:sz="4" w:space="0" w:color="auto"/>
            </w:tcBorders>
            <w:vAlign w:val="bottom"/>
          </w:tcPr>
          <w:p w14:paraId="1E3F5C81" w14:textId="77777777" w:rsidR="00DF44DD" w:rsidRPr="000D3AF3" w:rsidRDefault="00DF44DD" w:rsidP="00750019">
            <w:pPr>
              <w:pStyle w:val="Tablecentre"/>
              <w:rPr>
                <w:rFonts w:ascii="Arial Narrow" w:hAnsi="Arial Narrow"/>
              </w:rPr>
            </w:pPr>
            <w:r w:rsidRPr="000D3AF3">
              <w:rPr>
                <w:rFonts w:ascii="Arial Narrow" w:hAnsi="Arial Narrow"/>
              </w:rPr>
              <w:t>4 (8.3)</w:t>
            </w:r>
          </w:p>
        </w:tc>
        <w:tc>
          <w:tcPr>
            <w:tcW w:w="1244" w:type="pct"/>
            <w:tcBorders>
              <w:top w:val="single" w:sz="4" w:space="0" w:color="auto"/>
              <w:bottom w:val="single" w:sz="4" w:space="0" w:color="auto"/>
            </w:tcBorders>
            <w:vAlign w:val="bottom"/>
          </w:tcPr>
          <w:p w14:paraId="7FCC70F7" w14:textId="77777777" w:rsidR="00DF44DD" w:rsidRPr="000D3AF3" w:rsidRDefault="00DF44DD" w:rsidP="00750019">
            <w:pPr>
              <w:pStyle w:val="Tablecentre"/>
              <w:rPr>
                <w:rFonts w:ascii="Arial Narrow" w:hAnsi="Arial Narrow"/>
              </w:rPr>
            </w:pPr>
            <w:r w:rsidRPr="000D3AF3">
              <w:rPr>
                <w:rFonts w:ascii="Arial Narrow" w:hAnsi="Arial Narrow"/>
              </w:rPr>
              <w:t>0</w:t>
            </w:r>
          </w:p>
        </w:tc>
      </w:tr>
      <w:tr w:rsidR="00DF44DD" w:rsidRPr="000D3AF3" w14:paraId="46881B09" w14:textId="77777777" w:rsidTr="00750019">
        <w:tc>
          <w:tcPr>
            <w:tcW w:w="2508" w:type="pct"/>
            <w:tcBorders>
              <w:top w:val="single" w:sz="4" w:space="0" w:color="auto"/>
              <w:bottom w:val="single" w:sz="4" w:space="0" w:color="auto"/>
            </w:tcBorders>
          </w:tcPr>
          <w:p w14:paraId="3CC8832E" w14:textId="77777777" w:rsidR="00DF44DD" w:rsidRPr="000D3AF3" w:rsidRDefault="00DF44DD" w:rsidP="00750019">
            <w:pPr>
              <w:pStyle w:val="Tabletext0"/>
              <w:rPr>
                <w:rFonts w:ascii="Arial Narrow" w:hAnsi="Arial Narrow"/>
              </w:rPr>
            </w:pPr>
            <w:r w:rsidRPr="000D3AF3">
              <w:rPr>
                <w:rFonts w:ascii="Arial Narrow" w:hAnsi="Arial Narrow"/>
              </w:rPr>
              <w:t>Neutrophil count decreased</w:t>
            </w:r>
          </w:p>
        </w:tc>
        <w:tc>
          <w:tcPr>
            <w:tcW w:w="1248" w:type="pct"/>
            <w:tcBorders>
              <w:top w:val="single" w:sz="4" w:space="0" w:color="auto"/>
              <w:bottom w:val="single" w:sz="4" w:space="0" w:color="auto"/>
            </w:tcBorders>
            <w:vAlign w:val="bottom"/>
          </w:tcPr>
          <w:p w14:paraId="735D400B" w14:textId="77777777" w:rsidR="00DF44DD" w:rsidRPr="000D3AF3" w:rsidRDefault="00DF44DD" w:rsidP="00750019">
            <w:pPr>
              <w:pStyle w:val="Tablecentre"/>
              <w:rPr>
                <w:rFonts w:ascii="Arial Narrow" w:hAnsi="Arial Narrow"/>
              </w:rPr>
            </w:pPr>
            <w:r w:rsidRPr="000D3AF3">
              <w:rPr>
                <w:rFonts w:ascii="Arial Narrow" w:hAnsi="Arial Narrow"/>
              </w:rPr>
              <w:t>2 (4.2)</w:t>
            </w:r>
          </w:p>
        </w:tc>
        <w:tc>
          <w:tcPr>
            <w:tcW w:w="1244" w:type="pct"/>
            <w:tcBorders>
              <w:top w:val="single" w:sz="4" w:space="0" w:color="auto"/>
              <w:bottom w:val="single" w:sz="4" w:space="0" w:color="auto"/>
            </w:tcBorders>
            <w:vAlign w:val="bottom"/>
          </w:tcPr>
          <w:p w14:paraId="5B6ED902" w14:textId="77777777" w:rsidR="00DF44DD" w:rsidRPr="000D3AF3" w:rsidRDefault="00DF44DD" w:rsidP="00750019">
            <w:pPr>
              <w:pStyle w:val="Tablecentre"/>
              <w:rPr>
                <w:rFonts w:ascii="Arial Narrow" w:hAnsi="Arial Narrow"/>
              </w:rPr>
            </w:pPr>
            <w:r w:rsidRPr="000D3AF3">
              <w:rPr>
                <w:rFonts w:ascii="Arial Narrow" w:hAnsi="Arial Narrow"/>
              </w:rPr>
              <w:t>2 (4.2)</w:t>
            </w:r>
          </w:p>
        </w:tc>
      </w:tr>
      <w:tr w:rsidR="00DF44DD" w:rsidRPr="000D3AF3" w14:paraId="1E143DEE" w14:textId="77777777" w:rsidTr="00750019">
        <w:tc>
          <w:tcPr>
            <w:tcW w:w="2508" w:type="pct"/>
            <w:tcBorders>
              <w:top w:val="single" w:sz="4" w:space="0" w:color="auto"/>
              <w:bottom w:val="single" w:sz="4" w:space="0" w:color="auto"/>
            </w:tcBorders>
          </w:tcPr>
          <w:p w14:paraId="6E820507" w14:textId="77777777" w:rsidR="00DF44DD" w:rsidRPr="000D3AF3" w:rsidRDefault="00DF44DD" w:rsidP="00750019">
            <w:pPr>
              <w:pStyle w:val="Tabletext0"/>
              <w:rPr>
                <w:rFonts w:ascii="Arial Narrow" w:hAnsi="Arial Narrow"/>
              </w:rPr>
            </w:pPr>
            <w:r w:rsidRPr="000D3AF3">
              <w:rPr>
                <w:rFonts w:ascii="Arial Narrow" w:hAnsi="Arial Narrow"/>
              </w:rPr>
              <w:t>Abdominal pain</w:t>
            </w:r>
          </w:p>
        </w:tc>
        <w:tc>
          <w:tcPr>
            <w:tcW w:w="1248" w:type="pct"/>
            <w:tcBorders>
              <w:top w:val="single" w:sz="4" w:space="0" w:color="auto"/>
              <w:bottom w:val="single" w:sz="4" w:space="0" w:color="auto"/>
            </w:tcBorders>
            <w:vAlign w:val="bottom"/>
          </w:tcPr>
          <w:p w14:paraId="0D07D8CE" w14:textId="77777777" w:rsidR="00DF44DD" w:rsidRPr="000D3AF3" w:rsidRDefault="00DF44DD" w:rsidP="00750019">
            <w:pPr>
              <w:pStyle w:val="Tablecentre"/>
              <w:rPr>
                <w:rFonts w:ascii="Arial Narrow" w:hAnsi="Arial Narrow"/>
              </w:rPr>
            </w:pPr>
            <w:r w:rsidRPr="000D3AF3">
              <w:rPr>
                <w:rFonts w:ascii="Arial Narrow" w:hAnsi="Arial Narrow"/>
              </w:rPr>
              <w:t>2 (4.2)</w:t>
            </w:r>
          </w:p>
        </w:tc>
        <w:tc>
          <w:tcPr>
            <w:tcW w:w="1244" w:type="pct"/>
            <w:tcBorders>
              <w:top w:val="single" w:sz="4" w:space="0" w:color="auto"/>
              <w:bottom w:val="single" w:sz="4" w:space="0" w:color="auto"/>
            </w:tcBorders>
            <w:vAlign w:val="bottom"/>
          </w:tcPr>
          <w:p w14:paraId="011502AC" w14:textId="77777777" w:rsidR="00DF44DD" w:rsidRPr="000D3AF3" w:rsidRDefault="00DF44DD" w:rsidP="00750019">
            <w:pPr>
              <w:pStyle w:val="Tablecentre"/>
              <w:rPr>
                <w:rFonts w:ascii="Arial Narrow" w:hAnsi="Arial Narrow"/>
              </w:rPr>
            </w:pPr>
            <w:r w:rsidRPr="000D3AF3">
              <w:rPr>
                <w:rFonts w:ascii="Arial Narrow" w:hAnsi="Arial Narrow"/>
              </w:rPr>
              <w:t>0</w:t>
            </w:r>
          </w:p>
        </w:tc>
      </w:tr>
      <w:tr w:rsidR="00DF44DD" w:rsidRPr="000D3AF3" w14:paraId="6A4316DD" w14:textId="77777777" w:rsidTr="00750019">
        <w:tc>
          <w:tcPr>
            <w:tcW w:w="2508" w:type="pct"/>
            <w:tcBorders>
              <w:top w:val="single" w:sz="4" w:space="0" w:color="auto"/>
              <w:bottom w:val="single" w:sz="4" w:space="0" w:color="auto"/>
            </w:tcBorders>
          </w:tcPr>
          <w:p w14:paraId="099884D8" w14:textId="77777777" w:rsidR="00DF44DD" w:rsidRPr="000D3AF3" w:rsidRDefault="00DF44DD" w:rsidP="00750019">
            <w:pPr>
              <w:pStyle w:val="Tabletext0"/>
              <w:rPr>
                <w:rFonts w:ascii="Arial Narrow" w:hAnsi="Arial Narrow"/>
              </w:rPr>
            </w:pPr>
            <w:r w:rsidRPr="000D3AF3">
              <w:rPr>
                <w:rFonts w:ascii="Arial Narrow" w:hAnsi="Arial Narrow"/>
              </w:rPr>
              <w:t>Hypertension</w:t>
            </w:r>
          </w:p>
        </w:tc>
        <w:tc>
          <w:tcPr>
            <w:tcW w:w="1248" w:type="pct"/>
            <w:tcBorders>
              <w:top w:val="single" w:sz="4" w:space="0" w:color="auto"/>
              <w:bottom w:val="single" w:sz="4" w:space="0" w:color="auto"/>
            </w:tcBorders>
            <w:vAlign w:val="bottom"/>
          </w:tcPr>
          <w:p w14:paraId="3B2D05FC" w14:textId="77777777" w:rsidR="00DF44DD" w:rsidRPr="000D3AF3" w:rsidRDefault="00DF44DD" w:rsidP="00750019">
            <w:pPr>
              <w:pStyle w:val="Tablecentre"/>
              <w:rPr>
                <w:rFonts w:ascii="Arial Narrow" w:hAnsi="Arial Narrow"/>
              </w:rPr>
            </w:pPr>
            <w:r w:rsidRPr="000D3AF3">
              <w:rPr>
                <w:rFonts w:ascii="Arial Narrow" w:hAnsi="Arial Narrow"/>
              </w:rPr>
              <w:t>1 (2.1)</w:t>
            </w:r>
          </w:p>
        </w:tc>
        <w:tc>
          <w:tcPr>
            <w:tcW w:w="1244" w:type="pct"/>
            <w:tcBorders>
              <w:top w:val="single" w:sz="4" w:space="0" w:color="auto"/>
              <w:bottom w:val="single" w:sz="4" w:space="0" w:color="auto"/>
            </w:tcBorders>
            <w:vAlign w:val="bottom"/>
          </w:tcPr>
          <w:p w14:paraId="494B5685"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37A208A4" w14:textId="77777777" w:rsidTr="00750019">
        <w:tc>
          <w:tcPr>
            <w:tcW w:w="2508" w:type="pct"/>
            <w:tcBorders>
              <w:top w:val="single" w:sz="4" w:space="0" w:color="auto"/>
              <w:bottom w:val="single" w:sz="4" w:space="0" w:color="auto"/>
            </w:tcBorders>
          </w:tcPr>
          <w:p w14:paraId="2AD1015D" w14:textId="77777777" w:rsidR="00DF44DD" w:rsidRPr="000D3AF3" w:rsidRDefault="00DF44DD" w:rsidP="00750019">
            <w:pPr>
              <w:pStyle w:val="Tabletext0"/>
              <w:rPr>
                <w:rFonts w:ascii="Arial Narrow" w:hAnsi="Arial Narrow"/>
              </w:rPr>
            </w:pPr>
            <w:r w:rsidRPr="000D3AF3">
              <w:rPr>
                <w:rFonts w:ascii="Arial Narrow" w:hAnsi="Arial Narrow"/>
              </w:rPr>
              <w:t>Rash maculo-papular</w:t>
            </w:r>
          </w:p>
        </w:tc>
        <w:tc>
          <w:tcPr>
            <w:tcW w:w="1248" w:type="pct"/>
            <w:tcBorders>
              <w:top w:val="single" w:sz="4" w:space="0" w:color="auto"/>
              <w:bottom w:val="single" w:sz="4" w:space="0" w:color="auto"/>
            </w:tcBorders>
            <w:vAlign w:val="bottom"/>
          </w:tcPr>
          <w:p w14:paraId="2F2E27E6" w14:textId="77777777" w:rsidR="00DF44DD" w:rsidRPr="000D3AF3" w:rsidRDefault="00DF44DD" w:rsidP="00750019">
            <w:pPr>
              <w:pStyle w:val="Tablecentre"/>
              <w:rPr>
                <w:rFonts w:ascii="Arial Narrow" w:hAnsi="Arial Narrow"/>
              </w:rPr>
            </w:pPr>
            <w:r w:rsidRPr="000D3AF3">
              <w:rPr>
                <w:rFonts w:ascii="Arial Narrow" w:hAnsi="Arial Narrow"/>
              </w:rPr>
              <w:t>3 (6.3)</w:t>
            </w:r>
          </w:p>
        </w:tc>
        <w:tc>
          <w:tcPr>
            <w:tcW w:w="1244" w:type="pct"/>
            <w:tcBorders>
              <w:top w:val="single" w:sz="4" w:space="0" w:color="auto"/>
              <w:bottom w:val="single" w:sz="4" w:space="0" w:color="auto"/>
            </w:tcBorders>
            <w:vAlign w:val="bottom"/>
          </w:tcPr>
          <w:p w14:paraId="18BD779A" w14:textId="77777777" w:rsidR="00DF44DD" w:rsidRPr="000D3AF3" w:rsidRDefault="00DF44DD" w:rsidP="00750019">
            <w:pPr>
              <w:pStyle w:val="Tablecentre"/>
              <w:rPr>
                <w:rFonts w:ascii="Arial Narrow" w:hAnsi="Arial Narrow"/>
              </w:rPr>
            </w:pPr>
            <w:r w:rsidRPr="000D3AF3">
              <w:rPr>
                <w:rFonts w:ascii="Arial Narrow" w:hAnsi="Arial Narrow"/>
              </w:rPr>
              <w:t>0</w:t>
            </w:r>
          </w:p>
        </w:tc>
      </w:tr>
      <w:tr w:rsidR="00DF44DD" w:rsidRPr="000D3AF3" w14:paraId="04379080" w14:textId="77777777" w:rsidTr="00750019">
        <w:tc>
          <w:tcPr>
            <w:tcW w:w="2508" w:type="pct"/>
            <w:tcBorders>
              <w:top w:val="single" w:sz="4" w:space="0" w:color="auto"/>
              <w:bottom w:val="single" w:sz="4" w:space="0" w:color="auto"/>
            </w:tcBorders>
          </w:tcPr>
          <w:p w14:paraId="5E32502C" w14:textId="77777777" w:rsidR="00DF44DD" w:rsidRPr="000D3AF3" w:rsidRDefault="00DF44DD" w:rsidP="00750019">
            <w:pPr>
              <w:pStyle w:val="Tabletext0"/>
              <w:rPr>
                <w:rFonts w:ascii="Arial Narrow" w:hAnsi="Arial Narrow"/>
              </w:rPr>
            </w:pPr>
            <w:r w:rsidRPr="000D3AF3">
              <w:rPr>
                <w:rFonts w:ascii="Arial Narrow" w:hAnsi="Arial Narrow"/>
              </w:rPr>
              <w:t>Oedema peripheral</w:t>
            </w:r>
          </w:p>
        </w:tc>
        <w:tc>
          <w:tcPr>
            <w:tcW w:w="1248" w:type="pct"/>
            <w:tcBorders>
              <w:top w:val="single" w:sz="4" w:space="0" w:color="auto"/>
              <w:bottom w:val="single" w:sz="4" w:space="0" w:color="auto"/>
            </w:tcBorders>
            <w:vAlign w:val="bottom"/>
          </w:tcPr>
          <w:p w14:paraId="4B3A8498" w14:textId="77777777" w:rsidR="00DF44DD" w:rsidRPr="000D3AF3" w:rsidRDefault="00DF44DD" w:rsidP="00750019">
            <w:pPr>
              <w:pStyle w:val="Tablecentre"/>
              <w:rPr>
                <w:rFonts w:ascii="Arial Narrow" w:hAnsi="Arial Narrow"/>
              </w:rPr>
            </w:pPr>
            <w:r w:rsidRPr="000D3AF3">
              <w:rPr>
                <w:rFonts w:ascii="Arial Narrow" w:hAnsi="Arial Narrow"/>
              </w:rPr>
              <w:t>1 (2.1)</w:t>
            </w:r>
          </w:p>
        </w:tc>
        <w:tc>
          <w:tcPr>
            <w:tcW w:w="1244" w:type="pct"/>
            <w:tcBorders>
              <w:top w:val="single" w:sz="4" w:space="0" w:color="auto"/>
              <w:bottom w:val="single" w:sz="4" w:space="0" w:color="auto"/>
            </w:tcBorders>
            <w:vAlign w:val="bottom"/>
          </w:tcPr>
          <w:p w14:paraId="1EFDA88B"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6EA3EBA3" w14:textId="77777777" w:rsidTr="00750019">
        <w:tc>
          <w:tcPr>
            <w:tcW w:w="2508" w:type="pct"/>
            <w:tcBorders>
              <w:top w:val="single" w:sz="4" w:space="0" w:color="auto"/>
              <w:bottom w:val="single" w:sz="4" w:space="0" w:color="auto"/>
            </w:tcBorders>
          </w:tcPr>
          <w:p w14:paraId="62AF3439" w14:textId="77777777" w:rsidR="00DF44DD" w:rsidRPr="000D3AF3" w:rsidRDefault="00DF44DD" w:rsidP="00750019">
            <w:pPr>
              <w:pStyle w:val="Tabletext0"/>
              <w:rPr>
                <w:rFonts w:ascii="Arial Narrow" w:hAnsi="Arial Narrow"/>
              </w:rPr>
            </w:pPr>
            <w:r w:rsidRPr="000D3AF3">
              <w:rPr>
                <w:rFonts w:ascii="Arial Narrow" w:hAnsi="Arial Narrow"/>
              </w:rPr>
              <w:t>Platelet count decreased</w:t>
            </w:r>
          </w:p>
        </w:tc>
        <w:tc>
          <w:tcPr>
            <w:tcW w:w="1248" w:type="pct"/>
            <w:tcBorders>
              <w:top w:val="single" w:sz="4" w:space="0" w:color="auto"/>
              <w:bottom w:val="single" w:sz="4" w:space="0" w:color="auto"/>
            </w:tcBorders>
            <w:vAlign w:val="bottom"/>
          </w:tcPr>
          <w:p w14:paraId="7673519C" w14:textId="77777777" w:rsidR="00DF44DD" w:rsidRPr="000D3AF3" w:rsidRDefault="00DF44DD" w:rsidP="00750019">
            <w:pPr>
              <w:pStyle w:val="Tablecentre"/>
              <w:rPr>
                <w:rFonts w:ascii="Arial Narrow" w:hAnsi="Arial Narrow"/>
              </w:rPr>
            </w:pPr>
            <w:r w:rsidRPr="000D3AF3">
              <w:rPr>
                <w:rFonts w:ascii="Arial Narrow" w:hAnsi="Arial Narrow"/>
              </w:rPr>
              <w:t>1 (2.1)</w:t>
            </w:r>
          </w:p>
        </w:tc>
        <w:tc>
          <w:tcPr>
            <w:tcW w:w="1244" w:type="pct"/>
            <w:tcBorders>
              <w:top w:val="single" w:sz="4" w:space="0" w:color="auto"/>
              <w:bottom w:val="single" w:sz="4" w:space="0" w:color="auto"/>
            </w:tcBorders>
            <w:vAlign w:val="bottom"/>
          </w:tcPr>
          <w:p w14:paraId="410EC4E2"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38BF5BC2" w14:textId="77777777" w:rsidTr="00750019">
        <w:tc>
          <w:tcPr>
            <w:tcW w:w="2508" w:type="pct"/>
            <w:tcBorders>
              <w:top w:val="single" w:sz="4" w:space="0" w:color="auto"/>
              <w:bottom w:val="single" w:sz="4" w:space="0" w:color="auto"/>
            </w:tcBorders>
          </w:tcPr>
          <w:p w14:paraId="2193CEBE" w14:textId="77777777" w:rsidR="00DF44DD" w:rsidRPr="000D3AF3" w:rsidRDefault="00DF44DD" w:rsidP="00750019">
            <w:pPr>
              <w:pStyle w:val="Tabletext0"/>
              <w:rPr>
                <w:rFonts w:ascii="Arial Narrow" w:hAnsi="Arial Narrow"/>
              </w:rPr>
            </w:pPr>
            <w:r w:rsidRPr="000D3AF3">
              <w:rPr>
                <w:rFonts w:ascii="Arial Narrow" w:hAnsi="Arial Narrow"/>
              </w:rPr>
              <w:t xml:space="preserve">Coronary artery disease </w:t>
            </w:r>
          </w:p>
        </w:tc>
        <w:tc>
          <w:tcPr>
            <w:tcW w:w="1248" w:type="pct"/>
            <w:tcBorders>
              <w:top w:val="single" w:sz="4" w:space="0" w:color="auto"/>
              <w:bottom w:val="single" w:sz="4" w:space="0" w:color="auto"/>
            </w:tcBorders>
            <w:vAlign w:val="bottom"/>
          </w:tcPr>
          <w:p w14:paraId="3E6F12AF" w14:textId="77777777" w:rsidR="00DF44DD" w:rsidRPr="000D3AF3" w:rsidRDefault="00DF44DD" w:rsidP="00750019">
            <w:pPr>
              <w:pStyle w:val="Tablecentre"/>
              <w:rPr>
                <w:rFonts w:ascii="Arial Narrow" w:hAnsi="Arial Narrow"/>
              </w:rPr>
            </w:pPr>
            <w:r w:rsidRPr="000D3AF3">
              <w:rPr>
                <w:rFonts w:ascii="Arial Narrow" w:hAnsi="Arial Narrow"/>
              </w:rPr>
              <w:t>1 (2.1)</w:t>
            </w:r>
          </w:p>
        </w:tc>
        <w:tc>
          <w:tcPr>
            <w:tcW w:w="1244" w:type="pct"/>
            <w:tcBorders>
              <w:top w:val="single" w:sz="4" w:space="0" w:color="auto"/>
              <w:bottom w:val="single" w:sz="4" w:space="0" w:color="auto"/>
            </w:tcBorders>
            <w:vAlign w:val="bottom"/>
          </w:tcPr>
          <w:p w14:paraId="462C9E3D"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1CB4681C" w14:textId="77777777" w:rsidTr="00750019">
        <w:tc>
          <w:tcPr>
            <w:tcW w:w="2508" w:type="pct"/>
            <w:tcBorders>
              <w:top w:val="single" w:sz="4" w:space="0" w:color="auto"/>
              <w:bottom w:val="single" w:sz="4" w:space="0" w:color="auto"/>
            </w:tcBorders>
          </w:tcPr>
          <w:p w14:paraId="202FF3E6" w14:textId="77777777" w:rsidR="00DF44DD" w:rsidRPr="000D3AF3" w:rsidRDefault="00DF44DD" w:rsidP="00750019">
            <w:pPr>
              <w:pStyle w:val="Tabletext0"/>
              <w:rPr>
                <w:rFonts w:ascii="Arial Narrow" w:hAnsi="Arial Narrow"/>
              </w:rPr>
            </w:pPr>
            <w:r w:rsidRPr="000D3AF3">
              <w:rPr>
                <w:rFonts w:ascii="Arial Narrow" w:hAnsi="Arial Narrow"/>
              </w:rPr>
              <w:t>Hyperkalaemia</w:t>
            </w:r>
          </w:p>
        </w:tc>
        <w:tc>
          <w:tcPr>
            <w:tcW w:w="1248" w:type="pct"/>
            <w:tcBorders>
              <w:top w:val="single" w:sz="4" w:space="0" w:color="auto"/>
              <w:bottom w:val="single" w:sz="4" w:space="0" w:color="auto"/>
            </w:tcBorders>
            <w:vAlign w:val="bottom"/>
          </w:tcPr>
          <w:p w14:paraId="6AAC90E6" w14:textId="77777777" w:rsidR="00DF44DD" w:rsidRPr="000D3AF3" w:rsidRDefault="00DF44DD" w:rsidP="00750019">
            <w:pPr>
              <w:pStyle w:val="Tablecentre"/>
              <w:rPr>
                <w:rFonts w:ascii="Arial Narrow" w:hAnsi="Arial Narrow"/>
              </w:rPr>
            </w:pPr>
            <w:r w:rsidRPr="000D3AF3">
              <w:rPr>
                <w:rFonts w:ascii="Arial Narrow" w:hAnsi="Arial Narrow"/>
              </w:rPr>
              <w:t>1 (2.1)</w:t>
            </w:r>
          </w:p>
        </w:tc>
        <w:tc>
          <w:tcPr>
            <w:tcW w:w="1244" w:type="pct"/>
            <w:tcBorders>
              <w:top w:val="single" w:sz="4" w:space="0" w:color="auto"/>
              <w:bottom w:val="single" w:sz="4" w:space="0" w:color="auto"/>
            </w:tcBorders>
            <w:vAlign w:val="bottom"/>
          </w:tcPr>
          <w:p w14:paraId="793FB94B"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6A2A3ADD" w14:textId="77777777" w:rsidTr="00750019">
        <w:tc>
          <w:tcPr>
            <w:tcW w:w="2508" w:type="pct"/>
            <w:tcBorders>
              <w:top w:val="single" w:sz="4" w:space="0" w:color="auto"/>
              <w:bottom w:val="single" w:sz="4" w:space="0" w:color="auto"/>
            </w:tcBorders>
          </w:tcPr>
          <w:p w14:paraId="500AC95F" w14:textId="77777777" w:rsidR="00DF44DD" w:rsidRPr="000D3AF3" w:rsidRDefault="00DF44DD" w:rsidP="00750019">
            <w:pPr>
              <w:pStyle w:val="Tabletext0"/>
              <w:rPr>
                <w:rFonts w:ascii="Arial Narrow" w:hAnsi="Arial Narrow"/>
              </w:rPr>
            </w:pPr>
            <w:r w:rsidRPr="000D3AF3">
              <w:rPr>
                <w:rFonts w:ascii="Arial Narrow" w:hAnsi="Arial Narrow"/>
              </w:rPr>
              <w:t>Hyperlipasaemia</w:t>
            </w:r>
          </w:p>
        </w:tc>
        <w:tc>
          <w:tcPr>
            <w:tcW w:w="1248" w:type="pct"/>
            <w:tcBorders>
              <w:top w:val="single" w:sz="4" w:space="0" w:color="auto"/>
              <w:bottom w:val="single" w:sz="4" w:space="0" w:color="auto"/>
            </w:tcBorders>
            <w:vAlign w:val="bottom"/>
          </w:tcPr>
          <w:p w14:paraId="48DC1B20" w14:textId="77777777" w:rsidR="00DF44DD" w:rsidRPr="000D3AF3" w:rsidRDefault="00DF44DD" w:rsidP="00750019">
            <w:pPr>
              <w:pStyle w:val="Tablecentre"/>
              <w:rPr>
                <w:rFonts w:ascii="Arial Narrow" w:hAnsi="Arial Narrow"/>
              </w:rPr>
            </w:pPr>
            <w:r w:rsidRPr="000D3AF3">
              <w:rPr>
                <w:rFonts w:ascii="Arial Narrow" w:hAnsi="Arial Narrow"/>
              </w:rPr>
              <w:t>1 (2.1)</w:t>
            </w:r>
          </w:p>
        </w:tc>
        <w:tc>
          <w:tcPr>
            <w:tcW w:w="1244" w:type="pct"/>
            <w:tcBorders>
              <w:top w:val="single" w:sz="4" w:space="0" w:color="auto"/>
              <w:bottom w:val="single" w:sz="4" w:space="0" w:color="auto"/>
            </w:tcBorders>
            <w:vAlign w:val="bottom"/>
          </w:tcPr>
          <w:p w14:paraId="3F097DC1"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1C0E9393" w14:textId="77777777" w:rsidTr="00750019">
        <w:tc>
          <w:tcPr>
            <w:tcW w:w="2508" w:type="pct"/>
            <w:tcBorders>
              <w:top w:val="single" w:sz="4" w:space="0" w:color="auto"/>
              <w:bottom w:val="single" w:sz="4" w:space="0" w:color="auto"/>
            </w:tcBorders>
          </w:tcPr>
          <w:p w14:paraId="712123BF" w14:textId="77777777" w:rsidR="00DF44DD" w:rsidRPr="000D3AF3" w:rsidRDefault="00DF44DD" w:rsidP="00750019">
            <w:pPr>
              <w:pStyle w:val="Tabletext0"/>
              <w:rPr>
                <w:rFonts w:ascii="Arial Narrow" w:hAnsi="Arial Narrow"/>
              </w:rPr>
            </w:pPr>
            <w:r w:rsidRPr="000D3AF3">
              <w:rPr>
                <w:rFonts w:ascii="Arial Narrow" w:hAnsi="Arial Narrow"/>
              </w:rPr>
              <w:t>IIIrd nerve paralysis</w:t>
            </w:r>
          </w:p>
        </w:tc>
        <w:tc>
          <w:tcPr>
            <w:tcW w:w="1248" w:type="pct"/>
            <w:tcBorders>
              <w:top w:val="single" w:sz="4" w:space="0" w:color="auto"/>
              <w:bottom w:val="single" w:sz="4" w:space="0" w:color="auto"/>
            </w:tcBorders>
            <w:vAlign w:val="bottom"/>
          </w:tcPr>
          <w:p w14:paraId="1F655312" w14:textId="77777777" w:rsidR="00DF44DD" w:rsidRPr="000D3AF3" w:rsidRDefault="00DF44DD" w:rsidP="00750019">
            <w:pPr>
              <w:pStyle w:val="Tablecentre"/>
              <w:rPr>
                <w:rFonts w:ascii="Arial Narrow" w:hAnsi="Arial Narrow"/>
              </w:rPr>
            </w:pPr>
            <w:r w:rsidRPr="000D3AF3">
              <w:rPr>
                <w:rFonts w:ascii="Arial Narrow" w:hAnsi="Arial Narrow"/>
              </w:rPr>
              <w:t>1 (2.1)</w:t>
            </w:r>
          </w:p>
        </w:tc>
        <w:tc>
          <w:tcPr>
            <w:tcW w:w="1244" w:type="pct"/>
            <w:tcBorders>
              <w:top w:val="single" w:sz="4" w:space="0" w:color="auto"/>
              <w:bottom w:val="single" w:sz="4" w:space="0" w:color="auto"/>
            </w:tcBorders>
            <w:vAlign w:val="bottom"/>
          </w:tcPr>
          <w:p w14:paraId="0D30969C"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4AB6E5BB" w14:textId="77777777" w:rsidTr="00750019">
        <w:tc>
          <w:tcPr>
            <w:tcW w:w="2508" w:type="pct"/>
            <w:tcBorders>
              <w:top w:val="single" w:sz="4" w:space="0" w:color="auto"/>
              <w:bottom w:val="single" w:sz="4" w:space="0" w:color="auto"/>
            </w:tcBorders>
          </w:tcPr>
          <w:p w14:paraId="76402B04" w14:textId="77777777" w:rsidR="00DF44DD" w:rsidRPr="000D3AF3" w:rsidRDefault="00DF44DD" w:rsidP="00750019">
            <w:pPr>
              <w:pStyle w:val="Tabletext0"/>
              <w:rPr>
                <w:rFonts w:ascii="Arial Narrow" w:hAnsi="Arial Narrow"/>
              </w:rPr>
            </w:pPr>
            <w:r w:rsidRPr="000D3AF3">
              <w:rPr>
                <w:rFonts w:ascii="Arial Narrow" w:hAnsi="Arial Narrow"/>
              </w:rPr>
              <w:t>Non-cardiac chest pain</w:t>
            </w:r>
          </w:p>
        </w:tc>
        <w:tc>
          <w:tcPr>
            <w:tcW w:w="1248" w:type="pct"/>
            <w:tcBorders>
              <w:top w:val="single" w:sz="4" w:space="0" w:color="auto"/>
              <w:bottom w:val="single" w:sz="4" w:space="0" w:color="auto"/>
            </w:tcBorders>
            <w:vAlign w:val="bottom"/>
          </w:tcPr>
          <w:p w14:paraId="16BF36A3" w14:textId="77777777" w:rsidR="00DF44DD" w:rsidRPr="000D3AF3" w:rsidRDefault="00DF44DD" w:rsidP="00750019">
            <w:pPr>
              <w:pStyle w:val="Tablecentre"/>
              <w:rPr>
                <w:rFonts w:ascii="Arial Narrow" w:hAnsi="Arial Narrow"/>
              </w:rPr>
            </w:pPr>
            <w:r w:rsidRPr="000D3AF3">
              <w:rPr>
                <w:rFonts w:ascii="Arial Narrow" w:hAnsi="Arial Narrow"/>
              </w:rPr>
              <w:t>1 (2.1)</w:t>
            </w:r>
          </w:p>
        </w:tc>
        <w:tc>
          <w:tcPr>
            <w:tcW w:w="1244" w:type="pct"/>
            <w:tcBorders>
              <w:top w:val="single" w:sz="4" w:space="0" w:color="auto"/>
              <w:bottom w:val="single" w:sz="4" w:space="0" w:color="auto"/>
            </w:tcBorders>
            <w:vAlign w:val="bottom"/>
          </w:tcPr>
          <w:p w14:paraId="409FBA32"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169FCC7C" w14:textId="77777777" w:rsidTr="00750019">
        <w:tc>
          <w:tcPr>
            <w:tcW w:w="2508" w:type="pct"/>
            <w:tcBorders>
              <w:top w:val="single" w:sz="4" w:space="0" w:color="auto"/>
              <w:bottom w:val="single" w:sz="4" w:space="0" w:color="auto"/>
            </w:tcBorders>
          </w:tcPr>
          <w:p w14:paraId="65982168" w14:textId="77777777" w:rsidR="00DF44DD" w:rsidRPr="000D3AF3" w:rsidRDefault="00DF44DD" w:rsidP="00750019">
            <w:pPr>
              <w:pStyle w:val="Tabletext0"/>
              <w:rPr>
                <w:rFonts w:ascii="Arial Narrow" w:hAnsi="Arial Narrow"/>
              </w:rPr>
            </w:pPr>
            <w:r w:rsidRPr="000D3AF3">
              <w:rPr>
                <w:rFonts w:ascii="Arial Narrow" w:hAnsi="Arial Narrow"/>
              </w:rPr>
              <w:t>Pancytopenia</w:t>
            </w:r>
          </w:p>
        </w:tc>
        <w:tc>
          <w:tcPr>
            <w:tcW w:w="1248" w:type="pct"/>
            <w:tcBorders>
              <w:top w:val="single" w:sz="4" w:space="0" w:color="auto"/>
              <w:bottom w:val="single" w:sz="4" w:space="0" w:color="auto"/>
            </w:tcBorders>
            <w:vAlign w:val="bottom"/>
          </w:tcPr>
          <w:p w14:paraId="184670E5" w14:textId="77777777" w:rsidR="00DF44DD" w:rsidRPr="000D3AF3" w:rsidRDefault="00DF44DD" w:rsidP="00750019">
            <w:pPr>
              <w:pStyle w:val="Tablecentre"/>
              <w:rPr>
                <w:rFonts w:ascii="Arial Narrow" w:hAnsi="Arial Narrow"/>
              </w:rPr>
            </w:pPr>
            <w:r w:rsidRPr="000D3AF3">
              <w:rPr>
                <w:rFonts w:ascii="Arial Narrow" w:hAnsi="Arial Narrow"/>
              </w:rPr>
              <w:t>1 (2.1)</w:t>
            </w:r>
          </w:p>
        </w:tc>
        <w:tc>
          <w:tcPr>
            <w:tcW w:w="1244" w:type="pct"/>
            <w:tcBorders>
              <w:top w:val="single" w:sz="4" w:space="0" w:color="auto"/>
              <w:bottom w:val="single" w:sz="4" w:space="0" w:color="auto"/>
            </w:tcBorders>
            <w:vAlign w:val="bottom"/>
          </w:tcPr>
          <w:p w14:paraId="6165BA0F" w14:textId="77777777" w:rsidR="00DF44DD" w:rsidRPr="000D3AF3" w:rsidRDefault="00DF44DD" w:rsidP="00750019">
            <w:pPr>
              <w:pStyle w:val="Tablecentre"/>
              <w:rPr>
                <w:rFonts w:ascii="Arial Narrow" w:hAnsi="Arial Narrow"/>
              </w:rPr>
            </w:pPr>
            <w:r w:rsidRPr="000D3AF3">
              <w:rPr>
                <w:rFonts w:ascii="Arial Narrow" w:hAnsi="Arial Narrow"/>
              </w:rPr>
              <w:t>1 (2.1)</w:t>
            </w:r>
          </w:p>
        </w:tc>
      </w:tr>
      <w:tr w:rsidR="00DF44DD" w:rsidRPr="000D3AF3" w14:paraId="4D2E9C94" w14:textId="77777777" w:rsidTr="00750019">
        <w:tc>
          <w:tcPr>
            <w:tcW w:w="2508" w:type="pct"/>
            <w:tcBorders>
              <w:top w:val="single" w:sz="4" w:space="0" w:color="auto"/>
              <w:bottom w:val="single" w:sz="4" w:space="0" w:color="auto"/>
            </w:tcBorders>
          </w:tcPr>
          <w:p w14:paraId="0B746E44" w14:textId="77777777" w:rsidR="00DF44DD" w:rsidRPr="000D3AF3" w:rsidRDefault="00DF44DD" w:rsidP="00750019">
            <w:pPr>
              <w:pStyle w:val="Tabletext0"/>
              <w:rPr>
                <w:rFonts w:ascii="Arial Narrow" w:hAnsi="Arial Narrow"/>
              </w:rPr>
            </w:pPr>
            <w:r w:rsidRPr="000D3AF3">
              <w:rPr>
                <w:rFonts w:ascii="Arial Narrow" w:hAnsi="Arial Narrow"/>
              </w:rPr>
              <w:t>Weight decreased</w:t>
            </w:r>
          </w:p>
        </w:tc>
        <w:tc>
          <w:tcPr>
            <w:tcW w:w="1248" w:type="pct"/>
            <w:tcBorders>
              <w:top w:val="single" w:sz="4" w:space="0" w:color="auto"/>
              <w:bottom w:val="single" w:sz="4" w:space="0" w:color="auto"/>
            </w:tcBorders>
            <w:vAlign w:val="bottom"/>
          </w:tcPr>
          <w:p w14:paraId="0CB6E98B" w14:textId="77777777" w:rsidR="00DF44DD" w:rsidRPr="000D3AF3" w:rsidRDefault="00DF44DD" w:rsidP="00750019">
            <w:pPr>
              <w:pStyle w:val="Tablecentre"/>
              <w:rPr>
                <w:rFonts w:ascii="Arial Narrow" w:hAnsi="Arial Narrow"/>
              </w:rPr>
            </w:pPr>
            <w:r w:rsidRPr="000D3AF3">
              <w:rPr>
                <w:rFonts w:ascii="Arial Narrow" w:hAnsi="Arial Narrow"/>
              </w:rPr>
              <w:t>1 (2.1)</w:t>
            </w:r>
          </w:p>
        </w:tc>
        <w:tc>
          <w:tcPr>
            <w:tcW w:w="1244" w:type="pct"/>
            <w:tcBorders>
              <w:top w:val="single" w:sz="4" w:space="0" w:color="auto"/>
              <w:bottom w:val="single" w:sz="4" w:space="0" w:color="auto"/>
            </w:tcBorders>
            <w:vAlign w:val="bottom"/>
          </w:tcPr>
          <w:p w14:paraId="602A2DDF" w14:textId="77777777" w:rsidR="00DF44DD" w:rsidRPr="000D3AF3" w:rsidRDefault="00DF44DD" w:rsidP="00750019">
            <w:pPr>
              <w:pStyle w:val="Tablecentre"/>
              <w:rPr>
                <w:rFonts w:ascii="Arial Narrow" w:hAnsi="Arial Narrow"/>
              </w:rPr>
            </w:pPr>
            <w:r w:rsidRPr="000D3AF3">
              <w:rPr>
                <w:rFonts w:ascii="Arial Narrow" w:hAnsi="Arial Narrow"/>
              </w:rPr>
              <w:t>1 (2.1)</w:t>
            </w:r>
          </w:p>
        </w:tc>
      </w:tr>
    </w:tbl>
    <w:p w14:paraId="1039A812" w14:textId="143EA768" w:rsidR="00DF44DD" w:rsidRDefault="00DF44DD" w:rsidP="00DF44DD">
      <w:pPr>
        <w:rPr>
          <w:rFonts w:ascii="Arial Narrow" w:hAnsi="Arial Narrow"/>
          <w:sz w:val="18"/>
          <w:szCs w:val="18"/>
        </w:rPr>
      </w:pPr>
      <w:r w:rsidRPr="00502F06">
        <w:rPr>
          <w:rFonts w:ascii="Arial Narrow" w:hAnsi="Arial Narrow"/>
          <w:sz w:val="18"/>
          <w:szCs w:val="18"/>
        </w:rPr>
        <w:t xml:space="preserve">Source: </w:t>
      </w:r>
      <w:r w:rsidR="00502F06" w:rsidRPr="00502F06">
        <w:rPr>
          <w:rFonts w:ascii="Arial Narrow" w:hAnsi="Arial Narrow"/>
          <w:sz w:val="18"/>
          <w:szCs w:val="18"/>
        </w:rPr>
        <w:t xml:space="preserve">Resubmission Table 2-10; </w:t>
      </w:r>
      <w:r w:rsidRPr="00502F06">
        <w:rPr>
          <w:rFonts w:ascii="Arial Narrow" w:hAnsi="Arial Narrow"/>
          <w:sz w:val="18"/>
          <w:szCs w:val="18"/>
        </w:rPr>
        <w:t>Appendix 4: X2101 CSR Supplement 1,</w:t>
      </w:r>
      <w:r w:rsidRPr="00502F06">
        <w:rPr>
          <w:rFonts w:ascii="Arial Narrow" w:hAnsi="Arial Narrow"/>
        </w:rPr>
        <w:t xml:space="preserve"> </w:t>
      </w:r>
      <w:r w:rsidRPr="00502F06">
        <w:rPr>
          <w:rFonts w:ascii="Arial Narrow" w:hAnsi="Arial Narrow"/>
          <w:sz w:val="18"/>
          <w:szCs w:val="18"/>
        </w:rPr>
        <w:t>Table 14.3.1-4.1.4, p597-616</w:t>
      </w:r>
      <w:r w:rsidR="00701AB9">
        <w:rPr>
          <w:rFonts w:ascii="Arial Narrow" w:hAnsi="Arial Narrow"/>
          <w:sz w:val="18"/>
          <w:szCs w:val="18"/>
        </w:rPr>
        <w:t>.</w:t>
      </w:r>
    </w:p>
    <w:p w14:paraId="0EF166E6" w14:textId="27696D9B" w:rsidR="00DF44DD" w:rsidRPr="00A93F80" w:rsidRDefault="00175171" w:rsidP="00175171">
      <w:pPr>
        <w:spacing w:after="120"/>
        <w:rPr>
          <w:u w:val="single"/>
        </w:rPr>
      </w:pPr>
      <w:r>
        <w:rPr>
          <w:rFonts w:ascii="Arial Narrow" w:hAnsi="Arial Narrow"/>
          <w:sz w:val="18"/>
          <w:szCs w:val="18"/>
        </w:rPr>
        <w:t>AEs = adverse events.</w:t>
      </w:r>
    </w:p>
    <w:p w14:paraId="5E054D69" w14:textId="5C740D3D" w:rsidR="00DF44DD" w:rsidRPr="00A93F80" w:rsidRDefault="00A0693D" w:rsidP="00BC3D62">
      <w:pPr>
        <w:keepNext/>
        <w:keepLines/>
        <w:spacing w:after="120"/>
        <w:rPr>
          <w:u w:val="single"/>
        </w:rPr>
      </w:pPr>
      <w:r w:rsidRPr="0039787B">
        <w:rPr>
          <w:b/>
          <w:bCs/>
          <w:i/>
          <w:iCs/>
        </w:rPr>
        <w:lastRenderedPageBreak/>
        <w:t>PACE trial</w:t>
      </w:r>
      <w:r>
        <w:rPr>
          <w:b/>
          <w:bCs/>
          <w:i/>
          <w:iCs/>
        </w:rPr>
        <w:t xml:space="preserve"> (ponatinib)</w:t>
      </w:r>
    </w:p>
    <w:p w14:paraId="0C779668" w14:textId="6C6DBDA2" w:rsidR="00DF44DD" w:rsidRPr="00701AB9" w:rsidRDefault="00DF44DD" w:rsidP="00BC3D62">
      <w:pPr>
        <w:pStyle w:val="3-BodyText"/>
        <w:keepNext/>
        <w:keepLines/>
      </w:pPr>
      <w:r w:rsidRPr="00701AB9">
        <w:t>The July 2022 submission presented safety outcomes at the primary analysis (12</w:t>
      </w:r>
      <w:r w:rsidR="00701AB9">
        <w:t> </w:t>
      </w:r>
      <w:r w:rsidRPr="00701AB9">
        <w:t>months) for</w:t>
      </w:r>
      <w:r w:rsidR="00701AB9">
        <w:t xml:space="preserve"> the</w:t>
      </w:r>
      <w:r w:rsidRPr="00701AB9">
        <w:t xml:space="preserve"> PACE</w:t>
      </w:r>
      <w:r w:rsidR="00701AB9">
        <w:t xml:space="preserve"> trial</w:t>
      </w:r>
      <w:r w:rsidRPr="00701AB9">
        <w:t>. The median duration of treatment for the whole PACE population (including CML-CP, AP, BP and Ph+ ALL patients) was 12.8 months (range 0.03 to &gt;24.8). This was not reported for the total CML-CP population (</w:t>
      </w:r>
      <w:hyperlink w:anchor="_ENREF_1" w:tooltip="Cortes, 2013 #2" w:history="1">
        <w:r w:rsidRPr="00701AB9">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701AB9">
          <w:instrText xml:space="preserve"> ADDIN EN.CITE </w:instrText>
        </w:r>
        <w:r w:rsidRPr="00701AB9">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701AB9">
          <w:instrText xml:space="preserve"> ADDIN EN.CITE.DATA </w:instrText>
        </w:r>
        <w:r w:rsidRPr="00701AB9">
          <w:fldChar w:fldCharType="end"/>
        </w:r>
        <w:r w:rsidRPr="00701AB9">
          <w:fldChar w:fldCharType="separate"/>
        </w:r>
        <w:r w:rsidRPr="00701AB9">
          <w:rPr>
            <w:noProof/>
          </w:rPr>
          <w:t>Cortes et al. (2013)</w:t>
        </w:r>
        <w:r w:rsidRPr="00701AB9">
          <w:fldChar w:fldCharType="end"/>
        </w:r>
      </w:hyperlink>
      <w:r w:rsidRPr="00701AB9">
        <w:t xml:space="preserve">, p1791). </w:t>
      </w:r>
    </w:p>
    <w:p w14:paraId="2382CFE9" w14:textId="51872E7D" w:rsidR="00DF44DD" w:rsidRPr="00701AB9" w:rsidRDefault="00DF44DD" w:rsidP="00247B90">
      <w:pPr>
        <w:pStyle w:val="3-BodyText"/>
      </w:pPr>
      <w:r w:rsidRPr="00701AB9">
        <w:t>The safety outcomes in the July 2022 submission focussed on the CML-CP population of PACE (N = 267), which comprised the resistant/intolerant cohort (N = 203) and T315I mutation cohort (N = 64). Although all patients in the CML-CP population received ponatinib 45 mg once daily and the safety outcomes were generally similar across both cohorts, there were numerical differences for some outcomes. For instance, 37% patients in the resistant/intolerant cohort and 17% patients in the T315I mutation cohort experienced Grade 3 or 4 thrombocytopenia. This may be the result of patients in the resistant/intolerant cohort having additional prior TKIs compared with the T315I cohort</w:t>
      </w:r>
      <w:r w:rsidR="00701AB9">
        <w:t>,</w:t>
      </w:r>
      <w:r w:rsidRPr="00701AB9">
        <w:t xml:space="preserve"> as well as differences in the median age of patients between the two cohorts (61 years versus 52 years, respectively)</w:t>
      </w:r>
      <w:r w:rsidR="00701AB9">
        <w:t>,</w:t>
      </w:r>
      <w:r w:rsidRPr="00701AB9">
        <w:t xml:space="preserve"> and differences in the median time since diagnosis (7.8 years versus 4.8 years, respectively). </w:t>
      </w:r>
    </w:p>
    <w:p w14:paraId="762AB7F6" w14:textId="692193A5" w:rsidR="00DF44DD" w:rsidRPr="00A93F80" w:rsidRDefault="00DF44DD" w:rsidP="00DF44DD">
      <w:pPr>
        <w:pStyle w:val="3-BodyText"/>
      </w:pPr>
      <w:r w:rsidRPr="00701AB9">
        <w:t>The PACE</w:t>
      </w:r>
      <w:r w:rsidR="00701AB9" w:rsidRPr="00701AB9">
        <w:t xml:space="preserve"> trial</w:t>
      </w:r>
      <w:r w:rsidRPr="00701AB9">
        <w:t xml:space="preserve"> publications only reported treatment-related AEs. The treatment-related AEs at the 12-month follow-up in the T315I mutation cohort are presented in</w:t>
      </w:r>
      <w:r w:rsidR="00701AB9" w:rsidRPr="00701AB9">
        <w:t xml:space="preserve"> </w:t>
      </w:r>
      <w:r w:rsidR="00701AB9" w:rsidRPr="00701AB9">
        <w:rPr>
          <w:rFonts w:cstheme="minorHAnsi"/>
        </w:rPr>
        <w:fldChar w:fldCharType="begin" w:fldLock="1"/>
      </w:r>
      <w:r w:rsidR="00701AB9" w:rsidRPr="00701AB9">
        <w:rPr>
          <w:rFonts w:cstheme="minorHAnsi"/>
        </w:rPr>
        <w:instrText xml:space="preserve"> REF _Ref114507322 \h  \* MERGEFORMAT </w:instrText>
      </w:r>
      <w:r w:rsidR="00701AB9" w:rsidRPr="00701AB9">
        <w:rPr>
          <w:rFonts w:cstheme="minorHAnsi"/>
        </w:rPr>
      </w:r>
      <w:r w:rsidR="00701AB9" w:rsidRPr="00701AB9">
        <w:rPr>
          <w:rFonts w:cstheme="minorHAnsi"/>
        </w:rPr>
        <w:fldChar w:fldCharType="separate"/>
      </w:r>
      <w:r w:rsidR="00196FF1" w:rsidRPr="00196FF1">
        <w:rPr>
          <w:rFonts w:cstheme="minorHAnsi"/>
        </w:rPr>
        <w:t xml:space="preserve">Table </w:t>
      </w:r>
      <w:r w:rsidR="00196FF1" w:rsidRPr="00196FF1">
        <w:rPr>
          <w:rFonts w:cstheme="minorHAnsi"/>
          <w:noProof/>
        </w:rPr>
        <w:t>14</w:t>
      </w:r>
      <w:r w:rsidR="00701AB9" w:rsidRPr="00701AB9">
        <w:rPr>
          <w:rFonts w:cstheme="minorHAnsi"/>
        </w:rPr>
        <w:fldChar w:fldCharType="end"/>
      </w:r>
      <w:r w:rsidRPr="00701AB9">
        <w:t>.</w:t>
      </w:r>
    </w:p>
    <w:p w14:paraId="5FE04430" w14:textId="7615A613" w:rsidR="00DF44DD" w:rsidRPr="00701AB9" w:rsidRDefault="00502F06" w:rsidP="00701AB9">
      <w:pPr>
        <w:pStyle w:val="Tableheading"/>
        <w:keepLines/>
        <w:jc w:val="left"/>
        <w:rPr>
          <w:rFonts w:ascii="Arial Narrow" w:hAnsi="Arial Narrow"/>
        </w:rPr>
      </w:pPr>
      <w:bookmarkStart w:id="38" w:name="_Ref114507322"/>
      <w:bookmarkStart w:id="39" w:name="_Toc112315932"/>
      <w:r w:rsidRPr="00701AB9">
        <w:rPr>
          <w:rFonts w:ascii="Arial Narrow" w:hAnsi="Arial Narrow"/>
        </w:rPr>
        <w:lastRenderedPageBreak/>
        <w:t xml:space="preserve">Table </w:t>
      </w:r>
      <w:r w:rsidRPr="00701AB9">
        <w:rPr>
          <w:rFonts w:ascii="Arial Narrow" w:hAnsi="Arial Narrow"/>
        </w:rPr>
        <w:fldChar w:fldCharType="begin" w:fldLock="1"/>
      </w:r>
      <w:r w:rsidRPr="00701AB9">
        <w:rPr>
          <w:rFonts w:ascii="Arial Narrow" w:hAnsi="Arial Narrow"/>
        </w:rPr>
        <w:instrText xml:space="preserve"> SEQ Table \* ARABIC </w:instrText>
      </w:r>
      <w:r w:rsidRPr="00701AB9">
        <w:rPr>
          <w:rFonts w:ascii="Arial Narrow" w:hAnsi="Arial Narrow"/>
        </w:rPr>
        <w:fldChar w:fldCharType="separate"/>
      </w:r>
      <w:r w:rsidR="00100F00">
        <w:rPr>
          <w:rFonts w:ascii="Arial Narrow" w:hAnsi="Arial Narrow"/>
          <w:noProof/>
        </w:rPr>
        <w:t>14</w:t>
      </w:r>
      <w:r w:rsidRPr="00701AB9">
        <w:rPr>
          <w:rFonts w:ascii="Arial Narrow" w:hAnsi="Arial Narrow"/>
        </w:rPr>
        <w:fldChar w:fldCharType="end"/>
      </w:r>
      <w:bookmarkEnd w:id="38"/>
      <w:r w:rsidRPr="00701AB9">
        <w:rPr>
          <w:rFonts w:ascii="Arial Narrow" w:hAnsi="Arial Narrow"/>
        </w:rPr>
        <w:t xml:space="preserve">: </w:t>
      </w:r>
      <w:r w:rsidR="00DF44DD" w:rsidRPr="00701AB9">
        <w:rPr>
          <w:rFonts w:ascii="Arial Narrow" w:hAnsi="Arial Narrow"/>
        </w:rPr>
        <w:t>Treatment-related AEs by 12-month follow-up: PACE</w:t>
      </w:r>
      <w:bookmarkEnd w:id="39"/>
      <w:r w:rsidR="00701AB9" w:rsidRPr="00701AB9">
        <w:rPr>
          <w:rFonts w:ascii="Arial Narrow" w:hAnsi="Arial Narrow"/>
        </w:rPr>
        <w:t xml:space="preserve"> trial</w:t>
      </w:r>
    </w:p>
    <w:tbl>
      <w:tblPr>
        <w:tblStyle w:val="TableGrid"/>
        <w:tblW w:w="5000" w:type="pct"/>
        <w:tblLook w:val="04A0" w:firstRow="1" w:lastRow="0" w:firstColumn="1" w:lastColumn="0" w:noHBand="0" w:noVBand="1"/>
        <w:tblCaption w:val="Table 14: Treatment-related AEs by 12-month follow-up: PACE trial"/>
      </w:tblPr>
      <w:tblGrid>
        <w:gridCol w:w="4520"/>
        <w:gridCol w:w="2247"/>
        <w:gridCol w:w="2249"/>
      </w:tblGrid>
      <w:tr w:rsidR="00DF44DD" w:rsidRPr="000D3AF3" w14:paraId="40483931" w14:textId="77777777" w:rsidTr="00750019">
        <w:trPr>
          <w:tblHeader/>
        </w:trPr>
        <w:tc>
          <w:tcPr>
            <w:tcW w:w="2507" w:type="pct"/>
            <w:vMerge w:val="restart"/>
            <w:shd w:val="clear" w:color="auto" w:fill="F2F2F2"/>
          </w:tcPr>
          <w:p w14:paraId="39A4CDF7" w14:textId="77777777" w:rsidR="00DF44DD" w:rsidRPr="000D3AF3" w:rsidRDefault="00DF44DD" w:rsidP="00701AB9">
            <w:pPr>
              <w:pStyle w:val="Tableheading"/>
              <w:keepLines/>
              <w:widowControl w:val="0"/>
              <w:rPr>
                <w:rFonts w:ascii="Arial Narrow" w:hAnsi="Arial Narrow"/>
              </w:rPr>
            </w:pPr>
          </w:p>
        </w:tc>
        <w:tc>
          <w:tcPr>
            <w:tcW w:w="2493" w:type="pct"/>
            <w:gridSpan w:val="2"/>
            <w:tcBorders>
              <w:bottom w:val="single" w:sz="4" w:space="0" w:color="auto"/>
            </w:tcBorders>
            <w:shd w:val="clear" w:color="auto" w:fill="F2F2F2"/>
          </w:tcPr>
          <w:p w14:paraId="027E3F1F" w14:textId="77777777" w:rsidR="00DF44DD" w:rsidRPr="000D3AF3" w:rsidRDefault="00DF44DD" w:rsidP="00701AB9">
            <w:pPr>
              <w:pStyle w:val="Tableheading"/>
              <w:keepLines/>
              <w:widowControl w:val="0"/>
              <w:rPr>
                <w:rFonts w:ascii="Arial Narrow" w:hAnsi="Arial Narrow"/>
              </w:rPr>
            </w:pPr>
            <w:r w:rsidRPr="000D3AF3">
              <w:rPr>
                <w:rFonts w:ascii="Arial Narrow" w:hAnsi="Arial Narrow"/>
              </w:rPr>
              <w:t>T315I mutation cohort (N = 64)</w:t>
            </w:r>
          </w:p>
        </w:tc>
      </w:tr>
      <w:tr w:rsidR="00DF44DD" w:rsidRPr="000D3AF3" w14:paraId="168A80E4" w14:textId="77777777" w:rsidTr="00750019">
        <w:trPr>
          <w:tblHeader/>
        </w:trPr>
        <w:tc>
          <w:tcPr>
            <w:tcW w:w="2507" w:type="pct"/>
            <w:vMerge/>
            <w:shd w:val="clear" w:color="auto" w:fill="F2F2F2"/>
          </w:tcPr>
          <w:p w14:paraId="2DC6D7BC" w14:textId="77777777" w:rsidR="00DF44DD" w:rsidRPr="000D3AF3" w:rsidRDefault="00DF44DD" w:rsidP="00701AB9">
            <w:pPr>
              <w:pStyle w:val="Tableheading"/>
              <w:keepLines/>
              <w:widowControl w:val="0"/>
              <w:rPr>
                <w:rFonts w:ascii="Arial Narrow" w:hAnsi="Arial Narrow"/>
              </w:rPr>
            </w:pPr>
          </w:p>
        </w:tc>
        <w:tc>
          <w:tcPr>
            <w:tcW w:w="1246" w:type="pct"/>
            <w:tcBorders>
              <w:bottom w:val="nil"/>
            </w:tcBorders>
            <w:shd w:val="clear" w:color="auto" w:fill="F2F2F2"/>
          </w:tcPr>
          <w:p w14:paraId="404F03FD" w14:textId="77777777" w:rsidR="00DF44DD" w:rsidRPr="000D3AF3" w:rsidRDefault="00DF44DD" w:rsidP="00701AB9">
            <w:pPr>
              <w:pStyle w:val="Tableheading"/>
              <w:keepLines/>
              <w:widowControl w:val="0"/>
              <w:rPr>
                <w:rFonts w:ascii="Arial Narrow" w:hAnsi="Arial Narrow"/>
              </w:rPr>
            </w:pPr>
            <w:r w:rsidRPr="000D3AF3">
              <w:rPr>
                <w:rFonts w:ascii="Arial Narrow" w:hAnsi="Arial Narrow"/>
              </w:rPr>
              <w:t>Any grade</w:t>
            </w:r>
          </w:p>
        </w:tc>
        <w:tc>
          <w:tcPr>
            <w:tcW w:w="1247" w:type="pct"/>
            <w:tcBorders>
              <w:bottom w:val="nil"/>
            </w:tcBorders>
            <w:shd w:val="clear" w:color="auto" w:fill="F2F2F2"/>
          </w:tcPr>
          <w:p w14:paraId="3258DFB2" w14:textId="77777777" w:rsidR="00DF44DD" w:rsidRPr="000D3AF3" w:rsidRDefault="00DF44DD" w:rsidP="00701AB9">
            <w:pPr>
              <w:pStyle w:val="Tableheading"/>
              <w:keepLines/>
              <w:widowControl w:val="0"/>
              <w:rPr>
                <w:rFonts w:ascii="Arial Narrow" w:hAnsi="Arial Narrow"/>
              </w:rPr>
            </w:pPr>
            <w:r w:rsidRPr="000D3AF3">
              <w:rPr>
                <w:rFonts w:ascii="Arial Narrow" w:hAnsi="Arial Narrow"/>
              </w:rPr>
              <w:t>Grade 3 or 4</w:t>
            </w:r>
          </w:p>
        </w:tc>
      </w:tr>
      <w:tr w:rsidR="00DF44DD" w:rsidRPr="000D3AF3" w14:paraId="5320B894" w14:textId="77777777" w:rsidTr="00942739">
        <w:trPr>
          <w:tblHeader/>
        </w:trPr>
        <w:tc>
          <w:tcPr>
            <w:tcW w:w="2507" w:type="pct"/>
            <w:vMerge/>
            <w:tcBorders>
              <w:bottom w:val="single" w:sz="4" w:space="0" w:color="auto"/>
            </w:tcBorders>
            <w:shd w:val="clear" w:color="auto" w:fill="F2F2F2"/>
          </w:tcPr>
          <w:p w14:paraId="5A7F5A68" w14:textId="77777777" w:rsidR="00DF44DD" w:rsidRPr="000D3AF3" w:rsidRDefault="00DF44DD" w:rsidP="00701AB9">
            <w:pPr>
              <w:pStyle w:val="Tableheading"/>
              <w:keepLines/>
              <w:widowControl w:val="0"/>
              <w:rPr>
                <w:rFonts w:ascii="Arial Narrow" w:hAnsi="Arial Narrow"/>
              </w:rPr>
            </w:pPr>
          </w:p>
        </w:tc>
        <w:tc>
          <w:tcPr>
            <w:tcW w:w="1246" w:type="pct"/>
            <w:tcBorders>
              <w:top w:val="nil"/>
              <w:bottom w:val="single" w:sz="4" w:space="0" w:color="auto"/>
            </w:tcBorders>
            <w:shd w:val="clear" w:color="auto" w:fill="F2F2F2"/>
          </w:tcPr>
          <w:p w14:paraId="62BC2EBB" w14:textId="77777777" w:rsidR="00DF44DD" w:rsidRPr="000D3AF3" w:rsidRDefault="00DF44DD" w:rsidP="00701AB9">
            <w:pPr>
              <w:pStyle w:val="Tableheading"/>
              <w:keepLines/>
              <w:widowControl w:val="0"/>
              <w:rPr>
                <w:rFonts w:ascii="Arial Narrow" w:hAnsi="Arial Narrow"/>
              </w:rPr>
            </w:pPr>
            <w:r w:rsidRPr="000D3AF3">
              <w:rPr>
                <w:rFonts w:ascii="Arial Narrow" w:hAnsi="Arial Narrow"/>
              </w:rPr>
              <w:t>%</w:t>
            </w:r>
          </w:p>
        </w:tc>
        <w:tc>
          <w:tcPr>
            <w:tcW w:w="1247" w:type="pct"/>
            <w:tcBorders>
              <w:top w:val="nil"/>
              <w:bottom w:val="single" w:sz="4" w:space="0" w:color="auto"/>
            </w:tcBorders>
            <w:shd w:val="clear" w:color="auto" w:fill="F2F2F2"/>
          </w:tcPr>
          <w:p w14:paraId="6859ABCD" w14:textId="77777777" w:rsidR="00DF44DD" w:rsidRPr="000D3AF3" w:rsidRDefault="00DF44DD" w:rsidP="00701AB9">
            <w:pPr>
              <w:pStyle w:val="Tableheading"/>
              <w:keepLines/>
              <w:widowControl w:val="0"/>
              <w:rPr>
                <w:rFonts w:ascii="Arial Narrow" w:hAnsi="Arial Narrow"/>
              </w:rPr>
            </w:pPr>
            <w:r w:rsidRPr="000D3AF3">
              <w:rPr>
                <w:rFonts w:ascii="Arial Narrow" w:hAnsi="Arial Narrow"/>
              </w:rPr>
              <w:t>%</w:t>
            </w:r>
          </w:p>
        </w:tc>
      </w:tr>
      <w:tr w:rsidR="00DF44DD" w:rsidRPr="000D3AF3" w14:paraId="7A4DDBCD" w14:textId="77777777" w:rsidTr="00942739">
        <w:tc>
          <w:tcPr>
            <w:tcW w:w="2507" w:type="pct"/>
            <w:tcBorders>
              <w:bottom w:val="single" w:sz="4" w:space="0" w:color="auto"/>
            </w:tcBorders>
          </w:tcPr>
          <w:p w14:paraId="2955EF31" w14:textId="77777777" w:rsidR="00DF44DD" w:rsidRPr="000D3AF3" w:rsidRDefault="00DF44DD" w:rsidP="00701AB9">
            <w:pPr>
              <w:pStyle w:val="Btable"/>
              <w:keepLines/>
              <w:widowControl w:val="0"/>
              <w:rPr>
                <w:rFonts w:ascii="Arial Narrow" w:hAnsi="Arial Narrow"/>
              </w:rPr>
            </w:pPr>
            <w:r w:rsidRPr="000D3AF3">
              <w:rPr>
                <w:rFonts w:ascii="Arial Narrow" w:hAnsi="Arial Narrow"/>
              </w:rPr>
              <w:t>Non-haematological AEs</w:t>
            </w:r>
          </w:p>
        </w:tc>
        <w:tc>
          <w:tcPr>
            <w:tcW w:w="1246" w:type="pct"/>
            <w:tcBorders>
              <w:bottom w:val="single" w:sz="4" w:space="0" w:color="auto"/>
            </w:tcBorders>
          </w:tcPr>
          <w:p w14:paraId="60C5F414" w14:textId="77777777" w:rsidR="00DF44DD" w:rsidRPr="000D3AF3" w:rsidRDefault="00DF44DD" w:rsidP="00701AB9">
            <w:pPr>
              <w:pStyle w:val="Btable"/>
              <w:keepLines/>
              <w:widowControl w:val="0"/>
              <w:rPr>
                <w:rFonts w:ascii="Arial Narrow" w:hAnsi="Arial Narrow"/>
              </w:rPr>
            </w:pPr>
          </w:p>
        </w:tc>
        <w:tc>
          <w:tcPr>
            <w:tcW w:w="1247" w:type="pct"/>
            <w:tcBorders>
              <w:bottom w:val="single" w:sz="4" w:space="0" w:color="auto"/>
            </w:tcBorders>
          </w:tcPr>
          <w:p w14:paraId="253195D5" w14:textId="77777777" w:rsidR="00DF44DD" w:rsidRPr="000D3AF3" w:rsidRDefault="00DF44DD" w:rsidP="00701AB9">
            <w:pPr>
              <w:pStyle w:val="Btable"/>
              <w:keepLines/>
              <w:widowControl w:val="0"/>
              <w:rPr>
                <w:rFonts w:ascii="Arial Narrow" w:hAnsi="Arial Narrow"/>
              </w:rPr>
            </w:pPr>
          </w:p>
        </w:tc>
      </w:tr>
      <w:tr w:rsidR="00DF44DD" w:rsidRPr="000D3AF3" w14:paraId="497F4404" w14:textId="77777777" w:rsidTr="00942739">
        <w:tc>
          <w:tcPr>
            <w:tcW w:w="2507" w:type="pct"/>
            <w:tcBorders>
              <w:top w:val="single" w:sz="4" w:space="0" w:color="auto"/>
              <w:bottom w:val="single" w:sz="4" w:space="0" w:color="auto"/>
            </w:tcBorders>
          </w:tcPr>
          <w:p w14:paraId="17F635FF"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Rash</w:t>
            </w:r>
          </w:p>
        </w:tc>
        <w:tc>
          <w:tcPr>
            <w:tcW w:w="1246" w:type="pct"/>
            <w:tcBorders>
              <w:top w:val="single" w:sz="4" w:space="0" w:color="auto"/>
              <w:bottom w:val="single" w:sz="4" w:space="0" w:color="auto"/>
            </w:tcBorders>
            <w:vAlign w:val="bottom"/>
          </w:tcPr>
          <w:p w14:paraId="5B82281D"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48</w:t>
            </w:r>
          </w:p>
        </w:tc>
        <w:tc>
          <w:tcPr>
            <w:tcW w:w="1247" w:type="pct"/>
            <w:tcBorders>
              <w:top w:val="single" w:sz="4" w:space="0" w:color="auto"/>
              <w:bottom w:val="single" w:sz="4" w:space="0" w:color="auto"/>
            </w:tcBorders>
            <w:vAlign w:val="bottom"/>
          </w:tcPr>
          <w:p w14:paraId="2B49CE62"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6</w:t>
            </w:r>
          </w:p>
        </w:tc>
      </w:tr>
      <w:tr w:rsidR="00DF44DD" w:rsidRPr="000D3AF3" w14:paraId="2563C7E7" w14:textId="77777777" w:rsidTr="00942739">
        <w:tc>
          <w:tcPr>
            <w:tcW w:w="2507" w:type="pct"/>
            <w:tcBorders>
              <w:top w:val="single" w:sz="4" w:space="0" w:color="auto"/>
              <w:bottom w:val="single" w:sz="4" w:space="0" w:color="auto"/>
            </w:tcBorders>
          </w:tcPr>
          <w:p w14:paraId="3261330F"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Dry skin</w:t>
            </w:r>
          </w:p>
        </w:tc>
        <w:tc>
          <w:tcPr>
            <w:tcW w:w="1246" w:type="pct"/>
            <w:tcBorders>
              <w:top w:val="single" w:sz="4" w:space="0" w:color="auto"/>
              <w:bottom w:val="single" w:sz="4" w:space="0" w:color="auto"/>
            </w:tcBorders>
            <w:vAlign w:val="bottom"/>
          </w:tcPr>
          <w:p w14:paraId="55F0859D"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41</w:t>
            </w:r>
          </w:p>
        </w:tc>
        <w:tc>
          <w:tcPr>
            <w:tcW w:w="1247" w:type="pct"/>
            <w:tcBorders>
              <w:top w:val="single" w:sz="4" w:space="0" w:color="auto"/>
              <w:bottom w:val="single" w:sz="4" w:space="0" w:color="auto"/>
            </w:tcBorders>
            <w:vAlign w:val="bottom"/>
          </w:tcPr>
          <w:p w14:paraId="0742B699"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2</w:t>
            </w:r>
          </w:p>
        </w:tc>
      </w:tr>
      <w:tr w:rsidR="00DF44DD" w:rsidRPr="000D3AF3" w14:paraId="2828785C" w14:textId="77777777" w:rsidTr="00942739">
        <w:tc>
          <w:tcPr>
            <w:tcW w:w="2507" w:type="pct"/>
            <w:tcBorders>
              <w:top w:val="single" w:sz="4" w:space="0" w:color="auto"/>
              <w:bottom w:val="single" w:sz="4" w:space="0" w:color="auto"/>
            </w:tcBorders>
          </w:tcPr>
          <w:p w14:paraId="7FF8A4DB"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Abdominal pain</w:t>
            </w:r>
          </w:p>
        </w:tc>
        <w:tc>
          <w:tcPr>
            <w:tcW w:w="1246" w:type="pct"/>
            <w:tcBorders>
              <w:top w:val="single" w:sz="4" w:space="0" w:color="auto"/>
              <w:bottom w:val="single" w:sz="4" w:space="0" w:color="auto"/>
            </w:tcBorders>
            <w:vAlign w:val="bottom"/>
          </w:tcPr>
          <w:p w14:paraId="00D971C1"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22</w:t>
            </w:r>
          </w:p>
        </w:tc>
        <w:tc>
          <w:tcPr>
            <w:tcW w:w="1247" w:type="pct"/>
            <w:tcBorders>
              <w:top w:val="single" w:sz="4" w:space="0" w:color="auto"/>
              <w:bottom w:val="single" w:sz="4" w:space="0" w:color="auto"/>
            </w:tcBorders>
            <w:vAlign w:val="bottom"/>
          </w:tcPr>
          <w:p w14:paraId="30EDA6E5"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5</w:t>
            </w:r>
          </w:p>
        </w:tc>
      </w:tr>
      <w:tr w:rsidR="00DF44DD" w:rsidRPr="000D3AF3" w14:paraId="15ABDB13" w14:textId="77777777" w:rsidTr="00942739">
        <w:tc>
          <w:tcPr>
            <w:tcW w:w="2507" w:type="pct"/>
            <w:tcBorders>
              <w:top w:val="single" w:sz="4" w:space="0" w:color="auto"/>
              <w:bottom w:val="single" w:sz="4" w:space="0" w:color="auto"/>
            </w:tcBorders>
          </w:tcPr>
          <w:p w14:paraId="339E263F"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Headache</w:t>
            </w:r>
          </w:p>
        </w:tc>
        <w:tc>
          <w:tcPr>
            <w:tcW w:w="1246" w:type="pct"/>
            <w:tcBorders>
              <w:top w:val="single" w:sz="4" w:space="0" w:color="auto"/>
              <w:bottom w:val="single" w:sz="4" w:space="0" w:color="auto"/>
            </w:tcBorders>
            <w:vAlign w:val="bottom"/>
          </w:tcPr>
          <w:p w14:paraId="552DFF49"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19</w:t>
            </w:r>
          </w:p>
        </w:tc>
        <w:tc>
          <w:tcPr>
            <w:tcW w:w="1247" w:type="pct"/>
            <w:tcBorders>
              <w:top w:val="single" w:sz="4" w:space="0" w:color="auto"/>
              <w:bottom w:val="single" w:sz="4" w:space="0" w:color="auto"/>
            </w:tcBorders>
            <w:vAlign w:val="bottom"/>
          </w:tcPr>
          <w:p w14:paraId="60A78526"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2</w:t>
            </w:r>
          </w:p>
        </w:tc>
      </w:tr>
      <w:tr w:rsidR="00DF44DD" w:rsidRPr="000D3AF3" w14:paraId="4B5829A8" w14:textId="77777777" w:rsidTr="00942739">
        <w:tc>
          <w:tcPr>
            <w:tcW w:w="2507" w:type="pct"/>
            <w:tcBorders>
              <w:top w:val="single" w:sz="4" w:space="0" w:color="auto"/>
              <w:bottom w:val="single" w:sz="4" w:space="0" w:color="auto"/>
            </w:tcBorders>
          </w:tcPr>
          <w:p w14:paraId="7D001A53"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Increased lipase</w:t>
            </w:r>
          </w:p>
        </w:tc>
        <w:tc>
          <w:tcPr>
            <w:tcW w:w="1246" w:type="pct"/>
            <w:tcBorders>
              <w:top w:val="single" w:sz="4" w:space="0" w:color="auto"/>
              <w:bottom w:val="single" w:sz="4" w:space="0" w:color="auto"/>
            </w:tcBorders>
            <w:vAlign w:val="bottom"/>
          </w:tcPr>
          <w:p w14:paraId="07FEEBB9"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14</w:t>
            </w:r>
          </w:p>
        </w:tc>
        <w:tc>
          <w:tcPr>
            <w:tcW w:w="1247" w:type="pct"/>
            <w:tcBorders>
              <w:top w:val="single" w:sz="4" w:space="0" w:color="auto"/>
              <w:bottom w:val="single" w:sz="4" w:space="0" w:color="auto"/>
            </w:tcBorders>
            <w:vAlign w:val="bottom"/>
          </w:tcPr>
          <w:p w14:paraId="59A5DE90"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6</w:t>
            </w:r>
          </w:p>
        </w:tc>
      </w:tr>
      <w:tr w:rsidR="00DF44DD" w:rsidRPr="000D3AF3" w14:paraId="4209E684" w14:textId="77777777" w:rsidTr="00942739">
        <w:tc>
          <w:tcPr>
            <w:tcW w:w="2507" w:type="pct"/>
            <w:tcBorders>
              <w:top w:val="single" w:sz="4" w:space="0" w:color="auto"/>
              <w:bottom w:val="single" w:sz="4" w:space="0" w:color="auto"/>
            </w:tcBorders>
          </w:tcPr>
          <w:p w14:paraId="1042E8BA"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Fatigue</w:t>
            </w:r>
          </w:p>
        </w:tc>
        <w:tc>
          <w:tcPr>
            <w:tcW w:w="1246" w:type="pct"/>
            <w:tcBorders>
              <w:top w:val="single" w:sz="4" w:space="0" w:color="auto"/>
              <w:bottom w:val="single" w:sz="4" w:space="0" w:color="auto"/>
            </w:tcBorders>
            <w:vAlign w:val="bottom"/>
          </w:tcPr>
          <w:p w14:paraId="71E6E11D"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22</w:t>
            </w:r>
          </w:p>
        </w:tc>
        <w:tc>
          <w:tcPr>
            <w:tcW w:w="1247" w:type="pct"/>
            <w:tcBorders>
              <w:top w:val="single" w:sz="4" w:space="0" w:color="auto"/>
              <w:bottom w:val="single" w:sz="4" w:space="0" w:color="auto"/>
            </w:tcBorders>
            <w:vAlign w:val="bottom"/>
          </w:tcPr>
          <w:p w14:paraId="4157028E"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0</w:t>
            </w:r>
          </w:p>
        </w:tc>
      </w:tr>
      <w:tr w:rsidR="00DF44DD" w:rsidRPr="000D3AF3" w14:paraId="32C5D04C" w14:textId="77777777" w:rsidTr="00942739">
        <w:tc>
          <w:tcPr>
            <w:tcW w:w="2507" w:type="pct"/>
            <w:tcBorders>
              <w:top w:val="single" w:sz="4" w:space="0" w:color="auto"/>
              <w:bottom w:val="single" w:sz="4" w:space="0" w:color="auto"/>
            </w:tcBorders>
          </w:tcPr>
          <w:p w14:paraId="10DD2322"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Constipation</w:t>
            </w:r>
          </w:p>
        </w:tc>
        <w:tc>
          <w:tcPr>
            <w:tcW w:w="1246" w:type="pct"/>
            <w:tcBorders>
              <w:top w:val="single" w:sz="4" w:space="0" w:color="auto"/>
              <w:bottom w:val="single" w:sz="4" w:space="0" w:color="auto"/>
            </w:tcBorders>
            <w:vAlign w:val="bottom"/>
          </w:tcPr>
          <w:p w14:paraId="0E998647"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14</w:t>
            </w:r>
          </w:p>
        </w:tc>
        <w:tc>
          <w:tcPr>
            <w:tcW w:w="1247" w:type="pct"/>
            <w:tcBorders>
              <w:top w:val="single" w:sz="4" w:space="0" w:color="auto"/>
              <w:bottom w:val="single" w:sz="4" w:space="0" w:color="auto"/>
            </w:tcBorders>
            <w:vAlign w:val="bottom"/>
          </w:tcPr>
          <w:p w14:paraId="32C10ABD"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2</w:t>
            </w:r>
          </w:p>
        </w:tc>
      </w:tr>
      <w:tr w:rsidR="00DF44DD" w:rsidRPr="000D3AF3" w14:paraId="58FB960D" w14:textId="77777777" w:rsidTr="00942739">
        <w:tc>
          <w:tcPr>
            <w:tcW w:w="2507" w:type="pct"/>
            <w:tcBorders>
              <w:top w:val="single" w:sz="4" w:space="0" w:color="auto"/>
              <w:bottom w:val="single" w:sz="4" w:space="0" w:color="auto"/>
            </w:tcBorders>
          </w:tcPr>
          <w:p w14:paraId="69D4D311"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Myalgia</w:t>
            </w:r>
          </w:p>
        </w:tc>
        <w:tc>
          <w:tcPr>
            <w:tcW w:w="1246" w:type="pct"/>
            <w:tcBorders>
              <w:top w:val="single" w:sz="4" w:space="0" w:color="auto"/>
              <w:bottom w:val="single" w:sz="4" w:space="0" w:color="auto"/>
            </w:tcBorders>
            <w:vAlign w:val="bottom"/>
          </w:tcPr>
          <w:p w14:paraId="24B21CC0"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25</w:t>
            </w:r>
          </w:p>
        </w:tc>
        <w:tc>
          <w:tcPr>
            <w:tcW w:w="1247" w:type="pct"/>
            <w:tcBorders>
              <w:top w:val="single" w:sz="4" w:space="0" w:color="auto"/>
              <w:bottom w:val="single" w:sz="4" w:space="0" w:color="auto"/>
            </w:tcBorders>
            <w:vAlign w:val="bottom"/>
          </w:tcPr>
          <w:p w14:paraId="6005C8F7"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2</w:t>
            </w:r>
          </w:p>
        </w:tc>
      </w:tr>
      <w:tr w:rsidR="00DF44DD" w:rsidRPr="000D3AF3" w14:paraId="55E32E12" w14:textId="77777777" w:rsidTr="00942739">
        <w:tc>
          <w:tcPr>
            <w:tcW w:w="2507" w:type="pct"/>
            <w:tcBorders>
              <w:top w:val="single" w:sz="4" w:space="0" w:color="auto"/>
              <w:bottom w:val="single" w:sz="4" w:space="0" w:color="auto"/>
            </w:tcBorders>
          </w:tcPr>
          <w:p w14:paraId="46B86742"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Arthralgia</w:t>
            </w:r>
          </w:p>
        </w:tc>
        <w:tc>
          <w:tcPr>
            <w:tcW w:w="1246" w:type="pct"/>
            <w:tcBorders>
              <w:top w:val="single" w:sz="4" w:space="0" w:color="auto"/>
              <w:bottom w:val="single" w:sz="4" w:space="0" w:color="auto"/>
            </w:tcBorders>
            <w:vAlign w:val="bottom"/>
          </w:tcPr>
          <w:p w14:paraId="2B5E3674"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14</w:t>
            </w:r>
          </w:p>
        </w:tc>
        <w:tc>
          <w:tcPr>
            <w:tcW w:w="1247" w:type="pct"/>
            <w:tcBorders>
              <w:top w:val="single" w:sz="4" w:space="0" w:color="auto"/>
              <w:bottom w:val="single" w:sz="4" w:space="0" w:color="auto"/>
            </w:tcBorders>
            <w:vAlign w:val="bottom"/>
          </w:tcPr>
          <w:p w14:paraId="585BD40F"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3</w:t>
            </w:r>
          </w:p>
        </w:tc>
      </w:tr>
      <w:tr w:rsidR="00DF44DD" w:rsidRPr="000D3AF3" w14:paraId="2A8470C5" w14:textId="77777777" w:rsidTr="00942739">
        <w:tc>
          <w:tcPr>
            <w:tcW w:w="2507" w:type="pct"/>
            <w:tcBorders>
              <w:top w:val="single" w:sz="4" w:space="0" w:color="auto"/>
              <w:bottom w:val="single" w:sz="4" w:space="0" w:color="auto"/>
            </w:tcBorders>
          </w:tcPr>
          <w:p w14:paraId="076B5497"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Nausea</w:t>
            </w:r>
          </w:p>
        </w:tc>
        <w:tc>
          <w:tcPr>
            <w:tcW w:w="1246" w:type="pct"/>
            <w:tcBorders>
              <w:top w:val="single" w:sz="4" w:space="0" w:color="auto"/>
              <w:bottom w:val="single" w:sz="4" w:space="0" w:color="auto"/>
            </w:tcBorders>
            <w:vAlign w:val="bottom"/>
          </w:tcPr>
          <w:p w14:paraId="3B98D57C"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16</w:t>
            </w:r>
          </w:p>
        </w:tc>
        <w:tc>
          <w:tcPr>
            <w:tcW w:w="1247" w:type="pct"/>
            <w:tcBorders>
              <w:top w:val="single" w:sz="4" w:space="0" w:color="auto"/>
              <w:bottom w:val="single" w:sz="4" w:space="0" w:color="auto"/>
            </w:tcBorders>
            <w:vAlign w:val="bottom"/>
          </w:tcPr>
          <w:p w14:paraId="7142CB76"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0</w:t>
            </w:r>
          </w:p>
        </w:tc>
      </w:tr>
      <w:tr w:rsidR="00DF44DD" w:rsidRPr="000D3AF3" w14:paraId="0BE602F5" w14:textId="77777777" w:rsidTr="00942739">
        <w:tc>
          <w:tcPr>
            <w:tcW w:w="2507" w:type="pct"/>
            <w:tcBorders>
              <w:top w:val="single" w:sz="4" w:space="0" w:color="auto"/>
              <w:bottom w:val="single" w:sz="4" w:space="0" w:color="auto"/>
            </w:tcBorders>
          </w:tcPr>
          <w:p w14:paraId="35E6F5A2"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Increased ALT</w:t>
            </w:r>
          </w:p>
        </w:tc>
        <w:tc>
          <w:tcPr>
            <w:tcW w:w="1246" w:type="pct"/>
            <w:tcBorders>
              <w:top w:val="single" w:sz="4" w:space="0" w:color="auto"/>
              <w:bottom w:val="single" w:sz="4" w:space="0" w:color="auto"/>
            </w:tcBorders>
            <w:vAlign w:val="bottom"/>
          </w:tcPr>
          <w:p w14:paraId="786A06F0"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9</w:t>
            </w:r>
          </w:p>
        </w:tc>
        <w:tc>
          <w:tcPr>
            <w:tcW w:w="1247" w:type="pct"/>
            <w:tcBorders>
              <w:top w:val="single" w:sz="4" w:space="0" w:color="auto"/>
              <w:bottom w:val="single" w:sz="4" w:space="0" w:color="auto"/>
            </w:tcBorders>
            <w:vAlign w:val="bottom"/>
          </w:tcPr>
          <w:p w14:paraId="16992325"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0</w:t>
            </w:r>
          </w:p>
        </w:tc>
      </w:tr>
      <w:tr w:rsidR="00DF44DD" w:rsidRPr="000D3AF3" w14:paraId="193602E9" w14:textId="77777777" w:rsidTr="00942739">
        <w:tc>
          <w:tcPr>
            <w:tcW w:w="2507" w:type="pct"/>
            <w:tcBorders>
              <w:top w:val="single" w:sz="4" w:space="0" w:color="auto"/>
              <w:bottom w:val="single" w:sz="4" w:space="0" w:color="auto"/>
            </w:tcBorders>
          </w:tcPr>
          <w:p w14:paraId="120C338B"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Pancreatitis</w:t>
            </w:r>
          </w:p>
        </w:tc>
        <w:tc>
          <w:tcPr>
            <w:tcW w:w="1246" w:type="pct"/>
            <w:tcBorders>
              <w:top w:val="single" w:sz="4" w:space="0" w:color="auto"/>
              <w:bottom w:val="single" w:sz="4" w:space="0" w:color="auto"/>
            </w:tcBorders>
            <w:vAlign w:val="bottom"/>
          </w:tcPr>
          <w:p w14:paraId="79221A5C"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8</w:t>
            </w:r>
          </w:p>
        </w:tc>
        <w:tc>
          <w:tcPr>
            <w:tcW w:w="1247" w:type="pct"/>
            <w:tcBorders>
              <w:top w:val="single" w:sz="4" w:space="0" w:color="auto"/>
              <w:bottom w:val="single" w:sz="4" w:space="0" w:color="auto"/>
            </w:tcBorders>
            <w:vAlign w:val="bottom"/>
          </w:tcPr>
          <w:p w14:paraId="2C5A2479"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8</w:t>
            </w:r>
          </w:p>
        </w:tc>
      </w:tr>
      <w:tr w:rsidR="00DF44DD" w:rsidRPr="000D3AF3" w14:paraId="014194C8" w14:textId="77777777" w:rsidTr="00942739">
        <w:tc>
          <w:tcPr>
            <w:tcW w:w="2507" w:type="pct"/>
            <w:tcBorders>
              <w:top w:val="single" w:sz="4" w:space="0" w:color="auto"/>
              <w:bottom w:val="single" w:sz="4" w:space="0" w:color="auto"/>
            </w:tcBorders>
          </w:tcPr>
          <w:p w14:paraId="481A6D06"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Hypertension</w:t>
            </w:r>
          </w:p>
        </w:tc>
        <w:tc>
          <w:tcPr>
            <w:tcW w:w="1246" w:type="pct"/>
            <w:tcBorders>
              <w:top w:val="single" w:sz="4" w:space="0" w:color="auto"/>
              <w:bottom w:val="single" w:sz="4" w:space="0" w:color="auto"/>
            </w:tcBorders>
            <w:vAlign w:val="bottom"/>
          </w:tcPr>
          <w:p w14:paraId="38D56ADA"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9</w:t>
            </w:r>
          </w:p>
        </w:tc>
        <w:tc>
          <w:tcPr>
            <w:tcW w:w="1247" w:type="pct"/>
            <w:tcBorders>
              <w:top w:val="single" w:sz="4" w:space="0" w:color="auto"/>
              <w:bottom w:val="single" w:sz="4" w:space="0" w:color="auto"/>
            </w:tcBorders>
            <w:vAlign w:val="bottom"/>
          </w:tcPr>
          <w:p w14:paraId="6E7107B5"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3</w:t>
            </w:r>
          </w:p>
        </w:tc>
      </w:tr>
      <w:tr w:rsidR="00DF44DD" w:rsidRPr="000D3AF3" w14:paraId="3EE48AE9" w14:textId="77777777" w:rsidTr="00942739">
        <w:tc>
          <w:tcPr>
            <w:tcW w:w="2507" w:type="pct"/>
            <w:tcBorders>
              <w:top w:val="single" w:sz="4" w:space="0" w:color="auto"/>
              <w:bottom w:val="single" w:sz="4" w:space="0" w:color="auto"/>
            </w:tcBorders>
          </w:tcPr>
          <w:p w14:paraId="4BF57108"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Increased AST</w:t>
            </w:r>
          </w:p>
        </w:tc>
        <w:tc>
          <w:tcPr>
            <w:tcW w:w="1246" w:type="pct"/>
            <w:tcBorders>
              <w:top w:val="single" w:sz="4" w:space="0" w:color="auto"/>
              <w:bottom w:val="single" w:sz="4" w:space="0" w:color="auto"/>
            </w:tcBorders>
            <w:vAlign w:val="bottom"/>
          </w:tcPr>
          <w:p w14:paraId="21FE187A"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8</w:t>
            </w:r>
          </w:p>
        </w:tc>
        <w:tc>
          <w:tcPr>
            <w:tcW w:w="1247" w:type="pct"/>
            <w:tcBorders>
              <w:top w:val="single" w:sz="4" w:space="0" w:color="auto"/>
              <w:bottom w:val="single" w:sz="4" w:space="0" w:color="auto"/>
            </w:tcBorders>
            <w:vAlign w:val="bottom"/>
          </w:tcPr>
          <w:p w14:paraId="2BFDB3B9"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0</w:t>
            </w:r>
          </w:p>
        </w:tc>
      </w:tr>
      <w:tr w:rsidR="00DF44DD" w:rsidRPr="000D3AF3" w14:paraId="1F86F5F6" w14:textId="77777777" w:rsidTr="00942739">
        <w:tc>
          <w:tcPr>
            <w:tcW w:w="2507" w:type="pct"/>
            <w:tcBorders>
              <w:top w:val="single" w:sz="4" w:space="0" w:color="auto"/>
              <w:bottom w:val="single" w:sz="4" w:space="0" w:color="auto"/>
            </w:tcBorders>
          </w:tcPr>
          <w:p w14:paraId="60B1EA27"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Increased blood amylase</w:t>
            </w:r>
          </w:p>
        </w:tc>
        <w:tc>
          <w:tcPr>
            <w:tcW w:w="1246" w:type="pct"/>
            <w:tcBorders>
              <w:top w:val="single" w:sz="4" w:space="0" w:color="auto"/>
              <w:bottom w:val="single" w:sz="4" w:space="0" w:color="auto"/>
            </w:tcBorders>
            <w:vAlign w:val="bottom"/>
          </w:tcPr>
          <w:p w14:paraId="2470CE62"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2</w:t>
            </w:r>
          </w:p>
        </w:tc>
        <w:tc>
          <w:tcPr>
            <w:tcW w:w="1247" w:type="pct"/>
            <w:tcBorders>
              <w:top w:val="single" w:sz="4" w:space="0" w:color="auto"/>
              <w:bottom w:val="single" w:sz="4" w:space="0" w:color="auto"/>
            </w:tcBorders>
            <w:vAlign w:val="bottom"/>
          </w:tcPr>
          <w:p w14:paraId="16AA54E1"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0</w:t>
            </w:r>
          </w:p>
        </w:tc>
      </w:tr>
      <w:tr w:rsidR="00DF44DD" w:rsidRPr="000D3AF3" w14:paraId="26A872D0" w14:textId="77777777" w:rsidTr="00942739">
        <w:tc>
          <w:tcPr>
            <w:tcW w:w="2507" w:type="pct"/>
            <w:tcBorders>
              <w:top w:val="single" w:sz="4" w:space="0" w:color="auto"/>
              <w:bottom w:val="single" w:sz="4" w:space="0" w:color="auto"/>
            </w:tcBorders>
          </w:tcPr>
          <w:p w14:paraId="17969704"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Increased GGT</w:t>
            </w:r>
          </w:p>
        </w:tc>
        <w:tc>
          <w:tcPr>
            <w:tcW w:w="1246" w:type="pct"/>
            <w:tcBorders>
              <w:top w:val="single" w:sz="4" w:space="0" w:color="auto"/>
              <w:bottom w:val="single" w:sz="4" w:space="0" w:color="auto"/>
            </w:tcBorders>
            <w:vAlign w:val="bottom"/>
          </w:tcPr>
          <w:p w14:paraId="072C3439"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2</w:t>
            </w:r>
          </w:p>
        </w:tc>
        <w:tc>
          <w:tcPr>
            <w:tcW w:w="1247" w:type="pct"/>
            <w:tcBorders>
              <w:top w:val="single" w:sz="4" w:space="0" w:color="auto"/>
              <w:bottom w:val="single" w:sz="4" w:space="0" w:color="auto"/>
            </w:tcBorders>
            <w:vAlign w:val="bottom"/>
          </w:tcPr>
          <w:p w14:paraId="45DC11EC"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0</w:t>
            </w:r>
          </w:p>
        </w:tc>
      </w:tr>
      <w:tr w:rsidR="00DF44DD" w:rsidRPr="000D3AF3" w14:paraId="7F8567D1" w14:textId="77777777" w:rsidTr="00942739">
        <w:tc>
          <w:tcPr>
            <w:tcW w:w="2507" w:type="pct"/>
            <w:tcBorders>
              <w:top w:val="single" w:sz="4" w:space="0" w:color="auto"/>
              <w:bottom w:val="single" w:sz="4" w:space="0" w:color="auto"/>
            </w:tcBorders>
          </w:tcPr>
          <w:p w14:paraId="27495481"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Dyspnoea</w:t>
            </w:r>
          </w:p>
        </w:tc>
        <w:tc>
          <w:tcPr>
            <w:tcW w:w="1246" w:type="pct"/>
            <w:tcBorders>
              <w:top w:val="single" w:sz="4" w:space="0" w:color="auto"/>
              <w:bottom w:val="single" w:sz="4" w:space="0" w:color="auto"/>
            </w:tcBorders>
            <w:vAlign w:val="bottom"/>
          </w:tcPr>
          <w:p w14:paraId="433BA285"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5</w:t>
            </w:r>
          </w:p>
        </w:tc>
        <w:tc>
          <w:tcPr>
            <w:tcW w:w="1247" w:type="pct"/>
            <w:tcBorders>
              <w:top w:val="single" w:sz="4" w:space="0" w:color="auto"/>
              <w:bottom w:val="single" w:sz="4" w:space="0" w:color="auto"/>
            </w:tcBorders>
            <w:vAlign w:val="bottom"/>
          </w:tcPr>
          <w:p w14:paraId="61D690FF"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0</w:t>
            </w:r>
          </w:p>
        </w:tc>
      </w:tr>
      <w:tr w:rsidR="00DF44DD" w:rsidRPr="000D3AF3" w14:paraId="2BDB9A77" w14:textId="77777777" w:rsidTr="00942739">
        <w:tc>
          <w:tcPr>
            <w:tcW w:w="2507" w:type="pct"/>
            <w:tcBorders>
              <w:top w:val="single" w:sz="4" w:space="0" w:color="auto"/>
              <w:bottom w:val="single" w:sz="4" w:space="0" w:color="auto"/>
            </w:tcBorders>
          </w:tcPr>
          <w:p w14:paraId="3BECAD52"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Cardiac failure</w:t>
            </w:r>
          </w:p>
        </w:tc>
        <w:tc>
          <w:tcPr>
            <w:tcW w:w="1246" w:type="pct"/>
            <w:tcBorders>
              <w:top w:val="single" w:sz="4" w:space="0" w:color="auto"/>
              <w:bottom w:val="single" w:sz="4" w:space="0" w:color="auto"/>
            </w:tcBorders>
            <w:vAlign w:val="bottom"/>
          </w:tcPr>
          <w:p w14:paraId="01C1E7F4"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3</w:t>
            </w:r>
          </w:p>
        </w:tc>
        <w:tc>
          <w:tcPr>
            <w:tcW w:w="1247" w:type="pct"/>
            <w:tcBorders>
              <w:top w:val="single" w:sz="4" w:space="0" w:color="auto"/>
              <w:bottom w:val="single" w:sz="4" w:space="0" w:color="auto"/>
            </w:tcBorders>
            <w:vAlign w:val="bottom"/>
          </w:tcPr>
          <w:p w14:paraId="06EC21DC"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2</w:t>
            </w:r>
          </w:p>
        </w:tc>
      </w:tr>
      <w:tr w:rsidR="00DF44DD" w:rsidRPr="000D3AF3" w14:paraId="0030CAD7" w14:textId="77777777" w:rsidTr="00942739">
        <w:tc>
          <w:tcPr>
            <w:tcW w:w="2507" w:type="pct"/>
            <w:tcBorders>
              <w:top w:val="single" w:sz="4" w:space="0" w:color="auto"/>
              <w:bottom w:val="single" w:sz="4" w:space="0" w:color="auto"/>
            </w:tcBorders>
          </w:tcPr>
          <w:p w14:paraId="22C191C7" w14:textId="77777777" w:rsidR="00DF44DD" w:rsidRPr="000D3AF3" w:rsidRDefault="00DF44DD" w:rsidP="00701AB9">
            <w:pPr>
              <w:pStyle w:val="Btable"/>
              <w:keepLines/>
              <w:widowControl w:val="0"/>
              <w:rPr>
                <w:rFonts w:ascii="Arial Narrow" w:hAnsi="Arial Narrow"/>
              </w:rPr>
            </w:pPr>
            <w:r w:rsidRPr="000D3AF3">
              <w:rPr>
                <w:rFonts w:ascii="Arial Narrow" w:hAnsi="Arial Narrow"/>
              </w:rPr>
              <w:t>Haematological AEs</w:t>
            </w:r>
          </w:p>
        </w:tc>
        <w:tc>
          <w:tcPr>
            <w:tcW w:w="1246" w:type="pct"/>
            <w:tcBorders>
              <w:top w:val="single" w:sz="4" w:space="0" w:color="auto"/>
              <w:bottom w:val="single" w:sz="4" w:space="0" w:color="auto"/>
            </w:tcBorders>
            <w:vAlign w:val="bottom"/>
          </w:tcPr>
          <w:p w14:paraId="77023F9E" w14:textId="77777777" w:rsidR="00DF44DD" w:rsidRPr="000D3AF3" w:rsidRDefault="00DF44DD" w:rsidP="00701AB9">
            <w:pPr>
              <w:pStyle w:val="Tablecentre"/>
              <w:keepLines/>
              <w:widowControl w:val="0"/>
              <w:rPr>
                <w:rFonts w:ascii="Arial Narrow" w:hAnsi="Arial Narrow"/>
              </w:rPr>
            </w:pPr>
          </w:p>
        </w:tc>
        <w:tc>
          <w:tcPr>
            <w:tcW w:w="1247" w:type="pct"/>
            <w:tcBorders>
              <w:top w:val="single" w:sz="4" w:space="0" w:color="auto"/>
              <w:bottom w:val="single" w:sz="4" w:space="0" w:color="auto"/>
            </w:tcBorders>
            <w:vAlign w:val="bottom"/>
          </w:tcPr>
          <w:p w14:paraId="2C4F7B0F" w14:textId="77777777" w:rsidR="00DF44DD" w:rsidRPr="000D3AF3" w:rsidRDefault="00DF44DD" w:rsidP="00701AB9">
            <w:pPr>
              <w:pStyle w:val="Tablecentre"/>
              <w:keepLines/>
              <w:widowControl w:val="0"/>
              <w:rPr>
                <w:rFonts w:ascii="Arial Narrow" w:hAnsi="Arial Narrow"/>
              </w:rPr>
            </w:pPr>
          </w:p>
        </w:tc>
      </w:tr>
      <w:tr w:rsidR="00DF44DD" w:rsidRPr="000D3AF3" w14:paraId="6A84FAB2" w14:textId="77777777" w:rsidTr="00942739">
        <w:tc>
          <w:tcPr>
            <w:tcW w:w="2507" w:type="pct"/>
            <w:tcBorders>
              <w:top w:val="single" w:sz="4" w:space="0" w:color="auto"/>
              <w:bottom w:val="single" w:sz="4" w:space="0" w:color="auto"/>
            </w:tcBorders>
          </w:tcPr>
          <w:p w14:paraId="6AE24C28"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Thrombocytopenia</w:t>
            </w:r>
          </w:p>
        </w:tc>
        <w:tc>
          <w:tcPr>
            <w:tcW w:w="1246" w:type="pct"/>
            <w:tcBorders>
              <w:top w:val="single" w:sz="4" w:space="0" w:color="auto"/>
              <w:bottom w:val="single" w:sz="4" w:space="0" w:color="auto"/>
            </w:tcBorders>
            <w:vAlign w:val="bottom"/>
          </w:tcPr>
          <w:p w14:paraId="06908143"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23</w:t>
            </w:r>
          </w:p>
        </w:tc>
        <w:tc>
          <w:tcPr>
            <w:tcW w:w="1247" w:type="pct"/>
            <w:tcBorders>
              <w:top w:val="single" w:sz="4" w:space="0" w:color="auto"/>
              <w:bottom w:val="single" w:sz="4" w:space="0" w:color="auto"/>
            </w:tcBorders>
            <w:vAlign w:val="bottom"/>
          </w:tcPr>
          <w:p w14:paraId="70BBAA66"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17</w:t>
            </w:r>
          </w:p>
        </w:tc>
      </w:tr>
      <w:tr w:rsidR="00DF44DD" w:rsidRPr="000D3AF3" w14:paraId="2578C171" w14:textId="77777777" w:rsidTr="00942739">
        <w:tc>
          <w:tcPr>
            <w:tcW w:w="2507" w:type="pct"/>
            <w:tcBorders>
              <w:top w:val="single" w:sz="4" w:space="0" w:color="auto"/>
              <w:bottom w:val="single" w:sz="4" w:space="0" w:color="auto"/>
            </w:tcBorders>
          </w:tcPr>
          <w:p w14:paraId="0A927162"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Neutropenia</w:t>
            </w:r>
          </w:p>
        </w:tc>
        <w:tc>
          <w:tcPr>
            <w:tcW w:w="1246" w:type="pct"/>
            <w:tcBorders>
              <w:top w:val="single" w:sz="4" w:space="0" w:color="auto"/>
              <w:bottom w:val="single" w:sz="4" w:space="0" w:color="auto"/>
            </w:tcBorders>
            <w:vAlign w:val="bottom"/>
          </w:tcPr>
          <w:p w14:paraId="2F14739A"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5</w:t>
            </w:r>
          </w:p>
        </w:tc>
        <w:tc>
          <w:tcPr>
            <w:tcW w:w="1247" w:type="pct"/>
            <w:tcBorders>
              <w:top w:val="single" w:sz="4" w:space="0" w:color="auto"/>
              <w:bottom w:val="single" w:sz="4" w:space="0" w:color="auto"/>
            </w:tcBorders>
            <w:vAlign w:val="bottom"/>
          </w:tcPr>
          <w:p w14:paraId="3EA39ADC"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5</w:t>
            </w:r>
          </w:p>
        </w:tc>
      </w:tr>
      <w:tr w:rsidR="00DF44DD" w:rsidRPr="000D3AF3" w14:paraId="23158189" w14:textId="77777777" w:rsidTr="00942739">
        <w:tc>
          <w:tcPr>
            <w:tcW w:w="2507" w:type="pct"/>
            <w:tcBorders>
              <w:top w:val="single" w:sz="4" w:space="0" w:color="auto"/>
              <w:bottom w:val="single" w:sz="4" w:space="0" w:color="auto"/>
            </w:tcBorders>
          </w:tcPr>
          <w:p w14:paraId="24A1C586"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Anaemia</w:t>
            </w:r>
          </w:p>
        </w:tc>
        <w:tc>
          <w:tcPr>
            <w:tcW w:w="1246" w:type="pct"/>
            <w:tcBorders>
              <w:top w:val="single" w:sz="4" w:space="0" w:color="auto"/>
              <w:bottom w:val="single" w:sz="4" w:space="0" w:color="auto"/>
            </w:tcBorders>
            <w:vAlign w:val="bottom"/>
          </w:tcPr>
          <w:p w14:paraId="6D23655E"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3</w:t>
            </w:r>
          </w:p>
        </w:tc>
        <w:tc>
          <w:tcPr>
            <w:tcW w:w="1247" w:type="pct"/>
            <w:tcBorders>
              <w:top w:val="single" w:sz="4" w:space="0" w:color="auto"/>
              <w:bottom w:val="single" w:sz="4" w:space="0" w:color="auto"/>
            </w:tcBorders>
            <w:vAlign w:val="bottom"/>
          </w:tcPr>
          <w:p w14:paraId="01F4B021"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2</w:t>
            </w:r>
          </w:p>
        </w:tc>
      </w:tr>
      <w:tr w:rsidR="00DF44DD" w:rsidRPr="000D3AF3" w14:paraId="61C76A21" w14:textId="77777777" w:rsidTr="00942739">
        <w:tc>
          <w:tcPr>
            <w:tcW w:w="2507" w:type="pct"/>
            <w:tcBorders>
              <w:top w:val="single" w:sz="4" w:space="0" w:color="auto"/>
              <w:bottom w:val="single" w:sz="4" w:space="0" w:color="auto"/>
            </w:tcBorders>
          </w:tcPr>
          <w:p w14:paraId="0B172A4F"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Decreased WCC</w:t>
            </w:r>
          </w:p>
        </w:tc>
        <w:tc>
          <w:tcPr>
            <w:tcW w:w="1246" w:type="pct"/>
            <w:tcBorders>
              <w:top w:val="single" w:sz="4" w:space="0" w:color="auto"/>
              <w:bottom w:val="single" w:sz="4" w:space="0" w:color="auto"/>
            </w:tcBorders>
            <w:vAlign w:val="bottom"/>
          </w:tcPr>
          <w:p w14:paraId="12BED266"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0</w:t>
            </w:r>
          </w:p>
        </w:tc>
        <w:tc>
          <w:tcPr>
            <w:tcW w:w="1247" w:type="pct"/>
            <w:tcBorders>
              <w:top w:val="single" w:sz="4" w:space="0" w:color="auto"/>
              <w:bottom w:val="single" w:sz="4" w:space="0" w:color="auto"/>
            </w:tcBorders>
            <w:vAlign w:val="bottom"/>
          </w:tcPr>
          <w:p w14:paraId="3D9A4149"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0</w:t>
            </w:r>
          </w:p>
        </w:tc>
      </w:tr>
      <w:tr w:rsidR="00DF44DD" w:rsidRPr="000D3AF3" w14:paraId="5D74D575" w14:textId="77777777" w:rsidTr="00942739">
        <w:tc>
          <w:tcPr>
            <w:tcW w:w="2507" w:type="pct"/>
            <w:tcBorders>
              <w:top w:val="single" w:sz="4" w:space="0" w:color="auto"/>
              <w:bottom w:val="single" w:sz="4" w:space="0" w:color="auto"/>
            </w:tcBorders>
          </w:tcPr>
          <w:p w14:paraId="3A3F614F"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Pancytopenia</w:t>
            </w:r>
          </w:p>
        </w:tc>
        <w:tc>
          <w:tcPr>
            <w:tcW w:w="1246" w:type="pct"/>
            <w:tcBorders>
              <w:top w:val="single" w:sz="4" w:space="0" w:color="auto"/>
              <w:bottom w:val="single" w:sz="4" w:space="0" w:color="auto"/>
            </w:tcBorders>
            <w:vAlign w:val="bottom"/>
          </w:tcPr>
          <w:p w14:paraId="2C84EE10"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0</w:t>
            </w:r>
          </w:p>
        </w:tc>
        <w:tc>
          <w:tcPr>
            <w:tcW w:w="1247" w:type="pct"/>
            <w:tcBorders>
              <w:top w:val="single" w:sz="4" w:space="0" w:color="auto"/>
              <w:bottom w:val="single" w:sz="4" w:space="0" w:color="auto"/>
            </w:tcBorders>
          </w:tcPr>
          <w:p w14:paraId="02ADB7E7"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0</w:t>
            </w:r>
          </w:p>
        </w:tc>
      </w:tr>
      <w:tr w:rsidR="00DF44DD" w:rsidRPr="000D3AF3" w14:paraId="0282983E" w14:textId="77777777" w:rsidTr="00942739">
        <w:tc>
          <w:tcPr>
            <w:tcW w:w="2507" w:type="pct"/>
            <w:tcBorders>
              <w:top w:val="single" w:sz="4" w:space="0" w:color="auto"/>
            </w:tcBorders>
          </w:tcPr>
          <w:p w14:paraId="662DE0B7" w14:textId="77777777" w:rsidR="00DF44DD" w:rsidRPr="000D3AF3" w:rsidRDefault="00DF44DD" w:rsidP="00701AB9">
            <w:pPr>
              <w:pStyle w:val="Tabletext0"/>
              <w:keepLines/>
              <w:widowControl w:val="0"/>
              <w:rPr>
                <w:rFonts w:ascii="Arial Narrow" w:hAnsi="Arial Narrow"/>
              </w:rPr>
            </w:pPr>
            <w:r w:rsidRPr="000D3AF3">
              <w:rPr>
                <w:rFonts w:ascii="Arial Narrow" w:hAnsi="Arial Narrow"/>
              </w:rPr>
              <w:t>Febrile neutropenia</w:t>
            </w:r>
          </w:p>
        </w:tc>
        <w:tc>
          <w:tcPr>
            <w:tcW w:w="1246" w:type="pct"/>
            <w:tcBorders>
              <w:top w:val="single" w:sz="4" w:space="0" w:color="auto"/>
            </w:tcBorders>
            <w:vAlign w:val="bottom"/>
          </w:tcPr>
          <w:p w14:paraId="0912BCF4"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0</w:t>
            </w:r>
          </w:p>
        </w:tc>
        <w:tc>
          <w:tcPr>
            <w:tcW w:w="1247" w:type="pct"/>
            <w:tcBorders>
              <w:top w:val="single" w:sz="4" w:space="0" w:color="auto"/>
            </w:tcBorders>
          </w:tcPr>
          <w:p w14:paraId="2EE78268" w14:textId="77777777" w:rsidR="00DF44DD" w:rsidRPr="000D3AF3" w:rsidRDefault="00DF44DD" w:rsidP="00701AB9">
            <w:pPr>
              <w:pStyle w:val="Tablecentre"/>
              <w:keepLines/>
              <w:widowControl w:val="0"/>
              <w:rPr>
                <w:rFonts w:ascii="Arial Narrow" w:hAnsi="Arial Narrow"/>
              </w:rPr>
            </w:pPr>
            <w:r w:rsidRPr="000D3AF3">
              <w:rPr>
                <w:rFonts w:ascii="Arial Narrow" w:hAnsi="Arial Narrow"/>
              </w:rPr>
              <w:t>0</w:t>
            </w:r>
          </w:p>
        </w:tc>
      </w:tr>
    </w:tbl>
    <w:p w14:paraId="6717286F" w14:textId="107F3B8A" w:rsidR="00DF44DD" w:rsidRPr="00701AB9" w:rsidRDefault="00DF44DD" w:rsidP="00701AB9">
      <w:pPr>
        <w:pStyle w:val="Tablefooter"/>
        <w:keepNext/>
        <w:keepLines/>
        <w:rPr>
          <w:rFonts w:ascii="Arial Narrow" w:hAnsi="Arial Narrow"/>
        </w:rPr>
      </w:pPr>
      <w:r w:rsidRPr="00701AB9">
        <w:rPr>
          <w:rFonts w:ascii="Arial Narrow" w:hAnsi="Arial Narrow"/>
        </w:rPr>
        <w:t xml:space="preserve">Source: </w:t>
      </w:r>
      <w:r w:rsidR="00502F06" w:rsidRPr="00701AB9">
        <w:rPr>
          <w:rFonts w:ascii="Arial Narrow" w:hAnsi="Arial Narrow"/>
        </w:rPr>
        <w:t xml:space="preserve">Resubmission Table 2-11; </w:t>
      </w:r>
      <w:r w:rsidRPr="00701AB9">
        <w:rPr>
          <w:rFonts w:ascii="Arial Narrow" w:hAnsi="Arial Narrow"/>
        </w:rPr>
        <w:t xml:space="preserve">Appendix 1: July 2022 submission, Table 2(a).5-5, p144; </w:t>
      </w:r>
      <w:hyperlink w:anchor="_ENREF_1" w:tooltip="Cortes, 2013 #2" w:history="1">
        <w:r w:rsidRPr="00701AB9">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701AB9">
          <w:rPr>
            <w:rFonts w:ascii="Arial Narrow" w:hAnsi="Arial Narrow"/>
          </w:rPr>
          <w:instrText xml:space="preserve"> ADDIN EN.CITE </w:instrText>
        </w:r>
        <w:r w:rsidRPr="00701AB9">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701AB9">
          <w:rPr>
            <w:rFonts w:ascii="Arial Narrow" w:hAnsi="Arial Narrow"/>
          </w:rPr>
          <w:instrText xml:space="preserve"> ADDIN EN.CITE.DATA </w:instrText>
        </w:r>
        <w:r w:rsidRPr="00701AB9">
          <w:rPr>
            <w:rFonts w:ascii="Arial Narrow" w:hAnsi="Arial Narrow"/>
          </w:rPr>
        </w:r>
        <w:r w:rsidRPr="00701AB9">
          <w:rPr>
            <w:rFonts w:ascii="Arial Narrow" w:hAnsi="Arial Narrow"/>
          </w:rPr>
          <w:fldChar w:fldCharType="end"/>
        </w:r>
        <w:r w:rsidRPr="00701AB9">
          <w:rPr>
            <w:rFonts w:ascii="Arial Narrow" w:hAnsi="Arial Narrow"/>
          </w:rPr>
        </w:r>
        <w:r w:rsidRPr="00701AB9">
          <w:rPr>
            <w:rFonts w:ascii="Arial Narrow" w:hAnsi="Arial Narrow"/>
          </w:rPr>
          <w:fldChar w:fldCharType="separate"/>
        </w:r>
        <w:r w:rsidRPr="00701AB9">
          <w:rPr>
            <w:rFonts w:ascii="Arial Narrow" w:hAnsi="Arial Narrow"/>
            <w:noProof/>
          </w:rPr>
          <w:t>Cortes et al. (2013)</w:t>
        </w:r>
        <w:r w:rsidRPr="00701AB9">
          <w:rPr>
            <w:rFonts w:ascii="Arial Narrow" w:hAnsi="Arial Narrow"/>
            <w:noProof/>
          </w:rPr>
          <w:fldChar w:fldCharType="end"/>
        </w:r>
      </w:hyperlink>
      <w:r w:rsidRPr="00701AB9">
        <w:rPr>
          <w:rFonts w:ascii="Arial Narrow" w:hAnsi="Arial Narrow"/>
        </w:rPr>
        <w:t xml:space="preserve"> Table 4 p 1792; </w:t>
      </w:r>
      <w:hyperlink w:anchor="_ENREF_1" w:tooltip="Cortes, 2013 #2" w:history="1">
        <w:r w:rsidRPr="00701AB9">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701AB9">
          <w:rPr>
            <w:rFonts w:ascii="Arial Narrow" w:hAnsi="Arial Narrow"/>
          </w:rPr>
          <w:instrText xml:space="preserve"> ADDIN EN.CITE </w:instrText>
        </w:r>
        <w:r w:rsidRPr="00701AB9">
          <w:rPr>
            <w:rFonts w:ascii="Arial Narrow" w:hAnsi="Arial Narrow"/>
          </w:rPr>
          <w:fldChar w:fldCharType="begin" w:fldLock="1">
            <w:fldData xml:space="preserve">PEVuZE5vdGU+PENpdGUgQXV0aG9yWWVhcj0iMSI+PEF1dGhvcj5Db3J0ZXM8L0F1dGhvcj48WWVh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</w:fldData>
          </w:fldChar>
        </w:r>
        <w:r w:rsidRPr="00701AB9">
          <w:rPr>
            <w:rFonts w:ascii="Arial Narrow" w:hAnsi="Arial Narrow"/>
          </w:rPr>
          <w:instrText xml:space="preserve"> ADDIN EN.CITE.DATA </w:instrText>
        </w:r>
        <w:r w:rsidRPr="00701AB9">
          <w:rPr>
            <w:rFonts w:ascii="Arial Narrow" w:hAnsi="Arial Narrow"/>
          </w:rPr>
        </w:r>
        <w:r w:rsidRPr="00701AB9">
          <w:rPr>
            <w:rFonts w:ascii="Arial Narrow" w:hAnsi="Arial Narrow"/>
          </w:rPr>
          <w:fldChar w:fldCharType="end"/>
        </w:r>
        <w:r w:rsidRPr="00701AB9">
          <w:rPr>
            <w:rFonts w:ascii="Arial Narrow" w:hAnsi="Arial Narrow"/>
          </w:rPr>
        </w:r>
        <w:r w:rsidRPr="00701AB9">
          <w:rPr>
            <w:rFonts w:ascii="Arial Narrow" w:hAnsi="Arial Narrow"/>
          </w:rPr>
          <w:fldChar w:fldCharType="separate"/>
        </w:r>
        <w:r w:rsidRPr="00701AB9">
          <w:rPr>
            <w:rFonts w:ascii="Arial Narrow" w:hAnsi="Arial Narrow"/>
            <w:noProof/>
          </w:rPr>
          <w:t>Cortes et al. (2013)</w:t>
        </w:r>
        <w:r w:rsidRPr="00701AB9">
          <w:rPr>
            <w:rFonts w:ascii="Arial Narrow" w:hAnsi="Arial Narrow"/>
            <w:noProof/>
          </w:rPr>
          <w:fldChar w:fldCharType="end"/>
        </w:r>
      </w:hyperlink>
      <w:r w:rsidRPr="00701AB9">
        <w:rPr>
          <w:rFonts w:ascii="Arial Narrow" w:hAnsi="Arial Narrow"/>
        </w:rPr>
        <w:t xml:space="preserve">  supplement Table S10 pdf p 51</w:t>
      </w:r>
    </w:p>
    <w:p w14:paraId="7E772714" w14:textId="08255F12" w:rsidR="00DF44DD" w:rsidRPr="00701AB9" w:rsidRDefault="00DF44DD" w:rsidP="00701AB9">
      <w:pPr>
        <w:pStyle w:val="Tablefooter"/>
        <w:keepNext/>
        <w:keepLines/>
        <w:rPr>
          <w:rFonts w:ascii="Arial Narrow" w:hAnsi="Arial Narrow"/>
        </w:rPr>
      </w:pPr>
      <w:r w:rsidRPr="00701AB9">
        <w:rPr>
          <w:rFonts w:ascii="Arial Narrow" w:hAnsi="Arial Narrow"/>
        </w:rPr>
        <w:t>AE = adverse event; ALT = alanine aminotransferase; AST = aspartate aminotransferase; CML-CP = chronic phase chronic myeloid leukemia; GGT = gamma glutamyl aminotransferase; WCC = white cell count</w:t>
      </w:r>
      <w:r w:rsidR="00701AB9" w:rsidRPr="00701AB9">
        <w:rPr>
          <w:rFonts w:ascii="Arial Narrow" w:hAnsi="Arial Narrow"/>
        </w:rPr>
        <w:t>.</w:t>
      </w:r>
    </w:p>
    <w:p w14:paraId="7D253702" w14:textId="77777777" w:rsidR="00B96A78" w:rsidRPr="00B96A78" w:rsidRDefault="00B96A78" w:rsidP="00DF44DD">
      <w:pPr>
        <w:rPr>
          <w:u w:val="single"/>
        </w:rPr>
      </w:pPr>
    </w:p>
    <w:p w14:paraId="2C4F0D46" w14:textId="1A32847A" w:rsidR="00DF44DD" w:rsidRPr="00484581" w:rsidRDefault="00DF44DD" w:rsidP="00247B90">
      <w:pPr>
        <w:pStyle w:val="3-BodyText"/>
      </w:pPr>
      <w:r w:rsidRPr="00484581">
        <w:t xml:space="preserve">The </w:t>
      </w:r>
      <w:r w:rsidR="001B5C14" w:rsidRPr="005835DF">
        <w:t>unanchored and unadjusted</w:t>
      </w:r>
      <w:r w:rsidR="001B5C14" w:rsidRPr="00484581">
        <w:t xml:space="preserve"> </w:t>
      </w:r>
      <w:r w:rsidRPr="00484581">
        <w:t xml:space="preserve">indirect comparisons of grade ≥3 treatment-related </w:t>
      </w:r>
      <w:r w:rsidR="00484581" w:rsidRPr="00484581">
        <w:t>AEs</w:t>
      </w:r>
      <w:r w:rsidRPr="00484581">
        <w:t xml:space="preserve"> for asciminib 200</w:t>
      </w:r>
      <w:r w:rsidR="00484581" w:rsidRPr="00484581">
        <w:t> </w:t>
      </w:r>
      <w:r w:rsidRPr="00484581">
        <w:t>mg twice daily compared with ponatinib 45 mg once daily in CML-CP patients with the T315I mutation are presented in</w:t>
      </w:r>
      <w:r w:rsidR="00484581" w:rsidRPr="00484581">
        <w:t xml:space="preserve"> </w:t>
      </w:r>
      <w:r w:rsidR="00484581" w:rsidRPr="00484581">
        <w:rPr>
          <w:rFonts w:cstheme="minorHAnsi"/>
        </w:rPr>
        <w:fldChar w:fldCharType="begin" w:fldLock="1"/>
      </w:r>
      <w:r w:rsidR="00484581" w:rsidRPr="00484581">
        <w:rPr>
          <w:rFonts w:cstheme="minorHAnsi"/>
        </w:rPr>
        <w:instrText xml:space="preserve"> REF _Ref114508374 \h  \* MERGEFORMAT </w:instrText>
      </w:r>
      <w:r w:rsidR="00484581" w:rsidRPr="00484581">
        <w:rPr>
          <w:rFonts w:cstheme="minorHAnsi"/>
        </w:rPr>
      </w:r>
      <w:r w:rsidR="00484581" w:rsidRPr="00484581">
        <w:rPr>
          <w:rFonts w:cstheme="minorHAnsi"/>
        </w:rPr>
        <w:fldChar w:fldCharType="separate"/>
      </w:r>
      <w:r w:rsidR="00196FF1" w:rsidRPr="00196FF1">
        <w:rPr>
          <w:rFonts w:cstheme="minorHAnsi"/>
        </w:rPr>
        <w:t xml:space="preserve">Table </w:t>
      </w:r>
      <w:r w:rsidR="00196FF1" w:rsidRPr="00196FF1">
        <w:rPr>
          <w:rFonts w:cstheme="minorHAnsi"/>
          <w:noProof/>
        </w:rPr>
        <w:t>15</w:t>
      </w:r>
      <w:r w:rsidR="00484581" w:rsidRPr="00484581">
        <w:rPr>
          <w:rFonts w:cstheme="minorHAnsi"/>
        </w:rPr>
        <w:fldChar w:fldCharType="end"/>
      </w:r>
      <w:r w:rsidRPr="00484581">
        <w:t>. The median duration of exposure to asciminib 200 mg twice daily in these patients from X2101 was 108.2 weeks (range 2</w:t>
      </w:r>
      <w:r w:rsidR="00F97E98">
        <w:noBreakHyphen/>
      </w:r>
      <w:r w:rsidRPr="00484581">
        <w:t xml:space="preserve">215). In contrast, the median duration of ponatinib 45 mg once daily in the overall PACE population was 12.8 months (range 0.03 to &gt;24.8). </w:t>
      </w:r>
      <w:r w:rsidR="001B5C14">
        <w:t>The resubmission stated that, a</w:t>
      </w:r>
      <w:r w:rsidRPr="00484581">
        <w:t xml:space="preserve">s patients are only at risk of treatment-related </w:t>
      </w:r>
      <w:r w:rsidR="00484581" w:rsidRPr="00484581">
        <w:t>AEs</w:t>
      </w:r>
      <w:r w:rsidRPr="00484581">
        <w:t xml:space="preserve"> while on study drug, the comparisons are biased against asciminib</w:t>
      </w:r>
      <w:r w:rsidR="00AF4029">
        <w:t>,</w:t>
      </w:r>
      <w:r w:rsidRPr="00484581">
        <w:t xml:space="preserve"> which has a median duration of exposure which is almost twice as long as for ponatinib. Nevertheless, there were no statistically significant differences in grade ≥3 treatment-related </w:t>
      </w:r>
      <w:r w:rsidR="00484581" w:rsidRPr="00484581">
        <w:t>AEs</w:t>
      </w:r>
      <w:r w:rsidRPr="00484581">
        <w:t xml:space="preserve"> between the treatments except for pancreatitis. There were </w:t>
      </w:r>
      <w:r w:rsidRPr="00484581">
        <w:lastRenderedPageBreak/>
        <w:t xml:space="preserve">no patients treated with asciminib 200 mg twice daily who experienced treatment-related grade </w:t>
      </w:r>
      <w:r w:rsidRPr="00484581">
        <w:rPr>
          <w:rFonts w:cs="Calibri"/>
        </w:rPr>
        <w:t>≥</w:t>
      </w:r>
      <w:r w:rsidRPr="00484581">
        <w:t>3 pancreatitis</w:t>
      </w:r>
      <w:r w:rsidR="001B5C14">
        <w:t>,</w:t>
      </w:r>
      <w:r w:rsidRPr="00484581">
        <w:t xml:space="preserve"> whereas 5 patients (8%) of patients treated with ponatinib 45 mg once daily did</w:t>
      </w:r>
      <w:r w:rsidR="001B5C14">
        <w:t xml:space="preserve"> experience events</w:t>
      </w:r>
      <w:r w:rsidRPr="00484581">
        <w:t xml:space="preserve">, which reached statistical significance in terms of risk difference (-0.08, 95% CI: -0.15, -0.00, P = 0.04) but not in terms of odds ratio or </w:t>
      </w:r>
      <w:r w:rsidR="000C5CCD">
        <w:t>relative risk</w:t>
      </w:r>
      <w:r w:rsidRPr="00484581">
        <w:t xml:space="preserve"> (</w:t>
      </w:r>
      <w:r w:rsidR="00484581" w:rsidRPr="00484581">
        <w:rPr>
          <w:rFonts w:cstheme="minorHAnsi"/>
        </w:rPr>
        <w:fldChar w:fldCharType="begin" w:fldLock="1"/>
      </w:r>
      <w:r w:rsidR="00484581" w:rsidRPr="00484581">
        <w:rPr>
          <w:rFonts w:cstheme="minorHAnsi"/>
        </w:rPr>
        <w:instrText xml:space="preserve"> REF _Ref114508374 \h  \* MERGEFORMAT </w:instrText>
      </w:r>
      <w:r w:rsidR="00484581" w:rsidRPr="00484581">
        <w:rPr>
          <w:rFonts w:cstheme="minorHAnsi"/>
        </w:rPr>
      </w:r>
      <w:r w:rsidR="00484581" w:rsidRPr="00484581">
        <w:rPr>
          <w:rFonts w:cstheme="minorHAnsi"/>
        </w:rPr>
        <w:fldChar w:fldCharType="separate"/>
      </w:r>
      <w:r w:rsidR="00196FF1" w:rsidRPr="00196FF1">
        <w:rPr>
          <w:rFonts w:cstheme="minorHAnsi"/>
        </w:rPr>
        <w:t xml:space="preserve">Table </w:t>
      </w:r>
      <w:r w:rsidR="00196FF1" w:rsidRPr="00196FF1">
        <w:rPr>
          <w:rFonts w:cstheme="minorHAnsi"/>
          <w:noProof/>
        </w:rPr>
        <w:t>15</w:t>
      </w:r>
      <w:r w:rsidR="00484581" w:rsidRPr="00484581">
        <w:rPr>
          <w:rFonts w:cstheme="minorHAnsi"/>
        </w:rPr>
        <w:fldChar w:fldCharType="end"/>
      </w:r>
      <w:r w:rsidR="00F97E98">
        <w:rPr>
          <w:rFonts w:cstheme="minorHAnsi"/>
        </w:rPr>
        <w:t>)</w:t>
      </w:r>
      <w:r w:rsidRPr="00484581">
        <w:t>.</w:t>
      </w:r>
    </w:p>
    <w:p w14:paraId="177A08DA" w14:textId="2350893F" w:rsidR="00DF44DD" w:rsidRPr="00EF15C9" w:rsidRDefault="00EF15C9" w:rsidP="00484581">
      <w:pPr>
        <w:pStyle w:val="Tableheading"/>
        <w:keepNext w:val="0"/>
        <w:widowControl w:val="0"/>
        <w:jc w:val="left"/>
        <w:rPr>
          <w:rFonts w:ascii="Arial Narrow" w:hAnsi="Arial Narrow"/>
        </w:rPr>
      </w:pPr>
      <w:bookmarkStart w:id="40" w:name="_Ref114508374"/>
      <w:bookmarkStart w:id="41" w:name="_Toc112315933"/>
      <w:r w:rsidRPr="00EF15C9">
        <w:rPr>
          <w:rFonts w:ascii="Arial Narrow" w:hAnsi="Arial Narrow"/>
        </w:rPr>
        <w:t xml:space="preserve">Table </w:t>
      </w:r>
      <w:r w:rsidRPr="00EF15C9">
        <w:rPr>
          <w:rFonts w:ascii="Arial Narrow" w:hAnsi="Arial Narrow"/>
        </w:rPr>
        <w:fldChar w:fldCharType="begin" w:fldLock="1"/>
      </w:r>
      <w:r w:rsidRPr="00EF15C9">
        <w:rPr>
          <w:rFonts w:ascii="Arial Narrow" w:hAnsi="Arial Narrow"/>
        </w:rPr>
        <w:instrText xml:space="preserve"> SEQ Table \* ARABIC </w:instrText>
      </w:r>
      <w:r w:rsidRPr="00EF15C9">
        <w:rPr>
          <w:rFonts w:ascii="Arial Narrow" w:hAnsi="Arial Narrow"/>
        </w:rPr>
        <w:fldChar w:fldCharType="separate"/>
      </w:r>
      <w:r w:rsidR="00100F00">
        <w:rPr>
          <w:rFonts w:ascii="Arial Narrow" w:hAnsi="Arial Narrow"/>
          <w:noProof/>
        </w:rPr>
        <w:t>15</w:t>
      </w:r>
      <w:r w:rsidRPr="00EF15C9">
        <w:rPr>
          <w:rFonts w:ascii="Arial Narrow" w:hAnsi="Arial Narrow"/>
        </w:rPr>
        <w:fldChar w:fldCharType="end"/>
      </w:r>
      <w:bookmarkEnd w:id="40"/>
      <w:r w:rsidRPr="00EF15C9">
        <w:rPr>
          <w:rFonts w:ascii="Arial Narrow" w:hAnsi="Arial Narrow"/>
        </w:rPr>
        <w:t xml:space="preserve">: </w:t>
      </w:r>
      <w:r w:rsidR="00DF44DD" w:rsidRPr="00EF15C9">
        <w:rPr>
          <w:rFonts w:ascii="Arial Narrow" w:hAnsi="Arial Narrow"/>
        </w:rPr>
        <w:t>Safety outcomes of grade ≥3 treatment-related adverse events</w:t>
      </w:r>
      <w:bookmarkEnd w:id="41"/>
      <w:r w:rsidR="0047714D">
        <w:rPr>
          <w:rFonts w:ascii="Arial Narrow" w:hAnsi="Arial Narrow"/>
        </w:rPr>
        <w:t>*</w:t>
      </w:r>
    </w:p>
    <w:tbl>
      <w:tblPr>
        <w:tblStyle w:val="TableGrid"/>
        <w:tblW w:w="5027" w:type="pct"/>
        <w:tblLook w:val="04A0" w:firstRow="1" w:lastRow="0" w:firstColumn="1" w:lastColumn="0" w:noHBand="0" w:noVBand="1"/>
        <w:tblCaption w:val="Table 15: Safety outcomes of grade ≥3 treatment-related adverse events*"/>
      </w:tblPr>
      <w:tblGrid>
        <w:gridCol w:w="1693"/>
        <w:gridCol w:w="1135"/>
        <w:gridCol w:w="1133"/>
        <w:gridCol w:w="1846"/>
        <w:gridCol w:w="1532"/>
        <w:gridCol w:w="1726"/>
      </w:tblGrid>
      <w:tr w:rsidR="00EF15C9" w:rsidRPr="000D3AF3" w14:paraId="1455CD8F" w14:textId="77777777" w:rsidTr="007C380F">
        <w:trPr>
          <w:cantSplit/>
        </w:trPr>
        <w:tc>
          <w:tcPr>
            <w:tcW w:w="934" w:type="pct"/>
            <w:tcBorders>
              <w:top w:val="single" w:sz="4" w:space="0" w:color="auto"/>
              <w:bottom w:val="single" w:sz="4" w:space="0" w:color="auto"/>
            </w:tcBorders>
            <w:shd w:val="clear" w:color="auto" w:fill="auto"/>
          </w:tcPr>
          <w:p w14:paraId="3FB24BD7" w14:textId="77777777" w:rsidR="00DF44DD" w:rsidRPr="000D3AF3" w:rsidRDefault="00DF44DD" w:rsidP="00484581">
            <w:pPr>
              <w:pStyle w:val="Tableheading"/>
              <w:keepNext w:val="0"/>
              <w:widowControl w:val="0"/>
              <w:rPr>
                <w:rFonts w:ascii="Arial Narrow" w:hAnsi="Arial Narrow"/>
              </w:rPr>
            </w:pPr>
          </w:p>
        </w:tc>
        <w:tc>
          <w:tcPr>
            <w:tcW w:w="626" w:type="pct"/>
            <w:tcBorders>
              <w:top w:val="single" w:sz="4" w:space="0" w:color="auto"/>
            </w:tcBorders>
            <w:shd w:val="clear" w:color="auto" w:fill="auto"/>
          </w:tcPr>
          <w:p w14:paraId="36145D3C" w14:textId="464F3676" w:rsidR="00DF44DD" w:rsidRPr="000D3AF3" w:rsidRDefault="00DF44DD" w:rsidP="00484581">
            <w:pPr>
              <w:pStyle w:val="Tableheading"/>
              <w:keepNext w:val="0"/>
              <w:widowControl w:val="0"/>
              <w:rPr>
                <w:rFonts w:ascii="Arial Narrow" w:hAnsi="Arial Narrow"/>
              </w:rPr>
            </w:pPr>
            <w:r w:rsidRPr="000D3AF3">
              <w:rPr>
                <w:rFonts w:ascii="Arial Narrow" w:hAnsi="Arial Narrow"/>
              </w:rPr>
              <w:t>Asciminib 200</w:t>
            </w:r>
            <w:r w:rsidR="00EF15C9" w:rsidRPr="000D3AF3">
              <w:rPr>
                <w:rFonts w:ascii="Arial Narrow" w:hAnsi="Arial Narrow"/>
              </w:rPr>
              <w:t> </w:t>
            </w:r>
            <w:r w:rsidRPr="000D3AF3">
              <w:rPr>
                <w:rFonts w:ascii="Arial Narrow" w:hAnsi="Arial Narrow"/>
              </w:rPr>
              <w:t>mg twice daily</w:t>
            </w:r>
          </w:p>
          <w:p w14:paraId="0D5251B9" w14:textId="77777777" w:rsidR="00DF44DD" w:rsidRPr="000D3AF3" w:rsidRDefault="00DF44DD" w:rsidP="00484581">
            <w:pPr>
              <w:pStyle w:val="Tableheading"/>
              <w:keepNext w:val="0"/>
              <w:widowControl w:val="0"/>
              <w:rPr>
                <w:rFonts w:ascii="Arial Narrow" w:hAnsi="Arial Narrow"/>
              </w:rPr>
            </w:pPr>
            <w:r w:rsidRPr="000D3AF3">
              <w:rPr>
                <w:rFonts w:ascii="Arial Narrow" w:hAnsi="Arial Narrow"/>
              </w:rPr>
              <w:t>(N = 48)</w:t>
            </w:r>
          </w:p>
          <w:p w14:paraId="46499060" w14:textId="66A455A4" w:rsidR="00484581" w:rsidRPr="000D3AF3" w:rsidRDefault="00484581" w:rsidP="00484581">
            <w:pPr>
              <w:pStyle w:val="Tableheading"/>
              <w:keepNext w:val="0"/>
              <w:widowControl w:val="0"/>
              <w:rPr>
                <w:rFonts w:ascii="Arial Narrow" w:hAnsi="Arial Narrow"/>
              </w:rPr>
            </w:pPr>
            <w:r w:rsidRPr="000D3AF3">
              <w:rPr>
                <w:rFonts w:ascii="Arial Narrow" w:hAnsi="Arial Narrow"/>
              </w:rPr>
              <w:t>n (%)</w:t>
            </w:r>
          </w:p>
        </w:tc>
        <w:tc>
          <w:tcPr>
            <w:tcW w:w="625" w:type="pct"/>
            <w:tcBorders>
              <w:top w:val="single" w:sz="4" w:space="0" w:color="auto"/>
            </w:tcBorders>
            <w:shd w:val="clear" w:color="auto" w:fill="auto"/>
          </w:tcPr>
          <w:p w14:paraId="0F349AF4" w14:textId="773C76E3" w:rsidR="00DF44DD" w:rsidRPr="000D3AF3" w:rsidRDefault="00DF44DD" w:rsidP="00484581">
            <w:pPr>
              <w:pStyle w:val="Tableheading"/>
              <w:keepNext w:val="0"/>
              <w:widowControl w:val="0"/>
              <w:rPr>
                <w:rFonts w:ascii="Arial Narrow" w:hAnsi="Arial Narrow"/>
              </w:rPr>
            </w:pPr>
            <w:r w:rsidRPr="000D3AF3">
              <w:rPr>
                <w:rFonts w:ascii="Arial Narrow" w:hAnsi="Arial Narrow"/>
              </w:rPr>
              <w:t>Ponatinib 45</w:t>
            </w:r>
            <w:r w:rsidR="00EF15C9" w:rsidRPr="000D3AF3">
              <w:rPr>
                <w:rFonts w:ascii="Arial Narrow" w:hAnsi="Arial Narrow"/>
              </w:rPr>
              <w:t> </w:t>
            </w:r>
            <w:r w:rsidRPr="000D3AF3">
              <w:rPr>
                <w:rFonts w:ascii="Arial Narrow" w:hAnsi="Arial Narrow"/>
              </w:rPr>
              <w:t xml:space="preserve">mg </w:t>
            </w:r>
          </w:p>
          <w:p w14:paraId="70294194" w14:textId="77777777" w:rsidR="00DF44DD" w:rsidRPr="000D3AF3" w:rsidRDefault="00DF44DD" w:rsidP="00484581">
            <w:pPr>
              <w:pStyle w:val="Tableheading"/>
              <w:keepNext w:val="0"/>
              <w:widowControl w:val="0"/>
              <w:rPr>
                <w:rFonts w:ascii="Arial Narrow" w:hAnsi="Arial Narrow"/>
              </w:rPr>
            </w:pPr>
            <w:r w:rsidRPr="000D3AF3">
              <w:rPr>
                <w:rFonts w:ascii="Arial Narrow" w:hAnsi="Arial Narrow"/>
              </w:rPr>
              <w:t>once daily</w:t>
            </w:r>
          </w:p>
          <w:p w14:paraId="3B175134" w14:textId="77777777" w:rsidR="00DF44DD" w:rsidRPr="000D3AF3" w:rsidRDefault="00DF44DD" w:rsidP="00484581">
            <w:pPr>
              <w:pStyle w:val="Tableheading"/>
              <w:keepNext w:val="0"/>
              <w:widowControl w:val="0"/>
              <w:rPr>
                <w:rFonts w:ascii="Arial Narrow" w:hAnsi="Arial Narrow"/>
              </w:rPr>
            </w:pPr>
            <w:r w:rsidRPr="000D3AF3">
              <w:rPr>
                <w:rFonts w:ascii="Arial Narrow" w:hAnsi="Arial Narrow"/>
              </w:rPr>
              <w:t>(N = 64)</w:t>
            </w:r>
          </w:p>
          <w:p w14:paraId="79C5BAC8" w14:textId="08930452" w:rsidR="00484581" w:rsidRPr="000D3AF3" w:rsidRDefault="00484581" w:rsidP="00484581">
            <w:pPr>
              <w:pStyle w:val="Tableheading"/>
              <w:keepNext w:val="0"/>
              <w:widowControl w:val="0"/>
              <w:rPr>
                <w:rFonts w:ascii="Arial Narrow" w:hAnsi="Arial Narrow"/>
              </w:rPr>
            </w:pPr>
            <w:r w:rsidRPr="000D3AF3">
              <w:rPr>
                <w:rFonts w:ascii="Arial Narrow" w:hAnsi="Arial Narrow"/>
              </w:rPr>
              <w:t>n (%)</w:t>
            </w:r>
          </w:p>
        </w:tc>
        <w:tc>
          <w:tcPr>
            <w:tcW w:w="1018" w:type="pct"/>
            <w:tcBorders>
              <w:top w:val="single" w:sz="4" w:space="0" w:color="auto"/>
            </w:tcBorders>
            <w:shd w:val="clear" w:color="auto" w:fill="auto"/>
            <w:vAlign w:val="center"/>
          </w:tcPr>
          <w:p w14:paraId="6BAD7D44" w14:textId="77777777" w:rsidR="00DF44DD" w:rsidRPr="000D3AF3" w:rsidRDefault="00DF44DD" w:rsidP="00484581">
            <w:pPr>
              <w:pStyle w:val="Tableheading"/>
              <w:keepNext w:val="0"/>
              <w:widowControl w:val="0"/>
              <w:rPr>
                <w:rFonts w:ascii="Arial Narrow" w:hAnsi="Arial Narrow"/>
              </w:rPr>
            </w:pPr>
            <w:r w:rsidRPr="000D3AF3">
              <w:rPr>
                <w:rFonts w:ascii="Arial Narrow" w:hAnsi="Arial Narrow"/>
              </w:rPr>
              <w:t>OR (95% CI)</w:t>
            </w:r>
          </w:p>
          <w:p w14:paraId="319B79C7" w14:textId="0F6159F6" w:rsidR="00484581" w:rsidRPr="000D3AF3" w:rsidRDefault="00484581" w:rsidP="00484581">
            <w:pPr>
              <w:pStyle w:val="Tableheading"/>
              <w:keepNext w:val="0"/>
              <w:widowControl w:val="0"/>
              <w:rPr>
                <w:rFonts w:ascii="Arial Narrow" w:hAnsi="Arial Narrow"/>
              </w:rPr>
            </w:pPr>
            <w:r w:rsidRPr="000D3AF3">
              <w:rPr>
                <w:rFonts w:ascii="Arial Narrow" w:hAnsi="Arial Narrow"/>
              </w:rPr>
              <w:t>P value</w:t>
            </w:r>
          </w:p>
        </w:tc>
        <w:tc>
          <w:tcPr>
            <w:tcW w:w="845" w:type="pct"/>
            <w:tcBorders>
              <w:top w:val="single" w:sz="4" w:space="0" w:color="auto"/>
            </w:tcBorders>
            <w:shd w:val="clear" w:color="auto" w:fill="auto"/>
            <w:vAlign w:val="center"/>
          </w:tcPr>
          <w:p w14:paraId="510B11E9" w14:textId="77777777" w:rsidR="00DF44DD" w:rsidRPr="000D3AF3" w:rsidRDefault="00DF44DD" w:rsidP="00484581">
            <w:pPr>
              <w:pStyle w:val="Tableheading"/>
              <w:keepNext w:val="0"/>
              <w:widowControl w:val="0"/>
              <w:rPr>
                <w:rFonts w:ascii="Arial Narrow" w:hAnsi="Arial Narrow"/>
              </w:rPr>
            </w:pPr>
            <w:r w:rsidRPr="000D3AF3">
              <w:rPr>
                <w:rFonts w:ascii="Arial Narrow" w:hAnsi="Arial Narrow"/>
              </w:rPr>
              <w:t>RR (95% CI)</w:t>
            </w:r>
          </w:p>
          <w:p w14:paraId="349B8928" w14:textId="30BAF2C2" w:rsidR="00484581" w:rsidRPr="000D3AF3" w:rsidRDefault="00484581" w:rsidP="00484581">
            <w:pPr>
              <w:pStyle w:val="Tableheading"/>
              <w:keepNext w:val="0"/>
              <w:widowControl w:val="0"/>
              <w:rPr>
                <w:rFonts w:ascii="Arial Narrow" w:hAnsi="Arial Narrow"/>
              </w:rPr>
            </w:pPr>
            <w:r w:rsidRPr="000D3AF3">
              <w:rPr>
                <w:rFonts w:ascii="Arial Narrow" w:hAnsi="Arial Narrow"/>
              </w:rPr>
              <w:t>P value</w:t>
            </w:r>
          </w:p>
        </w:tc>
        <w:tc>
          <w:tcPr>
            <w:tcW w:w="952" w:type="pct"/>
            <w:tcBorders>
              <w:top w:val="single" w:sz="4" w:space="0" w:color="auto"/>
            </w:tcBorders>
            <w:shd w:val="clear" w:color="auto" w:fill="auto"/>
            <w:vAlign w:val="center"/>
          </w:tcPr>
          <w:p w14:paraId="0715BB61" w14:textId="77777777" w:rsidR="00DF44DD" w:rsidRPr="000D3AF3" w:rsidRDefault="00DF44DD" w:rsidP="00484581">
            <w:pPr>
              <w:pStyle w:val="Tableheading"/>
              <w:keepNext w:val="0"/>
              <w:widowControl w:val="0"/>
              <w:rPr>
                <w:rFonts w:ascii="Arial Narrow" w:hAnsi="Arial Narrow"/>
              </w:rPr>
            </w:pPr>
            <w:r w:rsidRPr="000D3AF3">
              <w:rPr>
                <w:rFonts w:ascii="Arial Narrow" w:hAnsi="Arial Narrow"/>
              </w:rPr>
              <w:t>RD (95% CI)</w:t>
            </w:r>
          </w:p>
          <w:p w14:paraId="4DE99068" w14:textId="67C22678" w:rsidR="00484581" w:rsidRPr="000D3AF3" w:rsidRDefault="00484581" w:rsidP="00484581">
            <w:pPr>
              <w:pStyle w:val="Tableheading"/>
              <w:keepNext w:val="0"/>
              <w:widowControl w:val="0"/>
              <w:rPr>
                <w:rFonts w:ascii="Arial Narrow" w:hAnsi="Arial Narrow"/>
              </w:rPr>
            </w:pPr>
            <w:r w:rsidRPr="000D3AF3">
              <w:rPr>
                <w:rFonts w:ascii="Arial Narrow" w:hAnsi="Arial Narrow"/>
              </w:rPr>
              <w:t>P value</w:t>
            </w:r>
          </w:p>
        </w:tc>
      </w:tr>
      <w:tr w:rsidR="00DF44DD" w:rsidRPr="000D3AF3" w14:paraId="4D6A5360" w14:textId="77777777" w:rsidTr="007C380F">
        <w:trPr>
          <w:tblHeader/>
        </w:trPr>
        <w:tc>
          <w:tcPr>
            <w:tcW w:w="5000" w:type="pct"/>
            <w:gridSpan w:val="6"/>
            <w:tcBorders>
              <w:bottom w:val="single" w:sz="4" w:space="0" w:color="auto"/>
            </w:tcBorders>
            <w:shd w:val="clear" w:color="auto" w:fill="F2F2F2" w:themeFill="background1" w:themeFillShade="F2"/>
          </w:tcPr>
          <w:p w14:paraId="3ABBB061" w14:textId="77777777" w:rsidR="00DF44DD" w:rsidRPr="000D3AF3" w:rsidRDefault="00DF44DD" w:rsidP="00484581">
            <w:pPr>
              <w:pStyle w:val="Btable"/>
              <w:keepNext w:val="0"/>
              <w:widowControl w:val="0"/>
              <w:jc w:val="left"/>
              <w:rPr>
                <w:rFonts w:ascii="Arial Narrow" w:hAnsi="Arial Narrow"/>
                <w:b w:val="0"/>
                <w:bCs w:val="0"/>
              </w:rPr>
            </w:pPr>
            <w:r w:rsidRPr="000D3AF3">
              <w:rPr>
                <w:rFonts w:ascii="Arial Narrow" w:hAnsi="Arial Narrow"/>
              </w:rPr>
              <w:t>Non-haematological AEs</w:t>
            </w:r>
          </w:p>
        </w:tc>
      </w:tr>
      <w:tr w:rsidR="00EF15C9" w:rsidRPr="000D3AF3" w14:paraId="552F5BBB" w14:textId="77777777" w:rsidTr="007C380F">
        <w:trPr>
          <w:tblHeader/>
        </w:trPr>
        <w:tc>
          <w:tcPr>
            <w:tcW w:w="934" w:type="pct"/>
            <w:tcBorders>
              <w:top w:val="single" w:sz="4" w:space="0" w:color="auto"/>
              <w:bottom w:val="single" w:sz="4" w:space="0" w:color="auto"/>
            </w:tcBorders>
            <w:vAlign w:val="center"/>
          </w:tcPr>
          <w:p w14:paraId="030D776D" w14:textId="6A3F008C"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Rash</w:t>
            </w:r>
            <w:r w:rsidR="00700ECD" w:rsidRPr="000D3AF3">
              <w:rPr>
                <w:rFonts w:ascii="Arial Narrow" w:hAnsi="Arial Narrow"/>
                <w:vertAlign w:val="superscript"/>
              </w:rPr>
              <w:t>a</w:t>
            </w:r>
          </w:p>
        </w:tc>
        <w:tc>
          <w:tcPr>
            <w:tcW w:w="626" w:type="pct"/>
            <w:tcBorders>
              <w:top w:val="single" w:sz="4" w:space="0" w:color="auto"/>
              <w:bottom w:val="single" w:sz="4" w:space="0" w:color="auto"/>
            </w:tcBorders>
            <w:vAlign w:val="center"/>
          </w:tcPr>
          <w:p w14:paraId="36AB3324"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625" w:type="pct"/>
            <w:tcBorders>
              <w:top w:val="single" w:sz="4" w:space="0" w:color="auto"/>
              <w:bottom w:val="single" w:sz="4" w:space="0" w:color="auto"/>
            </w:tcBorders>
            <w:vAlign w:val="center"/>
          </w:tcPr>
          <w:p w14:paraId="60D5BBCD" w14:textId="0AAC4C8B" w:rsidR="00DF44DD" w:rsidRPr="000D3AF3" w:rsidRDefault="00DF44DD" w:rsidP="00484581">
            <w:pPr>
              <w:pStyle w:val="Tablecentre"/>
              <w:keepNext w:val="0"/>
              <w:widowControl w:val="0"/>
              <w:rPr>
                <w:rFonts w:ascii="Arial Narrow" w:hAnsi="Arial Narrow"/>
              </w:rPr>
            </w:pPr>
            <w:r w:rsidRPr="000D3AF3">
              <w:rPr>
                <w:rFonts w:ascii="Arial Narrow" w:hAnsi="Arial Narrow"/>
              </w:rPr>
              <w:t>4 (6</w:t>
            </w:r>
            <w:r w:rsidR="00C034EF" w:rsidRPr="000D3AF3">
              <w:rPr>
                <w:rFonts w:ascii="Arial Narrow" w:hAnsi="Arial Narrow"/>
              </w:rPr>
              <w:t>.3</w:t>
            </w:r>
            <w:r w:rsidRPr="000D3AF3">
              <w:rPr>
                <w:rFonts w:ascii="Arial Narrow" w:hAnsi="Arial Narrow"/>
              </w:rPr>
              <w:t>)</w:t>
            </w:r>
          </w:p>
        </w:tc>
        <w:tc>
          <w:tcPr>
            <w:tcW w:w="1018" w:type="pct"/>
            <w:tcBorders>
              <w:top w:val="single" w:sz="4" w:space="0" w:color="auto"/>
              <w:bottom w:val="single" w:sz="4" w:space="0" w:color="auto"/>
            </w:tcBorders>
          </w:tcPr>
          <w:p w14:paraId="0292A28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0.14 (0.01, 2.64)</w:t>
            </w:r>
          </w:p>
          <w:p w14:paraId="4E711271"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0.19</w:t>
            </w:r>
          </w:p>
        </w:tc>
        <w:tc>
          <w:tcPr>
            <w:tcW w:w="845" w:type="pct"/>
            <w:tcBorders>
              <w:top w:val="single" w:sz="4" w:space="0" w:color="auto"/>
              <w:bottom w:val="single" w:sz="4" w:space="0" w:color="auto"/>
            </w:tcBorders>
          </w:tcPr>
          <w:p w14:paraId="62DD6240"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0.15 (0.1, 2.67)</w:t>
            </w:r>
          </w:p>
          <w:p w14:paraId="620F22FD"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0.20</w:t>
            </w:r>
          </w:p>
        </w:tc>
        <w:tc>
          <w:tcPr>
            <w:tcW w:w="952" w:type="pct"/>
            <w:tcBorders>
              <w:top w:val="single" w:sz="4" w:space="0" w:color="auto"/>
              <w:bottom w:val="single" w:sz="4" w:space="0" w:color="auto"/>
            </w:tcBorders>
          </w:tcPr>
          <w:p w14:paraId="79BE39C5"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-0.06 (-0.13, 0.01))</w:t>
            </w:r>
          </w:p>
          <w:p w14:paraId="11BB300F"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0.07</w:t>
            </w:r>
          </w:p>
        </w:tc>
      </w:tr>
      <w:tr w:rsidR="00EF15C9" w:rsidRPr="000D3AF3" w14:paraId="04D6B770" w14:textId="77777777" w:rsidTr="007C380F">
        <w:trPr>
          <w:tblHeader/>
        </w:trPr>
        <w:tc>
          <w:tcPr>
            <w:tcW w:w="934" w:type="pct"/>
            <w:tcBorders>
              <w:top w:val="single" w:sz="4" w:space="0" w:color="auto"/>
              <w:bottom w:val="single" w:sz="4" w:space="0" w:color="auto"/>
            </w:tcBorders>
            <w:vAlign w:val="center"/>
          </w:tcPr>
          <w:p w14:paraId="14DEFC30"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Dry skin</w:t>
            </w:r>
          </w:p>
        </w:tc>
        <w:tc>
          <w:tcPr>
            <w:tcW w:w="626" w:type="pct"/>
            <w:tcBorders>
              <w:top w:val="single" w:sz="4" w:space="0" w:color="auto"/>
              <w:bottom w:val="single" w:sz="4" w:space="0" w:color="auto"/>
            </w:tcBorders>
            <w:vAlign w:val="center"/>
          </w:tcPr>
          <w:p w14:paraId="497D7C74"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625" w:type="pct"/>
            <w:tcBorders>
              <w:top w:val="single" w:sz="4" w:space="0" w:color="auto"/>
              <w:bottom w:val="single" w:sz="4" w:space="0" w:color="auto"/>
            </w:tcBorders>
            <w:vAlign w:val="center"/>
          </w:tcPr>
          <w:p w14:paraId="6E1C3EC3" w14:textId="6B7D9157" w:rsidR="00DF44DD" w:rsidRPr="000D3AF3" w:rsidRDefault="00DF44DD" w:rsidP="00484581">
            <w:pPr>
              <w:pStyle w:val="Tablecentre"/>
              <w:keepNext w:val="0"/>
              <w:widowControl w:val="0"/>
              <w:rPr>
                <w:rFonts w:ascii="Arial Narrow" w:hAnsi="Arial Narrow"/>
              </w:rPr>
            </w:pPr>
            <w:r w:rsidRPr="000D3AF3">
              <w:rPr>
                <w:rFonts w:ascii="Arial Narrow" w:hAnsi="Arial Narrow"/>
              </w:rPr>
              <w:t>1 (</w:t>
            </w:r>
            <w:r w:rsidR="00C034EF" w:rsidRPr="000D3AF3">
              <w:rPr>
                <w:rFonts w:ascii="Arial Narrow" w:hAnsi="Arial Narrow"/>
              </w:rPr>
              <w:t>1.6</w:t>
            </w:r>
            <w:r w:rsidRPr="000D3AF3">
              <w:rPr>
                <w:rFonts w:ascii="Arial Narrow" w:hAnsi="Arial Narrow"/>
              </w:rPr>
              <w:t>)</w:t>
            </w:r>
          </w:p>
        </w:tc>
        <w:tc>
          <w:tcPr>
            <w:tcW w:w="1018" w:type="pct"/>
            <w:tcBorders>
              <w:top w:val="single" w:sz="4" w:space="0" w:color="auto"/>
              <w:bottom w:val="single" w:sz="4" w:space="0" w:color="auto"/>
            </w:tcBorders>
          </w:tcPr>
          <w:p w14:paraId="4CA0A9C3"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0.44 (0.02, 10.95)</w:t>
            </w:r>
          </w:p>
          <w:p w14:paraId="4A9D7F7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0.61</w:t>
            </w:r>
          </w:p>
        </w:tc>
        <w:tc>
          <w:tcPr>
            <w:tcW w:w="845" w:type="pct"/>
            <w:tcBorders>
              <w:top w:val="single" w:sz="4" w:space="0" w:color="auto"/>
              <w:bottom w:val="single" w:sz="4" w:space="0" w:color="auto"/>
            </w:tcBorders>
          </w:tcPr>
          <w:p w14:paraId="17301270"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0.44 (0.02, 10.62)</w:t>
            </w:r>
          </w:p>
          <w:p w14:paraId="2A3FFF1F"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0.61</w:t>
            </w:r>
          </w:p>
        </w:tc>
        <w:tc>
          <w:tcPr>
            <w:tcW w:w="952" w:type="pct"/>
            <w:tcBorders>
              <w:top w:val="single" w:sz="4" w:space="0" w:color="auto"/>
              <w:bottom w:val="single" w:sz="4" w:space="0" w:color="auto"/>
            </w:tcBorders>
          </w:tcPr>
          <w:p w14:paraId="742B1715"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-0.02 (-0.06, 0.03)</w:t>
            </w:r>
          </w:p>
          <w:p w14:paraId="34218421"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0.51</w:t>
            </w:r>
          </w:p>
        </w:tc>
      </w:tr>
      <w:tr w:rsidR="00EF15C9" w:rsidRPr="000D3AF3" w14:paraId="7C374419" w14:textId="77777777" w:rsidTr="007C380F">
        <w:trPr>
          <w:tblHeader/>
        </w:trPr>
        <w:tc>
          <w:tcPr>
            <w:tcW w:w="934" w:type="pct"/>
            <w:tcBorders>
              <w:top w:val="single" w:sz="4" w:space="0" w:color="auto"/>
              <w:bottom w:val="single" w:sz="4" w:space="0" w:color="auto"/>
            </w:tcBorders>
            <w:vAlign w:val="center"/>
          </w:tcPr>
          <w:p w14:paraId="3C48082C"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Abdominal pain</w:t>
            </w:r>
          </w:p>
        </w:tc>
        <w:tc>
          <w:tcPr>
            <w:tcW w:w="626" w:type="pct"/>
            <w:tcBorders>
              <w:top w:val="single" w:sz="4" w:space="0" w:color="auto"/>
              <w:bottom w:val="single" w:sz="4" w:space="0" w:color="auto"/>
            </w:tcBorders>
            <w:vAlign w:val="center"/>
          </w:tcPr>
          <w:p w14:paraId="326E5A93"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625" w:type="pct"/>
            <w:tcBorders>
              <w:top w:val="single" w:sz="4" w:space="0" w:color="auto"/>
              <w:bottom w:val="single" w:sz="4" w:space="0" w:color="auto"/>
            </w:tcBorders>
            <w:vAlign w:val="center"/>
          </w:tcPr>
          <w:p w14:paraId="4E958408" w14:textId="213E6E85" w:rsidR="00DF44DD" w:rsidRPr="000D3AF3" w:rsidRDefault="00DF44DD" w:rsidP="00484581">
            <w:pPr>
              <w:pStyle w:val="Tablecentre"/>
              <w:keepNext w:val="0"/>
              <w:widowControl w:val="0"/>
              <w:rPr>
                <w:rFonts w:ascii="Arial Narrow" w:hAnsi="Arial Narrow"/>
              </w:rPr>
            </w:pPr>
            <w:r w:rsidRPr="000D3AF3">
              <w:rPr>
                <w:rFonts w:ascii="Arial Narrow" w:hAnsi="Arial Narrow"/>
              </w:rPr>
              <w:t>3 (</w:t>
            </w:r>
            <w:r w:rsidR="00C034EF" w:rsidRPr="000D3AF3">
              <w:rPr>
                <w:rFonts w:ascii="Arial Narrow" w:hAnsi="Arial Narrow"/>
              </w:rPr>
              <w:t>4.7</w:t>
            </w:r>
            <w:r w:rsidRPr="000D3AF3">
              <w:rPr>
                <w:rFonts w:ascii="Arial Narrow" w:hAnsi="Arial Narrow"/>
              </w:rPr>
              <w:t>)</w:t>
            </w:r>
          </w:p>
        </w:tc>
        <w:tc>
          <w:tcPr>
            <w:tcW w:w="1018" w:type="pct"/>
            <w:tcBorders>
              <w:top w:val="single" w:sz="4" w:space="0" w:color="auto"/>
              <w:bottom w:val="single" w:sz="4" w:space="0" w:color="auto"/>
            </w:tcBorders>
          </w:tcPr>
          <w:p w14:paraId="58F6FD7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0.18 (0.01, 3.59)</w:t>
            </w:r>
          </w:p>
          <w:p w14:paraId="1665F6C0"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0.26</w:t>
            </w:r>
          </w:p>
        </w:tc>
        <w:tc>
          <w:tcPr>
            <w:tcW w:w="845" w:type="pct"/>
            <w:tcBorders>
              <w:top w:val="single" w:sz="4" w:space="0" w:color="auto"/>
              <w:bottom w:val="single" w:sz="4" w:space="0" w:color="auto"/>
            </w:tcBorders>
          </w:tcPr>
          <w:p w14:paraId="60B7F2A6"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0.19 (0.01, 3.58)</w:t>
            </w:r>
          </w:p>
          <w:p w14:paraId="0BE4AE6A"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0.27</w:t>
            </w:r>
          </w:p>
        </w:tc>
        <w:tc>
          <w:tcPr>
            <w:tcW w:w="952" w:type="pct"/>
            <w:tcBorders>
              <w:top w:val="single" w:sz="4" w:space="0" w:color="auto"/>
              <w:bottom w:val="single" w:sz="4" w:space="0" w:color="auto"/>
            </w:tcBorders>
          </w:tcPr>
          <w:p w14:paraId="5F03BF65"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-0.05 (-0.11, 0.01)</w:t>
            </w:r>
          </w:p>
          <w:p w14:paraId="2DD269F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0.14</w:t>
            </w:r>
          </w:p>
        </w:tc>
      </w:tr>
      <w:tr w:rsidR="00EF15C9" w:rsidRPr="000D3AF3" w14:paraId="65038E2F" w14:textId="77777777" w:rsidTr="007C380F">
        <w:trPr>
          <w:tblHeader/>
        </w:trPr>
        <w:tc>
          <w:tcPr>
            <w:tcW w:w="934" w:type="pct"/>
            <w:tcBorders>
              <w:top w:val="single" w:sz="4" w:space="0" w:color="auto"/>
              <w:bottom w:val="single" w:sz="4" w:space="0" w:color="auto"/>
            </w:tcBorders>
            <w:vAlign w:val="center"/>
          </w:tcPr>
          <w:p w14:paraId="6F3C7574"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Headache</w:t>
            </w:r>
          </w:p>
        </w:tc>
        <w:tc>
          <w:tcPr>
            <w:tcW w:w="626" w:type="pct"/>
            <w:tcBorders>
              <w:top w:val="single" w:sz="4" w:space="0" w:color="auto"/>
              <w:bottom w:val="single" w:sz="4" w:space="0" w:color="auto"/>
            </w:tcBorders>
            <w:vAlign w:val="center"/>
          </w:tcPr>
          <w:p w14:paraId="7D72E570"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625" w:type="pct"/>
            <w:tcBorders>
              <w:top w:val="single" w:sz="4" w:space="0" w:color="auto"/>
              <w:bottom w:val="single" w:sz="4" w:space="0" w:color="auto"/>
            </w:tcBorders>
            <w:vAlign w:val="center"/>
          </w:tcPr>
          <w:p w14:paraId="3BD8F518" w14:textId="1B65642E" w:rsidR="00DF44DD" w:rsidRPr="000D3AF3" w:rsidRDefault="00DF44DD" w:rsidP="00484581">
            <w:pPr>
              <w:pStyle w:val="Tablecentre"/>
              <w:keepNext w:val="0"/>
              <w:widowControl w:val="0"/>
              <w:rPr>
                <w:rFonts w:ascii="Arial Narrow" w:hAnsi="Arial Narrow"/>
              </w:rPr>
            </w:pPr>
            <w:r w:rsidRPr="000D3AF3">
              <w:rPr>
                <w:rFonts w:ascii="Arial Narrow" w:hAnsi="Arial Narrow"/>
              </w:rPr>
              <w:t>1 (</w:t>
            </w:r>
            <w:r w:rsidR="00C034EF" w:rsidRPr="000D3AF3">
              <w:rPr>
                <w:rFonts w:ascii="Arial Narrow" w:hAnsi="Arial Narrow"/>
              </w:rPr>
              <w:t>1.6</w:t>
            </w:r>
            <w:r w:rsidRPr="000D3AF3">
              <w:rPr>
                <w:rFonts w:ascii="Arial Narrow" w:hAnsi="Arial Narrow"/>
              </w:rPr>
              <w:t>)</w:t>
            </w:r>
          </w:p>
        </w:tc>
        <w:tc>
          <w:tcPr>
            <w:tcW w:w="1018" w:type="pct"/>
            <w:tcBorders>
              <w:top w:val="single" w:sz="4" w:space="0" w:color="auto"/>
              <w:bottom w:val="single" w:sz="4" w:space="0" w:color="auto"/>
            </w:tcBorders>
          </w:tcPr>
          <w:p w14:paraId="0D3F79DB"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0.44 (0.02, 10.95)</w:t>
            </w:r>
          </w:p>
          <w:p w14:paraId="57327BC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0.61</w:t>
            </w:r>
          </w:p>
        </w:tc>
        <w:tc>
          <w:tcPr>
            <w:tcW w:w="845" w:type="pct"/>
            <w:tcBorders>
              <w:top w:val="single" w:sz="4" w:space="0" w:color="auto"/>
              <w:bottom w:val="single" w:sz="4" w:space="0" w:color="auto"/>
            </w:tcBorders>
          </w:tcPr>
          <w:p w14:paraId="46C299F7"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0.44 (0.02, 10.62)</w:t>
            </w:r>
          </w:p>
          <w:p w14:paraId="3299866D"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0.61</w:t>
            </w:r>
          </w:p>
        </w:tc>
        <w:tc>
          <w:tcPr>
            <w:tcW w:w="952" w:type="pct"/>
            <w:tcBorders>
              <w:top w:val="single" w:sz="4" w:space="0" w:color="auto"/>
              <w:bottom w:val="single" w:sz="4" w:space="0" w:color="auto"/>
            </w:tcBorders>
          </w:tcPr>
          <w:p w14:paraId="46C6DA71"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-0.02 (-0.06, 0.03)</w:t>
            </w:r>
          </w:p>
          <w:p w14:paraId="55B6E888"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0.51</w:t>
            </w:r>
          </w:p>
        </w:tc>
      </w:tr>
      <w:tr w:rsidR="00EF15C9" w:rsidRPr="000D3AF3" w14:paraId="63EC69AA" w14:textId="77777777" w:rsidTr="007C380F">
        <w:trPr>
          <w:tblHeader/>
        </w:trPr>
        <w:tc>
          <w:tcPr>
            <w:tcW w:w="934" w:type="pct"/>
            <w:tcBorders>
              <w:top w:val="single" w:sz="4" w:space="0" w:color="auto"/>
              <w:bottom w:val="single" w:sz="4" w:space="0" w:color="auto"/>
            </w:tcBorders>
            <w:vAlign w:val="center"/>
          </w:tcPr>
          <w:p w14:paraId="547286AD"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Hyperlipasaemia / increased lipase</w:t>
            </w:r>
          </w:p>
        </w:tc>
        <w:tc>
          <w:tcPr>
            <w:tcW w:w="626" w:type="pct"/>
            <w:tcBorders>
              <w:top w:val="single" w:sz="4" w:space="0" w:color="auto"/>
              <w:bottom w:val="single" w:sz="4" w:space="0" w:color="auto"/>
            </w:tcBorders>
            <w:vAlign w:val="center"/>
          </w:tcPr>
          <w:p w14:paraId="48A58060"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1 (2.1)</w:t>
            </w:r>
          </w:p>
        </w:tc>
        <w:tc>
          <w:tcPr>
            <w:tcW w:w="625" w:type="pct"/>
            <w:tcBorders>
              <w:top w:val="single" w:sz="4" w:space="0" w:color="auto"/>
              <w:bottom w:val="single" w:sz="4" w:space="0" w:color="auto"/>
            </w:tcBorders>
            <w:vAlign w:val="center"/>
          </w:tcPr>
          <w:p w14:paraId="103AC170" w14:textId="5F17A7C5" w:rsidR="00DF44DD" w:rsidRPr="000D3AF3" w:rsidRDefault="00DF44DD" w:rsidP="00484581">
            <w:pPr>
              <w:pStyle w:val="Tablecentre"/>
              <w:keepNext w:val="0"/>
              <w:widowControl w:val="0"/>
              <w:rPr>
                <w:rFonts w:ascii="Arial Narrow" w:hAnsi="Arial Narrow"/>
              </w:rPr>
            </w:pPr>
            <w:r w:rsidRPr="000D3AF3">
              <w:rPr>
                <w:rFonts w:ascii="Arial Narrow" w:hAnsi="Arial Narrow"/>
              </w:rPr>
              <w:t>4 (6</w:t>
            </w:r>
            <w:r w:rsidR="00C034EF" w:rsidRPr="000D3AF3">
              <w:rPr>
                <w:rFonts w:ascii="Arial Narrow" w:hAnsi="Arial Narrow"/>
              </w:rPr>
              <w:t>.3</w:t>
            </w:r>
            <w:r w:rsidRPr="000D3AF3">
              <w:rPr>
                <w:rFonts w:ascii="Arial Narrow" w:hAnsi="Arial Narrow"/>
              </w:rPr>
              <w:t>)</w:t>
            </w:r>
          </w:p>
        </w:tc>
        <w:tc>
          <w:tcPr>
            <w:tcW w:w="1018" w:type="pct"/>
            <w:tcBorders>
              <w:top w:val="single" w:sz="4" w:space="0" w:color="auto"/>
              <w:bottom w:val="single" w:sz="4" w:space="0" w:color="auto"/>
            </w:tcBorders>
          </w:tcPr>
          <w:p w14:paraId="391BA201"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0.32 (0.03, 2.95)</w:t>
            </w:r>
          </w:p>
          <w:p w14:paraId="7422E2AB"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0.31</w:t>
            </w:r>
          </w:p>
        </w:tc>
        <w:tc>
          <w:tcPr>
            <w:tcW w:w="845" w:type="pct"/>
            <w:tcBorders>
              <w:top w:val="single" w:sz="4" w:space="0" w:color="auto"/>
              <w:bottom w:val="single" w:sz="4" w:space="0" w:color="auto"/>
            </w:tcBorders>
          </w:tcPr>
          <w:p w14:paraId="795E9FF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0.33 (0.04, 2.89)</w:t>
            </w:r>
          </w:p>
          <w:p w14:paraId="3E2B016C"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0.32</w:t>
            </w:r>
          </w:p>
        </w:tc>
        <w:tc>
          <w:tcPr>
            <w:tcW w:w="952" w:type="pct"/>
            <w:tcBorders>
              <w:top w:val="single" w:sz="4" w:space="0" w:color="auto"/>
              <w:bottom w:val="single" w:sz="4" w:space="0" w:color="auto"/>
            </w:tcBorders>
          </w:tcPr>
          <w:p w14:paraId="12E2657A"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-0.04 (-0.11, 0.03)</w:t>
            </w:r>
          </w:p>
          <w:p w14:paraId="125BB99D"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0.26</w:t>
            </w:r>
          </w:p>
        </w:tc>
      </w:tr>
      <w:tr w:rsidR="00EF15C9" w:rsidRPr="000D3AF3" w14:paraId="674A78D5" w14:textId="77777777" w:rsidTr="007C380F">
        <w:trPr>
          <w:tblHeader/>
        </w:trPr>
        <w:tc>
          <w:tcPr>
            <w:tcW w:w="934" w:type="pct"/>
            <w:tcBorders>
              <w:top w:val="single" w:sz="4" w:space="0" w:color="auto"/>
              <w:bottom w:val="single" w:sz="4" w:space="0" w:color="auto"/>
            </w:tcBorders>
            <w:vAlign w:val="center"/>
          </w:tcPr>
          <w:p w14:paraId="7F9E9058"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Fatigue</w:t>
            </w:r>
          </w:p>
        </w:tc>
        <w:tc>
          <w:tcPr>
            <w:tcW w:w="626" w:type="pct"/>
            <w:tcBorders>
              <w:top w:val="single" w:sz="4" w:space="0" w:color="auto"/>
              <w:bottom w:val="single" w:sz="4" w:space="0" w:color="auto"/>
            </w:tcBorders>
            <w:vAlign w:val="center"/>
          </w:tcPr>
          <w:p w14:paraId="01148E43"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1 (2.1)</w:t>
            </w:r>
          </w:p>
        </w:tc>
        <w:tc>
          <w:tcPr>
            <w:tcW w:w="625" w:type="pct"/>
            <w:tcBorders>
              <w:top w:val="single" w:sz="4" w:space="0" w:color="auto"/>
              <w:bottom w:val="single" w:sz="4" w:space="0" w:color="auto"/>
            </w:tcBorders>
            <w:vAlign w:val="center"/>
          </w:tcPr>
          <w:p w14:paraId="0CA2516C"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1018" w:type="pct"/>
            <w:tcBorders>
              <w:top w:val="single" w:sz="4" w:space="0" w:color="auto"/>
              <w:bottom w:val="single" w:sz="4" w:space="0" w:color="auto"/>
            </w:tcBorders>
          </w:tcPr>
          <w:p w14:paraId="4A1A4EBD"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4.07 (0.16, 102.21)</w:t>
            </w:r>
          </w:p>
          <w:p w14:paraId="6E4B77F8"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0.39</w:t>
            </w:r>
          </w:p>
        </w:tc>
        <w:tc>
          <w:tcPr>
            <w:tcW w:w="845" w:type="pct"/>
            <w:tcBorders>
              <w:top w:val="single" w:sz="4" w:space="0" w:color="auto"/>
              <w:bottom w:val="single" w:sz="4" w:space="0" w:color="auto"/>
            </w:tcBorders>
          </w:tcPr>
          <w:p w14:paraId="60465C61"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3.98 (0.17, 95.61)</w:t>
            </w:r>
          </w:p>
          <w:p w14:paraId="0652D5AD"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0.39</w:t>
            </w:r>
          </w:p>
        </w:tc>
        <w:tc>
          <w:tcPr>
            <w:tcW w:w="952" w:type="pct"/>
            <w:tcBorders>
              <w:top w:val="single" w:sz="4" w:space="0" w:color="auto"/>
              <w:bottom w:val="single" w:sz="4" w:space="0" w:color="auto"/>
            </w:tcBorders>
          </w:tcPr>
          <w:p w14:paraId="32DBF88F"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0.02 (-0.03, 0.07)</w:t>
            </w:r>
          </w:p>
          <w:p w14:paraId="3BDB4DF5"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0.44</w:t>
            </w:r>
          </w:p>
        </w:tc>
      </w:tr>
      <w:tr w:rsidR="00EF15C9" w:rsidRPr="000D3AF3" w14:paraId="5BF39B2F" w14:textId="77777777" w:rsidTr="007C380F">
        <w:trPr>
          <w:tblHeader/>
        </w:trPr>
        <w:tc>
          <w:tcPr>
            <w:tcW w:w="934" w:type="pct"/>
            <w:tcBorders>
              <w:top w:val="single" w:sz="4" w:space="0" w:color="auto"/>
              <w:bottom w:val="single" w:sz="4" w:space="0" w:color="auto"/>
            </w:tcBorders>
            <w:vAlign w:val="center"/>
          </w:tcPr>
          <w:p w14:paraId="2F0A7280"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Constipation</w:t>
            </w:r>
          </w:p>
        </w:tc>
        <w:tc>
          <w:tcPr>
            <w:tcW w:w="626" w:type="pct"/>
            <w:tcBorders>
              <w:top w:val="single" w:sz="4" w:space="0" w:color="auto"/>
              <w:bottom w:val="single" w:sz="4" w:space="0" w:color="auto"/>
            </w:tcBorders>
            <w:vAlign w:val="center"/>
          </w:tcPr>
          <w:p w14:paraId="3ED75A4A"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625" w:type="pct"/>
            <w:tcBorders>
              <w:top w:val="single" w:sz="4" w:space="0" w:color="auto"/>
              <w:bottom w:val="single" w:sz="4" w:space="0" w:color="auto"/>
            </w:tcBorders>
            <w:vAlign w:val="center"/>
          </w:tcPr>
          <w:p w14:paraId="66AF8ECA" w14:textId="2F90F9D9" w:rsidR="00DF44DD" w:rsidRPr="000D3AF3" w:rsidRDefault="00DF44DD" w:rsidP="00484581">
            <w:pPr>
              <w:pStyle w:val="Tablecentre"/>
              <w:keepNext w:val="0"/>
              <w:widowControl w:val="0"/>
              <w:rPr>
                <w:rFonts w:ascii="Arial Narrow" w:hAnsi="Arial Narrow"/>
              </w:rPr>
            </w:pPr>
            <w:r w:rsidRPr="000D3AF3">
              <w:rPr>
                <w:rFonts w:ascii="Arial Narrow" w:hAnsi="Arial Narrow"/>
              </w:rPr>
              <w:t>1 (</w:t>
            </w:r>
            <w:r w:rsidR="00C034EF" w:rsidRPr="000D3AF3">
              <w:rPr>
                <w:rFonts w:ascii="Arial Narrow" w:hAnsi="Arial Narrow"/>
              </w:rPr>
              <w:t>1.6</w:t>
            </w:r>
            <w:r w:rsidRPr="000D3AF3">
              <w:rPr>
                <w:rFonts w:ascii="Arial Narrow" w:hAnsi="Arial Narrow"/>
              </w:rPr>
              <w:t>)</w:t>
            </w:r>
          </w:p>
        </w:tc>
        <w:tc>
          <w:tcPr>
            <w:tcW w:w="1018" w:type="pct"/>
            <w:tcBorders>
              <w:top w:val="single" w:sz="4" w:space="0" w:color="auto"/>
              <w:bottom w:val="single" w:sz="4" w:space="0" w:color="auto"/>
            </w:tcBorders>
          </w:tcPr>
          <w:p w14:paraId="7805C747"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0.44 (0.02, 10.95)</w:t>
            </w:r>
          </w:p>
          <w:p w14:paraId="10BADE37"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0.61</w:t>
            </w:r>
          </w:p>
        </w:tc>
        <w:tc>
          <w:tcPr>
            <w:tcW w:w="845" w:type="pct"/>
            <w:tcBorders>
              <w:top w:val="single" w:sz="4" w:space="0" w:color="auto"/>
              <w:bottom w:val="single" w:sz="4" w:space="0" w:color="auto"/>
            </w:tcBorders>
          </w:tcPr>
          <w:p w14:paraId="6BEB9B5A"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0.44 (0.02, 10.62)</w:t>
            </w:r>
          </w:p>
          <w:p w14:paraId="48B3AE73"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0.61</w:t>
            </w:r>
          </w:p>
        </w:tc>
        <w:tc>
          <w:tcPr>
            <w:tcW w:w="952" w:type="pct"/>
            <w:tcBorders>
              <w:top w:val="single" w:sz="4" w:space="0" w:color="auto"/>
              <w:bottom w:val="single" w:sz="4" w:space="0" w:color="auto"/>
            </w:tcBorders>
          </w:tcPr>
          <w:p w14:paraId="30385B34"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-0.02 (-0.06, 0.03)</w:t>
            </w:r>
          </w:p>
          <w:p w14:paraId="7D0FA32B"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0.51</w:t>
            </w:r>
          </w:p>
        </w:tc>
      </w:tr>
      <w:tr w:rsidR="00EF15C9" w:rsidRPr="000D3AF3" w14:paraId="347657BD" w14:textId="77777777" w:rsidTr="007C380F">
        <w:trPr>
          <w:tblHeader/>
        </w:trPr>
        <w:tc>
          <w:tcPr>
            <w:tcW w:w="934" w:type="pct"/>
            <w:tcBorders>
              <w:top w:val="single" w:sz="4" w:space="0" w:color="auto"/>
              <w:bottom w:val="single" w:sz="4" w:space="0" w:color="auto"/>
            </w:tcBorders>
            <w:vAlign w:val="center"/>
          </w:tcPr>
          <w:p w14:paraId="2B954FF0"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Myalgia</w:t>
            </w:r>
          </w:p>
        </w:tc>
        <w:tc>
          <w:tcPr>
            <w:tcW w:w="626" w:type="pct"/>
            <w:tcBorders>
              <w:top w:val="single" w:sz="4" w:space="0" w:color="auto"/>
              <w:bottom w:val="single" w:sz="4" w:space="0" w:color="auto"/>
            </w:tcBorders>
            <w:vAlign w:val="center"/>
          </w:tcPr>
          <w:p w14:paraId="1A287950"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625" w:type="pct"/>
            <w:tcBorders>
              <w:top w:val="single" w:sz="4" w:space="0" w:color="auto"/>
              <w:bottom w:val="single" w:sz="4" w:space="0" w:color="auto"/>
            </w:tcBorders>
            <w:vAlign w:val="center"/>
          </w:tcPr>
          <w:p w14:paraId="1DC2C4B6" w14:textId="08808BB7" w:rsidR="00DF44DD" w:rsidRPr="000D3AF3" w:rsidRDefault="00DF44DD" w:rsidP="00484581">
            <w:pPr>
              <w:pStyle w:val="Tablecentre"/>
              <w:keepNext w:val="0"/>
              <w:widowControl w:val="0"/>
              <w:rPr>
                <w:rFonts w:ascii="Arial Narrow" w:hAnsi="Arial Narrow"/>
              </w:rPr>
            </w:pPr>
            <w:r w:rsidRPr="000D3AF3">
              <w:rPr>
                <w:rFonts w:ascii="Arial Narrow" w:hAnsi="Arial Narrow"/>
              </w:rPr>
              <w:t>1 (</w:t>
            </w:r>
            <w:r w:rsidR="00C034EF" w:rsidRPr="000D3AF3">
              <w:rPr>
                <w:rFonts w:ascii="Arial Narrow" w:hAnsi="Arial Narrow"/>
              </w:rPr>
              <w:t>1.6</w:t>
            </w:r>
            <w:r w:rsidRPr="000D3AF3">
              <w:rPr>
                <w:rFonts w:ascii="Arial Narrow" w:hAnsi="Arial Narrow"/>
              </w:rPr>
              <w:t>)</w:t>
            </w:r>
          </w:p>
        </w:tc>
        <w:tc>
          <w:tcPr>
            <w:tcW w:w="1018" w:type="pct"/>
            <w:tcBorders>
              <w:top w:val="single" w:sz="4" w:space="0" w:color="auto"/>
              <w:bottom w:val="single" w:sz="4" w:space="0" w:color="auto"/>
            </w:tcBorders>
          </w:tcPr>
          <w:p w14:paraId="54013B01"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0.44 (0.02, 10.95)</w:t>
            </w:r>
          </w:p>
          <w:p w14:paraId="4E417ABE"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0.61</w:t>
            </w:r>
          </w:p>
        </w:tc>
        <w:tc>
          <w:tcPr>
            <w:tcW w:w="845" w:type="pct"/>
            <w:tcBorders>
              <w:top w:val="single" w:sz="4" w:space="0" w:color="auto"/>
              <w:bottom w:val="single" w:sz="4" w:space="0" w:color="auto"/>
            </w:tcBorders>
          </w:tcPr>
          <w:p w14:paraId="410E9BA6"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0.44 (0.02, 10.62)</w:t>
            </w:r>
          </w:p>
          <w:p w14:paraId="6875F3DD"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0.61</w:t>
            </w:r>
          </w:p>
        </w:tc>
        <w:tc>
          <w:tcPr>
            <w:tcW w:w="952" w:type="pct"/>
            <w:tcBorders>
              <w:top w:val="single" w:sz="4" w:space="0" w:color="auto"/>
              <w:bottom w:val="single" w:sz="4" w:space="0" w:color="auto"/>
            </w:tcBorders>
          </w:tcPr>
          <w:p w14:paraId="101946D8"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-0.02 (-0.06, 0.03)</w:t>
            </w:r>
          </w:p>
          <w:p w14:paraId="34BF92FA"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0.51</w:t>
            </w:r>
          </w:p>
        </w:tc>
      </w:tr>
      <w:tr w:rsidR="00EF15C9" w:rsidRPr="000D3AF3" w14:paraId="5208BFCE" w14:textId="77777777" w:rsidTr="007C380F">
        <w:trPr>
          <w:tblHeader/>
        </w:trPr>
        <w:tc>
          <w:tcPr>
            <w:tcW w:w="934" w:type="pct"/>
            <w:tcBorders>
              <w:top w:val="single" w:sz="4" w:space="0" w:color="auto"/>
              <w:bottom w:val="single" w:sz="4" w:space="0" w:color="auto"/>
            </w:tcBorders>
            <w:vAlign w:val="center"/>
          </w:tcPr>
          <w:p w14:paraId="3B10BC1C"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Arthralgia</w:t>
            </w:r>
          </w:p>
        </w:tc>
        <w:tc>
          <w:tcPr>
            <w:tcW w:w="626" w:type="pct"/>
            <w:tcBorders>
              <w:top w:val="single" w:sz="4" w:space="0" w:color="auto"/>
              <w:bottom w:val="single" w:sz="4" w:space="0" w:color="auto"/>
            </w:tcBorders>
            <w:vAlign w:val="center"/>
          </w:tcPr>
          <w:p w14:paraId="0C0D5ED5"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625" w:type="pct"/>
            <w:tcBorders>
              <w:top w:val="single" w:sz="4" w:space="0" w:color="auto"/>
              <w:bottom w:val="single" w:sz="4" w:space="0" w:color="auto"/>
            </w:tcBorders>
            <w:vAlign w:val="center"/>
          </w:tcPr>
          <w:p w14:paraId="77FBD0FD" w14:textId="602755B2" w:rsidR="00DF44DD" w:rsidRPr="000D3AF3" w:rsidRDefault="00DF44DD" w:rsidP="00484581">
            <w:pPr>
              <w:pStyle w:val="Tablecentre"/>
              <w:keepNext w:val="0"/>
              <w:widowControl w:val="0"/>
              <w:rPr>
                <w:rFonts w:ascii="Arial Narrow" w:hAnsi="Arial Narrow"/>
              </w:rPr>
            </w:pPr>
            <w:r w:rsidRPr="000D3AF3">
              <w:rPr>
                <w:rFonts w:ascii="Arial Narrow" w:hAnsi="Arial Narrow"/>
              </w:rPr>
              <w:t>2 (3</w:t>
            </w:r>
            <w:r w:rsidR="00C034EF" w:rsidRPr="000D3AF3">
              <w:rPr>
                <w:rFonts w:ascii="Arial Narrow" w:hAnsi="Arial Narrow"/>
              </w:rPr>
              <w:t>.1</w:t>
            </w:r>
            <w:r w:rsidRPr="000D3AF3">
              <w:rPr>
                <w:rFonts w:ascii="Arial Narrow" w:hAnsi="Arial Narrow"/>
              </w:rPr>
              <w:t>)</w:t>
            </w:r>
          </w:p>
        </w:tc>
        <w:tc>
          <w:tcPr>
            <w:tcW w:w="1018" w:type="pct"/>
            <w:tcBorders>
              <w:top w:val="single" w:sz="4" w:space="0" w:color="auto"/>
              <w:bottom w:val="single" w:sz="4" w:space="0" w:color="auto"/>
            </w:tcBorders>
          </w:tcPr>
          <w:p w14:paraId="128D8248"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0.26 (0.01, 5.49)</w:t>
            </w:r>
          </w:p>
          <w:p w14:paraId="59CBCE1C"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0.39</w:t>
            </w:r>
          </w:p>
        </w:tc>
        <w:tc>
          <w:tcPr>
            <w:tcW w:w="845" w:type="pct"/>
            <w:tcBorders>
              <w:top w:val="single" w:sz="4" w:space="0" w:color="auto"/>
              <w:bottom w:val="single" w:sz="4" w:space="0" w:color="auto"/>
            </w:tcBorders>
          </w:tcPr>
          <w:p w14:paraId="7AAEECB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0.27 (0.01, 5.40)</w:t>
            </w:r>
          </w:p>
          <w:p w14:paraId="23BC6C45"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0.39</w:t>
            </w:r>
          </w:p>
        </w:tc>
        <w:tc>
          <w:tcPr>
            <w:tcW w:w="952" w:type="pct"/>
            <w:tcBorders>
              <w:top w:val="single" w:sz="4" w:space="0" w:color="auto"/>
              <w:bottom w:val="single" w:sz="4" w:space="0" w:color="auto"/>
            </w:tcBorders>
          </w:tcPr>
          <w:p w14:paraId="0E925EAC"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-0.03 (-0.09, 0.02)</w:t>
            </w:r>
          </w:p>
          <w:p w14:paraId="2046AA87"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0.26</w:t>
            </w:r>
          </w:p>
        </w:tc>
      </w:tr>
      <w:tr w:rsidR="00EF15C9" w:rsidRPr="000D3AF3" w14:paraId="3DB61ED4" w14:textId="77777777" w:rsidTr="007C380F">
        <w:trPr>
          <w:tblHeader/>
        </w:trPr>
        <w:tc>
          <w:tcPr>
            <w:tcW w:w="934" w:type="pct"/>
            <w:tcBorders>
              <w:top w:val="single" w:sz="4" w:space="0" w:color="auto"/>
              <w:bottom w:val="single" w:sz="4" w:space="0" w:color="auto"/>
            </w:tcBorders>
            <w:vAlign w:val="center"/>
          </w:tcPr>
          <w:p w14:paraId="34B3159B"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Nausea</w:t>
            </w:r>
          </w:p>
        </w:tc>
        <w:tc>
          <w:tcPr>
            <w:tcW w:w="626" w:type="pct"/>
            <w:tcBorders>
              <w:top w:val="single" w:sz="4" w:space="0" w:color="auto"/>
              <w:bottom w:val="single" w:sz="4" w:space="0" w:color="auto"/>
            </w:tcBorders>
            <w:vAlign w:val="center"/>
          </w:tcPr>
          <w:p w14:paraId="5550B7FE"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625" w:type="pct"/>
            <w:tcBorders>
              <w:top w:val="single" w:sz="4" w:space="0" w:color="auto"/>
              <w:bottom w:val="single" w:sz="4" w:space="0" w:color="auto"/>
            </w:tcBorders>
            <w:vAlign w:val="center"/>
          </w:tcPr>
          <w:p w14:paraId="14AF7F91"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1018" w:type="pct"/>
            <w:tcBorders>
              <w:top w:val="single" w:sz="4" w:space="0" w:color="auto"/>
              <w:bottom w:val="single" w:sz="4" w:space="0" w:color="auto"/>
            </w:tcBorders>
            <w:vAlign w:val="center"/>
          </w:tcPr>
          <w:p w14:paraId="2BBD8D8E"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NE</w:t>
            </w:r>
          </w:p>
        </w:tc>
        <w:tc>
          <w:tcPr>
            <w:tcW w:w="845" w:type="pct"/>
            <w:tcBorders>
              <w:top w:val="single" w:sz="4" w:space="0" w:color="auto"/>
              <w:bottom w:val="single" w:sz="4" w:space="0" w:color="auto"/>
            </w:tcBorders>
            <w:vAlign w:val="center"/>
          </w:tcPr>
          <w:p w14:paraId="21EC5D0D"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NE</w:t>
            </w:r>
          </w:p>
        </w:tc>
        <w:tc>
          <w:tcPr>
            <w:tcW w:w="952" w:type="pct"/>
            <w:tcBorders>
              <w:top w:val="single" w:sz="4" w:space="0" w:color="auto"/>
              <w:bottom w:val="single" w:sz="4" w:space="0" w:color="auto"/>
            </w:tcBorders>
          </w:tcPr>
          <w:p w14:paraId="03BA74BF"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0.00 (-0.04, 0.04)</w:t>
            </w:r>
          </w:p>
          <w:p w14:paraId="231D7FA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1.00</w:t>
            </w:r>
          </w:p>
        </w:tc>
      </w:tr>
      <w:tr w:rsidR="00EF15C9" w:rsidRPr="000D3AF3" w14:paraId="01744E7D" w14:textId="77777777" w:rsidTr="007C380F">
        <w:trPr>
          <w:tblHeader/>
        </w:trPr>
        <w:tc>
          <w:tcPr>
            <w:tcW w:w="934" w:type="pct"/>
            <w:tcBorders>
              <w:top w:val="single" w:sz="4" w:space="0" w:color="auto"/>
              <w:bottom w:val="single" w:sz="4" w:space="0" w:color="auto"/>
            </w:tcBorders>
            <w:vAlign w:val="center"/>
          </w:tcPr>
          <w:p w14:paraId="0EC96E9B"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Increased ALT</w:t>
            </w:r>
          </w:p>
        </w:tc>
        <w:tc>
          <w:tcPr>
            <w:tcW w:w="626" w:type="pct"/>
            <w:tcBorders>
              <w:top w:val="single" w:sz="4" w:space="0" w:color="auto"/>
              <w:bottom w:val="single" w:sz="4" w:space="0" w:color="auto"/>
            </w:tcBorders>
            <w:vAlign w:val="center"/>
          </w:tcPr>
          <w:p w14:paraId="60A4DDA3"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1 (2.1)</w:t>
            </w:r>
          </w:p>
        </w:tc>
        <w:tc>
          <w:tcPr>
            <w:tcW w:w="625" w:type="pct"/>
            <w:tcBorders>
              <w:top w:val="single" w:sz="4" w:space="0" w:color="auto"/>
              <w:bottom w:val="single" w:sz="4" w:space="0" w:color="auto"/>
            </w:tcBorders>
            <w:vAlign w:val="center"/>
          </w:tcPr>
          <w:p w14:paraId="2FD7B24C"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1018" w:type="pct"/>
            <w:tcBorders>
              <w:top w:val="single" w:sz="4" w:space="0" w:color="auto"/>
              <w:bottom w:val="single" w:sz="4" w:space="0" w:color="auto"/>
            </w:tcBorders>
          </w:tcPr>
          <w:p w14:paraId="00DFDFA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4.07 (0.16, 102.21)</w:t>
            </w:r>
          </w:p>
          <w:p w14:paraId="279405E7"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0.39</w:t>
            </w:r>
          </w:p>
        </w:tc>
        <w:tc>
          <w:tcPr>
            <w:tcW w:w="845" w:type="pct"/>
            <w:tcBorders>
              <w:top w:val="single" w:sz="4" w:space="0" w:color="auto"/>
              <w:bottom w:val="single" w:sz="4" w:space="0" w:color="auto"/>
            </w:tcBorders>
          </w:tcPr>
          <w:p w14:paraId="74B3288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3.98 (0.17, 95.61)</w:t>
            </w:r>
          </w:p>
          <w:p w14:paraId="18270F43"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0.39</w:t>
            </w:r>
          </w:p>
        </w:tc>
        <w:tc>
          <w:tcPr>
            <w:tcW w:w="952" w:type="pct"/>
            <w:tcBorders>
              <w:top w:val="single" w:sz="4" w:space="0" w:color="auto"/>
              <w:bottom w:val="single" w:sz="4" w:space="0" w:color="auto"/>
            </w:tcBorders>
          </w:tcPr>
          <w:p w14:paraId="2D814665"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0.02 (-0.03, 0.07)</w:t>
            </w:r>
          </w:p>
          <w:p w14:paraId="53766E5A"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0.44</w:t>
            </w:r>
          </w:p>
        </w:tc>
      </w:tr>
      <w:tr w:rsidR="00EF15C9" w:rsidRPr="000D3AF3" w14:paraId="188AF4CB" w14:textId="77777777" w:rsidTr="007C380F">
        <w:trPr>
          <w:tblHeader/>
        </w:trPr>
        <w:tc>
          <w:tcPr>
            <w:tcW w:w="934" w:type="pct"/>
            <w:tcBorders>
              <w:top w:val="single" w:sz="4" w:space="0" w:color="auto"/>
              <w:bottom w:val="single" w:sz="4" w:space="0" w:color="auto"/>
            </w:tcBorders>
            <w:vAlign w:val="center"/>
          </w:tcPr>
          <w:p w14:paraId="65F3B214"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Pancreatitis</w:t>
            </w:r>
          </w:p>
        </w:tc>
        <w:tc>
          <w:tcPr>
            <w:tcW w:w="626" w:type="pct"/>
            <w:tcBorders>
              <w:top w:val="single" w:sz="4" w:space="0" w:color="auto"/>
              <w:bottom w:val="single" w:sz="4" w:space="0" w:color="auto"/>
            </w:tcBorders>
            <w:vAlign w:val="center"/>
          </w:tcPr>
          <w:p w14:paraId="51038A9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625" w:type="pct"/>
            <w:tcBorders>
              <w:top w:val="single" w:sz="4" w:space="0" w:color="auto"/>
              <w:bottom w:val="single" w:sz="4" w:space="0" w:color="auto"/>
            </w:tcBorders>
            <w:vAlign w:val="center"/>
          </w:tcPr>
          <w:p w14:paraId="0FE8F304" w14:textId="77A306B4" w:rsidR="00DF44DD" w:rsidRPr="000D3AF3" w:rsidRDefault="00DF44DD" w:rsidP="00484581">
            <w:pPr>
              <w:pStyle w:val="Tablecentre"/>
              <w:keepNext w:val="0"/>
              <w:widowControl w:val="0"/>
              <w:rPr>
                <w:rFonts w:ascii="Arial Narrow" w:hAnsi="Arial Narrow"/>
              </w:rPr>
            </w:pPr>
            <w:r w:rsidRPr="000D3AF3">
              <w:rPr>
                <w:rFonts w:ascii="Arial Narrow" w:hAnsi="Arial Narrow"/>
              </w:rPr>
              <w:t>5 (</w:t>
            </w:r>
            <w:r w:rsidR="00C034EF" w:rsidRPr="000D3AF3">
              <w:rPr>
                <w:rFonts w:ascii="Arial Narrow" w:hAnsi="Arial Narrow"/>
              </w:rPr>
              <w:t>7.</w:t>
            </w:r>
            <w:r w:rsidRPr="000D3AF3">
              <w:rPr>
                <w:rFonts w:ascii="Arial Narrow" w:hAnsi="Arial Narrow"/>
              </w:rPr>
              <w:t>8)</w:t>
            </w:r>
          </w:p>
        </w:tc>
        <w:tc>
          <w:tcPr>
            <w:tcW w:w="1018" w:type="pct"/>
            <w:tcBorders>
              <w:top w:val="single" w:sz="4" w:space="0" w:color="auto"/>
              <w:bottom w:val="single" w:sz="4" w:space="0" w:color="auto"/>
            </w:tcBorders>
          </w:tcPr>
          <w:p w14:paraId="76BF955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0.11 (0.01, 2.07)</w:t>
            </w:r>
          </w:p>
          <w:p w14:paraId="2ED180AD"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0.14</w:t>
            </w:r>
          </w:p>
        </w:tc>
        <w:tc>
          <w:tcPr>
            <w:tcW w:w="845" w:type="pct"/>
            <w:tcBorders>
              <w:top w:val="single" w:sz="4" w:space="0" w:color="auto"/>
              <w:bottom w:val="single" w:sz="4" w:space="0" w:color="auto"/>
            </w:tcBorders>
          </w:tcPr>
          <w:p w14:paraId="364244BD"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0.12 (0.01, 2.13)</w:t>
            </w:r>
          </w:p>
          <w:p w14:paraId="2753E2F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0.15</w:t>
            </w:r>
          </w:p>
        </w:tc>
        <w:tc>
          <w:tcPr>
            <w:tcW w:w="952" w:type="pct"/>
            <w:tcBorders>
              <w:top w:val="single" w:sz="4" w:space="0" w:color="auto"/>
              <w:bottom w:val="single" w:sz="4" w:space="0" w:color="auto"/>
            </w:tcBorders>
          </w:tcPr>
          <w:p w14:paraId="58373BE7"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-0.08 (-0.15, -0.00)</w:t>
            </w:r>
          </w:p>
          <w:p w14:paraId="5A01F7C4" w14:textId="77777777" w:rsidR="00DF44DD" w:rsidRPr="000D3AF3" w:rsidRDefault="00DF44DD" w:rsidP="00484581">
            <w:pPr>
              <w:pStyle w:val="Tablecentre"/>
              <w:keepNext w:val="0"/>
              <w:widowControl w:val="0"/>
              <w:rPr>
                <w:rFonts w:ascii="Arial Narrow" w:hAnsi="Arial Narrow"/>
              </w:rPr>
            </w:pPr>
            <w:r w:rsidRPr="00047FA8">
              <w:rPr>
                <w:rFonts w:ascii="Arial Narrow" w:hAnsi="Arial Narrow"/>
              </w:rPr>
              <w:t>P = 0.04</w:t>
            </w:r>
          </w:p>
        </w:tc>
      </w:tr>
      <w:tr w:rsidR="00EF15C9" w:rsidRPr="000D3AF3" w14:paraId="1ED42E48" w14:textId="77777777" w:rsidTr="007C380F">
        <w:trPr>
          <w:tblHeader/>
        </w:trPr>
        <w:tc>
          <w:tcPr>
            <w:tcW w:w="934" w:type="pct"/>
            <w:tcBorders>
              <w:top w:val="single" w:sz="4" w:space="0" w:color="auto"/>
              <w:bottom w:val="single" w:sz="4" w:space="0" w:color="auto"/>
            </w:tcBorders>
            <w:vAlign w:val="center"/>
          </w:tcPr>
          <w:p w14:paraId="25DDDA60"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Hypertension</w:t>
            </w:r>
          </w:p>
        </w:tc>
        <w:tc>
          <w:tcPr>
            <w:tcW w:w="626" w:type="pct"/>
            <w:tcBorders>
              <w:top w:val="single" w:sz="4" w:space="0" w:color="auto"/>
              <w:bottom w:val="single" w:sz="4" w:space="0" w:color="auto"/>
            </w:tcBorders>
            <w:vAlign w:val="center"/>
          </w:tcPr>
          <w:p w14:paraId="4B0F6B6B"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1 (2.1)</w:t>
            </w:r>
          </w:p>
        </w:tc>
        <w:tc>
          <w:tcPr>
            <w:tcW w:w="625" w:type="pct"/>
            <w:tcBorders>
              <w:top w:val="single" w:sz="4" w:space="0" w:color="auto"/>
              <w:bottom w:val="single" w:sz="4" w:space="0" w:color="auto"/>
            </w:tcBorders>
            <w:vAlign w:val="center"/>
          </w:tcPr>
          <w:p w14:paraId="2998B9D8" w14:textId="4AC328DF" w:rsidR="00DF44DD" w:rsidRPr="000D3AF3" w:rsidRDefault="00DF44DD" w:rsidP="00484581">
            <w:pPr>
              <w:pStyle w:val="Tablecentre"/>
              <w:keepNext w:val="0"/>
              <w:widowControl w:val="0"/>
              <w:rPr>
                <w:rFonts w:ascii="Arial Narrow" w:hAnsi="Arial Narrow"/>
              </w:rPr>
            </w:pPr>
            <w:r w:rsidRPr="000D3AF3">
              <w:rPr>
                <w:rFonts w:ascii="Arial Narrow" w:hAnsi="Arial Narrow"/>
              </w:rPr>
              <w:t>2 (3</w:t>
            </w:r>
            <w:r w:rsidR="00C034EF" w:rsidRPr="000D3AF3">
              <w:rPr>
                <w:rFonts w:ascii="Arial Narrow" w:hAnsi="Arial Narrow"/>
              </w:rPr>
              <w:t>.1</w:t>
            </w:r>
            <w:r w:rsidRPr="000D3AF3">
              <w:rPr>
                <w:rFonts w:ascii="Arial Narrow" w:hAnsi="Arial Narrow"/>
              </w:rPr>
              <w:t>)</w:t>
            </w:r>
          </w:p>
        </w:tc>
        <w:tc>
          <w:tcPr>
            <w:tcW w:w="1018" w:type="pct"/>
            <w:tcBorders>
              <w:top w:val="single" w:sz="4" w:space="0" w:color="auto"/>
              <w:bottom w:val="single" w:sz="4" w:space="0" w:color="auto"/>
            </w:tcBorders>
          </w:tcPr>
          <w:p w14:paraId="631E625E"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0.66 (0.06, 7.49)</w:t>
            </w:r>
          </w:p>
          <w:p w14:paraId="1FB09441"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0.74</w:t>
            </w:r>
          </w:p>
        </w:tc>
        <w:tc>
          <w:tcPr>
            <w:tcW w:w="845" w:type="pct"/>
            <w:tcBorders>
              <w:top w:val="single" w:sz="4" w:space="0" w:color="auto"/>
              <w:bottom w:val="single" w:sz="4" w:space="0" w:color="auto"/>
            </w:tcBorders>
          </w:tcPr>
          <w:p w14:paraId="54344EDD"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0.67 (0.06, 7.14)</w:t>
            </w:r>
          </w:p>
          <w:p w14:paraId="75C2588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0.74</w:t>
            </w:r>
          </w:p>
        </w:tc>
        <w:tc>
          <w:tcPr>
            <w:tcW w:w="952" w:type="pct"/>
            <w:tcBorders>
              <w:top w:val="single" w:sz="4" w:space="0" w:color="auto"/>
              <w:bottom w:val="single" w:sz="4" w:space="0" w:color="auto"/>
            </w:tcBorders>
          </w:tcPr>
          <w:p w14:paraId="3BCB815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-0.01 (-0.07, 0.05)</w:t>
            </w:r>
          </w:p>
          <w:p w14:paraId="092D02E1"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0.73</w:t>
            </w:r>
          </w:p>
        </w:tc>
      </w:tr>
      <w:tr w:rsidR="00EF15C9" w:rsidRPr="000D3AF3" w14:paraId="6DE4318D" w14:textId="77777777" w:rsidTr="007C380F">
        <w:trPr>
          <w:tblHeader/>
        </w:trPr>
        <w:tc>
          <w:tcPr>
            <w:tcW w:w="934" w:type="pct"/>
            <w:tcBorders>
              <w:top w:val="single" w:sz="4" w:space="0" w:color="auto"/>
              <w:bottom w:val="single" w:sz="4" w:space="0" w:color="auto"/>
            </w:tcBorders>
            <w:vAlign w:val="center"/>
          </w:tcPr>
          <w:p w14:paraId="4D005101"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Increased AST</w:t>
            </w:r>
          </w:p>
        </w:tc>
        <w:tc>
          <w:tcPr>
            <w:tcW w:w="626" w:type="pct"/>
            <w:tcBorders>
              <w:top w:val="single" w:sz="4" w:space="0" w:color="auto"/>
              <w:bottom w:val="single" w:sz="4" w:space="0" w:color="auto"/>
            </w:tcBorders>
            <w:vAlign w:val="center"/>
          </w:tcPr>
          <w:p w14:paraId="20306CD4"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625" w:type="pct"/>
            <w:tcBorders>
              <w:top w:val="single" w:sz="4" w:space="0" w:color="auto"/>
              <w:bottom w:val="single" w:sz="4" w:space="0" w:color="auto"/>
            </w:tcBorders>
            <w:vAlign w:val="center"/>
          </w:tcPr>
          <w:p w14:paraId="7CCBD635"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1018" w:type="pct"/>
            <w:tcBorders>
              <w:top w:val="single" w:sz="4" w:space="0" w:color="auto"/>
              <w:bottom w:val="single" w:sz="4" w:space="0" w:color="auto"/>
            </w:tcBorders>
            <w:vAlign w:val="center"/>
          </w:tcPr>
          <w:p w14:paraId="32E59D40"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NE</w:t>
            </w:r>
          </w:p>
        </w:tc>
        <w:tc>
          <w:tcPr>
            <w:tcW w:w="845" w:type="pct"/>
            <w:tcBorders>
              <w:top w:val="single" w:sz="4" w:space="0" w:color="auto"/>
              <w:bottom w:val="single" w:sz="4" w:space="0" w:color="auto"/>
            </w:tcBorders>
            <w:vAlign w:val="center"/>
          </w:tcPr>
          <w:p w14:paraId="2DCE6C9A"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NE</w:t>
            </w:r>
          </w:p>
        </w:tc>
        <w:tc>
          <w:tcPr>
            <w:tcW w:w="952" w:type="pct"/>
            <w:tcBorders>
              <w:top w:val="single" w:sz="4" w:space="0" w:color="auto"/>
              <w:bottom w:val="single" w:sz="4" w:space="0" w:color="auto"/>
            </w:tcBorders>
          </w:tcPr>
          <w:p w14:paraId="63292D4E"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0.00 (-0.04, 0.04)</w:t>
            </w:r>
          </w:p>
          <w:p w14:paraId="3DBBEF9D"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1.00</w:t>
            </w:r>
          </w:p>
        </w:tc>
      </w:tr>
      <w:tr w:rsidR="00EF15C9" w:rsidRPr="000D3AF3" w14:paraId="529F5051" w14:textId="77777777" w:rsidTr="007C380F">
        <w:trPr>
          <w:tblHeader/>
        </w:trPr>
        <w:tc>
          <w:tcPr>
            <w:tcW w:w="934" w:type="pct"/>
            <w:tcBorders>
              <w:top w:val="single" w:sz="4" w:space="0" w:color="auto"/>
              <w:bottom w:val="single" w:sz="4" w:space="0" w:color="auto"/>
            </w:tcBorders>
            <w:vAlign w:val="center"/>
          </w:tcPr>
          <w:p w14:paraId="664DCE0E"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Increased (blood) amylase</w:t>
            </w:r>
          </w:p>
        </w:tc>
        <w:tc>
          <w:tcPr>
            <w:tcW w:w="626" w:type="pct"/>
            <w:tcBorders>
              <w:top w:val="single" w:sz="4" w:space="0" w:color="auto"/>
              <w:bottom w:val="single" w:sz="4" w:space="0" w:color="auto"/>
            </w:tcBorders>
            <w:vAlign w:val="center"/>
          </w:tcPr>
          <w:p w14:paraId="51E6D536"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1 (2.1)</w:t>
            </w:r>
          </w:p>
        </w:tc>
        <w:tc>
          <w:tcPr>
            <w:tcW w:w="625" w:type="pct"/>
            <w:tcBorders>
              <w:top w:val="single" w:sz="4" w:space="0" w:color="auto"/>
              <w:bottom w:val="single" w:sz="4" w:space="0" w:color="auto"/>
            </w:tcBorders>
            <w:vAlign w:val="center"/>
          </w:tcPr>
          <w:p w14:paraId="1F8E6890"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1018" w:type="pct"/>
            <w:tcBorders>
              <w:top w:val="single" w:sz="4" w:space="0" w:color="auto"/>
              <w:bottom w:val="single" w:sz="4" w:space="0" w:color="auto"/>
            </w:tcBorders>
          </w:tcPr>
          <w:p w14:paraId="354E1E07"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4.07 (0.16, 102.21)</w:t>
            </w:r>
          </w:p>
          <w:p w14:paraId="10E2B17C"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0.39</w:t>
            </w:r>
          </w:p>
        </w:tc>
        <w:tc>
          <w:tcPr>
            <w:tcW w:w="845" w:type="pct"/>
            <w:tcBorders>
              <w:top w:val="single" w:sz="4" w:space="0" w:color="auto"/>
              <w:bottom w:val="single" w:sz="4" w:space="0" w:color="auto"/>
            </w:tcBorders>
          </w:tcPr>
          <w:p w14:paraId="63BFABB3"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3.98 (0.17, 95.61)</w:t>
            </w:r>
          </w:p>
          <w:p w14:paraId="4B2AE11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0.39</w:t>
            </w:r>
          </w:p>
        </w:tc>
        <w:tc>
          <w:tcPr>
            <w:tcW w:w="952" w:type="pct"/>
            <w:tcBorders>
              <w:top w:val="single" w:sz="4" w:space="0" w:color="auto"/>
              <w:bottom w:val="single" w:sz="4" w:space="0" w:color="auto"/>
            </w:tcBorders>
          </w:tcPr>
          <w:p w14:paraId="470950B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0.02 (-0.03, 0.07)</w:t>
            </w:r>
          </w:p>
          <w:p w14:paraId="4B6A933C"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0.44</w:t>
            </w:r>
          </w:p>
        </w:tc>
      </w:tr>
      <w:tr w:rsidR="00EF15C9" w:rsidRPr="000D3AF3" w14:paraId="59DBBFB3" w14:textId="77777777" w:rsidTr="007C380F">
        <w:trPr>
          <w:tblHeader/>
        </w:trPr>
        <w:tc>
          <w:tcPr>
            <w:tcW w:w="934" w:type="pct"/>
            <w:tcBorders>
              <w:top w:val="single" w:sz="4" w:space="0" w:color="auto"/>
              <w:bottom w:val="single" w:sz="4" w:space="0" w:color="auto"/>
            </w:tcBorders>
            <w:vAlign w:val="center"/>
          </w:tcPr>
          <w:p w14:paraId="44D9265E"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Increased GGT</w:t>
            </w:r>
          </w:p>
        </w:tc>
        <w:tc>
          <w:tcPr>
            <w:tcW w:w="626" w:type="pct"/>
            <w:tcBorders>
              <w:top w:val="single" w:sz="4" w:space="0" w:color="auto"/>
              <w:bottom w:val="single" w:sz="4" w:space="0" w:color="auto"/>
            </w:tcBorders>
            <w:vAlign w:val="center"/>
          </w:tcPr>
          <w:p w14:paraId="59A1B00D"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1 (2.1)</w:t>
            </w:r>
          </w:p>
        </w:tc>
        <w:tc>
          <w:tcPr>
            <w:tcW w:w="625" w:type="pct"/>
            <w:tcBorders>
              <w:top w:val="single" w:sz="4" w:space="0" w:color="auto"/>
              <w:bottom w:val="single" w:sz="4" w:space="0" w:color="auto"/>
            </w:tcBorders>
            <w:vAlign w:val="center"/>
          </w:tcPr>
          <w:p w14:paraId="2AEBBCA3"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1018" w:type="pct"/>
            <w:tcBorders>
              <w:top w:val="single" w:sz="4" w:space="0" w:color="auto"/>
              <w:bottom w:val="single" w:sz="4" w:space="0" w:color="auto"/>
            </w:tcBorders>
          </w:tcPr>
          <w:p w14:paraId="30B091DB"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4.07 (0.16, 102.21)</w:t>
            </w:r>
          </w:p>
          <w:p w14:paraId="00D853D5"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0.39</w:t>
            </w:r>
          </w:p>
        </w:tc>
        <w:tc>
          <w:tcPr>
            <w:tcW w:w="845" w:type="pct"/>
            <w:tcBorders>
              <w:top w:val="single" w:sz="4" w:space="0" w:color="auto"/>
              <w:bottom w:val="single" w:sz="4" w:space="0" w:color="auto"/>
            </w:tcBorders>
          </w:tcPr>
          <w:p w14:paraId="0614BA9F"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3.98 (0.17, 95.61)</w:t>
            </w:r>
          </w:p>
          <w:p w14:paraId="644807A1"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0.39</w:t>
            </w:r>
          </w:p>
        </w:tc>
        <w:tc>
          <w:tcPr>
            <w:tcW w:w="952" w:type="pct"/>
            <w:tcBorders>
              <w:top w:val="single" w:sz="4" w:space="0" w:color="auto"/>
              <w:bottom w:val="single" w:sz="4" w:space="0" w:color="auto"/>
            </w:tcBorders>
          </w:tcPr>
          <w:p w14:paraId="3A5994B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0.02 (-0.03, 0.07)</w:t>
            </w:r>
          </w:p>
          <w:p w14:paraId="19AB40A5"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0.44</w:t>
            </w:r>
          </w:p>
        </w:tc>
      </w:tr>
      <w:tr w:rsidR="00EF15C9" w:rsidRPr="000D3AF3" w14:paraId="43460342" w14:textId="77777777" w:rsidTr="007C380F">
        <w:trPr>
          <w:tblHeader/>
        </w:trPr>
        <w:tc>
          <w:tcPr>
            <w:tcW w:w="934" w:type="pct"/>
            <w:tcBorders>
              <w:top w:val="single" w:sz="4" w:space="0" w:color="auto"/>
              <w:bottom w:val="single" w:sz="4" w:space="0" w:color="auto"/>
            </w:tcBorders>
            <w:vAlign w:val="center"/>
          </w:tcPr>
          <w:p w14:paraId="5E5613FC"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Dyspnoea</w:t>
            </w:r>
          </w:p>
        </w:tc>
        <w:tc>
          <w:tcPr>
            <w:tcW w:w="626" w:type="pct"/>
            <w:tcBorders>
              <w:top w:val="single" w:sz="4" w:space="0" w:color="auto"/>
              <w:bottom w:val="single" w:sz="4" w:space="0" w:color="auto"/>
            </w:tcBorders>
            <w:vAlign w:val="center"/>
          </w:tcPr>
          <w:p w14:paraId="2749A236"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625" w:type="pct"/>
            <w:tcBorders>
              <w:top w:val="single" w:sz="4" w:space="0" w:color="auto"/>
              <w:bottom w:val="single" w:sz="4" w:space="0" w:color="auto"/>
            </w:tcBorders>
            <w:vAlign w:val="center"/>
          </w:tcPr>
          <w:p w14:paraId="4EE0A82A"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1018" w:type="pct"/>
            <w:tcBorders>
              <w:top w:val="single" w:sz="4" w:space="0" w:color="auto"/>
              <w:bottom w:val="single" w:sz="4" w:space="0" w:color="auto"/>
            </w:tcBorders>
            <w:vAlign w:val="center"/>
          </w:tcPr>
          <w:p w14:paraId="1BA03617"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NE</w:t>
            </w:r>
          </w:p>
        </w:tc>
        <w:tc>
          <w:tcPr>
            <w:tcW w:w="845" w:type="pct"/>
            <w:tcBorders>
              <w:top w:val="single" w:sz="4" w:space="0" w:color="auto"/>
              <w:bottom w:val="single" w:sz="4" w:space="0" w:color="auto"/>
            </w:tcBorders>
            <w:vAlign w:val="center"/>
          </w:tcPr>
          <w:p w14:paraId="6C47DA3B"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NE</w:t>
            </w:r>
          </w:p>
        </w:tc>
        <w:tc>
          <w:tcPr>
            <w:tcW w:w="952" w:type="pct"/>
            <w:tcBorders>
              <w:top w:val="single" w:sz="4" w:space="0" w:color="auto"/>
              <w:bottom w:val="single" w:sz="4" w:space="0" w:color="auto"/>
            </w:tcBorders>
          </w:tcPr>
          <w:p w14:paraId="1B8C0D63"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0.00 (-0.04, 0.04)</w:t>
            </w:r>
          </w:p>
          <w:p w14:paraId="66EA3D7E"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1.00</w:t>
            </w:r>
          </w:p>
        </w:tc>
      </w:tr>
      <w:tr w:rsidR="00296533" w:rsidRPr="000D3AF3" w14:paraId="54DCA8E5" w14:textId="77777777" w:rsidTr="00902E4F">
        <w:trPr>
          <w:tblHeader/>
        </w:trPr>
        <w:tc>
          <w:tcPr>
            <w:tcW w:w="934" w:type="pct"/>
            <w:tcBorders>
              <w:top w:val="single" w:sz="4" w:space="0" w:color="auto"/>
              <w:bottom w:val="single" w:sz="4" w:space="0" w:color="auto"/>
            </w:tcBorders>
          </w:tcPr>
          <w:p w14:paraId="61B6EAEB" w14:textId="77777777" w:rsidR="00296533" w:rsidRPr="000D3AF3" w:rsidRDefault="00296533" w:rsidP="00296533">
            <w:pPr>
              <w:pStyle w:val="Tabletext0"/>
              <w:keepNext w:val="0"/>
              <w:widowControl w:val="0"/>
              <w:jc w:val="left"/>
              <w:rPr>
                <w:rFonts w:ascii="Arial Narrow" w:hAnsi="Arial Narrow"/>
              </w:rPr>
            </w:pPr>
          </w:p>
        </w:tc>
        <w:tc>
          <w:tcPr>
            <w:tcW w:w="626" w:type="pct"/>
            <w:tcBorders>
              <w:top w:val="single" w:sz="4" w:space="0" w:color="auto"/>
              <w:bottom w:val="single" w:sz="4" w:space="0" w:color="auto"/>
            </w:tcBorders>
          </w:tcPr>
          <w:p w14:paraId="406D1A7A" w14:textId="77777777" w:rsidR="00296533" w:rsidRPr="000D3AF3" w:rsidRDefault="00296533" w:rsidP="00296533">
            <w:pPr>
              <w:pStyle w:val="Tableheading"/>
              <w:keepNext w:val="0"/>
              <w:widowControl w:val="0"/>
              <w:rPr>
                <w:rFonts w:ascii="Arial Narrow" w:hAnsi="Arial Narrow"/>
              </w:rPr>
            </w:pPr>
            <w:r w:rsidRPr="000D3AF3">
              <w:rPr>
                <w:rFonts w:ascii="Arial Narrow" w:hAnsi="Arial Narrow"/>
              </w:rPr>
              <w:t>Asciminib 200 mg twice daily</w:t>
            </w:r>
          </w:p>
          <w:p w14:paraId="349D7DF2" w14:textId="77777777" w:rsidR="00296533" w:rsidRPr="000D3AF3" w:rsidRDefault="00296533" w:rsidP="00296533">
            <w:pPr>
              <w:pStyle w:val="Tableheading"/>
              <w:keepNext w:val="0"/>
              <w:widowControl w:val="0"/>
              <w:rPr>
                <w:rFonts w:ascii="Arial Narrow" w:hAnsi="Arial Narrow"/>
              </w:rPr>
            </w:pPr>
            <w:r w:rsidRPr="000D3AF3">
              <w:rPr>
                <w:rFonts w:ascii="Arial Narrow" w:hAnsi="Arial Narrow"/>
              </w:rPr>
              <w:t>(N = 48)</w:t>
            </w:r>
          </w:p>
          <w:p w14:paraId="415F30BB" w14:textId="18F570F4" w:rsidR="00296533" w:rsidRPr="000D3AF3" w:rsidRDefault="00296533" w:rsidP="00296533">
            <w:pPr>
              <w:pStyle w:val="Tablecentre"/>
              <w:keepNext w:val="0"/>
              <w:widowControl w:val="0"/>
              <w:rPr>
                <w:rFonts w:ascii="Arial Narrow" w:hAnsi="Arial Narrow"/>
              </w:rPr>
            </w:pPr>
            <w:r w:rsidRPr="000D3AF3">
              <w:rPr>
                <w:rFonts w:ascii="Arial Narrow" w:hAnsi="Arial Narrow"/>
              </w:rPr>
              <w:t>n (%)</w:t>
            </w:r>
          </w:p>
        </w:tc>
        <w:tc>
          <w:tcPr>
            <w:tcW w:w="625" w:type="pct"/>
            <w:tcBorders>
              <w:top w:val="single" w:sz="4" w:space="0" w:color="auto"/>
              <w:bottom w:val="single" w:sz="4" w:space="0" w:color="auto"/>
            </w:tcBorders>
          </w:tcPr>
          <w:p w14:paraId="1AFAF16C" w14:textId="77777777" w:rsidR="00296533" w:rsidRPr="000D3AF3" w:rsidRDefault="00296533" w:rsidP="00296533">
            <w:pPr>
              <w:pStyle w:val="Tableheading"/>
              <w:keepNext w:val="0"/>
              <w:widowControl w:val="0"/>
              <w:rPr>
                <w:rFonts w:ascii="Arial Narrow" w:hAnsi="Arial Narrow"/>
              </w:rPr>
            </w:pPr>
            <w:r w:rsidRPr="000D3AF3">
              <w:rPr>
                <w:rFonts w:ascii="Arial Narrow" w:hAnsi="Arial Narrow"/>
              </w:rPr>
              <w:t xml:space="preserve">Ponatinib 45 mg </w:t>
            </w:r>
          </w:p>
          <w:p w14:paraId="280C793A" w14:textId="77777777" w:rsidR="00296533" w:rsidRPr="000D3AF3" w:rsidRDefault="00296533" w:rsidP="00296533">
            <w:pPr>
              <w:pStyle w:val="Tableheading"/>
              <w:keepNext w:val="0"/>
              <w:widowControl w:val="0"/>
              <w:rPr>
                <w:rFonts w:ascii="Arial Narrow" w:hAnsi="Arial Narrow"/>
              </w:rPr>
            </w:pPr>
            <w:r w:rsidRPr="000D3AF3">
              <w:rPr>
                <w:rFonts w:ascii="Arial Narrow" w:hAnsi="Arial Narrow"/>
              </w:rPr>
              <w:t>once daily</w:t>
            </w:r>
          </w:p>
          <w:p w14:paraId="01937A5E" w14:textId="77777777" w:rsidR="00296533" w:rsidRPr="000D3AF3" w:rsidRDefault="00296533" w:rsidP="00296533">
            <w:pPr>
              <w:pStyle w:val="Tableheading"/>
              <w:keepNext w:val="0"/>
              <w:widowControl w:val="0"/>
              <w:rPr>
                <w:rFonts w:ascii="Arial Narrow" w:hAnsi="Arial Narrow"/>
              </w:rPr>
            </w:pPr>
            <w:r w:rsidRPr="000D3AF3">
              <w:rPr>
                <w:rFonts w:ascii="Arial Narrow" w:hAnsi="Arial Narrow"/>
              </w:rPr>
              <w:t>(N = 64)</w:t>
            </w:r>
          </w:p>
          <w:p w14:paraId="7BDD5D55" w14:textId="11CA28E4" w:rsidR="00296533" w:rsidRPr="000D3AF3" w:rsidRDefault="00296533" w:rsidP="00296533">
            <w:pPr>
              <w:pStyle w:val="Tablecentre"/>
              <w:keepNext w:val="0"/>
              <w:widowControl w:val="0"/>
              <w:rPr>
                <w:rFonts w:ascii="Arial Narrow" w:hAnsi="Arial Narrow"/>
              </w:rPr>
            </w:pPr>
            <w:r w:rsidRPr="000D3AF3">
              <w:rPr>
                <w:rFonts w:ascii="Arial Narrow" w:hAnsi="Arial Narrow"/>
              </w:rPr>
              <w:t>n (%)</w:t>
            </w:r>
          </w:p>
        </w:tc>
        <w:tc>
          <w:tcPr>
            <w:tcW w:w="1018" w:type="pct"/>
            <w:tcBorders>
              <w:top w:val="single" w:sz="4" w:space="0" w:color="auto"/>
              <w:bottom w:val="single" w:sz="4" w:space="0" w:color="auto"/>
            </w:tcBorders>
            <w:vAlign w:val="center"/>
          </w:tcPr>
          <w:p w14:paraId="138F63E9" w14:textId="77777777" w:rsidR="00296533" w:rsidRPr="000D3AF3" w:rsidRDefault="00296533" w:rsidP="00296533">
            <w:pPr>
              <w:pStyle w:val="Tableheading"/>
              <w:keepNext w:val="0"/>
              <w:widowControl w:val="0"/>
              <w:rPr>
                <w:rFonts w:ascii="Arial Narrow" w:hAnsi="Arial Narrow"/>
              </w:rPr>
            </w:pPr>
            <w:r w:rsidRPr="000D3AF3">
              <w:rPr>
                <w:rFonts w:ascii="Arial Narrow" w:hAnsi="Arial Narrow"/>
              </w:rPr>
              <w:t>OR (95% CI)</w:t>
            </w:r>
          </w:p>
          <w:p w14:paraId="76527931" w14:textId="7EF89FA5" w:rsidR="00296533" w:rsidRPr="000D3AF3" w:rsidRDefault="00296533" w:rsidP="00296533">
            <w:pPr>
              <w:pStyle w:val="Tablecentre"/>
              <w:keepNext w:val="0"/>
              <w:widowControl w:val="0"/>
              <w:rPr>
                <w:rFonts w:ascii="Arial Narrow" w:hAnsi="Arial Narrow"/>
              </w:rPr>
            </w:pPr>
            <w:r w:rsidRPr="000D3AF3">
              <w:rPr>
                <w:rFonts w:ascii="Arial Narrow" w:hAnsi="Arial Narrow"/>
              </w:rPr>
              <w:t>P value</w:t>
            </w:r>
          </w:p>
        </w:tc>
        <w:tc>
          <w:tcPr>
            <w:tcW w:w="845" w:type="pct"/>
            <w:tcBorders>
              <w:top w:val="single" w:sz="4" w:space="0" w:color="auto"/>
              <w:bottom w:val="single" w:sz="4" w:space="0" w:color="auto"/>
            </w:tcBorders>
            <w:vAlign w:val="center"/>
          </w:tcPr>
          <w:p w14:paraId="231175C4" w14:textId="77777777" w:rsidR="00296533" w:rsidRPr="000D3AF3" w:rsidRDefault="00296533" w:rsidP="00296533">
            <w:pPr>
              <w:pStyle w:val="Tableheading"/>
              <w:keepNext w:val="0"/>
              <w:widowControl w:val="0"/>
              <w:rPr>
                <w:rFonts w:ascii="Arial Narrow" w:hAnsi="Arial Narrow"/>
              </w:rPr>
            </w:pPr>
            <w:r w:rsidRPr="000D3AF3">
              <w:rPr>
                <w:rFonts w:ascii="Arial Narrow" w:hAnsi="Arial Narrow"/>
              </w:rPr>
              <w:t>RR (95% CI)</w:t>
            </w:r>
          </w:p>
          <w:p w14:paraId="55003B9E" w14:textId="6FDFA2F6" w:rsidR="00296533" w:rsidRPr="000D3AF3" w:rsidRDefault="00296533" w:rsidP="00296533">
            <w:pPr>
              <w:pStyle w:val="Tablecentre"/>
              <w:keepNext w:val="0"/>
              <w:widowControl w:val="0"/>
              <w:rPr>
                <w:rFonts w:ascii="Arial Narrow" w:hAnsi="Arial Narrow"/>
              </w:rPr>
            </w:pPr>
            <w:r w:rsidRPr="000D3AF3">
              <w:rPr>
                <w:rFonts w:ascii="Arial Narrow" w:hAnsi="Arial Narrow"/>
              </w:rPr>
              <w:t>P value</w:t>
            </w:r>
          </w:p>
        </w:tc>
        <w:tc>
          <w:tcPr>
            <w:tcW w:w="952" w:type="pct"/>
            <w:tcBorders>
              <w:top w:val="single" w:sz="4" w:space="0" w:color="auto"/>
              <w:bottom w:val="single" w:sz="4" w:space="0" w:color="auto"/>
            </w:tcBorders>
            <w:vAlign w:val="center"/>
          </w:tcPr>
          <w:p w14:paraId="31555856" w14:textId="77777777" w:rsidR="00296533" w:rsidRPr="000D3AF3" w:rsidRDefault="00296533" w:rsidP="00296533">
            <w:pPr>
              <w:pStyle w:val="Tableheading"/>
              <w:keepNext w:val="0"/>
              <w:widowControl w:val="0"/>
              <w:rPr>
                <w:rFonts w:ascii="Arial Narrow" w:hAnsi="Arial Narrow"/>
              </w:rPr>
            </w:pPr>
            <w:r w:rsidRPr="000D3AF3">
              <w:rPr>
                <w:rFonts w:ascii="Arial Narrow" w:hAnsi="Arial Narrow"/>
              </w:rPr>
              <w:t>RD (95% CI)</w:t>
            </w:r>
          </w:p>
          <w:p w14:paraId="04FC0F1E" w14:textId="322AB72E" w:rsidR="00296533" w:rsidRPr="000D3AF3" w:rsidRDefault="00296533" w:rsidP="00296533">
            <w:pPr>
              <w:pStyle w:val="Tablecentre"/>
              <w:keepNext w:val="0"/>
              <w:widowControl w:val="0"/>
              <w:rPr>
                <w:rFonts w:ascii="Arial Narrow" w:hAnsi="Arial Narrow"/>
              </w:rPr>
            </w:pPr>
            <w:r w:rsidRPr="000D3AF3">
              <w:rPr>
                <w:rFonts w:ascii="Arial Narrow" w:hAnsi="Arial Narrow"/>
              </w:rPr>
              <w:t>P value</w:t>
            </w:r>
          </w:p>
        </w:tc>
      </w:tr>
      <w:tr w:rsidR="00EF15C9" w:rsidRPr="000D3AF3" w14:paraId="7BAFA396" w14:textId="77777777" w:rsidTr="007C380F">
        <w:trPr>
          <w:tblHeader/>
        </w:trPr>
        <w:tc>
          <w:tcPr>
            <w:tcW w:w="934" w:type="pct"/>
            <w:tcBorders>
              <w:top w:val="single" w:sz="4" w:space="0" w:color="auto"/>
              <w:bottom w:val="single" w:sz="4" w:space="0" w:color="auto"/>
            </w:tcBorders>
            <w:vAlign w:val="center"/>
          </w:tcPr>
          <w:p w14:paraId="6FF7D7CF"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Cardiac failure</w:t>
            </w:r>
          </w:p>
        </w:tc>
        <w:tc>
          <w:tcPr>
            <w:tcW w:w="626" w:type="pct"/>
            <w:tcBorders>
              <w:top w:val="single" w:sz="4" w:space="0" w:color="auto"/>
              <w:bottom w:val="single" w:sz="4" w:space="0" w:color="auto"/>
            </w:tcBorders>
            <w:vAlign w:val="center"/>
          </w:tcPr>
          <w:p w14:paraId="121F226D" w14:textId="538FCFA3" w:rsidR="00DF44DD" w:rsidRPr="000D3AF3" w:rsidRDefault="00700ECD" w:rsidP="00484581">
            <w:pPr>
              <w:pStyle w:val="Tablecentre"/>
              <w:keepNext w:val="0"/>
              <w:widowControl w:val="0"/>
              <w:rPr>
                <w:rFonts w:ascii="Arial Narrow" w:hAnsi="Arial Narrow"/>
              </w:rPr>
            </w:pPr>
            <w:r w:rsidRPr="000D3AF3">
              <w:rPr>
                <w:rFonts w:ascii="Arial Narrow" w:hAnsi="Arial Narrow"/>
              </w:rPr>
              <w:t>0</w:t>
            </w:r>
            <w:r w:rsidRPr="000D3AF3">
              <w:rPr>
                <w:rFonts w:ascii="Arial Narrow" w:hAnsi="Arial Narrow"/>
                <w:vertAlign w:val="superscript"/>
              </w:rPr>
              <w:t>b</w:t>
            </w:r>
          </w:p>
        </w:tc>
        <w:tc>
          <w:tcPr>
            <w:tcW w:w="625" w:type="pct"/>
            <w:tcBorders>
              <w:top w:val="single" w:sz="4" w:space="0" w:color="auto"/>
              <w:bottom w:val="single" w:sz="4" w:space="0" w:color="auto"/>
            </w:tcBorders>
            <w:vAlign w:val="center"/>
          </w:tcPr>
          <w:p w14:paraId="4F787DBF" w14:textId="60A1D36F" w:rsidR="00DF44DD" w:rsidRPr="000D3AF3" w:rsidRDefault="00DF44DD" w:rsidP="00484581">
            <w:pPr>
              <w:pStyle w:val="Tablecentre"/>
              <w:keepNext w:val="0"/>
              <w:widowControl w:val="0"/>
              <w:rPr>
                <w:rFonts w:ascii="Arial Narrow" w:hAnsi="Arial Narrow"/>
              </w:rPr>
            </w:pPr>
            <w:r w:rsidRPr="000D3AF3">
              <w:rPr>
                <w:rFonts w:ascii="Arial Narrow" w:hAnsi="Arial Narrow"/>
              </w:rPr>
              <w:t>1 (</w:t>
            </w:r>
            <w:r w:rsidR="00C034EF" w:rsidRPr="000D3AF3">
              <w:rPr>
                <w:rFonts w:ascii="Arial Narrow" w:hAnsi="Arial Narrow"/>
              </w:rPr>
              <w:t>1.6</w:t>
            </w:r>
            <w:r w:rsidRPr="000D3AF3">
              <w:rPr>
                <w:rFonts w:ascii="Arial Narrow" w:hAnsi="Arial Narrow"/>
              </w:rPr>
              <w:t>)</w:t>
            </w:r>
          </w:p>
        </w:tc>
        <w:tc>
          <w:tcPr>
            <w:tcW w:w="1018" w:type="pct"/>
            <w:tcBorders>
              <w:top w:val="single" w:sz="4" w:space="0" w:color="auto"/>
              <w:bottom w:val="single" w:sz="4" w:space="0" w:color="auto"/>
            </w:tcBorders>
          </w:tcPr>
          <w:p w14:paraId="5C7CF388"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0.44 (0.02, 10.95)</w:t>
            </w:r>
          </w:p>
          <w:p w14:paraId="40979EDE"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0.61</w:t>
            </w:r>
          </w:p>
        </w:tc>
        <w:tc>
          <w:tcPr>
            <w:tcW w:w="845" w:type="pct"/>
            <w:tcBorders>
              <w:top w:val="single" w:sz="4" w:space="0" w:color="auto"/>
              <w:bottom w:val="single" w:sz="4" w:space="0" w:color="auto"/>
            </w:tcBorders>
          </w:tcPr>
          <w:p w14:paraId="13B68B2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0.44 (0.02, 10.62)</w:t>
            </w:r>
          </w:p>
          <w:p w14:paraId="5D05559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0.61</w:t>
            </w:r>
          </w:p>
        </w:tc>
        <w:tc>
          <w:tcPr>
            <w:tcW w:w="952" w:type="pct"/>
            <w:tcBorders>
              <w:top w:val="single" w:sz="4" w:space="0" w:color="auto"/>
              <w:bottom w:val="single" w:sz="4" w:space="0" w:color="auto"/>
            </w:tcBorders>
          </w:tcPr>
          <w:p w14:paraId="30B0AC4A"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-0.02 (-0.06, 0.03)</w:t>
            </w:r>
          </w:p>
          <w:p w14:paraId="04CE5C17"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0.51</w:t>
            </w:r>
          </w:p>
        </w:tc>
      </w:tr>
      <w:tr w:rsidR="00DF44DD" w:rsidRPr="000D3AF3" w14:paraId="1F735647" w14:textId="77777777" w:rsidTr="007C380F">
        <w:trPr>
          <w:tblHeader/>
        </w:trPr>
        <w:tc>
          <w:tcPr>
            <w:tcW w:w="5000" w:type="pct"/>
            <w:gridSpan w:val="6"/>
            <w:tcBorders>
              <w:top w:val="single" w:sz="4" w:space="0" w:color="auto"/>
              <w:bottom w:val="single" w:sz="4" w:space="0" w:color="auto"/>
            </w:tcBorders>
            <w:shd w:val="clear" w:color="auto" w:fill="F2F2F2" w:themeFill="background1" w:themeFillShade="F2"/>
          </w:tcPr>
          <w:p w14:paraId="1C23AB67" w14:textId="77777777" w:rsidR="00DF44DD" w:rsidRPr="000D3AF3" w:rsidRDefault="00DF44DD" w:rsidP="00484581">
            <w:pPr>
              <w:pStyle w:val="Tablecentre"/>
              <w:keepNext w:val="0"/>
              <w:widowControl w:val="0"/>
              <w:jc w:val="left"/>
              <w:rPr>
                <w:rFonts w:ascii="Arial Narrow" w:hAnsi="Arial Narrow"/>
              </w:rPr>
            </w:pPr>
            <w:r w:rsidRPr="000D3AF3">
              <w:rPr>
                <w:rFonts w:ascii="Arial Narrow" w:hAnsi="Arial Narrow"/>
                <w:b/>
                <w:bCs/>
              </w:rPr>
              <w:t>Haematological AEs</w:t>
            </w:r>
          </w:p>
        </w:tc>
      </w:tr>
      <w:tr w:rsidR="00EF15C9" w:rsidRPr="000D3AF3" w14:paraId="274892B6" w14:textId="77777777" w:rsidTr="007C380F">
        <w:trPr>
          <w:tblHeader/>
        </w:trPr>
        <w:tc>
          <w:tcPr>
            <w:tcW w:w="934" w:type="pct"/>
            <w:tcBorders>
              <w:top w:val="single" w:sz="4" w:space="0" w:color="auto"/>
              <w:bottom w:val="single" w:sz="4" w:space="0" w:color="auto"/>
            </w:tcBorders>
            <w:vAlign w:val="center"/>
          </w:tcPr>
          <w:p w14:paraId="26C19CB0"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Thrombocytopenia</w:t>
            </w:r>
          </w:p>
        </w:tc>
        <w:tc>
          <w:tcPr>
            <w:tcW w:w="626" w:type="pct"/>
            <w:tcBorders>
              <w:top w:val="single" w:sz="4" w:space="0" w:color="auto"/>
              <w:bottom w:val="single" w:sz="4" w:space="0" w:color="auto"/>
            </w:tcBorders>
            <w:vAlign w:val="center"/>
          </w:tcPr>
          <w:p w14:paraId="6CA4DCEF"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5 (10.4)</w:t>
            </w:r>
          </w:p>
        </w:tc>
        <w:tc>
          <w:tcPr>
            <w:tcW w:w="625" w:type="pct"/>
            <w:tcBorders>
              <w:top w:val="single" w:sz="4" w:space="0" w:color="auto"/>
              <w:bottom w:val="single" w:sz="4" w:space="0" w:color="auto"/>
            </w:tcBorders>
            <w:vAlign w:val="center"/>
          </w:tcPr>
          <w:p w14:paraId="0BBCA43B" w14:textId="7BEB2FC9" w:rsidR="00DF44DD" w:rsidRPr="000D3AF3" w:rsidRDefault="00DF44DD" w:rsidP="00484581">
            <w:pPr>
              <w:pStyle w:val="Tablecentre"/>
              <w:keepNext w:val="0"/>
              <w:widowControl w:val="0"/>
              <w:rPr>
                <w:rFonts w:ascii="Arial Narrow" w:hAnsi="Arial Narrow"/>
              </w:rPr>
            </w:pPr>
            <w:r w:rsidRPr="000D3AF3">
              <w:rPr>
                <w:rFonts w:ascii="Arial Narrow" w:hAnsi="Arial Narrow"/>
              </w:rPr>
              <w:t>11 (17</w:t>
            </w:r>
            <w:r w:rsidR="00C034EF" w:rsidRPr="000D3AF3">
              <w:rPr>
                <w:rFonts w:ascii="Arial Narrow" w:hAnsi="Arial Narrow"/>
              </w:rPr>
              <w:t>.2</w:t>
            </w:r>
            <w:r w:rsidRPr="000D3AF3">
              <w:rPr>
                <w:rFonts w:ascii="Arial Narrow" w:hAnsi="Arial Narrow"/>
              </w:rPr>
              <w:t>)</w:t>
            </w:r>
          </w:p>
        </w:tc>
        <w:tc>
          <w:tcPr>
            <w:tcW w:w="1018" w:type="pct"/>
            <w:tcBorders>
              <w:top w:val="single" w:sz="4" w:space="0" w:color="auto"/>
              <w:bottom w:val="single" w:sz="4" w:space="0" w:color="auto"/>
            </w:tcBorders>
          </w:tcPr>
          <w:p w14:paraId="5EF51205"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0.56 (0.18, 1.74)</w:t>
            </w:r>
          </w:p>
          <w:p w14:paraId="7AC1388F"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0.32</w:t>
            </w:r>
          </w:p>
        </w:tc>
        <w:tc>
          <w:tcPr>
            <w:tcW w:w="845" w:type="pct"/>
            <w:tcBorders>
              <w:top w:val="single" w:sz="4" w:space="0" w:color="auto"/>
              <w:bottom w:val="single" w:sz="4" w:space="0" w:color="auto"/>
            </w:tcBorders>
          </w:tcPr>
          <w:p w14:paraId="61A3B19F"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0.61 (0.23, 1.63)</w:t>
            </w:r>
          </w:p>
          <w:p w14:paraId="5FE1FB5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0.32</w:t>
            </w:r>
          </w:p>
        </w:tc>
        <w:tc>
          <w:tcPr>
            <w:tcW w:w="952" w:type="pct"/>
            <w:tcBorders>
              <w:top w:val="single" w:sz="4" w:space="0" w:color="auto"/>
              <w:bottom w:val="single" w:sz="4" w:space="0" w:color="auto"/>
            </w:tcBorders>
          </w:tcPr>
          <w:p w14:paraId="7B74765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-0.07 (-0.19, 0.06)</w:t>
            </w:r>
          </w:p>
          <w:p w14:paraId="3DEC24B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0.29</w:t>
            </w:r>
          </w:p>
        </w:tc>
      </w:tr>
      <w:tr w:rsidR="00EF15C9" w:rsidRPr="000D3AF3" w14:paraId="6ACEF41B" w14:textId="77777777" w:rsidTr="007C380F">
        <w:trPr>
          <w:tblHeader/>
        </w:trPr>
        <w:tc>
          <w:tcPr>
            <w:tcW w:w="934" w:type="pct"/>
            <w:tcBorders>
              <w:top w:val="single" w:sz="4" w:space="0" w:color="auto"/>
              <w:bottom w:val="single" w:sz="4" w:space="0" w:color="auto"/>
            </w:tcBorders>
            <w:vAlign w:val="center"/>
          </w:tcPr>
          <w:p w14:paraId="263125FD"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Neutropenia</w:t>
            </w:r>
          </w:p>
        </w:tc>
        <w:tc>
          <w:tcPr>
            <w:tcW w:w="626" w:type="pct"/>
            <w:tcBorders>
              <w:top w:val="single" w:sz="4" w:space="0" w:color="auto"/>
              <w:bottom w:val="single" w:sz="4" w:space="0" w:color="auto"/>
            </w:tcBorders>
            <w:vAlign w:val="center"/>
          </w:tcPr>
          <w:p w14:paraId="468B1488"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3 (6.3)</w:t>
            </w:r>
          </w:p>
        </w:tc>
        <w:tc>
          <w:tcPr>
            <w:tcW w:w="625" w:type="pct"/>
            <w:tcBorders>
              <w:top w:val="single" w:sz="4" w:space="0" w:color="auto"/>
              <w:bottom w:val="single" w:sz="4" w:space="0" w:color="auto"/>
            </w:tcBorders>
            <w:vAlign w:val="center"/>
          </w:tcPr>
          <w:p w14:paraId="609F7308" w14:textId="71D37442" w:rsidR="00DF44DD" w:rsidRPr="000D3AF3" w:rsidRDefault="00DF44DD" w:rsidP="00484581">
            <w:pPr>
              <w:pStyle w:val="Tablecentre"/>
              <w:keepNext w:val="0"/>
              <w:widowControl w:val="0"/>
              <w:rPr>
                <w:rFonts w:ascii="Arial Narrow" w:hAnsi="Arial Narrow"/>
              </w:rPr>
            </w:pPr>
            <w:r w:rsidRPr="000D3AF3">
              <w:rPr>
                <w:rFonts w:ascii="Arial Narrow" w:hAnsi="Arial Narrow"/>
              </w:rPr>
              <w:t>3 (</w:t>
            </w:r>
            <w:r w:rsidR="00C034EF" w:rsidRPr="000D3AF3">
              <w:rPr>
                <w:rFonts w:ascii="Arial Narrow" w:hAnsi="Arial Narrow"/>
              </w:rPr>
              <w:t>4.7</w:t>
            </w:r>
            <w:r w:rsidRPr="000D3AF3">
              <w:rPr>
                <w:rFonts w:ascii="Arial Narrow" w:hAnsi="Arial Narrow"/>
              </w:rPr>
              <w:t>)</w:t>
            </w:r>
          </w:p>
        </w:tc>
        <w:tc>
          <w:tcPr>
            <w:tcW w:w="1018" w:type="pct"/>
            <w:tcBorders>
              <w:top w:val="single" w:sz="4" w:space="0" w:color="auto"/>
              <w:bottom w:val="single" w:sz="4" w:space="0" w:color="auto"/>
            </w:tcBorders>
          </w:tcPr>
          <w:p w14:paraId="600CDAA3"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1.36 (0.26, 7.03)</w:t>
            </w:r>
          </w:p>
          <w:p w14:paraId="682C8C2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0.72</w:t>
            </w:r>
          </w:p>
        </w:tc>
        <w:tc>
          <w:tcPr>
            <w:tcW w:w="845" w:type="pct"/>
            <w:tcBorders>
              <w:top w:val="single" w:sz="4" w:space="0" w:color="auto"/>
              <w:bottom w:val="single" w:sz="4" w:space="0" w:color="auto"/>
            </w:tcBorders>
          </w:tcPr>
          <w:p w14:paraId="1009DEC8"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1.33 (0.28, 6.32)</w:t>
            </w:r>
          </w:p>
          <w:p w14:paraId="65B468FC"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0.72</w:t>
            </w:r>
          </w:p>
        </w:tc>
        <w:tc>
          <w:tcPr>
            <w:tcW w:w="952" w:type="pct"/>
            <w:tcBorders>
              <w:top w:val="single" w:sz="4" w:space="0" w:color="auto"/>
              <w:bottom w:val="single" w:sz="4" w:space="0" w:color="auto"/>
            </w:tcBorders>
          </w:tcPr>
          <w:p w14:paraId="552C6C94"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0.02 (-0.07, 0.10)</w:t>
            </w:r>
          </w:p>
          <w:p w14:paraId="244E4C3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0.72</w:t>
            </w:r>
          </w:p>
        </w:tc>
      </w:tr>
      <w:tr w:rsidR="00EF15C9" w:rsidRPr="000D3AF3" w14:paraId="24E3B13E" w14:textId="77777777" w:rsidTr="007C380F">
        <w:trPr>
          <w:tblHeader/>
        </w:trPr>
        <w:tc>
          <w:tcPr>
            <w:tcW w:w="934" w:type="pct"/>
            <w:tcBorders>
              <w:top w:val="single" w:sz="4" w:space="0" w:color="auto"/>
              <w:bottom w:val="single" w:sz="4" w:space="0" w:color="auto"/>
            </w:tcBorders>
            <w:vAlign w:val="center"/>
          </w:tcPr>
          <w:p w14:paraId="2077A200"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Anaemia</w:t>
            </w:r>
          </w:p>
        </w:tc>
        <w:tc>
          <w:tcPr>
            <w:tcW w:w="626" w:type="pct"/>
            <w:tcBorders>
              <w:top w:val="single" w:sz="4" w:space="0" w:color="auto"/>
              <w:bottom w:val="single" w:sz="4" w:space="0" w:color="auto"/>
            </w:tcBorders>
            <w:vAlign w:val="center"/>
          </w:tcPr>
          <w:p w14:paraId="288EACF3"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1 (2.1)</w:t>
            </w:r>
          </w:p>
        </w:tc>
        <w:tc>
          <w:tcPr>
            <w:tcW w:w="625" w:type="pct"/>
            <w:tcBorders>
              <w:top w:val="single" w:sz="4" w:space="0" w:color="auto"/>
              <w:bottom w:val="single" w:sz="4" w:space="0" w:color="auto"/>
            </w:tcBorders>
            <w:vAlign w:val="center"/>
          </w:tcPr>
          <w:p w14:paraId="048D9CAE" w14:textId="796858A7" w:rsidR="00DF44DD" w:rsidRPr="000D3AF3" w:rsidRDefault="00DF44DD" w:rsidP="00484581">
            <w:pPr>
              <w:pStyle w:val="Tablecentre"/>
              <w:keepNext w:val="0"/>
              <w:widowControl w:val="0"/>
              <w:rPr>
                <w:rFonts w:ascii="Arial Narrow" w:hAnsi="Arial Narrow"/>
              </w:rPr>
            </w:pPr>
            <w:r w:rsidRPr="000D3AF3">
              <w:rPr>
                <w:rFonts w:ascii="Arial Narrow" w:hAnsi="Arial Narrow"/>
              </w:rPr>
              <w:t>1 (</w:t>
            </w:r>
            <w:r w:rsidR="00C034EF" w:rsidRPr="000D3AF3">
              <w:rPr>
                <w:rFonts w:ascii="Arial Narrow" w:hAnsi="Arial Narrow"/>
              </w:rPr>
              <w:t>1.6</w:t>
            </w:r>
            <w:r w:rsidRPr="000D3AF3">
              <w:rPr>
                <w:rFonts w:ascii="Arial Narrow" w:hAnsi="Arial Narrow"/>
              </w:rPr>
              <w:t>)</w:t>
            </w:r>
          </w:p>
        </w:tc>
        <w:tc>
          <w:tcPr>
            <w:tcW w:w="1018" w:type="pct"/>
            <w:tcBorders>
              <w:top w:val="single" w:sz="4" w:space="0" w:color="auto"/>
              <w:bottom w:val="single" w:sz="4" w:space="0" w:color="auto"/>
            </w:tcBorders>
          </w:tcPr>
          <w:p w14:paraId="47C06DBE"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1.34 (0.08, 21.99)</w:t>
            </w:r>
          </w:p>
          <w:p w14:paraId="3C3EE425"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0.84</w:t>
            </w:r>
          </w:p>
        </w:tc>
        <w:tc>
          <w:tcPr>
            <w:tcW w:w="845" w:type="pct"/>
            <w:tcBorders>
              <w:top w:val="single" w:sz="4" w:space="0" w:color="auto"/>
              <w:bottom w:val="single" w:sz="4" w:space="0" w:color="auto"/>
            </w:tcBorders>
          </w:tcPr>
          <w:p w14:paraId="53C33C47"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1.33 (0.09, 20.78)</w:t>
            </w:r>
          </w:p>
          <w:p w14:paraId="03EC4BA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0.84</w:t>
            </w:r>
          </w:p>
        </w:tc>
        <w:tc>
          <w:tcPr>
            <w:tcW w:w="952" w:type="pct"/>
            <w:tcBorders>
              <w:top w:val="single" w:sz="4" w:space="0" w:color="auto"/>
              <w:bottom w:val="single" w:sz="4" w:space="0" w:color="auto"/>
            </w:tcBorders>
          </w:tcPr>
          <w:p w14:paraId="1B1F3A0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0.01 (-0.05, 0.06)</w:t>
            </w:r>
          </w:p>
          <w:p w14:paraId="1802221F"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0.84</w:t>
            </w:r>
          </w:p>
        </w:tc>
      </w:tr>
      <w:tr w:rsidR="00EF15C9" w:rsidRPr="000D3AF3" w14:paraId="4BE8ED1A" w14:textId="77777777" w:rsidTr="007C380F">
        <w:trPr>
          <w:tblHeader/>
        </w:trPr>
        <w:tc>
          <w:tcPr>
            <w:tcW w:w="934" w:type="pct"/>
            <w:tcBorders>
              <w:top w:val="single" w:sz="4" w:space="0" w:color="auto"/>
              <w:bottom w:val="single" w:sz="4" w:space="0" w:color="auto"/>
            </w:tcBorders>
            <w:vAlign w:val="center"/>
          </w:tcPr>
          <w:p w14:paraId="4E1350EB"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Decreased neutrophil count/ white cell count</w:t>
            </w:r>
          </w:p>
        </w:tc>
        <w:tc>
          <w:tcPr>
            <w:tcW w:w="626" w:type="pct"/>
            <w:tcBorders>
              <w:top w:val="single" w:sz="4" w:space="0" w:color="auto"/>
              <w:bottom w:val="single" w:sz="4" w:space="0" w:color="auto"/>
            </w:tcBorders>
            <w:vAlign w:val="center"/>
          </w:tcPr>
          <w:p w14:paraId="56142674"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2 (4.2)</w:t>
            </w:r>
          </w:p>
        </w:tc>
        <w:tc>
          <w:tcPr>
            <w:tcW w:w="625" w:type="pct"/>
            <w:tcBorders>
              <w:top w:val="single" w:sz="4" w:space="0" w:color="auto"/>
              <w:bottom w:val="single" w:sz="4" w:space="0" w:color="auto"/>
            </w:tcBorders>
            <w:vAlign w:val="center"/>
          </w:tcPr>
          <w:p w14:paraId="5E141D3C"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1018" w:type="pct"/>
            <w:tcBorders>
              <w:top w:val="single" w:sz="4" w:space="0" w:color="auto"/>
              <w:bottom w:val="single" w:sz="4" w:space="0" w:color="auto"/>
            </w:tcBorders>
            <w:vAlign w:val="center"/>
          </w:tcPr>
          <w:p w14:paraId="44B2729E"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6.94 (0.33, 147.87)</w:t>
            </w:r>
          </w:p>
          <w:p w14:paraId="0CE3FFDA"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0.21</w:t>
            </w:r>
          </w:p>
        </w:tc>
        <w:tc>
          <w:tcPr>
            <w:tcW w:w="845" w:type="pct"/>
            <w:tcBorders>
              <w:top w:val="single" w:sz="4" w:space="0" w:color="auto"/>
              <w:bottom w:val="single" w:sz="4" w:space="0" w:color="auto"/>
            </w:tcBorders>
            <w:vAlign w:val="center"/>
          </w:tcPr>
          <w:p w14:paraId="2C781E4A" w14:textId="77777777" w:rsidR="007C380F" w:rsidRPr="000D3AF3" w:rsidRDefault="00DF44DD" w:rsidP="00484581">
            <w:pPr>
              <w:pStyle w:val="Tablecentre"/>
              <w:keepNext w:val="0"/>
              <w:widowControl w:val="0"/>
              <w:rPr>
                <w:rFonts w:ascii="Arial Narrow" w:hAnsi="Arial Narrow"/>
              </w:rPr>
            </w:pPr>
            <w:r w:rsidRPr="000D3AF3">
              <w:rPr>
                <w:rFonts w:ascii="Arial Narrow" w:hAnsi="Arial Narrow"/>
              </w:rPr>
              <w:t xml:space="preserve">6.63 </w:t>
            </w:r>
          </w:p>
          <w:p w14:paraId="21DB099E" w14:textId="2167F6E9" w:rsidR="00DF44DD" w:rsidRPr="000D3AF3" w:rsidRDefault="00DF44DD" w:rsidP="00484581">
            <w:pPr>
              <w:pStyle w:val="Tablecentre"/>
              <w:keepNext w:val="0"/>
              <w:widowControl w:val="0"/>
              <w:rPr>
                <w:rFonts w:ascii="Arial Narrow" w:hAnsi="Arial Narrow"/>
              </w:rPr>
            </w:pPr>
            <w:r w:rsidRPr="000D3AF3">
              <w:rPr>
                <w:rFonts w:ascii="Arial Narrow" w:hAnsi="Arial Narrow"/>
              </w:rPr>
              <w:t>(0.33, 135.05)</w:t>
            </w:r>
          </w:p>
          <w:p w14:paraId="6B0CA77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0.22</w:t>
            </w:r>
          </w:p>
        </w:tc>
        <w:tc>
          <w:tcPr>
            <w:tcW w:w="952" w:type="pct"/>
            <w:tcBorders>
              <w:top w:val="single" w:sz="4" w:space="0" w:color="auto"/>
              <w:bottom w:val="single" w:sz="4" w:space="0" w:color="auto"/>
            </w:tcBorders>
          </w:tcPr>
          <w:p w14:paraId="5F80B154"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0.04 (-0.02, 0.11)</w:t>
            </w:r>
          </w:p>
          <w:p w14:paraId="671FD987"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0.21</w:t>
            </w:r>
          </w:p>
        </w:tc>
      </w:tr>
      <w:tr w:rsidR="00EF15C9" w:rsidRPr="000D3AF3" w14:paraId="16FCB1E0" w14:textId="77777777" w:rsidTr="007C380F">
        <w:trPr>
          <w:tblHeader/>
        </w:trPr>
        <w:tc>
          <w:tcPr>
            <w:tcW w:w="934" w:type="pct"/>
            <w:tcBorders>
              <w:top w:val="single" w:sz="4" w:space="0" w:color="auto"/>
              <w:bottom w:val="single" w:sz="4" w:space="0" w:color="auto"/>
            </w:tcBorders>
            <w:vAlign w:val="center"/>
          </w:tcPr>
          <w:p w14:paraId="41DCEF36"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Pancytopenia</w:t>
            </w:r>
          </w:p>
        </w:tc>
        <w:tc>
          <w:tcPr>
            <w:tcW w:w="626" w:type="pct"/>
            <w:tcBorders>
              <w:top w:val="single" w:sz="4" w:space="0" w:color="auto"/>
              <w:bottom w:val="single" w:sz="4" w:space="0" w:color="auto"/>
            </w:tcBorders>
            <w:vAlign w:val="center"/>
          </w:tcPr>
          <w:p w14:paraId="53D1D29E"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1 (2.1)</w:t>
            </w:r>
          </w:p>
        </w:tc>
        <w:tc>
          <w:tcPr>
            <w:tcW w:w="625" w:type="pct"/>
            <w:tcBorders>
              <w:top w:val="single" w:sz="4" w:space="0" w:color="auto"/>
              <w:bottom w:val="single" w:sz="4" w:space="0" w:color="auto"/>
            </w:tcBorders>
            <w:vAlign w:val="center"/>
          </w:tcPr>
          <w:p w14:paraId="3389D5BC"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1018" w:type="pct"/>
            <w:tcBorders>
              <w:top w:val="single" w:sz="4" w:space="0" w:color="auto"/>
              <w:bottom w:val="single" w:sz="4" w:space="0" w:color="auto"/>
            </w:tcBorders>
          </w:tcPr>
          <w:p w14:paraId="49D95B1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4.07 (0.16, 102.21)</w:t>
            </w:r>
          </w:p>
          <w:p w14:paraId="3287B036"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0.39</w:t>
            </w:r>
          </w:p>
        </w:tc>
        <w:tc>
          <w:tcPr>
            <w:tcW w:w="845" w:type="pct"/>
            <w:tcBorders>
              <w:top w:val="single" w:sz="4" w:space="0" w:color="auto"/>
              <w:bottom w:val="single" w:sz="4" w:space="0" w:color="auto"/>
            </w:tcBorders>
          </w:tcPr>
          <w:p w14:paraId="1A7FC5F6"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3.98 (0.17, 95.61)</w:t>
            </w:r>
          </w:p>
          <w:p w14:paraId="32DA26A4"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0.39</w:t>
            </w:r>
          </w:p>
        </w:tc>
        <w:tc>
          <w:tcPr>
            <w:tcW w:w="952" w:type="pct"/>
            <w:tcBorders>
              <w:top w:val="single" w:sz="4" w:space="0" w:color="auto"/>
              <w:bottom w:val="single" w:sz="4" w:space="0" w:color="auto"/>
            </w:tcBorders>
          </w:tcPr>
          <w:p w14:paraId="760924DC"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0.02 (-0.03, 0.07)</w:t>
            </w:r>
          </w:p>
          <w:p w14:paraId="57D81078"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0.44</w:t>
            </w:r>
          </w:p>
        </w:tc>
      </w:tr>
      <w:tr w:rsidR="00EF15C9" w:rsidRPr="000D3AF3" w14:paraId="0C42EAFB" w14:textId="77777777" w:rsidTr="007C380F">
        <w:trPr>
          <w:tblHeader/>
        </w:trPr>
        <w:tc>
          <w:tcPr>
            <w:tcW w:w="934" w:type="pct"/>
            <w:tcBorders>
              <w:top w:val="single" w:sz="4" w:space="0" w:color="auto"/>
              <w:bottom w:val="single" w:sz="4" w:space="0" w:color="auto"/>
            </w:tcBorders>
            <w:vAlign w:val="center"/>
          </w:tcPr>
          <w:p w14:paraId="77408F86" w14:textId="77777777" w:rsidR="00DF44DD" w:rsidRPr="000D3AF3" w:rsidRDefault="00DF44DD" w:rsidP="00484581">
            <w:pPr>
              <w:pStyle w:val="Tabletext0"/>
              <w:keepNext w:val="0"/>
              <w:widowControl w:val="0"/>
              <w:jc w:val="left"/>
              <w:rPr>
                <w:rFonts w:ascii="Arial Narrow" w:hAnsi="Arial Narrow"/>
              </w:rPr>
            </w:pPr>
            <w:r w:rsidRPr="000D3AF3">
              <w:rPr>
                <w:rFonts w:ascii="Arial Narrow" w:hAnsi="Arial Narrow"/>
              </w:rPr>
              <w:t>Febrile neutropenia</w:t>
            </w:r>
          </w:p>
        </w:tc>
        <w:tc>
          <w:tcPr>
            <w:tcW w:w="626" w:type="pct"/>
            <w:tcBorders>
              <w:top w:val="single" w:sz="4" w:space="0" w:color="auto"/>
              <w:bottom w:val="single" w:sz="4" w:space="0" w:color="auto"/>
            </w:tcBorders>
            <w:vAlign w:val="center"/>
          </w:tcPr>
          <w:p w14:paraId="02CF0DE1" w14:textId="2E8F9898"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r w:rsidR="00700ECD" w:rsidRPr="000D3AF3">
              <w:rPr>
                <w:rFonts w:ascii="Arial Narrow" w:hAnsi="Arial Narrow"/>
                <w:vertAlign w:val="superscript"/>
              </w:rPr>
              <w:t>b</w:t>
            </w:r>
          </w:p>
        </w:tc>
        <w:tc>
          <w:tcPr>
            <w:tcW w:w="625" w:type="pct"/>
            <w:tcBorders>
              <w:top w:val="single" w:sz="4" w:space="0" w:color="auto"/>
              <w:bottom w:val="single" w:sz="4" w:space="0" w:color="auto"/>
            </w:tcBorders>
            <w:vAlign w:val="center"/>
          </w:tcPr>
          <w:p w14:paraId="5C543080"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w:t>
            </w:r>
          </w:p>
        </w:tc>
        <w:tc>
          <w:tcPr>
            <w:tcW w:w="1018" w:type="pct"/>
            <w:tcBorders>
              <w:top w:val="single" w:sz="4" w:space="0" w:color="auto"/>
              <w:bottom w:val="single" w:sz="4" w:space="0" w:color="auto"/>
            </w:tcBorders>
            <w:vAlign w:val="center"/>
          </w:tcPr>
          <w:p w14:paraId="24D58E72"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NE</w:t>
            </w:r>
          </w:p>
        </w:tc>
        <w:tc>
          <w:tcPr>
            <w:tcW w:w="845" w:type="pct"/>
            <w:tcBorders>
              <w:top w:val="single" w:sz="4" w:space="0" w:color="auto"/>
              <w:bottom w:val="single" w:sz="4" w:space="0" w:color="auto"/>
            </w:tcBorders>
            <w:vAlign w:val="center"/>
          </w:tcPr>
          <w:p w14:paraId="2FC68421"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NE</w:t>
            </w:r>
          </w:p>
        </w:tc>
        <w:tc>
          <w:tcPr>
            <w:tcW w:w="952" w:type="pct"/>
            <w:tcBorders>
              <w:top w:val="single" w:sz="4" w:space="0" w:color="auto"/>
              <w:bottom w:val="single" w:sz="4" w:space="0" w:color="auto"/>
            </w:tcBorders>
          </w:tcPr>
          <w:p w14:paraId="6DC7C239"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0.00 (-0.04, 0.04)</w:t>
            </w:r>
          </w:p>
          <w:p w14:paraId="2372F58D" w14:textId="77777777" w:rsidR="00DF44DD" w:rsidRPr="000D3AF3" w:rsidRDefault="00DF44DD" w:rsidP="00484581">
            <w:pPr>
              <w:pStyle w:val="Tablecentre"/>
              <w:keepNext w:val="0"/>
              <w:widowControl w:val="0"/>
              <w:rPr>
                <w:rFonts w:ascii="Arial Narrow" w:hAnsi="Arial Narrow"/>
              </w:rPr>
            </w:pPr>
            <w:r w:rsidRPr="000D3AF3">
              <w:rPr>
                <w:rFonts w:ascii="Arial Narrow" w:hAnsi="Arial Narrow"/>
              </w:rPr>
              <w:t>P = 1.00</w:t>
            </w:r>
          </w:p>
        </w:tc>
      </w:tr>
    </w:tbl>
    <w:p w14:paraId="5F591984" w14:textId="77A10568" w:rsidR="00EF15C9" w:rsidRPr="00700ECD" w:rsidRDefault="00EF15C9" w:rsidP="00EF15C9">
      <w:pPr>
        <w:rPr>
          <w:rFonts w:ascii="Arial Narrow" w:hAnsi="Arial Narrow"/>
          <w:sz w:val="18"/>
          <w:szCs w:val="18"/>
        </w:rPr>
      </w:pPr>
      <w:r w:rsidRPr="00700ECD">
        <w:rPr>
          <w:rFonts w:ascii="Arial Narrow" w:hAnsi="Arial Narrow"/>
          <w:sz w:val="18"/>
          <w:szCs w:val="18"/>
        </w:rPr>
        <w:t>Source: Resubmission Table 2-12.</w:t>
      </w:r>
    </w:p>
    <w:p w14:paraId="7E3D60F8" w14:textId="10FD2DEA" w:rsidR="00DF44DD" w:rsidRPr="00700ECD" w:rsidRDefault="00DF44DD" w:rsidP="00DF44DD">
      <w:pPr>
        <w:rPr>
          <w:rFonts w:ascii="Arial Narrow" w:hAnsi="Arial Narrow"/>
          <w:sz w:val="18"/>
          <w:szCs w:val="18"/>
        </w:rPr>
      </w:pPr>
      <w:r w:rsidRPr="00700ECD">
        <w:rPr>
          <w:rFonts w:ascii="Arial Narrow" w:hAnsi="Arial Narrow"/>
          <w:sz w:val="18"/>
          <w:szCs w:val="18"/>
        </w:rPr>
        <w:t xml:space="preserve">ALT = alanine aminotransferase; </w:t>
      </w:r>
      <w:r w:rsidR="003C205F">
        <w:rPr>
          <w:rFonts w:ascii="Arial Narrow" w:hAnsi="Arial Narrow"/>
          <w:sz w:val="18"/>
          <w:szCs w:val="18"/>
        </w:rPr>
        <w:t xml:space="preserve">AST = </w:t>
      </w:r>
      <w:r w:rsidR="003C205F">
        <w:rPr>
          <w:rFonts w:ascii="Arial Narrow" w:eastAsiaTheme="minorHAnsi" w:hAnsi="Arial Narrow" w:cstheme="minorBidi"/>
          <w:sz w:val="18"/>
          <w:szCs w:val="18"/>
          <w:lang w:eastAsia="en-US"/>
        </w:rPr>
        <w:t>a</w:t>
      </w:r>
      <w:r w:rsidR="003C205F" w:rsidRPr="00AE147C">
        <w:rPr>
          <w:rFonts w:ascii="Arial Narrow" w:eastAsiaTheme="minorHAnsi" w:hAnsi="Arial Narrow" w:cstheme="minorBidi"/>
          <w:sz w:val="18"/>
          <w:szCs w:val="18"/>
          <w:lang w:eastAsia="en-US"/>
        </w:rPr>
        <w:t>spartate aminotransferase</w:t>
      </w:r>
      <w:r w:rsidR="003C205F">
        <w:rPr>
          <w:rFonts w:ascii="Arial Narrow" w:hAnsi="Arial Narrow"/>
          <w:sz w:val="18"/>
          <w:szCs w:val="18"/>
        </w:rPr>
        <w:t xml:space="preserve">; </w:t>
      </w:r>
      <w:r w:rsidR="003C205F" w:rsidRPr="003C205F">
        <w:rPr>
          <w:rFonts w:ascii="Arial Narrow" w:hAnsi="Arial Narrow"/>
          <w:sz w:val="18"/>
          <w:szCs w:val="18"/>
        </w:rPr>
        <w:t>GGT = gamma glutamyl aminotransferase</w:t>
      </w:r>
      <w:r w:rsidR="003C205F">
        <w:rPr>
          <w:rFonts w:ascii="Arial Narrow" w:hAnsi="Arial Narrow"/>
          <w:sz w:val="18"/>
          <w:szCs w:val="18"/>
        </w:rPr>
        <w:t xml:space="preserve">; </w:t>
      </w:r>
      <w:r w:rsidRPr="00700ECD">
        <w:rPr>
          <w:rFonts w:ascii="Arial Narrow" w:hAnsi="Arial Narrow"/>
          <w:sz w:val="18"/>
          <w:szCs w:val="18"/>
        </w:rPr>
        <w:t>NE = not estimable</w:t>
      </w:r>
      <w:r w:rsidR="003C205F">
        <w:rPr>
          <w:rFonts w:ascii="Arial Narrow" w:hAnsi="Arial Narrow"/>
          <w:sz w:val="18"/>
          <w:szCs w:val="18"/>
        </w:rPr>
        <w:t>; OR = odds ratio; RD = risk difference; RR = relative risk.</w:t>
      </w:r>
    </w:p>
    <w:p w14:paraId="1A52299C" w14:textId="2F2A5011" w:rsidR="00EF15C9" w:rsidRPr="00700ECD" w:rsidRDefault="00700ECD" w:rsidP="00EF15C9">
      <w:pPr>
        <w:rPr>
          <w:rFonts w:ascii="Arial Narrow" w:hAnsi="Arial Narrow"/>
          <w:sz w:val="18"/>
          <w:szCs w:val="18"/>
        </w:rPr>
      </w:pPr>
      <w:r w:rsidRPr="00700ECD">
        <w:rPr>
          <w:rFonts w:ascii="Arial Narrow" w:hAnsi="Arial Narrow"/>
          <w:sz w:val="18"/>
          <w:szCs w:val="18"/>
        </w:rPr>
        <w:t xml:space="preserve">a </w:t>
      </w:r>
      <w:r w:rsidR="00EF15C9" w:rsidRPr="00700ECD">
        <w:rPr>
          <w:rFonts w:ascii="Arial Narrow" w:hAnsi="Arial Narrow"/>
          <w:sz w:val="18"/>
          <w:szCs w:val="18"/>
        </w:rPr>
        <w:t>For asciminib this combines the terms rash and rash maculo-papular; for ponatinib this combines the terms erythematous and papular rash</w:t>
      </w:r>
      <w:r w:rsidRPr="00700ECD">
        <w:rPr>
          <w:rFonts w:ascii="Arial Narrow" w:hAnsi="Arial Narrow"/>
          <w:sz w:val="18"/>
          <w:szCs w:val="18"/>
        </w:rPr>
        <w:t>.</w:t>
      </w:r>
    </w:p>
    <w:p w14:paraId="054E64DC" w14:textId="56E3EB44" w:rsidR="00700ECD" w:rsidRPr="00700ECD" w:rsidRDefault="00700ECD" w:rsidP="00EF15C9">
      <w:pPr>
        <w:rPr>
          <w:rFonts w:ascii="Arial Narrow" w:hAnsi="Arial Narrow"/>
          <w:sz w:val="18"/>
          <w:szCs w:val="18"/>
        </w:rPr>
      </w:pPr>
      <w:r w:rsidRPr="00700ECD">
        <w:rPr>
          <w:rFonts w:ascii="Arial Narrow" w:hAnsi="Arial Narrow"/>
          <w:sz w:val="18"/>
          <w:szCs w:val="18"/>
        </w:rPr>
        <w:t>b Assumed to be 0 as no patients reported this outcome.</w:t>
      </w:r>
    </w:p>
    <w:p w14:paraId="1B89B72D" w14:textId="01481E5E" w:rsidR="00976104" w:rsidRDefault="00EF15C9" w:rsidP="00700ECD">
      <w:pPr>
        <w:widowControl w:val="0"/>
        <w:rPr>
          <w:rFonts w:ascii="Arial Narrow" w:hAnsi="Arial Narrow"/>
          <w:sz w:val="18"/>
          <w:szCs w:val="18"/>
        </w:rPr>
      </w:pPr>
      <w:r w:rsidRPr="00700ECD">
        <w:rPr>
          <w:rFonts w:ascii="Arial Narrow" w:hAnsi="Arial Narrow"/>
          <w:sz w:val="18"/>
          <w:szCs w:val="18"/>
        </w:rPr>
        <w:t xml:space="preserve">Note: Grade </w:t>
      </w:r>
      <w:r w:rsidRPr="00700ECD">
        <w:rPr>
          <w:rFonts w:ascii="Arial Narrow" w:hAnsi="Arial Narrow" w:cs="Calibri"/>
          <w:sz w:val="18"/>
          <w:szCs w:val="18"/>
        </w:rPr>
        <w:t>≥</w:t>
      </w:r>
      <w:r w:rsidRPr="00700ECD">
        <w:rPr>
          <w:rFonts w:ascii="Arial Narrow" w:hAnsi="Arial Narrow"/>
          <w:sz w:val="18"/>
          <w:szCs w:val="18"/>
        </w:rPr>
        <w:t xml:space="preserve">3 oedema peripheral, platelet count decreased, coronary artery disease, hyperkalaemia, IIIrd nerve paralysis, weight decreased, and non-cardiac chest pain was reported in one patient from X2101 in each category. However, these outcomes were not reported in the PACE publication which only reported treatment-related AEs in </w:t>
      </w:r>
      <w:r w:rsidRPr="00700ECD">
        <w:rPr>
          <w:rFonts w:ascii="Arial Narrow" w:hAnsi="Arial Narrow" w:cs="Calibri"/>
          <w:sz w:val="18"/>
          <w:szCs w:val="18"/>
        </w:rPr>
        <w:t>≥</w:t>
      </w:r>
      <w:r w:rsidRPr="00700ECD">
        <w:rPr>
          <w:rFonts w:ascii="Arial Narrow" w:hAnsi="Arial Narrow"/>
          <w:sz w:val="18"/>
          <w:szCs w:val="18"/>
        </w:rPr>
        <w:t xml:space="preserve"> 10% in the total study population (N = 449) or those with incidence of &gt; 1% for grade 3/4.</w:t>
      </w:r>
    </w:p>
    <w:p w14:paraId="46C1B971" w14:textId="467D21B0" w:rsidR="00C0633A" w:rsidRPr="00FD3D2F" w:rsidRDefault="0047714D" w:rsidP="00FD3D2F">
      <w:pPr>
        <w:pStyle w:val="3-BodyText"/>
        <w:numPr>
          <w:ilvl w:val="0"/>
          <w:numId w:val="0"/>
        </w:numPr>
        <w:spacing w:after="0"/>
        <w:ind w:left="720" w:hanging="720"/>
        <w:rPr>
          <w:rFonts w:ascii="Arial Narrow" w:hAnsi="Arial Narrow"/>
          <w:i/>
          <w:iCs/>
          <w:sz w:val="18"/>
          <w:szCs w:val="18"/>
        </w:rPr>
      </w:pPr>
      <w:r w:rsidRPr="00716D0B">
        <w:rPr>
          <w:rFonts w:ascii="Arial Narrow" w:hAnsi="Arial Narrow"/>
          <w:i/>
          <w:iCs/>
          <w:sz w:val="18"/>
          <w:szCs w:val="18"/>
        </w:rPr>
        <w:t>*</w:t>
      </w:r>
      <w:r w:rsidR="00C0633A" w:rsidRPr="00716D0B">
        <w:rPr>
          <w:rFonts w:ascii="Arial Narrow" w:hAnsi="Arial Narrow"/>
          <w:i/>
          <w:iCs/>
          <w:sz w:val="18"/>
          <w:szCs w:val="18"/>
        </w:rPr>
        <w:t>Note: The results presented in Table 15 are derived from an unanchored and unadjusted indirect comparison specifically for the purposes of informing the PBAC consideration.  Interpretation of the results and their application should therefore be limited to seeking to understand the basis for the PBAC outcome and should not be used for any other purpose.</w:t>
      </w:r>
    </w:p>
    <w:p w14:paraId="1EAD1CC2" w14:textId="0A0297A1" w:rsidR="00EF7E43" w:rsidRDefault="00EF7E43" w:rsidP="00BD6CE2">
      <w:pPr>
        <w:pStyle w:val="4-SubsectionHeading"/>
        <w:keepNext/>
        <w:keepLines/>
      </w:pPr>
      <w:r>
        <w:t>Clinical claim</w:t>
      </w:r>
    </w:p>
    <w:p w14:paraId="6B166927" w14:textId="6A7D40AB" w:rsidR="00B12F64" w:rsidRDefault="00ED17E0" w:rsidP="00D00E6F">
      <w:pPr>
        <w:pStyle w:val="3-BodyText"/>
      </w:pPr>
      <w:r w:rsidRPr="00A0693D">
        <w:t>The clinical claim</w:t>
      </w:r>
      <w:r>
        <w:t xml:space="preserve"> for asciminib (200 mg twice daily) versus ponatinib (45 mg once daily)</w:t>
      </w:r>
      <w:r w:rsidRPr="00A0693D">
        <w:t xml:space="preserve"> in patients with CML-CP who have received at least one prior TKI and harbour the T315I mutation </w:t>
      </w:r>
      <w:r>
        <w:t>was:</w:t>
      </w:r>
    </w:p>
    <w:p w14:paraId="10737DF3" w14:textId="36E78FBD" w:rsidR="00CB39B1" w:rsidRDefault="00CB39B1" w:rsidP="00CB39B1">
      <w:pPr>
        <w:pStyle w:val="3-BodyText"/>
        <w:numPr>
          <w:ilvl w:val="0"/>
          <w:numId w:val="51"/>
        </w:numPr>
      </w:pPr>
      <w:r>
        <w:t>N</w:t>
      </w:r>
      <w:r w:rsidRPr="00A0693D">
        <w:t xml:space="preserve">on-inferior efficacy. The assessment of efficacy </w:t>
      </w:r>
      <w:r>
        <w:t>was</w:t>
      </w:r>
      <w:r w:rsidRPr="00A0693D">
        <w:t xml:space="preserve"> based on</w:t>
      </w:r>
      <w:r>
        <w:t xml:space="preserve"> a comparison of</w:t>
      </w:r>
      <w:r w:rsidRPr="00A0693D">
        <w:t xml:space="preserve"> MMR and CCyR</w:t>
      </w:r>
      <w:r>
        <w:t xml:space="preserve"> in the T315I mutation populations of the</w:t>
      </w:r>
      <w:r w:rsidRPr="00A0693D">
        <w:t xml:space="preserve"> </w:t>
      </w:r>
      <w:r>
        <w:t>X2101 and PACE trials</w:t>
      </w:r>
      <w:r w:rsidRPr="00A0693D">
        <w:t xml:space="preserve">. The Sponsor stated that these outcomes are important treatment goals </w:t>
      </w:r>
      <w:r w:rsidRPr="00A0693D">
        <w:fldChar w:fldCharType="begin" w:fldLock="1"/>
      </w:r>
      <w:r w:rsidRPr="00A0693D">
        <w:instrText xml:space="preserve"> ADDIN EN.CITE &lt;EndNote&gt;&lt;Cite&gt;&lt;Author&gt;NCCN&lt;/Author&gt;&lt;Year&gt;2022&lt;/Year&gt;&lt;RecNum&gt;36&lt;/RecNum&gt;&lt;DisplayText&gt;(NCCN, 2022)&lt;/DisplayText&gt;&lt;record&gt;&lt;rec-number&gt;36&lt;/rec-number&gt;&lt;foreign-keys&gt;&lt;key app="EN" db-id="0evavwe2nasp55e0fpav9srmdz5p5sftetpw" timestamp="1644541090"&gt;36&lt;/key&gt;&lt;/foreign-keys&gt;&lt;ref-type name="Journal </w:instrText>
      </w:r>
      <w:r w:rsidRPr="00A0693D">
        <w:lastRenderedPageBreak/>
        <w:instrText>Article"&gt;17&lt;/ref-type&gt;&lt;contributors&gt;&lt;authors&gt;&lt;author&gt;NCCN&lt;/author&gt;&lt;/authors&gt;&lt;/contributors&gt;&lt;titles&gt;&lt;title&gt;NCCN Guidelines Version 1.2022: Chronic Myeloid Leukemia&lt;/title&gt;&lt;/titles&gt;&lt;dates&gt;&lt;year&gt;2022&lt;/year&gt;&lt;/dates&gt;&lt;urls&gt;&lt;/urls&gt;&lt;/record&gt;&lt;/Cite&gt;&lt;/EndNote&gt;</w:instrText>
      </w:r>
      <w:r w:rsidRPr="00A0693D">
        <w:fldChar w:fldCharType="separate"/>
      </w:r>
      <w:r w:rsidRPr="00A0693D">
        <w:rPr>
          <w:noProof/>
        </w:rPr>
        <w:t>(</w:t>
      </w:r>
      <w:hyperlink w:anchor="_ENREF_4" w:tooltip="NCCN, 2022 #36" w:history="1">
        <w:r w:rsidRPr="00A0693D">
          <w:rPr>
            <w:noProof/>
          </w:rPr>
          <w:t>NCCN, 2022</w:t>
        </w:r>
      </w:hyperlink>
      <w:r w:rsidRPr="00A0693D">
        <w:rPr>
          <w:noProof/>
        </w:rPr>
        <w:t>)</w:t>
      </w:r>
      <w:r w:rsidRPr="00A0693D">
        <w:fldChar w:fldCharType="end"/>
      </w:r>
      <w:r w:rsidRPr="00A0693D">
        <w:t xml:space="preserve"> and have previously been accepted by the PBAC in their consideration in the treatment of CML (Nilotinib PSD July 2011; Ponatinib PSD July 2015).</w:t>
      </w:r>
    </w:p>
    <w:p w14:paraId="11AC9C8C" w14:textId="21554333" w:rsidR="00CB39B1" w:rsidRDefault="00CB39B1" w:rsidP="00552EF2">
      <w:pPr>
        <w:pStyle w:val="3-BodyText"/>
        <w:numPr>
          <w:ilvl w:val="0"/>
          <w:numId w:val="51"/>
        </w:numPr>
      </w:pPr>
      <w:r>
        <w:t>A</w:t>
      </w:r>
      <w:r w:rsidRPr="00BC3D62">
        <w:t>t least non-inferior safety</w:t>
      </w:r>
      <w:r w:rsidRPr="00A0693D">
        <w:t xml:space="preserve">. The assessment of safety </w:t>
      </w:r>
      <w:r w:rsidR="00F85DD0">
        <w:t>was</w:t>
      </w:r>
      <w:r w:rsidRPr="00A0693D">
        <w:t xml:space="preserve"> based on</w:t>
      </w:r>
      <w:r>
        <w:t xml:space="preserve"> a comparison of </w:t>
      </w:r>
      <w:r w:rsidRPr="00BC3D62">
        <w:t>grade ≥3 treatment-related adverse events</w:t>
      </w:r>
      <w:r>
        <w:t xml:space="preserve"> in the T315I mutation populations of the</w:t>
      </w:r>
      <w:r w:rsidRPr="00A0693D">
        <w:t xml:space="preserve"> </w:t>
      </w:r>
      <w:r>
        <w:t>X2101 and PACE trials.</w:t>
      </w:r>
    </w:p>
    <w:p w14:paraId="19FCBECF" w14:textId="7BCA835D" w:rsidR="00ED17E0" w:rsidRDefault="00ED17E0" w:rsidP="00AA7E2F">
      <w:pPr>
        <w:pStyle w:val="3-BodyText"/>
        <w:rPr>
          <w:snapToGrid w:val="0"/>
        </w:rPr>
      </w:pPr>
      <w:r w:rsidRPr="004D5774">
        <w:rPr>
          <w:iCs/>
          <w:snapToGrid w:val="0"/>
        </w:rPr>
        <w:t>The</w:t>
      </w:r>
      <w:r w:rsidRPr="004D5774">
        <w:rPr>
          <w:snapToGrid w:val="0"/>
        </w:rPr>
        <w:t xml:space="preserve"> PBAC considered that the claim of non-inferior comparative effectiveness was not unreasonable, despite the caveats associated with an unanchored and unadjusted comparison, given that there was no </w:t>
      </w:r>
      <w:r w:rsidR="00A53915">
        <w:rPr>
          <w:snapToGrid w:val="0"/>
        </w:rPr>
        <w:t>material</w:t>
      </w:r>
      <w:r w:rsidRPr="004D5774">
        <w:rPr>
          <w:snapToGrid w:val="0"/>
        </w:rPr>
        <w:t xml:space="preserve"> difference between asciminib and ponatinib in any of the comparisons of cumulative MMR or CCyR.</w:t>
      </w:r>
    </w:p>
    <w:p w14:paraId="75F63B01" w14:textId="1A569364" w:rsidR="00EF7E43" w:rsidRPr="00ED17E0" w:rsidRDefault="00ED17E0" w:rsidP="00ED17E0">
      <w:pPr>
        <w:pStyle w:val="3-BodyText"/>
        <w:rPr>
          <w:snapToGrid w:val="0"/>
        </w:rPr>
      </w:pPr>
      <w:r>
        <w:rPr>
          <w:snapToGrid w:val="0"/>
        </w:rPr>
        <w:t>T</w:t>
      </w:r>
      <w:r w:rsidRPr="004D5774">
        <w:rPr>
          <w:snapToGrid w:val="0"/>
        </w:rPr>
        <w:t>he PBAC considered that the claim of non-inferior comparative safety was not unreasonable</w:t>
      </w:r>
      <w:r>
        <w:rPr>
          <w:snapToGrid w:val="0"/>
        </w:rPr>
        <w:t xml:space="preserve">, noting that there were </w:t>
      </w:r>
      <w:r w:rsidRPr="004D5774">
        <w:rPr>
          <w:snapToGrid w:val="0"/>
          <w:lang w:val="en-US"/>
        </w:rPr>
        <w:t xml:space="preserve">no </w:t>
      </w:r>
      <w:r w:rsidR="00A53915">
        <w:rPr>
          <w:snapToGrid w:val="0"/>
          <w:lang w:val="en-US"/>
        </w:rPr>
        <w:t>material</w:t>
      </w:r>
      <w:r w:rsidRPr="004D5774">
        <w:rPr>
          <w:snapToGrid w:val="0"/>
          <w:lang w:val="en-US"/>
        </w:rPr>
        <w:t xml:space="preserve"> differences in grade ≥3 treatment-related AEs between the treatments except for pancreatitis</w:t>
      </w:r>
      <w:r>
        <w:rPr>
          <w:snapToGrid w:val="0"/>
          <w:lang w:val="en-US"/>
        </w:rPr>
        <w:t xml:space="preserve"> (</w:t>
      </w:r>
      <w:r w:rsidRPr="004D5774">
        <w:rPr>
          <w:snapToGrid w:val="0"/>
          <w:lang w:val="en-US"/>
        </w:rPr>
        <w:t>5 patients (8%) of patients treated with ponatinib experienced treatment-related grade ≥3 pancreatitis</w:t>
      </w:r>
      <w:r>
        <w:rPr>
          <w:snapToGrid w:val="0"/>
          <w:lang w:val="en-US"/>
        </w:rPr>
        <w:t xml:space="preserve"> compared to no patients treated with asciminib). The PBAC noted that the median duration of exposure to asciminib in the X2101 trial (108.2 weeks) was almost twice as long compared to that for ponatinib in the PACE trial (12.8 months).</w:t>
      </w:r>
    </w:p>
    <w:p w14:paraId="042A1551" w14:textId="7234FDB7" w:rsidR="004C3BA7" w:rsidRDefault="004C3BA7" w:rsidP="00BD6CE2">
      <w:pPr>
        <w:pStyle w:val="4-SubsectionHeading"/>
        <w:keepNext/>
        <w:keepLines/>
      </w:pPr>
      <w:r>
        <w:t>Economic analysis</w:t>
      </w:r>
    </w:p>
    <w:p w14:paraId="0DFD4C82" w14:textId="496CCC80" w:rsidR="00356E1D" w:rsidRDefault="00356E1D" w:rsidP="004A210A">
      <w:pPr>
        <w:pStyle w:val="3-BodyText"/>
      </w:pPr>
      <w:r w:rsidRPr="004A7CE6">
        <w:rPr>
          <w:rFonts w:eastAsia="Times New Roman" w:cs="Arial"/>
          <w:snapToGrid w:val="0"/>
          <w:szCs w:val="24"/>
        </w:rPr>
        <w:t>As an early re-entry resubmission, the economic analysis has not been independently evaluated.</w:t>
      </w:r>
    </w:p>
    <w:p w14:paraId="528588E6" w14:textId="6B2CBF3E" w:rsidR="003B182D" w:rsidRPr="000C5CCD" w:rsidRDefault="00596A8C" w:rsidP="000C5CCD">
      <w:pPr>
        <w:pStyle w:val="3-BodyText"/>
      </w:pPr>
      <w:r>
        <w:t>T</w:t>
      </w:r>
      <w:r w:rsidR="004254F4" w:rsidRPr="004254F4">
        <w:t xml:space="preserve">he </w:t>
      </w:r>
      <w:r w:rsidR="003B182D" w:rsidRPr="004254F4">
        <w:t>July 2022 submission</w:t>
      </w:r>
      <w:r>
        <w:t xml:space="preserve"> </w:t>
      </w:r>
      <w:r w:rsidR="003B182D" w:rsidRPr="004254F4">
        <w:t xml:space="preserve">presented separate </w:t>
      </w:r>
      <w:r>
        <w:t>analyses</w:t>
      </w:r>
      <w:r w:rsidR="003B182D" w:rsidRPr="004254F4">
        <w:t xml:space="preserve"> of asciminib versus nilotinib and asciminib versus ponatinib</w:t>
      </w:r>
      <w:r>
        <w:t xml:space="preserve"> using the cost minimisation approach (CMA)</w:t>
      </w:r>
      <w:r w:rsidR="003B182D" w:rsidRPr="004254F4">
        <w:t xml:space="preserve">. Although the </w:t>
      </w:r>
      <w:r>
        <w:t>PBAC</w:t>
      </w:r>
      <w:r w:rsidR="003B182D" w:rsidRPr="004254F4">
        <w:t xml:space="preserve"> considered that benchmarking against second generation TKIs was a reasonable basis for establishing a cost-effective price for asciminib in patients without the T315</w:t>
      </w:r>
      <w:r w:rsidR="004254F4" w:rsidRPr="004254F4">
        <w:t>I</w:t>
      </w:r>
      <w:r w:rsidR="003B182D" w:rsidRPr="004254F4">
        <w:t xml:space="preserve"> mutation, it requested that this benchmarking be performed against nilotinib and dasatinib (para</w:t>
      </w:r>
      <w:r w:rsidR="004254F4" w:rsidRPr="004254F4">
        <w:t>graph</w:t>
      </w:r>
      <w:r>
        <w:t>s</w:t>
      </w:r>
      <w:r w:rsidR="003B182D" w:rsidRPr="004254F4">
        <w:t xml:space="preserve"> 7.13</w:t>
      </w:r>
      <w:r>
        <w:t xml:space="preserve"> and 7.15</w:t>
      </w:r>
      <w:r w:rsidR="004254F4" w:rsidRPr="004254F4">
        <w:t xml:space="preserve">, asciminib </w:t>
      </w:r>
      <w:r w:rsidR="00D17411">
        <w:t>PSD</w:t>
      </w:r>
      <w:r w:rsidR="004254F4" w:rsidRPr="004254F4">
        <w:t>, July 2022</w:t>
      </w:r>
      <w:r w:rsidR="003B182D" w:rsidRPr="004254F4">
        <w:t xml:space="preserve">). Consistent with this advice, separate updated CMAs of asciminib versus nilotinib and asciminib versus dasatinib </w:t>
      </w:r>
      <w:r w:rsidR="004254F4" w:rsidRPr="004254F4">
        <w:t>were</w:t>
      </w:r>
      <w:r w:rsidR="003B182D" w:rsidRPr="004254F4">
        <w:t xml:space="preserve"> presented</w:t>
      </w:r>
      <w:r w:rsidR="004254F4" w:rsidRPr="004254F4">
        <w:t xml:space="preserve"> in the resubmission</w:t>
      </w:r>
      <w:r w:rsidR="003B182D" w:rsidRPr="004254F4">
        <w:t>.</w:t>
      </w:r>
    </w:p>
    <w:p w14:paraId="67E1B4E5" w14:textId="459BD28A" w:rsidR="003B182D" w:rsidRPr="00596A8C" w:rsidRDefault="003B182D" w:rsidP="00596A8C">
      <w:pPr>
        <w:spacing w:after="120"/>
        <w:rPr>
          <w:b/>
          <w:bCs/>
        </w:rPr>
      </w:pPr>
      <w:r w:rsidRPr="00596A8C">
        <w:rPr>
          <w:b/>
          <w:bCs/>
          <w:i/>
          <w:iCs/>
        </w:rPr>
        <w:t>Asciminib vs nilotinib (non-T315</w:t>
      </w:r>
      <w:r w:rsidR="000D668E" w:rsidRPr="00596A8C">
        <w:rPr>
          <w:b/>
          <w:bCs/>
          <w:i/>
          <w:iCs/>
        </w:rPr>
        <w:t>I</w:t>
      </w:r>
      <w:r w:rsidRPr="00596A8C">
        <w:rPr>
          <w:b/>
          <w:bCs/>
          <w:i/>
          <w:iCs/>
        </w:rPr>
        <w:t xml:space="preserve"> mutation)</w:t>
      </w:r>
    </w:p>
    <w:p w14:paraId="7EC8DCBB" w14:textId="5B432135" w:rsidR="003B182D" w:rsidRPr="00D91E19" w:rsidRDefault="003B182D" w:rsidP="004A210A">
      <w:pPr>
        <w:pStyle w:val="3-BodyText"/>
      </w:pPr>
      <w:r w:rsidRPr="00D91E19">
        <w:t xml:space="preserve">Although the PBAC noted that the </w:t>
      </w:r>
      <w:r w:rsidR="00596A8C" w:rsidRPr="00D91E19">
        <w:t>CMA</w:t>
      </w:r>
      <w:r w:rsidRPr="00D91E19">
        <w:t xml:space="preserve"> of asciminib versus nilotinib was informative</w:t>
      </w:r>
      <w:r w:rsidR="00596A8C" w:rsidRPr="00D91E19">
        <w:t xml:space="preserve"> at the July 2022 meeting</w:t>
      </w:r>
      <w:r w:rsidRPr="00D91E19">
        <w:t>, it considered that the equi-effective doses for patients without the T315</w:t>
      </w:r>
      <w:r w:rsidR="00596A8C" w:rsidRPr="00D91E19">
        <w:t>I</w:t>
      </w:r>
      <w:r w:rsidRPr="00D91E19">
        <w:t xml:space="preserve"> mutation should be based on the median doses in the ASCEMBL (79.8 mg/day) and ENACT (782.5 mg/day)</w:t>
      </w:r>
      <w:r w:rsidR="00596A8C" w:rsidRPr="00D91E19">
        <w:t xml:space="preserve"> trials</w:t>
      </w:r>
      <w:r w:rsidRPr="00D91E19">
        <w:t xml:space="preserve"> (</w:t>
      </w:r>
      <w:r w:rsidR="00596A8C" w:rsidRPr="00D91E19">
        <w:t xml:space="preserve">paragraph 7.12, asciminib </w:t>
      </w:r>
      <w:r w:rsidR="00D17411">
        <w:t>PSD</w:t>
      </w:r>
      <w:r w:rsidRPr="00D91E19">
        <w:t>,</w:t>
      </w:r>
      <w:r w:rsidR="00596A8C" w:rsidRPr="00D91E19">
        <w:t xml:space="preserve"> July 2022</w:t>
      </w:r>
      <w:r w:rsidRPr="00D91E19">
        <w:t xml:space="preserve">). The Committee further considered that there should be no cost offsets for the treatment of </w:t>
      </w:r>
      <w:r w:rsidR="00596A8C" w:rsidRPr="00D91E19">
        <w:t>AEs</w:t>
      </w:r>
      <w:r w:rsidRPr="00D91E19">
        <w:t xml:space="preserve"> and that the monitoring cost be revised to align with that calculated during the evaluation (para</w:t>
      </w:r>
      <w:r w:rsidR="00D91E19" w:rsidRPr="00D91E19">
        <w:t>graph</w:t>
      </w:r>
      <w:r w:rsidRPr="00D91E19">
        <w:t xml:space="preserve"> 7.13</w:t>
      </w:r>
      <w:r w:rsidR="00D91E19" w:rsidRPr="00D91E19">
        <w:t xml:space="preserve">, asciminib </w:t>
      </w:r>
      <w:r w:rsidR="00D17411">
        <w:t>PSD</w:t>
      </w:r>
      <w:r w:rsidR="00D91E19" w:rsidRPr="00D91E19">
        <w:t>, July 2022</w:t>
      </w:r>
      <w:r w:rsidRPr="00D91E19">
        <w:t xml:space="preserve">). </w:t>
      </w:r>
    </w:p>
    <w:p w14:paraId="7AC8F667" w14:textId="76234724" w:rsidR="003B182D" w:rsidRPr="005835DF" w:rsidRDefault="00661653" w:rsidP="004A210A">
      <w:pPr>
        <w:pStyle w:val="3-BodyText"/>
      </w:pPr>
      <w:r>
        <w:lastRenderedPageBreak/>
        <w:t>The resubmission stated that i</w:t>
      </w:r>
      <w:r w:rsidR="003B182D" w:rsidRPr="00A240B8">
        <w:t xml:space="preserve">n addition to the PBAC’s requested revisions, the CMA has been updated to consider the current (August 2022) </w:t>
      </w:r>
      <w:r w:rsidR="005C13C3">
        <w:t>approved ex-manufacturer prices (</w:t>
      </w:r>
      <w:r w:rsidR="003B182D" w:rsidRPr="00A240B8">
        <w:t>AEMPs</w:t>
      </w:r>
      <w:r w:rsidR="005C13C3">
        <w:t>)</w:t>
      </w:r>
      <w:r w:rsidR="003B182D" w:rsidRPr="00A240B8">
        <w:t xml:space="preserve"> for nilotinib and fee</w:t>
      </w:r>
      <w:r w:rsidR="00A240B8" w:rsidRPr="00A240B8">
        <w:t>s</w:t>
      </w:r>
      <w:r w:rsidR="003B182D" w:rsidRPr="00A240B8">
        <w:t xml:space="preserve"> for relevant MBS items. The result of the revised CMA over a two-year time horizon is presented in</w:t>
      </w:r>
      <w:r w:rsidR="00A240B8" w:rsidRPr="00A240B8">
        <w:t xml:space="preserve"> </w:t>
      </w:r>
      <w:r w:rsidR="00A240B8" w:rsidRPr="00A240B8">
        <w:rPr>
          <w:rFonts w:cstheme="minorHAnsi"/>
        </w:rPr>
        <w:fldChar w:fldCharType="begin" w:fldLock="1"/>
      </w:r>
      <w:r w:rsidR="00A240B8" w:rsidRPr="00A240B8">
        <w:rPr>
          <w:rFonts w:cstheme="minorHAnsi"/>
        </w:rPr>
        <w:instrText xml:space="preserve"> REF _Ref114567289 \h  \* MERGEFORMAT </w:instrText>
      </w:r>
      <w:r w:rsidR="00A240B8" w:rsidRPr="00A240B8">
        <w:rPr>
          <w:rFonts w:cstheme="minorHAnsi"/>
        </w:rPr>
      </w:r>
      <w:r w:rsidR="00A240B8" w:rsidRPr="00A240B8">
        <w:rPr>
          <w:rFonts w:cstheme="minorHAnsi"/>
        </w:rPr>
        <w:fldChar w:fldCharType="separate"/>
      </w:r>
      <w:r w:rsidR="00196FF1" w:rsidRPr="00196FF1">
        <w:rPr>
          <w:rFonts w:cstheme="minorHAnsi"/>
        </w:rPr>
        <w:t xml:space="preserve">Table </w:t>
      </w:r>
      <w:r w:rsidR="00196FF1" w:rsidRPr="00196FF1">
        <w:rPr>
          <w:rFonts w:cstheme="minorHAnsi"/>
          <w:noProof/>
        </w:rPr>
        <w:t>16</w:t>
      </w:r>
      <w:r w:rsidR="00A240B8" w:rsidRPr="00A240B8">
        <w:rPr>
          <w:rFonts w:cstheme="minorHAnsi"/>
        </w:rPr>
        <w:fldChar w:fldCharType="end"/>
      </w:r>
      <w:r w:rsidR="003B182D" w:rsidRPr="00A240B8">
        <w:t>.</w:t>
      </w:r>
      <w:r w:rsidR="006777A8" w:rsidRPr="005835DF">
        <w:t xml:space="preserve"> </w:t>
      </w:r>
    </w:p>
    <w:p w14:paraId="73AFA711" w14:textId="77777777" w:rsidR="007F485B" w:rsidRDefault="007F485B" w:rsidP="007F485B">
      <w:pPr>
        <w:pStyle w:val="3-BodyText"/>
        <w:numPr>
          <w:ilvl w:val="0"/>
          <w:numId w:val="0"/>
        </w:numPr>
        <w:sectPr w:rsidR="007F485B" w:rsidSect="00EF15C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pPr>
    </w:p>
    <w:p w14:paraId="63AFD6A8" w14:textId="6247B31F" w:rsidR="007F485B" w:rsidRPr="00A240B8" w:rsidRDefault="007F485B" w:rsidP="007F485B">
      <w:pPr>
        <w:pStyle w:val="3-BodyText"/>
        <w:numPr>
          <w:ilvl w:val="0"/>
          <w:numId w:val="0"/>
        </w:numPr>
      </w:pPr>
    </w:p>
    <w:p w14:paraId="7D291532" w14:textId="5EACCDEB" w:rsidR="003B182D" w:rsidRPr="00A240B8" w:rsidRDefault="003B182D" w:rsidP="00A240B8">
      <w:pPr>
        <w:pStyle w:val="Tableheading"/>
        <w:jc w:val="left"/>
        <w:rPr>
          <w:rFonts w:ascii="Arial Narrow" w:hAnsi="Arial Narrow"/>
        </w:rPr>
      </w:pPr>
      <w:r w:rsidRPr="00A240B8">
        <w:rPr>
          <w:rFonts w:ascii="Arial Narrow" w:hAnsi="Arial Narrow"/>
        </w:rPr>
        <w:t xml:space="preserve"> </w:t>
      </w:r>
      <w:bookmarkStart w:id="42" w:name="_Ref114567289"/>
      <w:r w:rsidR="00D91E19" w:rsidRPr="00A240B8">
        <w:rPr>
          <w:rFonts w:ascii="Arial Narrow" w:hAnsi="Arial Narrow"/>
        </w:rPr>
        <w:t xml:space="preserve">Table </w:t>
      </w:r>
      <w:r w:rsidR="00D91E19" w:rsidRPr="00A240B8">
        <w:rPr>
          <w:rFonts w:ascii="Arial Narrow" w:hAnsi="Arial Narrow"/>
        </w:rPr>
        <w:fldChar w:fldCharType="begin" w:fldLock="1"/>
      </w:r>
      <w:r w:rsidR="00D91E19" w:rsidRPr="00A240B8">
        <w:rPr>
          <w:rFonts w:ascii="Arial Narrow" w:hAnsi="Arial Narrow"/>
        </w:rPr>
        <w:instrText xml:space="preserve"> SEQ Table \* ARABIC </w:instrText>
      </w:r>
      <w:r w:rsidR="00D91E19" w:rsidRPr="00A240B8">
        <w:rPr>
          <w:rFonts w:ascii="Arial Narrow" w:hAnsi="Arial Narrow"/>
        </w:rPr>
        <w:fldChar w:fldCharType="separate"/>
      </w:r>
      <w:r w:rsidR="00100F00">
        <w:rPr>
          <w:rFonts w:ascii="Arial Narrow" w:hAnsi="Arial Narrow"/>
          <w:noProof/>
        </w:rPr>
        <w:t>16</w:t>
      </w:r>
      <w:r w:rsidR="00D91E19" w:rsidRPr="00A240B8">
        <w:rPr>
          <w:rFonts w:ascii="Arial Narrow" w:hAnsi="Arial Narrow"/>
        </w:rPr>
        <w:fldChar w:fldCharType="end"/>
      </w:r>
      <w:bookmarkEnd w:id="42"/>
      <w:r w:rsidR="00D91E19" w:rsidRPr="00A240B8">
        <w:rPr>
          <w:rFonts w:ascii="Arial Narrow" w:hAnsi="Arial Narrow"/>
        </w:rPr>
        <w:t xml:space="preserve">: </w:t>
      </w:r>
      <w:r w:rsidRPr="00A240B8">
        <w:rPr>
          <w:rFonts w:ascii="Arial Narrow" w:hAnsi="Arial Narrow"/>
        </w:rPr>
        <w:t xml:space="preserve">Cost minimisation </w:t>
      </w:r>
      <w:r w:rsidR="003F6262">
        <w:rPr>
          <w:rFonts w:ascii="Arial Narrow" w:hAnsi="Arial Narrow"/>
        </w:rPr>
        <w:t>approach</w:t>
      </w:r>
      <w:r w:rsidRPr="00A240B8">
        <w:rPr>
          <w:rFonts w:ascii="Arial Narrow" w:hAnsi="Arial Narrow"/>
        </w:rPr>
        <w:t xml:space="preserve"> </w:t>
      </w:r>
      <w:r w:rsidR="003F6262">
        <w:rPr>
          <w:rFonts w:ascii="Arial Narrow" w:hAnsi="Arial Narrow"/>
        </w:rPr>
        <w:t>for</w:t>
      </w:r>
      <w:r w:rsidRPr="00A240B8">
        <w:rPr>
          <w:rFonts w:ascii="Arial Narrow" w:hAnsi="Arial Narrow"/>
        </w:rPr>
        <w:t xml:space="preserve"> asciminib versus nilotinib (non-T315</w:t>
      </w:r>
      <w:r w:rsidR="006B08AF">
        <w:rPr>
          <w:rFonts w:ascii="Arial Narrow" w:hAnsi="Arial Narrow"/>
        </w:rPr>
        <w:t>I</w:t>
      </w:r>
      <w:r w:rsidRPr="00A240B8">
        <w:rPr>
          <w:rFonts w:ascii="Arial Narrow" w:hAnsi="Arial Narrow"/>
        </w:rPr>
        <w:t xml:space="preserve"> mutation)</w:t>
      </w:r>
    </w:p>
    <w:tbl>
      <w:tblPr>
        <w:tblStyle w:val="TableGrid"/>
        <w:tblW w:w="5000" w:type="pct"/>
        <w:jc w:val="center"/>
        <w:tblLook w:val="04A0" w:firstRow="1" w:lastRow="0" w:firstColumn="1" w:lastColumn="0" w:noHBand="0" w:noVBand="1"/>
        <w:tblCaption w:val="Table 16: Cost minimisation approach for asciminib versus nilotinib (non-T315I mutation)"/>
      </w:tblPr>
      <w:tblGrid>
        <w:gridCol w:w="353"/>
        <w:gridCol w:w="1740"/>
        <w:gridCol w:w="1109"/>
        <w:gridCol w:w="1120"/>
        <w:gridCol w:w="2646"/>
        <w:gridCol w:w="1252"/>
        <w:gridCol w:w="1405"/>
        <w:gridCol w:w="3250"/>
        <w:gridCol w:w="11"/>
        <w:gridCol w:w="1054"/>
        <w:gridCol w:w="8"/>
      </w:tblGrid>
      <w:tr w:rsidR="00060820" w:rsidRPr="003D04C4" w14:paraId="16E27094" w14:textId="77777777" w:rsidTr="00060820">
        <w:trPr>
          <w:gridAfter w:val="1"/>
          <w:wAfter w:w="4" w:type="pct"/>
          <w:jc w:val="center"/>
        </w:trPr>
        <w:tc>
          <w:tcPr>
            <w:tcW w:w="748" w:type="pct"/>
            <w:gridSpan w:val="2"/>
            <w:vMerge w:val="restart"/>
            <w:vAlign w:val="center"/>
          </w:tcPr>
          <w:p w14:paraId="6F5757E8" w14:textId="745ED5C8" w:rsidR="00060820" w:rsidRPr="003D04C4" w:rsidRDefault="00060820" w:rsidP="00B721AA">
            <w:pPr>
              <w:rPr>
                <w:rFonts w:ascii="Arial Narrow" w:hAnsi="Arial Narrow" w:cstheme="minorHAnsi"/>
                <w:b/>
                <w:bCs/>
                <w:sz w:val="20"/>
                <w:szCs w:val="20"/>
              </w:rPr>
            </w:pPr>
          </w:p>
        </w:tc>
        <w:tc>
          <w:tcPr>
            <w:tcW w:w="1749" w:type="pct"/>
            <w:gridSpan w:val="3"/>
            <w:vAlign w:val="center"/>
          </w:tcPr>
          <w:p w14:paraId="0B167CCA" w14:textId="7F9F2658" w:rsidR="00060820" w:rsidRPr="003D04C4" w:rsidRDefault="00060820" w:rsidP="00B721AA">
            <w:pPr>
              <w:jc w:val="center"/>
              <w:rPr>
                <w:rFonts w:ascii="Arial Narrow" w:hAnsi="Arial Narrow" w:cstheme="minorHAnsi"/>
                <w:b/>
                <w:bCs/>
                <w:sz w:val="20"/>
                <w:szCs w:val="20"/>
              </w:rPr>
            </w:pPr>
            <w:r w:rsidRPr="003D04C4">
              <w:rPr>
                <w:rFonts w:ascii="Arial Narrow" w:hAnsi="Arial Narrow" w:cstheme="minorHAnsi"/>
                <w:b/>
                <w:bCs/>
                <w:sz w:val="20"/>
                <w:szCs w:val="20"/>
              </w:rPr>
              <w:t>Asciminib</w:t>
            </w:r>
          </w:p>
        </w:tc>
        <w:tc>
          <w:tcPr>
            <w:tcW w:w="2122" w:type="pct"/>
            <w:gridSpan w:val="4"/>
            <w:vAlign w:val="center"/>
          </w:tcPr>
          <w:p w14:paraId="2025C495" w14:textId="2D250893" w:rsidR="00060820" w:rsidRPr="003D04C4" w:rsidRDefault="00060820" w:rsidP="00B721AA">
            <w:pPr>
              <w:jc w:val="center"/>
              <w:rPr>
                <w:rFonts w:ascii="Arial Narrow" w:hAnsi="Arial Narrow" w:cstheme="minorHAnsi"/>
                <w:b/>
                <w:bCs/>
                <w:sz w:val="20"/>
                <w:szCs w:val="20"/>
              </w:rPr>
            </w:pPr>
            <w:r w:rsidRPr="003D04C4">
              <w:rPr>
                <w:rFonts w:ascii="Arial Narrow" w:hAnsi="Arial Narrow" w:cstheme="minorHAnsi"/>
                <w:b/>
                <w:bCs/>
                <w:sz w:val="20"/>
                <w:szCs w:val="20"/>
              </w:rPr>
              <w:t>Nilotinib</w:t>
            </w:r>
          </w:p>
        </w:tc>
        <w:tc>
          <w:tcPr>
            <w:tcW w:w="377" w:type="pct"/>
            <w:vAlign w:val="center"/>
          </w:tcPr>
          <w:p w14:paraId="5B604275" w14:textId="12033570" w:rsidR="00060820" w:rsidRPr="003D04C4" w:rsidRDefault="00060820" w:rsidP="00B721AA">
            <w:pPr>
              <w:jc w:val="center"/>
              <w:rPr>
                <w:rFonts w:ascii="Arial Narrow" w:hAnsi="Arial Narrow" w:cstheme="minorHAnsi"/>
                <w:b/>
                <w:bCs/>
                <w:sz w:val="20"/>
                <w:szCs w:val="20"/>
              </w:rPr>
            </w:pPr>
            <w:r w:rsidRPr="003D04C4">
              <w:rPr>
                <w:rFonts w:ascii="Arial Narrow" w:hAnsi="Arial Narrow" w:cstheme="minorHAnsi"/>
                <w:b/>
                <w:bCs/>
                <w:sz w:val="20"/>
                <w:szCs w:val="20"/>
              </w:rPr>
              <w:t>Increment</w:t>
            </w:r>
          </w:p>
        </w:tc>
      </w:tr>
      <w:tr w:rsidR="00060820" w:rsidRPr="003D04C4" w14:paraId="58BD8091" w14:textId="598C50A3" w:rsidTr="00060820">
        <w:trPr>
          <w:gridAfter w:val="1"/>
          <w:wAfter w:w="4" w:type="pct"/>
          <w:jc w:val="center"/>
        </w:trPr>
        <w:tc>
          <w:tcPr>
            <w:tcW w:w="748" w:type="pct"/>
            <w:gridSpan w:val="2"/>
            <w:vMerge/>
            <w:vAlign w:val="center"/>
          </w:tcPr>
          <w:p w14:paraId="2C1F09B7" w14:textId="23E93CDC" w:rsidR="00075A79" w:rsidRPr="003D04C4" w:rsidRDefault="00075A79" w:rsidP="00B721AA">
            <w:pPr>
              <w:rPr>
                <w:rFonts w:ascii="Arial Narrow" w:hAnsi="Arial Narrow" w:cstheme="minorHAnsi"/>
                <w:b/>
                <w:bCs/>
                <w:sz w:val="20"/>
                <w:szCs w:val="20"/>
              </w:rPr>
            </w:pPr>
          </w:p>
        </w:tc>
        <w:tc>
          <w:tcPr>
            <w:tcW w:w="398" w:type="pct"/>
            <w:vAlign w:val="center"/>
          </w:tcPr>
          <w:p w14:paraId="3416C905" w14:textId="047D6FFF" w:rsidR="00075A79" w:rsidRPr="003D04C4" w:rsidRDefault="00075A79" w:rsidP="00B721AA">
            <w:pPr>
              <w:jc w:val="center"/>
              <w:rPr>
                <w:rFonts w:ascii="Arial Narrow" w:hAnsi="Arial Narrow" w:cstheme="minorHAnsi"/>
                <w:b/>
                <w:bCs/>
                <w:sz w:val="20"/>
                <w:szCs w:val="20"/>
              </w:rPr>
            </w:pPr>
            <w:r w:rsidRPr="003D04C4">
              <w:rPr>
                <w:rFonts w:ascii="Arial Narrow" w:hAnsi="Arial Narrow" w:cstheme="minorHAnsi"/>
                <w:b/>
                <w:bCs/>
                <w:sz w:val="20"/>
                <w:szCs w:val="20"/>
              </w:rPr>
              <w:t>60 x 40 mg</w:t>
            </w:r>
          </w:p>
        </w:tc>
        <w:tc>
          <w:tcPr>
            <w:tcW w:w="401" w:type="pct"/>
            <w:vAlign w:val="center"/>
          </w:tcPr>
          <w:p w14:paraId="21213B35" w14:textId="7EA148DC" w:rsidR="00075A79" w:rsidRPr="003D04C4" w:rsidRDefault="00075A79" w:rsidP="00B721AA">
            <w:pPr>
              <w:jc w:val="center"/>
              <w:rPr>
                <w:rFonts w:ascii="Arial Narrow" w:hAnsi="Arial Narrow" w:cstheme="minorHAnsi"/>
                <w:b/>
                <w:bCs/>
                <w:sz w:val="20"/>
                <w:szCs w:val="20"/>
              </w:rPr>
            </w:pPr>
            <w:r w:rsidRPr="003D04C4">
              <w:rPr>
                <w:rFonts w:ascii="Arial Narrow" w:hAnsi="Arial Narrow" w:cstheme="minorHAnsi"/>
                <w:b/>
                <w:bCs/>
                <w:sz w:val="20"/>
                <w:szCs w:val="20"/>
              </w:rPr>
              <w:t>60 x 20 mg</w:t>
            </w:r>
          </w:p>
        </w:tc>
        <w:tc>
          <w:tcPr>
            <w:tcW w:w="949" w:type="pct"/>
            <w:vAlign w:val="center"/>
          </w:tcPr>
          <w:p w14:paraId="39942A4C" w14:textId="1CFA96C7" w:rsidR="00075A79" w:rsidRPr="003D04C4" w:rsidRDefault="00075A79" w:rsidP="00B721AA">
            <w:pPr>
              <w:jc w:val="center"/>
              <w:rPr>
                <w:rFonts w:ascii="Arial Narrow" w:hAnsi="Arial Narrow" w:cstheme="minorHAnsi"/>
                <w:b/>
                <w:bCs/>
                <w:sz w:val="20"/>
                <w:szCs w:val="20"/>
              </w:rPr>
            </w:pPr>
            <w:r w:rsidRPr="003D04C4">
              <w:rPr>
                <w:rFonts w:ascii="Arial Narrow" w:hAnsi="Arial Narrow" w:cstheme="minorHAnsi"/>
                <w:b/>
                <w:bCs/>
                <w:sz w:val="20"/>
                <w:szCs w:val="20"/>
              </w:rPr>
              <w:t>Source</w:t>
            </w:r>
          </w:p>
        </w:tc>
        <w:tc>
          <w:tcPr>
            <w:tcW w:w="449" w:type="pct"/>
            <w:vAlign w:val="center"/>
          </w:tcPr>
          <w:p w14:paraId="168F119A" w14:textId="2458E91A" w:rsidR="00075A79" w:rsidRPr="003D04C4" w:rsidRDefault="00075A79" w:rsidP="00B721AA">
            <w:pPr>
              <w:jc w:val="center"/>
              <w:rPr>
                <w:rFonts w:ascii="Arial Narrow" w:hAnsi="Arial Narrow" w:cstheme="minorHAnsi"/>
                <w:b/>
                <w:bCs/>
                <w:sz w:val="20"/>
                <w:szCs w:val="20"/>
              </w:rPr>
            </w:pPr>
            <w:r w:rsidRPr="003D04C4">
              <w:rPr>
                <w:rFonts w:ascii="Arial Narrow" w:hAnsi="Arial Narrow" w:cstheme="minorHAnsi"/>
                <w:b/>
                <w:bCs/>
                <w:sz w:val="20"/>
                <w:szCs w:val="20"/>
              </w:rPr>
              <w:t>120 x 200 mg</w:t>
            </w:r>
          </w:p>
        </w:tc>
        <w:tc>
          <w:tcPr>
            <w:tcW w:w="504" w:type="pct"/>
            <w:vAlign w:val="center"/>
          </w:tcPr>
          <w:p w14:paraId="076608A6" w14:textId="429FB9FC" w:rsidR="00075A79" w:rsidRPr="003D04C4" w:rsidRDefault="00075A79" w:rsidP="00B721AA">
            <w:pPr>
              <w:jc w:val="center"/>
              <w:rPr>
                <w:rFonts w:ascii="Arial Narrow" w:hAnsi="Arial Narrow" w:cstheme="minorHAnsi"/>
                <w:b/>
                <w:bCs/>
                <w:sz w:val="20"/>
                <w:szCs w:val="20"/>
              </w:rPr>
            </w:pPr>
            <w:r w:rsidRPr="003D04C4">
              <w:rPr>
                <w:rFonts w:ascii="Arial Narrow" w:hAnsi="Arial Narrow" w:cstheme="minorHAnsi"/>
                <w:b/>
                <w:bCs/>
                <w:sz w:val="20"/>
                <w:szCs w:val="20"/>
              </w:rPr>
              <w:t>120 x 150 mg</w:t>
            </w:r>
          </w:p>
        </w:tc>
        <w:tc>
          <w:tcPr>
            <w:tcW w:w="1165" w:type="pct"/>
            <w:vAlign w:val="center"/>
          </w:tcPr>
          <w:p w14:paraId="37126BC7" w14:textId="27CE35CC" w:rsidR="00075A79" w:rsidRPr="003D04C4" w:rsidRDefault="00075A79" w:rsidP="00B721AA">
            <w:pPr>
              <w:jc w:val="center"/>
              <w:rPr>
                <w:rFonts w:ascii="Arial Narrow" w:hAnsi="Arial Narrow" w:cstheme="minorHAnsi"/>
                <w:b/>
                <w:bCs/>
                <w:sz w:val="20"/>
                <w:szCs w:val="20"/>
              </w:rPr>
            </w:pPr>
            <w:r w:rsidRPr="003D04C4">
              <w:rPr>
                <w:rFonts w:ascii="Arial Narrow" w:hAnsi="Arial Narrow" w:cstheme="minorHAnsi"/>
                <w:b/>
                <w:bCs/>
                <w:sz w:val="20"/>
                <w:szCs w:val="20"/>
              </w:rPr>
              <w:t>Source</w:t>
            </w:r>
          </w:p>
        </w:tc>
        <w:tc>
          <w:tcPr>
            <w:tcW w:w="382" w:type="pct"/>
            <w:gridSpan w:val="2"/>
            <w:vAlign w:val="center"/>
          </w:tcPr>
          <w:p w14:paraId="76FE643D" w14:textId="0AADE9C4" w:rsidR="00075A79" w:rsidRPr="003D04C4" w:rsidRDefault="00075A79" w:rsidP="00B721AA">
            <w:pPr>
              <w:jc w:val="center"/>
              <w:rPr>
                <w:rFonts w:ascii="Arial Narrow" w:hAnsi="Arial Narrow" w:cstheme="minorHAnsi"/>
                <w:b/>
                <w:bCs/>
                <w:sz w:val="20"/>
                <w:szCs w:val="20"/>
                <w:highlight w:val="lightGray"/>
              </w:rPr>
            </w:pPr>
          </w:p>
        </w:tc>
      </w:tr>
      <w:tr w:rsidR="00060820" w:rsidRPr="003D04C4" w14:paraId="2DF491FD" w14:textId="134ECCA1" w:rsidTr="00060820">
        <w:trPr>
          <w:jc w:val="center"/>
        </w:trPr>
        <w:tc>
          <w:tcPr>
            <w:tcW w:w="124" w:type="pct"/>
            <w:shd w:val="clear" w:color="auto" w:fill="F2F2F2" w:themeFill="background1" w:themeFillShade="F2"/>
            <w:vAlign w:val="center"/>
          </w:tcPr>
          <w:p w14:paraId="75F92ED7" w14:textId="77777777" w:rsidR="00060820" w:rsidRPr="003D04C4" w:rsidRDefault="00060820" w:rsidP="00B721AA">
            <w:pPr>
              <w:jc w:val="center"/>
              <w:rPr>
                <w:rFonts w:ascii="Arial Narrow" w:hAnsi="Arial Narrow" w:cstheme="minorHAnsi"/>
                <w:b/>
                <w:bCs/>
                <w:sz w:val="20"/>
                <w:szCs w:val="20"/>
              </w:rPr>
            </w:pPr>
          </w:p>
        </w:tc>
        <w:tc>
          <w:tcPr>
            <w:tcW w:w="4876" w:type="pct"/>
            <w:gridSpan w:val="10"/>
            <w:shd w:val="clear" w:color="auto" w:fill="F2F2F2" w:themeFill="background1" w:themeFillShade="F2"/>
            <w:vAlign w:val="center"/>
          </w:tcPr>
          <w:p w14:paraId="510CF0A3" w14:textId="17E5F6D2" w:rsidR="00060820" w:rsidRPr="003D04C4" w:rsidRDefault="00060820" w:rsidP="00B721AA">
            <w:pPr>
              <w:jc w:val="left"/>
              <w:rPr>
                <w:rFonts w:ascii="Arial Narrow" w:hAnsi="Arial Narrow" w:cstheme="minorHAnsi"/>
                <w:b/>
                <w:bCs/>
                <w:sz w:val="20"/>
                <w:szCs w:val="20"/>
              </w:rPr>
            </w:pPr>
            <w:r w:rsidRPr="003D04C4">
              <w:rPr>
                <w:rFonts w:ascii="Arial Narrow" w:hAnsi="Arial Narrow" w:cstheme="minorHAnsi"/>
                <w:b/>
                <w:bCs/>
                <w:sz w:val="20"/>
                <w:szCs w:val="20"/>
              </w:rPr>
              <w:t>Medicines</w:t>
            </w:r>
          </w:p>
        </w:tc>
      </w:tr>
      <w:tr w:rsidR="00060820" w:rsidRPr="003D04C4" w14:paraId="4AC9D709" w14:textId="0A2EC24E" w:rsidTr="00060820">
        <w:trPr>
          <w:gridAfter w:val="1"/>
          <w:wAfter w:w="4" w:type="pct"/>
          <w:jc w:val="center"/>
        </w:trPr>
        <w:tc>
          <w:tcPr>
            <w:tcW w:w="124" w:type="pct"/>
            <w:vAlign w:val="center"/>
          </w:tcPr>
          <w:p w14:paraId="1B23566E" w14:textId="77BBA72F"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A</w:t>
            </w:r>
          </w:p>
        </w:tc>
        <w:tc>
          <w:tcPr>
            <w:tcW w:w="624" w:type="pct"/>
            <w:vAlign w:val="center"/>
          </w:tcPr>
          <w:p w14:paraId="1A9156AD" w14:textId="7386F2F3" w:rsidR="00075A79" w:rsidRPr="003D04C4" w:rsidRDefault="00075A79" w:rsidP="00B721AA">
            <w:pPr>
              <w:jc w:val="left"/>
              <w:rPr>
                <w:rFonts w:ascii="Arial Narrow" w:hAnsi="Arial Narrow" w:cstheme="minorHAnsi"/>
                <w:sz w:val="20"/>
                <w:szCs w:val="20"/>
              </w:rPr>
            </w:pPr>
            <w:r w:rsidRPr="003D04C4">
              <w:rPr>
                <w:rFonts w:ascii="Arial Narrow" w:hAnsi="Arial Narrow" w:cstheme="minorHAnsi"/>
                <w:sz w:val="20"/>
                <w:szCs w:val="20"/>
              </w:rPr>
              <w:t>Days of treatment</w:t>
            </w:r>
          </w:p>
        </w:tc>
        <w:tc>
          <w:tcPr>
            <w:tcW w:w="800" w:type="pct"/>
            <w:gridSpan w:val="2"/>
            <w:vAlign w:val="center"/>
          </w:tcPr>
          <w:p w14:paraId="54B6F46D" w14:textId="73704846"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730.5</w:t>
            </w:r>
          </w:p>
        </w:tc>
        <w:tc>
          <w:tcPr>
            <w:tcW w:w="949" w:type="pct"/>
            <w:vAlign w:val="center"/>
          </w:tcPr>
          <w:p w14:paraId="38CE708E" w14:textId="6F80905B"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2 years</w:t>
            </w:r>
          </w:p>
        </w:tc>
        <w:tc>
          <w:tcPr>
            <w:tcW w:w="953" w:type="pct"/>
            <w:gridSpan w:val="2"/>
            <w:vAlign w:val="center"/>
          </w:tcPr>
          <w:p w14:paraId="6DA1DD53" w14:textId="7B2F76CB"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730.5</w:t>
            </w:r>
          </w:p>
        </w:tc>
        <w:tc>
          <w:tcPr>
            <w:tcW w:w="1165" w:type="pct"/>
            <w:vAlign w:val="center"/>
          </w:tcPr>
          <w:p w14:paraId="6D9D68C9" w14:textId="777DB9EF"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2 years</w:t>
            </w:r>
          </w:p>
        </w:tc>
        <w:tc>
          <w:tcPr>
            <w:tcW w:w="382" w:type="pct"/>
            <w:gridSpan w:val="2"/>
            <w:vAlign w:val="center"/>
          </w:tcPr>
          <w:p w14:paraId="3EE0E7DA" w14:textId="09A8E541"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w:t>
            </w:r>
          </w:p>
        </w:tc>
      </w:tr>
      <w:tr w:rsidR="00060820" w:rsidRPr="003D04C4" w14:paraId="17C82B10" w14:textId="77777777" w:rsidTr="00060820">
        <w:trPr>
          <w:gridAfter w:val="1"/>
          <w:wAfter w:w="4" w:type="pct"/>
          <w:jc w:val="center"/>
        </w:trPr>
        <w:tc>
          <w:tcPr>
            <w:tcW w:w="124" w:type="pct"/>
            <w:vAlign w:val="center"/>
          </w:tcPr>
          <w:p w14:paraId="0958241E" w14:textId="73E81C20"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B</w:t>
            </w:r>
          </w:p>
        </w:tc>
        <w:tc>
          <w:tcPr>
            <w:tcW w:w="624" w:type="pct"/>
            <w:vAlign w:val="center"/>
          </w:tcPr>
          <w:p w14:paraId="156E5237" w14:textId="0F2600A7" w:rsidR="00075A79" w:rsidRPr="003D04C4" w:rsidRDefault="00075A79" w:rsidP="00B721AA">
            <w:pPr>
              <w:jc w:val="left"/>
              <w:rPr>
                <w:rFonts w:ascii="Arial Narrow" w:hAnsi="Arial Narrow" w:cstheme="minorHAnsi"/>
                <w:sz w:val="20"/>
                <w:szCs w:val="20"/>
              </w:rPr>
            </w:pPr>
            <w:r w:rsidRPr="003D04C4">
              <w:rPr>
                <w:rFonts w:ascii="Arial Narrow" w:hAnsi="Arial Narrow" w:cstheme="minorHAnsi"/>
                <w:sz w:val="20"/>
                <w:szCs w:val="20"/>
              </w:rPr>
              <w:t>Tabs/caps per day</w:t>
            </w:r>
          </w:p>
        </w:tc>
        <w:tc>
          <w:tcPr>
            <w:tcW w:w="800" w:type="pct"/>
            <w:gridSpan w:val="2"/>
            <w:vAlign w:val="center"/>
          </w:tcPr>
          <w:p w14:paraId="047408FA" w14:textId="0E265E09"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2</w:t>
            </w:r>
          </w:p>
        </w:tc>
        <w:tc>
          <w:tcPr>
            <w:tcW w:w="949" w:type="pct"/>
            <w:vAlign w:val="center"/>
          </w:tcPr>
          <w:p w14:paraId="2608782C" w14:textId="77777777"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40 mg: 80 mg/day / strength</w:t>
            </w:r>
          </w:p>
          <w:p w14:paraId="72891B82" w14:textId="3EDF2722"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20 mg: 40 mg/day / strength</w:t>
            </w:r>
          </w:p>
        </w:tc>
        <w:tc>
          <w:tcPr>
            <w:tcW w:w="953" w:type="pct"/>
            <w:gridSpan w:val="2"/>
            <w:vAlign w:val="center"/>
          </w:tcPr>
          <w:p w14:paraId="2E188DC2" w14:textId="6B1A9E34"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4</w:t>
            </w:r>
          </w:p>
        </w:tc>
        <w:tc>
          <w:tcPr>
            <w:tcW w:w="1165" w:type="pct"/>
            <w:vAlign w:val="center"/>
          </w:tcPr>
          <w:p w14:paraId="06780C7E" w14:textId="124B13BD"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150 mg: 600 mg/day / strength</w:t>
            </w:r>
          </w:p>
          <w:p w14:paraId="63775FE5" w14:textId="1D71D658"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 xml:space="preserve">200 mg: 800 mg/day / strength </w:t>
            </w:r>
          </w:p>
        </w:tc>
        <w:tc>
          <w:tcPr>
            <w:tcW w:w="382" w:type="pct"/>
            <w:gridSpan w:val="2"/>
            <w:vAlign w:val="center"/>
          </w:tcPr>
          <w:p w14:paraId="75A6B705" w14:textId="77777777" w:rsidR="00075A79" w:rsidRPr="003D04C4" w:rsidRDefault="00075A79" w:rsidP="00B721AA">
            <w:pPr>
              <w:jc w:val="center"/>
              <w:rPr>
                <w:rFonts w:ascii="Arial Narrow" w:hAnsi="Arial Narrow" w:cstheme="minorHAnsi"/>
                <w:sz w:val="20"/>
                <w:szCs w:val="20"/>
              </w:rPr>
            </w:pPr>
          </w:p>
        </w:tc>
      </w:tr>
      <w:tr w:rsidR="00060820" w:rsidRPr="003D04C4" w14:paraId="6470744F" w14:textId="77777777" w:rsidTr="00060820">
        <w:trPr>
          <w:gridAfter w:val="1"/>
          <w:wAfter w:w="4" w:type="pct"/>
          <w:jc w:val="center"/>
        </w:trPr>
        <w:tc>
          <w:tcPr>
            <w:tcW w:w="124" w:type="pct"/>
            <w:vAlign w:val="center"/>
          </w:tcPr>
          <w:p w14:paraId="16C274C7" w14:textId="2A8BE3C0"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C</w:t>
            </w:r>
          </w:p>
        </w:tc>
        <w:tc>
          <w:tcPr>
            <w:tcW w:w="624" w:type="pct"/>
            <w:vAlign w:val="center"/>
          </w:tcPr>
          <w:p w14:paraId="3D06AA38" w14:textId="170972D8" w:rsidR="00075A79" w:rsidRPr="003D04C4" w:rsidRDefault="00075A79" w:rsidP="00B721AA">
            <w:pPr>
              <w:jc w:val="left"/>
              <w:rPr>
                <w:rFonts w:ascii="Arial Narrow" w:hAnsi="Arial Narrow" w:cstheme="minorHAnsi"/>
                <w:sz w:val="20"/>
                <w:szCs w:val="20"/>
              </w:rPr>
            </w:pPr>
            <w:r w:rsidRPr="003D04C4">
              <w:rPr>
                <w:rFonts w:ascii="Arial Narrow" w:hAnsi="Arial Narrow" w:cstheme="minorHAnsi"/>
                <w:sz w:val="20"/>
                <w:szCs w:val="20"/>
              </w:rPr>
              <w:t>Days per pack</w:t>
            </w:r>
          </w:p>
        </w:tc>
        <w:tc>
          <w:tcPr>
            <w:tcW w:w="800" w:type="pct"/>
            <w:gridSpan w:val="2"/>
            <w:vAlign w:val="center"/>
          </w:tcPr>
          <w:p w14:paraId="4407C4E5" w14:textId="71B43548"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30</w:t>
            </w:r>
          </w:p>
        </w:tc>
        <w:tc>
          <w:tcPr>
            <w:tcW w:w="949" w:type="pct"/>
            <w:vAlign w:val="center"/>
          </w:tcPr>
          <w:p w14:paraId="791955A9" w14:textId="3F7C5BBC"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sz w:val="20"/>
                <w:szCs w:val="20"/>
              </w:rPr>
              <w:t>60 caps / B</w:t>
            </w:r>
          </w:p>
        </w:tc>
        <w:tc>
          <w:tcPr>
            <w:tcW w:w="953" w:type="pct"/>
            <w:gridSpan w:val="2"/>
            <w:vAlign w:val="center"/>
          </w:tcPr>
          <w:p w14:paraId="36EF23C5" w14:textId="43AC1DD3"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30</w:t>
            </w:r>
          </w:p>
        </w:tc>
        <w:tc>
          <w:tcPr>
            <w:tcW w:w="1165" w:type="pct"/>
            <w:vAlign w:val="center"/>
          </w:tcPr>
          <w:p w14:paraId="1D420D49" w14:textId="5F5740A5"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120 caps / B</w:t>
            </w:r>
          </w:p>
        </w:tc>
        <w:tc>
          <w:tcPr>
            <w:tcW w:w="382" w:type="pct"/>
            <w:gridSpan w:val="2"/>
            <w:vAlign w:val="center"/>
          </w:tcPr>
          <w:p w14:paraId="0A045D00" w14:textId="46A2D745"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w:t>
            </w:r>
          </w:p>
        </w:tc>
      </w:tr>
      <w:tr w:rsidR="00060820" w:rsidRPr="003D04C4" w14:paraId="2E3594FF" w14:textId="552B74E7" w:rsidTr="00060820">
        <w:trPr>
          <w:gridAfter w:val="1"/>
          <w:wAfter w:w="4" w:type="pct"/>
          <w:jc w:val="center"/>
        </w:trPr>
        <w:tc>
          <w:tcPr>
            <w:tcW w:w="124" w:type="pct"/>
            <w:vAlign w:val="center"/>
          </w:tcPr>
          <w:p w14:paraId="5BDF5179" w14:textId="4E1A8472"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D</w:t>
            </w:r>
          </w:p>
        </w:tc>
        <w:tc>
          <w:tcPr>
            <w:tcW w:w="624" w:type="pct"/>
            <w:vAlign w:val="center"/>
          </w:tcPr>
          <w:p w14:paraId="3C4B6364" w14:textId="541E5CA3" w:rsidR="00075A79" w:rsidRPr="003D04C4" w:rsidRDefault="00075A79" w:rsidP="00B721AA">
            <w:pPr>
              <w:jc w:val="left"/>
              <w:rPr>
                <w:rFonts w:ascii="Arial Narrow" w:hAnsi="Arial Narrow" w:cstheme="minorHAnsi"/>
                <w:sz w:val="20"/>
                <w:szCs w:val="20"/>
                <w:highlight w:val="lightGray"/>
              </w:rPr>
            </w:pPr>
            <w:r w:rsidRPr="003D04C4">
              <w:rPr>
                <w:rFonts w:ascii="Arial Narrow" w:hAnsi="Arial Narrow" w:cstheme="minorHAnsi"/>
                <w:sz w:val="20"/>
                <w:szCs w:val="20"/>
              </w:rPr>
              <w:t>Packs / 2 years</w:t>
            </w:r>
          </w:p>
        </w:tc>
        <w:tc>
          <w:tcPr>
            <w:tcW w:w="800" w:type="pct"/>
            <w:gridSpan w:val="2"/>
            <w:vAlign w:val="center"/>
          </w:tcPr>
          <w:p w14:paraId="6EA105CE" w14:textId="08A06392"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24.35</w:t>
            </w:r>
          </w:p>
        </w:tc>
        <w:tc>
          <w:tcPr>
            <w:tcW w:w="949" w:type="pct"/>
            <w:vAlign w:val="center"/>
          </w:tcPr>
          <w:p w14:paraId="174695C5" w14:textId="06C8FA21"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sz w:val="20"/>
                <w:szCs w:val="20"/>
              </w:rPr>
              <w:t>A / C</w:t>
            </w:r>
          </w:p>
        </w:tc>
        <w:tc>
          <w:tcPr>
            <w:tcW w:w="953" w:type="pct"/>
            <w:gridSpan w:val="2"/>
            <w:vAlign w:val="center"/>
          </w:tcPr>
          <w:p w14:paraId="0F84E1D6" w14:textId="6218EA23" w:rsidR="00075A79" w:rsidRPr="003D04C4" w:rsidRDefault="00075A79" w:rsidP="00B721AA">
            <w:pPr>
              <w:jc w:val="center"/>
              <w:rPr>
                <w:rFonts w:ascii="Arial Narrow" w:hAnsi="Arial Narrow" w:cstheme="minorHAnsi"/>
                <w:sz w:val="20"/>
                <w:szCs w:val="20"/>
                <w:highlight w:val="lightGray"/>
              </w:rPr>
            </w:pPr>
            <w:r w:rsidRPr="003D04C4">
              <w:rPr>
                <w:rFonts w:ascii="Arial Narrow" w:hAnsi="Arial Narrow" w:cstheme="minorHAnsi"/>
                <w:sz w:val="20"/>
                <w:szCs w:val="20"/>
              </w:rPr>
              <w:t>24.35</w:t>
            </w:r>
          </w:p>
        </w:tc>
        <w:tc>
          <w:tcPr>
            <w:tcW w:w="1165" w:type="pct"/>
            <w:vAlign w:val="center"/>
          </w:tcPr>
          <w:p w14:paraId="00EA0E5C" w14:textId="7082C9E4"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A / C</w:t>
            </w:r>
          </w:p>
        </w:tc>
        <w:tc>
          <w:tcPr>
            <w:tcW w:w="382" w:type="pct"/>
            <w:gridSpan w:val="2"/>
            <w:vAlign w:val="center"/>
          </w:tcPr>
          <w:p w14:paraId="7F30B288" w14:textId="2F6FA9BC"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w:t>
            </w:r>
          </w:p>
        </w:tc>
      </w:tr>
      <w:tr w:rsidR="00060820" w:rsidRPr="003D04C4" w14:paraId="25A339A5" w14:textId="77777777" w:rsidTr="00060820">
        <w:trPr>
          <w:gridAfter w:val="1"/>
          <w:wAfter w:w="4" w:type="pct"/>
          <w:jc w:val="center"/>
        </w:trPr>
        <w:tc>
          <w:tcPr>
            <w:tcW w:w="124" w:type="pct"/>
            <w:vAlign w:val="center"/>
          </w:tcPr>
          <w:p w14:paraId="36F3AB70" w14:textId="6A57F3A9"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E</w:t>
            </w:r>
          </w:p>
        </w:tc>
        <w:tc>
          <w:tcPr>
            <w:tcW w:w="624" w:type="pct"/>
            <w:vAlign w:val="center"/>
          </w:tcPr>
          <w:p w14:paraId="3D04B6AA" w14:textId="6953C787" w:rsidR="00075A79" w:rsidRPr="003D04C4" w:rsidRDefault="00075A79" w:rsidP="00B721AA">
            <w:pPr>
              <w:jc w:val="left"/>
              <w:rPr>
                <w:rFonts w:ascii="Arial Narrow" w:hAnsi="Arial Narrow" w:cstheme="minorHAnsi"/>
                <w:sz w:val="20"/>
                <w:szCs w:val="20"/>
                <w:highlight w:val="lightGray"/>
              </w:rPr>
            </w:pPr>
            <w:r w:rsidRPr="003D04C4">
              <w:rPr>
                <w:rFonts w:ascii="Arial Narrow" w:hAnsi="Arial Narrow" w:cstheme="minorHAnsi"/>
                <w:sz w:val="20"/>
                <w:szCs w:val="20"/>
              </w:rPr>
              <w:t>Usage by strength</w:t>
            </w:r>
          </w:p>
        </w:tc>
        <w:tc>
          <w:tcPr>
            <w:tcW w:w="398" w:type="pct"/>
            <w:vAlign w:val="center"/>
          </w:tcPr>
          <w:p w14:paraId="78E05C77" w14:textId="0A9047D5" w:rsidR="00075A79" w:rsidRPr="003D04C4" w:rsidRDefault="00B96A78" w:rsidP="00B721AA">
            <w:pPr>
              <w:jc w:val="center"/>
              <w:rPr>
                <w:rFonts w:ascii="Arial Narrow" w:hAnsi="Arial Narrow" w:cstheme="minorHAnsi"/>
                <w:color w:val="000000"/>
                <w:sz w:val="20"/>
                <w:szCs w:val="20"/>
              </w:rPr>
            </w:pPr>
            <w:r w:rsidRPr="00B96A78">
              <w:rPr>
                <w:rFonts w:ascii="Arial Narrow" w:hAnsi="Arial Narrow" w:cstheme="minorHAnsi"/>
                <w:color w:val="000000"/>
                <w:spacing w:val="94"/>
                <w:sz w:val="20"/>
                <w:szCs w:val="20"/>
                <w:shd w:val="solid" w:color="000000" w:fill="000000"/>
                <w:fitText w:val="180" w:id="-1301052157"/>
                <w14:textFill>
                  <w14:solidFill>
                    <w14:srgbClr w14:val="000000">
                      <w14:alpha w14:val="100000"/>
                    </w14:srgbClr>
                  </w14:solidFill>
                </w14:textFill>
              </w:rPr>
              <w:t>|</w:t>
            </w:r>
            <w:r w:rsidRPr="00B96A78">
              <w:rPr>
                <w:rFonts w:ascii="Arial Narrow" w:hAnsi="Arial Narrow" w:cstheme="minorHAnsi"/>
                <w:color w:val="000000"/>
                <w:spacing w:val="1"/>
                <w:sz w:val="20"/>
                <w:szCs w:val="20"/>
                <w:shd w:val="solid" w:color="000000" w:fill="000000"/>
                <w:fitText w:val="180" w:id="-1301052157"/>
                <w14:textFill>
                  <w14:solidFill>
                    <w14:srgbClr w14:val="000000">
                      <w14:alpha w14:val="100000"/>
                    </w14:srgbClr>
                  </w14:solidFill>
                </w14:textFill>
              </w:rPr>
              <w:t>|</w:t>
            </w:r>
            <w:r w:rsidR="00075A79" w:rsidRPr="003D04C4">
              <w:rPr>
                <w:rFonts w:ascii="Arial Narrow" w:hAnsi="Arial Narrow" w:cstheme="minorHAnsi"/>
                <w:color w:val="000000"/>
                <w:sz w:val="20"/>
                <w:szCs w:val="20"/>
              </w:rPr>
              <w:t>%</w:t>
            </w:r>
          </w:p>
        </w:tc>
        <w:tc>
          <w:tcPr>
            <w:tcW w:w="401" w:type="pct"/>
            <w:vAlign w:val="center"/>
          </w:tcPr>
          <w:p w14:paraId="524830B9" w14:textId="7F64C034" w:rsidR="00075A79" w:rsidRPr="003D04C4" w:rsidRDefault="00B96A78" w:rsidP="00B721AA">
            <w:pPr>
              <w:jc w:val="center"/>
              <w:rPr>
                <w:rFonts w:ascii="Arial Narrow" w:hAnsi="Arial Narrow" w:cstheme="minorHAnsi"/>
                <w:color w:val="000000"/>
                <w:sz w:val="20"/>
                <w:szCs w:val="20"/>
              </w:rPr>
            </w:pPr>
            <w:r w:rsidRPr="00B96A78">
              <w:rPr>
                <w:rFonts w:ascii="Arial Narrow" w:hAnsi="Arial Narrow" w:cstheme="minorHAnsi"/>
                <w:color w:val="000000"/>
                <w:spacing w:val="84"/>
                <w:sz w:val="20"/>
                <w:szCs w:val="20"/>
                <w:shd w:val="solid" w:color="000000" w:fill="000000"/>
                <w:fitText w:val="170" w:id="-1301052156"/>
                <w14:textFill>
                  <w14:solidFill>
                    <w14:srgbClr w14:val="000000">
                      <w14:alpha w14:val="100000"/>
                    </w14:srgbClr>
                  </w14:solidFill>
                </w14:textFill>
              </w:rPr>
              <w:t>|</w:t>
            </w:r>
            <w:r w:rsidRPr="00B96A78">
              <w:rPr>
                <w:rFonts w:ascii="Arial Narrow" w:hAnsi="Arial Narrow" w:cstheme="minorHAnsi"/>
                <w:color w:val="000000"/>
                <w:spacing w:val="1"/>
                <w:sz w:val="20"/>
                <w:szCs w:val="20"/>
                <w:shd w:val="solid" w:color="000000" w:fill="000000"/>
                <w:fitText w:val="170" w:id="-1301052156"/>
                <w14:textFill>
                  <w14:solidFill>
                    <w14:srgbClr w14:val="000000">
                      <w14:alpha w14:val="100000"/>
                    </w14:srgbClr>
                  </w14:solidFill>
                </w14:textFill>
              </w:rPr>
              <w:t>|</w:t>
            </w:r>
            <w:r w:rsidR="00075A79" w:rsidRPr="003D04C4">
              <w:rPr>
                <w:rFonts w:ascii="Arial Narrow" w:hAnsi="Arial Narrow" w:cstheme="minorHAnsi"/>
                <w:color w:val="000000"/>
                <w:sz w:val="20"/>
                <w:szCs w:val="20"/>
              </w:rPr>
              <w:t>%</w:t>
            </w:r>
          </w:p>
        </w:tc>
        <w:tc>
          <w:tcPr>
            <w:tcW w:w="949" w:type="pct"/>
            <w:vAlign w:val="center"/>
          </w:tcPr>
          <w:p w14:paraId="18D9F079" w14:textId="77777777"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 xml:space="preserve">Equi-effective dose: </w:t>
            </w:r>
          </w:p>
          <w:p w14:paraId="72B56225" w14:textId="7003C7A9"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(80*99.5+40*0.5)/100 =</w:t>
            </w:r>
          </w:p>
          <w:p w14:paraId="36820DD6" w14:textId="42A29831"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79.8 mg/day</w:t>
            </w:r>
          </w:p>
        </w:tc>
        <w:tc>
          <w:tcPr>
            <w:tcW w:w="449" w:type="pct"/>
            <w:vAlign w:val="center"/>
          </w:tcPr>
          <w:p w14:paraId="3659A269" w14:textId="0B9523D8" w:rsidR="00075A79" w:rsidRPr="003D04C4" w:rsidRDefault="00075A79" w:rsidP="00B721AA">
            <w:pPr>
              <w:jc w:val="center"/>
              <w:rPr>
                <w:rFonts w:ascii="Arial Narrow" w:hAnsi="Arial Narrow" w:cstheme="minorHAnsi"/>
                <w:color w:val="000000"/>
                <w:sz w:val="20"/>
                <w:szCs w:val="20"/>
                <w:highlight w:val="lightGray"/>
              </w:rPr>
            </w:pPr>
            <w:r w:rsidRPr="003D04C4">
              <w:rPr>
                <w:rFonts w:ascii="Arial Narrow" w:hAnsi="Arial Narrow" w:cstheme="minorHAnsi"/>
                <w:color w:val="000000"/>
                <w:sz w:val="20"/>
                <w:szCs w:val="20"/>
              </w:rPr>
              <w:t>91.25%</w:t>
            </w:r>
          </w:p>
        </w:tc>
        <w:tc>
          <w:tcPr>
            <w:tcW w:w="504" w:type="pct"/>
            <w:vAlign w:val="center"/>
          </w:tcPr>
          <w:p w14:paraId="47EBB14F" w14:textId="30CF35DE"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8.75%</w:t>
            </w:r>
          </w:p>
        </w:tc>
        <w:tc>
          <w:tcPr>
            <w:tcW w:w="1165" w:type="pct"/>
            <w:vAlign w:val="center"/>
          </w:tcPr>
          <w:p w14:paraId="3A6F69B0" w14:textId="5F365688"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color w:val="000000"/>
                <w:sz w:val="20"/>
                <w:szCs w:val="20"/>
              </w:rPr>
              <w:t>Equi-effective dose:</w:t>
            </w:r>
          </w:p>
          <w:p w14:paraId="59DA9518" w14:textId="77777777"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 xml:space="preserve">(800*91.25+600*8.75)/100 = </w:t>
            </w:r>
          </w:p>
          <w:p w14:paraId="66E9C808" w14:textId="0AAE4004"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782.5 mg/day</w:t>
            </w:r>
          </w:p>
        </w:tc>
        <w:tc>
          <w:tcPr>
            <w:tcW w:w="382" w:type="pct"/>
            <w:gridSpan w:val="2"/>
            <w:vAlign w:val="center"/>
          </w:tcPr>
          <w:p w14:paraId="31ABC4A2" w14:textId="70293C78"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w:t>
            </w:r>
          </w:p>
        </w:tc>
      </w:tr>
      <w:tr w:rsidR="00060820" w:rsidRPr="003D04C4" w14:paraId="6059E4EC" w14:textId="77777777" w:rsidTr="00060820">
        <w:trPr>
          <w:gridAfter w:val="1"/>
          <w:wAfter w:w="4" w:type="pct"/>
          <w:jc w:val="center"/>
        </w:trPr>
        <w:tc>
          <w:tcPr>
            <w:tcW w:w="124" w:type="pct"/>
            <w:vAlign w:val="center"/>
          </w:tcPr>
          <w:p w14:paraId="71549D9A" w14:textId="4B2B89F6"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F</w:t>
            </w:r>
          </w:p>
        </w:tc>
        <w:tc>
          <w:tcPr>
            <w:tcW w:w="624" w:type="pct"/>
            <w:vAlign w:val="center"/>
          </w:tcPr>
          <w:p w14:paraId="562F1AF9" w14:textId="528A3C55" w:rsidR="00075A79" w:rsidRPr="00716D0B" w:rsidRDefault="00075A79" w:rsidP="00B721AA">
            <w:pPr>
              <w:jc w:val="left"/>
              <w:rPr>
                <w:rFonts w:ascii="Arial Narrow" w:hAnsi="Arial Narrow" w:cstheme="minorHAnsi"/>
                <w:sz w:val="20"/>
                <w:szCs w:val="20"/>
                <w:highlight w:val="lightGray"/>
                <w:vertAlign w:val="superscript"/>
              </w:rPr>
            </w:pPr>
            <w:r w:rsidRPr="003D04C4">
              <w:rPr>
                <w:rFonts w:ascii="Arial Narrow" w:hAnsi="Arial Narrow" w:cstheme="minorHAnsi"/>
                <w:sz w:val="20"/>
                <w:szCs w:val="20"/>
              </w:rPr>
              <w:t>Scripts / 2 years</w:t>
            </w:r>
          </w:p>
        </w:tc>
        <w:tc>
          <w:tcPr>
            <w:tcW w:w="398" w:type="pct"/>
            <w:vAlign w:val="center"/>
          </w:tcPr>
          <w:p w14:paraId="682AB060" w14:textId="586F8CC6" w:rsidR="00075A79" w:rsidRPr="003D04C4" w:rsidRDefault="00B96A78" w:rsidP="00B721AA">
            <w:pPr>
              <w:jc w:val="center"/>
              <w:rPr>
                <w:rFonts w:ascii="Arial Narrow" w:hAnsi="Arial Narrow" w:cstheme="minorHAnsi"/>
                <w:color w:val="000000"/>
                <w:sz w:val="20"/>
                <w:szCs w:val="20"/>
                <w:highlight w:val="lightGray"/>
              </w:rPr>
            </w:pPr>
            <w:r w:rsidRPr="00B96A78">
              <w:rPr>
                <w:rFonts w:ascii="Arial Narrow" w:hAnsi="Arial Narrow" w:cstheme="minorHAnsi" w:hint="eastAsia"/>
                <w:color w:val="000000"/>
                <w:w w:val="29"/>
                <w:sz w:val="20"/>
                <w:szCs w:val="20"/>
                <w:shd w:val="solid" w:color="000000" w:fill="000000"/>
                <w:fitText w:val="130" w:id="-1301052155"/>
                <w14:textFill>
                  <w14:solidFill>
                    <w14:srgbClr w14:val="000000">
                      <w14:alpha w14:val="100000"/>
                    </w14:srgbClr>
                  </w14:solidFill>
                </w14:textFill>
              </w:rPr>
              <w:t xml:space="preserve">　</w:t>
            </w:r>
            <w:r w:rsidRPr="00B96A78">
              <w:rPr>
                <w:rFonts w:ascii="Arial Narrow" w:hAnsi="Arial Narrow" w:cstheme="minorHAnsi"/>
                <w:color w:val="000000"/>
                <w:w w:val="29"/>
                <w:sz w:val="20"/>
                <w:szCs w:val="20"/>
                <w:shd w:val="solid" w:color="000000" w:fill="000000"/>
                <w:fitText w:val="130" w:id="-1301052155"/>
                <w14:textFill>
                  <w14:solidFill>
                    <w14:srgbClr w14:val="000000">
                      <w14:alpha w14:val="100000"/>
                    </w14:srgbClr>
                  </w14:solidFill>
                </w14:textFill>
              </w:rPr>
              <w:t>|</w:t>
            </w:r>
            <w:r w:rsidRPr="00B96A78">
              <w:rPr>
                <w:rFonts w:ascii="Arial Narrow" w:hAnsi="Arial Narrow" w:cstheme="minorHAnsi" w:hint="eastAsia"/>
                <w:color w:val="000000"/>
                <w:spacing w:val="2"/>
                <w:w w:val="29"/>
                <w:sz w:val="20"/>
                <w:szCs w:val="20"/>
                <w:shd w:val="solid" w:color="000000" w:fill="000000"/>
                <w:fitText w:val="130" w:id="-1301052155"/>
                <w14:textFill>
                  <w14:solidFill>
                    <w14:srgbClr w14:val="000000">
                      <w14:alpha w14:val="100000"/>
                    </w14:srgbClr>
                  </w14:solidFill>
                </w14:textFill>
              </w:rPr>
              <w:t xml:space="preserve">　</w:t>
            </w:r>
            <w:r w:rsidR="000A13F9">
              <w:rPr>
                <w:rFonts w:ascii="Arial Narrow" w:hAnsi="Arial Narrow" w:cstheme="minorHAnsi"/>
                <w:sz w:val="20"/>
                <w:szCs w:val="20"/>
                <w:vertAlign w:val="superscript"/>
              </w:rPr>
              <w:t>1</w:t>
            </w:r>
          </w:p>
        </w:tc>
        <w:tc>
          <w:tcPr>
            <w:tcW w:w="401" w:type="pct"/>
            <w:vAlign w:val="center"/>
          </w:tcPr>
          <w:p w14:paraId="48BD3E9F" w14:textId="5E76B31A" w:rsidR="00075A79" w:rsidRPr="003D04C4" w:rsidRDefault="00B96A78" w:rsidP="00B721AA">
            <w:pPr>
              <w:jc w:val="center"/>
              <w:rPr>
                <w:rFonts w:ascii="Arial Narrow" w:hAnsi="Arial Narrow" w:cstheme="minorHAnsi"/>
                <w:color w:val="000000"/>
                <w:sz w:val="20"/>
                <w:szCs w:val="20"/>
                <w:highlight w:val="lightGray"/>
              </w:rPr>
            </w:pPr>
            <w:r w:rsidRPr="00B96A78">
              <w:rPr>
                <w:rFonts w:ascii="Arial Narrow" w:hAnsi="Arial Narrow" w:cstheme="minorHAnsi" w:hint="eastAsia"/>
                <w:color w:val="000000"/>
                <w:w w:val="29"/>
                <w:sz w:val="20"/>
                <w:szCs w:val="20"/>
                <w:shd w:val="solid" w:color="000000" w:fill="000000"/>
                <w:fitText w:val="130" w:id="-1301052154"/>
                <w14:textFill>
                  <w14:solidFill>
                    <w14:srgbClr w14:val="000000">
                      <w14:alpha w14:val="100000"/>
                    </w14:srgbClr>
                  </w14:solidFill>
                </w14:textFill>
              </w:rPr>
              <w:t xml:space="preserve">　</w:t>
            </w:r>
            <w:r w:rsidRPr="00B96A78">
              <w:rPr>
                <w:rFonts w:ascii="Arial Narrow" w:hAnsi="Arial Narrow" w:cstheme="minorHAnsi"/>
                <w:color w:val="000000"/>
                <w:w w:val="29"/>
                <w:sz w:val="20"/>
                <w:szCs w:val="20"/>
                <w:shd w:val="solid" w:color="000000" w:fill="000000"/>
                <w:fitText w:val="130" w:id="-1301052154"/>
                <w14:textFill>
                  <w14:solidFill>
                    <w14:srgbClr w14:val="000000">
                      <w14:alpha w14:val="100000"/>
                    </w14:srgbClr>
                  </w14:solidFill>
                </w14:textFill>
              </w:rPr>
              <w:t>|</w:t>
            </w:r>
            <w:r w:rsidRPr="00B96A78">
              <w:rPr>
                <w:rFonts w:ascii="Arial Narrow" w:hAnsi="Arial Narrow" w:cstheme="minorHAnsi" w:hint="eastAsia"/>
                <w:color w:val="000000"/>
                <w:spacing w:val="2"/>
                <w:w w:val="29"/>
                <w:sz w:val="20"/>
                <w:szCs w:val="20"/>
                <w:shd w:val="solid" w:color="000000" w:fill="000000"/>
                <w:fitText w:val="130" w:id="-1301052154"/>
                <w14:textFill>
                  <w14:solidFill>
                    <w14:srgbClr w14:val="000000">
                      <w14:alpha w14:val="100000"/>
                    </w14:srgbClr>
                  </w14:solidFill>
                </w14:textFill>
              </w:rPr>
              <w:t xml:space="preserve">　</w:t>
            </w:r>
            <w:r w:rsidR="000A13F9">
              <w:rPr>
                <w:rFonts w:ascii="Arial Narrow" w:hAnsi="Arial Narrow" w:cstheme="minorHAnsi"/>
                <w:sz w:val="20"/>
                <w:szCs w:val="20"/>
                <w:vertAlign w:val="superscript"/>
              </w:rPr>
              <w:t>1</w:t>
            </w:r>
          </w:p>
        </w:tc>
        <w:tc>
          <w:tcPr>
            <w:tcW w:w="949" w:type="pct"/>
            <w:vAlign w:val="center"/>
          </w:tcPr>
          <w:p w14:paraId="1F183B3F" w14:textId="370B03B6"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D * E</w:t>
            </w:r>
          </w:p>
        </w:tc>
        <w:tc>
          <w:tcPr>
            <w:tcW w:w="449" w:type="pct"/>
            <w:vAlign w:val="center"/>
          </w:tcPr>
          <w:p w14:paraId="7FA59F6C" w14:textId="2B7D9294"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22.22</w:t>
            </w:r>
          </w:p>
        </w:tc>
        <w:tc>
          <w:tcPr>
            <w:tcW w:w="504" w:type="pct"/>
            <w:vAlign w:val="center"/>
          </w:tcPr>
          <w:p w14:paraId="265064AB" w14:textId="3290B0D2"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2.13</w:t>
            </w:r>
          </w:p>
        </w:tc>
        <w:tc>
          <w:tcPr>
            <w:tcW w:w="1165" w:type="pct"/>
            <w:vAlign w:val="center"/>
          </w:tcPr>
          <w:p w14:paraId="6A4C825D" w14:textId="56C90F64"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D * E</w:t>
            </w:r>
          </w:p>
        </w:tc>
        <w:tc>
          <w:tcPr>
            <w:tcW w:w="382" w:type="pct"/>
            <w:gridSpan w:val="2"/>
            <w:vAlign w:val="center"/>
          </w:tcPr>
          <w:p w14:paraId="143214F0" w14:textId="77777777" w:rsidR="00075A79" w:rsidRPr="003D04C4" w:rsidRDefault="00075A79" w:rsidP="00B721AA">
            <w:pPr>
              <w:jc w:val="center"/>
              <w:rPr>
                <w:rFonts w:ascii="Arial Narrow" w:hAnsi="Arial Narrow" w:cstheme="minorHAnsi"/>
                <w:sz w:val="20"/>
                <w:szCs w:val="20"/>
              </w:rPr>
            </w:pPr>
          </w:p>
        </w:tc>
      </w:tr>
      <w:tr w:rsidR="00060820" w:rsidRPr="003D04C4" w14:paraId="1802A7F2" w14:textId="0A3E0BD6" w:rsidTr="00060820">
        <w:trPr>
          <w:gridAfter w:val="1"/>
          <w:wAfter w:w="4" w:type="pct"/>
          <w:jc w:val="center"/>
        </w:trPr>
        <w:tc>
          <w:tcPr>
            <w:tcW w:w="124" w:type="pct"/>
            <w:vAlign w:val="center"/>
          </w:tcPr>
          <w:p w14:paraId="03ABF3EB" w14:textId="60588DF6"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G</w:t>
            </w:r>
          </w:p>
        </w:tc>
        <w:tc>
          <w:tcPr>
            <w:tcW w:w="624" w:type="pct"/>
            <w:vAlign w:val="center"/>
          </w:tcPr>
          <w:p w14:paraId="58A1CF9B" w14:textId="2FCEDC02" w:rsidR="00075A79" w:rsidRPr="003D04C4" w:rsidRDefault="00075A79" w:rsidP="00B721AA">
            <w:pPr>
              <w:jc w:val="left"/>
              <w:rPr>
                <w:rFonts w:ascii="Arial Narrow" w:hAnsi="Arial Narrow" w:cstheme="minorHAnsi"/>
                <w:sz w:val="20"/>
                <w:szCs w:val="20"/>
              </w:rPr>
            </w:pPr>
            <w:r w:rsidRPr="003D04C4">
              <w:rPr>
                <w:rFonts w:ascii="Arial Narrow" w:hAnsi="Arial Narrow" w:cstheme="minorHAnsi"/>
                <w:sz w:val="20"/>
                <w:szCs w:val="20"/>
              </w:rPr>
              <w:t>Effective AEMP per script</w:t>
            </w:r>
          </w:p>
        </w:tc>
        <w:tc>
          <w:tcPr>
            <w:tcW w:w="398" w:type="pct"/>
            <w:vAlign w:val="center"/>
          </w:tcPr>
          <w:p w14:paraId="52A651E6" w14:textId="7DF2AF1C" w:rsidR="00075A79" w:rsidRPr="003D04C4" w:rsidRDefault="00075A79" w:rsidP="00B721AA">
            <w:pPr>
              <w:jc w:val="center"/>
              <w:rPr>
                <w:rFonts w:ascii="Arial Narrow" w:hAnsi="Arial Narrow" w:cstheme="minorHAnsi"/>
                <w:sz w:val="20"/>
                <w:szCs w:val="20"/>
                <w:highlight w:val="lightGray"/>
              </w:rPr>
            </w:pPr>
            <w:r w:rsidRPr="003D04C4">
              <w:rPr>
                <w:rFonts w:ascii="Arial Narrow" w:hAnsi="Arial Narrow" w:cstheme="minorHAnsi"/>
                <w:color w:val="000000"/>
                <w:sz w:val="20"/>
                <w:szCs w:val="20"/>
              </w:rPr>
              <w:t>$</w:t>
            </w:r>
            <w:r w:rsidR="00B96A78" w:rsidRPr="00B96A78">
              <w:rPr>
                <w:rFonts w:ascii="Arial Narrow" w:hAnsi="Arial Narrow" w:cstheme="minorHAnsi" w:hint="eastAsia"/>
                <w:color w:val="000000"/>
                <w:w w:val="33"/>
                <w:sz w:val="20"/>
                <w:szCs w:val="20"/>
                <w:shd w:val="solid" w:color="000000" w:fill="000000"/>
                <w:fitText w:val="150" w:id="-1301052153"/>
                <w14:textFill>
                  <w14:solidFill>
                    <w14:srgbClr w14:val="000000">
                      <w14:alpha w14:val="100000"/>
                    </w14:srgbClr>
                  </w14:solidFill>
                </w14:textFill>
              </w:rPr>
              <w:t xml:space="preserve">　</w:t>
            </w:r>
            <w:r w:rsidR="00B96A78" w:rsidRPr="00B96A78">
              <w:rPr>
                <w:rFonts w:ascii="Arial Narrow" w:hAnsi="Arial Narrow" w:cstheme="minorHAnsi"/>
                <w:color w:val="000000"/>
                <w:w w:val="33"/>
                <w:sz w:val="20"/>
                <w:szCs w:val="20"/>
                <w:shd w:val="solid" w:color="000000" w:fill="000000"/>
                <w:fitText w:val="150" w:id="-1301052153"/>
                <w14:textFill>
                  <w14:solidFill>
                    <w14:srgbClr w14:val="000000">
                      <w14:alpha w14:val="100000"/>
                    </w14:srgbClr>
                  </w14:solidFill>
                </w14:textFill>
              </w:rPr>
              <w:t>|</w:t>
            </w:r>
            <w:r w:rsidR="00B96A78" w:rsidRPr="00B96A78">
              <w:rPr>
                <w:rFonts w:ascii="Arial Narrow" w:hAnsi="Arial Narrow" w:cstheme="minorHAnsi" w:hint="eastAsia"/>
                <w:color w:val="000000"/>
                <w:spacing w:val="4"/>
                <w:w w:val="33"/>
                <w:sz w:val="20"/>
                <w:szCs w:val="20"/>
                <w:shd w:val="solid" w:color="000000" w:fill="000000"/>
                <w:fitText w:val="150" w:id="-1301052153"/>
                <w14:textFill>
                  <w14:solidFill>
                    <w14:srgbClr w14:val="000000">
                      <w14:alpha w14:val="100000"/>
                    </w14:srgbClr>
                  </w14:solidFill>
                </w14:textFill>
              </w:rPr>
              <w:t xml:space="preserve">　</w:t>
            </w:r>
          </w:p>
        </w:tc>
        <w:tc>
          <w:tcPr>
            <w:tcW w:w="401" w:type="pct"/>
            <w:vAlign w:val="center"/>
          </w:tcPr>
          <w:p w14:paraId="51A0CBF4" w14:textId="7CC5174C"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w:t>
            </w:r>
            <w:r w:rsidR="00B96A78" w:rsidRPr="00B96A78">
              <w:rPr>
                <w:rFonts w:ascii="Arial Narrow" w:hAnsi="Arial Narrow" w:cstheme="minorHAnsi" w:hint="eastAsia"/>
                <w:color w:val="000000"/>
                <w:w w:val="31"/>
                <w:sz w:val="20"/>
                <w:szCs w:val="20"/>
                <w:shd w:val="solid" w:color="000000" w:fill="000000"/>
                <w:fitText w:val="140" w:id="-1301052152"/>
                <w14:textFill>
                  <w14:solidFill>
                    <w14:srgbClr w14:val="000000">
                      <w14:alpha w14:val="100000"/>
                    </w14:srgbClr>
                  </w14:solidFill>
                </w14:textFill>
              </w:rPr>
              <w:t xml:space="preserve">　</w:t>
            </w:r>
            <w:r w:rsidR="00B96A78" w:rsidRPr="00B96A78">
              <w:rPr>
                <w:rFonts w:ascii="Arial Narrow" w:hAnsi="Arial Narrow" w:cstheme="minorHAnsi"/>
                <w:color w:val="000000"/>
                <w:w w:val="31"/>
                <w:sz w:val="20"/>
                <w:szCs w:val="20"/>
                <w:shd w:val="solid" w:color="000000" w:fill="000000"/>
                <w:fitText w:val="140" w:id="-1301052152"/>
                <w14:textFill>
                  <w14:solidFill>
                    <w14:srgbClr w14:val="000000">
                      <w14:alpha w14:val="100000"/>
                    </w14:srgbClr>
                  </w14:solidFill>
                </w14:textFill>
              </w:rPr>
              <w:t>|</w:t>
            </w:r>
            <w:r w:rsidR="00B96A78" w:rsidRPr="00B96A78">
              <w:rPr>
                <w:rFonts w:ascii="Arial Narrow" w:hAnsi="Arial Narrow" w:cstheme="minorHAnsi" w:hint="eastAsia"/>
                <w:color w:val="000000"/>
                <w:spacing w:val="4"/>
                <w:w w:val="31"/>
                <w:sz w:val="20"/>
                <w:szCs w:val="20"/>
                <w:shd w:val="solid" w:color="000000" w:fill="000000"/>
                <w:fitText w:val="140" w:id="-1301052152"/>
                <w14:textFill>
                  <w14:solidFill>
                    <w14:srgbClr w14:val="000000">
                      <w14:alpha w14:val="100000"/>
                    </w14:srgbClr>
                  </w14:solidFill>
                </w14:textFill>
              </w:rPr>
              <w:t xml:space="preserve">　</w:t>
            </w:r>
          </w:p>
        </w:tc>
        <w:tc>
          <w:tcPr>
            <w:tcW w:w="949" w:type="pct"/>
            <w:vAlign w:val="center"/>
          </w:tcPr>
          <w:p w14:paraId="2092BFD2" w14:textId="77777777"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40 mg: H / F</w:t>
            </w:r>
          </w:p>
          <w:p w14:paraId="4A305636" w14:textId="1CE3EF50"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20 mg = 40 mg</w:t>
            </w:r>
          </w:p>
        </w:tc>
        <w:tc>
          <w:tcPr>
            <w:tcW w:w="449" w:type="pct"/>
            <w:vAlign w:val="center"/>
          </w:tcPr>
          <w:p w14:paraId="20BD42F5" w14:textId="70F92AC2"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color w:val="000000"/>
                <w:sz w:val="20"/>
                <w:szCs w:val="20"/>
              </w:rPr>
              <w:t>$4,895.54</w:t>
            </w:r>
          </w:p>
        </w:tc>
        <w:tc>
          <w:tcPr>
            <w:tcW w:w="504" w:type="pct"/>
            <w:vAlign w:val="center"/>
          </w:tcPr>
          <w:p w14:paraId="367F05C9" w14:textId="12C94B8E"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$3,694.89</w:t>
            </w:r>
          </w:p>
        </w:tc>
        <w:tc>
          <w:tcPr>
            <w:tcW w:w="1165" w:type="pct"/>
            <w:vAlign w:val="center"/>
          </w:tcPr>
          <w:p w14:paraId="01439047" w14:textId="1159E554"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PBS items 1309X and 9171Q</w:t>
            </w:r>
          </w:p>
        </w:tc>
        <w:tc>
          <w:tcPr>
            <w:tcW w:w="382" w:type="pct"/>
            <w:gridSpan w:val="2"/>
            <w:vAlign w:val="center"/>
          </w:tcPr>
          <w:p w14:paraId="0958D11C" w14:textId="69CF50D5"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w:t>
            </w:r>
          </w:p>
        </w:tc>
      </w:tr>
      <w:tr w:rsidR="00060820" w:rsidRPr="003D04C4" w14:paraId="5CD3F7D4" w14:textId="2F5AD3C6" w:rsidTr="00060820">
        <w:trPr>
          <w:gridAfter w:val="1"/>
          <w:wAfter w:w="4" w:type="pct"/>
          <w:jc w:val="center"/>
        </w:trPr>
        <w:tc>
          <w:tcPr>
            <w:tcW w:w="124" w:type="pct"/>
            <w:vMerge w:val="restart"/>
            <w:vAlign w:val="center"/>
          </w:tcPr>
          <w:p w14:paraId="3752FF2E" w14:textId="404B1047"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H</w:t>
            </w:r>
          </w:p>
        </w:tc>
        <w:tc>
          <w:tcPr>
            <w:tcW w:w="624" w:type="pct"/>
            <w:vMerge w:val="restart"/>
            <w:vAlign w:val="center"/>
          </w:tcPr>
          <w:p w14:paraId="38F1B294" w14:textId="76B921CF" w:rsidR="00075A79" w:rsidRPr="003D04C4" w:rsidRDefault="00075A79" w:rsidP="00B721AA">
            <w:pPr>
              <w:jc w:val="left"/>
              <w:rPr>
                <w:rFonts w:ascii="Arial Narrow" w:hAnsi="Arial Narrow" w:cstheme="minorHAnsi"/>
                <w:sz w:val="20"/>
                <w:szCs w:val="20"/>
              </w:rPr>
            </w:pPr>
            <w:r w:rsidRPr="003D04C4">
              <w:rPr>
                <w:rFonts w:ascii="Arial Narrow" w:hAnsi="Arial Narrow" w:cstheme="minorHAnsi"/>
                <w:sz w:val="20"/>
                <w:szCs w:val="20"/>
              </w:rPr>
              <w:t>Total medicines</w:t>
            </w:r>
          </w:p>
        </w:tc>
        <w:tc>
          <w:tcPr>
            <w:tcW w:w="398" w:type="pct"/>
            <w:vAlign w:val="center"/>
          </w:tcPr>
          <w:p w14:paraId="2B5C9792" w14:textId="133DDB3E" w:rsidR="00075A79" w:rsidRPr="003D04C4" w:rsidRDefault="00075A79" w:rsidP="00B721AA">
            <w:pPr>
              <w:jc w:val="center"/>
              <w:rPr>
                <w:rFonts w:ascii="Arial Narrow" w:hAnsi="Arial Narrow" w:cstheme="minorHAnsi"/>
                <w:sz w:val="20"/>
                <w:szCs w:val="20"/>
                <w:highlight w:val="lightGray"/>
              </w:rPr>
            </w:pPr>
            <w:r w:rsidRPr="003D04C4">
              <w:rPr>
                <w:rFonts w:ascii="Arial Narrow" w:hAnsi="Arial Narrow" w:cstheme="minorHAnsi"/>
                <w:color w:val="000000"/>
                <w:sz w:val="20"/>
                <w:szCs w:val="20"/>
              </w:rPr>
              <w:t>$</w:t>
            </w:r>
            <w:r w:rsidR="00B96A78" w:rsidRPr="00B96A78">
              <w:rPr>
                <w:rFonts w:ascii="Arial Narrow" w:hAnsi="Arial Narrow" w:cstheme="minorHAnsi" w:hint="eastAsia"/>
                <w:color w:val="000000"/>
                <w:w w:val="33"/>
                <w:sz w:val="20"/>
                <w:szCs w:val="20"/>
                <w:shd w:val="solid" w:color="000000" w:fill="000000"/>
                <w:fitText w:val="150" w:id="-1301052151"/>
                <w14:textFill>
                  <w14:solidFill>
                    <w14:srgbClr w14:val="000000">
                      <w14:alpha w14:val="100000"/>
                    </w14:srgbClr>
                  </w14:solidFill>
                </w14:textFill>
              </w:rPr>
              <w:t xml:space="preserve">　</w:t>
            </w:r>
            <w:r w:rsidR="00B96A78" w:rsidRPr="00B96A78">
              <w:rPr>
                <w:rFonts w:ascii="Arial Narrow" w:hAnsi="Arial Narrow" w:cstheme="minorHAnsi"/>
                <w:color w:val="000000"/>
                <w:w w:val="33"/>
                <w:sz w:val="20"/>
                <w:szCs w:val="20"/>
                <w:shd w:val="solid" w:color="000000" w:fill="000000"/>
                <w:fitText w:val="150" w:id="-1301052151"/>
                <w14:textFill>
                  <w14:solidFill>
                    <w14:srgbClr w14:val="000000">
                      <w14:alpha w14:val="100000"/>
                    </w14:srgbClr>
                  </w14:solidFill>
                </w14:textFill>
              </w:rPr>
              <w:t>|</w:t>
            </w:r>
            <w:r w:rsidR="00B96A78" w:rsidRPr="00B96A78">
              <w:rPr>
                <w:rFonts w:ascii="Arial Narrow" w:hAnsi="Arial Narrow" w:cstheme="minorHAnsi" w:hint="eastAsia"/>
                <w:color w:val="000000"/>
                <w:spacing w:val="4"/>
                <w:w w:val="33"/>
                <w:sz w:val="20"/>
                <w:szCs w:val="20"/>
                <w:shd w:val="solid" w:color="000000" w:fill="000000"/>
                <w:fitText w:val="150" w:id="-1301052151"/>
                <w14:textFill>
                  <w14:solidFill>
                    <w14:srgbClr w14:val="000000">
                      <w14:alpha w14:val="100000"/>
                    </w14:srgbClr>
                  </w14:solidFill>
                </w14:textFill>
              </w:rPr>
              <w:t xml:space="preserve">　</w:t>
            </w:r>
          </w:p>
        </w:tc>
        <w:tc>
          <w:tcPr>
            <w:tcW w:w="401" w:type="pct"/>
            <w:vAlign w:val="center"/>
          </w:tcPr>
          <w:p w14:paraId="1A2F75E3" w14:textId="4F284B57" w:rsidR="00075A79" w:rsidRPr="003D04C4" w:rsidRDefault="00075A79" w:rsidP="00B721AA">
            <w:pPr>
              <w:jc w:val="center"/>
              <w:rPr>
                <w:rFonts w:ascii="Arial Narrow" w:hAnsi="Arial Narrow" w:cstheme="minorHAnsi"/>
                <w:sz w:val="20"/>
                <w:szCs w:val="20"/>
                <w:highlight w:val="lightGray"/>
              </w:rPr>
            </w:pPr>
            <w:r w:rsidRPr="003D04C4">
              <w:rPr>
                <w:rFonts w:ascii="Arial Narrow" w:hAnsi="Arial Narrow" w:cstheme="minorHAnsi"/>
                <w:color w:val="000000"/>
                <w:sz w:val="20"/>
                <w:szCs w:val="20"/>
              </w:rPr>
              <w:t>$</w:t>
            </w:r>
            <w:r w:rsidR="00B96A78" w:rsidRPr="00B96A78">
              <w:rPr>
                <w:rFonts w:ascii="Arial Narrow" w:hAnsi="Arial Narrow" w:cstheme="minorHAnsi" w:hint="eastAsia"/>
                <w:color w:val="000000"/>
                <w:w w:val="31"/>
                <w:sz w:val="20"/>
                <w:szCs w:val="20"/>
                <w:shd w:val="solid" w:color="000000" w:fill="000000"/>
                <w:fitText w:val="140" w:id="-1301052150"/>
                <w14:textFill>
                  <w14:solidFill>
                    <w14:srgbClr w14:val="000000">
                      <w14:alpha w14:val="100000"/>
                    </w14:srgbClr>
                  </w14:solidFill>
                </w14:textFill>
              </w:rPr>
              <w:t xml:space="preserve">　</w:t>
            </w:r>
            <w:r w:rsidR="00B96A78" w:rsidRPr="00B96A78">
              <w:rPr>
                <w:rFonts w:ascii="Arial Narrow" w:hAnsi="Arial Narrow" w:cstheme="minorHAnsi"/>
                <w:color w:val="000000"/>
                <w:w w:val="31"/>
                <w:sz w:val="20"/>
                <w:szCs w:val="20"/>
                <w:shd w:val="solid" w:color="000000" w:fill="000000"/>
                <w:fitText w:val="140" w:id="-1301052150"/>
                <w14:textFill>
                  <w14:solidFill>
                    <w14:srgbClr w14:val="000000">
                      <w14:alpha w14:val="100000"/>
                    </w14:srgbClr>
                  </w14:solidFill>
                </w14:textFill>
              </w:rPr>
              <w:t>|</w:t>
            </w:r>
            <w:r w:rsidR="00B96A78" w:rsidRPr="00B96A78">
              <w:rPr>
                <w:rFonts w:ascii="Arial Narrow" w:hAnsi="Arial Narrow" w:cstheme="minorHAnsi" w:hint="eastAsia"/>
                <w:color w:val="000000"/>
                <w:spacing w:val="4"/>
                <w:w w:val="31"/>
                <w:sz w:val="20"/>
                <w:szCs w:val="20"/>
                <w:shd w:val="solid" w:color="000000" w:fill="000000"/>
                <w:fitText w:val="140" w:id="-1301052150"/>
                <w14:textFill>
                  <w14:solidFill>
                    <w14:srgbClr w14:val="000000">
                      <w14:alpha w14:val="100000"/>
                    </w14:srgbClr>
                  </w14:solidFill>
                </w14:textFill>
              </w:rPr>
              <w:t xml:space="preserve">　</w:t>
            </w:r>
          </w:p>
        </w:tc>
        <w:tc>
          <w:tcPr>
            <w:tcW w:w="949" w:type="pct"/>
            <w:vAlign w:val="center"/>
          </w:tcPr>
          <w:p w14:paraId="294A3226" w14:textId="390F9059"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H * E</w:t>
            </w:r>
          </w:p>
        </w:tc>
        <w:tc>
          <w:tcPr>
            <w:tcW w:w="449" w:type="pct"/>
            <w:vAlign w:val="center"/>
          </w:tcPr>
          <w:p w14:paraId="29CA41A2" w14:textId="459C7D6F" w:rsidR="00075A79" w:rsidRPr="003D04C4" w:rsidRDefault="00075A79" w:rsidP="00B721AA">
            <w:pPr>
              <w:jc w:val="center"/>
              <w:rPr>
                <w:rFonts w:ascii="Arial Narrow" w:hAnsi="Arial Narrow" w:cstheme="minorHAnsi"/>
                <w:sz w:val="20"/>
                <w:szCs w:val="20"/>
                <w:highlight w:val="lightGray"/>
              </w:rPr>
            </w:pPr>
            <w:r w:rsidRPr="003D04C4">
              <w:rPr>
                <w:rFonts w:ascii="Arial Narrow" w:hAnsi="Arial Narrow" w:cstheme="minorHAnsi"/>
                <w:color w:val="000000"/>
                <w:sz w:val="20"/>
                <w:szCs w:val="20"/>
              </w:rPr>
              <w:t>$108,775.84</w:t>
            </w:r>
          </w:p>
        </w:tc>
        <w:tc>
          <w:tcPr>
            <w:tcW w:w="504" w:type="pct"/>
            <w:vAlign w:val="center"/>
          </w:tcPr>
          <w:p w14:paraId="244562C5" w14:textId="38FA33D9"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$7,872.43</w:t>
            </w:r>
          </w:p>
        </w:tc>
        <w:tc>
          <w:tcPr>
            <w:tcW w:w="1165" w:type="pct"/>
            <w:vAlign w:val="center"/>
          </w:tcPr>
          <w:p w14:paraId="1A5C2A6B" w14:textId="0AEDEAB1" w:rsidR="00075A79" w:rsidRPr="003D04C4" w:rsidRDefault="00075A79" w:rsidP="00B721AA">
            <w:pPr>
              <w:jc w:val="center"/>
              <w:rPr>
                <w:rFonts w:ascii="Arial Narrow" w:hAnsi="Arial Narrow" w:cstheme="minorHAnsi"/>
                <w:sz w:val="20"/>
                <w:szCs w:val="20"/>
                <w:highlight w:val="lightGray"/>
              </w:rPr>
            </w:pPr>
            <w:r w:rsidRPr="003D04C4">
              <w:rPr>
                <w:rFonts w:ascii="Arial Narrow" w:hAnsi="Arial Narrow" w:cstheme="minorHAnsi"/>
                <w:sz w:val="20"/>
                <w:szCs w:val="20"/>
              </w:rPr>
              <w:t>F * G</w:t>
            </w:r>
          </w:p>
        </w:tc>
        <w:tc>
          <w:tcPr>
            <w:tcW w:w="382" w:type="pct"/>
            <w:gridSpan w:val="2"/>
            <w:vAlign w:val="center"/>
          </w:tcPr>
          <w:p w14:paraId="4A7B1A09" w14:textId="322019E6"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w:t>
            </w:r>
          </w:p>
        </w:tc>
      </w:tr>
      <w:tr w:rsidR="00060820" w:rsidRPr="003D04C4" w14:paraId="24D6893E" w14:textId="77777777" w:rsidTr="00060820">
        <w:trPr>
          <w:gridAfter w:val="1"/>
          <w:wAfter w:w="4" w:type="pct"/>
          <w:jc w:val="center"/>
        </w:trPr>
        <w:tc>
          <w:tcPr>
            <w:tcW w:w="124" w:type="pct"/>
            <w:vMerge/>
            <w:vAlign w:val="center"/>
          </w:tcPr>
          <w:p w14:paraId="1C94D7B1" w14:textId="77777777" w:rsidR="00075A79" w:rsidRPr="003D04C4" w:rsidRDefault="00075A79" w:rsidP="00B721AA">
            <w:pPr>
              <w:jc w:val="center"/>
              <w:rPr>
                <w:rFonts w:ascii="Arial Narrow" w:hAnsi="Arial Narrow" w:cstheme="minorHAnsi"/>
                <w:sz w:val="20"/>
                <w:szCs w:val="20"/>
              </w:rPr>
            </w:pPr>
          </w:p>
        </w:tc>
        <w:tc>
          <w:tcPr>
            <w:tcW w:w="624" w:type="pct"/>
            <w:vMerge/>
            <w:vAlign w:val="center"/>
          </w:tcPr>
          <w:p w14:paraId="1523691F" w14:textId="77777777" w:rsidR="00075A79" w:rsidRPr="003D04C4" w:rsidRDefault="00075A79" w:rsidP="00B721AA">
            <w:pPr>
              <w:rPr>
                <w:rFonts w:ascii="Arial Narrow" w:hAnsi="Arial Narrow" w:cstheme="minorHAnsi"/>
                <w:sz w:val="20"/>
                <w:szCs w:val="20"/>
                <w:highlight w:val="lightGray"/>
              </w:rPr>
            </w:pPr>
          </w:p>
        </w:tc>
        <w:tc>
          <w:tcPr>
            <w:tcW w:w="800" w:type="pct"/>
            <w:gridSpan w:val="2"/>
            <w:vAlign w:val="center"/>
          </w:tcPr>
          <w:p w14:paraId="17DCDD24" w14:textId="1367DF8C" w:rsidR="00075A79" w:rsidRPr="003D04C4" w:rsidRDefault="00075A79" w:rsidP="00B721AA">
            <w:pPr>
              <w:jc w:val="center"/>
              <w:rPr>
                <w:rFonts w:ascii="Arial Narrow" w:hAnsi="Arial Narrow" w:cstheme="minorHAnsi"/>
                <w:color w:val="000000"/>
                <w:sz w:val="20"/>
                <w:szCs w:val="20"/>
                <w:highlight w:val="lightGray"/>
              </w:rPr>
            </w:pPr>
            <w:r w:rsidRPr="003D04C4">
              <w:rPr>
                <w:rFonts w:ascii="Arial Narrow" w:hAnsi="Arial Narrow" w:cstheme="minorHAnsi"/>
                <w:color w:val="000000"/>
                <w:sz w:val="20"/>
                <w:szCs w:val="20"/>
              </w:rPr>
              <w:t>$</w:t>
            </w:r>
            <w:r w:rsidR="00B96A78" w:rsidRPr="00B96A78">
              <w:rPr>
                <w:rFonts w:ascii="Arial Narrow" w:hAnsi="Arial Narrow" w:cstheme="minorHAnsi"/>
                <w:color w:val="000000"/>
                <w:sz w:val="20"/>
                <w:szCs w:val="20"/>
                <w:shd w:val="solid" w:color="000000" w:fill="000000"/>
                <w14:textFill>
                  <w14:solidFill>
                    <w14:srgbClr w14:val="000000">
                      <w14:alpha w14:val="100000"/>
                    </w14:srgbClr>
                  </w14:solidFill>
                </w14:textFill>
              </w:rPr>
              <w:t>|</w:t>
            </w:r>
          </w:p>
        </w:tc>
        <w:tc>
          <w:tcPr>
            <w:tcW w:w="949" w:type="pct"/>
            <w:vAlign w:val="center"/>
          </w:tcPr>
          <w:p w14:paraId="0F1C6E1C" w14:textId="62B3DB3F" w:rsidR="00075A79" w:rsidRPr="003D04C4" w:rsidRDefault="00075A79" w:rsidP="00B721AA">
            <w:pPr>
              <w:jc w:val="center"/>
              <w:rPr>
                <w:rFonts w:ascii="Arial Narrow" w:hAnsi="Arial Narrow" w:cstheme="minorHAnsi"/>
                <w:color w:val="000000"/>
                <w:sz w:val="20"/>
                <w:szCs w:val="20"/>
                <w:highlight w:val="lightGray"/>
              </w:rPr>
            </w:pPr>
            <w:r w:rsidRPr="003D04C4">
              <w:rPr>
                <w:rFonts w:ascii="Arial Narrow" w:hAnsi="Arial Narrow" w:cstheme="minorHAnsi"/>
                <w:color w:val="000000"/>
                <w:sz w:val="20"/>
                <w:szCs w:val="20"/>
              </w:rPr>
              <w:t>M - L</w:t>
            </w:r>
          </w:p>
        </w:tc>
        <w:tc>
          <w:tcPr>
            <w:tcW w:w="953" w:type="pct"/>
            <w:gridSpan w:val="2"/>
            <w:vAlign w:val="center"/>
          </w:tcPr>
          <w:p w14:paraId="13F92D45" w14:textId="615D8E43"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$116,648.26</w:t>
            </w:r>
          </w:p>
        </w:tc>
        <w:tc>
          <w:tcPr>
            <w:tcW w:w="1165" w:type="pct"/>
            <w:vAlign w:val="center"/>
          </w:tcPr>
          <w:p w14:paraId="466A8D60" w14:textId="1E220FAF"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Total</w:t>
            </w:r>
          </w:p>
        </w:tc>
        <w:tc>
          <w:tcPr>
            <w:tcW w:w="382" w:type="pct"/>
            <w:gridSpan w:val="2"/>
            <w:vAlign w:val="center"/>
          </w:tcPr>
          <w:p w14:paraId="00BE6FE0" w14:textId="6FCC557A" w:rsidR="00075A79" w:rsidRPr="003D04C4" w:rsidRDefault="00075A79" w:rsidP="00B721AA">
            <w:pPr>
              <w:jc w:val="center"/>
              <w:rPr>
                <w:rFonts w:ascii="Arial Narrow" w:hAnsi="Arial Narrow" w:cstheme="minorHAnsi"/>
                <w:sz w:val="20"/>
                <w:szCs w:val="20"/>
              </w:rPr>
            </w:pPr>
            <w:r w:rsidRPr="009A07EA">
              <w:rPr>
                <w:rFonts w:ascii="Arial Narrow" w:hAnsi="Arial Narrow" w:cstheme="minorHAnsi"/>
                <w:sz w:val="20"/>
                <w:szCs w:val="20"/>
              </w:rPr>
              <w:t>$</w:t>
            </w:r>
            <w:r w:rsidR="00B96A78" w:rsidRPr="00B96A78">
              <w:rPr>
                <w:rFonts w:ascii="Arial Narrow" w:hAnsi="Arial Narrow" w:cstheme="minorHAnsi"/>
                <w:color w:val="000000"/>
                <w:spacing w:val="84"/>
                <w:sz w:val="20"/>
                <w:szCs w:val="20"/>
                <w:shd w:val="solid" w:color="000000" w:fill="000000"/>
                <w:fitText w:val="170" w:id="-1301052149"/>
                <w14:textFill>
                  <w14:solidFill>
                    <w14:srgbClr w14:val="000000">
                      <w14:alpha w14:val="100000"/>
                    </w14:srgbClr>
                  </w14:solidFill>
                </w14:textFill>
              </w:rPr>
              <w:t>|</w:t>
            </w:r>
            <w:r w:rsidR="00B96A78" w:rsidRPr="00B96A78">
              <w:rPr>
                <w:rFonts w:ascii="Arial Narrow" w:hAnsi="Arial Narrow" w:cstheme="minorHAnsi"/>
                <w:color w:val="000000"/>
                <w:spacing w:val="1"/>
                <w:sz w:val="20"/>
                <w:szCs w:val="20"/>
                <w:shd w:val="solid" w:color="000000" w:fill="000000"/>
                <w:fitText w:val="170" w:id="-1301052149"/>
                <w14:textFill>
                  <w14:solidFill>
                    <w14:srgbClr w14:val="000000">
                      <w14:alpha w14:val="100000"/>
                    </w14:srgbClr>
                  </w14:solidFill>
                </w14:textFill>
              </w:rPr>
              <w:t>|</w:t>
            </w:r>
          </w:p>
        </w:tc>
      </w:tr>
      <w:tr w:rsidR="00060820" w:rsidRPr="003D04C4" w14:paraId="4287F944" w14:textId="1F96AE9E" w:rsidTr="00060820">
        <w:trPr>
          <w:jc w:val="center"/>
        </w:trPr>
        <w:tc>
          <w:tcPr>
            <w:tcW w:w="124" w:type="pct"/>
            <w:shd w:val="clear" w:color="auto" w:fill="F2F2F2" w:themeFill="background1" w:themeFillShade="F2"/>
            <w:vAlign w:val="center"/>
          </w:tcPr>
          <w:p w14:paraId="56CCB172" w14:textId="77777777" w:rsidR="00060820" w:rsidRPr="003D04C4" w:rsidRDefault="00060820" w:rsidP="00B721AA">
            <w:pPr>
              <w:jc w:val="center"/>
              <w:rPr>
                <w:rFonts w:ascii="Arial Narrow" w:hAnsi="Arial Narrow" w:cstheme="minorHAnsi"/>
                <w:b/>
                <w:bCs/>
                <w:sz w:val="20"/>
                <w:szCs w:val="20"/>
              </w:rPr>
            </w:pPr>
          </w:p>
        </w:tc>
        <w:tc>
          <w:tcPr>
            <w:tcW w:w="4876" w:type="pct"/>
            <w:gridSpan w:val="10"/>
            <w:shd w:val="clear" w:color="auto" w:fill="F2F2F2" w:themeFill="background1" w:themeFillShade="F2"/>
            <w:vAlign w:val="center"/>
          </w:tcPr>
          <w:p w14:paraId="72B594A0" w14:textId="2B92BC8B" w:rsidR="00060820" w:rsidRPr="003D04C4" w:rsidRDefault="00060820" w:rsidP="00B721AA">
            <w:pPr>
              <w:jc w:val="left"/>
              <w:rPr>
                <w:rFonts w:ascii="Arial Narrow" w:hAnsi="Arial Narrow" w:cstheme="minorHAnsi"/>
                <w:b/>
                <w:bCs/>
                <w:sz w:val="20"/>
                <w:szCs w:val="20"/>
              </w:rPr>
            </w:pPr>
            <w:r w:rsidRPr="003D04C4">
              <w:rPr>
                <w:rFonts w:ascii="Arial Narrow" w:hAnsi="Arial Narrow" w:cstheme="minorHAnsi"/>
                <w:b/>
                <w:bCs/>
                <w:sz w:val="20"/>
                <w:szCs w:val="20"/>
              </w:rPr>
              <w:t>Monitoring</w:t>
            </w:r>
          </w:p>
        </w:tc>
      </w:tr>
      <w:tr w:rsidR="00060820" w:rsidRPr="003D04C4" w14:paraId="4DFDBD65" w14:textId="6F67B0D4" w:rsidTr="00060820">
        <w:trPr>
          <w:gridAfter w:val="1"/>
          <w:wAfter w:w="4" w:type="pct"/>
          <w:jc w:val="center"/>
        </w:trPr>
        <w:tc>
          <w:tcPr>
            <w:tcW w:w="124" w:type="pct"/>
            <w:vAlign w:val="center"/>
          </w:tcPr>
          <w:p w14:paraId="3C6C88EC" w14:textId="6024C09C"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I</w:t>
            </w:r>
          </w:p>
        </w:tc>
        <w:tc>
          <w:tcPr>
            <w:tcW w:w="624" w:type="pct"/>
          </w:tcPr>
          <w:p w14:paraId="757279B2" w14:textId="05C046E6" w:rsidR="00075A79" w:rsidRPr="003D04C4" w:rsidRDefault="00075A79" w:rsidP="00B721AA">
            <w:pPr>
              <w:jc w:val="left"/>
              <w:rPr>
                <w:rFonts w:ascii="Arial Narrow" w:hAnsi="Arial Narrow" w:cstheme="minorHAnsi"/>
                <w:sz w:val="20"/>
                <w:szCs w:val="20"/>
              </w:rPr>
            </w:pPr>
            <w:r w:rsidRPr="003D04C4">
              <w:rPr>
                <w:rFonts w:ascii="Arial Narrow" w:hAnsi="Arial Narrow" w:cstheme="minorHAnsi"/>
                <w:sz w:val="20"/>
                <w:szCs w:val="20"/>
              </w:rPr>
              <w:t>QT prolongation</w:t>
            </w:r>
          </w:p>
        </w:tc>
        <w:tc>
          <w:tcPr>
            <w:tcW w:w="800" w:type="pct"/>
            <w:gridSpan w:val="2"/>
            <w:vAlign w:val="center"/>
          </w:tcPr>
          <w:p w14:paraId="43B39341" w14:textId="77777777"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color w:val="000000"/>
                <w:sz w:val="20"/>
                <w:szCs w:val="20"/>
              </w:rPr>
              <w:t>$0.00</w:t>
            </w:r>
          </w:p>
        </w:tc>
        <w:tc>
          <w:tcPr>
            <w:tcW w:w="949" w:type="pct"/>
            <w:vAlign w:val="center"/>
          </w:tcPr>
          <w:p w14:paraId="71AC6FC4" w14:textId="1A252E4C"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w:t>
            </w:r>
          </w:p>
        </w:tc>
        <w:tc>
          <w:tcPr>
            <w:tcW w:w="953" w:type="pct"/>
            <w:gridSpan w:val="2"/>
            <w:vAlign w:val="center"/>
          </w:tcPr>
          <w:p w14:paraId="72CF4072" w14:textId="62FE660E" w:rsidR="00075A79" w:rsidRPr="003D04C4" w:rsidRDefault="00075A79" w:rsidP="00B721AA">
            <w:pPr>
              <w:jc w:val="center"/>
              <w:rPr>
                <w:rFonts w:ascii="Arial Narrow" w:hAnsi="Arial Narrow" w:cstheme="minorHAnsi"/>
                <w:sz w:val="20"/>
                <w:szCs w:val="20"/>
                <w:highlight w:val="lightGray"/>
              </w:rPr>
            </w:pPr>
            <w:r w:rsidRPr="003D04C4">
              <w:rPr>
                <w:rFonts w:ascii="Arial Narrow" w:hAnsi="Arial Narrow" w:cstheme="minorHAnsi"/>
                <w:color w:val="000000"/>
                <w:sz w:val="20"/>
                <w:szCs w:val="20"/>
              </w:rPr>
              <w:t>$33.05</w:t>
            </w:r>
          </w:p>
        </w:tc>
        <w:tc>
          <w:tcPr>
            <w:tcW w:w="1165" w:type="pct"/>
            <w:vAlign w:val="center"/>
          </w:tcPr>
          <w:p w14:paraId="375EE180" w14:textId="161169E6"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MBS 11704 100% ($33.05)</w:t>
            </w:r>
          </w:p>
        </w:tc>
        <w:tc>
          <w:tcPr>
            <w:tcW w:w="382" w:type="pct"/>
            <w:gridSpan w:val="2"/>
            <w:vAlign w:val="center"/>
          </w:tcPr>
          <w:p w14:paraId="77F7AC26" w14:textId="60F62160"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-$33.05</w:t>
            </w:r>
          </w:p>
        </w:tc>
      </w:tr>
      <w:tr w:rsidR="00060820" w:rsidRPr="003D04C4" w14:paraId="2C01D68B" w14:textId="739426D0" w:rsidTr="00060820">
        <w:trPr>
          <w:gridAfter w:val="1"/>
          <w:wAfter w:w="4" w:type="pct"/>
          <w:jc w:val="center"/>
        </w:trPr>
        <w:tc>
          <w:tcPr>
            <w:tcW w:w="124" w:type="pct"/>
            <w:vAlign w:val="center"/>
          </w:tcPr>
          <w:p w14:paraId="2BE8ADAA" w14:textId="7CFE04C6"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J</w:t>
            </w:r>
          </w:p>
        </w:tc>
        <w:tc>
          <w:tcPr>
            <w:tcW w:w="624" w:type="pct"/>
          </w:tcPr>
          <w:p w14:paraId="1A57B9FD" w14:textId="2ACD9563" w:rsidR="00075A79" w:rsidRPr="003D04C4" w:rsidRDefault="00075A79" w:rsidP="00B721AA">
            <w:pPr>
              <w:jc w:val="left"/>
              <w:rPr>
                <w:rFonts w:ascii="Arial Narrow" w:hAnsi="Arial Narrow" w:cstheme="minorHAnsi"/>
                <w:sz w:val="20"/>
                <w:szCs w:val="20"/>
              </w:rPr>
            </w:pPr>
            <w:r w:rsidRPr="003D04C4">
              <w:rPr>
                <w:rFonts w:ascii="Arial Narrow" w:hAnsi="Arial Narrow" w:cstheme="minorHAnsi"/>
                <w:sz w:val="20"/>
                <w:szCs w:val="20"/>
              </w:rPr>
              <w:t>Full blood count</w:t>
            </w:r>
          </w:p>
        </w:tc>
        <w:tc>
          <w:tcPr>
            <w:tcW w:w="800" w:type="pct"/>
            <w:gridSpan w:val="2"/>
            <w:vAlign w:val="center"/>
          </w:tcPr>
          <w:p w14:paraId="3286E0C6" w14:textId="77777777" w:rsidR="00075A79" w:rsidRPr="003D04C4" w:rsidRDefault="00075A79" w:rsidP="00B721AA">
            <w:pPr>
              <w:jc w:val="center"/>
              <w:rPr>
                <w:rFonts w:ascii="Arial Narrow" w:hAnsi="Arial Narrow" w:cstheme="minorHAnsi"/>
                <w:sz w:val="20"/>
                <w:szCs w:val="20"/>
                <w:highlight w:val="lightGray"/>
              </w:rPr>
            </w:pPr>
            <w:r w:rsidRPr="003D04C4">
              <w:rPr>
                <w:rFonts w:ascii="Arial Narrow" w:hAnsi="Arial Narrow" w:cstheme="minorHAnsi"/>
                <w:color w:val="000000"/>
                <w:sz w:val="20"/>
                <w:szCs w:val="20"/>
              </w:rPr>
              <w:t>$457.65</w:t>
            </w:r>
          </w:p>
        </w:tc>
        <w:tc>
          <w:tcPr>
            <w:tcW w:w="949" w:type="pct"/>
            <w:vAlign w:val="center"/>
          </w:tcPr>
          <w:p w14:paraId="1F6D5A16" w14:textId="6E12E39B" w:rsidR="00075A79" w:rsidRPr="003D04C4" w:rsidRDefault="00075A79" w:rsidP="00B721AA">
            <w:pPr>
              <w:jc w:val="center"/>
              <w:rPr>
                <w:rFonts w:ascii="Arial Narrow" w:hAnsi="Arial Narrow" w:cstheme="minorHAnsi"/>
                <w:color w:val="000000"/>
                <w:sz w:val="20"/>
                <w:szCs w:val="20"/>
                <w:highlight w:val="lightGray"/>
              </w:rPr>
            </w:pPr>
            <w:r w:rsidRPr="003D04C4">
              <w:rPr>
                <w:rFonts w:ascii="Arial Narrow" w:hAnsi="Arial Narrow" w:cstheme="minorHAnsi"/>
                <w:sz w:val="20"/>
                <w:szCs w:val="20"/>
              </w:rPr>
              <w:t>MBS 65070 ($16.95) 100% * 27</w:t>
            </w:r>
          </w:p>
        </w:tc>
        <w:tc>
          <w:tcPr>
            <w:tcW w:w="953" w:type="pct"/>
            <w:gridSpan w:val="2"/>
            <w:vAlign w:val="center"/>
          </w:tcPr>
          <w:p w14:paraId="523801F0" w14:textId="78A87A1B" w:rsidR="00075A79" w:rsidRPr="003D04C4" w:rsidRDefault="00075A79" w:rsidP="00B721AA">
            <w:pPr>
              <w:jc w:val="center"/>
              <w:rPr>
                <w:rFonts w:ascii="Arial Narrow" w:hAnsi="Arial Narrow" w:cstheme="minorHAnsi"/>
                <w:sz w:val="20"/>
                <w:szCs w:val="20"/>
                <w:highlight w:val="lightGray"/>
              </w:rPr>
            </w:pPr>
            <w:r w:rsidRPr="003D04C4">
              <w:rPr>
                <w:rFonts w:ascii="Arial Narrow" w:hAnsi="Arial Narrow" w:cstheme="minorHAnsi"/>
                <w:color w:val="000000"/>
                <w:sz w:val="20"/>
                <w:szCs w:val="20"/>
              </w:rPr>
              <w:t>$440.70</w:t>
            </w:r>
          </w:p>
        </w:tc>
        <w:tc>
          <w:tcPr>
            <w:tcW w:w="1165" w:type="pct"/>
            <w:vAlign w:val="center"/>
          </w:tcPr>
          <w:p w14:paraId="26AF3E9D" w14:textId="3E27CFDC"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MBS 65070 ($16.95) 100% * 26</w:t>
            </w:r>
          </w:p>
        </w:tc>
        <w:tc>
          <w:tcPr>
            <w:tcW w:w="382" w:type="pct"/>
            <w:gridSpan w:val="2"/>
            <w:vAlign w:val="center"/>
          </w:tcPr>
          <w:p w14:paraId="15A1E0E4" w14:textId="5D6B3D02"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$16.95</w:t>
            </w:r>
          </w:p>
        </w:tc>
      </w:tr>
      <w:tr w:rsidR="00060820" w:rsidRPr="003D04C4" w14:paraId="25D638C7" w14:textId="7E3D50E2" w:rsidTr="00060820">
        <w:trPr>
          <w:gridAfter w:val="1"/>
          <w:wAfter w:w="4" w:type="pct"/>
          <w:jc w:val="center"/>
        </w:trPr>
        <w:tc>
          <w:tcPr>
            <w:tcW w:w="124" w:type="pct"/>
            <w:vAlign w:val="center"/>
          </w:tcPr>
          <w:p w14:paraId="7A7A95E4" w14:textId="380A138B"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K</w:t>
            </w:r>
          </w:p>
        </w:tc>
        <w:tc>
          <w:tcPr>
            <w:tcW w:w="624" w:type="pct"/>
          </w:tcPr>
          <w:p w14:paraId="5D904D3D" w14:textId="185B1D2A" w:rsidR="00075A79" w:rsidRPr="003D04C4" w:rsidRDefault="00075A79" w:rsidP="00B721AA">
            <w:pPr>
              <w:jc w:val="left"/>
              <w:rPr>
                <w:rFonts w:ascii="Arial Narrow" w:hAnsi="Arial Narrow" w:cstheme="minorHAnsi"/>
                <w:sz w:val="20"/>
                <w:szCs w:val="20"/>
                <w:highlight w:val="lightGray"/>
              </w:rPr>
            </w:pPr>
            <w:r w:rsidRPr="003D04C4">
              <w:rPr>
                <w:rFonts w:ascii="Arial Narrow" w:hAnsi="Arial Narrow" w:cstheme="minorHAnsi"/>
                <w:sz w:val="20"/>
                <w:szCs w:val="20"/>
              </w:rPr>
              <w:t>Blood tests</w:t>
            </w:r>
          </w:p>
        </w:tc>
        <w:tc>
          <w:tcPr>
            <w:tcW w:w="800" w:type="pct"/>
            <w:gridSpan w:val="2"/>
            <w:vAlign w:val="center"/>
          </w:tcPr>
          <w:p w14:paraId="03F00697" w14:textId="77777777" w:rsidR="00075A79" w:rsidRPr="003D04C4" w:rsidRDefault="00075A79" w:rsidP="00B721AA">
            <w:pPr>
              <w:jc w:val="center"/>
              <w:rPr>
                <w:rFonts w:ascii="Arial Narrow" w:hAnsi="Arial Narrow" w:cstheme="minorHAnsi"/>
                <w:sz w:val="20"/>
                <w:szCs w:val="20"/>
                <w:highlight w:val="lightGray"/>
              </w:rPr>
            </w:pPr>
            <w:r w:rsidRPr="003D04C4">
              <w:rPr>
                <w:rFonts w:ascii="Arial Narrow" w:hAnsi="Arial Narrow" w:cstheme="minorHAnsi"/>
                <w:color w:val="000000"/>
                <w:sz w:val="20"/>
                <w:szCs w:val="20"/>
              </w:rPr>
              <w:t>$283.60</w:t>
            </w:r>
          </w:p>
        </w:tc>
        <w:tc>
          <w:tcPr>
            <w:tcW w:w="949" w:type="pct"/>
            <w:vAlign w:val="center"/>
          </w:tcPr>
          <w:p w14:paraId="5DF39BD1" w14:textId="5F6E66BF" w:rsidR="00075A79" w:rsidRPr="003D04C4" w:rsidRDefault="00075A79" w:rsidP="00B721AA">
            <w:pPr>
              <w:jc w:val="center"/>
              <w:rPr>
                <w:rFonts w:ascii="Arial Narrow" w:hAnsi="Arial Narrow" w:cstheme="minorHAnsi"/>
                <w:color w:val="000000"/>
                <w:sz w:val="20"/>
                <w:szCs w:val="20"/>
                <w:highlight w:val="lightGray"/>
              </w:rPr>
            </w:pPr>
            <w:r w:rsidRPr="003D04C4">
              <w:rPr>
                <w:rFonts w:ascii="Arial Narrow" w:hAnsi="Arial Narrow" w:cstheme="minorHAnsi"/>
                <w:sz w:val="20"/>
                <w:szCs w:val="20"/>
              </w:rPr>
              <w:t>MBS items 100% * 24</w:t>
            </w:r>
            <w:r w:rsidR="003A6BE4" w:rsidRPr="003D04C4">
              <w:rPr>
                <w:rFonts w:ascii="Arial Narrow" w:hAnsi="Arial Narrow" w:cstheme="minorHAnsi"/>
                <w:sz w:val="20"/>
                <w:szCs w:val="20"/>
                <w:vertAlign w:val="superscript"/>
              </w:rPr>
              <w:t>a</w:t>
            </w:r>
          </w:p>
        </w:tc>
        <w:tc>
          <w:tcPr>
            <w:tcW w:w="953" w:type="pct"/>
            <w:gridSpan w:val="2"/>
            <w:vAlign w:val="center"/>
          </w:tcPr>
          <w:p w14:paraId="5F3B0316" w14:textId="61076F80" w:rsidR="00075A79" w:rsidRPr="003D04C4" w:rsidRDefault="00075A79" w:rsidP="00B721AA">
            <w:pPr>
              <w:jc w:val="center"/>
              <w:rPr>
                <w:rFonts w:ascii="Arial Narrow" w:hAnsi="Arial Narrow" w:cstheme="minorHAnsi"/>
                <w:sz w:val="20"/>
                <w:szCs w:val="20"/>
                <w:highlight w:val="lightGray"/>
              </w:rPr>
            </w:pPr>
            <w:r w:rsidRPr="003D04C4">
              <w:rPr>
                <w:rFonts w:ascii="Arial Narrow" w:hAnsi="Arial Narrow" w:cstheme="minorHAnsi"/>
                <w:color w:val="000000"/>
                <w:sz w:val="20"/>
                <w:szCs w:val="20"/>
              </w:rPr>
              <w:t>$387.90</w:t>
            </w:r>
          </w:p>
        </w:tc>
        <w:tc>
          <w:tcPr>
            <w:tcW w:w="1165" w:type="pct"/>
            <w:vAlign w:val="center"/>
          </w:tcPr>
          <w:p w14:paraId="78CE8521" w14:textId="4A5F8F39" w:rsidR="00075A79" w:rsidRPr="003D04C4" w:rsidRDefault="00075A79" w:rsidP="00B721AA">
            <w:pPr>
              <w:jc w:val="center"/>
              <w:rPr>
                <w:rFonts w:ascii="Arial Narrow" w:hAnsi="Arial Narrow" w:cstheme="minorHAnsi"/>
                <w:sz w:val="20"/>
                <w:szCs w:val="20"/>
                <w:highlight w:val="lightGray"/>
              </w:rPr>
            </w:pPr>
            <w:r w:rsidRPr="003D04C4">
              <w:rPr>
                <w:rFonts w:ascii="Arial Narrow" w:hAnsi="Arial Narrow" w:cstheme="minorHAnsi"/>
                <w:sz w:val="20"/>
                <w:szCs w:val="20"/>
              </w:rPr>
              <w:t>MBS items 100% * 24</w:t>
            </w:r>
            <w:r w:rsidR="003A6BE4" w:rsidRPr="003D04C4">
              <w:rPr>
                <w:rFonts w:ascii="Arial Narrow" w:hAnsi="Arial Narrow" w:cstheme="minorHAnsi"/>
                <w:sz w:val="20"/>
                <w:szCs w:val="20"/>
                <w:vertAlign w:val="superscript"/>
              </w:rPr>
              <w:t>a</w:t>
            </w:r>
          </w:p>
        </w:tc>
        <w:tc>
          <w:tcPr>
            <w:tcW w:w="382" w:type="pct"/>
            <w:gridSpan w:val="2"/>
            <w:vAlign w:val="center"/>
          </w:tcPr>
          <w:p w14:paraId="1154E7F0" w14:textId="76106D76"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-$104.30</w:t>
            </w:r>
          </w:p>
        </w:tc>
      </w:tr>
      <w:tr w:rsidR="00060820" w:rsidRPr="003D04C4" w14:paraId="0ADAB13F" w14:textId="0152A328" w:rsidTr="00060820">
        <w:trPr>
          <w:gridAfter w:val="1"/>
          <w:wAfter w:w="4" w:type="pct"/>
          <w:jc w:val="center"/>
        </w:trPr>
        <w:tc>
          <w:tcPr>
            <w:tcW w:w="124" w:type="pct"/>
            <w:vAlign w:val="center"/>
          </w:tcPr>
          <w:p w14:paraId="517F18E5" w14:textId="759C9FD2"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L</w:t>
            </w:r>
          </w:p>
        </w:tc>
        <w:tc>
          <w:tcPr>
            <w:tcW w:w="624" w:type="pct"/>
          </w:tcPr>
          <w:p w14:paraId="264CF273" w14:textId="4BD55087" w:rsidR="00075A79" w:rsidRPr="003D04C4" w:rsidRDefault="00075A79" w:rsidP="00B721AA">
            <w:pPr>
              <w:jc w:val="left"/>
              <w:rPr>
                <w:rFonts w:ascii="Arial Narrow" w:hAnsi="Arial Narrow" w:cstheme="minorHAnsi"/>
                <w:sz w:val="20"/>
                <w:szCs w:val="20"/>
              </w:rPr>
            </w:pPr>
            <w:r w:rsidRPr="003D04C4">
              <w:rPr>
                <w:rFonts w:ascii="Arial Narrow" w:hAnsi="Arial Narrow" w:cstheme="minorHAnsi"/>
                <w:sz w:val="20"/>
                <w:szCs w:val="20"/>
              </w:rPr>
              <w:t>Total monitoring</w:t>
            </w:r>
          </w:p>
        </w:tc>
        <w:tc>
          <w:tcPr>
            <w:tcW w:w="800" w:type="pct"/>
            <w:gridSpan w:val="2"/>
            <w:vAlign w:val="center"/>
          </w:tcPr>
          <w:p w14:paraId="70FDFC8B" w14:textId="77777777"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color w:val="000000"/>
                <w:sz w:val="20"/>
                <w:szCs w:val="20"/>
              </w:rPr>
              <w:t>$741.25</w:t>
            </w:r>
          </w:p>
        </w:tc>
        <w:tc>
          <w:tcPr>
            <w:tcW w:w="949" w:type="pct"/>
            <w:vAlign w:val="center"/>
          </w:tcPr>
          <w:p w14:paraId="4CE3B083" w14:textId="74E956A2"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I + J + K</w:t>
            </w:r>
          </w:p>
        </w:tc>
        <w:tc>
          <w:tcPr>
            <w:tcW w:w="953" w:type="pct"/>
            <w:gridSpan w:val="2"/>
            <w:vAlign w:val="center"/>
          </w:tcPr>
          <w:p w14:paraId="6B0B926B" w14:textId="70C03997"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color w:val="000000"/>
                <w:sz w:val="20"/>
                <w:szCs w:val="20"/>
              </w:rPr>
              <w:t>$861.65</w:t>
            </w:r>
          </w:p>
        </w:tc>
        <w:tc>
          <w:tcPr>
            <w:tcW w:w="1165" w:type="pct"/>
            <w:vAlign w:val="center"/>
          </w:tcPr>
          <w:p w14:paraId="3694F07D" w14:textId="6FA8DAC4"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I + J + K</w:t>
            </w:r>
          </w:p>
        </w:tc>
        <w:tc>
          <w:tcPr>
            <w:tcW w:w="382" w:type="pct"/>
            <w:gridSpan w:val="2"/>
            <w:vAlign w:val="center"/>
          </w:tcPr>
          <w:p w14:paraId="5A49D526" w14:textId="6F442BBE"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color w:val="000000"/>
                <w:sz w:val="20"/>
                <w:szCs w:val="20"/>
              </w:rPr>
              <w:t>-$120.40</w:t>
            </w:r>
          </w:p>
        </w:tc>
      </w:tr>
      <w:tr w:rsidR="00060820" w:rsidRPr="003D04C4" w14:paraId="46893B51" w14:textId="5A8F0AED" w:rsidTr="00060820">
        <w:trPr>
          <w:jc w:val="center"/>
        </w:trPr>
        <w:tc>
          <w:tcPr>
            <w:tcW w:w="124" w:type="pct"/>
            <w:shd w:val="clear" w:color="auto" w:fill="F2F2F2" w:themeFill="background1" w:themeFillShade="F2"/>
            <w:vAlign w:val="center"/>
          </w:tcPr>
          <w:p w14:paraId="337F2DD0" w14:textId="77777777" w:rsidR="00060820" w:rsidRPr="003D04C4" w:rsidRDefault="00060820" w:rsidP="00B721AA">
            <w:pPr>
              <w:jc w:val="center"/>
              <w:rPr>
                <w:rFonts w:ascii="Arial Narrow" w:hAnsi="Arial Narrow" w:cstheme="minorHAnsi"/>
                <w:b/>
                <w:bCs/>
                <w:sz w:val="20"/>
                <w:szCs w:val="20"/>
              </w:rPr>
            </w:pPr>
          </w:p>
        </w:tc>
        <w:tc>
          <w:tcPr>
            <w:tcW w:w="4876" w:type="pct"/>
            <w:gridSpan w:val="10"/>
            <w:shd w:val="clear" w:color="auto" w:fill="F2F2F2" w:themeFill="background1" w:themeFillShade="F2"/>
            <w:vAlign w:val="center"/>
          </w:tcPr>
          <w:p w14:paraId="3CA31345" w14:textId="222CEF6D" w:rsidR="00060820" w:rsidRPr="003D04C4" w:rsidRDefault="00060820" w:rsidP="00B721AA">
            <w:pPr>
              <w:jc w:val="left"/>
              <w:rPr>
                <w:rFonts w:ascii="Arial Narrow" w:hAnsi="Arial Narrow" w:cstheme="minorHAnsi"/>
                <w:b/>
                <w:bCs/>
                <w:sz w:val="20"/>
                <w:szCs w:val="20"/>
              </w:rPr>
            </w:pPr>
            <w:r w:rsidRPr="003D04C4">
              <w:rPr>
                <w:rFonts w:ascii="Arial Narrow" w:hAnsi="Arial Narrow" w:cstheme="minorHAnsi"/>
                <w:b/>
                <w:bCs/>
                <w:sz w:val="20"/>
                <w:szCs w:val="20"/>
              </w:rPr>
              <w:t>Total cost of treatment over 2 years</w:t>
            </w:r>
          </w:p>
        </w:tc>
      </w:tr>
      <w:tr w:rsidR="00060820" w:rsidRPr="003D04C4" w14:paraId="4BEBEF70" w14:textId="14071F1F" w:rsidTr="00060820">
        <w:trPr>
          <w:gridAfter w:val="1"/>
          <w:wAfter w:w="4" w:type="pct"/>
          <w:jc w:val="center"/>
        </w:trPr>
        <w:tc>
          <w:tcPr>
            <w:tcW w:w="124" w:type="pct"/>
            <w:vAlign w:val="center"/>
          </w:tcPr>
          <w:p w14:paraId="69B1BE2A" w14:textId="14AC43D0"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M</w:t>
            </w:r>
          </w:p>
        </w:tc>
        <w:tc>
          <w:tcPr>
            <w:tcW w:w="624" w:type="pct"/>
          </w:tcPr>
          <w:p w14:paraId="19B56FB7" w14:textId="310D6393" w:rsidR="00075A79" w:rsidRPr="003D04C4" w:rsidRDefault="00075A79" w:rsidP="00B721AA">
            <w:pPr>
              <w:rPr>
                <w:rFonts w:ascii="Arial Narrow" w:hAnsi="Arial Narrow" w:cstheme="minorHAnsi"/>
                <w:sz w:val="20"/>
                <w:szCs w:val="20"/>
              </w:rPr>
            </w:pPr>
            <w:r w:rsidRPr="003D04C4">
              <w:rPr>
                <w:rFonts w:ascii="Arial Narrow" w:hAnsi="Arial Narrow" w:cstheme="minorHAnsi"/>
                <w:sz w:val="20"/>
                <w:szCs w:val="20"/>
              </w:rPr>
              <w:t>Total cost</w:t>
            </w:r>
          </w:p>
        </w:tc>
        <w:tc>
          <w:tcPr>
            <w:tcW w:w="800" w:type="pct"/>
            <w:gridSpan w:val="2"/>
            <w:vAlign w:val="center"/>
          </w:tcPr>
          <w:p w14:paraId="608B8F6D" w14:textId="54E12550" w:rsidR="00075A79" w:rsidRPr="003D04C4" w:rsidRDefault="00075A79" w:rsidP="00B721AA">
            <w:pPr>
              <w:jc w:val="center"/>
              <w:rPr>
                <w:rFonts w:ascii="Arial Narrow" w:hAnsi="Arial Narrow" w:cstheme="minorHAnsi"/>
                <w:sz w:val="20"/>
                <w:szCs w:val="20"/>
              </w:rPr>
            </w:pPr>
            <w:r w:rsidRPr="009A07EA">
              <w:rPr>
                <w:rFonts w:ascii="Arial Narrow" w:hAnsi="Arial Narrow" w:cstheme="minorHAnsi"/>
                <w:color w:val="000000"/>
                <w:sz w:val="20"/>
                <w:szCs w:val="20"/>
              </w:rPr>
              <w:t>$</w:t>
            </w:r>
            <w:r w:rsidR="00B96A78" w:rsidRPr="00B96A78">
              <w:rPr>
                <w:rFonts w:ascii="Arial Narrow" w:hAnsi="Arial Narrow" w:cstheme="minorHAnsi"/>
                <w:color w:val="000000"/>
                <w:sz w:val="20"/>
                <w:szCs w:val="20"/>
                <w:shd w:val="solid" w:color="000000" w:fill="000000"/>
                <w14:textFill>
                  <w14:solidFill>
                    <w14:srgbClr w14:val="000000">
                      <w14:alpha w14:val="100000"/>
                    </w14:srgbClr>
                  </w14:solidFill>
                </w14:textFill>
              </w:rPr>
              <w:t>|</w:t>
            </w:r>
          </w:p>
        </w:tc>
        <w:tc>
          <w:tcPr>
            <w:tcW w:w="949" w:type="pct"/>
            <w:vAlign w:val="center"/>
          </w:tcPr>
          <w:p w14:paraId="430FA92C" w14:textId="1B665015" w:rsidR="00075A79" w:rsidRPr="003D04C4" w:rsidRDefault="00075A79" w:rsidP="00B721AA">
            <w:pPr>
              <w:jc w:val="center"/>
              <w:rPr>
                <w:rFonts w:ascii="Arial Narrow" w:hAnsi="Arial Narrow" w:cstheme="minorHAnsi"/>
                <w:color w:val="000000"/>
                <w:sz w:val="20"/>
                <w:szCs w:val="20"/>
              </w:rPr>
            </w:pPr>
            <w:r w:rsidRPr="003D04C4">
              <w:rPr>
                <w:rFonts w:ascii="Arial Narrow" w:hAnsi="Arial Narrow" w:cstheme="minorHAnsi"/>
                <w:sz w:val="20"/>
                <w:szCs w:val="20"/>
              </w:rPr>
              <w:t>Asciminib = nilotinib</w:t>
            </w:r>
          </w:p>
        </w:tc>
        <w:tc>
          <w:tcPr>
            <w:tcW w:w="953" w:type="pct"/>
            <w:gridSpan w:val="2"/>
            <w:vAlign w:val="center"/>
          </w:tcPr>
          <w:p w14:paraId="508B28EA" w14:textId="51E12C6B"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color w:val="000000"/>
                <w:sz w:val="20"/>
                <w:szCs w:val="20"/>
              </w:rPr>
              <w:t>$117,509.91</w:t>
            </w:r>
          </w:p>
        </w:tc>
        <w:tc>
          <w:tcPr>
            <w:tcW w:w="1165" w:type="pct"/>
            <w:vAlign w:val="center"/>
          </w:tcPr>
          <w:p w14:paraId="5580DEB0" w14:textId="3BD2587C" w:rsidR="00075A79" w:rsidRPr="003D04C4" w:rsidRDefault="00075A79" w:rsidP="00B721AA">
            <w:pPr>
              <w:jc w:val="center"/>
              <w:rPr>
                <w:rFonts w:ascii="Arial Narrow" w:hAnsi="Arial Narrow" w:cstheme="minorHAnsi"/>
                <w:sz w:val="20"/>
                <w:szCs w:val="20"/>
              </w:rPr>
            </w:pPr>
            <w:r w:rsidRPr="003D04C4">
              <w:rPr>
                <w:rFonts w:ascii="Arial Narrow" w:hAnsi="Arial Narrow" w:cstheme="minorHAnsi"/>
                <w:sz w:val="20"/>
                <w:szCs w:val="20"/>
              </w:rPr>
              <w:t>H + L</w:t>
            </w:r>
          </w:p>
        </w:tc>
        <w:tc>
          <w:tcPr>
            <w:tcW w:w="382" w:type="pct"/>
            <w:gridSpan w:val="2"/>
            <w:vAlign w:val="center"/>
          </w:tcPr>
          <w:p w14:paraId="7041AFD1" w14:textId="2849B8B0" w:rsidR="00075A79" w:rsidRPr="003D04C4" w:rsidRDefault="00075A79" w:rsidP="00B721AA">
            <w:pPr>
              <w:jc w:val="center"/>
              <w:rPr>
                <w:rFonts w:ascii="Arial Narrow" w:hAnsi="Arial Narrow" w:cstheme="minorHAnsi"/>
                <w:color w:val="000000"/>
                <w:sz w:val="20"/>
                <w:szCs w:val="20"/>
              </w:rPr>
            </w:pPr>
            <w:r w:rsidRPr="009A07EA">
              <w:rPr>
                <w:rFonts w:ascii="Arial Narrow" w:hAnsi="Arial Narrow" w:cstheme="minorHAnsi"/>
                <w:color w:val="000000"/>
                <w:sz w:val="20"/>
                <w:szCs w:val="20"/>
              </w:rPr>
              <w:t>$</w:t>
            </w:r>
            <w:r w:rsidR="00B96A78" w:rsidRPr="00B96A78">
              <w:rPr>
                <w:rFonts w:ascii="Arial Narrow" w:hAnsi="Arial Narrow" w:cstheme="minorHAnsi"/>
                <w:color w:val="000000"/>
                <w:spacing w:val="84"/>
                <w:sz w:val="20"/>
                <w:szCs w:val="20"/>
                <w:shd w:val="solid" w:color="000000" w:fill="000000"/>
                <w:fitText w:val="170" w:id="-1301052148"/>
                <w14:textFill>
                  <w14:solidFill>
                    <w14:srgbClr w14:val="000000">
                      <w14:alpha w14:val="100000"/>
                    </w14:srgbClr>
                  </w14:solidFill>
                </w14:textFill>
              </w:rPr>
              <w:t>|</w:t>
            </w:r>
            <w:r w:rsidR="00B96A78" w:rsidRPr="00B96A78">
              <w:rPr>
                <w:rFonts w:ascii="Arial Narrow" w:hAnsi="Arial Narrow" w:cstheme="minorHAnsi"/>
                <w:color w:val="000000"/>
                <w:spacing w:val="1"/>
                <w:sz w:val="20"/>
                <w:szCs w:val="20"/>
                <w:shd w:val="solid" w:color="000000" w:fill="000000"/>
                <w:fitText w:val="170" w:id="-1301052148"/>
                <w14:textFill>
                  <w14:solidFill>
                    <w14:srgbClr w14:val="000000">
                      <w14:alpha w14:val="100000"/>
                    </w14:srgbClr>
                  </w14:solidFill>
                </w14:textFill>
              </w:rPr>
              <w:t>|</w:t>
            </w:r>
          </w:p>
        </w:tc>
      </w:tr>
    </w:tbl>
    <w:p w14:paraId="354D6BF0" w14:textId="19364FDF" w:rsidR="003B182D" w:rsidRDefault="00D91E19" w:rsidP="003B182D">
      <w:pPr>
        <w:rPr>
          <w:rFonts w:ascii="Arial Narrow" w:hAnsi="Arial Narrow"/>
          <w:sz w:val="18"/>
          <w:szCs w:val="18"/>
        </w:rPr>
      </w:pPr>
      <w:r w:rsidRPr="00D91E19">
        <w:rPr>
          <w:rFonts w:ascii="Arial Narrow" w:hAnsi="Arial Narrow"/>
          <w:sz w:val="18"/>
          <w:szCs w:val="18"/>
        </w:rPr>
        <w:t xml:space="preserve">Source: Resubmission Table 3-1; </w:t>
      </w:r>
      <w:r w:rsidR="003B182D" w:rsidRPr="00D91E19">
        <w:rPr>
          <w:rFonts w:ascii="Arial Narrow" w:hAnsi="Arial Narrow"/>
          <w:sz w:val="18"/>
          <w:szCs w:val="18"/>
        </w:rPr>
        <w:t>Asciminib vs Nilotinib – CMA – Aug 22.xls</w:t>
      </w:r>
    </w:p>
    <w:p w14:paraId="429B590C" w14:textId="419E810A" w:rsidR="003A6BE4" w:rsidRDefault="00C808DF" w:rsidP="003A6BE4">
      <w:pPr>
        <w:rPr>
          <w:rFonts w:ascii="Arial Narrow" w:hAnsi="Arial Narrow"/>
          <w:sz w:val="18"/>
          <w:szCs w:val="18"/>
        </w:rPr>
      </w:pPr>
      <w:r>
        <w:rPr>
          <w:rFonts w:ascii="Arial Narrow" w:hAnsi="Arial Narrow"/>
          <w:sz w:val="18"/>
          <w:szCs w:val="18"/>
        </w:rPr>
        <w:t>AEMP = approved ex-manufacturer price; MBS = Medicare Benefits Schedule.</w:t>
      </w:r>
    </w:p>
    <w:p w14:paraId="78C93711" w14:textId="03224350" w:rsidR="003A6BE4" w:rsidRDefault="003A6BE4" w:rsidP="002936A6">
      <w:pPr>
        <w:spacing w:after="120"/>
        <w:rPr>
          <w:rFonts w:ascii="Arial Narrow" w:hAnsi="Arial Narrow"/>
          <w:sz w:val="18"/>
          <w:szCs w:val="18"/>
        </w:rPr>
      </w:pPr>
      <w:r w:rsidRPr="003A6BE4">
        <w:rPr>
          <w:rFonts w:ascii="Arial Narrow" w:hAnsi="Arial Narrow"/>
          <w:sz w:val="18"/>
          <w:szCs w:val="18"/>
          <w:vertAlign w:val="superscript"/>
        </w:rPr>
        <w:t>a</w:t>
      </w:r>
      <w:r>
        <w:rPr>
          <w:rFonts w:ascii="Arial Narrow" w:hAnsi="Arial Narrow"/>
          <w:sz w:val="18"/>
          <w:szCs w:val="18"/>
        </w:rPr>
        <w:t xml:space="preserve"> Despite asciminib and nilotinib having the same number of blood tests over 2 years (24), the costs may vary because </w:t>
      </w:r>
      <w:r w:rsidRPr="003A6BE4">
        <w:rPr>
          <w:rFonts w:ascii="Arial Narrow" w:hAnsi="Arial Narrow"/>
          <w:sz w:val="18"/>
          <w:szCs w:val="18"/>
        </w:rPr>
        <w:t xml:space="preserve">the blood test differs depending on how many individual measurements of the following: lipids, glucose, </w:t>
      </w:r>
      <w:r>
        <w:rPr>
          <w:rFonts w:ascii="Arial Narrow" w:hAnsi="Arial Narrow"/>
          <w:sz w:val="18"/>
          <w:szCs w:val="18"/>
        </w:rPr>
        <w:t>u</w:t>
      </w:r>
      <w:r w:rsidRPr="003A6BE4">
        <w:rPr>
          <w:rFonts w:ascii="Arial Narrow" w:hAnsi="Arial Narrow"/>
          <w:sz w:val="18"/>
          <w:szCs w:val="18"/>
        </w:rPr>
        <w:t xml:space="preserve">ric acid, ALT, AST, </w:t>
      </w:r>
      <w:r w:rsidR="00395D22" w:rsidRPr="003A6BE4">
        <w:rPr>
          <w:rFonts w:ascii="Arial Narrow" w:hAnsi="Arial Narrow"/>
          <w:sz w:val="18"/>
          <w:szCs w:val="18"/>
        </w:rPr>
        <w:t>bilirubin</w:t>
      </w:r>
      <w:r w:rsidRPr="003A6BE4">
        <w:rPr>
          <w:rFonts w:ascii="Arial Narrow" w:hAnsi="Arial Narrow"/>
          <w:sz w:val="18"/>
          <w:szCs w:val="18"/>
        </w:rPr>
        <w:t>, lipase, amylase</w:t>
      </w:r>
      <w:r>
        <w:rPr>
          <w:rFonts w:ascii="Arial Narrow" w:hAnsi="Arial Narrow"/>
          <w:sz w:val="18"/>
          <w:szCs w:val="18"/>
        </w:rPr>
        <w:t xml:space="preserve">. </w:t>
      </w:r>
      <w:r w:rsidRPr="003A6BE4">
        <w:rPr>
          <w:rFonts w:ascii="Arial Narrow" w:hAnsi="Arial Narrow"/>
          <w:sz w:val="18"/>
          <w:szCs w:val="18"/>
        </w:rPr>
        <w:t>With nil</w:t>
      </w:r>
      <w:r>
        <w:rPr>
          <w:rFonts w:ascii="Arial Narrow" w:hAnsi="Arial Narrow"/>
          <w:sz w:val="18"/>
          <w:szCs w:val="18"/>
        </w:rPr>
        <w:t>otinib</w:t>
      </w:r>
      <w:r w:rsidRPr="003A6BE4">
        <w:rPr>
          <w:rFonts w:ascii="Arial Narrow" w:hAnsi="Arial Narrow"/>
          <w:sz w:val="18"/>
          <w:szCs w:val="18"/>
        </w:rPr>
        <w:t xml:space="preserve"> there</w:t>
      </w:r>
      <w:r>
        <w:rPr>
          <w:rFonts w:ascii="Arial Narrow" w:hAnsi="Arial Narrow"/>
          <w:sz w:val="18"/>
          <w:szCs w:val="18"/>
        </w:rPr>
        <w:t xml:space="preserve"> are</w:t>
      </w:r>
      <w:r w:rsidRPr="003A6BE4">
        <w:rPr>
          <w:rFonts w:ascii="Arial Narrow" w:hAnsi="Arial Narrow"/>
          <w:sz w:val="18"/>
          <w:szCs w:val="18"/>
        </w:rPr>
        <w:t xml:space="preserve"> more tests, in particular for serum lipase and hepatic function.</w:t>
      </w:r>
      <w:r>
        <w:rPr>
          <w:rFonts w:ascii="Arial Narrow" w:hAnsi="Arial Narrow"/>
          <w:sz w:val="18"/>
          <w:szCs w:val="18"/>
        </w:rPr>
        <w:t xml:space="preserve"> </w:t>
      </w:r>
    </w:p>
    <w:p w14:paraId="7650B72D" w14:textId="77777777" w:rsidR="000A13F9" w:rsidRPr="009A6D58" w:rsidRDefault="000A13F9" w:rsidP="000A13F9">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2D43E11" w14:textId="0CC08EDD" w:rsidR="009B2138" w:rsidRPr="00716D0B" w:rsidRDefault="000A13F9" w:rsidP="00716D0B">
      <w:pPr>
        <w:rPr>
          <w:rFonts w:ascii="Arial Narrow" w:hAnsi="Arial Narrow" w:cs="Arial"/>
          <w:i/>
          <w:sz w:val="18"/>
          <w:szCs w:val="18"/>
        </w:rPr>
        <w:sectPr w:rsidR="009B2138" w:rsidRPr="00716D0B" w:rsidSect="007F485B">
          <w:headerReference w:type="default" r:id="rId14"/>
          <w:footerReference w:type="default" r:id="rId15"/>
          <w:pgSz w:w="16838" w:h="11906" w:orient="landscape"/>
          <w:pgMar w:top="1440" w:right="1440" w:bottom="1440" w:left="1440" w:header="1440" w:footer="1440" w:gutter="0"/>
          <w:cols w:space="708"/>
          <w:docGrid w:linePitch="360"/>
        </w:sect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0A13F9">
        <w:rPr>
          <w:rFonts w:ascii="Arial Narrow" w:hAnsi="Arial Narrow"/>
          <w:sz w:val="18"/>
          <w:szCs w:val="18"/>
        </w:rPr>
        <w:t>&lt; 500</w:t>
      </w:r>
    </w:p>
    <w:p w14:paraId="59120954" w14:textId="23FCC312" w:rsidR="007F485B" w:rsidRPr="00D91E19" w:rsidRDefault="007F485B" w:rsidP="002936A6">
      <w:pPr>
        <w:spacing w:after="120"/>
        <w:rPr>
          <w:rFonts w:ascii="Arial Narrow" w:hAnsi="Arial Narrow"/>
          <w:sz w:val="18"/>
          <w:szCs w:val="18"/>
        </w:rPr>
      </w:pPr>
    </w:p>
    <w:p w14:paraId="3F51EE17" w14:textId="2F21274B" w:rsidR="007364E9" w:rsidRPr="0097628E" w:rsidRDefault="003E5AAD" w:rsidP="00C47991">
      <w:pPr>
        <w:pStyle w:val="3-BodyText"/>
      </w:pPr>
      <w:bookmarkStart w:id="43" w:name="_Hlk114648405"/>
      <w:r w:rsidRPr="005835DF">
        <w:t xml:space="preserve">The equi-effective doses for asciminib and nilotinib are reflected in the split between the strengths in the CMA (Step E in </w:t>
      </w:r>
      <w:r w:rsidRPr="005835DF">
        <w:rPr>
          <w:rFonts w:cstheme="minorHAnsi"/>
        </w:rPr>
        <w:fldChar w:fldCharType="begin" w:fldLock="1"/>
      </w:r>
      <w:r w:rsidRPr="005835DF">
        <w:rPr>
          <w:rFonts w:cstheme="minorHAnsi"/>
        </w:rPr>
        <w:instrText xml:space="preserve"> REF _Ref114567289 \h  \* MERGEFORMAT </w:instrText>
      </w:r>
      <w:r w:rsidRPr="005835DF">
        <w:rPr>
          <w:rFonts w:cstheme="minorHAnsi"/>
        </w:rPr>
      </w:r>
      <w:r w:rsidRPr="005835DF">
        <w:rPr>
          <w:rFonts w:cstheme="minorHAnsi"/>
        </w:rPr>
        <w:fldChar w:fldCharType="separate"/>
      </w:r>
      <w:r w:rsidR="00196FF1" w:rsidRPr="005835DF">
        <w:rPr>
          <w:rFonts w:cstheme="minorHAnsi"/>
        </w:rPr>
        <w:t xml:space="preserve">Table </w:t>
      </w:r>
      <w:r w:rsidR="00196FF1" w:rsidRPr="005835DF">
        <w:rPr>
          <w:rFonts w:cstheme="minorHAnsi"/>
          <w:noProof/>
        </w:rPr>
        <w:t>16</w:t>
      </w:r>
      <w:r w:rsidRPr="005835DF">
        <w:rPr>
          <w:rFonts w:cstheme="minorHAnsi"/>
        </w:rPr>
        <w:fldChar w:fldCharType="end"/>
      </w:r>
      <w:r w:rsidRPr="005835DF">
        <w:rPr>
          <w:rFonts w:cstheme="minorHAnsi"/>
        </w:rPr>
        <w:t xml:space="preserve">). </w:t>
      </w:r>
      <w:r w:rsidR="00F14EDD" w:rsidRPr="005835DF">
        <w:t>The resubmission</w:t>
      </w:r>
      <w:r w:rsidR="007364E9" w:rsidRPr="005835DF">
        <w:t xml:space="preserve"> </w:t>
      </w:r>
      <w:r w:rsidR="00F66BB5" w:rsidRPr="005835DF">
        <w:t>calculated the</w:t>
      </w:r>
      <w:r w:rsidR="00C47991" w:rsidRPr="005835DF">
        <w:t xml:space="preserve"> proposed</w:t>
      </w:r>
      <w:r w:rsidR="001618C3" w:rsidRPr="005835DF">
        <w:t xml:space="preserve"> effective</w:t>
      </w:r>
      <w:r w:rsidR="00F66BB5" w:rsidRPr="005835DF">
        <w:t xml:space="preserve"> EMP for the asciminib 40 mg strength</w:t>
      </w:r>
      <w:r w:rsidR="00C47991" w:rsidRPr="005835DF">
        <w:t xml:space="preserve"> ($</w:t>
      </w:r>
      <w:r w:rsidR="00B96A78" w:rsidRPr="007F018F">
        <w:rPr>
          <w:color w:val="000000"/>
          <w:w w:val="15"/>
          <w:shd w:val="solid" w:color="000000" w:fill="000000"/>
          <w:fitText w:val="-20" w:id="-1301052147"/>
          <w14:textFill>
            <w14:solidFill>
              <w14:srgbClr w14:val="000000">
                <w14:alpha w14:val="100000"/>
              </w14:srgbClr>
            </w14:solidFill>
          </w14:textFill>
        </w:rPr>
        <w:t xml:space="preserve">|            </w:t>
      </w:r>
      <w:r w:rsidR="00B96A78" w:rsidRPr="007F018F">
        <w:rPr>
          <w:color w:val="000000"/>
          <w:spacing w:val="-150"/>
          <w:w w:val="15"/>
          <w:shd w:val="solid" w:color="000000" w:fill="000000"/>
          <w:fitText w:val="-20" w:id="-1301052147"/>
          <w14:textFill>
            <w14:solidFill>
              <w14:srgbClr w14:val="000000">
                <w14:alpha w14:val="100000"/>
              </w14:srgbClr>
            </w14:solidFill>
          </w14:textFill>
        </w:rPr>
        <w:t>|</w:t>
      </w:r>
      <w:r w:rsidR="00C47991" w:rsidRPr="005835DF">
        <w:t>)</w:t>
      </w:r>
      <w:r w:rsidR="00F66BB5" w:rsidRPr="005835DF">
        <w:t xml:space="preserve"> </w:t>
      </w:r>
      <w:r w:rsidR="00C47991" w:rsidRPr="005835DF">
        <w:t xml:space="preserve">using a weighting of </w:t>
      </w:r>
      <w:r w:rsidR="00B96A78" w:rsidRPr="007F018F">
        <w:rPr>
          <w:color w:val="000000"/>
          <w:w w:val="15"/>
          <w:shd w:val="solid" w:color="000000" w:fill="000000"/>
          <w:fitText w:val="-20" w:id="-1301052146"/>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2146"/>
          <w14:textFill>
            <w14:solidFill>
              <w14:srgbClr w14:val="000000">
                <w14:alpha w14:val="100000"/>
              </w14:srgbClr>
            </w14:solidFill>
          </w14:textFill>
        </w:rPr>
        <w:t>|</w:t>
      </w:r>
      <w:r w:rsidR="00C47991" w:rsidRPr="005835DF">
        <w:t xml:space="preserve">% </w:t>
      </w:r>
      <w:r w:rsidR="00137968" w:rsidRPr="005835DF">
        <w:t>for the</w:t>
      </w:r>
      <w:r w:rsidR="00C47991" w:rsidRPr="005835DF">
        <w:t xml:space="preserve"> 80 mg/day</w:t>
      </w:r>
      <w:r w:rsidR="00137968" w:rsidRPr="005835DF">
        <w:t xml:space="preserve"> dose</w:t>
      </w:r>
      <w:r w:rsidR="00C47991" w:rsidRPr="005835DF">
        <w:t xml:space="preserve"> to satisfy the equi-effective dose of 79.8 mg/day. </w:t>
      </w:r>
      <w:r w:rsidRPr="005835DF">
        <w:t>However, t</w:t>
      </w:r>
      <w:r w:rsidR="00C47991" w:rsidRPr="005835DF">
        <w:t>he Sponsor proposed the same EMP</w:t>
      </w:r>
      <w:r w:rsidR="009C28F2" w:rsidRPr="005835DF">
        <w:t xml:space="preserve"> ($</w:t>
      </w:r>
      <w:r w:rsidR="00B96A78" w:rsidRPr="007F018F">
        <w:rPr>
          <w:color w:val="000000"/>
          <w:w w:val="15"/>
          <w:shd w:val="solid" w:color="000000" w:fill="000000"/>
          <w:fitText w:val="-20" w:id="-1301052145"/>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2145"/>
          <w14:textFill>
            <w14:solidFill>
              <w14:srgbClr w14:val="000000">
                <w14:alpha w14:val="100000"/>
              </w14:srgbClr>
            </w14:solidFill>
          </w14:textFill>
        </w:rPr>
        <w:t>|</w:t>
      </w:r>
      <w:r w:rsidR="009C28F2" w:rsidRPr="005835DF">
        <w:t>)</w:t>
      </w:r>
      <w:r w:rsidR="00C47991" w:rsidRPr="005835DF">
        <w:t xml:space="preserve"> for</w:t>
      </w:r>
      <w:r w:rsidRPr="005835DF">
        <w:t xml:space="preserve"> both</w:t>
      </w:r>
      <w:r w:rsidR="00C47991" w:rsidRPr="005835DF">
        <w:t xml:space="preserve"> the</w:t>
      </w:r>
      <w:r w:rsidRPr="005835DF">
        <w:t xml:space="preserve"> asciminib</w:t>
      </w:r>
      <w:r w:rsidR="00C47991" w:rsidRPr="005835DF">
        <w:t xml:space="preserve"> 20</w:t>
      </w:r>
      <w:r w:rsidR="001618C3" w:rsidRPr="005835DF">
        <w:t> </w:t>
      </w:r>
      <w:r w:rsidR="00C47991" w:rsidRPr="005835DF">
        <w:t>mg</w:t>
      </w:r>
      <w:r w:rsidRPr="005835DF">
        <w:t xml:space="preserve"> and 40 mg</w:t>
      </w:r>
      <w:r w:rsidR="00C47991" w:rsidRPr="005835DF">
        <w:t xml:space="preserve"> </w:t>
      </w:r>
      <w:r w:rsidR="00C47991" w:rsidRPr="0097628E">
        <w:t>strength</w:t>
      </w:r>
      <w:r w:rsidRPr="0097628E">
        <w:t>s</w:t>
      </w:r>
      <w:r w:rsidR="00C47991" w:rsidRPr="0097628E">
        <w:t>.</w:t>
      </w:r>
      <w:r w:rsidR="00141712" w:rsidRPr="0097628E">
        <w:t xml:space="preserve"> The </w:t>
      </w:r>
      <w:r w:rsidR="00200751" w:rsidRPr="0097628E">
        <w:t xml:space="preserve">potential </w:t>
      </w:r>
      <w:r w:rsidR="00141712" w:rsidRPr="0097628E">
        <w:t>usage split between the asciminib 40 mg and 20 mg strengths</w:t>
      </w:r>
      <w:r w:rsidR="00200751" w:rsidRPr="0097628E">
        <w:t xml:space="preserve"> (and the associated dose of 80 mg/day or 40 mg/day, respectively</w:t>
      </w:r>
      <w:r w:rsidR="00D72D6B" w:rsidRPr="0097628E">
        <w:t>, for non-T315I mutation patients</w:t>
      </w:r>
      <w:r w:rsidR="00200751" w:rsidRPr="0097628E">
        <w:t>)</w:t>
      </w:r>
      <w:r w:rsidR="00141712" w:rsidRPr="0097628E">
        <w:t xml:space="preserve"> in Australian practice is unknown.</w:t>
      </w:r>
      <w:r w:rsidR="00B10B95" w:rsidRPr="0097628E">
        <w:t xml:space="preserve"> </w:t>
      </w:r>
      <w:r w:rsidR="004F136A" w:rsidRPr="0097628E">
        <w:t>In contrast to the resubmission’s pricing proposal, n</w:t>
      </w:r>
      <w:r w:rsidR="001C2929" w:rsidRPr="0097628E">
        <w:t xml:space="preserve">ilotinib, dasatinib and </w:t>
      </w:r>
      <w:r w:rsidR="00395D22" w:rsidRPr="0097628E">
        <w:t>ponatinib</w:t>
      </w:r>
      <w:r w:rsidR="001C2929" w:rsidRPr="0097628E">
        <w:t xml:space="preserve"> all have strength-based pricing on the PBS.</w:t>
      </w:r>
      <w:bookmarkEnd w:id="43"/>
      <w:r w:rsidR="003C2745" w:rsidRPr="0097628E">
        <w:t xml:space="preserve"> The PBAC noted the 20 mg strength should be priced such that it does not lead to an increase in cost versus the cost for nilotinib.</w:t>
      </w:r>
    </w:p>
    <w:p w14:paraId="0EEE8CDE" w14:textId="0724BBF3" w:rsidR="003B182D" w:rsidRPr="00B3458A" w:rsidRDefault="003B182D" w:rsidP="00B3458A">
      <w:pPr>
        <w:keepNext/>
        <w:spacing w:after="120"/>
        <w:rPr>
          <w:b/>
          <w:bCs/>
        </w:rPr>
      </w:pPr>
      <w:r w:rsidRPr="00B3458A">
        <w:rPr>
          <w:b/>
          <w:bCs/>
          <w:i/>
          <w:iCs/>
        </w:rPr>
        <w:t>Asciminib versus dasatinib (non-T315</w:t>
      </w:r>
      <w:r w:rsidR="006B08AF" w:rsidRPr="00B3458A">
        <w:rPr>
          <w:b/>
          <w:bCs/>
          <w:i/>
          <w:iCs/>
        </w:rPr>
        <w:t>I</w:t>
      </w:r>
      <w:r w:rsidRPr="00B3458A">
        <w:rPr>
          <w:b/>
          <w:bCs/>
          <w:i/>
          <w:iCs/>
        </w:rPr>
        <w:t xml:space="preserve"> mutation)</w:t>
      </w:r>
    </w:p>
    <w:p w14:paraId="2A6135F2" w14:textId="2BDB119B" w:rsidR="00E8698F" w:rsidRPr="005835DF" w:rsidRDefault="00B920A1" w:rsidP="003B182D">
      <w:pPr>
        <w:pStyle w:val="3-BodyText"/>
      </w:pPr>
      <w:r>
        <w:t>The resubmission stated that i</w:t>
      </w:r>
      <w:r w:rsidR="003B182D" w:rsidRPr="00C87EF0">
        <w:t xml:space="preserve">n accordance with the PBAC’s advice, the equi-effective doses that </w:t>
      </w:r>
      <w:r w:rsidR="00B3458A" w:rsidRPr="00C87EF0">
        <w:t>were</w:t>
      </w:r>
      <w:r w:rsidR="003B182D" w:rsidRPr="00C87EF0">
        <w:t xml:space="preserve"> used to inform the CMA </w:t>
      </w:r>
      <w:r w:rsidR="00B3458A" w:rsidRPr="00C87EF0">
        <w:t>were</w:t>
      </w:r>
      <w:r w:rsidR="003B182D" w:rsidRPr="00C87EF0">
        <w:t xml:space="preserve"> based on the median dose of asciminib in</w:t>
      </w:r>
      <w:r w:rsidR="0052011E">
        <w:t xml:space="preserve"> the</w:t>
      </w:r>
      <w:r w:rsidR="003B182D" w:rsidRPr="00C87EF0">
        <w:t xml:space="preserve"> ASCEMBL</w:t>
      </w:r>
      <w:r w:rsidR="0052011E">
        <w:t xml:space="preserve"> trial</w:t>
      </w:r>
      <w:r w:rsidR="003B182D" w:rsidRPr="00C87EF0">
        <w:t xml:space="preserve"> (79.</w:t>
      </w:r>
      <w:r w:rsidR="008A5E06">
        <w:t>8</w:t>
      </w:r>
      <w:r w:rsidR="00B3458A" w:rsidRPr="00C87EF0">
        <w:t> </w:t>
      </w:r>
      <w:r w:rsidR="003B182D" w:rsidRPr="00C87EF0">
        <w:t>mg/day)</w:t>
      </w:r>
      <w:r w:rsidR="00E8698F">
        <w:t xml:space="preserve"> and</w:t>
      </w:r>
      <w:r w:rsidR="003B182D" w:rsidRPr="00C87EF0">
        <w:t xml:space="preserve"> the median dose of dasatinib (111 mg/day) that had previously been used to establish the equi-effective doses of dasatinib and nilotinib (para</w:t>
      </w:r>
      <w:r w:rsidR="00CC4203" w:rsidRPr="00C87EF0">
        <w:t>graph</w:t>
      </w:r>
      <w:r w:rsidR="003B182D" w:rsidRPr="00C87EF0">
        <w:t xml:space="preserve"> 7.12</w:t>
      </w:r>
      <w:r w:rsidR="00CC4203" w:rsidRPr="00C87EF0">
        <w:t xml:space="preserve">, asciminib </w:t>
      </w:r>
      <w:r w:rsidR="00D17411">
        <w:t>PSD</w:t>
      </w:r>
      <w:r w:rsidR="00CC4203" w:rsidRPr="00C87EF0">
        <w:t>, July 2022</w:t>
      </w:r>
      <w:r w:rsidR="003B182D" w:rsidRPr="00C87EF0">
        <w:t xml:space="preserve">). </w:t>
      </w:r>
      <w:r w:rsidR="00E8698F" w:rsidRPr="005835DF">
        <w:t>The resubmission may not have correctly interpreted the PBAC’s advice; the equi-effective doses for nilotinib and dasatinib are nilotinib 792.1 mg/day and dasatinib 111 mg/day (</w:t>
      </w:r>
      <w:r w:rsidR="00CB162C" w:rsidRPr="005835DF">
        <w:t>Section 12, nilotinib PSD, March 2008 meeting</w:t>
      </w:r>
      <w:r w:rsidR="00E8698F" w:rsidRPr="005835DF">
        <w:t xml:space="preserve">), translating into equi-effective doses of asciminib (79.8 mg/day) </w:t>
      </w:r>
      <w:r w:rsidR="00E8698F" w:rsidRPr="005835DF">
        <w:rPr>
          <w:rFonts w:cstheme="minorHAnsi"/>
        </w:rPr>
        <w:t>≡</w:t>
      </w:r>
      <w:r w:rsidR="00E8698F" w:rsidRPr="005835DF">
        <w:t xml:space="preserve"> nilotinib (782.5 mg/day) </w:t>
      </w:r>
      <w:r w:rsidR="00E8698F" w:rsidRPr="005835DF">
        <w:rPr>
          <w:rFonts w:cstheme="minorHAnsi"/>
        </w:rPr>
        <w:t>≡ dasatinib (109.7 mg/day).</w:t>
      </w:r>
      <w:r w:rsidR="00E8698F" w:rsidRPr="005835DF">
        <w:t xml:space="preserve"> </w:t>
      </w:r>
      <w:r w:rsidR="00F03AB0">
        <w:t xml:space="preserve">The </w:t>
      </w:r>
      <w:r w:rsidR="00EA787D">
        <w:t>P</w:t>
      </w:r>
      <w:r w:rsidR="00F03AB0">
        <w:t xml:space="preserve">re-PBAC </w:t>
      </w:r>
      <w:r w:rsidR="00EA787D">
        <w:t>R</w:t>
      </w:r>
      <w:r w:rsidR="00F03AB0">
        <w:t>esponse accepted this approach.</w:t>
      </w:r>
      <w:r w:rsidR="00E8698F" w:rsidRPr="005835DF">
        <w:t xml:space="preserve">  </w:t>
      </w:r>
    </w:p>
    <w:p w14:paraId="1AD1C38E" w14:textId="64791512" w:rsidR="003B182D" w:rsidRPr="00C87EF0" w:rsidRDefault="003B182D" w:rsidP="003B182D">
      <w:pPr>
        <w:pStyle w:val="3-BodyText"/>
      </w:pPr>
      <w:r w:rsidRPr="00C87EF0">
        <w:t>Consistent with the approach to the CMA of asciminib versus nilotinib, the median dose of asciminib</w:t>
      </w:r>
      <w:r w:rsidR="00776EEF">
        <w:t xml:space="preserve"> (79.8 mg/day)</w:t>
      </w:r>
      <w:r w:rsidRPr="00C87EF0">
        <w:t xml:space="preserve"> was obtained by assuming that </w:t>
      </w:r>
      <w:r w:rsidR="00B96A78" w:rsidRPr="007F018F">
        <w:rPr>
          <w:color w:val="000000"/>
          <w:w w:val="15"/>
          <w:shd w:val="solid" w:color="000000" w:fill="000000"/>
          <w:fitText w:val="-20" w:id="-1301052144"/>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2144"/>
          <w14:textFill>
            <w14:solidFill>
              <w14:srgbClr w14:val="000000">
                <w14:alpha w14:val="100000"/>
              </w14:srgbClr>
            </w14:solidFill>
          </w14:textFill>
        </w:rPr>
        <w:t>|</w:t>
      </w:r>
      <w:r w:rsidRPr="00C87EF0">
        <w:t>% of patients would be treated with asciminib 80 mg/day and the remainder with 40 mg/day. For dasatinib</w:t>
      </w:r>
      <w:r w:rsidR="00776EEF">
        <w:t xml:space="preserve"> (median dose 111 mg/day),</w:t>
      </w:r>
      <w:r w:rsidRPr="00C87EF0">
        <w:t xml:space="preserve"> it was assumed that 27.5% of patients would be treated with 140 mg/day and 72.5% with 100 mg/day.</w:t>
      </w:r>
      <w:r w:rsidR="00FB644E">
        <w:t xml:space="preserve"> The PBAC noted that an adjustment in the CMA for a median dasatinib dose of 109.7 mg/day would be required.</w:t>
      </w:r>
    </w:p>
    <w:p w14:paraId="6BF06EDC" w14:textId="4B8AEED8" w:rsidR="003B182D" w:rsidRPr="00D62128" w:rsidRDefault="003B182D" w:rsidP="003B182D">
      <w:pPr>
        <w:pStyle w:val="3-BodyText"/>
      </w:pPr>
      <w:r w:rsidRPr="00D62128">
        <w:t xml:space="preserve">A review of the TGA approved </w:t>
      </w:r>
      <w:r w:rsidR="00D62128" w:rsidRPr="00D62128">
        <w:t>Product Information</w:t>
      </w:r>
      <w:r w:rsidRPr="00D62128">
        <w:t xml:space="preserve"> for asciminib and dasatinib identified differences in monitoring requirements </w:t>
      </w:r>
      <w:r w:rsidR="00D62128" w:rsidRPr="00D62128">
        <w:t>that</w:t>
      </w:r>
      <w:r w:rsidRPr="00D62128">
        <w:t xml:space="preserve"> are appropriate for inclusion into the CMA. Specifically, the asciminib TGA approved PI describes that an ECG should be performed prior to initiating treatment whereas this is not mentioned in the TGA approved PI for dasatinib. Further, while the requirement to undertake full blood counts is described in the TGA approved PI for both asciminib and dasatinib, this test must be performed monthly after the first three months of treatment with asciminib</w:t>
      </w:r>
      <w:r w:rsidR="00D62128" w:rsidRPr="00D62128">
        <w:t>,</w:t>
      </w:r>
      <w:r w:rsidRPr="00D62128">
        <w:t xml:space="preserve"> whereas this is every three months after the first three months of treatment with dasatinib. Finally, patients treated with asciminib require blood tests for lipase, amylase, potassium, and magnesium on or prior to initiation followed by monthly monitoring of lipase and amylase thereafter. Those treated with dasatinib on the </w:t>
      </w:r>
      <w:r w:rsidRPr="00D62128">
        <w:lastRenderedPageBreak/>
        <w:t>other hand only require potassium and magnesium measurements on treatment initiation.</w:t>
      </w:r>
    </w:p>
    <w:p w14:paraId="75956372" w14:textId="514DA270" w:rsidR="002C0790" w:rsidRPr="002F3FB0" w:rsidRDefault="003B182D" w:rsidP="00AD7FF8">
      <w:pPr>
        <w:pStyle w:val="3-BodyText"/>
        <w:rPr>
          <w:szCs w:val="24"/>
        </w:rPr>
      </w:pPr>
      <w:r w:rsidRPr="001307F8">
        <w:t xml:space="preserve">The result of the CMA based on </w:t>
      </w:r>
      <w:r w:rsidR="001307F8" w:rsidRPr="001307F8">
        <w:t xml:space="preserve">an </w:t>
      </w:r>
      <w:r w:rsidRPr="001307F8">
        <w:t>equi-effective doses</w:t>
      </w:r>
      <w:r w:rsidR="001307F8" w:rsidRPr="001307F8">
        <w:t xml:space="preserve"> of asciminib 79.8</w:t>
      </w:r>
      <w:r w:rsidR="002D094C">
        <w:t> </w:t>
      </w:r>
      <w:r w:rsidR="001307F8" w:rsidRPr="001307F8">
        <w:t xml:space="preserve">mg/day and </w:t>
      </w:r>
      <w:r w:rsidR="001307F8" w:rsidRPr="001307F8">
        <w:rPr>
          <w:snapToGrid w:val="0"/>
          <w:lang w:val="en-GB"/>
        </w:rPr>
        <w:t>dasatinib 111 mg/day</w:t>
      </w:r>
      <w:r w:rsidRPr="001307F8">
        <w:t xml:space="preserve"> and </w:t>
      </w:r>
      <w:r w:rsidRPr="002F3FB0">
        <w:t>the identified additional costs for asciminib over a two-year time horizon is presented in</w:t>
      </w:r>
      <w:r w:rsidR="001307F8" w:rsidRPr="002F3FB0">
        <w:t xml:space="preserve"> </w:t>
      </w:r>
      <w:r w:rsidR="001307F8" w:rsidRPr="002F3FB0">
        <w:rPr>
          <w:rFonts w:cstheme="minorHAnsi"/>
          <w:szCs w:val="24"/>
        </w:rPr>
        <w:fldChar w:fldCharType="begin" w:fldLock="1"/>
      </w:r>
      <w:r w:rsidR="001307F8" w:rsidRPr="002F3FB0">
        <w:rPr>
          <w:rFonts w:cstheme="minorHAnsi"/>
          <w:szCs w:val="24"/>
        </w:rPr>
        <w:instrText xml:space="preserve"> REF _Ref114673934 \h  \* MERGEFORMAT </w:instrText>
      </w:r>
      <w:r w:rsidR="001307F8" w:rsidRPr="002F3FB0">
        <w:rPr>
          <w:rFonts w:cstheme="minorHAnsi"/>
          <w:szCs w:val="24"/>
        </w:rPr>
      </w:r>
      <w:r w:rsidR="001307F8" w:rsidRPr="002F3FB0">
        <w:rPr>
          <w:rFonts w:cstheme="minorHAnsi"/>
          <w:szCs w:val="24"/>
        </w:rPr>
        <w:fldChar w:fldCharType="separate"/>
      </w:r>
      <w:r w:rsidR="00196FF1" w:rsidRPr="002F3FB0">
        <w:rPr>
          <w:rFonts w:cstheme="minorHAnsi"/>
          <w:szCs w:val="24"/>
        </w:rPr>
        <w:t xml:space="preserve">Table </w:t>
      </w:r>
      <w:r w:rsidR="00196FF1" w:rsidRPr="002F3FB0">
        <w:rPr>
          <w:rFonts w:cstheme="minorHAnsi"/>
          <w:noProof/>
          <w:szCs w:val="24"/>
        </w:rPr>
        <w:t>17</w:t>
      </w:r>
      <w:r w:rsidR="001307F8" w:rsidRPr="002F3FB0">
        <w:rPr>
          <w:rFonts w:cstheme="minorHAnsi"/>
          <w:szCs w:val="24"/>
        </w:rPr>
        <w:fldChar w:fldCharType="end"/>
      </w:r>
      <w:r w:rsidRPr="002F3FB0">
        <w:rPr>
          <w:rFonts w:cstheme="minorHAnsi"/>
          <w:szCs w:val="24"/>
        </w:rPr>
        <w:t>.</w:t>
      </w:r>
      <w:r w:rsidRPr="002F3FB0">
        <w:t xml:space="preserve"> </w:t>
      </w:r>
      <w:r w:rsidR="00E17207" w:rsidRPr="002F3FB0">
        <w:t>Similar to the nilotinib comparison, the Sponsor has proposed the same EMP for both the asciminib 20 mg and 40 mg strengths.</w:t>
      </w:r>
      <w:r w:rsidR="003C2745" w:rsidRPr="002F3FB0">
        <w:t xml:space="preserve"> The PBAC noted the 20 mg strength should be priced such that it does not lead to an increase in cost versus the cost for dasatinib.</w:t>
      </w:r>
    </w:p>
    <w:p w14:paraId="652C642E" w14:textId="77777777" w:rsidR="00360A6D" w:rsidRPr="00360A6D" w:rsidRDefault="00360A6D" w:rsidP="00360A6D">
      <w:pPr>
        <w:pStyle w:val="3-BodyText"/>
        <w:numPr>
          <w:ilvl w:val="0"/>
          <w:numId w:val="0"/>
        </w:numPr>
        <w:ind w:left="720"/>
        <w:rPr>
          <w:szCs w:val="24"/>
        </w:rPr>
      </w:pPr>
    </w:p>
    <w:p w14:paraId="0D3A5CF5" w14:textId="1A7AD6F6" w:rsidR="002C0790" w:rsidRDefault="002C0790" w:rsidP="003B182D">
      <w:pPr>
        <w:sectPr w:rsidR="002C0790" w:rsidSect="00EF15C9">
          <w:headerReference w:type="default" r:id="rId16"/>
          <w:footerReference w:type="default" r:id="rId17"/>
          <w:pgSz w:w="11906" w:h="16838"/>
          <w:pgMar w:top="1440" w:right="1440" w:bottom="1440" w:left="1440" w:header="1440" w:footer="1440" w:gutter="0"/>
          <w:cols w:space="708"/>
          <w:docGrid w:linePitch="360"/>
        </w:sectPr>
      </w:pPr>
    </w:p>
    <w:p w14:paraId="1DD3B2EE" w14:textId="5C00F105" w:rsidR="003B182D" w:rsidRPr="006D1DBC" w:rsidRDefault="006D1DBC" w:rsidP="003B182D">
      <w:pPr>
        <w:rPr>
          <w:b/>
          <w:bCs/>
          <w:sz w:val="20"/>
          <w:szCs w:val="20"/>
        </w:rPr>
      </w:pPr>
      <w:bookmarkStart w:id="44" w:name="_Ref114673934"/>
      <w:r w:rsidRPr="006D1DBC">
        <w:rPr>
          <w:rFonts w:ascii="Arial Narrow" w:hAnsi="Arial Narrow"/>
          <w:b/>
          <w:bCs/>
          <w:sz w:val="20"/>
          <w:szCs w:val="20"/>
        </w:rPr>
        <w:lastRenderedPageBreak/>
        <w:t xml:space="preserve">Table </w:t>
      </w:r>
      <w:r w:rsidRPr="006D1DBC">
        <w:rPr>
          <w:rFonts w:ascii="Arial Narrow" w:hAnsi="Arial Narrow"/>
          <w:b/>
          <w:bCs/>
          <w:sz w:val="20"/>
          <w:szCs w:val="20"/>
        </w:rPr>
        <w:fldChar w:fldCharType="begin" w:fldLock="1"/>
      </w:r>
      <w:r w:rsidRPr="006D1DBC">
        <w:rPr>
          <w:rFonts w:ascii="Arial Narrow" w:hAnsi="Arial Narrow"/>
          <w:b/>
          <w:bCs/>
          <w:sz w:val="20"/>
          <w:szCs w:val="20"/>
        </w:rPr>
        <w:instrText xml:space="preserve"> SEQ Table \* ARABIC </w:instrText>
      </w:r>
      <w:r w:rsidRPr="006D1DBC">
        <w:rPr>
          <w:rFonts w:ascii="Arial Narrow" w:hAnsi="Arial Narrow"/>
          <w:b/>
          <w:bCs/>
          <w:sz w:val="20"/>
          <w:szCs w:val="20"/>
        </w:rPr>
        <w:fldChar w:fldCharType="separate"/>
      </w:r>
      <w:r w:rsidR="00100F00">
        <w:rPr>
          <w:rFonts w:ascii="Arial Narrow" w:hAnsi="Arial Narrow"/>
          <w:b/>
          <w:bCs/>
          <w:noProof/>
          <w:sz w:val="20"/>
          <w:szCs w:val="20"/>
        </w:rPr>
        <w:t>17</w:t>
      </w:r>
      <w:r w:rsidRPr="006D1DBC">
        <w:rPr>
          <w:rFonts w:ascii="Arial Narrow" w:hAnsi="Arial Narrow"/>
          <w:b/>
          <w:bCs/>
          <w:sz w:val="20"/>
          <w:szCs w:val="20"/>
        </w:rPr>
        <w:fldChar w:fldCharType="end"/>
      </w:r>
      <w:bookmarkEnd w:id="44"/>
      <w:r w:rsidRPr="006D1DBC">
        <w:rPr>
          <w:rFonts w:ascii="Arial Narrow" w:hAnsi="Arial Narrow"/>
          <w:b/>
          <w:bCs/>
          <w:sz w:val="20"/>
          <w:szCs w:val="20"/>
        </w:rPr>
        <w:t xml:space="preserve">: Cost minimisation </w:t>
      </w:r>
      <w:r w:rsidR="003F6262">
        <w:rPr>
          <w:rFonts w:ascii="Arial Narrow" w:hAnsi="Arial Narrow"/>
          <w:b/>
          <w:bCs/>
          <w:sz w:val="20"/>
          <w:szCs w:val="20"/>
        </w:rPr>
        <w:t>approach</w:t>
      </w:r>
      <w:r w:rsidRPr="006D1DBC">
        <w:rPr>
          <w:rFonts w:ascii="Arial Narrow" w:hAnsi="Arial Narrow"/>
          <w:b/>
          <w:bCs/>
          <w:sz w:val="20"/>
          <w:szCs w:val="20"/>
        </w:rPr>
        <w:t xml:space="preserve"> </w:t>
      </w:r>
      <w:r w:rsidR="003F6262">
        <w:rPr>
          <w:rFonts w:ascii="Arial Narrow" w:hAnsi="Arial Narrow"/>
          <w:b/>
          <w:bCs/>
          <w:sz w:val="20"/>
          <w:szCs w:val="20"/>
        </w:rPr>
        <w:t>for</w:t>
      </w:r>
      <w:r w:rsidRPr="006D1DBC">
        <w:rPr>
          <w:rFonts w:ascii="Arial Narrow" w:hAnsi="Arial Narrow"/>
          <w:b/>
          <w:bCs/>
          <w:sz w:val="20"/>
          <w:szCs w:val="20"/>
        </w:rPr>
        <w:t xml:space="preserve"> asciminib versus dasatinib (non-T315I mutation)</w:t>
      </w:r>
    </w:p>
    <w:tbl>
      <w:tblPr>
        <w:tblStyle w:val="TableGrid"/>
        <w:tblW w:w="5000" w:type="pct"/>
        <w:tblLook w:val="04A0" w:firstRow="1" w:lastRow="0" w:firstColumn="1" w:lastColumn="0" w:noHBand="0" w:noVBand="1"/>
        <w:tblCaption w:val="Table 17: Cost minimisation approach for asciminib versus dasatinib (non-T315I mutation)"/>
      </w:tblPr>
      <w:tblGrid>
        <w:gridCol w:w="380"/>
        <w:gridCol w:w="1763"/>
        <w:gridCol w:w="1244"/>
        <w:gridCol w:w="1094"/>
        <w:gridCol w:w="2820"/>
        <w:gridCol w:w="1269"/>
        <w:gridCol w:w="33"/>
        <w:gridCol w:w="1303"/>
        <w:gridCol w:w="2988"/>
        <w:gridCol w:w="1054"/>
      </w:tblGrid>
      <w:tr w:rsidR="006D1DBC" w:rsidRPr="003D04C4" w14:paraId="1DF4EF6A" w14:textId="77777777" w:rsidTr="002C0790">
        <w:tc>
          <w:tcPr>
            <w:tcW w:w="768" w:type="pct"/>
            <w:gridSpan w:val="2"/>
            <w:vMerge w:val="restart"/>
            <w:vAlign w:val="center"/>
          </w:tcPr>
          <w:p w14:paraId="290A8283" w14:textId="77777777" w:rsidR="006D1DBC" w:rsidRPr="003D04C4" w:rsidRDefault="006D1DBC" w:rsidP="005835DF">
            <w:pPr>
              <w:rPr>
                <w:rFonts w:ascii="Arial Narrow" w:hAnsi="Arial Narrow" w:cstheme="minorHAnsi"/>
                <w:b/>
                <w:bCs/>
                <w:sz w:val="20"/>
                <w:szCs w:val="20"/>
              </w:rPr>
            </w:pPr>
          </w:p>
        </w:tc>
        <w:tc>
          <w:tcPr>
            <w:tcW w:w="1849" w:type="pct"/>
            <w:gridSpan w:val="3"/>
            <w:vAlign w:val="center"/>
          </w:tcPr>
          <w:p w14:paraId="133DA6E5" w14:textId="77777777" w:rsidR="006D1DBC" w:rsidRPr="003D04C4" w:rsidRDefault="006D1DBC" w:rsidP="005835DF">
            <w:pPr>
              <w:jc w:val="center"/>
              <w:rPr>
                <w:rFonts w:ascii="Arial Narrow" w:hAnsi="Arial Narrow" w:cstheme="minorHAnsi"/>
                <w:b/>
                <w:bCs/>
                <w:sz w:val="20"/>
                <w:szCs w:val="20"/>
              </w:rPr>
            </w:pPr>
            <w:r w:rsidRPr="003D04C4">
              <w:rPr>
                <w:rFonts w:ascii="Arial Narrow" w:hAnsi="Arial Narrow" w:cstheme="minorHAnsi"/>
                <w:b/>
                <w:bCs/>
                <w:sz w:val="20"/>
                <w:szCs w:val="20"/>
              </w:rPr>
              <w:t>Asciminib</w:t>
            </w:r>
          </w:p>
        </w:tc>
        <w:tc>
          <w:tcPr>
            <w:tcW w:w="2005" w:type="pct"/>
            <w:gridSpan w:val="4"/>
            <w:vAlign w:val="center"/>
          </w:tcPr>
          <w:p w14:paraId="3F3867B9" w14:textId="454C8EBB" w:rsidR="006D1DBC" w:rsidRPr="003D04C4" w:rsidRDefault="006D1DBC" w:rsidP="005835DF">
            <w:pPr>
              <w:jc w:val="center"/>
              <w:rPr>
                <w:rFonts w:ascii="Arial Narrow" w:hAnsi="Arial Narrow" w:cstheme="minorHAnsi"/>
                <w:b/>
                <w:bCs/>
                <w:sz w:val="20"/>
                <w:szCs w:val="20"/>
              </w:rPr>
            </w:pPr>
            <w:r w:rsidRPr="003D04C4">
              <w:rPr>
                <w:rFonts w:ascii="Arial Narrow" w:hAnsi="Arial Narrow" w:cstheme="minorHAnsi"/>
                <w:b/>
                <w:bCs/>
                <w:sz w:val="20"/>
                <w:szCs w:val="20"/>
              </w:rPr>
              <w:t>Dasatinib</w:t>
            </w:r>
          </w:p>
        </w:tc>
        <w:tc>
          <w:tcPr>
            <w:tcW w:w="375" w:type="pct"/>
            <w:vMerge w:val="restart"/>
            <w:vAlign w:val="center"/>
          </w:tcPr>
          <w:p w14:paraId="71EFF773" w14:textId="77777777" w:rsidR="006D1DBC" w:rsidRPr="003D04C4" w:rsidRDefault="006D1DBC" w:rsidP="005835DF">
            <w:pPr>
              <w:jc w:val="center"/>
              <w:rPr>
                <w:rFonts w:ascii="Arial Narrow" w:hAnsi="Arial Narrow" w:cstheme="minorHAnsi"/>
                <w:b/>
                <w:bCs/>
                <w:sz w:val="20"/>
                <w:szCs w:val="20"/>
              </w:rPr>
            </w:pPr>
            <w:r w:rsidRPr="003D04C4">
              <w:rPr>
                <w:rFonts w:ascii="Arial Narrow" w:hAnsi="Arial Narrow" w:cstheme="minorHAnsi"/>
                <w:b/>
                <w:bCs/>
                <w:sz w:val="20"/>
                <w:szCs w:val="20"/>
              </w:rPr>
              <w:t>Increment</w:t>
            </w:r>
          </w:p>
        </w:tc>
      </w:tr>
      <w:tr w:rsidR="006D1DBC" w:rsidRPr="003D04C4" w14:paraId="0BBD24D6" w14:textId="77777777" w:rsidTr="002C0790">
        <w:tc>
          <w:tcPr>
            <w:tcW w:w="768" w:type="pct"/>
            <w:gridSpan w:val="2"/>
            <w:vMerge/>
            <w:vAlign w:val="center"/>
          </w:tcPr>
          <w:p w14:paraId="58917A11" w14:textId="77777777" w:rsidR="006D1DBC" w:rsidRPr="003D04C4" w:rsidRDefault="006D1DBC" w:rsidP="005835DF">
            <w:pPr>
              <w:rPr>
                <w:rFonts w:ascii="Arial Narrow" w:hAnsi="Arial Narrow" w:cstheme="minorHAnsi"/>
                <w:b/>
                <w:bCs/>
                <w:sz w:val="20"/>
                <w:szCs w:val="20"/>
                <w:highlight w:val="lightGray"/>
              </w:rPr>
            </w:pPr>
          </w:p>
        </w:tc>
        <w:tc>
          <w:tcPr>
            <w:tcW w:w="446" w:type="pct"/>
            <w:vAlign w:val="center"/>
          </w:tcPr>
          <w:p w14:paraId="6004BFBB" w14:textId="5CC80AC9" w:rsidR="006D1DBC" w:rsidRPr="003D04C4" w:rsidRDefault="006D1DBC" w:rsidP="005835DF">
            <w:pPr>
              <w:jc w:val="center"/>
              <w:rPr>
                <w:rFonts w:ascii="Arial Narrow" w:hAnsi="Arial Narrow" w:cstheme="minorHAnsi"/>
                <w:b/>
                <w:bCs/>
                <w:sz w:val="20"/>
                <w:szCs w:val="20"/>
              </w:rPr>
            </w:pPr>
            <w:r w:rsidRPr="003D04C4">
              <w:rPr>
                <w:rFonts w:ascii="Arial Narrow" w:hAnsi="Arial Narrow" w:cstheme="minorHAnsi"/>
                <w:b/>
                <w:bCs/>
                <w:sz w:val="20"/>
                <w:szCs w:val="20"/>
              </w:rPr>
              <w:t>60</w:t>
            </w:r>
            <w:r w:rsidR="003321B0" w:rsidRPr="003D04C4">
              <w:rPr>
                <w:rFonts w:ascii="Arial Narrow" w:hAnsi="Arial Narrow" w:cstheme="minorHAnsi"/>
                <w:b/>
                <w:bCs/>
                <w:sz w:val="20"/>
                <w:szCs w:val="20"/>
              </w:rPr>
              <w:t xml:space="preserve"> </w:t>
            </w:r>
            <w:r w:rsidRPr="003D04C4">
              <w:rPr>
                <w:rFonts w:ascii="Arial Narrow" w:hAnsi="Arial Narrow" w:cstheme="minorHAnsi"/>
                <w:b/>
                <w:bCs/>
                <w:sz w:val="20"/>
                <w:szCs w:val="20"/>
              </w:rPr>
              <w:t>x</w:t>
            </w:r>
            <w:r w:rsidR="003321B0" w:rsidRPr="003D04C4">
              <w:rPr>
                <w:rFonts w:ascii="Arial Narrow" w:hAnsi="Arial Narrow" w:cstheme="minorHAnsi"/>
                <w:b/>
                <w:bCs/>
                <w:sz w:val="20"/>
                <w:szCs w:val="20"/>
              </w:rPr>
              <w:t xml:space="preserve"> </w:t>
            </w:r>
            <w:r w:rsidRPr="003D04C4">
              <w:rPr>
                <w:rFonts w:ascii="Arial Narrow" w:hAnsi="Arial Narrow" w:cstheme="minorHAnsi"/>
                <w:b/>
                <w:bCs/>
                <w:sz w:val="20"/>
                <w:szCs w:val="20"/>
              </w:rPr>
              <w:t>40 mg</w:t>
            </w:r>
          </w:p>
        </w:tc>
        <w:tc>
          <w:tcPr>
            <w:tcW w:w="392" w:type="pct"/>
            <w:vAlign w:val="center"/>
          </w:tcPr>
          <w:p w14:paraId="313C55CE" w14:textId="5BF43A19" w:rsidR="006D1DBC" w:rsidRPr="003D04C4" w:rsidRDefault="006D1DBC" w:rsidP="005835DF">
            <w:pPr>
              <w:jc w:val="center"/>
              <w:rPr>
                <w:rFonts w:ascii="Arial Narrow" w:hAnsi="Arial Narrow" w:cstheme="minorHAnsi"/>
                <w:b/>
                <w:bCs/>
                <w:sz w:val="20"/>
                <w:szCs w:val="20"/>
              </w:rPr>
            </w:pPr>
            <w:r w:rsidRPr="003D04C4">
              <w:rPr>
                <w:rFonts w:ascii="Arial Narrow" w:hAnsi="Arial Narrow" w:cstheme="minorHAnsi"/>
                <w:b/>
                <w:bCs/>
                <w:sz w:val="20"/>
                <w:szCs w:val="20"/>
              </w:rPr>
              <w:t>60</w:t>
            </w:r>
            <w:r w:rsidR="003321B0" w:rsidRPr="003D04C4">
              <w:rPr>
                <w:rFonts w:ascii="Arial Narrow" w:hAnsi="Arial Narrow" w:cstheme="minorHAnsi"/>
                <w:b/>
                <w:bCs/>
                <w:sz w:val="20"/>
                <w:szCs w:val="20"/>
              </w:rPr>
              <w:t xml:space="preserve"> </w:t>
            </w:r>
            <w:r w:rsidRPr="003D04C4">
              <w:rPr>
                <w:rFonts w:ascii="Arial Narrow" w:hAnsi="Arial Narrow" w:cstheme="minorHAnsi"/>
                <w:b/>
                <w:bCs/>
                <w:sz w:val="20"/>
                <w:szCs w:val="20"/>
              </w:rPr>
              <w:t>x</w:t>
            </w:r>
            <w:r w:rsidR="003321B0" w:rsidRPr="003D04C4">
              <w:rPr>
                <w:rFonts w:ascii="Arial Narrow" w:hAnsi="Arial Narrow" w:cstheme="minorHAnsi"/>
                <w:b/>
                <w:bCs/>
                <w:sz w:val="20"/>
                <w:szCs w:val="20"/>
              </w:rPr>
              <w:t xml:space="preserve"> </w:t>
            </w:r>
            <w:r w:rsidRPr="003D04C4">
              <w:rPr>
                <w:rFonts w:ascii="Arial Narrow" w:hAnsi="Arial Narrow" w:cstheme="minorHAnsi"/>
                <w:b/>
                <w:bCs/>
                <w:sz w:val="20"/>
                <w:szCs w:val="20"/>
              </w:rPr>
              <w:t>20 mg</w:t>
            </w:r>
          </w:p>
        </w:tc>
        <w:tc>
          <w:tcPr>
            <w:tcW w:w="1011" w:type="pct"/>
            <w:vAlign w:val="center"/>
          </w:tcPr>
          <w:p w14:paraId="72B496C0" w14:textId="77777777" w:rsidR="006D1DBC" w:rsidRPr="003D04C4" w:rsidRDefault="006D1DBC" w:rsidP="005835DF">
            <w:pPr>
              <w:jc w:val="center"/>
              <w:rPr>
                <w:rFonts w:ascii="Arial Narrow" w:hAnsi="Arial Narrow" w:cstheme="minorHAnsi"/>
                <w:b/>
                <w:bCs/>
                <w:sz w:val="20"/>
                <w:szCs w:val="20"/>
              </w:rPr>
            </w:pPr>
            <w:r w:rsidRPr="003D04C4">
              <w:rPr>
                <w:rFonts w:ascii="Arial Narrow" w:hAnsi="Arial Narrow" w:cstheme="minorHAnsi"/>
                <w:b/>
                <w:bCs/>
                <w:sz w:val="20"/>
                <w:szCs w:val="20"/>
              </w:rPr>
              <w:t>Source</w:t>
            </w:r>
          </w:p>
        </w:tc>
        <w:tc>
          <w:tcPr>
            <w:tcW w:w="455" w:type="pct"/>
            <w:vAlign w:val="center"/>
          </w:tcPr>
          <w:p w14:paraId="15083891" w14:textId="0F1EF27B" w:rsidR="006D1DBC" w:rsidRPr="003D04C4" w:rsidRDefault="006D1DBC" w:rsidP="005835DF">
            <w:pPr>
              <w:jc w:val="center"/>
              <w:rPr>
                <w:rFonts w:ascii="Arial Narrow" w:hAnsi="Arial Narrow" w:cstheme="minorHAnsi"/>
                <w:b/>
                <w:bCs/>
                <w:sz w:val="20"/>
                <w:szCs w:val="20"/>
              </w:rPr>
            </w:pPr>
            <w:r w:rsidRPr="003D04C4">
              <w:rPr>
                <w:rFonts w:ascii="Arial Narrow" w:hAnsi="Arial Narrow" w:cstheme="minorHAnsi"/>
                <w:b/>
                <w:bCs/>
                <w:sz w:val="20"/>
                <w:szCs w:val="20"/>
              </w:rPr>
              <w:t>30</w:t>
            </w:r>
            <w:r w:rsidR="003321B0" w:rsidRPr="003D04C4">
              <w:rPr>
                <w:rFonts w:ascii="Arial Narrow" w:hAnsi="Arial Narrow" w:cstheme="minorHAnsi"/>
                <w:b/>
                <w:bCs/>
                <w:sz w:val="20"/>
                <w:szCs w:val="20"/>
              </w:rPr>
              <w:t xml:space="preserve"> </w:t>
            </w:r>
            <w:r w:rsidRPr="003D04C4">
              <w:rPr>
                <w:rFonts w:ascii="Arial Narrow" w:hAnsi="Arial Narrow" w:cstheme="minorHAnsi"/>
                <w:b/>
                <w:bCs/>
                <w:sz w:val="20"/>
                <w:szCs w:val="20"/>
              </w:rPr>
              <w:t>x</w:t>
            </w:r>
            <w:r w:rsidR="003321B0" w:rsidRPr="003D04C4">
              <w:rPr>
                <w:rFonts w:ascii="Arial Narrow" w:hAnsi="Arial Narrow" w:cstheme="minorHAnsi"/>
                <w:b/>
                <w:bCs/>
                <w:sz w:val="20"/>
                <w:szCs w:val="20"/>
              </w:rPr>
              <w:t xml:space="preserve"> </w:t>
            </w:r>
            <w:r w:rsidRPr="003D04C4">
              <w:rPr>
                <w:rFonts w:ascii="Arial Narrow" w:hAnsi="Arial Narrow" w:cstheme="minorHAnsi"/>
                <w:b/>
                <w:bCs/>
                <w:sz w:val="20"/>
                <w:szCs w:val="20"/>
              </w:rPr>
              <w:t>100 mg</w:t>
            </w:r>
            <w:r w:rsidR="002B3221" w:rsidRPr="003D04C4">
              <w:rPr>
                <w:rFonts w:ascii="Arial Narrow" w:hAnsi="Arial Narrow" w:cstheme="minorHAnsi"/>
                <w:b/>
                <w:bCs/>
                <w:sz w:val="20"/>
                <w:szCs w:val="20"/>
                <w:vertAlign w:val="superscript"/>
              </w:rPr>
              <w:t>a</w:t>
            </w:r>
          </w:p>
        </w:tc>
        <w:tc>
          <w:tcPr>
            <w:tcW w:w="479" w:type="pct"/>
            <w:gridSpan w:val="2"/>
            <w:vAlign w:val="center"/>
          </w:tcPr>
          <w:p w14:paraId="776ECD0B" w14:textId="31491EBE" w:rsidR="006D1DBC" w:rsidRPr="003D04C4" w:rsidRDefault="006D1DBC" w:rsidP="005835DF">
            <w:pPr>
              <w:jc w:val="center"/>
              <w:rPr>
                <w:rFonts w:ascii="Arial Narrow" w:hAnsi="Arial Narrow" w:cstheme="minorHAnsi"/>
                <w:b/>
                <w:bCs/>
                <w:sz w:val="20"/>
                <w:szCs w:val="20"/>
              </w:rPr>
            </w:pPr>
            <w:r w:rsidRPr="003D04C4">
              <w:rPr>
                <w:rFonts w:ascii="Arial Narrow" w:hAnsi="Arial Narrow" w:cstheme="minorHAnsi"/>
                <w:b/>
                <w:bCs/>
                <w:sz w:val="20"/>
                <w:szCs w:val="20"/>
              </w:rPr>
              <w:t>60</w:t>
            </w:r>
            <w:r w:rsidR="003321B0" w:rsidRPr="003D04C4">
              <w:rPr>
                <w:rFonts w:ascii="Arial Narrow" w:hAnsi="Arial Narrow" w:cstheme="minorHAnsi"/>
                <w:b/>
                <w:bCs/>
                <w:sz w:val="20"/>
                <w:szCs w:val="20"/>
              </w:rPr>
              <w:t xml:space="preserve"> </w:t>
            </w:r>
            <w:r w:rsidRPr="003D04C4">
              <w:rPr>
                <w:rFonts w:ascii="Arial Narrow" w:hAnsi="Arial Narrow" w:cstheme="minorHAnsi"/>
                <w:b/>
                <w:bCs/>
                <w:sz w:val="20"/>
                <w:szCs w:val="20"/>
              </w:rPr>
              <w:t>x</w:t>
            </w:r>
            <w:r w:rsidR="003321B0" w:rsidRPr="003D04C4">
              <w:rPr>
                <w:rFonts w:ascii="Arial Narrow" w:hAnsi="Arial Narrow" w:cstheme="minorHAnsi"/>
                <w:b/>
                <w:bCs/>
                <w:sz w:val="20"/>
                <w:szCs w:val="20"/>
              </w:rPr>
              <w:t xml:space="preserve"> </w:t>
            </w:r>
            <w:r w:rsidRPr="003D04C4">
              <w:rPr>
                <w:rFonts w:ascii="Arial Narrow" w:hAnsi="Arial Narrow" w:cstheme="minorHAnsi"/>
                <w:b/>
                <w:bCs/>
                <w:sz w:val="20"/>
                <w:szCs w:val="20"/>
              </w:rPr>
              <w:t>70 mg</w:t>
            </w:r>
            <w:r w:rsidR="002B3221" w:rsidRPr="003D04C4">
              <w:rPr>
                <w:rFonts w:ascii="Arial Narrow" w:hAnsi="Arial Narrow" w:cstheme="minorHAnsi"/>
                <w:b/>
                <w:bCs/>
                <w:sz w:val="20"/>
                <w:szCs w:val="20"/>
                <w:vertAlign w:val="superscript"/>
              </w:rPr>
              <w:t>a</w:t>
            </w:r>
          </w:p>
        </w:tc>
        <w:tc>
          <w:tcPr>
            <w:tcW w:w="1071" w:type="pct"/>
            <w:vAlign w:val="center"/>
          </w:tcPr>
          <w:p w14:paraId="70BD0BF0" w14:textId="77777777" w:rsidR="006D1DBC" w:rsidRPr="003D04C4" w:rsidRDefault="006D1DBC" w:rsidP="005835DF">
            <w:pPr>
              <w:jc w:val="center"/>
              <w:rPr>
                <w:rFonts w:ascii="Arial Narrow" w:hAnsi="Arial Narrow" w:cstheme="minorHAnsi"/>
                <w:b/>
                <w:bCs/>
                <w:sz w:val="20"/>
                <w:szCs w:val="20"/>
              </w:rPr>
            </w:pPr>
            <w:r w:rsidRPr="003D04C4">
              <w:rPr>
                <w:rFonts w:ascii="Arial Narrow" w:hAnsi="Arial Narrow" w:cstheme="minorHAnsi"/>
                <w:b/>
                <w:bCs/>
                <w:sz w:val="20"/>
                <w:szCs w:val="20"/>
              </w:rPr>
              <w:t>Source</w:t>
            </w:r>
          </w:p>
        </w:tc>
        <w:tc>
          <w:tcPr>
            <w:tcW w:w="375" w:type="pct"/>
            <w:vMerge/>
            <w:vAlign w:val="center"/>
          </w:tcPr>
          <w:p w14:paraId="1F7FFA97" w14:textId="77777777" w:rsidR="006D1DBC" w:rsidRPr="003D04C4" w:rsidRDefault="006D1DBC" w:rsidP="005835DF">
            <w:pPr>
              <w:jc w:val="center"/>
              <w:rPr>
                <w:rFonts w:ascii="Arial Narrow" w:hAnsi="Arial Narrow" w:cstheme="minorHAnsi"/>
                <w:b/>
                <w:bCs/>
                <w:sz w:val="20"/>
                <w:szCs w:val="20"/>
              </w:rPr>
            </w:pPr>
          </w:p>
        </w:tc>
      </w:tr>
      <w:tr w:rsidR="006D1DBC" w:rsidRPr="003D04C4" w14:paraId="28EA1F48" w14:textId="77777777" w:rsidTr="00925770">
        <w:tc>
          <w:tcPr>
            <w:tcW w:w="136" w:type="pct"/>
            <w:shd w:val="clear" w:color="auto" w:fill="F2F2F2" w:themeFill="background1" w:themeFillShade="F2"/>
            <w:vAlign w:val="center"/>
          </w:tcPr>
          <w:p w14:paraId="723ADF22" w14:textId="77777777" w:rsidR="006D1DBC" w:rsidRPr="003D04C4" w:rsidRDefault="006D1DBC" w:rsidP="005835DF">
            <w:pPr>
              <w:jc w:val="center"/>
              <w:rPr>
                <w:rFonts w:ascii="Arial Narrow" w:hAnsi="Arial Narrow" w:cstheme="minorHAnsi"/>
                <w:b/>
                <w:bCs/>
                <w:sz w:val="20"/>
                <w:szCs w:val="20"/>
                <w:highlight w:val="lightGray"/>
              </w:rPr>
            </w:pPr>
          </w:p>
        </w:tc>
        <w:tc>
          <w:tcPr>
            <w:tcW w:w="4864" w:type="pct"/>
            <w:gridSpan w:val="9"/>
            <w:shd w:val="clear" w:color="auto" w:fill="F2F2F2" w:themeFill="background1" w:themeFillShade="F2"/>
            <w:vAlign w:val="center"/>
          </w:tcPr>
          <w:p w14:paraId="578F20CC" w14:textId="77777777" w:rsidR="006D1DBC" w:rsidRPr="003D04C4" w:rsidRDefault="006D1DBC" w:rsidP="005835DF">
            <w:pPr>
              <w:jc w:val="left"/>
              <w:rPr>
                <w:rFonts w:ascii="Arial Narrow" w:hAnsi="Arial Narrow" w:cstheme="minorHAnsi"/>
                <w:b/>
                <w:bCs/>
                <w:sz w:val="20"/>
                <w:szCs w:val="20"/>
              </w:rPr>
            </w:pPr>
            <w:r w:rsidRPr="003D04C4">
              <w:rPr>
                <w:rFonts w:ascii="Arial Narrow" w:hAnsi="Arial Narrow" w:cstheme="minorHAnsi"/>
                <w:b/>
                <w:bCs/>
                <w:sz w:val="20"/>
                <w:szCs w:val="20"/>
              </w:rPr>
              <w:t>Medicines</w:t>
            </w:r>
          </w:p>
        </w:tc>
      </w:tr>
      <w:tr w:rsidR="006D1DBC" w:rsidRPr="003D04C4" w14:paraId="456BE817" w14:textId="77777777" w:rsidTr="002C0790">
        <w:tc>
          <w:tcPr>
            <w:tcW w:w="136" w:type="pct"/>
            <w:vAlign w:val="center"/>
          </w:tcPr>
          <w:p w14:paraId="38BED995"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A</w:t>
            </w:r>
          </w:p>
        </w:tc>
        <w:tc>
          <w:tcPr>
            <w:tcW w:w="632" w:type="pct"/>
            <w:vAlign w:val="center"/>
          </w:tcPr>
          <w:p w14:paraId="0CAE0D76" w14:textId="77777777" w:rsidR="006D1DBC" w:rsidRPr="003D04C4" w:rsidRDefault="006D1DBC" w:rsidP="005835DF">
            <w:pPr>
              <w:rPr>
                <w:rFonts w:ascii="Arial Narrow" w:hAnsi="Arial Narrow" w:cstheme="minorHAnsi"/>
                <w:sz w:val="20"/>
                <w:szCs w:val="20"/>
              </w:rPr>
            </w:pPr>
            <w:r w:rsidRPr="003D04C4">
              <w:rPr>
                <w:rFonts w:ascii="Arial Narrow" w:hAnsi="Arial Narrow" w:cstheme="minorHAnsi"/>
                <w:sz w:val="20"/>
                <w:szCs w:val="20"/>
              </w:rPr>
              <w:t>Days of treatment</w:t>
            </w:r>
          </w:p>
        </w:tc>
        <w:tc>
          <w:tcPr>
            <w:tcW w:w="838" w:type="pct"/>
            <w:gridSpan w:val="2"/>
            <w:vAlign w:val="center"/>
          </w:tcPr>
          <w:p w14:paraId="0C4723AA"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730.5</w:t>
            </w:r>
          </w:p>
        </w:tc>
        <w:tc>
          <w:tcPr>
            <w:tcW w:w="1011" w:type="pct"/>
            <w:vAlign w:val="center"/>
          </w:tcPr>
          <w:p w14:paraId="202FE24A"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2 years</w:t>
            </w:r>
          </w:p>
        </w:tc>
        <w:tc>
          <w:tcPr>
            <w:tcW w:w="934" w:type="pct"/>
            <w:gridSpan w:val="3"/>
            <w:vAlign w:val="center"/>
          </w:tcPr>
          <w:p w14:paraId="6808E6D4"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730.5</w:t>
            </w:r>
          </w:p>
        </w:tc>
        <w:tc>
          <w:tcPr>
            <w:tcW w:w="1071" w:type="pct"/>
            <w:vAlign w:val="center"/>
          </w:tcPr>
          <w:p w14:paraId="388C4AD4"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2 years</w:t>
            </w:r>
          </w:p>
        </w:tc>
        <w:tc>
          <w:tcPr>
            <w:tcW w:w="375" w:type="pct"/>
            <w:vAlign w:val="center"/>
          </w:tcPr>
          <w:p w14:paraId="791F6B7F"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w:t>
            </w:r>
          </w:p>
        </w:tc>
      </w:tr>
      <w:tr w:rsidR="00B46A64" w:rsidRPr="003D04C4" w14:paraId="7B02090E" w14:textId="77777777" w:rsidTr="002C0790">
        <w:tc>
          <w:tcPr>
            <w:tcW w:w="136" w:type="pct"/>
            <w:vAlign w:val="center"/>
          </w:tcPr>
          <w:p w14:paraId="57B3850F" w14:textId="77777777" w:rsidR="00B46A64" w:rsidRPr="003D04C4" w:rsidRDefault="00B46A64" w:rsidP="005835DF">
            <w:pPr>
              <w:jc w:val="center"/>
              <w:rPr>
                <w:rFonts w:ascii="Arial Narrow" w:hAnsi="Arial Narrow" w:cstheme="minorHAnsi"/>
                <w:sz w:val="20"/>
                <w:szCs w:val="20"/>
              </w:rPr>
            </w:pPr>
            <w:r w:rsidRPr="003D04C4">
              <w:rPr>
                <w:rFonts w:ascii="Arial Narrow" w:hAnsi="Arial Narrow" w:cstheme="minorHAnsi"/>
                <w:sz w:val="20"/>
                <w:szCs w:val="20"/>
              </w:rPr>
              <w:t>B</w:t>
            </w:r>
          </w:p>
        </w:tc>
        <w:tc>
          <w:tcPr>
            <w:tcW w:w="632" w:type="pct"/>
            <w:vAlign w:val="center"/>
          </w:tcPr>
          <w:p w14:paraId="1D046DF6" w14:textId="77777777" w:rsidR="00B46A64" w:rsidRPr="003D04C4" w:rsidRDefault="00B46A64" w:rsidP="005835DF">
            <w:pPr>
              <w:rPr>
                <w:rFonts w:ascii="Arial Narrow" w:hAnsi="Arial Narrow" w:cstheme="minorHAnsi"/>
                <w:sz w:val="20"/>
                <w:szCs w:val="20"/>
              </w:rPr>
            </w:pPr>
            <w:r w:rsidRPr="003D04C4">
              <w:rPr>
                <w:rFonts w:ascii="Arial Narrow" w:hAnsi="Arial Narrow" w:cstheme="minorHAnsi"/>
                <w:sz w:val="20"/>
                <w:szCs w:val="20"/>
              </w:rPr>
              <w:t>Tabs/caps per day</w:t>
            </w:r>
          </w:p>
        </w:tc>
        <w:tc>
          <w:tcPr>
            <w:tcW w:w="838" w:type="pct"/>
            <w:gridSpan w:val="2"/>
            <w:vAlign w:val="center"/>
          </w:tcPr>
          <w:p w14:paraId="4DFB4438" w14:textId="77777777" w:rsidR="00B46A64" w:rsidRPr="003D04C4" w:rsidRDefault="00B46A64" w:rsidP="005835DF">
            <w:pPr>
              <w:jc w:val="center"/>
              <w:rPr>
                <w:rFonts w:ascii="Arial Narrow" w:hAnsi="Arial Narrow" w:cstheme="minorHAnsi"/>
                <w:sz w:val="20"/>
                <w:szCs w:val="20"/>
              </w:rPr>
            </w:pPr>
            <w:r w:rsidRPr="003D04C4">
              <w:rPr>
                <w:rFonts w:ascii="Arial Narrow" w:hAnsi="Arial Narrow" w:cstheme="minorHAnsi"/>
                <w:sz w:val="20"/>
                <w:szCs w:val="20"/>
              </w:rPr>
              <w:t>2</w:t>
            </w:r>
          </w:p>
        </w:tc>
        <w:tc>
          <w:tcPr>
            <w:tcW w:w="1011" w:type="pct"/>
            <w:vAlign w:val="center"/>
          </w:tcPr>
          <w:p w14:paraId="3B74E79E" w14:textId="77777777" w:rsidR="00B46A64" w:rsidRPr="003D04C4" w:rsidRDefault="00B46A64" w:rsidP="005835DF">
            <w:pPr>
              <w:jc w:val="center"/>
              <w:rPr>
                <w:rFonts w:ascii="Arial Narrow" w:hAnsi="Arial Narrow" w:cstheme="minorHAnsi"/>
                <w:sz w:val="20"/>
                <w:szCs w:val="20"/>
              </w:rPr>
            </w:pPr>
            <w:r w:rsidRPr="003D04C4">
              <w:rPr>
                <w:rFonts w:ascii="Arial Narrow" w:hAnsi="Arial Narrow" w:cstheme="minorHAnsi"/>
                <w:sz w:val="20"/>
                <w:szCs w:val="20"/>
              </w:rPr>
              <w:t>40 mg: 80 mg/day / strength</w:t>
            </w:r>
          </w:p>
          <w:p w14:paraId="0EE678FC" w14:textId="77777777" w:rsidR="00B46A64" w:rsidRPr="003D04C4" w:rsidRDefault="00B46A64" w:rsidP="005835DF">
            <w:pPr>
              <w:jc w:val="center"/>
              <w:rPr>
                <w:rFonts w:ascii="Arial Narrow" w:hAnsi="Arial Narrow" w:cstheme="minorHAnsi"/>
                <w:sz w:val="20"/>
                <w:szCs w:val="20"/>
              </w:rPr>
            </w:pPr>
            <w:r w:rsidRPr="003D04C4">
              <w:rPr>
                <w:rFonts w:ascii="Arial Narrow" w:hAnsi="Arial Narrow" w:cstheme="minorHAnsi"/>
                <w:sz w:val="20"/>
                <w:szCs w:val="20"/>
              </w:rPr>
              <w:t>20 mg: 40 mg/day / strength</w:t>
            </w:r>
          </w:p>
        </w:tc>
        <w:tc>
          <w:tcPr>
            <w:tcW w:w="467" w:type="pct"/>
            <w:gridSpan w:val="2"/>
            <w:vAlign w:val="center"/>
          </w:tcPr>
          <w:p w14:paraId="3ABC1431" w14:textId="23713DB5" w:rsidR="00B46A64" w:rsidRPr="003D04C4" w:rsidRDefault="00B46A64" w:rsidP="005835DF">
            <w:pPr>
              <w:jc w:val="center"/>
              <w:rPr>
                <w:rFonts w:ascii="Arial Narrow" w:hAnsi="Arial Narrow" w:cstheme="minorHAnsi"/>
                <w:sz w:val="20"/>
                <w:szCs w:val="20"/>
              </w:rPr>
            </w:pPr>
            <w:r w:rsidRPr="003D04C4">
              <w:rPr>
                <w:rFonts w:ascii="Arial Narrow" w:hAnsi="Arial Narrow" w:cstheme="minorHAnsi"/>
                <w:sz w:val="20"/>
                <w:szCs w:val="20"/>
              </w:rPr>
              <w:t>1</w:t>
            </w:r>
          </w:p>
        </w:tc>
        <w:tc>
          <w:tcPr>
            <w:tcW w:w="467" w:type="pct"/>
            <w:vAlign w:val="center"/>
          </w:tcPr>
          <w:p w14:paraId="7BE36898" w14:textId="4A59097E" w:rsidR="00B46A64" w:rsidRPr="003D04C4" w:rsidRDefault="00B46A64" w:rsidP="005835DF">
            <w:pPr>
              <w:jc w:val="center"/>
              <w:rPr>
                <w:rFonts w:ascii="Arial Narrow" w:hAnsi="Arial Narrow" w:cstheme="minorHAnsi"/>
                <w:sz w:val="20"/>
                <w:szCs w:val="20"/>
              </w:rPr>
            </w:pPr>
            <w:r w:rsidRPr="003D04C4">
              <w:rPr>
                <w:rFonts w:ascii="Arial Narrow" w:hAnsi="Arial Narrow" w:cstheme="minorHAnsi"/>
                <w:sz w:val="20"/>
                <w:szCs w:val="20"/>
              </w:rPr>
              <w:t>2</w:t>
            </w:r>
          </w:p>
        </w:tc>
        <w:tc>
          <w:tcPr>
            <w:tcW w:w="1071" w:type="pct"/>
            <w:vAlign w:val="center"/>
          </w:tcPr>
          <w:p w14:paraId="5C5F81ED" w14:textId="4544CFC4" w:rsidR="00B46A64" w:rsidRPr="003D04C4" w:rsidRDefault="00B46A64" w:rsidP="005835DF">
            <w:pPr>
              <w:jc w:val="center"/>
              <w:rPr>
                <w:rFonts w:ascii="Arial Narrow" w:hAnsi="Arial Narrow" w:cstheme="minorHAnsi"/>
                <w:sz w:val="20"/>
                <w:szCs w:val="20"/>
              </w:rPr>
            </w:pPr>
            <w:r w:rsidRPr="003D04C4">
              <w:rPr>
                <w:rFonts w:ascii="Arial Narrow" w:hAnsi="Arial Narrow" w:cstheme="minorHAnsi"/>
                <w:sz w:val="20"/>
                <w:szCs w:val="20"/>
              </w:rPr>
              <w:t>100 mg: 100 mg/day / strength</w:t>
            </w:r>
          </w:p>
          <w:p w14:paraId="5708510A" w14:textId="4A88C665" w:rsidR="00B46A64" w:rsidRPr="003D04C4" w:rsidRDefault="00B46A64"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 xml:space="preserve">70 mg: 140 mg/day / strength </w:t>
            </w:r>
          </w:p>
        </w:tc>
        <w:tc>
          <w:tcPr>
            <w:tcW w:w="375" w:type="pct"/>
            <w:vAlign w:val="center"/>
          </w:tcPr>
          <w:p w14:paraId="7519D4B5" w14:textId="77777777" w:rsidR="00B46A64" w:rsidRPr="003D04C4" w:rsidRDefault="00B46A64" w:rsidP="005835DF">
            <w:pPr>
              <w:jc w:val="center"/>
              <w:rPr>
                <w:rFonts w:ascii="Arial Narrow" w:hAnsi="Arial Narrow" w:cstheme="minorHAnsi"/>
                <w:sz w:val="20"/>
                <w:szCs w:val="20"/>
              </w:rPr>
            </w:pPr>
          </w:p>
        </w:tc>
      </w:tr>
      <w:tr w:rsidR="006D1DBC" w:rsidRPr="003D04C4" w14:paraId="7E86FAA0" w14:textId="77777777" w:rsidTr="002C0790">
        <w:tc>
          <w:tcPr>
            <w:tcW w:w="136" w:type="pct"/>
            <w:vAlign w:val="center"/>
          </w:tcPr>
          <w:p w14:paraId="18224E1B"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C</w:t>
            </w:r>
          </w:p>
        </w:tc>
        <w:tc>
          <w:tcPr>
            <w:tcW w:w="632" w:type="pct"/>
            <w:vAlign w:val="center"/>
          </w:tcPr>
          <w:p w14:paraId="771B2A90" w14:textId="77777777" w:rsidR="006D1DBC" w:rsidRPr="003D04C4" w:rsidRDefault="006D1DBC" w:rsidP="005835DF">
            <w:pPr>
              <w:rPr>
                <w:rFonts w:ascii="Arial Narrow" w:hAnsi="Arial Narrow" w:cstheme="minorHAnsi"/>
                <w:sz w:val="20"/>
                <w:szCs w:val="20"/>
              </w:rPr>
            </w:pPr>
            <w:r w:rsidRPr="003D04C4">
              <w:rPr>
                <w:rFonts w:ascii="Arial Narrow" w:hAnsi="Arial Narrow" w:cstheme="minorHAnsi"/>
                <w:sz w:val="20"/>
                <w:szCs w:val="20"/>
              </w:rPr>
              <w:t>Days per pack</w:t>
            </w:r>
          </w:p>
        </w:tc>
        <w:tc>
          <w:tcPr>
            <w:tcW w:w="838" w:type="pct"/>
            <w:gridSpan w:val="2"/>
            <w:vAlign w:val="center"/>
          </w:tcPr>
          <w:p w14:paraId="683CBE76"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30</w:t>
            </w:r>
          </w:p>
        </w:tc>
        <w:tc>
          <w:tcPr>
            <w:tcW w:w="1011" w:type="pct"/>
            <w:vAlign w:val="center"/>
          </w:tcPr>
          <w:p w14:paraId="7D63A149"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60 caps / B</w:t>
            </w:r>
          </w:p>
        </w:tc>
        <w:tc>
          <w:tcPr>
            <w:tcW w:w="934" w:type="pct"/>
            <w:gridSpan w:val="3"/>
            <w:vAlign w:val="center"/>
          </w:tcPr>
          <w:p w14:paraId="722F675A" w14:textId="77777777" w:rsidR="006D1DBC" w:rsidRPr="003D04C4" w:rsidRDefault="006D1DBC"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30</w:t>
            </w:r>
          </w:p>
        </w:tc>
        <w:tc>
          <w:tcPr>
            <w:tcW w:w="1071" w:type="pct"/>
            <w:vAlign w:val="center"/>
          </w:tcPr>
          <w:p w14:paraId="69DA5B59" w14:textId="070283CF" w:rsidR="006D1DBC" w:rsidRPr="003D04C4" w:rsidRDefault="00B46A64" w:rsidP="005835DF">
            <w:pPr>
              <w:jc w:val="center"/>
              <w:rPr>
                <w:rFonts w:ascii="Arial Narrow" w:hAnsi="Arial Narrow" w:cstheme="minorHAnsi"/>
                <w:sz w:val="20"/>
                <w:szCs w:val="20"/>
              </w:rPr>
            </w:pPr>
            <w:r w:rsidRPr="003D04C4">
              <w:rPr>
                <w:rFonts w:ascii="Arial Narrow" w:hAnsi="Arial Narrow" w:cstheme="minorHAnsi"/>
                <w:sz w:val="20"/>
                <w:szCs w:val="20"/>
              </w:rPr>
              <w:t>100 mg: 30</w:t>
            </w:r>
            <w:r w:rsidR="006D1DBC" w:rsidRPr="003D04C4">
              <w:rPr>
                <w:rFonts w:ascii="Arial Narrow" w:hAnsi="Arial Narrow" w:cstheme="minorHAnsi"/>
                <w:sz w:val="20"/>
                <w:szCs w:val="20"/>
              </w:rPr>
              <w:t xml:space="preserve"> </w:t>
            </w:r>
            <w:r w:rsidRPr="003D04C4">
              <w:rPr>
                <w:rFonts w:ascii="Arial Narrow" w:hAnsi="Arial Narrow" w:cstheme="minorHAnsi"/>
                <w:sz w:val="20"/>
                <w:szCs w:val="20"/>
              </w:rPr>
              <w:t>tabs</w:t>
            </w:r>
            <w:r w:rsidR="006D1DBC" w:rsidRPr="003D04C4">
              <w:rPr>
                <w:rFonts w:ascii="Arial Narrow" w:hAnsi="Arial Narrow" w:cstheme="minorHAnsi"/>
                <w:sz w:val="20"/>
                <w:szCs w:val="20"/>
              </w:rPr>
              <w:t xml:space="preserve"> / B</w:t>
            </w:r>
          </w:p>
          <w:p w14:paraId="1F9CCF06" w14:textId="4ECAB905" w:rsidR="00B46A64" w:rsidRPr="003D04C4" w:rsidRDefault="00B46A64"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70 mg: 60 tabs / B</w:t>
            </w:r>
          </w:p>
        </w:tc>
        <w:tc>
          <w:tcPr>
            <w:tcW w:w="375" w:type="pct"/>
            <w:vAlign w:val="center"/>
          </w:tcPr>
          <w:p w14:paraId="5DBEDF3C"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w:t>
            </w:r>
          </w:p>
        </w:tc>
      </w:tr>
      <w:tr w:rsidR="006D1DBC" w:rsidRPr="003D04C4" w14:paraId="6577D532" w14:textId="77777777" w:rsidTr="002C0790">
        <w:tc>
          <w:tcPr>
            <w:tcW w:w="136" w:type="pct"/>
            <w:vAlign w:val="center"/>
          </w:tcPr>
          <w:p w14:paraId="1B49D9AB"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D</w:t>
            </w:r>
          </w:p>
        </w:tc>
        <w:tc>
          <w:tcPr>
            <w:tcW w:w="632" w:type="pct"/>
            <w:vAlign w:val="center"/>
          </w:tcPr>
          <w:p w14:paraId="7B302D3D" w14:textId="77777777" w:rsidR="006D1DBC" w:rsidRPr="003D04C4" w:rsidRDefault="006D1DBC" w:rsidP="005835DF">
            <w:pPr>
              <w:rPr>
                <w:rFonts w:ascii="Arial Narrow" w:hAnsi="Arial Narrow" w:cstheme="minorHAnsi"/>
                <w:sz w:val="20"/>
                <w:szCs w:val="20"/>
              </w:rPr>
            </w:pPr>
            <w:r w:rsidRPr="003D04C4">
              <w:rPr>
                <w:rFonts w:ascii="Arial Narrow" w:hAnsi="Arial Narrow" w:cstheme="minorHAnsi"/>
                <w:sz w:val="20"/>
                <w:szCs w:val="20"/>
              </w:rPr>
              <w:t>Packs / 2 years</w:t>
            </w:r>
          </w:p>
        </w:tc>
        <w:tc>
          <w:tcPr>
            <w:tcW w:w="838" w:type="pct"/>
            <w:gridSpan w:val="2"/>
            <w:vAlign w:val="center"/>
          </w:tcPr>
          <w:p w14:paraId="02447F3D"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24.35</w:t>
            </w:r>
          </w:p>
        </w:tc>
        <w:tc>
          <w:tcPr>
            <w:tcW w:w="1011" w:type="pct"/>
            <w:vAlign w:val="center"/>
          </w:tcPr>
          <w:p w14:paraId="18D2073A"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A / C</w:t>
            </w:r>
          </w:p>
        </w:tc>
        <w:tc>
          <w:tcPr>
            <w:tcW w:w="934" w:type="pct"/>
            <w:gridSpan w:val="3"/>
            <w:vAlign w:val="center"/>
          </w:tcPr>
          <w:p w14:paraId="4C6BFB29"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24.35</w:t>
            </w:r>
          </w:p>
        </w:tc>
        <w:tc>
          <w:tcPr>
            <w:tcW w:w="1071" w:type="pct"/>
            <w:vAlign w:val="center"/>
          </w:tcPr>
          <w:p w14:paraId="658F427D"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A / C</w:t>
            </w:r>
          </w:p>
        </w:tc>
        <w:tc>
          <w:tcPr>
            <w:tcW w:w="375" w:type="pct"/>
            <w:vAlign w:val="center"/>
          </w:tcPr>
          <w:p w14:paraId="43F69325"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w:t>
            </w:r>
          </w:p>
        </w:tc>
      </w:tr>
      <w:tr w:rsidR="006D1DBC" w:rsidRPr="003D04C4" w14:paraId="33EBC854" w14:textId="77777777" w:rsidTr="002C0790">
        <w:tc>
          <w:tcPr>
            <w:tcW w:w="136" w:type="pct"/>
            <w:vAlign w:val="center"/>
          </w:tcPr>
          <w:p w14:paraId="413AC870"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E</w:t>
            </w:r>
          </w:p>
        </w:tc>
        <w:tc>
          <w:tcPr>
            <w:tcW w:w="632" w:type="pct"/>
            <w:vAlign w:val="center"/>
          </w:tcPr>
          <w:p w14:paraId="07285266" w14:textId="77777777" w:rsidR="006D1DBC" w:rsidRPr="003D04C4" w:rsidRDefault="006D1DBC" w:rsidP="005835DF">
            <w:pPr>
              <w:rPr>
                <w:rFonts w:ascii="Arial Narrow" w:hAnsi="Arial Narrow" w:cstheme="minorHAnsi"/>
                <w:sz w:val="20"/>
                <w:szCs w:val="20"/>
              </w:rPr>
            </w:pPr>
            <w:r w:rsidRPr="003D04C4">
              <w:rPr>
                <w:rFonts w:ascii="Arial Narrow" w:hAnsi="Arial Narrow" w:cstheme="minorHAnsi"/>
                <w:sz w:val="20"/>
                <w:szCs w:val="20"/>
              </w:rPr>
              <w:t>Usage by strength</w:t>
            </w:r>
          </w:p>
        </w:tc>
        <w:tc>
          <w:tcPr>
            <w:tcW w:w="446" w:type="pct"/>
            <w:vAlign w:val="center"/>
          </w:tcPr>
          <w:p w14:paraId="30EDC123" w14:textId="2B444CE6" w:rsidR="006D1DBC" w:rsidRPr="003D04C4" w:rsidRDefault="00B96A78" w:rsidP="005835DF">
            <w:pPr>
              <w:jc w:val="center"/>
              <w:rPr>
                <w:rFonts w:ascii="Arial Narrow" w:hAnsi="Arial Narrow" w:cstheme="minorHAnsi"/>
                <w:sz w:val="20"/>
                <w:szCs w:val="20"/>
              </w:rPr>
            </w:pPr>
            <w:r w:rsidRPr="00B96A78">
              <w:rPr>
                <w:rFonts w:ascii="Arial Narrow" w:hAnsi="Arial Narrow" w:cstheme="minorHAnsi" w:hint="eastAsia"/>
                <w:color w:val="000000"/>
                <w:w w:val="24"/>
                <w:sz w:val="20"/>
                <w:szCs w:val="20"/>
                <w:shd w:val="solid" w:color="000000" w:fill="000000"/>
                <w:fitText w:val="110" w:id="-1301052160"/>
                <w14:textFill>
                  <w14:solidFill>
                    <w14:srgbClr w14:val="000000">
                      <w14:alpha w14:val="100000"/>
                    </w14:srgbClr>
                  </w14:solidFill>
                </w14:textFill>
              </w:rPr>
              <w:t xml:space="preserve">　</w:t>
            </w:r>
            <w:r w:rsidRPr="00B96A78">
              <w:rPr>
                <w:rFonts w:ascii="Arial Narrow" w:hAnsi="Arial Narrow" w:cstheme="minorHAnsi"/>
                <w:color w:val="000000"/>
                <w:w w:val="24"/>
                <w:sz w:val="20"/>
                <w:szCs w:val="20"/>
                <w:shd w:val="solid" w:color="000000" w:fill="000000"/>
                <w:fitText w:val="110" w:id="-1301052160"/>
                <w14:textFill>
                  <w14:solidFill>
                    <w14:srgbClr w14:val="000000">
                      <w14:alpha w14:val="100000"/>
                    </w14:srgbClr>
                  </w14:solidFill>
                </w14:textFill>
              </w:rPr>
              <w:t>|</w:t>
            </w:r>
            <w:r w:rsidRPr="00B96A78">
              <w:rPr>
                <w:rFonts w:ascii="Arial Narrow" w:hAnsi="Arial Narrow" w:cstheme="minorHAnsi" w:hint="eastAsia"/>
                <w:color w:val="000000"/>
                <w:spacing w:val="6"/>
                <w:w w:val="24"/>
                <w:sz w:val="20"/>
                <w:szCs w:val="20"/>
                <w:shd w:val="solid" w:color="000000" w:fill="000000"/>
                <w:fitText w:val="110" w:id="-1301052160"/>
                <w14:textFill>
                  <w14:solidFill>
                    <w14:srgbClr w14:val="000000">
                      <w14:alpha w14:val="100000"/>
                    </w14:srgbClr>
                  </w14:solidFill>
                </w14:textFill>
              </w:rPr>
              <w:t xml:space="preserve">　</w:t>
            </w:r>
            <w:r w:rsidR="006D1DBC" w:rsidRPr="003D04C4">
              <w:rPr>
                <w:rFonts w:ascii="Arial Narrow" w:hAnsi="Arial Narrow" w:cstheme="minorHAnsi"/>
                <w:sz w:val="20"/>
                <w:szCs w:val="20"/>
              </w:rPr>
              <w:t>%</w:t>
            </w:r>
          </w:p>
        </w:tc>
        <w:tc>
          <w:tcPr>
            <w:tcW w:w="392" w:type="pct"/>
            <w:vAlign w:val="center"/>
          </w:tcPr>
          <w:p w14:paraId="2C172A64" w14:textId="78AFF32A" w:rsidR="006D1DBC" w:rsidRPr="003D04C4" w:rsidRDefault="00B96A78" w:rsidP="005835DF">
            <w:pPr>
              <w:jc w:val="center"/>
              <w:rPr>
                <w:rFonts w:ascii="Arial Narrow" w:hAnsi="Arial Narrow" w:cstheme="minorHAnsi"/>
                <w:sz w:val="20"/>
                <w:szCs w:val="20"/>
              </w:rPr>
            </w:pPr>
            <w:r w:rsidRPr="00B96A78">
              <w:rPr>
                <w:rFonts w:ascii="Arial Narrow" w:hAnsi="Arial Narrow" w:cstheme="minorHAnsi"/>
                <w:color w:val="000000"/>
                <w:spacing w:val="84"/>
                <w:sz w:val="20"/>
                <w:szCs w:val="20"/>
                <w:shd w:val="solid" w:color="000000" w:fill="000000"/>
                <w:fitText w:val="170" w:id="-1301052159"/>
                <w14:textFill>
                  <w14:solidFill>
                    <w14:srgbClr w14:val="000000">
                      <w14:alpha w14:val="100000"/>
                    </w14:srgbClr>
                  </w14:solidFill>
                </w14:textFill>
              </w:rPr>
              <w:t>|</w:t>
            </w:r>
            <w:r w:rsidRPr="00B96A78">
              <w:rPr>
                <w:rFonts w:ascii="Arial Narrow" w:hAnsi="Arial Narrow" w:cstheme="minorHAnsi"/>
                <w:color w:val="000000"/>
                <w:spacing w:val="1"/>
                <w:sz w:val="20"/>
                <w:szCs w:val="20"/>
                <w:shd w:val="solid" w:color="000000" w:fill="000000"/>
                <w:fitText w:val="170" w:id="-1301052159"/>
                <w14:textFill>
                  <w14:solidFill>
                    <w14:srgbClr w14:val="000000">
                      <w14:alpha w14:val="100000"/>
                    </w14:srgbClr>
                  </w14:solidFill>
                </w14:textFill>
              </w:rPr>
              <w:t>|</w:t>
            </w:r>
            <w:r w:rsidR="006D1DBC" w:rsidRPr="003D04C4">
              <w:rPr>
                <w:rFonts w:ascii="Arial Narrow" w:hAnsi="Arial Narrow" w:cstheme="minorHAnsi"/>
                <w:sz w:val="20"/>
                <w:szCs w:val="20"/>
              </w:rPr>
              <w:t>%</w:t>
            </w:r>
          </w:p>
        </w:tc>
        <w:tc>
          <w:tcPr>
            <w:tcW w:w="1011" w:type="pct"/>
            <w:vAlign w:val="center"/>
          </w:tcPr>
          <w:p w14:paraId="0FC20D88"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 xml:space="preserve">Equi-effective dose: </w:t>
            </w:r>
          </w:p>
          <w:p w14:paraId="228DCDA9" w14:textId="451C76BB"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(80*99.5+40*0.5)/100</w:t>
            </w:r>
            <w:r w:rsidR="00B00E78" w:rsidRPr="003D04C4">
              <w:rPr>
                <w:rFonts w:ascii="Arial Narrow" w:hAnsi="Arial Narrow" w:cstheme="minorHAnsi"/>
                <w:sz w:val="20"/>
                <w:szCs w:val="20"/>
              </w:rPr>
              <w:t xml:space="preserve"> </w:t>
            </w:r>
            <w:r w:rsidRPr="003D04C4">
              <w:rPr>
                <w:rFonts w:ascii="Arial Narrow" w:hAnsi="Arial Narrow" w:cstheme="minorHAnsi"/>
                <w:sz w:val="20"/>
                <w:szCs w:val="20"/>
              </w:rPr>
              <w:t>=</w:t>
            </w:r>
          </w:p>
          <w:p w14:paraId="3517892A"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79.8 mg/day</w:t>
            </w:r>
          </w:p>
        </w:tc>
        <w:tc>
          <w:tcPr>
            <w:tcW w:w="455" w:type="pct"/>
            <w:vAlign w:val="center"/>
          </w:tcPr>
          <w:p w14:paraId="62F5CFA5" w14:textId="0FE76C46" w:rsidR="006D1DBC" w:rsidRPr="003D04C4" w:rsidRDefault="00AC256F" w:rsidP="005835DF">
            <w:pPr>
              <w:jc w:val="center"/>
              <w:rPr>
                <w:rFonts w:ascii="Arial Narrow" w:hAnsi="Arial Narrow" w:cstheme="minorHAnsi"/>
                <w:sz w:val="20"/>
                <w:szCs w:val="20"/>
              </w:rPr>
            </w:pPr>
            <w:r w:rsidRPr="003D04C4">
              <w:rPr>
                <w:rFonts w:ascii="Arial Narrow" w:hAnsi="Arial Narrow" w:cstheme="minorHAnsi"/>
                <w:sz w:val="20"/>
                <w:szCs w:val="20"/>
              </w:rPr>
              <w:t>72.5</w:t>
            </w:r>
            <w:r w:rsidR="006D1DBC" w:rsidRPr="003D04C4">
              <w:rPr>
                <w:rFonts w:ascii="Arial Narrow" w:hAnsi="Arial Narrow" w:cstheme="minorHAnsi"/>
                <w:sz w:val="20"/>
                <w:szCs w:val="20"/>
              </w:rPr>
              <w:t>%</w:t>
            </w:r>
          </w:p>
        </w:tc>
        <w:tc>
          <w:tcPr>
            <w:tcW w:w="479" w:type="pct"/>
            <w:gridSpan w:val="2"/>
            <w:vAlign w:val="center"/>
          </w:tcPr>
          <w:p w14:paraId="0B2BE069" w14:textId="4BA918A7" w:rsidR="006D1DBC" w:rsidRPr="003D04C4" w:rsidRDefault="00B46A64" w:rsidP="005835DF">
            <w:pPr>
              <w:jc w:val="center"/>
              <w:rPr>
                <w:rFonts w:ascii="Arial Narrow" w:hAnsi="Arial Narrow" w:cstheme="minorHAnsi"/>
                <w:sz w:val="20"/>
                <w:szCs w:val="20"/>
              </w:rPr>
            </w:pPr>
            <w:r w:rsidRPr="003D04C4">
              <w:rPr>
                <w:rFonts w:ascii="Arial Narrow" w:hAnsi="Arial Narrow" w:cstheme="minorHAnsi"/>
                <w:sz w:val="20"/>
                <w:szCs w:val="20"/>
              </w:rPr>
              <w:t>27.5</w:t>
            </w:r>
            <w:r w:rsidR="006D1DBC" w:rsidRPr="003D04C4">
              <w:rPr>
                <w:rFonts w:ascii="Arial Narrow" w:hAnsi="Arial Narrow" w:cstheme="minorHAnsi"/>
                <w:sz w:val="20"/>
                <w:szCs w:val="20"/>
              </w:rPr>
              <w:t>%</w:t>
            </w:r>
          </w:p>
        </w:tc>
        <w:tc>
          <w:tcPr>
            <w:tcW w:w="1071" w:type="pct"/>
            <w:vAlign w:val="center"/>
          </w:tcPr>
          <w:p w14:paraId="2D4CCC1A"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Equi-effective dose:</w:t>
            </w:r>
          </w:p>
          <w:p w14:paraId="2D0DEF9E" w14:textId="0CA3C9B6" w:rsidR="00B46A64"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w:t>
            </w:r>
            <w:r w:rsidR="00B46A64" w:rsidRPr="003D04C4">
              <w:rPr>
                <w:rFonts w:ascii="Arial Narrow" w:hAnsi="Arial Narrow" w:cstheme="minorHAnsi"/>
                <w:sz w:val="20"/>
                <w:szCs w:val="20"/>
              </w:rPr>
              <w:t>1</w:t>
            </w:r>
            <w:r w:rsidRPr="003D04C4">
              <w:rPr>
                <w:rFonts w:ascii="Arial Narrow" w:hAnsi="Arial Narrow" w:cstheme="minorHAnsi"/>
                <w:sz w:val="20"/>
                <w:szCs w:val="20"/>
              </w:rPr>
              <w:t>00*</w:t>
            </w:r>
            <w:r w:rsidR="00B46A64" w:rsidRPr="003D04C4">
              <w:rPr>
                <w:rFonts w:ascii="Arial Narrow" w:hAnsi="Arial Narrow" w:cstheme="minorHAnsi"/>
                <w:sz w:val="20"/>
                <w:szCs w:val="20"/>
              </w:rPr>
              <w:t>72</w:t>
            </w:r>
            <w:r w:rsidRPr="003D04C4">
              <w:rPr>
                <w:rFonts w:ascii="Arial Narrow" w:hAnsi="Arial Narrow" w:cstheme="minorHAnsi"/>
                <w:sz w:val="20"/>
                <w:szCs w:val="20"/>
              </w:rPr>
              <w:t>.5+</w:t>
            </w:r>
            <w:r w:rsidR="003321B0" w:rsidRPr="003D04C4">
              <w:rPr>
                <w:rFonts w:ascii="Arial Narrow" w:hAnsi="Arial Narrow" w:cstheme="minorHAnsi"/>
                <w:sz w:val="20"/>
                <w:szCs w:val="20"/>
              </w:rPr>
              <w:t>140</w:t>
            </w:r>
            <w:r w:rsidRPr="003D04C4">
              <w:rPr>
                <w:rFonts w:ascii="Arial Narrow" w:hAnsi="Arial Narrow" w:cstheme="minorHAnsi"/>
                <w:sz w:val="20"/>
                <w:szCs w:val="20"/>
              </w:rPr>
              <w:t>*</w:t>
            </w:r>
            <w:r w:rsidR="003321B0" w:rsidRPr="003D04C4">
              <w:rPr>
                <w:rFonts w:ascii="Arial Narrow" w:hAnsi="Arial Narrow" w:cstheme="minorHAnsi"/>
                <w:sz w:val="20"/>
                <w:szCs w:val="20"/>
              </w:rPr>
              <w:t>27.</w:t>
            </w:r>
            <w:r w:rsidRPr="003D04C4">
              <w:rPr>
                <w:rFonts w:ascii="Arial Narrow" w:hAnsi="Arial Narrow" w:cstheme="minorHAnsi"/>
                <w:sz w:val="20"/>
                <w:szCs w:val="20"/>
              </w:rPr>
              <w:t xml:space="preserve">5)/100 = </w:t>
            </w:r>
          </w:p>
          <w:p w14:paraId="763EBE82" w14:textId="54FF662A" w:rsidR="006D1DBC" w:rsidRPr="003D04C4" w:rsidRDefault="003321B0"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111</w:t>
            </w:r>
            <w:r w:rsidR="006D1DBC" w:rsidRPr="003D04C4">
              <w:rPr>
                <w:rFonts w:ascii="Arial Narrow" w:hAnsi="Arial Narrow" w:cstheme="minorHAnsi"/>
                <w:sz w:val="20"/>
                <w:szCs w:val="20"/>
              </w:rPr>
              <w:t xml:space="preserve"> mg/day</w:t>
            </w:r>
          </w:p>
        </w:tc>
        <w:tc>
          <w:tcPr>
            <w:tcW w:w="375" w:type="pct"/>
            <w:vAlign w:val="center"/>
          </w:tcPr>
          <w:p w14:paraId="601F82DA"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w:t>
            </w:r>
          </w:p>
        </w:tc>
      </w:tr>
      <w:tr w:rsidR="006D1DBC" w:rsidRPr="003D04C4" w14:paraId="0B928110" w14:textId="77777777" w:rsidTr="002C0790">
        <w:tc>
          <w:tcPr>
            <w:tcW w:w="136" w:type="pct"/>
            <w:vAlign w:val="center"/>
          </w:tcPr>
          <w:p w14:paraId="7770FDE7"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F</w:t>
            </w:r>
          </w:p>
        </w:tc>
        <w:tc>
          <w:tcPr>
            <w:tcW w:w="632" w:type="pct"/>
            <w:vAlign w:val="center"/>
          </w:tcPr>
          <w:p w14:paraId="44C97A62" w14:textId="13C3905F" w:rsidR="006D1DBC" w:rsidRPr="00716D0B" w:rsidRDefault="006D1DBC" w:rsidP="005835DF">
            <w:pPr>
              <w:rPr>
                <w:rFonts w:ascii="Arial Narrow" w:hAnsi="Arial Narrow" w:cstheme="minorHAnsi"/>
                <w:sz w:val="20"/>
                <w:szCs w:val="20"/>
                <w:vertAlign w:val="superscript"/>
              </w:rPr>
            </w:pPr>
            <w:r w:rsidRPr="003D04C4">
              <w:rPr>
                <w:rFonts w:ascii="Arial Narrow" w:hAnsi="Arial Narrow" w:cstheme="minorHAnsi"/>
                <w:sz w:val="20"/>
                <w:szCs w:val="20"/>
              </w:rPr>
              <w:t>Scripts / 2 years</w:t>
            </w:r>
          </w:p>
        </w:tc>
        <w:tc>
          <w:tcPr>
            <w:tcW w:w="446" w:type="pct"/>
            <w:vAlign w:val="center"/>
          </w:tcPr>
          <w:p w14:paraId="0068D800" w14:textId="41A2952C" w:rsidR="006D1DBC" w:rsidRPr="00716D0B" w:rsidRDefault="00B96A78" w:rsidP="005835DF">
            <w:pPr>
              <w:jc w:val="center"/>
              <w:rPr>
                <w:rFonts w:ascii="Arial Narrow" w:hAnsi="Arial Narrow" w:cstheme="minorHAnsi"/>
                <w:sz w:val="20"/>
                <w:szCs w:val="20"/>
                <w:highlight w:val="darkGray"/>
              </w:rPr>
            </w:pPr>
            <w:r w:rsidRPr="00B96A78">
              <w:rPr>
                <w:rFonts w:ascii="Arial Narrow" w:hAnsi="Arial Narrow" w:cstheme="minorHAnsi" w:hint="eastAsia"/>
                <w:color w:val="000000"/>
                <w:w w:val="15"/>
                <w:sz w:val="20"/>
                <w:szCs w:val="20"/>
                <w:shd w:val="solid" w:color="000000" w:fill="000000"/>
                <w:fitText w:val="60" w:id="-1301052158"/>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60" w:id="-1301052158"/>
                <w14:textFill>
                  <w14:solidFill>
                    <w14:srgbClr w14:val="000000">
                      <w14:alpha w14:val="100000"/>
                    </w14:srgbClr>
                  </w14:solidFill>
                </w14:textFill>
              </w:rPr>
              <w:t>|</w:t>
            </w:r>
            <w:r w:rsidRPr="00B96A78">
              <w:rPr>
                <w:rFonts w:ascii="Arial Narrow" w:hAnsi="Arial Narrow" w:cstheme="minorHAnsi" w:hint="eastAsia"/>
                <w:color w:val="000000"/>
                <w:spacing w:val="-5"/>
                <w:w w:val="15"/>
                <w:sz w:val="20"/>
                <w:szCs w:val="20"/>
                <w:shd w:val="solid" w:color="000000" w:fill="000000"/>
                <w:fitText w:val="60" w:id="-1301052158"/>
                <w14:textFill>
                  <w14:solidFill>
                    <w14:srgbClr w14:val="000000">
                      <w14:alpha w14:val="100000"/>
                    </w14:srgbClr>
                  </w14:solidFill>
                </w14:textFill>
              </w:rPr>
              <w:t xml:space="preserve">　</w:t>
            </w:r>
            <w:r w:rsidR="007D6388">
              <w:rPr>
                <w:rFonts w:ascii="Arial Narrow" w:hAnsi="Arial Narrow" w:cstheme="minorHAnsi"/>
                <w:sz w:val="20"/>
                <w:szCs w:val="20"/>
                <w:vertAlign w:val="superscript"/>
              </w:rPr>
              <w:t>1</w:t>
            </w:r>
          </w:p>
        </w:tc>
        <w:tc>
          <w:tcPr>
            <w:tcW w:w="392" w:type="pct"/>
            <w:vAlign w:val="center"/>
          </w:tcPr>
          <w:p w14:paraId="513315AC" w14:textId="6BDF69E4" w:rsidR="006D1DBC" w:rsidRPr="00716D0B" w:rsidRDefault="00B96A78" w:rsidP="005835DF">
            <w:pPr>
              <w:jc w:val="center"/>
              <w:rPr>
                <w:rFonts w:ascii="Arial Narrow" w:hAnsi="Arial Narrow" w:cstheme="minorHAnsi"/>
                <w:sz w:val="20"/>
                <w:szCs w:val="20"/>
                <w:highlight w:val="darkGray"/>
              </w:rPr>
            </w:pPr>
            <w:r w:rsidRPr="00B96A78">
              <w:rPr>
                <w:rFonts w:ascii="Arial Narrow" w:hAnsi="Arial Narrow" w:cstheme="minorHAnsi" w:hint="eastAsia"/>
                <w:color w:val="000000"/>
                <w:w w:val="31"/>
                <w:sz w:val="20"/>
                <w:szCs w:val="20"/>
                <w:shd w:val="solid" w:color="000000" w:fill="000000"/>
                <w:fitText w:val="140" w:id="-1301052157"/>
                <w14:textFill>
                  <w14:solidFill>
                    <w14:srgbClr w14:val="000000">
                      <w14:alpha w14:val="100000"/>
                    </w14:srgbClr>
                  </w14:solidFill>
                </w14:textFill>
              </w:rPr>
              <w:t xml:space="preserve">　</w:t>
            </w:r>
            <w:r w:rsidRPr="00B96A78">
              <w:rPr>
                <w:rFonts w:ascii="Arial Narrow" w:hAnsi="Arial Narrow" w:cstheme="minorHAnsi"/>
                <w:color w:val="000000"/>
                <w:w w:val="31"/>
                <w:sz w:val="20"/>
                <w:szCs w:val="20"/>
                <w:shd w:val="solid" w:color="000000" w:fill="000000"/>
                <w:fitText w:val="140" w:id="-1301052157"/>
                <w14:textFill>
                  <w14:solidFill>
                    <w14:srgbClr w14:val="000000">
                      <w14:alpha w14:val="100000"/>
                    </w14:srgbClr>
                  </w14:solidFill>
                </w14:textFill>
              </w:rPr>
              <w:t>|</w:t>
            </w:r>
            <w:r w:rsidRPr="00B96A78">
              <w:rPr>
                <w:rFonts w:ascii="Arial Narrow" w:hAnsi="Arial Narrow" w:cstheme="minorHAnsi" w:hint="eastAsia"/>
                <w:color w:val="000000"/>
                <w:spacing w:val="4"/>
                <w:w w:val="31"/>
                <w:sz w:val="20"/>
                <w:szCs w:val="20"/>
                <w:shd w:val="solid" w:color="000000" w:fill="000000"/>
                <w:fitText w:val="140" w:id="-1301052157"/>
                <w14:textFill>
                  <w14:solidFill>
                    <w14:srgbClr w14:val="000000">
                      <w14:alpha w14:val="100000"/>
                    </w14:srgbClr>
                  </w14:solidFill>
                </w14:textFill>
              </w:rPr>
              <w:t xml:space="preserve">　</w:t>
            </w:r>
            <w:r w:rsidR="007D6388">
              <w:rPr>
                <w:rFonts w:ascii="Arial Narrow" w:hAnsi="Arial Narrow" w:cstheme="minorHAnsi"/>
                <w:sz w:val="20"/>
                <w:szCs w:val="20"/>
                <w:vertAlign w:val="superscript"/>
              </w:rPr>
              <w:t>1</w:t>
            </w:r>
          </w:p>
        </w:tc>
        <w:tc>
          <w:tcPr>
            <w:tcW w:w="1011" w:type="pct"/>
            <w:vAlign w:val="center"/>
          </w:tcPr>
          <w:p w14:paraId="2FD33EA1" w14:textId="77777777" w:rsidR="006D1DBC" w:rsidRPr="003D04C4" w:rsidRDefault="006D1DBC"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D * E</w:t>
            </w:r>
          </w:p>
        </w:tc>
        <w:tc>
          <w:tcPr>
            <w:tcW w:w="455" w:type="pct"/>
            <w:vAlign w:val="center"/>
          </w:tcPr>
          <w:p w14:paraId="561671DD" w14:textId="77A82367" w:rsidR="006D1DBC" w:rsidRPr="003D04C4" w:rsidRDefault="003321B0"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17.65</w:t>
            </w:r>
          </w:p>
        </w:tc>
        <w:tc>
          <w:tcPr>
            <w:tcW w:w="479" w:type="pct"/>
            <w:gridSpan w:val="2"/>
            <w:vAlign w:val="center"/>
          </w:tcPr>
          <w:p w14:paraId="361B2126" w14:textId="76D6CA18" w:rsidR="006D1DBC" w:rsidRPr="003D04C4" w:rsidRDefault="007C3BF6"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6.70</w:t>
            </w:r>
          </w:p>
        </w:tc>
        <w:tc>
          <w:tcPr>
            <w:tcW w:w="1071" w:type="pct"/>
            <w:vAlign w:val="center"/>
          </w:tcPr>
          <w:p w14:paraId="49D37DEE" w14:textId="77777777" w:rsidR="006D1DBC" w:rsidRPr="003D04C4" w:rsidRDefault="006D1DBC"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D * E</w:t>
            </w:r>
          </w:p>
        </w:tc>
        <w:tc>
          <w:tcPr>
            <w:tcW w:w="375" w:type="pct"/>
            <w:vAlign w:val="center"/>
          </w:tcPr>
          <w:p w14:paraId="5192E61B" w14:textId="77777777" w:rsidR="006D1DBC" w:rsidRPr="003D04C4" w:rsidRDefault="006D1DBC" w:rsidP="005835DF">
            <w:pPr>
              <w:jc w:val="center"/>
              <w:rPr>
                <w:rFonts w:ascii="Arial Narrow" w:hAnsi="Arial Narrow" w:cstheme="minorHAnsi"/>
                <w:sz w:val="20"/>
                <w:szCs w:val="20"/>
              </w:rPr>
            </w:pPr>
          </w:p>
        </w:tc>
      </w:tr>
      <w:tr w:rsidR="006D1DBC" w:rsidRPr="003D04C4" w14:paraId="69352C84" w14:textId="77777777" w:rsidTr="002C0790">
        <w:tc>
          <w:tcPr>
            <w:tcW w:w="136" w:type="pct"/>
            <w:vAlign w:val="center"/>
          </w:tcPr>
          <w:p w14:paraId="0E6E01D5"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G</w:t>
            </w:r>
          </w:p>
        </w:tc>
        <w:tc>
          <w:tcPr>
            <w:tcW w:w="632" w:type="pct"/>
            <w:vAlign w:val="center"/>
          </w:tcPr>
          <w:p w14:paraId="2D48F2A4" w14:textId="49A13501" w:rsidR="006D1DBC" w:rsidRPr="003D04C4" w:rsidRDefault="001618C3" w:rsidP="005835DF">
            <w:pPr>
              <w:jc w:val="left"/>
              <w:rPr>
                <w:rFonts w:ascii="Arial Narrow" w:hAnsi="Arial Narrow" w:cstheme="minorHAnsi"/>
                <w:sz w:val="20"/>
                <w:szCs w:val="20"/>
              </w:rPr>
            </w:pPr>
            <w:r w:rsidRPr="003D04C4">
              <w:rPr>
                <w:rFonts w:ascii="Arial Narrow" w:hAnsi="Arial Narrow" w:cstheme="minorHAnsi"/>
                <w:sz w:val="20"/>
                <w:szCs w:val="20"/>
              </w:rPr>
              <w:t xml:space="preserve">Effective </w:t>
            </w:r>
            <w:r w:rsidR="006D1DBC" w:rsidRPr="003D04C4">
              <w:rPr>
                <w:rFonts w:ascii="Arial Narrow" w:hAnsi="Arial Narrow" w:cstheme="minorHAnsi"/>
                <w:sz w:val="20"/>
                <w:szCs w:val="20"/>
              </w:rPr>
              <w:t>AEMP per script</w:t>
            </w:r>
          </w:p>
        </w:tc>
        <w:tc>
          <w:tcPr>
            <w:tcW w:w="446" w:type="pct"/>
            <w:vAlign w:val="center"/>
          </w:tcPr>
          <w:p w14:paraId="62914223" w14:textId="4B30E807" w:rsidR="006D1DBC" w:rsidRPr="003D04C4" w:rsidRDefault="00E00D92"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w:t>
            </w:r>
            <w:r w:rsidR="00B96A78" w:rsidRPr="00B96A78">
              <w:rPr>
                <w:rFonts w:ascii="Arial Narrow" w:hAnsi="Arial Narrow" w:cstheme="minorHAnsi" w:hint="eastAsia"/>
                <w:color w:val="000000"/>
                <w:w w:val="18"/>
                <w:sz w:val="20"/>
                <w:szCs w:val="20"/>
                <w:shd w:val="solid" w:color="000000" w:fill="000000"/>
                <w:fitText w:val="80" w:id="-1301052156"/>
                <w14:textFill>
                  <w14:solidFill>
                    <w14:srgbClr w14:val="000000">
                      <w14:alpha w14:val="100000"/>
                    </w14:srgbClr>
                  </w14:solidFill>
                </w14:textFill>
              </w:rPr>
              <w:t xml:space="preserve">　</w:t>
            </w:r>
            <w:r w:rsidR="00B96A78" w:rsidRPr="00B96A78">
              <w:rPr>
                <w:rFonts w:ascii="Arial Narrow" w:hAnsi="Arial Narrow" w:cstheme="minorHAnsi"/>
                <w:color w:val="000000"/>
                <w:w w:val="18"/>
                <w:sz w:val="20"/>
                <w:szCs w:val="20"/>
                <w:shd w:val="solid" w:color="000000" w:fill="000000"/>
                <w:fitText w:val="80" w:id="-1301052156"/>
                <w14:textFill>
                  <w14:solidFill>
                    <w14:srgbClr w14:val="000000">
                      <w14:alpha w14:val="100000"/>
                    </w14:srgbClr>
                  </w14:solidFill>
                </w14:textFill>
              </w:rPr>
              <w:t>|</w:t>
            </w:r>
            <w:r w:rsidR="00B96A78" w:rsidRPr="00B96A78">
              <w:rPr>
                <w:rFonts w:ascii="Arial Narrow" w:hAnsi="Arial Narrow" w:cstheme="minorHAnsi" w:hint="eastAsia"/>
                <w:color w:val="000000"/>
                <w:w w:val="18"/>
                <w:sz w:val="20"/>
                <w:szCs w:val="20"/>
                <w:shd w:val="solid" w:color="000000" w:fill="000000"/>
                <w:fitText w:val="80" w:id="-1301052156"/>
                <w14:textFill>
                  <w14:solidFill>
                    <w14:srgbClr w14:val="000000">
                      <w14:alpha w14:val="100000"/>
                    </w14:srgbClr>
                  </w14:solidFill>
                </w14:textFill>
              </w:rPr>
              <w:t xml:space="preserve">　</w:t>
            </w:r>
          </w:p>
        </w:tc>
        <w:tc>
          <w:tcPr>
            <w:tcW w:w="392" w:type="pct"/>
            <w:vAlign w:val="center"/>
          </w:tcPr>
          <w:p w14:paraId="0133B5F1" w14:textId="3F25E125" w:rsidR="006D1DBC" w:rsidRPr="003D04C4" w:rsidRDefault="00E00D92"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w:t>
            </w:r>
            <w:r w:rsidR="00B96A78" w:rsidRPr="00B96A78">
              <w:rPr>
                <w:rFonts w:ascii="Arial Narrow" w:hAnsi="Arial Narrow" w:cstheme="minorHAnsi" w:hint="eastAsia"/>
                <w:color w:val="000000"/>
                <w:w w:val="33"/>
                <w:sz w:val="20"/>
                <w:szCs w:val="20"/>
                <w:shd w:val="solid" w:color="000000" w:fill="000000"/>
                <w:fitText w:val="150" w:id="-1301052155"/>
                <w14:textFill>
                  <w14:solidFill>
                    <w14:srgbClr w14:val="000000">
                      <w14:alpha w14:val="100000"/>
                    </w14:srgbClr>
                  </w14:solidFill>
                </w14:textFill>
              </w:rPr>
              <w:t xml:space="preserve">　</w:t>
            </w:r>
            <w:r w:rsidR="00B96A78" w:rsidRPr="00B96A78">
              <w:rPr>
                <w:rFonts w:ascii="Arial Narrow" w:hAnsi="Arial Narrow" w:cstheme="minorHAnsi"/>
                <w:color w:val="000000"/>
                <w:w w:val="33"/>
                <w:sz w:val="20"/>
                <w:szCs w:val="20"/>
                <w:shd w:val="solid" w:color="000000" w:fill="000000"/>
                <w:fitText w:val="150" w:id="-1301052155"/>
                <w14:textFill>
                  <w14:solidFill>
                    <w14:srgbClr w14:val="000000">
                      <w14:alpha w14:val="100000"/>
                    </w14:srgbClr>
                  </w14:solidFill>
                </w14:textFill>
              </w:rPr>
              <w:t>|</w:t>
            </w:r>
            <w:r w:rsidR="00B96A78" w:rsidRPr="00B96A78">
              <w:rPr>
                <w:rFonts w:ascii="Arial Narrow" w:hAnsi="Arial Narrow" w:cstheme="minorHAnsi" w:hint="eastAsia"/>
                <w:color w:val="000000"/>
                <w:spacing w:val="4"/>
                <w:w w:val="33"/>
                <w:sz w:val="20"/>
                <w:szCs w:val="20"/>
                <w:shd w:val="solid" w:color="000000" w:fill="000000"/>
                <w:fitText w:val="150" w:id="-1301052155"/>
                <w14:textFill>
                  <w14:solidFill>
                    <w14:srgbClr w14:val="000000">
                      <w14:alpha w14:val="100000"/>
                    </w14:srgbClr>
                  </w14:solidFill>
                </w14:textFill>
              </w:rPr>
              <w:t xml:space="preserve">　</w:t>
            </w:r>
          </w:p>
        </w:tc>
        <w:tc>
          <w:tcPr>
            <w:tcW w:w="1011" w:type="pct"/>
            <w:vAlign w:val="center"/>
          </w:tcPr>
          <w:p w14:paraId="37D78F2E"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40 mg: H / F</w:t>
            </w:r>
          </w:p>
          <w:p w14:paraId="639CAD21" w14:textId="77777777" w:rsidR="006D1DBC" w:rsidRPr="003D04C4" w:rsidRDefault="006D1DBC"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20 mg = 40 mg</w:t>
            </w:r>
          </w:p>
        </w:tc>
        <w:tc>
          <w:tcPr>
            <w:tcW w:w="455" w:type="pct"/>
            <w:vAlign w:val="center"/>
          </w:tcPr>
          <w:p w14:paraId="0CAAB2FE" w14:textId="57B8429F" w:rsidR="006D1DBC" w:rsidRPr="003D04C4" w:rsidRDefault="00AC256F" w:rsidP="005835DF">
            <w:pPr>
              <w:jc w:val="center"/>
              <w:rPr>
                <w:rFonts w:ascii="Arial Narrow" w:hAnsi="Arial Narrow" w:cstheme="minorHAnsi"/>
                <w:sz w:val="20"/>
                <w:szCs w:val="20"/>
                <w:highlight w:val="lightGray"/>
              </w:rPr>
            </w:pPr>
            <w:r w:rsidRPr="003D04C4">
              <w:rPr>
                <w:rFonts w:ascii="Arial Narrow" w:hAnsi="Arial Narrow" w:cs="Calibri"/>
                <w:color w:val="000000"/>
                <w:sz w:val="20"/>
                <w:szCs w:val="20"/>
              </w:rPr>
              <w:t>$3,085.89</w:t>
            </w:r>
          </w:p>
        </w:tc>
        <w:tc>
          <w:tcPr>
            <w:tcW w:w="479" w:type="pct"/>
            <w:gridSpan w:val="2"/>
            <w:vAlign w:val="center"/>
          </w:tcPr>
          <w:p w14:paraId="0BA17240" w14:textId="37F4F03C" w:rsidR="006D1DBC" w:rsidRPr="003D04C4" w:rsidRDefault="006D1DBC"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w:t>
            </w:r>
            <w:r w:rsidR="00417B38" w:rsidRPr="003D04C4">
              <w:rPr>
                <w:rFonts w:ascii="Arial Narrow" w:hAnsi="Arial Narrow" w:cstheme="minorHAnsi"/>
                <w:sz w:val="20"/>
                <w:szCs w:val="20"/>
              </w:rPr>
              <w:t>3,820</w:t>
            </w:r>
            <w:r w:rsidRPr="003D04C4">
              <w:rPr>
                <w:rFonts w:ascii="Arial Narrow" w:hAnsi="Arial Narrow" w:cstheme="minorHAnsi"/>
                <w:sz w:val="20"/>
                <w:szCs w:val="20"/>
              </w:rPr>
              <w:t>.54</w:t>
            </w:r>
          </w:p>
        </w:tc>
        <w:tc>
          <w:tcPr>
            <w:tcW w:w="1071" w:type="pct"/>
            <w:vAlign w:val="center"/>
          </w:tcPr>
          <w:p w14:paraId="326D16C9" w14:textId="221616D7" w:rsidR="002C0790" w:rsidRPr="003D04C4" w:rsidRDefault="002C0790" w:rsidP="005835DF">
            <w:pPr>
              <w:jc w:val="center"/>
              <w:rPr>
                <w:rFonts w:ascii="Arial Narrow" w:hAnsi="Arial Narrow" w:cstheme="minorHAnsi"/>
                <w:sz w:val="20"/>
                <w:szCs w:val="20"/>
              </w:rPr>
            </w:pPr>
            <w:r w:rsidRPr="003D04C4">
              <w:rPr>
                <w:rFonts w:ascii="Arial Narrow" w:hAnsi="Arial Narrow" w:cstheme="minorHAnsi"/>
                <w:sz w:val="20"/>
                <w:szCs w:val="20"/>
              </w:rPr>
              <w:t>100 mg: PBS items 12902C,12842X</w:t>
            </w:r>
          </w:p>
          <w:p w14:paraId="4BA8A8A9" w14:textId="5B195528" w:rsidR="002C0790" w:rsidRPr="003D04C4" w:rsidRDefault="002C0790" w:rsidP="005835DF">
            <w:pPr>
              <w:jc w:val="center"/>
              <w:rPr>
                <w:rFonts w:ascii="Arial Narrow" w:hAnsi="Arial Narrow" w:cstheme="minorHAnsi"/>
                <w:sz w:val="20"/>
                <w:szCs w:val="20"/>
              </w:rPr>
            </w:pPr>
            <w:r w:rsidRPr="003D04C4">
              <w:rPr>
                <w:rFonts w:ascii="Arial Narrow" w:hAnsi="Arial Narrow" w:cstheme="minorHAnsi"/>
                <w:sz w:val="20"/>
                <w:szCs w:val="20"/>
              </w:rPr>
              <w:t xml:space="preserve">70 mg: </w:t>
            </w:r>
            <w:r w:rsidR="006D1DBC" w:rsidRPr="003D04C4">
              <w:rPr>
                <w:rFonts w:ascii="Arial Narrow" w:hAnsi="Arial Narrow" w:cstheme="minorHAnsi"/>
                <w:sz w:val="20"/>
                <w:szCs w:val="20"/>
              </w:rPr>
              <w:t xml:space="preserve">PBS items </w:t>
            </w:r>
            <w:r w:rsidRPr="003D04C4">
              <w:rPr>
                <w:rFonts w:ascii="Arial Narrow" w:hAnsi="Arial Narrow" w:cstheme="minorHAnsi"/>
                <w:sz w:val="20"/>
                <w:szCs w:val="20"/>
              </w:rPr>
              <w:t>12886F,12866E</w:t>
            </w:r>
          </w:p>
        </w:tc>
        <w:tc>
          <w:tcPr>
            <w:tcW w:w="375" w:type="pct"/>
            <w:vAlign w:val="center"/>
          </w:tcPr>
          <w:p w14:paraId="205B4A11"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w:t>
            </w:r>
          </w:p>
        </w:tc>
      </w:tr>
      <w:tr w:rsidR="00E00D92" w:rsidRPr="003D04C4" w14:paraId="7DB4A73F" w14:textId="77777777" w:rsidTr="00DC5493">
        <w:tc>
          <w:tcPr>
            <w:tcW w:w="136" w:type="pct"/>
            <w:vMerge w:val="restart"/>
            <w:vAlign w:val="center"/>
          </w:tcPr>
          <w:p w14:paraId="37F9A297" w14:textId="77777777" w:rsidR="00E00D92" w:rsidRPr="003D04C4" w:rsidRDefault="00E00D92" w:rsidP="005835DF">
            <w:pPr>
              <w:jc w:val="center"/>
              <w:rPr>
                <w:rFonts w:ascii="Arial Narrow" w:hAnsi="Arial Narrow" w:cstheme="minorHAnsi"/>
                <w:sz w:val="20"/>
                <w:szCs w:val="20"/>
              </w:rPr>
            </w:pPr>
            <w:r w:rsidRPr="003D04C4">
              <w:rPr>
                <w:rFonts w:ascii="Arial Narrow" w:hAnsi="Arial Narrow" w:cstheme="minorHAnsi"/>
                <w:sz w:val="20"/>
                <w:szCs w:val="20"/>
              </w:rPr>
              <w:t>H</w:t>
            </w:r>
          </w:p>
        </w:tc>
        <w:tc>
          <w:tcPr>
            <w:tcW w:w="632" w:type="pct"/>
            <w:vMerge w:val="restart"/>
            <w:vAlign w:val="center"/>
          </w:tcPr>
          <w:p w14:paraId="7EDF3E23" w14:textId="77777777" w:rsidR="00E00D92" w:rsidRPr="003D04C4" w:rsidRDefault="00E00D92" w:rsidP="005835DF">
            <w:pPr>
              <w:rPr>
                <w:rFonts w:ascii="Arial Narrow" w:hAnsi="Arial Narrow" w:cstheme="minorHAnsi"/>
                <w:sz w:val="20"/>
                <w:szCs w:val="20"/>
              </w:rPr>
            </w:pPr>
            <w:r w:rsidRPr="003D04C4">
              <w:rPr>
                <w:rFonts w:ascii="Arial Narrow" w:hAnsi="Arial Narrow" w:cstheme="minorHAnsi"/>
                <w:sz w:val="20"/>
                <w:szCs w:val="20"/>
              </w:rPr>
              <w:t>Total medicines</w:t>
            </w:r>
          </w:p>
        </w:tc>
        <w:tc>
          <w:tcPr>
            <w:tcW w:w="446" w:type="pct"/>
          </w:tcPr>
          <w:p w14:paraId="555FC943" w14:textId="0D878CC5" w:rsidR="00E00D92" w:rsidRPr="003D04C4" w:rsidRDefault="00E00D92" w:rsidP="005835DF">
            <w:pPr>
              <w:jc w:val="center"/>
              <w:rPr>
                <w:rFonts w:ascii="Arial Narrow" w:hAnsi="Arial Narrow" w:cstheme="minorHAnsi"/>
                <w:sz w:val="20"/>
                <w:szCs w:val="20"/>
              </w:rPr>
            </w:pPr>
            <w:r w:rsidRPr="003D04C4">
              <w:rPr>
                <w:rFonts w:ascii="Arial Narrow" w:hAnsi="Arial Narrow"/>
                <w:sz w:val="20"/>
                <w:szCs w:val="20"/>
              </w:rPr>
              <w:t>$</w:t>
            </w:r>
            <w:r w:rsidR="00B96A78" w:rsidRPr="00B96A78">
              <w:rPr>
                <w:rFonts w:ascii="Arial Narrow" w:hAnsi="Arial Narrow" w:hint="eastAsia"/>
                <w:color w:val="000000"/>
                <w:w w:val="18"/>
                <w:sz w:val="20"/>
                <w:szCs w:val="20"/>
                <w:shd w:val="solid" w:color="000000" w:fill="000000"/>
                <w:fitText w:val="80" w:id="-1301052154"/>
                <w14:textFill>
                  <w14:solidFill>
                    <w14:srgbClr w14:val="000000">
                      <w14:alpha w14:val="100000"/>
                    </w14:srgbClr>
                  </w14:solidFill>
                </w14:textFill>
              </w:rPr>
              <w:t xml:space="preserve">　</w:t>
            </w:r>
            <w:r w:rsidR="00B96A78" w:rsidRPr="00B96A78">
              <w:rPr>
                <w:rFonts w:ascii="Arial Narrow" w:hAnsi="Arial Narrow"/>
                <w:color w:val="000000"/>
                <w:w w:val="18"/>
                <w:sz w:val="20"/>
                <w:szCs w:val="20"/>
                <w:shd w:val="solid" w:color="000000" w:fill="000000"/>
                <w:fitText w:val="80" w:id="-1301052154"/>
                <w14:textFill>
                  <w14:solidFill>
                    <w14:srgbClr w14:val="000000">
                      <w14:alpha w14:val="100000"/>
                    </w14:srgbClr>
                  </w14:solidFill>
                </w14:textFill>
              </w:rPr>
              <w:t>|</w:t>
            </w:r>
            <w:r w:rsidR="00B96A78" w:rsidRPr="00B96A78">
              <w:rPr>
                <w:rFonts w:ascii="Arial Narrow" w:hAnsi="Arial Narrow" w:hint="eastAsia"/>
                <w:color w:val="000000"/>
                <w:w w:val="18"/>
                <w:sz w:val="20"/>
                <w:szCs w:val="20"/>
                <w:shd w:val="solid" w:color="000000" w:fill="000000"/>
                <w:fitText w:val="80" w:id="-1301052154"/>
                <w14:textFill>
                  <w14:solidFill>
                    <w14:srgbClr w14:val="000000">
                      <w14:alpha w14:val="100000"/>
                    </w14:srgbClr>
                  </w14:solidFill>
                </w14:textFill>
              </w:rPr>
              <w:t xml:space="preserve">　</w:t>
            </w:r>
          </w:p>
        </w:tc>
        <w:tc>
          <w:tcPr>
            <w:tcW w:w="392" w:type="pct"/>
          </w:tcPr>
          <w:p w14:paraId="56B8F59E" w14:textId="1D1F0001" w:rsidR="00E00D92" w:rsidRPr="003D04C4" w:rsidRDefault="00E00D92" w:rsidP="005835DF">
            <w:pPr>
              <w:jc w:val="center"/>
              <w:rPr>
                <w:rFonts w:ascii="Arial Narrow" w:hAnsi="Arial Narrow" w:cstheme="minorHAnsi"/>
                <w:sz w:val="20"/>
                <w:szCs w:val="20"/>
              </w:rPr>
            </w:pPr>
            <w:r w:rsidRPr="003D04C4">
              <w:rPr>
                <w:rFonts w:ascii="Arial Narrow" w:hAnsi="Arial Narrow"/>
                <w:sz w:val="20"/>
                <w:szCs w:val="20"/>
              </w:rPr>
              <w:t>$</w:t>
            </w:r>
            <w:r w:rsidR="00B96A78" w:rsidRPr="00B96A78">
              <w:rPr>
                <w:rFonts w:ascii="Arial Narrow" w:hAnsi="Arial Narrow" w:hint="eastAsia"/>
                <w:color w:val="000000"/>
                <w:w w:val="33"/>
                <w:sz w:val="20"/>
                <w:szCs w:val="20"/>
                <w:shd w:val="solid" w:color="000000" w:fill="000000"/>
                <w:fitText w:val="150" w:id="-1301052153"/>
                <w14:textFill>
                  <w14:solidFill>
                    <w14:srgbClr w14:val="000000">
                      <w14:alpha w14:val="100000"/>
                    </w14:srgbClr>
                  </w14:solidFill>
                </w14:textFill>
              </w:rPr>
              <w:t xml:space="preserve">　</w:t>
            </w:r>
            <w:r w:rsidR="00B96A78" w:rsidRPr="00B96A78">
              <w:rPr>
                <w:rFonts w:ascii="Arial Narrow" w:hAnsi="Arial Narrow"/>
                <w:color w:val="000000"/>
                <w:w w:val="33"/>
                <w:sz w:val="20"/>
                <w:szCs w:val="20"/>
                <w:shd w:val="solid" w:color="000000" w:fill="000000"/>
                <w:fitText w:val="150" w:id="-1301052153"/>
                <w14:textFill>
                  <w14:solidFill>
                    <w14:srgbClr w14:val="000000">
                      <w14:alpha w14:val="100000"/>
                    </w14:srgbClr>
                  </w14:solidFill>
                </w14:textFill>
              </w:rPr>
              <w:t>|</w:t>
            </w:r>
            <w:r w:rsidR="00B96A78" w:rsidRPr="00B96A78">
              <w:rPr>
                <w:rFonts w:ascii="Arial Narrow" w:hAnsi="Arial Narrow" w:hint="eastAsia"/>
                <w:color w:val="000000"/>
                <w:spacing w:val="4"/>
                <w:w w:val="33"/>
                <w:sz w:val="20"/>
                <w:szCs w:val="20"/>
                <w:shd w:val="solid" w:color="000000" w:fill="000000"/>
                <w:fitText w:val="150" w:id="-1301052153"/>
                <w14:textFill>
                  <w14:solidFill>
                    <w14:srgbClr w14:val="000000">
                      <w14:alpha w14:val="100000"/>
                    </w14:srgbClr>
                  </w14:solidFill>
                </w14:textFill>
              </w:rPr>
              <w:t xml:space="preserve">　</w:t>
            </w:r>
          </w:p>
        </w:tc>
        <w:tc>
          <w:tcPr>
            <w:tcW w:w="1011" w:type="pct"/>
            <w:vAlign w:val="center"/>
          </w:tcPr>
          <w:p w14:paraId="10B385EB" w14:textId="77777777" w:rsidR="00E00D92" w:rsidRPr="003D04C4" w:rsidRDefault="00E00D92" w:rsidP="005835DF">
            <w:pPr>
              <w:jc w:val="center"/>
              <w:rPr>
                <w:rFonts w:ascii="Arial Narrow" w:hAnsi="Arial Narrow" w:cstheme="minorHAnsi"/>
                <w:sz w:val="20"/>
                <w:szCs w:val="20"/>
              </w:rPr>
            </w:pPr>
            <w:r w:rsidRPr="003D04C4">
              <w:rPr>
                <w:rFonts w:ascii="Arial Narrow" w:hAnsi="Arial Narrow" w:cstheme="minorHAnsi"/>
                <w:sz w:val="20"/>
                <w:szCs w:val="20"/>
              </w:rPr>
              <w:t>H * E</w:t>
            </w:r>
          </w:p>
        </w:tc>
        <w:tc>
          <w:tcPr>
            <w:tcW w:w="455" w:type="pct"/>
            <w:vAlign w:val="center"/>
          </w:tcPr>
          <w:p w14:paraId="522541D7" w14:textId="43F26D99" w:rsidR="00E00D92" w:rsidRPr="003D04C4" w:rsidRDefault="00E00D92"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$54,477.53</w:t>
            </w:r>
          </w:p>
        </w:tc>
        <w:tc>
          <w:tcPr>
            <w:tcW w:w="479" w:type="pct"/>
            <w:gridSpan w:val="2"/>
            <w:vAlign w:val="center"/>
          </w:tcPr>
          <w:p w14:paraId="7A5BBB28" w14:textId="2C96A59D" w:rsidR="00E00D92" w:rsidRPr="003D04C4" w:rsidRDefault="00E00D92" w:rsidP="005835DF">
            <w:pPr>
              <w:jc w:val="center"/>
              <w:rPr>
                <w:rFonts w:ascii="Arial Narrow" w:hAnsi="Arial Narrow" w:cstheme="minorHAnsi"/>
                <w:sz w:val="20"/>
                <w:szCs w:val="20"/>
                <w:highlight w:val="lightGray"/>
              </w:rPr>
            </w:pPr>
            <w:r w:rsidRPr="003D04C4">
              <w:rPr>
                <w:rFonts w:ascii="Arial Narrow" w:hAnsi="Arial Narrow" w:cstheme="minorHAnsi"/>
                <w:sz w:val="20"/>
                <w:szCs w:val="20"/>
              </w:rPr>
              <w:t>$25,583.29</w:t>
            </w:r>
          </w:p>
        </w:tc>
        <w:tc>
          <w:tcPr>
            <w:tcW w:w="1071" w:type="pct"/>
            <w:vAlign w:val="center"/>
          </w:tcPr>
          <w:p w14:paraId="2C27D682" w14:textId="77777777" w:rsidR="00E00D92" w:rsidRPr="003D04C4" w:rsidRDefault="00E00D92" w:rsidP="005835DF">
            <w:pPr>
              <w:jc w:val="center"/>
              <w:rPr>
                <w:rFonts w:ascii="Arial Narrow" w:hAnsi="Arial Narrow" w:cstheme="minorHAnsi"/>
                <w:sz w:val="20"/>
                <w:szCs w:val="20"/>
              </w:rPr>
            </w:pPr>
            <w:r w:rsidRPr="003D04C4">
              <w:rPr>
                <w:rFonts w:ascii="Arial Narrow" w:hAnsi="Arial Narrow" w:cstheme="minorHAnsi"/>
                <w:sz w:val="20"/>
                <w:szCs w:val="20"/>
              </w:rPr>
              <w:t>F * G</w:t>
            </w:r>
          </w:p>
        </w:tc>
        <w:tc>
          <w:tcPr>
            <w:tcW w:w="375" w:type="pct"/>
            <w:vAlign w:val="center"/>
          </w:tcPr>
          <w:p w14:paraId="0F5CFF23" w14:textId="77777777" w:rsidR="00E00D92" w:rsidRPr="003D04C4" w:rsidRDefault="00E00D92" w:rsidP="005835DF">
            <w:pPr>
              <w:jc w:val="center"/>
              <w:rPr>
                <w:rFonts w:ascii="Arial Narrow" w:hAnsi="Arial Narrow" w:cstheme="minorHAnsi"/>
                <w:sz w:val="20"/>
                <w:szCs w:val="20"/>
              </w:rPr>
            </w:pPr>
            <w:r w:rsidRPr="003D04C4">
              <w:rPr>
                <w:rFonts w:ascii="Arial Narrow" w:hAnsi="Arial Narrow" w:cstheme="minorHAnsi"/>
                <w:sz w:val="20"/>
                <w:szCs w:val="20"/>
              </w:rPr>
              <w:t>-</w:t>
            </w:r>
          </w:p>
        </w:tc>
      </w:tr>
      <w:tr w:rsidR="006D1DBC" w:rsidRPr="003D04C4" w14:paraId="7BDE8856" w14:textId="77777777" w:rsidTr="002C0790">
        <w:tc>
          <w:tcPr>
            <w:tcW w:w="136" w:type="pct"/>
            <w:vMerge/>
            <w:vAlign w:val="center"/>
          </w:tcPr>
          <w:p w14:paraId="16810B4F" w14:textId="77777777" w:rsidR="006D1DBC" w:rsidRPr="003D04C4" w:rsidRDefault="006D1DBC" w:rsidP="005835DF">
            <w:pPr>
              <w:jc w:val="center"/>
              <w:rPr>
                <w:rFonts w:ascii="Arial Narrow" w:hAnsi="Arial Narrow" w:cstheme="minorHAnsi"/>
                <w:sz w:val="20"/>
                <w:szCs w:val="20"/>
                <w:highlight w:val="lightGray"/>
              </w:rPr>
            </w:pPr>
          </w:p>
        </w:tc>
        <w:tc>
          <w:tcPr>
            <w:tcW w:w="632" w:type="pct"/>
            <w:vMerge/>
            <w:vAlign w:val="center"/>
          </w:tcPr>
          <w:p w14:paraId="6F9B8D12" w14:textId="77777777" w:rsidR="006D1DBC" w:rsidRPr="003D04C4" w:rsidRDefault="006D1DBC" w:rsidP="005835DF">
            <w:pPr>
              <w:rPr>
                <w:rFonts w:ascii="Arial Narrow" w:hAnsi="Arial Narrow" w:cstheme="minorHAnsi"/>
                <w:sz w:val="20"/>
                <w:szCs w:val="20"/>
                <w:highlight w:val="lightGray"/>
              </w:rPr>
            </w:pPr>
          </w:p>
        </w:tc>
        <w:tc>
          <w:tcPr>
            <w:tcW w:w="838" w:type="pct"/>
            <w:gridSpan w:val="2"/>
            <w:vAlign w:val="center"/>
          </w:tcPr>
          <w:p w14:paraId="3D7FCE4C" w14:textId="05C061F1" w:rsidR="006D1DBC" w:rsidRPr="00883B55" w:rsidRDefault="00E00D92" w:rsidP="005835DF">
            <w:pPr>
              <w:jc w:val="center"/>
              <w:rPr>
                <w:rFonts w:ascii="Arial Narrow" w:hAnsi="Arial Narrow" w:cstheme="minorHAnsi"/>
                <w:sz w:val="20"/>
                <w:szCs w:val="20"/>
              </w:rPr>
            </w:pPr>
            <w:r w:rsidRPr="00883B55">
              <w:rPr>
                <w:rFonts w:ascii="Arial Narrow" w:hAnsi="Arial Narrow" w:cstheme="minorHAnsi"/>
                <w:sz w:val="20"/>
                <w:szCs w:val="20"/>
              </w:rPr>
              <w:t>$</w:t>
            </w:r>
            <w:r w:rsidR="00B96A78" w:rsidRPr="00B96A78">
              <w:rPr>
                <w:rFonts w:ascii="Arial Narrow" w:hAnsi="Arial Narrow" w:cstheme="minorHAnsi"/>
                <w:color w:val="000000"/>
                <w:sz w:val="20"/>
                <w:szCs w:val="20"/>
                <w:shd w:val="solid" w:color="000000" w:fill="000000"/>
                <w14:textFill>
                  <w14:solidFill>
                    <w14:srgbClr w14:val="000000">
                      <w14:alpha w14:val="100000"/>
                    </w14:srgbClr>
                  </w14:solidFill>
                </w14:textFill>
              </w:rPr>
              <w:t>|</w:t>
            </w:r>
          </w:p>
        </w:tc>
        <w:tc>
          <w:tcPr>
            <w:tcW w:w="1011" w:type="pct"/>
            <w:vAlign w:val="center"/>
          </w:tcPr>
          <w:p w14:paraId="6B19FCAB" w14:textId="77777777" w:rsidR="006D1DBC" w:rsidRPr="00883B55"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M - L</w:t>
            </w:r>
          </w:p>
        </w:tc>
        <w:tc>
          <w:tcPr>
            <w:tcW w:w="934" w:type="pct"/>
            <w:gridSpan w:val="3"/>
            <w:vAlign w:val="center"/>
          </w:tcPr>
          <w:p w14:paraId="5EFF1BC3" w14:textId="559CB7E2" w:rsidR="006D1DBC" w:rsidRPr="00716D0B"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w:t>
            </w:r>
            <w:r w:rsidR="002B3221" w:rsidRPr="00883B55">
              <w:rPr>
                <w:rFonts w:ascii="Arial Narrow" w:hAnsi="Arial Narrow" w:cstheme="minorHAnsi"/>
                <w:sz w:val="20"/>
                <w:szCs w:val="20"/>
              </w:rPr>
              <w:t>80,060.82</w:t>
            </w:r>
          </w:p>
        </w:tc>
        <w:tc>
          <w:tcPr>
            <w:tcW w:w="1071" w:type="pct"/>
            <w:vAlign w:val="center"/>
          </w:tcPr>
          <w:p w14:paraId="7BD8FA8D" w14:textId="77777777" w:rsidR="006D1DBC" w:rsidRPr="00883B55"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Total</w:t>
            </w:r>
          </w:p>
        </w:tc>
        <w:tc>
          <w:tcPr>
            <w:tcW w:w="375" w:type="pct"/>
            <w:vAlign w:val="center"/>
          </w:tcPr>
          <w:p w14:paraId="4E10F6F2" w14:textId="3AD7F88A" w:rsidR="006D1DBC" w:rsidRPr="00716D0B" w:rsidRDefault="0063718E" w:rsidP="005835DF">
            <w:pPr>
              <w:jc w:val="center"/>
              <w:rPr>
                <w:rFonts w:ascii="Arial Narrow" w:hAnsi="Arial Narrow" w:cstheme="minorHAnsi"/>
                <w:sz w:val="20"/>
                <w:szCs w:val="20"/>
              </w:rPr>
            </w:pPr>
            <w:r w:rsidRPr="00883B55">
              <w:rPr>
                <w:rFonts w:ascii="Arial Narrow" w:hAnsi="Arial Narrow" w:cstheme="minorHAnsi"/>
                <w:sz w:val="20"/>
                <w:szCs w:val="20"/>
              </w:rPr>
              <w:t>-$</w:t>
            </w:r>
            <w:r w:rsidR="00B96A78" w:rsidRPr="00B96A78">
              <w:rPr>
                <w:rFonts w:ascii="Arial Narrow" w:hAnsi="Arial Narrow" w:cstheme="minorHAnsi"/>
                <w:color w:val="000000"/>
                <w:spacing w:val="114"/>
                <w:sz w:val="20"/>
                <w:szCs w:val="20"/>
                <w:shd w:val="solid" w:color="000000" w:fill="000000"/>
                <w:fitText w:val="200" w:id="-1301052152"/>
                <w14:textFill>
                  <w14:solidFill>
                    <w14:srgbClr w14:val="000000">
                      <w14:alpha w14:val="100000"/>
                    </w14:srgbClr>
                  </w14:solidFill>
                </w14:textFill>
              </w:rPr>
              <w:t>|</w:t>
            </w:r>
            <w:r w:rsidR="00B96A78" w:rsidRPr="00B96A78">
              <w:rPr>
                <w:rFonts w:ascii="Arial Narrow" w:hAnsi="Arial Narrow" w:cstheme="minorHAnsi"/>
                <w:color w:val="000000"/>
                <w:spacing w:val="1"/>
                <w:sz w:val="20"/>
                <w:szCs w:val="20"/>
                <w:shd w:val="solid" w:color="000000" w:fill="000000"/>
                <w:fitText w:val="200" w:id="-1301052152"/>
                <w14:textFill>
                  <w14:solidFill>
                    <w14:srgbClr w14:val="000000">
                      <w14:alpha w14:val="100000"/>
                    </w14:srgbClr>
                  </w14:solidFill>
                </w14:textFill>
              </w:rPr>
              <w:t>|</w:t>
            </w:r>
          </w:p>
        </w:tc>
      </w:tr>
      <w:tr w:rsidR="006D1DBC" w:rsidRPr="003D04C4" w14:paraId="4861D02D" w14:textId="77777777" w:rsidTr="00925770">
        <w:tc>
          <w:tcPr>
            <w:tcW w:w="136" w:type="pct"/>
            <w:shd w:val="clear" w:color="auto" w:fill="F2F2F2" w:themeFill="background1" w:themeFillShade="F2"/>
            <w:vAlign w:val="center"/>
          </w:tcPr>
          <w:p w14:paraId="2321570F" w14:textId="77777777" w:rsidR="006D1DBC" w:rsidRPr="003D04C4" w:rsidRDefault="006D1DBC" w:rsidP="005835DF">
            <w:pPr>
              <w:jc w:val="center"/>
              <w:rPr>
                <w:rFonts w:ascii="Arial Narrow" w:hAnsi="Arial Narrow" w:cstheme="minorHAnsi"/>
                <w:b/>
                <w:bCs/>
                <w:sz w:val="20"/>
                <w:szCs w:val="20"/>
                <w:highlight w:val="lightGray"/>
              </w:rPr>
            </w:pPr>
          </w:p>
        </w:tc>
        <w:tc>
          <w:tcPr>
            <w:tcW w:w="4864" w:type="pct"/>
            <w:gridSpan w:val="9"/>
            <w:shd w:val="clear" w:color="auto" w:fill="F2F2F2" w:themeFill="background1" w:themeFillShade="F2"/>
            <w:vAlign w:val="center"/>
          </w:tcPr>
          <w:p w14:paraId="5115B231" w14:textId="77777777" w:rsidR="006D1DBC" w:rsidRPr="00716D0B" w:rsidRDefault="006D1DBC" w:rsidP="005835DF">
            <w:pPr>
              <w:jc w:val="left"/>
              <w:rPr>
                <w:rFonts w:ascii="Arial Narrow" w:hAnsi="Arial Narrow" w:cstheme="minorHAnsi"/>
                <w:b/>
                <w:bCs/>
                <w:sz w:val="20"/>
                <w:szCs w:val="20"/>
              </w:rPr>
            </w:pPr>
            <w:r w:rsidRPr="00883B55">
              <w:rPr>
                <w:rFonts w:ascii="Arial Narrow" w:hAnsi="Arial Narrow" w:cstheme="minorHAnsi"/>
                <w:b/>
                <w:bCs/>
                <w:sz w:val="20"/>
                <w:szCs w:val="20"/>
              </w:rPr>
              <w:t>Monitoring</w:t>
            </w:r>
          </w:p>
        </w:tc>
      </w:tr>
      <w:tr w:rsidR="006D1DBC" w:rsidRPr="003D04C4" w14:paraId="33FF8FFB" w14:textId="77777777" w:rsidTr="002C0790">
        <w:tc>
          <w:tcPr>
            <w:tcW w:w="136" w:type="pct"/>
            <w:vAlign w:val="center"/>
          </w:tcPr>
          <w:p w14:paraId="6B7C2809"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I</w:t>
            </w:r>
          </w:p>
        </w:tc>
        <w:tc>
          <w:tcPr>
            <w:tcW w:w="632" w:type="pct"/>
          </w:tcPr>
          <w:p w14:paraId="1518CB5F" w14:textId="77777777" w:rsidR="006D1DBC" w:rsidRPr="003D04C4" w:rsidRDefault="006D1DBC" w:rsidP="005835DF">
            <w:pPr>
              <w:rPr>
                <w:rFonts w:ascii="Arial Narrow" w:hAnsi="Arial Narrow" w:cstheme="minorHAnsi"/>
                <w:sz w:val="20"/>
                <w:szCs w:val="20"/>
              </w:rPr>
            </w:pPr>
            <w:r w:rsidRPr="003D04C4">
              <w:rPr>
                <w:rFonts w:ascii="Arial Narrow" w:hAnsi="Arial Narrow" w:cstheme="minorHAnsi"/>
                <w:sz w:val="20"/>
                <w:szCs w:val="20"/>
              </w:rPr>
              <w:t>QT prolongation</w:t>
            </w:r>
          </w:p>
        </w:tc>
        <w:tc>
          <w:tcPr>
            <w:tcW w:w="838" w:type="pct"/>
            <w:gridSpan w:val="2"/>
            <w:vAlign w:val="center"/>
          </w:tcPr>
          <w:p w14:paraId="733EB6C7" w14:textId="1C415A0E" w:rsidR="006D1DBC" w:rsidRPr="00883B55" w:rsidRDefault="00A2696D" w:rsidP="005835DF">
            <w:pPr>
              <w:jc w:val="center"/>
              <w:rPr>
                <w:rFonts w:ascii="Arial Narrow" w:hAnsi="Arial Narrow" w:cstheme="minorHAnsi"/>
                <w:sz w:val="20"/>
                <w:szCs w:val="20"/>
              </w:rPr>
            </w:pPr>
            <w:r w:rsidRPr="00883B55">
              <w:rPr>
                <w:rFonts w:ascii="Arial Narrow" w:hAnsi="Arial Narrow" w:cstheme="minorHAnsi"/>
                <w:sz w:val="20"/>
                <w:szCs w:val="20"/>
              </w:rPr>
              <w:t>$33.05</w:t>
            </w:r>
          </w:p>
        </w:tc>
        <w:tc>
          <w:tcPr>
            <w:tcW w:w="1011" w:type="pct"/>
            <w:vAlign w:val="center"/>
          </w:tcPr>
          <w:p w14:paraId="47F6E422" w14:textId="58ADC819" w:rsidR="006D1DBC" w:rsidRPr="00883B55" w:rsidRDefault="00A2696D" w:rsidP="005835DF">
            <w:pPr>
              <w:jc w:val="center"/>
              <w:rPr>
                <w:rFonts w:ascii="Arial Narrow" w:hAnsi="Arial Narrow" w:cstheme="minorHAnsi"/>
                <w:sz w:val="20"/>
                <w:szCs w:val="20"/>
              </w:rPr>
            </w:pPr>
            <w:r w:rsidRPr="00883B55">
              <w:rPr>
                <w:rFonts w:ascii="Arial Narrow" w:hAnsi="Arial Narrow" w:cstheme="minorHAnsi"/>
                <w:sz w:val="20"/>
                <w:szCs w:val="20"/>
              </w:rPr>
              <w:t>MBS 11704 100% ($33.05)</w:t>
            </w:r>
          </w:p>
        </w:tc>
        <w:tc>
          <w:tcPr>
            <w:tcW w:w="934" w:type="pct"/>
            <w:gridSpan w:val="3"/>
            <w:vAlign w:val="center"/>
          </w:tcPr>
          <w:p w14:paraId="659ABF4C" w14:textId="74961D57" w:rsidR="006D1DBC" w:rsidRPr="00883B55" w:rsidRDefault="00A2696D" w:rsidP="005835DF">
            <w:pPr>
              <w:jc w:val="center"/>
              <w:rPr>
                <w:rFonts w:ascii="Arial Narrow" w:hAnsi="Arial Narrow" w:cstheme="minorHAnsi"/>
                <w:sz w:val="20"/>
                <w:szCs w:val="20"/>
              </w:rPr>
            </w:pPr>
            <w:r w:rsidRPr="00883B55">
              <w:rPr>
                <w:rFonts w:ascii="Arial Narrow" w:hAnsi="Arial Narrow" w:cstheme="minorHAnsi"/>
                <w:sz w:val="20"/>
                <w:szCs w:val="20"/>
              </w:rPr>
              <w:t>$0.00</w:t>
            </w:r>
          </w:p>
        </w:tc>
        <w:tc>
          <w:tcPr>
            <w:tcW w:w="1071" w:type="pct"/>
            <w:vAlign w:val="center"/>
          </w:tcPr>
          <w:p w14:paraId="7CA9A35E" w14:textId="0E7691AA" w:rsidR="006D1DBC" w:rsidRPr="00883B55" w:rsidRDefault="00A2696D" w:rsidP="005835DF">
            <w:pPr>
              <w:jc w:val="center"/>
              <w:rPr>
                <w:rFonts w:ascii="Arial Narrow" w:hAnsi="Arial Narrow" w:cstheme="minorHAnsi"/>
                <w:sz w:val="20"/>
                <w:szCs w:val="20"/>
              </w:rPr>
            </w:pPr>
            <w:r w:rsidRPr="00883B55">
              <w:rPr>
                <w:rFonts w:ascii="Arial Narrow" w:hAnsi="Arial Narrow" w:cstheme="minorHAnsi"/>
                <w:sz w:val="20"/>
                <w:szCs w:val="20"/>
              </w:rPr>
              <w:t>-</w:t>
            </w:r>
          </w:p>
        </w:tc>
        <w:tc>
          <w:tcPr>
            <w:tcW w:w="375" w:type="pct"/>
            <w:vAlign w:val="center"/>
          </w:tcPr>
          <w:p w14:paraId="12ED4869" w14:textId="6CC85C7D" w:rsidR="006D1DBC" w:rsidRPr="00716D0B"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$33.05</w:t>
            </w:r>
          </w:p>
        </w:tc>
      </w:tr>
      <w:tr w:rsidR="006D1DBC" w:rsidRPr="003D04C4" w14:paraId="42A764D7" w14:textId="77777777" w:rsidTr="002C0790">
        <w:tc>
          <w:tcPr>
            <w:tcW w:w="136" w:type="pct"/>
            <w:vAlign w:val="center"/>
          </w:tcPr>
          <w:p w14:paraId="6E434D9F"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J</w:t>
            </w:r>
          </w:p>
        </w:tc>
        <w:tc>
          <w:tcPr>
            <w:tcW w:w="632" w:type="pct"/>
          </w:tcPr>
          <w:p w14:paraId="2705CADE" w14:textId="77777777" w:rsidR="006D1DBC" w:rsidRPr="003D04C4" w:rsidRDefault="006D1DBC" w:rsidP="005835DF">
            <w:pPr>
              <w:rPr>
                <w:rFonts w:ascii="Arial Narrow" w:hAnsi="Arial Narrow" w:cstheme="minorHAnsi"/>
                <w:sz w:val="20"/>
                <w:szCs w:val="20"/>
              </w:rPr>
            </w:pPr>
            <w:r w:rsidRPr="003D04C4">
              <w:rPr>
                <w:rFonts w:ascii="Arial Narrow" w:hAnsi="Arial Narrow" w:cstheme="minorHAnsi"/>
                <w:sz w:val="20"/>
                <w:szCs w:val="20"/>
              </w:rPr>
              <w:t>Full blood count</w:t>
            </w:r>
          </w:p>
        </w:tc>
        <w:tc>
          <w:tcPr>
            <w:tcW w:w="838" w:type="pct"/>
            <w:gridSpan w:val="2"/>
            <w:vAlign w:val="center"/>
          </w:tcPr>
          <w:p w14:paraId="2444751A" w14:textId="77777777" w:rsidR="006D1DBC" w:rsidRPr="00883B55"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$457.65</w:t>
            </w:r>
          </w:p>
        </w:tc>
        <w:tc>
          <w:tcPr>
            <w:tcW w:w="1011" w:type="pct"/>
            <w:vAlign w:val="center"/>
          </w:tcPr>
          <w:p w14:paraId="714D20BD" w14:textId="77777777" w:rsidR="006D1DBC" w:rsidRPr="00883B55"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MBS 65070 ($16.95) 100% * 27</w:t>
            </w:r>
          </w:p>
        </w:tc>
        <w:tc>
          <w:tcPr>
            <w:tcW w:w="934" w:type="pct"/>
            <w:gridSpan w:val="3"/>
            <w:vAlign w:val="center"/>
          </w:tcPr>
          <w:p w14:paraId="36EDD8A3" w14:textId="4C21207B" w:rsidR="006D1DBC" w:rsidRPr="00716D0B" w:rsidRDefault="001C73A3" w:rsidP="005835DF">
            <w:pPr>
              <w:jc w:val="center"/>
              <w:rPr>
                <w:rFonts w:ascii="Arial Narrow" w:hAnsi="Arial Narrow" w:cstheme="minorHAnsi"/>
                <w:sz w:val="20"/>
                <w:szCs w:val="20"/>
              </w:rPr>
            </w:pPr>
            <w:r w:rsidRPr="00883B55">
              <w:rPr>
                <w:rFonts w:ascii="Arial Narrow" w:hAnsi="Arial Narrow" w:cstheme="minorHAnsi"/>
                <w:sz w:val="20"/>
                <w:szCs w:val="20"/>
              </w:rPr>
              <w:t>$220.35</w:t>
            </w:r>
          </w:p>
        </w:tc>
        <w:tc>
          <w:tcPr>
            <w:tcW w:w="1071" w:type="pct"/>
            <w:vAlign w:val="center"/>
          </w:tcPr>
          <w:p w14:paraId="5D9CC74B" w14:textId="6048BE58" w:rsidR="006D1DBC" w:rsidRPr="00883B55"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 xml:space="preserve">MBS 65070 ($16.95) 100% * </w:t>
            </w:r>
            <w:r w:rsidR="001C73A3" w:rsidRPr="00883B55">
              <w:rPr>
                <w:rFonts w:ascii="Arial Narrow" w:hAnsi="Arial Narrow" w:cstheme="minorHAnsi"/>
                <w:sz w:val="20"/>
                <w:szCs w:val="20"/>
              </w:rPr>
              <w:t>13</w:t>
            </w:r>
          </w:p>
        </w:tc>
        <w:tc>
          <w:tcPr>
            <w:tcW w:w="375" w:type="pct"/>
            <w:vAlign w:val="center"/>
          </w:tcPr>
          <w:p w14:paraId="62967F88" w14:textId="21D7B397" w:rsidR="006D1DBC" w:rsidRPr="00716D0B"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w:t>
            </w:r>
            <w:r w:rsidR="001C73A3" w:rsidRPr="00883B55">
              <w:rPr>
                <w:rFonts w:ascii="Arial Narrow" w:hAnsi="Arial Narrow" w:cstheme="minorHAnsi"/>
                <w:sz w:val="20"/>
                <w:szCs w:val="20"/>
              </w:rPr>
              <w:t>237.30</w:t>
            </w:r>
          </w:p>
        </w:tc>
      </w:tr>
      <w:tr w:rsidR="006D1DBC" w:rsidRPr="003D04C4" w14:paraId="3237E3E8" w14:textId="77777777" w:rsidTr="002C0790">
        <w:tc>
          <w:tcPr>
            <w:tcW w:w="136" w:type="pct"/>
            <w:vAlign w:val="center"/>
          </w:tcPr>
          <w:p w14:paraId="2AD45D2E"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K</w:t>
            </w:r>
          </w:p>
        </w:tc>
        <w:tc>
          <w:tcPr>
            <w:tcW w:w="632" w:type="pct"/>
          </w:tcPr>
          <w:p w14:paraId="300775B8" w14:textId="77777777" w:rsidR="006D1DBC" w:rsidRPr="003D04C4" w:rsidRDefault="006D1DBC" w:rsidP="005835DF">
            <w:pPr>
              <w:rPr>
                <w:rFonts w:ascii="Arial Narrow" w:hAnsi="Arial Narrow" w:cstheme="minorHAnsi"/>
                <w:sz w:val="20"/>
                <w:szCs w:val="20"/>
              </w:rPr>
            </w:pPr>
            <w:r w:rsidRPr="003D04C4">
              <w:rPr>
                <w:rFonts w:ascii="Arial Narrow" w:hAnsi="Arial Narrow" w:cstheme="minorHAnsi"/>
                <w:sz w:val="20"/>
                <w:szCs w:val="20"/>
              </w:rPr>
              <w:t>Blood tests</w:t>
            </w:r>
          </w:p>
        </w:tc>
        <w:tc>
          <w:tcPr>
            <w:tcW w:w="838" w:type="pct"/>
            <w:gridSpan w:val="2"/>
            <w:vAlign w:val="center"/>
          </w:tcPr>
          <w:p w14:paraId="293BDCAD" w14:textId="77777777" w:rsidR="006D1DBC" w:rsidRPr="00883B55"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$283.60</w:t>
            </w:r>
          </w:p>
        </w:tc>
        <w:tc>
          <w:tcPr>
            <w:tcW w:w="1011" w:type="pct"/>
            <w:vAlign w:val="center"/>
          </w:tcPr>
          <w:p w14:paraId="788DA19A" w14:textId="7E7F4CED" w:rsidR="006D1DBC" w:rsidRPr="00883B55"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MBS item</w:t>
            </w:r>
            <w:r w:rsidR="00D62128" w:rsidRPr="00883B55">
              <w:rPr>
                <w:rFonts w:ascii="Arial Narrow" w:hAnsi="Arial Narrow" w:cstheme="minorHAnsi"/>
                <w:sz w:val="20"/>
                <w:szCs w:val="20"/>
              </w:rPr>
              <w:t xml:space="preserve"> 66509</w:t>
            </w:r>
            <w:r w:rsidRPr="00883B55">
              <w:rPr>
                <w:rFonts w:ascii="Arial Narrow" w:hAnsi="Arial Narrow" w:cstheme="minorHAnsi"/>
                <w:sz w:val="20"/>
                <w:szCs w:val="20"/>
              </w:rPr>
              <w:t xml:space="preserve"> 100% * 24</w:t>
            </w:r>
          </w:p>
        </w:tc>
        <w:tc>
          <w:tcPr>
            <w:tcW w:w="934" w:type="pct"/>
            <w:gridSpan w:val="3"/>
            <w:vAlign w:val="center"/>
          </w:tcPr>
          <w:p w14:paraId="6C7D7918" w14:textId="14522D7A" w:rsidR="006D1DBC" w:rsidRPr="00883B55" w:rsidRDefault="00AE102B" w:rsidP="005835DF">
            <w:pPr>
              <w:jc w:val="center"/>
              <w:rPr>
                <w:rFonts w:ascii="Arial Narrow" w:hAnsi="Arial Narrow" w:cstheme="minorHAnsi"/>
                <w:sz w:val="20"/>
                <w:szCs w:val="20"/>
              </w:rPr>
            </w:pPr>
            <w:r w:rsidRPr="00883B55">
              <w:rPr>
                <w:rFonts w:ascii="Arial Narrow" w:hAnsi="Arial Narrow" w:cstheme="minorHAnsi"/>
                <w:sz w:val="20"/>
                <w:szCs w:val="20"/>
              </w:rPr>
              <w:t>$11.65</w:t>
            </w:r>
          </w:p>
        </w:tc>
        <w:tc>
          <w:tcPr>
            <w:tcW w:w="1071" w:type="pct"/>
            <w:vAlign w:val="center"/>
          </w:tcPr>
          <w:p w14:paraId="249B7A24" w14:textId="48B963A2" w:rsidR="006D1DBC" w:rsidRPr="00883B55"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MBS item</w:t>
            </w:r>
            <w:r w:rsidR="00AE102B" w:rsidRPr="00883B55">
              <w:rPr>
                <w:rFonts w:ascii="Arial Narrow" w:hAnsi="Arial Narrow" w:cstheme="minorHAnsi"/>
                <w:sz w:val="20"/>
                <w:szCs w:val="20"/>
              </w:rPr>
              <w:t xml:space="preserve"> 66503 ($11.65)</w:t>
            </w:r>
            <w:r w:rsidRPr="00883B55">
              <w:rPr>
                <w:rFonts w:ascii="Arial Narrow" w:hAnsi="Arial Narrow" w:cstheme="minorHAnsi"/>
                <w:sz w:val="20"/>
                <w:szCs w:val="20"/>
              </w:rPr>
              <w:t xml:space="preserve"> 100%</w:t>
            </w:r>
          </w:p>
        </w:tc>
        <w:tc>
          <w:tcPr>
            <w:tcW w:w="375" w:type="pct"/>
            <w:vAlign w:val="center"/>
          </w:tcPr>
          <w:p w14:paraId="7BA98A9F" w14:textId="746158AF" w:rsidR="006D1DBC" w:rsidRPr="00883B55" w:rsidRDefault="00AE102B" w:rsidP="005835DF">
            <w:pPr>
              <w:jc w:val="center"/>
              <w:rPr>
                <w:rFonts w:ascii="Arial Narrow" w:hAnsi="Arial Narrow" w:cstheme="minorHAnsi"/>
                <w:sz w:val="20"/>
                <w:szCs w:val="20"/>
              </w:rPr>
            </w:pPr>
            <w:r w:rsidRPr="00883B55">
              <w:rPr>
                <w:rFonts w:ascii="Arial Narrow" w:hAnsi="Arial Narrow" w:cstheme="minorHAnsi"/>
                <w:sz w:val="20"/>
                <w:szCs w:val="20"/>
              </w:rPr>
              <w:t>$271.95</w:t>
            </w:r>
          </w:p>
        </w:tc>
      </w:tr>
      <w:tr w:rsidR="006D1DBC" w:rsidRPr="003D04C4" w14:paraId="4D4EE155" w14:textId="77777777" w:rsidTr="002C0790">
        <w:tc>
          <w:tcPr>
            <w:tcW w:w="136" w:type="pct"/>
            <w:vAlign w:val="center"/>
          </w:tcPr>
          <w:p w14:paraId="252F15B9"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L</w:t>
            </w:r>
          </w:p>
        </w:tc>
        <w:tc>
          <w:tcPr>
            <w:tcW w:w="632" w:type="pct"/>
          </w:tcPr>
          <w:p w14:paraId="1A6116E7" w14:textId="77777777" w:rsidR="006D1DBC" w:rsidRPr="003D04C4" w:rsidRDefault="006D1DBC" w:rsidP="005835DF">
            <w:pPr>
              <w:rPr>
                <w:rFonts w:ascii="Arial Narrow" w:hAnsi="Arial Narrow" w:cstheme="minorHAnsi"/>
                <w:sz w:val="20"/>
                <w:szCs w:val="20"/>
              </w:rPr>
            </w:pPr>
            <w:r w:rsidRPr="003D04C4">
              <w:rPr>
                <w:rFonts w:ascii="Arial Narrow" w:hAnsi="Arial Narrow" w:cstheme="minorHAnsi"/>
                <w:sz w:val="20"/>
                <w:szCs w:val="20"/>
              </w:rPr>
              <w:t>Total monitoring</w:t>
            </w:r>
          </w:p>
        </w:tc>
        <w:tc>
          <w:tcPr>
            <w:tcW w:w="838" w:type="pct"/>
            <w:gridSpan w:val="2"/>
            <w:vAlign w:val="center"/>
          </w:tcPr>
          <w:p w14:paraId="19B85457" w14:textId="68099C02" w:rsidR="006D1DBC" w:rsidRPr="00883B55"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$7</w:t>
            </w:r>
            <w:r w:rsidR="000D06A6" w:rsidRPr="00883B55">
              <w:rPr>
                <w:rFonts w:ascii="Arial Narrow" w:hAnsi="Arial Narrow" w:cstheme="minorHAnsi"/>
                <w:sz w:val="20"/>
                <w:szCs w:val="20"/>
              </w:rPr>
              <w:t>74.30</w:t>
            </w:r>
          </w:p>
        </w:tc>
        <w:tc>
          <w:tcPr>
            <w:tcW w:w="1011" w:type="pct"/>
            <w:vAlign w:val="center"/>
          </w:tcPr>
          <w:p w14:paraId="4F885ED4" w14:textId="77777777" w:rsidR="006D1DBC" w:rsidRPr="00883B55"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I + J + K</w:t>
            </w:r>
          </w:p>
        </w:tc>
        <w:tc>
          <w:tcPr>
            <w:tcW w:w="934" w:type="pct"/>
            <w:gridSpan w:val="3"/>
            <w:vAlign w:val="center"/>
          </w:tcPr>
          <w:p w14:paraId="3DAAC0F5" w14:textId="436757AD" w:rsidR="006D1DBC" w:rsidRPr="00716D0B" w:rsidRDefault="000D06A6" w:rsidP="005835DF">
            <w:pPr>
              <w:jc w:val="center"/>
              <w:rPr>
                <w:rFonts w:ascii="Arial Narrow" w:hAnsi="Arial Narrow" w:cstheme="minorHAnsi"/>
                <w:sz w:val="20"/>
                <w:szCs w:val="20"/>
              </w:rPr>
            </w:pPr>
            <w:r w:rsidRPr="00883B55">
              <w:rPr>
                <w:rFonts w:ascii="Arial Narrow" w:hAnsi="Arial Narrow" w:cstheme="minorHAnsi"/>
                <w:sz w:val="20"/>
                <w:szCs w:val="20"/>
              </w:rPr>
              <w:t>$232.00</w:t>
            </w:r>
          </w:p>
        </w:tc>
        <w:tc>
          <w:tcPr>
            <w:tcW w:w="1071" w:type="pct"/>
            <w:vAlign w:val="center"/>
          </w:tcPr>
          <w:p w14:paraId="5AB95DF4" w14:textId="77777777" w:rsidR="006D1DBC" w:rsidRPr="00716D0B"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I + J + K</w:t>
            </w:r>
          </w:p>
        </w:tc>
        <w:tc>
          <w:tcPr>
            <w:tcW w:w="375" w:type="pct"/>
            <w:vAlign w:val="center"/>
          </w:tcPr>
          <w:p w14:paraId="14564983" w14:textId="74D7BBD6" w:rsidR="006D1DBC" w:rsidRPr="00716D0B" w:rsidRDefault="000D06A6" w:rsidP="005835DF">
            <w:pPr>
              <w:jc w:val="center"/>
              <w:rPr>
                <w:rFonts w:ascii="Arial Narrow" w:hAnsi="Arial Narrow" w:cstheme="minorHAnsi"/>
                <w:sz w:val="20"/>
                <w:szCs w:val="20"/>
              </w:rPr>
            </w:pPr>
            <w:r w:rsidRPr="00883B55">
              <w:rPr>
                <w:rFonts w:ascii="Arial Narrow" w:hAnsi="Arial Narrow" w:cstheme="minorHAnsi"/>
                <w:sz w:val="20"/>
                <w:szCs w:val="20"/>
              </w:rPr>
              <w:t>$542.30</w:t>
            </w:r>
          </w:p>
        </w:tc>
      </w:tr>
      <w:tr w:rsidR="006D1DBC" w:rsidRPr="003D04C4" w14:paraId="3B02299A" w14:textId="77777777" w:rsidTr="00925770">
        <w:tc>
          <w:tcPr>
            <w:tcW w:w="136" w:type="pct"/>
            <w:shd w:val="clear" w:color="auto" w:fill="F2F2F2" w:themeFill="background1" w:themeFillShade="F2"/>
            <w:vAlign w:val="center"/>
          </w:tcPr>
          <w:p w14:paraId="6627634D" w14:textId="77777777" w:rsidR="006D1DBC" w:rsidRPr="003D04C4" w:rsidRDefault="006D1DBC" w:rsidP="005835DF">
            <w:pPr>
              <w:jc w:val="center"/>
              <w:rPr>
                <w:rFonts w:ascii="Arial Narrow" w:hAnsi="Arial Narrow" w:cstheme="minorHAnsi"/>
                <w:b/>
                <w:bCs/>
                <w:sz w:val="20"/>
                <w:szCs w:val="20"/>
              </w:rPr>
            </w:pPr>
          </w:p>
        </w:tc>
        <w:tc>
          <w:tcPr>
            <w:tcW w:w="4864" w:type="pct"/>
            <w:gridSpan w:val="9"/>
            <w:shd w:val="clear" w:color="auto" w:fill="F2F2F2" w:themeFill="background1" w:themeFillShade="F2"/>
            <w:vAlign w:val="center"/>
          </w:tcPr>
          <w:p w14:paraId="1019709E" w14:textId="77777777" w:rsidR="006D1DBC" w:rsidRPr="00883B55" w:rsidRDefault="006D1DBC" w:rsidP="005835DF">
            <w:pPr>
              <w:jc w:val="left"/>
              <w:rPr>
                <w:rFonts w:ascii="Arial Narrow" w:hAnsi="Arial Narrow" w:cstheme="minorHAnsi"/>
                <w:b/>
                <w:bCs/>
                <w:sz w:val="20"/>
                <w:szCs w:val="20"/>
              </w:rPr>
            </w:pPr>
            <w:r w:rsidRPr="00883B55">
              <w:rPr>
                <w:rFonts w:ascii="Arial Narrow" w:hAnsi="Arial Narrow" w:cstheme="minorHAnsi"/>
                <w:b/>
                <w:bCs/>
                <w:sz w:val="20"/>
                <w:szCs w:val="20"/>
              </w:rPr>
              <w:t>Total cost of treatment over 2 years</w:t>
            </w:r>
          </w:p>
        </w:tc>
      </w:tr>
      <w:tr w:rsidR="006D1DBC" w:rsidRPr="003D04C4" w14:paraId="2E349A96" w14:textId="77777777" w:rsidTr="002C0790">
        <w:tc>
          <w:tcPr>
            <w:tcW w:w="136" w:type="pct"/>
            <w:vAlign w:val="center"/>
          </w:tcPr>
          <w:p w14:paraId="5D02C85E" w14:textId="77777777" w:rsidR="006D1DBC" w:rsidRPr="003D04C4" w:rsidRDefault="006D1DBC" w:rsidP="005835DF">
            <w:pPr>
              <w:jc w:val="center"/>
              <w:rPr>
                <w:rFonts w:ascii="Arial Narrow" w:hAnsi="Arial Narrow" w:cstheme="minorHAnsi"/>
                <w:sz w:val="20"/>
                <w:szCs w:val="20"/>
              </w:rPr>
            </w:pPr>
            <w:r w:rsidRPr="003D04C4">
              <w:rPr>
                <w:rFonts w:ascii="Arial Narrow" w:hAnsi="Arial Narrow" w:cstheme="minorHAnsi"/>
                <w:sz w:val="20"/>
                <w:szCs w:val="20"/>
              </w:rPr>
              <w:t>M</w:t>
            </w:r>
          </w:p>
        </w:tc>
        <w:tc>
          <w:tcPr>
            <w:tcW w:w="632" w:type="pct"/>
          </w:tcPr>
          <w:p w14:paraId="4ECDACAB" w14:textId="77777777" w:rsidR="006D1DBC" w:rsidRPr="003D04C4" w:rsidRDefault="006D1DBC" w:rsidP="005835DF">
            <w:pPr>
              <w:rPr>
                <w:rFonts w:ascii="Arial Narrow" w:hAnsi="Arial Narrow" w:cstheme="minorHAnsi"/>
                <w:sz w:val="20"/>
                <w:szCs w:val="20"/>
              </w:rPr>
            </w:pPr>
            <w:r w:rsidRPr="003D04C4">
              <w:rPr>
                <w:rFonts w:ascii="Arial Narrow" w:hAnsi="Arial Narrow" w:cstheme="minorHAnsi"/>
                <w:sz w:val="20"/>
                <w:szCs w:val="20"/>
              </w:rPr>
              <w:t>Total cost</w:t>
            </w:r>
          </w:p>
        </w:tc>
        <w:tc>
          <w:tcPr>
            <w:tcW w:w="838" w:type="pct"/>
            <w:gridSpan w:val="2"/>
            <w:vAlign w:val="center"/>
          </w:tcPr>
          <w:p w14:paraId="4365F2E3" w14:textId="336A483B" w:rsidR="006D1DBC" w:rsidRPr="00716D0B" w:rsidRDefault="00A74BFC" w:rsidP="005835DF">
            <w:pPr>
              <w:jc w:val="center"/>
              <w:rPr>
                <w:rFonts w:ascii="Arial Narrow" w:hAnsi="Arial Narrow" w:cstheme="minorHAnsi"/>
                <w:sz w:val="20"/>
                <w:szCs w:val="20"/>
              </w:rPr>
            </w:pPr>
            <w:r w:rsidRPr="00883B55">
              <w:rPr>
                <w:rFonts w:ascii="Arial Narrow" w:hAnsi="Arial Narrow" w:cstheme="minorHAnsi"/>
                <w:sz w:val="20"/>
                <w:szCs w:val="20"/>
              </w:rPr>
              <w:t>$</w:t>
            </w:r>
            <w:r w:rsidR="00B96A78" w:rsidRPr="00B96A78">
              <w:rPr>
                <w:rFonts w:ascii="Arial Narrow" w:hAnsi="Arial Narrow" w:cstheme="minorHAnsi"/>
                <w:color w:val="000000"/>
                <w:sz w:val="20"/>
                <w:szCs w:val="20"/>
                <w:shd w:val="solid" w:color="000000" w:fill="000000"/>
                <w14:textFill>
                  <w14:solidFill>
                    <w14:srgbClr w14:val="000000">
                      <w14:alpha w14:val="100000"/>
                    </w14:srgbClr>
                  </w14:solidFill>
                </w14:textFill>
              </w:rPr>
              <w:t>|</w:t>
            </w:r>
          </w:p>
        </w:tc>
        <w:tc>
          <w:tcPr>
            <w:tcW w:w="1011" w:type="pct"/>
            <w:vAlign w:val="center"/>
          </w:tcPr>
          <w:p w14:paraId="3923D558" w14:textId="7B035900" w:rsidR="006D1DBC" w:rsidRPr="00716D0B"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A</w:t>
            </w:r>
            <w:r w:rsidR="00C808DF" w:rsidRPr="00883B55">
              <w:rPr>
                <w:rFonts w:ascii="Arial Narrow" w:hAnsi="Arial Narrow" w:cstheme="minorHAnsi"/>
                <w:sz w:val="20"/>
                <w:szCs w:val="20"/>
              </w:rPr>
              <w:t xml:space="preserve">sciminib </w:t>
            </w:r>
            <w:r w:rsidRPr="00883B55">
              <w:rPr>
                <w:rFonts w:ascii="Arial Narrow" w:hAnsi="Arial Narrow" w:cstheme="minorHAnsi"/>
                <w:sz w:val="20"/>
                <w:szCs w:val="20"/>
              </w:rPr>
              <w:t>=</w:t>
            </w:r>
            <w:r w:rsidR="00C808DF" w:rsidRPr="00883B55">
              <w:rPr>
                <w:rFonts w:ascii="Arial Narrow" w:hAnsi="Arial Narrow" w:cstheme="minorHAnsi"/>
                <w:sz w:val="20"/>
                <w:szCs w:val="20"/>
              </w:rPr>
              <w:t xml:space="preserve"> dasatinib</w:t>
            </w:r>
          </w:p>
        </w:tc>
        <w:tc>
          <w:tcPr>
            <w:tcW w:w="934" w:type="pct"/>
            <w:gridSpan w:val="3"/>
            <w:vAlign w:val="center"/>
          </w:tcPr>
          <w:p w14:paraId="2EBC5382" w14:textId="11278628" w:rsidR="006D1DBC" w:rsidRPr="00716D0B" w:rsidRDefault="00A74BFC" w:rsidP="005835DF">
            <w:pPr>
              <w:jc w:val="center"/>
              <w:rPr>
                <w:rFonts w:ascii="Arial Narrow" w:hAnsi="Arial Narrow" w:cstheme="minorHAnsi"/>
                <w:sz w:val="20"/>
                <w:szCs w:val="20"/>
              </w:rPr>
            </w:pPr>
            <w:r w:rsidRPr="00883B55">
              <w:rPr>
                <w:rFonts w:ascii="Arial Narrow" w:hAnsi="Arial Narrow" w:cstheme="minorHAnsi"/>
                <w:sz w:val="20"/>
                <w:szCs w:val="20"/>
              </w:rPr>
              <w:t>$80,292.82</w:t>
            </w:r>
          </w:p>
        </w:tc>
        <w:tc>
          <w:tcPr>
            <w:tcW w:w="1071" w:type="pct"/>
            <w:vAlign w:val="center"/>
          </w:tcPr>
          <w:p w14:paraId="09DC6118" w14:textId="77777777" w:rsidR="006D1DBC" w:rsidRPr="00883B55"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H + L</w:t>
            </w:r>
          </w:p>
        </w:tc>
        <w:tc>
          <w:tcPr>
            <w:tcW w:w="375" w:type="pct"/>
            <w:vAlign w:val="center"/>
          </w:tcPr>
          <w:p w14:paraId="66859867" w14:textId="7C862BCE" w:rsidR="006D1DBC" w:rsidRPr="00883B55" w:rsidRDefault="006D1DBC" w:rsidP="005835DF">
            <w:pPr>
              <w:jc w:val="center"/>
              <w:rPr>
                <w:rFonts w:ascii="Arial Narrow" w:hAnsi="Arial Narrow" w:cstheme="minorHAnsi"/>
                <w:sz w:val="20"/>
                <w:szCs w:val="20"/>
              </w:rPr>
            </w:pPr>
            <w:r w:rsidRPr="00883B55">
              <w:rPr>
                <w:rFonts w:ascii="Arial Narrow" w:hAnsi="Arial Narrow" w:cstheme="minorHAnsi"/>
                <w:sz w:val="20"/>
                <w:szCs w:val="20"/>
              </w:rPr>
              <w:t>$</w:t>
            </w:r>
            <w:r w:rsidR="00B96A78" w:rsidRPr="00B96A78">
              <w:rPr>
                <w:rFonts w:ascii="Arial Narrow" w:hAnsi="Arial Narrow" w:cstheme="minorHAnsi"/>
                <w:color w:val="000000"/>
                <w:spacing w:val="84"/>
                <w:sz w:val="20"/>
                <w:szCs w:val="20"/>
                <w:shd w:val="solid" w:color="000000" w:fill="000000"/>
                <w:fitText w:val="170" w:id="-1301052151"/>
                <w14:textFill>
                  <w14:solidFill>
                    <w14:srgbClr w14:val="000000">
                      <w14:alpha w14:val="100000"/>
                    </w14:srgbClr>
                  </w14:solidFill>
                </w14:textFill>
              </w:rPr>
              <w:t>|</w:t>
            </w:r>
            <w:r w:rsidR="00B96A78" w:rsidRPr="00B96A78">
              <w:rPr>
                <w:rFonts w:ascii="Arial Narrow" w:hAnsi="Arial Narrow" w:cstheme="minorHAnsi"/>
                <w:color w:val="000000"/>
                <w:spacing w:val="1"/>
                <w:sz w:val="20"/>
                <w:szCs w:val="20"/>
                <w:shd w:val="solid" w:color="000000" w:fill="000000"/>
                <w:fitText w:val="170" w:id="-1301052151"/>
                <w14:textFill>
                  <w14:solidFill>
                    <w14:srgbClr w14:val="000000">
                      <w14:alpha w14:val="100000"/>
                    </w14:srgbClr>
                  </w14:solidFill>
                </w14:textFill>
              </w:rPr>
              <w:t>|</w:t>
            </w:r>
          </w:p>
        </w:tc>
      </w:tr>
    </w:tbl>
    <w:p w14:paraId="46033947" w14:textId="5D2D327E" w:rsidR="00C87EF0" w:rsidRDefault="002C0790" w:rsidP="003B182D">
      <w:pPr>
        <w:rPr>
          <w:rFonts w:ascii="Arial Narrow" w:hAnsi="Arial Narrow" w:cstheme="minorHAnsi"/>
          <w:sz w:val="18"/>
          <w:szCs w:val="18"/>
        </w:rPr>
      </w:pPr>
      <w:r w:rsidRPr="002C0790">
        <w:rPr>
          <w:rFonts w:ascii="Arial Narrow" w:hAnsi="Arial Narrow" w:cstheme="minorHAnsi"/>
          <w:sz w:val="18"/>
          <w:szCs w:val="18"/>
        </w:rPr>
        <w:t>Source: Resubmission Table 3-2; Asciminib vs Dasatinib – CMA – Aug 22.xls</w:t>
      </w:r>
    </w:p>
    <w:p w14:paraId="29F6F2F4" w14:textId="6E172D5D" w:rsidR="002B3221" w:rsidRPr="005835DF" w:rsidRDefault="002B3221" w:rsidP="003B182D">
      <w:pPr>
        <w:rPr>
          <w:rFonts w:ascii="Arial Narrow" w:hAnsi="Arial Narrow" w:cstheme="minorHAnsi"/>
          <w:sz w:val="18"/>
          <w:szCs w:val="18"/>
        </w:rPr>
      </w:pPr>
      <w:r w:rsidRPr="005835DF">
        <w:rPr>
          <w:rFonts w:ascii="Arial Narrow" w:hAnsi="Arial Narrow" w:cstheme="minorHAnsi"/>
          <w:sz w:val="18"/>
          <w:szCs w:val="18"/>
        </w:rPr>
        <w:t>a Some table columns in the resubmission’s Word document and Excel file had the 100 mg and 70 mg column headings incorrectly switched. It did not change the results of the CMA. This has been rectified for this overview.</w:t>
      </w:r>
    </w:p>
    <w:p w14:paraId="4EE6CD63" w14:textId="66324A83" w:rsidR="002C0790" w:rsidRDefault="00C808DF" w:rsidP="003B182D">
      <w:pPr>
        <w:rPr>
          <w:sz w:val="18"/>
          <w:szCs w:val="18"/>
        </w:rPr>
      </w:pPr>
      <w:r>
        <w:rPr>
          <w:rFonts w:ascii="Arial Narrow" w:hAnsi="Arial Narrow"/>
          <w:sz w:val="18"/>
          <w:szCs w:val="18"/>
        </w:rPr>
        <w:t>AEMP = approved ex-manufacturer price; MBS = Medicare Benefits Schedule.</w:t>
      </w:r>
    </w:p>
    <w:p w14:paraId="4B7E9565" w14:textId="77777777" w:rsidR="007D6388" w:rsidRPr="009A6D58" w:rsidRDefault="007D6388" w:rsidP="007D6388">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52360EC5" w14:textId="77777777" w:rsidR="007D6388" w:rsidRPr="00A06481" w:rsidRDefault="007D6388" w:rsidP="007D6388">
      <w:pPr>
        <w:rPr>
          <w:rFonts w:ascii="Arial Narrow" w:hAnsi="Arial Narrow" w:cs="Arial"/>
          <w:i/>
          <w:sz w:val="18"/>
          <w:szCs w:val="18"/>
        </w:rPr>
        <w:sectPr w:rsidR="007D6388" w:rsidRPr="00A06481" w:rsidSect="007F485B">
          <w:headerReference w:type="default" r:id="rId18"/>
          <w:footerReference w:type="default" r:id="rId19"/>
          <w:pgSz w:w="16838" w:h="11906" w:orient="landscape"/>
          <w:pgMar w:top="1440" w:right="1440" w:bottom="1440" w:left="1440" w:header="1440" w:footer="1440" w:gutter="0"/>
          <w:cols w:space="708"/>
          <w:docGrid w:linePitch="360"/>
        </w:sect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0A13F9">
        <w:rPr>
          <w:rFonts w:ascii="Arial Narrow" w:hAnsi="Arial Narrow"/>
          <w:sz w:val="18"/>
          <w:szCs w:val="18"/>
        </w:rPr>
        <w:t>&lt; 500</w:t>
      </w:r>
    </w:p>
    <w:p w14:paraId="307617C3" w14:textId="3EF760B7" w:rsidR="003B182D" w:rsidRPr="00997CC1" w:rsidRDefault="003B182D" w:rsidP="00997CC1">
      <w:pPr>
        <w:spacing w:after="120"/>
        <w:rPr>
          <w:b/>
          <w:bCs/>
        </w:rPr>
      </w:pPr>
      <w:r w:rsidRPr="00997CC1">
        <w:rPr>
          <w:b/>
          <w:bCs/>
          <w:i/>
          <w:iCs/>
        </w:rPr>
        <w:lastRenderedPageBreak/>
        <w:t>Weighted average cost-effective price (non-T315</w:t>
      </w:r>
      <w:r w:rsidR="006B08AF" w:rsidRPr="00997CC1">
        <w:rPr>
          <w:b/>
          <w:bCs/>
          <w:i/>
          <w:iCs/>
        </w:rPr>
        <w:t>I</w:t>
      </w:r>
      <w:r w:rsidRPr="00997CC1">
        <w:rPr>
          <w:b/>
          <w:bCs/>
          <w:i/>
          <w:iCs/>
        </w:rPr>
        <w:t xml:space="preserve"> mutation)</w:t>
      </w:r>
    </w:p>
    <w:p w14:paraId="66B53432" w14:textId="5E588E98" w:rsidR="001D6446" w:rsidRPr="00043CD5" w:rsidRDefault="003B182D" w:rsidP="003B182D">
      <w:pPr>
        <w:pStyle w:val="3-BodyText"/>
      </w:pPr>
      <w:r w:rsidRPr="00043CD5">
        <w:t>Although benchmarking asciminib against nilotinib and dasatinib results in different cost-effective prices, the PBAC noted that it would be reasonable to estimate an overall weighted cost-effective price for asciminib by considering the relative use of dasatinib and nilotinib (para</w:t>
      </w:r>
      <w:r w:rsidR="00997CC1" w:rsidRPr="00043CD5">
        <w:t>graph</w:t>
      </w:r>
      <w:r w:rsidRPr="00043CD5">
        <w:t xml:space="preserve"> 7.13</w:t>
      </w:r>
      <w:r w:rsidR="00997CC1" w:rsidRPr="00043CD5">
        <w:t xml:space="preserve">, asciminib </w:t>
      </w:r>
      <w:r w:rsidR="006D254A">
        <w:t>PSD</w:t>
      </w:r>
      <w:r w:rsidR="00997CC1" w:rsidRPr="00043CD5">
        <w:t>, July 2022</w:t>
      </w:r>
      <w:r w:rsidRPr="00043CD5">
        <w:t xml:space="preserve">). To assist with the determination of the relative use, the DUSC </w:t>
      </w:r>
      <w:r w:rsidR="006E3ABF">
        <w:t xml:space="preserve">Secretariat </w:t>
      </w:r>
      <w:r w:rsidRPr="00043CD5">
        <w:t xml:space="preserve">analysed the 100% PBS data and showed that </w:t>
      </w:r>
      <w:r w:rsidR="00B96A78" w:rsidRPr="007F018F">
        <w:rPr>
          <w:color w:val="000000"/>
          <w:w w:val="15"/>
          <w:shd w:val="solid" w:color="000000" w:fill="000000"/>
          <w:fitText w:val="-20" w:id="-1301052150"/>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2150"/>
          <w14:textFill>
            <w14:solidFill>
              <w14:srgbClr w14:val="000000">
                <w14:alpha w14:val="100000"/>
              </w14:srgbClr>
            </w14:solidFill>
          </w14:textFill>
        </w:rPr>
        <w:t>|</w:t>
      </w:r>
      <w:r w:rsidRPr="00043CD5">
        <w:t xml:space="preserve">% and </w:t>
      </w:r>
      <w:r w:rsidR="00B96A78" w:rsidRPr="007F018F">
        <w:rPr>
          <w:color w:val="000000"/>
          <w:w w:val="15"/>
          <w:shd w:val="solid" w:color="000000" w:fill="000000"/>
          <w:fitText w:val="-20" w:id="-1301052149"/>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2149"/>
          <w14:textFill>
            <w14:solidFill>
              <w14:srgbClr w14:val="000000">
                <w14:alpha w14:val="100000"/>
              </w14:srgbClr>
            </w14:solidFill>
          </w14:textFill>
        </w:rPr>
        <w:t>|</w:t>
      </w:r>
      <w:r w:rsidRPr="00043CD5">
        <w:t>% of patients received dasatinib and nilotinib</w:t>
      </w:r>
      <w:r w:rsidR="00997CC1" w:rsidRPr="00043CD5">
        <w:t>, respectively,</w:t>
      </w:r>
      <w:r w:rsidRPr="00043CD5">
        <w:t xml:space="preserve"> as their third TKI</w:t>
      </w:r>
      <w:r w:rsidR="00997CC1" w:rsidRPr="00043CD5">
        <w:t>,</w:t>
      </w:r>
      <w:r w:rsidRPr="00043CD5">
        <w:t xml:space="preserve"> noting that the asciminib is for patients resistant to or intolerant of at least two prior TKIs (i.e., third TKI). Based on these data, the proposed weighted EMP for asciminib is $</w:t>
      </w:r>
      <w:r w:rsidR="00B96A78" w:rsidRPr="007F018F">
        <w:rPr>
          <w:color w:val="000000"/>
          <w:w w:val="15"/>
          <w:shd w:val="solid" w:color="000000" w:fill="000000"/>
          <w:fitText w:val="-20" w:id="-1301052148"/>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2148"/>
          <w14:textFill>
            <w14:solidFill>
              <w14:srgbClr w14:val="000000">
                <w14:alpha w14:val="100000"/>
              </w14:srgbClr>
            </w14:solidFill>
          </w14:textFill>
        </w:rPr>
        <w:t>|</w:t>
      </w:r>
      <w:r w:rsidRPr="00043CD5">
        <w:t xml:space="preserve"> </w:t>
      </w:r>
      <w:r w:rsidRPr="00043CD5">
        <w:rPr>
          <w:rFonts w:cstheme="minorHAnsi"/>
        </w:rPr>
        <w:t>(</w:t>
      </w:r>
      <w:r w:rsidR="002F41B5" w:rsidRPr="00043CD5">
        <w:rPr>
          <w:rFonts w:cstheme="minorHAnsi"/>
        </w:rPr>
        <w:fldChar w:fldCharType="begin" w:fldLock="1"/>
      </w:r>
      <w:r w:rsidR="002F41B5" w:rsidRPr="00043CD5">
        <w:rPr>
          <w:rFonts w:cstheme="minorHAnsi"/>
        </w:rPr>
        <w:instrText xml:space="preserve"> REF _Ref114675456 \h  \* MERGEFORMAT </w:instrText>
      </w:r>
      <w:r w:rsidR="002F41B5" w:rsidRPr="00043CD5">
        <w:rPr>
          <w:rFonts w:cstheme="minorHAnsi"/>
        </w:rPr>
      </w:r>
      <w:r w:rsidR="002F41B5" w:rsidRPr="00043CD5">
        <w:rPr>
          <w:rFonts w:cstheme="minorHAnsi"/>
        </w:rPr>
        <w:fldChar w:fldCharType="separate"/>
      </w:r>
      <w:r w:rsidR="00196FF1" w:rsidRPr="00196FF1">
        <w:rPr>
          <w:rFonts w:cstheme="minorHAnsi"/>
        </w:rPr>
        <w:t xml:space="preserve">Table </w:t>
      </w:r>
      <w:r w:rsidR="00196FF1" w:rsidRPr="00196FF1">
        <w:rPr>
          <w:rFonts w:cstheme="minorHAnsi"/>
          <w:noProof/>
        </w:rPr>
        <w:t>18</w:t>
      </w:r>
      <w:r w:rsidR="002F41B5" w:rsidRPr="00043CD5">
        <w:rPr>
          <w:rFonts w:cstheme="minorHAnsi"/>
        </w:rPr>
        <w:fldChar w:fldCharType="end"/>
      </w:r>
      <w:r w:rsidRPr="00043CD5">
        <w:t>).</w:t>
      </w:r>
    </w:p>
    <w:p w14:paraId="50C9F453" w14:textId="285E1471" w:rsidR="003B182D" w:rsidRPr="002F41B5" w:rsidRDefault="002F41B5" w:rsidP="002F41B5">
      <w:pPr>
        <w:pStyle w:val="Tableheading"/>
        <w:jc w:val="left"/>
        <w:rPr>
          <w:rFonts w:ascii="Arial Narrow" w:hAnsi="Arial Narrow"/>
        </w:rPr>
      </w:pPr>
      <w:bookmarkStart w:id="45" w:name="_Ref114675456"/>
      <w:r w:rsidRPr="002F41B5">
        <w:rPr>
          <w:rFonts w:ascii="Arial Narrow" w:hAnsi="Arial Narrow"/>
        </w:rPr>
        <w:t xml:space="preserve">Table </w:t>
      </w:r>
      <w:r w:rsidRPr="002F41B5">
        <w:rPr>
          <w:rFonts w:ascii="Arial Narrow" w:hAnsi="Arial Narrow"/>
        </w:rPr>
        <w:fldChar w:fldCharType="begin" w:fldLock="1"/>
      </w:r>
      <w:r w:rsidRPr="002F41B5">
        <w:rPr>
          <w:rFonts w:ascii="Arial Narrow" w:hAnsi="Arial Narrow"/>
        </w:rPr>
        <w:instrText xml:space="preserve"> SEQ Table \* ARABIC </w:instrText>
      </w:r>
      <w:r w:rsidRPr="002F41B5">
        <w:rPr>
          <w:rFonts w:ascii="Arial Narrow" w:hAnsi="Arial Narrow"/>
        </w:rPr>
        <w:fldChar w:fldCharType="separate"/>
      </w:r>
      <w:r w:rsidR="00100F00">
        <w:rPr>
          <w:rFonts w:ascii="Arial Narrow" w:hAnsi="Arial Narrow"/>
          <w:noProof/>
        </w:rPr>
        <w:t>18</w:t>
      </w:r>
      <w:r w:rsidRPr="002F41B5">
        <w:rPr>
          <w:rFonts w:ascii="Arial Narrow" w:hAnsi="Arial Narrow"/>
        </w:rPr>
        <w:fldChar w:fldCharType="end"/>
      </w:r>
      <w:bookmarkEnd w:id="45"/>
      <w:r w:rsidRPr="002F41B5">
        <w:rPr>
          <w:rFonts w:ascii="Arial Narrow" w:hAnsi="Arial Narrow"/>
        </w:rPr>
        <w:t xml:space="preserve">: </w:t>
      </w:r>
      <w:r w:rsidR="003B182D" w:rsidRPr="002F41B5">
        <w:rPr>
          <w:rFonts w:ascii="Arial Narrow" w:hAnsi="Arial Narrow"/>
        </w:rPr>
        <w:t>Weighted average cost-effective</w:t>
      </w:r>
      <w:r w:rsidR="00E521B1">
        <w:rPr>
          <w:rFonts w:ascii="Arial Narrow" w:hAnsi="Arial Narrow"/>
        </w:rPr>
        <w:t xml:space="preserve"> proposed</w:t>
      </w:r>
      <w:r w:rsidR="003B182D" w:rsidRPr="002F41B5">
        <w:rPr>
          <w:rFonts w:ascii="Arial Narrow" w:hAnsi="Arial Narrow"/>
        </w:rPr>
        <w:t xml:space="preserve"> EMP</w:t>
      </w:r>
      <w:r w:rsidR="00E521B1">
        <w:rPr>
          <w:rFonts w:ascii="Arial Narrow" w:hAnsi="Arial Narrow"/>
        </w:rPr>
        <w:t xml:space="preserve"> for asciminib</w:t>
      </w:r>
      <w:r w:rsidR="003B182D" w:rsidRPr="002F41B5">
        <w:rPr>
          <w:rFonts w:ascii="Arial Narrow" w:hAnsi="Arial Narrow"/>
        </w:rPr>
        <w:t xml:space="preserve"> (non-T315</w:t>
      </w:r>
      <w:r>
        <w:rPr>
          <w:rFonts w:ascii="Arial Narrow" w:hAnsi="Arial Narrow"/>
        </w:rPr>
        <w:t>I</w:t>
      </w:r>
      <w:r w:rsidR="003B182D" w:rsidRPr="002F41B5">
        <w:rPr>
          <w:rFonts w:ascii="Arial Narrow" w:hAnsi="Arial Narrow"/>
        </w:rPr>
        <w:t xml:space="preserve"> mutation)</w:t>
      </w:r>
    </w:p>
    <w:tbl>
      <w:tblPr>
        <w:tblStyle w:val="TableGrid"/>
        <w:tblW w:w="5000" w:type="pct"/>
        <w:tblLook w:val="04A0" w:firstRow="1" w:lastRow="0" w:firstColumn="1" w:lastColumn="0" w:noHBand="0" w:noVBand="1"/>
        <w:tblCaption w:val="Table 18: Weighted average cost-effective proposed EMP for asciminib (non-T315I mutation)"/>
      </w:tblPr>
      <w:tblGrid>
        <w:gridCol w:w="1288"/>
        <w:gridCol w:w="1288"/>
        <w:gridCol w:w="1288"/>
        <w:gridCol w:w="1288"/>
        <w:gridCol w:w="1288"/>
        <w:gridCol w:w="1289"/>
        <w:gridCol w:w="1287"/>
      </w:tblGrid>
      <w:tr w:rsidR="003B182D" w:rsidRPr="002F41B5" w14:paraId="1876CA3D" w14:textId="77777777" w:rsidTr="00750019">
        <w:tc>
          <w:tcPr>
            <w:tcW w:w="714" w:type="pct"/>
            <w:vMerge w:val="restart"/>
            <w:shd w:val="clear" w:color="auto" w:fill="F2F2F2" w:themeFill="background1" w:themeFillShade="F2"/>
          </w:tcPr>
          <w:p w14:paraId="6EAF03CB" w14:textId="77777777" w:rsidR="003B182D" w:rsidRPr="002F41B5" w:rsidRDefault="003B182D" w:rsidP="00750019">
            <w:pPr>
              <w:spacing w:line="276" w:lineRule="auto"/>
              <w:rPr>
                <w:rFonts w:ascii="Arial Narrow" w:hAnsi="Arial Narrow"/>
                <w:b/>
                <w:bCs/>
                <w:sz w:val="20"/>
                <w:szCs w:val="20"/>
                <w:highlight w:val="lightGray"/>
              </w:rPr>
            </w:pPr>
          </w:p>
        </w:tc>
        <w:tc>
          <w:tcPr>
            <w:tcW w:w="714" w:type="pct"/>
            <w:vMerge w:val="restart"/>
            <w:shd w:val="clear" w:color="auto" w:fill="F2F2F2" w:themeFill="background1" w:themeFillShade="F2"/>
            <w:vAlign w:val="center"/>
          </w:tcPr>
          <w:p w14:paraId="4B317550" w14:textId="4D4113D5" w:rsidR="003B182D" w:rsidRPr="00043CD5" w:rsidRDefault="00EC7978" w:rsidP="00750019">
            <w:pPr>
              <w:spacing w:line="276" w:lineRule="auto"/>
              <w:jc w:val="center"/>
              <w:rPr>
                <w:rFonts w:ascii="Arial Narrow" w:hAnsi="Arial Narrow"/>
                <w:b/>
                <w:bCs/>
                <w:sz w:val="20"/>
                <w:szCs w:val="20"/>
              </w:rPr>
            </w:pPr>
            <w:r>
              <w:rPr>
                <w:rFonts w:ascii="Arial Narrow" w:hAnsi="Arial Narrow"/>
                <w:b/>
                <w:bCs/>
                <w:sz w:val="20"/>
                <w:szCs w:val="20"/>
              </w:rPr>
              <w:t xml:space="preserve">Effective </w:t>
            </w:r>
            <w:r w:rsidR="003B182D" w:rsidRPr="00043CD5">
              <w:rPr>
                <w:rFonts w:ascii="Arial Narrow" w:hAnsi="Arial Narrow"/>
                <w:b/>
                <w:bCs/>
                <w:sz w:val="20"/>
                <w:szCs w:val="20"/>
              </w:rPr>
              <w:t>EMP/pack</w:t>
            </w:r>
          </w:p>
        </w:tc>
        <w:tc>
          <w:tcPr>
            <w:tcW w:w="714" w:type="pct"/>
            <w:vMerge w:val="restart"/>
            <w:shd w:val="clear" w:color="auto" w:fill="F2F2F2" w:themeFill="background1" w:themeFillShade="F2"/>
            <w:vAlign w:val="center"/>
          </w:tcPr>
          <w:p w14:paraId="436E4D90" w14:textId="7BA3E447" w:rsidR="003B182D" w:rsidRPr="00E521B1" w:rsidRDefault="003B182D" w:rsidP="00750019">
            <w:pPr>
              <w:spacing w:line="276" w:lineRule="auto"/>
              <w:jc w:val="center"/>
              <w:rPr>
                <w:rFonts w:ascii="Arial Narrow" w:hAnsi="Arial Narrow"/>
                <w:b/>
                <w:bCs/>
                <w:sz w:val="20"/>
                <w:szCs w:val="20"/>
              </w:rPr>
            </w:pPr>
            <w:r w:rsidRPr="00E521B1">
              <w:rPr>
                <w:rFonts w:ascii="Arial Narrow" w:hAnsi="Arial Narrow"/>
                <w:b/>
                <w:bCs/>
                <w:sz w:val="20"/>
                <w:szCs w:val="20"/>
              </w:rPr>
              <w:t>Strength</w:t>
            </w:r>
            <w:r w:rsidR="002F41B5" w:rsidRPr="00E521B1">
              <w:rPr>
                <w:rFonts w:ascii="Arial Narrow" w:hAnsi="Arial Narrow"/>
                <w:b/>
                <w:bCs/>
                <w:sz w:val="20"/>
                <w:szCs w:val="20"/>
              </w:rPr>
              <w:t xml:space="preserve"> (mg)</w:t>
            </w:r>
          </w:p>
        </w:tc>
        <w:tc>
          <w:tcPr>
            <w:tcW w:w="714" w:type="pct"/>
            <w:vMerge w:val="restart"/>
            <w:shd w:val="clear" w:color="auto" w:fill="F2F2F2" w:themeFill="background1" w:themeFillShade="F2"/>
            <w:vAlign w:val="center"/>
          </w:tcPr>
          <w:p w14:paraId="79A25C6F" w14:textId="77777777" w:rsidR="003B182D" w:rsidRPr="00E521B1" w:rsidRDefault="003B182D" w:rsidP="00750019">
            <w:pPr>
              <w:spacing w:line="276" w:lineRule="auto"/>
              <w:jc w:val="center"/>
              <w:rPr>
                <w:rFonts w:ascii="Arial Narrow" w:hAnsi="Arial Narrow"/>
                <w:b/>
                <w:bCs/>
                <w:sz w:val="20"/>
                <w:szCs w:val="20"/>
              </w:rPr>
            </w:pPr>
            <w:r w:rsidRPr="00E521B1">
              <w:rPr>
                <w:rFonts w:ascii="Arial Narrow" w:hAnsi="Arial Narrow"/>
                <w:b/>
                <w:bCs/>
                <w:sz w:val="20"/>
                <w:szCs w:val="20"/>
              </w:rPr>
              <w:t>Tablets/pack</w:t>
            </w:r>
          </w:p>
        </w:tc>
        <w:tc>
          <w:tcPr>
            <w:tcW w:w="1429" w:type="pct"/>
            <w:gridSpan w:val="2"/>
            <w:shd w:val="clear" w:color="auto" w:fill="F2F2F2" w:themeFill="background1" w:themeFillShade="F2"/>
            <w:vAlign w:val="center"/>
          </w:tcPr>
          <w:p w14:paraId="64C10755" w14:textId="614C740E" w:rsidR="003B182D" w:rsidRPr="00043CD5" w:rsidRDefault="003B182D" w:rsidP="00750019">
            <w:pPr>
              <w:spacing w:line="276" w:lineRule="auto"/>
              <w:jc w:val="center"/>
              <w:rPr>
                <w:rFonts w:ascii="Arial Narrow" w:hAnsi="Arial Narrow"/>
                <w:b/>
                <w:bCs/>
                <w:sz w:val="20"/>
                <w:szCs w:val="20"/>
              </w:rPr>
            </w:pPr>
            <w:r w:rsidRPr="00043CD5">
              <w:rPr>
                <w:rFonts w:ascii="Arial Narrow" w:hAnsi="Arial Narrow"/>
                <w:b/>
                <w:bCs/>
                <w:sz w:val="20"/>
                <w:szCs w:val="20"/>
              </w:rPr>
              <w:t>DUSC</w:t>
            </w:r>
            <w:r w:rsidR="008D6F51">
              <w:rPr>
                <w:rFonts w:ascii="Arial Narrow" w:hAnsi="Arial Narrow"/>
                <w:b/>
                <w:bCs/>
                <w:sz w:val="20"/>
                <w:szCs w:val="20"/>
              </w:rPr>
              <w:t xml:space="preserve"> Secretariat</w:t>
            </w:r>
          </w:p>
        </w:tc>
        <w:tc>
          <w:tcPr>
            <w:tcW w:w="714" w:type="pct"/>
            <w:vMerge w:val="restart"/>
            <w:shd w:val="clear" w:color="auto" w:fill="F2F2F2" w:themeFill="background1" w:themeFillShade="F2"/>
            <w:vAlign w:val="center"/>
          </w:tcPr>
          <w:p w14:paraId="5C432F34" w14:textId="43202CA7" w:rsidR="003B182D" w:rsidRPr="00043CD5" w:rsidRDefault="00EC7978" w:rsidP="00750019">
            <w:pPr>
              <w:spacing w:line="276" w:lineRule="auto"/>
              <w:jc w:val="center"/>
              <w:rPr>
                <w:rFonts w:ascii="Arial Narrow" w:hAnsi="Arial Narrow"/>
                <w:b/>
                <w:bCs/>
                <w:sz w:val="20"/>
                <w:szCs w:val="20"/>
              </w:rPr>
            </w:pPr>
            <w:r>
              <w:rPr>
                <w:rFonts w:ascii="Arial Narrow" w:hAnsi="Arial Narrow"/>
                <w:b/>
                <w:bCs/>
                <w:sz w:val="20"/>
                <w:szCs w:val="20"/>
              </w:rPr>
              <w:t>Effective w</w:t>
            </w:r>
            <w:r w:rsidR="003B182D" w:rsidRPr="00043CD5">
              <w:rPr>
                <w:rFonts w:ascii="Arial Narrow" w:hAnsi="Arial Narrow"/>
                <w:b/>
                <w:bCs/>
                <w:sz w:val="20"/>
                <w:szCs w:val="20"/>
              </w:rPr>
              <w:t>eighted EMP</w:t>
            </w:r>
          </w:p>
        </w:tc>
      </w:tr>
      <w:tr w:rsidR="003B182D" w:rsidRPr="002F41B5" w14:paraId="08F77181" w14:textId="77777777" w:rsidTr="00750019">
        <w:tc>
          <w:tcPr>
            <w:tcW w:w="714" w:type="pct"/>
            <w:vMerge/>
          </w:tcPr>
          <w:p w14:paraId="203952AA" w14:textId="77777777" w:rsidR="003B182D" w:rsidRPr="002F41B5" w:rsidRDefault="003B182D" w:rsidP="00750019">
            <w:pPr>
              <w:spacing w:line="276" w:lineRule="auto"/>
              <w:rPr>
                <w:rFonts w:ascii="Arial Narrow" w:hAnsi="Arial Narrow"/>
                <w:sz w:val="20"/>
                <w:szCs w:val="20"/>
                <w:highlight w:val="lightGray"/>
              </w:rPr>
            </w:pPr>
          </w:p>
        </w:tc>
        <w:tc>
          <w:tcPr>
            <w:tcW w:w="714" w:type="pct"/>
            <w:vMerge/>
            <w:vAlign w:val="center"/>
          </w:tcPr>
          <w:p w14:paraId="522508B1" w14:textId="77777777" w:rsidR="003B182D" w:rsidRPr="002F41B5" w:rsidRDefault="003B182D" w:rsidP="00750019">
            <w:pPr>
              <w:spacing w:line="276" w:lineRule="auto"/>
              <w:jc w:val="center"/>
              <w:rPr>
                <w:rFonts w:ascii="Arial Narrow" w:hAnsi="Arial Narrow"/>
                <w:sz w:val="20"/>
                <w:szCs w:val="20"/>
                <w:highlight w:val="lightGray"/>
              </w:rPr>
            </w:pPr>
          </w:p>
        </w:tc>
        <w:tc>
          <w:tcPr>
            <w:tcW w:w="714" w:type="pct"/>
            <w:vMerge/>
            <w:vAlign w:val="center"/>
          </w:tcPr>
          <w:p w14:paraId="71CB4C55" w14:textId="77777777" w:rsidR="003B182D" w:rsidRPr="00E521B1" w:rsidRDefault="003B182D" w:rsidP="00750019">
            <w:pPr>
              <w:spacing w:line="276" w:lineRule="auto"/>
              <w:jc w:val="center"/>
              <w:rPr>
                <w:rFonts w:ascii="Arial Narrow" w:hAnsi="Arial Narrow"/>
                <w:sz w:val="20"/>
                <w:szCs w:val="20"/>
              </w:rPr>
            </w:pPr>
          </w:p>
        </w:tc>
        <w:tc>
          <w:tcPr>
            <w:tcW w:w="714" w:type="pct"/>
            <w:vMerge/>
            <w:vAlign w:val="center"/>
          </w:tcPr>
          <w:p w14:paraId="1F3C5783" w14:textId="77777777" w:rsidR="003B182D" w:rsidRPr="00E521B1" w:rsidRDefault="003B182D" w:rsidP="00750019">
            <w:pPr>
              <w:spacing w:line="276" w:lineRule="auto"/>
              <w:jc w:val="center"/>
              <w:rPr>
                <w:rFonts w:ascii="Arial Narrow" w:hAnsi="Arial Narrow"/>
                <w:sz w:val="20"/>
                <w:szCs w:val="20"/>
              </w:rPr>
            </w:pPr>
          </w:p>
        </w:tc>
        <w:tc>
          <w:tcPr>
            <w:tcW w:w="714" w:type="pct"/>
            <w:shd w:val="clear" w:color="auto" w:fill="F2F2F2" w:themeFill="background1" w:themeFillShade="F2"/>
            <w:vAlign w:val="center"/>
          </w:tcPr>
          <w:p w14:paraId="68F5EF2A" w14:textId="1781A586" w:rsidR="003B182D" w:rsidRPr="00043CD5" w:rsidRDefault="003B182D" w:rsidP="00750019">
            <w:pPr>
              <w:spacing w:line="276" w:lineRule="auto"/>
              <w:jc w:val="center"/>
              <w:rPr>
                <w:rFonts w:ascii="Arial Narrow" w:hAnsi="Arial Narrow"/>
                <w:b/>
                <w:bCs/>
                <w:sz w:val="20"/>
                <w:szCs w:val="20"/>
              </w:rPr>
            </w:pPr>
            <w:r w:rsidRPr="00043CD5">
              <w:rPr>
                <w:rFonts w:ascii="Arial Narrow" w:hAnsi="Arial Narrow"/>
                <w:b/>
                <w:bCs/>
                <w:sz w:val="20"/>
                <w:szCs w:val="20"/>
              </w:rPr>
              <w:t>Patients</w:t>
            </w:r>
            <w:r w:rsidR="00E521B1" w:rsidRPr="00E521B1">
              <w:rPr>
                <w:rFonts w:ascii="Arial Narrow" w:hAnsi="Arial Narrow"/>
                <w:b/>
                <w:bCs/>
                <w:sz w:val="20"/>
                <w:szCs w:val="20"/>
                <w:vertAlign w:val="superscript"/>
              </w:rPr>
              <w:t>a</w:t>
            </w:r>
          </w:p>
        </w:tc>
        <w:tc>
          <w:tcPr>
            <w:tcW w:w="714" w:type="pct"/>
            <w:shd w:val="clear" w:color="auto" w:fill="F2F2F2" w:themeFill="background1" w:themeFillShade="F2"/>
            <w:vAlign w:val="center"/>
          </w:tcPr>
          <w:p w14:paraId="3DE50F66" w14:textId="77777777" w:rsidR="003B182D" w:rsidRPr="00043CD5" w:rsidRDefault="003B182D" w:rsidP="00750019">
            <w:pPr>
              <w:spacing w:line="276" w:lineRule="auto"/>
              <w:jc w:val="center"/>
              <w:rPr>
                <w:rFonts w:ascii="Arial Narrow" w:hAnsi="Arial Narrow"/>
                <w:b/>
                <w:bCs/>
                <w:sz w:val="20"/>
                <w:szCs w:val="20"/>
              </w:rPr>
            </w:pPr>
            <w:r w:rsidRPr="00043CD5">
              <w:rPr>
                <w:rFonts w:ascii="Arial Narrow" w:hAnsi="Arial Narrow"/>
                <w:b/>
                <w:bCs/>
                <w:sz w:val="20"/>
                <w:szCs w:val="20"/>
              </w:rPr>
              <w:t>% use</w:t>
            </w:r>
          </w:p>
        </w:tc>
        <w:tc>
          <w:tcPr>
            <w:tcW w:w="714" w:type="pct"/>
            <w:vMerge/>
            <w:vAlign w:val="center"/>
          </w:tcPr>
          <w:p w14:paraId="178CA089" w14:textId="77777777" w:rsidR="003B182D" w:rsidRPr="002F41B5" w:rsidRDefault="003B182D" w:rsidP="00750019">
            <w:pPr>
              <w:spacing w:line="276" w:lineRule="auto"/>
              <w:jc w:val="center"/>
              <w:rPr>
                <w:rFonts w:ascii="Arial Narrow" w:hAnsi="Arial Narrow"/>
                <w:sz w:val="20"/>
                <w:szCs w:val="20"/>
                <w:highlight w:val="lightGray"/>
              </w:rPr>
            </w:pPr>
          </w:p>
        </w:tc>
      </w:tr>
      <w:tr w:rsidR="003B182D" w:rsidRPr="002F41B5" w14:paraId="6445E913" w14:textId="77777777" w:rsidTr="00750019">
        <w:tc>
          <w:tcPr>
            <w:tcW w:w="714" w:type="pct"/>
          </w:tcPr>
          <w:p w14:paraId="17CA0B27" w14:textId="77777777" w:rsidR="003B182D" w:rsidRPr="002F41B5" w:rsidRDefault="003B182D" w:rsidP="00750019">
            <w:pPr>
              <w:spacing w:line="276" w:lineRule="auto"/>
              <w:rPr>
                <w:rFonts w:ascii="Arial Narrow" w:hAnsi="Arial Narrow"/>
                <w:sz w:val="20"/>
                <w:szCs w:val="20"/>
                <w:highlight w:val="lightGray"/>
              </w:rPr>
            </w:pPr>
            <w:r w:rsidRPr="00043CD5">
              <w:rPr>
                <w:rFonts w:ascii="Arial Narrow" w:hAnsi="Arial Narrow"/>
                <w:sz w:val="20"/>
                <w:szCs w:val="20"/>
              </w:rPr>
              <w:t>vs. dasatinib</w:t>
            </w:r>
          </w:p>
        </w:tc>
        <w:tc>
          <w:tcPr>
            <w:tcW w:w="714" w:type="pct"/>
            <w:vAlign w:val="center"/>
          </w:tcPr>
          <w:p w14:paraId="3D1A8DDE" w14:textId="0BA96663" w:rsidR="003B182D" w:rsidRPr="002F41B5" w:rsidRDefault="003B182D" w:rsidP="00750019">
            <w:pPr>
              <w:spacing w:line="276" w:lineRule="auto"/>
              <w:jc w:val="center"/>
              <w:rPr>
                <w:rFonts w:ascii="Arial Narrow" w:hAnsi="Arial Narrow"/>
                <w:sz w:val="20"/>
                <w:szCs w:val="20"/>
                <w:highlight w:val="lightGray"/>
              </w:rPr>
            </w:pPr>
            <w:r w:rsidRPr="00043CD5">
              <w:rPr>
                <w:rFonts w:ascii="Arial Narrow" w:hAnsi="Arial Narrow" w:cs="Calibri"/>
                <w:color w:val="000000"/>
                <w:sz w:val="20"/>
                <w:szCs w:val="20"/>
              </w:rPr>
              <w:t>$</w:t>
            </w:r>
            <w:r w:rsidR="00B96A78" w:rsidRPr="00B96A78">
              <w:rPr>
                <w:rFonts w:ascii="Arial Narrow" w:hAnsi="Arial Narrow" w:cs="Calibri" w:hint="eastAsia"/>
                <w:color w:val="000000"/>
                <w:w w:val="15"/>
                <w:sz w:val="20"/>
                <w:szCs w:val="20"/>
                <w:shd w:val="solid" w:color="000000" w:fill="000000"/>
                <w:fitText w:val="60" w:id="-1301052147"/>
                <w14:textFill>
                  <w14:solidFill>
                    <w14:srgbClr w14:val="000000">
                      <w14:alpha w14:val="100000"/>
                    </w14:srgbClr>
                  </w14:solidFill>
                </w14:textFill>
              </w:rPr>
              <w:t xml:space="preserve">　</w:t>
            </w:r>
            <w:r w:rsidR="00B96A78" w:rsidRPr="00B96A78">
              <w:rPr>
                <w:rFonts w:ascii="Arial Narrow" w:hAnsi="Arial Narrow" w:cs="Calibri"/>
                <w:color w:val="000000"/>
                <w:w w:val="15"/>
                <w:sz w:val="20"/>
                <w:szCs w:val="20"/>
                <w:shd w:val="solid" w:color="000000" w:fill="000000"/>
                <w:fitText w:val="60" w:id="-1301052147"/>
                <w14:textFill>
                  <w14:solidFill>
                    <w14:srgbClr w14:val="000000">
                      <w14:alpha w14:val="100000"/>
                    </w14:srgbClr>
                  </w14:solidFill>
                </w14:textFill>
              </w:rPr>
              <w:t>|</w:t>
            </w:r>
            <w:r w:rsidR="00B96A78" w:rsidRPr="00B96A78">
              <w:rPr>
                <w:rFonts w:ascii="Arial Narrow" w:hAnsi="Arial Narrow" w:cs="Calibri" w:hint="eastAsia"/>
                <w:color w:val="000000"/>
                <w:spacing w:val="-5"/>
                <w:w w:val="15"/>
                <w:sz w:val="20"/>
                <w:szCs w:val="20"/>
                <w:shd w:val="solid" w:color="000000" w:fill="000000"/>
                <w:fitText w:val="60" w:id="-1301052147"/>
                <w14:textFill>
                  <w14:solidFill>
                    <w14:srgbClr w14:val="000000">
                      <w14:alpha w14:val="100000"/>
                    </w14:srgbClr>
                  </w14:solidFill>
                </w14:textFill>
              </w:rPr>
              <w:t xml:space="preserve">　</w:t>
            </w:r>
          </w:p>
        </w:tc>
        <w:tc>
          <w:tcPr>
            <w:tcW w:w="714" w:type="pct"/>
            <w:vAlign w:val="center"/>
          </w:tcPr>
          <w:p w14:paraId="3EC1480D" w14:textId="77777777" w:rsidR="003B182D" w:rsidRPr="00E521B1" w:rsidRDefault="003B182D" w:rsidP="00750019">
            <w:pPr>
              <w:spacing w:line="276" w:lineRule="auto"/>
              <w:jc w:val="center"/>
              <w:rPr>
                <w:rFonts w:ascii="Arial Narrow" w:hAnsi="Arial Narrow"/>
                <w:sz w:val="20"/>
                <w:szCs w:val="20"/>
              </w:rPr>
            </w:pPr>
            <w:r w:rsidRPr="00E521B1">
              <w:rPr>
                <w:rFonts w:ascii="Arial Narrow" w:hAnsi="Arial Narrow" w:cs="Calibri"/>
                <w:color w:val="000000"/>
                <w:sz w:val="20"/>
                <w:szCs w:val="20"/>
              </w:rPr>
              <w:t>20 / 40</w:t>
            </w:r>
          </w:p>
        </w:tc>
        <w:tc>
          <w:tcPr>
            <w:tcW w:w="714" w:type="pct"/>
            <w:vAlign w:val="center"/>
          </w:tcPr>
          <w:p w14:paraId="17F602BA" w14:textId="07884B32" w:rsidR="003B182D" w:rsidRPr="00716D0B" w:rsidRDefault="003B182D" w:rsidP="00750019">
            <w:pPr>
              <w:spacing w:line="276" w:lineRule="auto"/>
              <w:jc w:val="center"/>
              <w:rPr>
                <w:rFonts w:ascii="Arial Narrow" w:hAnsi="Arial Narrow"/>
                <w:sz w:val="20"/>
                <w:szCs w:val="20"/>
                <w:vertAlign w:val="superscript"/>
              </w:rPr>
            </w:pPr>
            <w:r w:rsidRPr="00E521B1">
              <w:rPr>
                <w:rFonts w:ascii="Arial Narrow" w:hAnsi="Arial Narrow" w:cs="Calibri"/>
                <w:color w:val="000000"/>
                <w:sz w:val="20"/>
                <w:szCs w:val="20"/>
              </w:rPr>
              <w:t>60</w:t>
            </w:r>
          </w:p>
        </w:tc>
        <w:tc>
          <w:tcPr>
            <w:tcW w:w="714" w:type="pct"/>
            <w:vAlign w:val="center"/>
          </w:tcPr>
          <w:p w14:paraId="53D3518A" w14:textId="0DF3F9FB" w:rsidR="003B182D" w:rsidRPr="00716D0B" w:rsidRDefault="00B96A78" w:rsidP="00750019">
            <w:pPr>
              <w:spacing w:line="276" w:lineRule="auto"/>
              <w:jc w:val="center"/>
              <w:rPr>
                <w:rFonts w:ascii="Arial Narrow" w:hAnsi="Arial Narrow"/>
                <w:sz w:val="20"/>
                <w:szCs w:val="20"/>
                <w:highlight w:val="darkGray"/>
              </w:rPr>
            </w:pPr>
            <w:r w:rsidRPr="00B96A78">
              <w:rPr>
                <w:rFonts w:ascii="Arial Narrow" w:hAnsi="Arial Narrow" w:cs="Calibri" w:hint="eastAsia"/>
                <w:color w:val="000000"/>
                <w:w w:val="15"/>
                <w:sz w:val="20"/>
                <w:szCs w:val="20"/>
                <w:shd w:val="solid" w:color="000000" w:fill="000000"/>
                <w:fitText w:val="40" w:id="-1301052146"/>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40" w:id="-1301052146"/>
                <w14:textFill>
                  <w14:solidFill>
                    <w14:srgbClr w14:val="000000">
                      <w14:alpha w14:val="100000"/>
                    </w14:srgbClr>
                  </w14:solidFill>
                </w14:textFill>
              </w:rPr>
              <w:t>|</w:t>
            </w:r>
            <w:r w:rsidRPr="00B96A78">
              <w:rPr>
                <w:rFonts w:ascii="Arial Narrow" w:hAnsi="Arial Narrow" w:cs="Calibri" w:hint="eastAsia"/>
                <w:color w:val="000000"/>
                <w:spacing w:val="-25"/>
                <w:w w:val="15"/>
                <w:sz w:val="20"/>
                <w:szCs w:val="20"/>
                <w:shd w:val="solid" w:color="000000" w:fill="000000"/>
                <w:fitText w:val="40" w:id="-1301052146"/>
                <w14:textFill>
                  <w14:solidFill>
                    <w14:srgbClr w14:val="000000">
                      <w14:alpha w14:val="100000"/>
                    </w14:srgbClr>
                  </w14:solidFill>
                </w14:textFill>
              </w:rPr>
              <w:t xml:space="preserve">　</w:t>
            </w:r>
            <w:r w:rsidR="007D6388">
              <w:rPr>
                <w:rFonts w:ascii="Arial Narrow" w:hAnsi="Arial Narrow" w:cs="Calibri"/>
                <w:color w:val="000000"/>
                <w:sz w:val="20"/>
                <w:szCs w:val="20"/>
                <w:vertAlign w:val="superscript"/>
              </w:rPr>
              <w:t>1</w:t>
            </w:r>
          </w:p>
        </w:tc>
        <w:tc>
          <w:tcPr>
            <w:tcW w:w="714" w:type="pct"/>
            <w:vAlign w:val="center"/>
          </w:tcPr>
          <w:p w14:paraId="6CEC0F45" w14:textId="501A11EA" w:rsidR="003B182D" w:rsidRPr="00043CD5" w:rsidRDefault="00B96A78" w:rsidP="00750019">
            <w:pPr>
              <w:spacing w:line="276" w:lineRule="auto"/>
              <w:jc w:val="center"/>
              <w:rPr>
                <w:rFonts w:ascii="Arial Narrow" w:hAnsi="Arial Narrow"/>
                <w:sz w:val="20"/>
                <w:szCs w:val="20"/>
              </w:rPr>
            </w:pPr>
            <w:r w:rsidRPr="00B96A78">
              <w:rPr>
                <w:rFonts w:ascii="Arial Narrow" w:hAnsi="Arial Narrow" w:cs="Calibri" w:hint="eastAsia"/>
                <w:color w:val="000000"/>
                <w:w w:val="20"/>
                <w:sz w:val="20"/>
                <w:szCs w:val="20"/>
                <w:shd w:val="solid" w:color="000000" w:fill="000000"/>
                <w:fitText w:val="90" w:id="-1301052145"/>
                <w14:textFill>
                  <w14:solidFill>
                    <w14:srgbClr w14:val="000000">
                      <w14:alpha w14:val="100000"/>
                    </w14:srgbClr>
                  </w14:solidFill>
                </w14:textFill>
              </w:rPr>
              <w:t xml:space="preserve">　</w:t>
            </w:r>
            <w:r w:rsidRPr="00B96A78">
              <w:rPr>
                <w:rFonts w:ascii="Arial Narrow" w:hAnsi="Arial Narrow" w:cs="Calibri"/>
                <w:color w:val="000000"/>
                <w:w w:val="20"/>
                <w:sz w:val="20"/>
                <w:szCs w:val="20"/>
                <w:shd w:val="solid" w:color="000000" w:fill="000000"/>
                <w:fitText w:val="90" w:id="-1301052145"/>
                <w14:textFill>
                  <w14:solidFill>
                    <w14:srgbClr w14:val="000000">
                      <w14:alpha w14:val="100000"/>
                    </w14:srgbClr>
                  </w14:solidFill>
                </w14:textFill>
              </w:rPr>
              <w:t>|</w:t>
            </w:r>
            <w:r w:rsidRPr="00B96A78">
              <w:rPr>
                <w:rFonts w:ascii="Arial Narrow" w:hAnsi="Arial Narrow" w:cs="Calibri" w:hint="eastAsia"/>
                <w:color w:val="000000"/>
                <w:spacing w:val="3"/>
                <w:w w:val="20"/>
                <w:sz w:val="20"/>
                <w:szCs w:val="20"/>
                <w:shd w:val="solid" w:color="000000" w:fill="000000"/>
                <w:fitText w:val="90" w:id="-1301052145"/>
                <w14:textFill>
                  <w14:solidFill>
                    <w14:srgbClr w14:val="000000">
                      <w14:alpha w14:val="100000"/>
                    </w14:srgbClr>
                  </w14:solidFill>
                </w14:textFill>
              </w:rPr>
              <w:t xml:space="preserve">　</w:t>
            </w:r>
            <w:r w:rsidR="003B182D" w:rsidRPr="00043CD5">
              <w:rPr>
                <w:rFonts w:ascii="Arial Narrow" w:hAnsi="Arial Narrow" w:cs="Calibri"/>
                <w:color w:val="000000"/>
                <w:sz w:val="20"/>
                <w:szCs w:val="20"/>
              </w:rPr>
              <w:t>%</w:t>
            </w:r>
          </w:p>
        </w:tc>
        <w:tc>
          <w:tcPr>
            <w:tcW w:w="714" w:type="pct"/>
            <w:vMerge w:val="restart"/>
            <w:vAlign w:val="center"/>
          </w:tcPr>
          <w:p w14:paraId="3712B8BD" w14:textId="1164835F" w:rsidR="003B182D" w:rsidRPr="002F41B5" w:rsidRDefault="003B182D" w:rsidP="00750019">
            <w:pPr>
              <w:spacing w:line="276" w:lineRule="auto"/>
              <w:jc w:val="center"/>
              <w:rPr>
                <w:rFonts w:ascii="Arial Narrow" w:hAnsi="Arial Narrow"/>
                <w:sz w:val="20"/>
                <w:szCs w:val="20"/>
                <w:highlight w:val="lightGray"/>
              </w:rPr>
            </w:pPr>
            <w:r w:rsidRPr="00A43A9E">
              <w:rPr>
                <w:rFonts w:ascii="Arial Narrow" w:hAnsi="Arial Narrow" w:cs="Calibri"/>
                <w:color w:val="000000"/>
                <w:sz w:val="20"/>
                <w:szCs w:val="20"/>
              </w:rPr>
              <w:t>$</w:t>
            </w:r>
            <w:r w:rsidR="00B96A78" w:rsidRPr="00B96A78">
              <w:rPr>
                <w:rFonts w:ascii="Arial Narrow" w:hAnsi="Arial Narrow" w:cs="Calibri" w:hint="eastAsia"/>
                <w:color w:val="000000"/>
                <w:w w:val="15"/>
                <w:sz w:val="20"/>
                <w:szCs w:val="20"/>
                <w:shd w:val="solid" w:color="000000" w:fill="000000"/>
                <w:fitText w:val="60" w:id="-1301052144"/>
                <w14:textFill>
                  <w14:solidFill>
                    <w14:srgbClr w14:val="000000">
                      <w14:alpha w14:val="100000"/>
                    </w14:srgbClr>
                  </w14:solidFill>
                </w14:textFill>
              </w:rPr>
              <w:t xml:space="preserve">　</w:t>
            </w:r>
            <w:r w:rsidR="00B96A78" w:rsidRPr="00B96A78">
              <w:rPr>
                <w:rFonts w:ascii="Arial Narrow" w:hAnsi="Arial Narrow" w:cs="Calibri"/>
                <w:color w:val="000000"/>
                <w:w w:val="15"/>
                <w:sz w:val="20"/>
                <w:szCs w:val="20"/>
                <w:shd w:val="solid" w:color="000000" w:fill="000000"/>
                <w:fitText w:val="60" w:id="-1301052144"/>
                <w14:textFill>
                  <w14:solidFill>
                    <w14:srgbClr w14:val="000000">
                      <w14:alpha w14:val="100000"/>
                    </w14:srgbClr>
                  </w14:solidFill>
                </w14:textFill>
              </w:rPr>
              <w:t>|</w:t>
            </w:r>
            <w:r w:rsidR="00B96A78" w:rsidRPr="00B96A78">
              <w:rPr>
                <w:rFonts w:ascii="Arial Narrow" w:hAnsi="Arial Narrow" w:cs="Calibri" w:hint="eastAsia"/>
                <w:color w:val="000000"/>
                <w:spacing w:val="-5"/>
                <w:w w:val="15"/>
                <w:sz w:val="20"/>
                <w:szCs w:val="20"/>
                <w:shd w:val="solid" w:color="000000" w:fill="000000"/>
                <w:fitText w:val="60" w:id="-1301052144"/>
                <w14:textFill>
                  <w14:solidFill>
                    <w14:srgbClr w14:val="000000">
                      <w14:alpha w14:val="100000"/>
                    </w14:srgbClr>
                  </w14:solidFill>
                </w14:textFill>
              </w:rPr>
              <w:t xml:space="preserve">　</w:t>
            </w:r>
          </w:p>
        </w:tc>
      </w:tr>
      <w:tr w:rsidR="003B182D" w:rsidRPr="002F41B5" w14:paraId="4C6377C0" w14:textId="77777777" w:rsidTr="00750019">
        <w:tc>
          <w:tcPr>
            <w:tcW w:w="714" w:type="pct"/>
          </w:tcPr>
          <w:p w14:paraId="690B6381" w14:textId="59EC9596" w:rsidR="003B182D" w:rsidRPr="00043CD5" w:rsidRDefault="00043CD5" w:rsidP="00750019">
            <w:pPr>
              <w:spacing w:line="276" w:lineRule="auto"/>
              <w:rPr>
                <w:rFonts w:ascii="Arial Narrow" w:hAnsi="Arial Narrow"/>
                <w:sz w:val="20"/>
                <w:szCs w:val="20"/>
              </w:rPr>
            </w:pPr>
            <w:r w:rsidRPr="00043CD5">
              <w:rPr>
                <w:rFonts w:ascii="Arial Narrow" w:hAnsi="Arial Narrow"/>
                <w:sz w:val="20"/>
                <w:szCs w:val="20"/>
              </w:rPr>
              <w:t>v</w:t>
            </w:r>
            <w:r w:rsidR="003B182D" w:rsidRPr="00043CD5">
              <w:rPr>
                <w:rFonts w:ascii="Arial Narrow" w:hAnsi="Arial Narrow"/>
                <w:sz w:val="20"/>
                <w:szCs w:val="20"/>
              </w:rPr>
              <w:t>s</w:t>
            </w:r>
            <w:r w:rsidRPr="00043CD5">
              <w:rPr>
                <w:rFonts w:ascii="Arial Narrow" w:hAnsi="Arial Narrow"/>
                <w:sz w:val="20"/>
                <w:szCs w:val="20"/>
              </w:rPr>
              <w:t>.</w:t>
            </w:r>
            <w:r w:rsidR="003B182D" w:rsidRPr="00043CD5">
              <w:rPr>
                <w:rFonts w:ascii="Arial Narrow" w:hAnsi="Arial Narrow"/>
                <w:sz w:val="20"/>
                <w:szCs w:val="20"/>
              </w:rPr>
              <w:t xml:space="preserve"> nilotinib</w:t>
            </w:r>
          </w:p>
        </w:tc>
        <w:tc>
          <w:tcPr>
            <w:tcW w:w="714" w:type="pct"/>
            <w:vAlign w:val="center"/>
          </w:tcPr>
          <w:p w14:paraId="74F53163" w14:textId="649D0F77" w:rsidR="003B182D" w:rsidRPr="00043CD5" w:rsidRDefault="003B182D" w:rsidP="00750019">
            <w:pPr>
              <w:spacing w:line="276" w:lineRule="auto"/>
              <w:jc w:val="center"/>
              <w:rPr>
                <w:rFonts w:ascii="Arial Narrow" w:hAnsi="Arial Narrow"/>
                <w:sz w:val="20"/>
                <w:szCs w:val="20"/>
              </w:rPr>
            </w:pPr>
            <w:r w:rsidRPr="00043CD5">
              <w:rPr>
                <w:rFonts w:ascii="Arial Narrow" w:hAnsi="Arial Narrow" w:cs="Calibri"/>
                <w:color w:val="000000"/>
                <w:sz w:val="20"/>
                <w:szCs w:val="20"/>
              </w:rPr>
              <w:t>$</w:t>
            </w:r>
            <w:r w:rsidR="00B96A78" w:rsidRPr="00B96A78">
              <w:rPr>
                <w:rFonts w:ascii="Arial Narrow" w:hAnsi="Arial Narrow" w:cs="Calibri" w:hint="eastAsia"/>
                <w:color w:val="000000"/>
                <w:w w:val="15"/>
                <w:sz w:val="20"/>
                <w:szCs w:val="20"/>
                <w:shd w:val="solid" w:color="000000" w:fill="000000"/>
                <w:fitText w:val="60" w:id="-1301052160"/>
                <w14:textFill>
                  <w14:solidFill>
                    <w14:srgbClr w14:val="000000">
                      <w14:alpha w14:val="100000"/>
                    </w14:srgbClr>
                  </w14:solidFill>
                </w14:textFill>
              </w:rPr>
              <w:t xml:space="preserve">　</w:t>
            </w:r>
            <w:r w:rsidR="00B96A78" w:rsidRPr="00B96A78">
              <w:rPr>
                <w:rFonts w:ascii="Arial Narrow" w:hAnsi="Arial Narrow" w:cs="Calibri"/>
                <w:color w:val="000000"/>
                <w:w w:val="15"/>
                <w:sz w:val="20"/>
                <w:szCs w:val="20"/>
                <w:shd w:val="solid" w:color="000000" w:fill="000000"/>
                <w:fitText w:val="60" w:id="-1301052160"/>
                <w14:textFill>
                  <w14:solidFill>
                    <w14:srgbClr w14:val="000000">
                      <w14:alpha w14:val="100000"/>
                    </w14:srgbClr>
                  </w14:solidFill>
                </w14:textFill>
              </w:rPr>
              <w:t>|</w:t>
            </w:r>
            <w:r w:rsidR="00B96A78" w:rsidRPr="00B96A78">
              <w:rPr>
                <w:rFonts w:ascii="Arial Narrow" w:hAnsi="Arial Narrow" w:cs="Calibri" w:hint="eastAsia"/>
                <w:color w:val="000000"/>
                <w:spacing w:val="-5"/>
                <w:w w:val="15"/>
                <w:sz w:val="20"/>
                <w:szCs w:val="20"/>
                <w:shd w:val="solid" w:color="000000" w:fill="000000"/>
                <w:fitText w:val="60" w:id="-1301052160"/>
                <w14:textFill>
                  <w14:solidFill>
                    <w14:srgbClr w14:val="000000">
                      <w14:alpha w14:val="100000"/>
                    </w14:srgbClr>
                  </w14:solidFill>
                </w14:textFill>
              </w:rPr>
              <w:t xml:space="preserve">　</w:t>
            </w:r>
          </w:p>
        </w:tc>
        <w:tc>
          <w:tcPr>
            <w:tcW w:w="714" w:type="pct"/>
            <w:vAlign w:val="center"/>
          </w:tcPr>
          <w:p w14:paraId="7D74A7E2" w14:textId="77777777" w:rsidR="003B182D" w:rsidRPr="00E521B1" w:rsidRDefault="003B182D" w:rsidP="00750019">
            <w:pPr>
              <w:spacing w:line="276" w:lineRule="auto"/>
              <w:jc w:val="center"/>
              <w:rPr>
                <w:rFonts w:ascii="Arial Narrow" w:hAnsi="Arial Narrow"/>
                <w:sz w:val="20"/>
                <w:szCs w:val="20"/>
              </w:rPr>
            </w:pPr>
            <w:r w:rsidRPr="00E521B1">
              <w:rPr>
                <w:rFonts w:ascii="Arial Narrow" w:hAnsi="Arial Narrow" w:cs="Calibri"/>
                <w:color w:val="000000"/>
                <w:sz w:val="20"/>
                <w:szCs w:val="20"/>
              </w:rPr>
              <w:t>20 / 40</w:t>
            </w:r>
          </w:p>
        </w:tc>
        <w:tc>
          <w:tcPr>
            <w:tcW w:w="714" w:type="pct"/>
            <w:vAlign w:val="center"/>
          </w:tcPr>
          <w:p w14:paraId="7F59924B" w14:textId="77777777" w:rsidR="003B182D" w:rsidRPr="00E521B1" w:rsidRDefault="003B182D" w:rsidP="00750019">
            <w:pPr>
              <w:spacing w:line="276" w:lineRule="auto"/>
              <w:jc w:val="center"/>
              <w:rPr>
                <w:rFonts w:ascii="Arial Narrow" w:hAnsi="Arial Narrow"/>
                <w:sz w:val="20"/>
                <w:szCs w:val="20"/>
              </w:rPr>
            </w:pPr>
            <w:r w:rsidRPr="00E521B1">
              <w:rPr>
                <w:rFonts w:ascii="Arial Narrow" w:hAnsi="Arial Narrow" w:cs="Calibri"/>
                <w:color w:val="000000"/>
                <w:sz w:val="20"/>
                <w:szCs w:val="20"/>
              </w:rPr>
              <w:t>60</w:t>
            </w:r>
          </w:p>
        </w:tc>
        <w:tc>
          <w:tcPr>
            <w:tcW w:w="714" w:type="pct"/>
            <w:vAlign w:val="center"/>
          </w:tcPr>
          <w:p w14:paraId="2A4E3791" w14:textId="153D96F7" w:rsidR="003B182D" w:rsidRPr="00716D0B" w:rsidRDefault="00B96A78" w:rsidP="00750019">
            <w:pPr>
              <w:spacing w:line="276" w:lineRule="auto"/>
              <w:jc w:val="center"/>
              <w:rPr>
                <w:rFonts w:ascii="Arial Narrow" w:hAnsi="Arial Narrow"/>
                <w:sz w:val="20"/>
                <w:szCs w:val="20"/>
                <w:highlight w:val="darkGray"/>
              </w:rPr>
            </w:pPr>
            <w:r w:rsidRPr="00B96A78">
              <w:rPr>
                <w:rFonts w:ascii="Arial Narrow" w:hAnsi="Arial Narrow" w:cs="Calibri" w:hint="eastAsia"/>
                <w:color w:val="000000"/>
                <w:w w:val="15"/>
                <w:sz w:val="20"/>
                <w:szCs w:val="20"/>
                <w:shd w:val="solid" w:color="000000" w:fill="000000"/>
                <w:fitText w:val="40" w:id="-1301052159"/>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40" w:id="-1301052159"/>
                <w14:textFill>
                  <w14:solidFill>
                    <w14:srgbClr w14:val="000000">
                      <w14:alpha w14:val="100000"/>
                    </w14:srgbClr>
                  </w14:solidFill>
                </w14:textFill>
              </w:rPr>
              <w:t>|</w:t>
            </w:r>
            <w:r w:rsidRPr="00B96A78">
              <w:rPr>
                <w:rFonts w:ascii="Arial Narrow" w:hAnsi="Arial Narrow" w:cs="Calibri" w:hint="eastAsia"/>
                <w:color w:val="000000"/>
                <w:spacing w:val="-25"/>
                <w:w w:val="15"/>
                <w:sz w:val="20"/>
                <w:szCs w:val="20"/>
                <w:shd w:val="solid" w:color="000000" w:fill="000000"/>
                <w:fitText w:val="40" w:id="-1301052159"/>
                <w14:textFill>
                  <w14:solidFill>
                    <w14:srgbClr w14:val="000000">
                      <w14:alpha w14:val="100000"/>
                    </w14:srgbClr>
                  </w14:solidFill>
                </w14:textFill>
              </w:rPr>
              <w:t xml:space="preserve">　</w:t>
            </w:r>
            <w:r w:rsidR="007D6388">
              <w:rPr>
                <w:rFonts w:ascii="Arial Narrow" w:hAnsi="Arial Narrow" w:cs="Calibri"/>
                <w:color w:val="000000"/>
                <w:sz w:val="20"/>
                <w:szCs w:val="20"/>
                <w:vertAlign w:val="superscript"/>
              </w:rPr>
              <w:t>1</w:t>
            </w:r>
          </w:p>
        </w:tc>
        <w:tc>
          <w:tcPr>
            <w:tcW w:w="714" w:type="pct"/>
            <w:vAlign w:val="center"/>
          </w:tcPr>
          <w:p w14:paraId="15B673F2" w14:textId="04E34946" w:rsidR="003B182D" w:rsidRPr="00043CD5" w:rsidRDefault="00B96A78" w:rsidP="00750019">
            <w:pPr>
              <w:spacing w:line="276" w:lineRule="auto"/>
              <w:jc w:val="center"/>
              <w:rPr>
                <w:rFonts w:ascii="Arial Narrow" w:hAnsi="Arial Narrow"/>
                <w:sz w:val="20"/>
                <w:szCs w:val="20"/>
              </w:rPr>
            </w:pPr>
            <w:r w:rsidRPr="00B96A78">
              <w:rPr>
                <w:rFonts w:ascii="Arial Narrow" w:hAnsi="Arial Narrow" w:cs="Calibri" w:hint="eastAsia"/>
                <w:color w:val="000000"/>
                <w:w w:val="20"/>
                <w:sz w:val="20"/>
                <w:szCs w:val="20"/>
                <w:shd w:val="solid" w:color="000000" w:fill="000000"/>
                <w:fitText w:val="90" w:id="-1301052158"/>
                <w14:textFill>
                  <w14:solidFill>
                    <w14:srgbClr w14:val="000000">
                      <w14:alpha w14:val="100000"/>
                    </w14:srgbClr>
                  </w14:solidFill>
                </w14:textFill>
              </w:rPr>
              <w:t xml:space="preserve">　</w:t>
            </w:r>
            <w:r w:rsidRPr="00B96A78">
              <w:rPr>
                <w:rFonts w:ascii="Arial Narrow" w:hAnsi="Arial Narrow" w:cs="Calibri"/>
                <w:color w:val="000000"/>
                <w:w w:val="20"/>
                <w:sz w:val="20"/>
                <w:szCs w:val="20"/>
                <w:shd w:val="solid" w:color="000000" w:fill="000000"/>
                <w:fitText w:val="90" w:id="-1301052158"/>
                <w14:textFill>
                  <w14:solidFill>
                    <w14:srgbClr w14:val="000000">
                      <w14:alpha w14:val="100000"/>
                    </w14:srgbClr>
                  </w14:solidFill>
                </w14:textFill>
              </w:rPr>
              <w:t>|</w:t>
            </w:r>
            <w:r w:rsidRPr="00B96A78">
              <w:rPr>
                <w:rFonts w:ascii="Arial Narrow" w:hAnsi="Arial Narrow" w:cs="Calibri" w:hint="eastAsia"/>
                <w:color w:val="000000"/>
                <w:spacing w:val="3"/>
                <w:w w:val="20"/>
                <w:sz w:val="20"/>
                <w:szCs w:val="20"/>
                <w:shd w:val="solid" w:color="000000" w:fill="000000"/>
                <w:fitText w:val="90" w:id="-1301052158"/>
                <w14:textFill>
                  <w14:solidFill>
                    <w14:srgbClr w14:val="000000">
                      <w14:alpha w14:val="100000"/>
                    </w14:srgbClr>
                  </w14:solidFill>
                </w14:textFill>
              </w:rPr>
              <w:t xml:space="preserve">　</w:t>
            </w:r>
            <w:r w:rsidR="003B182D" w:rsidRPr="00043CD5">
              <w:rPr>
                <w:rFonts w:ascii="Arial Narrow" w:hAnsi="Arial Narrow" w:cs="Calibri"/>
                <w:color w:val="000000"/>
                <w:sz w:val="20"/>
                <w:szCs w:val="20"/>
              </w:rPr>
              <w:t>%</w:t>
            </w:r>
          </w:p>
        </w:tc>
        <w:tc>
          <w:tcPr>
            <w:tcW w:w="714" w:type="pct"/>
            <w:vMerge/>
            <w:vAlign w:val="center"/>
          </w:tcPr>
          <w:p w14:paraId="138ABC38" w14:textId="77777777" w:rsidR="003B182D" w:rsidRPr="002F41B5" w:rsidRDefault="003B182D" w:rsidP="00750019">
            <w:pPr>
              <w:spacing w:line="276" w:lineRule="auto"/>
              <w:jc w:val="center"/>
              <w:rPr>
                <w:rFonts w:ascii="Arial Narrow" w:hAnsi="Arial Narrow"/>
                <w:sz w:val="20"/>
                <w:szCs w:val="20"/>
                <w:highlight w:val="lightGray"/>
              </w:rPr>
            </w:pPr>
          </w:p>
        </w:tc>
      </w:tr>
    </w:tbl>
    <w:p w14:paraId="1EF5DE90" w14:textId="2CF8D029" w:rsidR="003B182D" w:rsidRDefault="003B182D" w:rsidP="003B182D">
      <w:pPr>
        <w:rPr>
          <w:rFonts w:ascii="Arial Narrow" w:hAnsi="Arial Narrow"/>
          <w:sz w:val="18"/>
          <w:szCs w:val="18"/>
        </w:rPr>
      </w:pPr>
      <w:r w:rsidRPr="002F41B5">
        <w:rPr>
          <w:rFonts w:ascii="Arial Narrow" w:hAnsi="Arial Narrow"/>
          <w:sz w:val="18"/>
          <w:szCs w:val="18"/>
        </w:rPr>
        <w:t xml:space="preserve">Source: </w:t>
      </w:r>
      <w:r w:rsidR="002F41B5" w:rsidRPr="002F41B5">
        <w:rPr>
          <w:rFonts w:ascii="Arial Narrow" w:hAnsi="Arial Narrow" w:cstheme="minorHAnsi"/>
          <w:sz w:val="18"/>
          <w:szCs w:val="18"/>
        </w:rPr>
        <w:t xml:space="preserve">Resubmission Table 3-3; </w:t>
      </w:r>
      <w:r w:rsidRPr="002F41B5">
        <w:rPr>
          <w:rFonts w:ascii="Arial Narrow" w:hAnsi="Arial Narrow"/>
          <w:sz w:val="18"/>
          <w:szCs w:val="18"/>
        </w:rPr>
        <w:t>Asciminib AEMP estimation – Aug 22.xls</w:t>
      </w:r>
    </w:p>
    <w:p w14:paraId="5967FDAC" w14:textId="68F551A1" w:rsidR="003B182D" w:rsidRDefault="00E521B1" w:rsidP="00E521B1">
      <w:pPr>
        <w:rPr>
          <w:rFonts w:ascii="Arial Narrow" w:hAnsi="Arial Narrow"/>
          <w:sz w:val="18"/>
          <w:szCs w:val="18"/>
        </w:rPr>
      </w:pPr>
      <w:r>
        <w:rPr>
          <w:rFonts w:ascii="Arial Narrow" w:hAnsi="Arial Narrow"/>
          <w:sz w:val="18"/>
          <w:szCs w:val="18"/>
        </w:rPr>
        <w:t>DUSC = Drug Utilisation Sub-Committee; EMP = ex-manufacturer price.</w:t>
      </w:r>
    </w:p>
    <w:p w14:paraId="193031C0" w14:textId="789275A8" w:rsidR="00E521B1" w:rsidRDefault="00E521B1" w:rsidP="00AD2737">
      <w:pPr>
        <w:spacing w:after="120"/>
        <w:rPr>
          <w:rFonts w:ascii="Arial Narrow" w:hAnsi="Arial Narrow"/>
          <w:sz w:val="18"/>
          <w:szCs w:val="18"/>
        </w:rPr>
      </w:pPr>
      <w:r>
        <w:rPr>
          <w:rFonts w:ascii="Arial Narrow" w:hAnsi="Arial Narrow"/>
          <w:sz w:val="18"/>
          <w:szCs w:val="18"/>
        </w:rPr>
        <w:t xml:space="preserve">a </w:t>
      </w:r>
      <w:r w:rsidRPr="00E521B1">
        <w:rPr>
          <w:rFonts w:ascii="Arial Narrow" w:hAnsi="Arial Narrow"/>
          <w:sz w:val="18"/>
          <w:szCs w:val="18"/>
        </w:rPr>
        <w:t>Total number of prevalent patients by drug in third-line in the 2021-22 financial year</w:t>
      </w:r>
      <w:r>
        <w:rPr>
          <w:rFonts w:ascii="Arial Narrow" w:hAnsi="Arial Narrow"/>
          <w:sz w:val="18"/>
          <w:szCs w:val="18"/>
        </w:rPr>
        <w:t>.</w:t>
      </w:r>
    </w:p>
    <w:p w14:paraId="1CF48E15" w14:textId="77777777" w:rsidR="007D6388" w:rsidRPr="009A6D58" w:rsidRDefault="007D6388" w:rsidP="007D6388">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25B8A29F" w14:textId="55132ED1" w:rsidR="007D6388" w:rsidRPr="00FD3D2F" w:rsidRDefault="007D6388" w:rsidP="00FD3D2F">
      <w:pPr>
        <w:spacing w:after="120"/>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7D6388">
        <w:rPr>
          <w:rFonts w:ascii="Arial Narrow" w:hAnsi="Arial Narrow" w:cs="Arial"/>
          <w:i/>
          <w:sz w:val="18"/>
          <w:szCs w:val="18"/>
        </w:rPr>
        <w:t>&lt; 500</w:t>
      </w:r>
    </w:p>
    <w:p w14:paraId="01E5E229" w14:textId="469F07D8" w:rsidR="007364E9" w:rsidRPr="005835DF" w:rsidRDefault="002F41B5" w:rsidP="003B182D">
      <w:pPr>
        <w:pStyle w:val="3-BodyText"/>
      </w:pPr>
      <w:r w:rsidRPr="005835DF">
        <w:t>The submission in July 2022 requested an EMP of $</w:t>
      </w:r>
      <w:r w:rsidR="00B96A78" w:rsidRPr="00B96A78">
        <w:rPr>
          <w:color w:val="000000"/>
          <w:w w:val="60"/>
          <w:shd w:val="solid" w:color="000000" w:fill="000000"/>
          <w:fitText w:val="470" w:id="-1301052157"/>
          <w14:textFill>
            <w14:solidFill>
              <w14:srgbClr w14:val="000000">
                <w14:alpha w14:val="100000"/>
              </w14:srgbClr>
            </w14:solidFill>
          </w14:textFill>
        </w:rPr>
        <w:t>|||  ||</w:t>
      </w:r>
      <w:r w:rsidR="00B96A78" w:rsidRPr="00B96A78">
        <w:rPr>
          <w:color w:val="000000"/>
          <w:spacing w:val="6"/>
          <w:w w:val="60"/>
          <w:shd w:val="solid" w:color="000000" w:fill="000000"/>
          <w:fitText w:val="470" w:id="-1301052157"/>
          <w14:textFill>
            <w14:solidFill>
              <w14:srgbClr w14:val="000000">
                <w14:alpha w14:val="100000"/>
              </w14:srgbClr>
            </w14:solidFill>
          </w14:textFill>
        </w:rPr>
        <w:t>|</w:t>
      </w:r>
      <w:r w:rsidRPr="005835DF">
        <w:t xml:space="preserve"> (weighted according to the relative substitution of nilotinib and ponatinib and revised by the evaluation [Table 16, asciminib PBAC </w:t>
      </w:r>
      <w:r w:rsidR="00C3609A">
        <w:t>PSD</w:t>
      </w:r>
      <w:r w:rsidRPr="005835DF">
        <w:t>, July 2022]). A</w:t>
      </w:r>
      <w:r w:rsidR="00A43A9E" w:rsidRPr="005835DF">
        <w:t xml:space="preserve">n </w:t>
      </w:r>
      <w:r w:rsidRPr="005835DF">
        <w:t>EMP of $</w:t>
      </w:r>
      <w:r w:rsidR="00B96A78" w:rsidRPr="007F018F">
        <w:rPr>
          <w:color w:val="000000"/>
          <w:w w:val="15"/>
          <w:shd w:val="solid" w:color="000000" w:fill="000000"/>
          <w:fitText w:val="-20" w:id="-1301052156"/>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2156"/>
          <w14:textFill>
            <w14:solidFill>
              <w14:srgbClr w14:val="000000">
                <w14:alpha w14:val="100000"/>
              </w14:srgbClr>
            </w14:solidFill>
          </w14:textFill>
        </w:rPr>
        <w:t>|</w:t>
      </w:r>
      <w:r w:rsidR="00A43A9E" w:rsidRPr="005835DF">
        <w:t xml:space="preserve"> (weighted according to the relative substitution of nilotinib and dasatinib)</w:t>
      </w:r>
      <w:r w:rsidRPr="005835DF">
        <w:t xml:space="preserve"> in the resubmission represents a</w:t>
      </w:r>
      <w:r w:rsidR="007364E9" w:rsidRPr="005835DF">
        <w:t xml:space="preserve"> </w:t>
      </w:r>
      <w:r w:rsidR="00B96A78" w:rsidRPr="007F018F">
        <w:rPr>
          <w:color w:val="000000"/>
          <w:w w:val="15"/>
          <w:shd w:val="solid" w:color="000000" w:fill="000000"/>
          <w:fitText w:val="-20" w:id="-1301052155"/>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2155"/>
          <w14:textFill>
            <w14:solidFill>
              <w14:srgbClr w14:val="000000">
                <w14:alpha w14:val="100000"/>
              </w14:srgbClr>
            </w14:solidFill>
          </w14:textFill>
        </w:rPr>
        <w:t>|</w:t>
      </w:r>
      <w:r w:rsidR="007364E9" w:rsidRPr="005835DF">
        <w:t xml:space="preserve">% </w:t>
      </w:r>
      <w:r w:rsidR="00043CD5" w:rsidRPr="005835DF">
        <w:t>reduction</w:t>
      </w:r>
      <w:r w:rsidR="007364E9" w:rsidRPr="005835DF">
        <w:t xml:space="preserve"> in price compared to the </w:t>
      </w:r>
      <w:r w:rsidRPr="005835DF">
        <w:t>July 2022</w:t>
      </w:r>
      <w:r w:rsidR="007364E9" w:rsidRPr="005835DF">
        <w:t xml:space="preserve"> submission.</w:t>
      </w:r>
    </w:p>
    <w:p w14:paraId="057B94A4" w14:textId="18E0CDD8" w:rsidR="003B182D" w:rsidRPr="00094A14" w:rsidRDefault="003B182D" w:rsidP="00094A14">
      <w:pPr>
        <w:spacing w:after="120"/>
        <w:rPr>
          <w:b/>
          <w:bCs/>
          <w:i/>
          <w:iCs/>
        </w:rPr>
      </w:pPr>
      <w:r w:rsidRPr="00094A14">
        <w:rPr>
          <w:b/>
          <w:bCs/>
          <w:i/>
          <w:iCs/>
        </w:rPr>
        <w:t>Price proposal</w:t>
      </w:r>
      <w:r w:rsidR="00094A14" w:rsidRPr="00094A14">
        <w:rPr>
          <w:b/>
          <w:bCs/>
          <w:i/>
          <w:iCs/>
        </w:rPr>
        <w:t xml:space="preserve"> for</w:t>
      </w:r>
      <w:r w:rsidRPr="00094A14">
        <w:rPr>
          <w:b/>
          <w:bCs/>
          <w:i/>
          <w:iCs/>
        </w:rPr>
        <w:t xml:space="preserve"> asciminib</w:t>
      </w:r>
      <w:r w:rsidR="00094A14" w:rsidRPr="00094A14">
        <w:rPr>
          <w:b/>
          <w:bCs/>
          <w:i/>
          <w:iCs/>
        </w:rPr>
        <w:t xml:space="preserve"> in the</w:t>
      </w:r>
      <w:r w:rsidRPr="00094A14">
        <w:rPr>
          <w:b/>
          <w:bCs/>
          <w:i/>
          <w:iCs/>
        </w:rPr>
        <w:t xml:space="preserve"> T315</w:t>
      </w:r>
      <w:r w:rsidR="00094A14" w:rsidRPr="00094A14">
        <w:rPr>
          <w:b/>
          <w:bCs/>
          <w:i/>
          <w:iCs/>
        </w:rPr>
        <w:t>I</w:t>
      </w:r>
      <w:r w:rsidRPr="00094A14">
        <w:rPr>
          <w:b/>
          <w:bCs/>
          <w:i/>
          <w:iCs/>
        </w:rPr>
        <w:t xml:space="preserve"> population</w:t>
      </w:r>
    </w:p>
    <w:p w14:paraId="004DD45C" w14:textId="41FC2E75" w:rsidR="004C3BA7" w:rsidRPr="00094A14" w:rsidRDefault="00AB7D2D" w:rsidP="003B182D">
      <w:pPr>
        <w:pStyle w:val="3-BodyText"/>
        <w:rPr>
          <w:lang w:eastAsia="en-US"/>
        </w:rPr>
      </w:pPr>
      <w:r>
        <w:t>The resubmission stated that, c</w:t>
      </w:r>
      <w:r w:rsidR="003B182D" w:rsidRPr="00094A14">
        <w:t xml:space="preserve">onsistent with the approach previously taken with regards to very small subgroups within a broader patient pool (e.g., ranibizumab use in patients with rare choroidal neovascularisation), a pragmatic approach </w:t>
      </w:r>
      <w:r w:rsidR="00094A14" w:rsidRPr="00094A14">
        <w:t>was</w:t>
      </w:r>
      <w:r w:rsidR="003B182D" w:rsidRPr="00094A14">
        <w:t xml:space="preserve"> proposed with respect to the price of asciminib for patients with T315</w:t>
      </w:r>
      <w:r w:rsidR="00094A14" w:rsidRPr="00094A14">
        <w:t>I</w:t>
      </w:r>
      <w:r w:rsidR="003B182D" w:rsidRPr="00094A14">
        <w:t xml:space="preserve"> mutation, of whom there are likely to be ~2 per year. </w:t>
      </w:r>
      <w:r>
        <w:t>T</w:t>
      </w:r>
      <w:r w:rsidR="00094A14" w:rsidRPr="00094A14">
        <w:t>he Sponsor</w:t>
      </w:r>
      <w:r w:rsidR="003B182D" w:rsidRPr="00094A14">
        <w:t xml:space="preserve"> propose</w:t>
      </w:r>
      <w:r w:rsidR="00094A14" w:rsidRPr="00094A14">
        <w:t>d</w:t>
      </w:r>
      <w:r w:rsidR="003B182D" w:rsidRPr="00094A14">
        <w:t xml:space="preserve"> that the effective EMP for the </w:t>
      </w:r>
      <w:r w:rsidR="004630AD">
        <w:t>non-T315I mutation</w:t>
      </w:r>
      <w:r w:rsidR="003B182D" w:rsidRPr="00094A14">
        <w:t xml:space="preserve"> population </w:t>
      </w:r>
      <w:r w:rsidR="004630AD">
        <w:t>(</w:t>
      </w:r>
      <w:r w:rsidR="003B182D" w:rsidRPr="00094A14">
        <w:t>$</w:t>
      </w:r>
      <w:r w:rsidR="00B96A78" w:rsidRPr="007F018F">
        <w:rPr>
          <w:color w:val="000000"/>
          <w:w w:val="15"/>
          <w:shd w:val="solid" w:color="000000" w:fill="000000"/>
          <w:fitText w:val="-20" w:id="-1301052154"/>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2154"/>
          <w14:textFill>
            <w14:solidFill>
              <w14:srgbClr w14:val="000000">
                <w14:alpha w14:val="100000"/>
              </w14:srgbClr>
            </w14:solidFill>
          </w14:textFill>
        </w:rPr>
        <w:t>|</w:t>
      </w:r>
      <w:r w:rsidR="003B182D" w:rsidRPr="00094A14">
        <w:t xml:space="preserve"> per pack of 20mg/40mg capsules) should cover all asciminib usage on the PBS</w:t>
      </w:r>
      <w:r w:rsidR="00D72D6B">
        <w:t>,</w:t>
      </w:r>
      <w:r w:rsidR="003B182D" w:rsidRPr="00094A14">
        <w:t xml:space="preserve"> including in any T315I mutation patients who receive PBS treatment.</w:t>
      </w:r>
    </w:p>
    <w:p w14:paraId="678DEA5E" w14:textId="7C39F070" w:rsidR="004C3BA7" w:rsidRDefault="004C3BA7" w:rsidP="004C3BA7">
      <w:pPr>
        <w:pStyle w:val="4-SubsectionHeading"/>
      </w:pPr>
      <w:r>
        <w:t>Drug cost/patient/year</w:t>
      </w:r>
    </w:p>
    <w:p w14:paraId="334334E0" w14:textId="5781EADB" w:rsidR="00571B62" w:rsidRPr="005835DF" w:rsidRDefault="00571B62" w:rsidP="00BD6CE2">
      <w:pPr>
        <w:pStyle w:val="3-BodyText"/>
        <w:rPr>
          <w:rFonts w:eastAsiaTheme="minorEastAsia"/>
        </w:rPr>
      </w:pPr>
      <w:r w:rsidRPr="005835DF">
        <w:t>The expected cost of asciminib is $</w:t>
      </w:r>
      <w:r w:rsidR="00B96A78" w:rsidRPr="00B96A78">
        <w:rPr>
          <w:color w:val="000000"/>
          <w:w w:val="60"/>
          <w:shd w:val="solid" w:color="000000" w:fill="000000"/>
          <w:fitText w:val="470" w:id="-1301052153"/>
          <w14:textFill>
            <w14:solidFill>
              <w14:srgbClr w14:val="000000">
                <w14:alpha w14:val="100000"/>
              </w14:srgbClr>
            </w14:solidFill>
          </w14:textFill>
        </w:rPr>
        <w:t>|||  ||</w:t>
      </w:r>
      <w:r w:rsidR="00B96A78" w:rsidRPr="00B96A78">
        <w:rPr>
          <w:color w:val="000000"/>
          <w:spacing w:val="6"/>
          <w:w w:val="60"/>
          <w:shd w:val="solid" w:color="000000" w:fill="000000"/>
          <w:fitText w:val="470" w:id="-1301052153"/>
          <w14:textFill>
            <w14:solidFill>
              <w14:srgbClr w14:val="000000">
                <w14:alpha w14:val="100000"/>
              </w14:srgbClr>
            </w14:solidFill>
          </w14:textFill>
        </w:rPr>
        <w:t>|</w:t>
      </w:r>
      <w:r w:rsidRPr="005835DF">
        <w:t xml:space="preserve"> per patient per year</w:t>
      </w:r>
      <w:r w:rsidR="0091487A" w:rsidRPr="005835DF">
        <w:t xml:space="preserve"> for the non-T315I mutation patients</w:t>
      </w:r>
      <w:r w:rsidRPr="005835DF">
        <w:t xml:space="preserve">. The cost is calculated </w:t>
      </w:r>
      <w:r w:rsidR="00094A14" w:rsidRPr="005835DF">
        <w:t xml:space="preserve">assuming an </w:t>
      </w:r>
      <w:r w:rsidRPr="005835DF">
        <w:t>asciminib</w:t>
      </w:r>
      <w:r w:rsidR="00EC7978" w:rsidRPr="005835DF">
        <w:t xml:space="preserve"> effective</w:t>
      </w:r>
      <w:r w:rsidRPr="005835DF">
        <w:t xml:space="preserve"> </w:t>
      </w:r>
      <w:r w:rsidR="00094A14" w:rsidRPr="005835DF">
        <w:t xml:space="preserve">dispensed price for maximum quantity </w:t>
      </w:r>
      <w:r w:rsidR="00287209" w:rsidRPr="005835DF">
        <w:t>(</w:t>
      </w:r>
      <w:r w:rsidRPr="005835DF">
        <w:t>DPMQ</w:t>
      </w:r>
      <w:r w:rsidR="00287209" w:rsidRPr="005835DF">
        <w:t>)</w:t>
      </w:r>
      <w:r w:rsidRPr="005835DF">
        <w:t xml:space="preserve"> of </w:t>
      </w:r>
      <w:r w:rsidR="00007049" w:rsidRPr="005835DF">
        <w:rPr>
          <w:color w:val="000000"/>
        </w:rPr>
        <w:t>$</w:t>
      </w:r>
      <w:r w:rsidR="00B96A78" w:rsidRPr="007F018F">
        <w:rPr>
          <w:color w:val="000000"/>
          <w:w w:val="15"/>
          <w:shd w:val="solid" w:color="000000" w:fill="000000"/>
          <w:fitText w:val="-20" w:id="-1301052152"/>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2152"/>
          <w14:textFill>
            <w14:solidFill>
              <w14:srgbClr w14:val="000000">
                <w14:alpha w14:val="100000"/>
              </w14:srgbClr>
            </w14:solidFill>
          </w14:textFill>
        </w:rPr>
        <w:t>|</w:t>
      </w:r>
      <w:r w:rsidR="00007049" w:rsidRPr="005835DF">
        <w:rPr>
          <w:color w:val="000000"/>
        </w:rPr>
        <w:t xml:space="preserve"> </w:t>
      </w:r>
      <w:r w:rsidR="007C7472" w:rsidRPr="005835DF">
        <w:rPr>
          <w:color w:val="000000"/>
        </w:rPr>
        <w:t>(maximum quantity of 1)</w:t>
      </w:r>
      <w:r w:rsidR="00287209" w:rsidRPr="005835DF">
        <w:rPr>
          <w:color w:val="000000"/>
        </w:rPr>
        <w:t xml:space="preserve"> </w:t>
      </w:r>
      <w:r w:rsidRPr="005835DF">
        <w:rPr>
          <w:color w:val="000000"/>
        </w:rPr>
        <w:t xml:space="preserve">and </w:t>
      </w:r>
      <w:r w:rsidR="007D6388" w:rsidRPr="007D6388">
        <w:rPr>
          <w:color w:val="000000"/>
        </w:rPr>
        <w:t>&lt; 500</w:t>
      </w:r>
      <w:r w:rsidR="007D6388">
        <w:rPr>
          <w:color w:val="000000"/>
        </w:rPr>
        <w:t xml:space="preserve"> </w:t>
      </w:r>
      <w:r w:rsidRPr="005835DF">
        <w:rPr>
          <w:color w:val="000000"/>
        </w:rPr>
        <w:t xml:space="preserve">prescriptions per </w:t>
      </w:r>
      <w:r w:rsidRPr="005835DF">
        <w:rPr>
          <w:rFonts w:cstheme="minorHAnsi"/>
          <w:color w:val="000000"/>
          <w:szCs w:val="24"/>
        </w:rPr>
        <w:t>year (</w:t>
      </w:r>
      <w:r w:rsidR="00287209" w:rsidRPr="005835DF">
        <w:rPr>
          <w:rFonts w:cstheme="minorHAnsi"/>
          <w:color w:val="000000"/>
          <w:szCs w:val="24"/>
        </w:rPr>
        <w:fldChar w:fldCharType="begin" w:fldLock="1"/>
      </w:r>
      <w:r w:rsidR="00287209" w:rsidRPr="005835DF">
        <w:rPr>
          <w:rFonts w:cstheme="minorHAnsi"/>
          <w:color w:val="000000"/>
          <w:szCs w:val="24"/>
        </w:rPr>
        <w:instrText xml:space="preserve"> REF _Ref114567289 \h  \* MERGEFORMAT </w:instrText>
      </w:r>
      <w:r w:rsidR="00287209" w:rsidRPr="005835DF">
        <w:rPr>
          <w:rFonts w:cstheme="minorHAnsi"/>
          <w:color w:val="000000"/>
          <w:szCs w:val="24"/>
        </w:rPr>
      </w:r>
      <w:r w:rsidR="00287209" w:rsidRPr="005835DF">
        <w:rPr>
          <w:rFonts w:cstheme="minorHAnsi"/>
          <w:color w:val="000000"/>
          <w:szCs w:val="24"/>
        </w:rPr>
        <w:fldChar w:fldCharType="separate"/>
      </w:r>
      <w:r w:rsidR="00196FF1" w:rsidRPr="005835DF">
        <w:rPr>
          <w:rFonts w:cstheme="minorHAnsi"/>
          <w:szCs w:val="24"/>
        </w:rPr>
        <w:t xml:space="preserve">Table </w:t>
      </w:r>
      <w:r w:rsidR="00196FF1" w:rsidRPr="005835DF">
        <w:rPr>
          <w:rFonts w:cstheme="minorHAnsi"/>
          <w:noProof/>
          <w:szCs w:val="24"/>
        </w:rPr>
        <w:t>16</w:t>
      </w:r>
      <w:r w:rsidR="00287209" w:rsidRPr="005835DF">
        <w:rPr>
          <w:rFonts w:cstheme="minorHAnsi"/>
          <w:color w:val="000000"/>
          <w:szCs w:val="24"/>
        </w:rPr>
        <w:fldChar w:fldCharType="end"/>
      </w:r>
      <w:r w:rsidR="00287209" w:rsidRPr="005835DF">
        <w:rPr>
          <w:rFonts w:cstheme="minorHAnsi"/>
          <w:color w:val="000000"/>
          <w:szCs w:val="24"/>
        </w:rPr>
        <w:t xml:space="preserve"> </w:t>
      </w:r>
      <w:r w:rsidRPr="005835DF">
        <w:rPr>
          <w:rFonts w:cstheme="minorHAnsi"/>
          <w:color w:val="000000"/>
          <w:szCs w:val="24"/>
        </w:rPr>
        <w:t>and</w:t>
      </w:r>
      <w:r w:rsidR="00287209" w:rsidRPr="005835DF">
        <w:rPr>
          <w:rFonts w:cstheme="minorHAnsi"/>
          <w:color w:val="000000"/>
          <w:szCs w:val="24"/>
        </w:rPr>
        <w:t xml:space="preserve"> </w:t>
      </w:r>
      <w:r w:rsidR="00287209" w:rsidRPr="005835DF">
        <w:rPr>
          <w:rFonts w:cstheme="minorHAnsi"/>
          <w:color w:val="000000"/>
          <w:szCs w:val="24"/>
        </w:rPr>
        <w:fldChar w:fldCharType="begin" w:fldLock="1"/>
      </w:r>
      <w:r w:rsidR="00287209" w:rsidRPr="005835DF">
        <w:rPr>
          <w:rFonts w:cstheme="minorHAnsi"/>
          <w:color w:val="000000"/>
          <w:szCs w:val="24"/>
        </w:rPr>
        <w:instrText xml:space="preserve"> REF </w:instrText>
      </w:r>
      <w:r w:rsidR="00287209" w:rsidRPr="005835DF">
        <w:rPr>
          <w:rFonts w:cstheme="minorHAnsi"/>
          <w:color w:val="000000"/>
          <w:szCs w:val="24"/>
        </w:rPr>
        <w:lastRenderedPageBreak/>
        <w:instrText xml:space="preserve">_Ref114673934 \h  \* MERGEFORMAT </w:instrText>
      </w:r>
      <w:r w:rsidR="00287209" w:rsidRPr="005835DF">
        <w:rPr>
          <w:rFonts w:cstheme="minorHAnsi"/>
          <w:color w:val="000000"/>
          <w:szCs w:val="24"/>
        </w:rPr>
      </w:r>
      <w:r w:rsidR="00287209" w:rsidRPr="005835DF">
        <w:rPr>
          <w:rFonts w:cstheme="minorHAnsi"/>
          <w:color w:val="000000"/>
          <w:szCs w:val="24"/>
        </w:rPr>
        <w:fldChar w:fldCharType="separate"/>
      </w:r>
      <w:r w:rsidR="00196FF1" w:rsidRPr="005835DF">
        <w:rPr>
          <w:rFonts w:cstheme="minorHAnsi"/>
          <w:szCs w:val="24"/>
        </w:rPr>
        <w:t xml:space="preserve">Table </w:t>
      </w:r>
      <w:r w:rsidR="00196FF1" w:rsidRPr="005835DF">
        <w:rPr>
          <w:rFonts w:cstheme="minorHAnsi"/>
          <w:noProof/>
          <w:szCs w:val="24"/>
        </w:rPr>
        <w:t>17</w:t>
      </w:r>
      <w:r w:rsidR="00287209" w:rsidRPr="005835DF">
        <w:rPr>
          <w:rFonts w:cstheme="minorHAnsi"/>
          <w:color w:val="000000"/>
          <w:szCs w:val="24"/>
        </w:rPr>
        <w:fldChar w:fldCharType="end"/>
      </w:r>
      <w:r w:rsidRPr="005835DF">
        <w:rPr>
          <w:color w:val="000000"/>
        </w:rPr>
        <w:t>).</w:t>
      </w:r>
      <w:r w:rsidR="002D6A1F" w:rsidRPr="005835DF">
        <w:rPr>
          <w:color w:val="000000"/>
        </w:rPr>
        <w:t xml:space="preserve"> This compares to a cost of </w:t>
      </w:r>
      <w:r w:rsidR="002D6A1F" w:rsidRPr="005835DF">
        <w:t>$</w:t>
      </w:r>
      <w:r w:rsidR="00B96A78" w:rsidRPr="007F018F">
        <w:rPr>
          <w:color w:val="000000"/>
          <w:w w:val="15"/>
          <w:shd w:val="solid" w:color="000000" w:fill="000000"/>
          <w:fitText w:val="-20" w:id="-1301052151"/>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2151"/>
          <w14:textFill>
            <w14:solidFill>
              <w14:srgbClr w14:val="000000">
                <w14:alpha w14:val="100000"/>
              </w14:srgbClr>
            </w14:solidFill>
          </w14:textFill>
        </w:rPr>
        <w:t>|</w:t>
      </w:r>
      <w:r w:rsidR="002D6A1F" w:rsidRPr="005835DF">
        <w:t xml:space="preserve"> per patient per year for the July 2022 submission.</w:t>
      </w:r>
    </w:p>
    <w:p w14:paraId="75C5F4E8" w14:textId="3316BB53" w:rsidR="004C3BA7" w:rsidRDefault="004C3BA7" w:rsidP="00662793">
      <w:pPr>
        <w:pStyle w:val="4-SubsectionHeading"/>
        <w:keepNext/>
        <w:keepLines/>
      </w:pPr>
      <w:r w:rsidRPr="004A7CE6">
        <w:t>Estimated PBS utilisation and financial implications</w:t>
      </w:r>
    </w:p>
    <w:p w14:paraId="52F6F2F5" w14:textId="414F2A58" w:rsidR="00EB6A78" w:rsidRDefault="00EB6A78" w:rsidP="0078407B">
      <w:pPr>
        <w:pStyle w:val="3-BodyText"/>
        <w:rPr>
          <w:lang w:eastAsia="en-US"/>
        </w:rPr>
      </w:pPr>
      <w:r w:rsidRPr="004A7CE6">
        <w:rPr>
          <w:rFonts w:eastAsia="Times New Roman" w:cs="Arial"/>
          <w:snapToGrid w:val="0"/>
          <w:szCs w:val="24"/>
        </w:rPr>
        <w:t xml:space="preserve">As an early re-entry resubmission, the </w:t>
      </w:r>
      <w:r>
        <w:rPr>
          <w:rFonts w:eastAsia="Times New Roman" w:cs="Arial"/>
          <w:snapToGrid w:val="0"/>
          <w:szCs w:val="24"/>
        </w:rPr>
        <w:t>estimated utilisation and financial implications have</w:t>
      </w:r>
      <w:r w:rsidRPr="004A7CE6">
        <w:rPr>
          <w:rFonts w:eastAsia="Times New Roman" w:cs="Arial"/>
          <w:snapToGrid w:val="0"/>
          <w:szCs w:val="24"/>
        </w:rPr>
        <w:t xml:space="preserve"> not been independently evaluated.</w:t>
      </w:r>
    </w:p>
    <w:p w14:paraId="69C741A1" w14:textId="56CB5199" w:rsidR="00BD6CE2" w:rsidRDefault="0078407B" w:rsidP="0078407B">
      <w:pPr>
        <w:pStyle w:val="3-BodyText"/>
        <w:rPr>
          <w:lang w:eastAsia="en-US"/>
        </w:rPr>
      </w:pPr>
      <w:r w:rsidRPr="0078407B">
        <w:t>The resubmission stated that t</w:t>
      </w:r>
      <w:r w:rsidR="00BD6CE2" w:rsidRPr="0078407B">
        <w:t xml:space="preserve">he PBAC considered the financial estimates presented in the July 2022 submission </w:t>
      </w:r>
      <w:r w:rsidRPr="0078407B">
        <w:t>to be</w:t>
      </w:r>
      <w:r w:rsidR="00BD6CE2" w:rsidRPr="0078407B">
        <w:t xml:space="preserve"> unreliable, mainly because changes in the relative use of the TKIs over the last 12-18 months were not appropriately accounted for (para</w:t>
      </w:r>
      <w:r w:rsidRPr="0078407B">
        <w:t>graph</w:t>
      </w:r>
      <w:r w:rsidR="00BD6CE2" w:rsidRPr="0078407B">
        <w:t xml:space="preserve"> 7.14</w:t>
      </w:r>
      <w:r w:rsidRPr="0078407B">
        <w:t xml:space="preserve">, asciminib </w:t>
      </w:r>
      <w:r w:rsidR="006D254A">
        <w:t>PSD</w:t>
      </w:r>
      <w:r w:rsidRPr="0078407B">
        <w:t>, July 2022</w:t>
      </w:r>
      <w:r w:rsidR="00BD6CE2" w:rsidRPr="0078407B">
        <w:t xml:space="preserve">). As such the Committee requested that the resubmission address several assumptions. </w:t>
      </w:r>
      <w:r w:rsidRPr="0078407B">
        <w:rPr>
          <w:rFonts w:cstheme="minorHAnsi"/>
        </w:rPr>
        <w:fldChar w:fldCharType="begin" w:fldLock="1"/>
      </w:r>
      <w:r w:rsidRPr="0078407B">
        <w:rPr>
          <w:rFonts w:cstheme="minorHAnsi"/>
        </w:rPr>
        <w:instrText xml:space="preserve"> REF _Ref114848002 \h  \* MERGEFORMAT </w:instrText>
      </w:r>
      <w:r w:rsidRPr="0078407B">
        <w:rPr>
          <w:rFonts w:cstheme="minorHAnsi"/>
        </w:rPr>
      </w:r>
      <w:r w:rsidRPr="0078407B">
        <w:rPr>
          <w:rFonts w:cstheme="minorHAnsi"/>
        </w:rPr>
        <w:fldChar w:fldCharType="separate"/>
      </w:r>
      <w:r w:rsidR="00196FF1" w:rsidRPr="00196FF1">
        <w:rPr>
          <w:rFonts w:cstheme="minorHAnsi"/>
        </w:rPr>
        <w:t xml:space="preserve">Table </w:t>
      </w:r>
      <w:r w:rsidR="00196FF1" w:rsidRPr="00196FF1">
        <w:rPr>
          <w:rFonts w:cstheme="minorHAnsi"/>
          <w:noProof/>
        </w:rPr>
        <w:t>19</w:t>
      </w:r>
      <w:r w:rsidRPr="0078407B">
        <w:rPr>
          <w:rFonts w:cstheme="minorHAnsi"/>
        </w:rPr>
        <w:fldChar w:fldCharType="end"/>
      </w:r>
      <w:r w:rsidRPr="0078407B">
        <w:rPr>
          <w:rFonts w:cstheme="minorHAnsi"/>
        </w:rPr>
        <w:t xml:space="preserve"> </w:t>
      </w:r>
      <w:r w:rsidR="00BD6CE2" w:rsidRPr="0078407B">
        <w:t>presents a summary of the specific issue to be addressed, the findings of the analyses of the 100% PBS data by the DUSC</w:t>
      </w:r>
      <w:r w:rsidR="008D6F51">
        <w:t xml:space="preserve"> Secretariat</w:t>
      </w:r>
      <w:r w:rsidRPr="0078407B">
        <w:t>,</w:t>
      </w:r>
      <w:r w:rsidR="00BD6CE2" w:rsidRPr="0078407B">
        <w:t xml:space="preserve"> as well as the resulting changes to the estimation of the predicted use and financial implications.</w:t>
      </w:r>
    </w:p>
    <w:p w14:paraId="03D2A857" w14:textId="482F4631" w:rsidR="00181366" w:rsidRPr="0078407B" w:rsidRDefault="00181366" w:rsidP="00181366">
      <w:pPr>
        <w:pStyle w:val="Tableheading"/>
        <w:keepLines/>
        <w:jc w:val="left"/>
        <w:rPr>
          <w:rFonts w:ascii="Arial Narrow" w:hAnsi="Arial Narrow"/>
        </w:rPr>
      </w:pPr>
      <w:bookmarkStart w:id="46" w:name="_Ref114848002"/>
      <w:r w:rsidRPr="0078407B">
        <w:rPr>
          <w:rFonts w:ascii="Arial Narrow" w:hAnsi="Arial Narrow"/>
        </w:rPr>
        <w:lastRenderedPageBreak/>
        <w:t xml:space="preserve">Table </w:t>
      </w:r>
      <w:r w:rsidRPr="0078407B">
        <w:rPr>
          <w:rFonts w:ascii="Arial Narrow" w:hAnsi="Arial Narrow"/>
        </w:rPr>
        <w:fldChar w:fldCharType="begin" w:fldLock="1"/>
      </w:r>
      <w:r w:rsidRPr="0078407B">
        <w:rPr>
          <w:rFonts w:ascii="Arial Narrow" w:hAnsi="Arial Narrow"/>
        </w:rPr>
        <w:instrText xml:space="preserve"> SEQ Table \* ARABIC </w:instrText>
      </w:r>
      <w:r w:rsidRPr="0078407B">
        <w:rPr>
          <w:rFonts w:ascii="Arial Narrow" w:hAnsi="Arial Narrow"/>
        </w:rPr>
        <w:fldChar w:fldCharType="separate"/>
      </w:r>
      <w:r w:rsidR="00100F00">
        <w:rPr>
          <w:rFonts w:ascii="Arial Narrow" w:hAnsi="Arial Narrow"/>
          <w:noProof/>
        </w:rPr>
        <w:t>19</w:t>
      </w:r>
      <w:r w:rsidRPr="0078407B">
        <w:rPr>
          <w:rFonts w:ascii="Arial Narrow" w:hAnsi="Arial Narrow"/>
        </w:rPr>
        <w:fldChar w:fldCharType="end"/>
      </w:r>
      <w:bookmarkEnd w:id="46"/>
      <w:r w:rsidRPr="0078407B">
        <w:rPr>
          <w:rFonts w:ascii="Arial Narrow" w:hAnsi="Arial Narrow"/>
        </w:rPr>
        <w:t>: Revisions to the predicted use</w:t>
      </w:r>
    </w:p>
    <w:tbl>
      <w:tblPr>
        <w:tblStyle w:val="TableGrid"/>
        <w:tblW w:w="5000" w:type="pct"/>
        <w:tblLook w:val="04A0" w:firstRow="1" w:lastRow="0" w:firstColumn="1" w:lastColumn="0" w:noHBand="0" w:noVBand="1"/>
        <w:tblCaption w:val="Table 19: Revisions to the predicted use"/>
      </w:tblPr>
      <w:tblGrid>
        <w:gridCol w:w="1046"/>
        <w:gridCol w:w="2127"/>
        <w:gridCol w:w="2450"/>
        <w:gridCol w:w="3393"/>
      </w:tblGrid>
      <w:tr w:rsidR="00181366" w:rsidRPr="00576C89" w14:paraId="54D41D40" w14:textId="77777777" w:rsidTr="00C35ABF">
        <w:tc>
          <w:tcPr>
            <w:tcW w:w="576" w:type="pct"/>
            <w:shd w:val="clear" w:color="auto" w:fill="F2F2F2" w:themeFill="background1" w:themeFillShade="F2"/>
            <w:vAlign w:val="center"/>
          </w:tcPr>
          <w:p w14:paraId="4390BCD7" w14:textId="77777777" w:rsidR="00181366" w:rsidRPr="00576C89" w:rsidRDefault="00181366" w:rsidP="00C35ABF">
            <w:pPr>
              <w:keepNext/>
              <w:keepLines/>
              <w:jc w:val="center"/>
              <w:rPr>
                <w:rFonts w:ascii="Arial Narrow" w:hAnsi="Arial Narrow"/>
                <w:sz w:val="20"/>
                <w:szCs w:val="20"/>
              </w:rPr>
            </w:pPr>
          </w:p>
        </w:tc>
        <w:tc>
          <w:tcPr>
            <w:tcW w:w="1181" w:type="pct"/>
            <w:shd w:val="clear" w:color="auto" w:fill="F2F2F2" w:themeFill="background1" w:themeFillShade="F2"/>
            <w:vAlign w:val="center"/>
          </w:tcPr>
          <w:p w14:paraId="22A95687" w14:textId="28FF6EBE" w:rsidR="00181366" w:rsidRPr="00576C89" w:rsidRDefault="00181366" w:rsidP="00C35ABF">
            <w:pPr>
              <w:keepNext/>
              <w:keepLines/>
              <w:jc w:val="center"/>
              <w:rPr>
                <w:rFonts w:ascii="Arial Narrow" w:hAnsi="Arial Narrow"/>
                <w:b/>
                <w:bCs/>
                <w:sz w:val="20"/>
                <w:szCs w:val="20"/>
              </w:rPr>
            </w:pPr>
            <w:r>
              <w:rPr>
                <w:rFonts w:ascii="Arial Narrow" w:hAnsi="Arial Narrow"/>
                <w:b/>
                <w:bCs/>
                <w:sz w:val="20"/>
                <w:szCs w:val="20"/>
              </w:rPr>
              <w:t xml:space="preserve">July 2022 </w:t>
            </w:r>
            <w:r w:rsidR="006D254A">
              <w:rPr>
                <w:rFonts w:ascii="Arial Narrow" w:hAnsi="Arial Narrow"/>
                <w:b/>
                <w:bCs/>
                <w:sz w:val="20"/>
                <w:szCs w:val="20"/>
              </w:rPr>
              <w:t>consideration</w:t>
            </w:r>
          </w:p>
        </w:tc>
        <w:tc>
          <w:tcPr>
            <w:tcW w:w="1360" w:type="pct"/>
            <w:shd w:val="clear" w:color="auto" w:fill="F2F2F2" w:themeFill="background1" w:themeFillShade="F2"/>
            <w:vAlign w:val="center"/>
          </w:tcPr>
          <w:p w14:paraId="55694B63" w14:textId="77777777" w:rsidR="00181366" w:rsidRPr="00576C89" w:rsidRDefault="00181366" w:rsidP="00C35ABF">
            <w:pPr>
              <w:keepNext/>
              <w:keepLines/>
              <w:jc w:val="center"/>
              <w:rPr>
                <w:rFonts w:ascii="Arial Narrow" w:hAnsi="Arial Narrow"/>
                <w:b/>
                <w:bCs/>
                <w:sz w:val="20"/>
                <w:szCs w:val="20"/>
              </w:rPr>
            </w:pPr>
            <w:r w:rsidRPr="00576C89">
              <w:rPr>
                <w:rFonts w:ascii="Arial Narrow" w:hAnsi="Arial Narrow"/>
                <w:b/>
                <w:bCs/>
                <w:sz w:val="20"/>
                <w:szCs w:val="20"/>
              </w:rPr>
              <w:t>DUSC 100% PBS data</w:t>
            </w:r>
          </w:p>
        </w:tc>
        <w:tc>
          <w:tcPr>
            <w:tcW w:w="1883" w:type="pct"/>
            <w:shd w:val="clear" w:color="auto" w:fill="F2F2F2" w:themeFill="background1" w:themeFillShade="F2"/>
            <w:vAlign w:val="center"/>
          </w:tcPr>
          <w:p w14:paraId="437E06B5" w14:textId="77777777" w:rsidR="00181366" w:rsidRPr="00576C89" w:rsidRDefault="00181366" w:rsidP="00C35ABF">
            <w:pPr>
              <w:keepNext/>
              <w:keepLines/>
              <w:jc w:val="center"/>
              <w:rPr>
                <w:rFonts w:ascii="Arial Narrow" w:hAnsi="Arial Narrow"/>
                <w:b/>
                <w:bCs/>
                <w:sz w:val="20"/>
                <w:szCs w:val="20"/>
              </w:rPr>
            </w:pPr>
            <w:r w:rsidRPr="00576C89">
              <w:rPr>
                <w:rFonts w:ascii="Arial Narrow" w:hAnsi="Arial Narrow"/>
                <w:b/>
                <w:bCs/>
                <w:sz w:val="20"/>
                <w:szCs w:val="20"/>
              </w:rPr>
              <w:t>Changes in resubmission</w:t>
            </w:r>
          </w:p>
        </w:tc>
      </w:tr>
      <w:tr w:rsidR="00181366" w:rsidRPr="00576C89" w14:paraId="52A40AEB" w14:textId="77777777" w:rsidTr="00C35ABF">
        <w:tc>
          <w:tcPr>
            <w:tcW w:w="576" w:type="pct"/>
          </w:tcPr>
          <w:p w14:paraId="687315BC" w14:textId="77777777"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Growth in prevalent patients</w:t>
            </w:r>
          </w:p>
        </w:tc>
        <w:tc>
          <w:tcPr>
            <w:tcW w:w="1181" w:type="pct"/>
          </w:tcPr>
          <w:p w14:paraId="2215C64F" w14:textId="77777777"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The linear extrapolation increased the number of prevalent patients by year 6 by 67%</w:t>
            </w:r>
            <w:r>
              <w:rPr>
                <w:rFonts w:ascii="Arial Narrow" w:hAnsi="Arial Narrow"/>
                <w:sz w:val="20"/>
                <w:szCs w:val="20"/>
              </w:rPr>
              <w:t>.</w:t>
            </w:r>
          </w:p>
        </w:tc>
        <w:tc>
          <w:tcPr>
            <w:tcW w:w="1360" w:type="pct"/>
          </w:tcPr>
          <w:p w14:paraId="38658597" w14:textId="2DAA4091"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The DUSC</w:t>
            </w:r>
            <w:r>
              <w:rPr>
                <w:rFonts w:ascii="Arial Narrow" w:hAnsi="Arial Narrow"/>
                <w:sz w:val="20"/>
                <w:szCs w:val="20"/>
              </w:rPr>
              <w:t xml:space="preserve"> Secretariat</w:t>
            </w:r>
            <w:r w:rsidRPr="00576C89">
              <w:rPr>
                <w:rFonts w:ascii="Arial Narrow" w:hAnsi="Arial Narrow"/>
                <w:sz w:val="20"/>
                <w:szCs w:val="20"/>
              </w:rPr>
              <w:t xml:space="preserve"> analysis showed that the prevalent patients receiving a third TKI increased by 11.3% per year</w:t>
            </w:r>
            <w:r>
              <w:rPr>
                <w:rFonts w:ascii="Arial Narrow" w:hAnsi="Arial Narrow"/>
                <w:sz w:val="20"/>
                <w:szCs w:val="20"/>
              </w:rPr>
              <w:t>.</w:t>
            </w:r>
          </w:p>
          <w:p w14:paraId="29C2B0DF" w14:textId="77777777" w:rsidR="00181366" w:rsidRPr="00576C89" w:rsidRDefault="00181366" w:rsidP="00C35ABF">
            <w:pPr>
              <w:keepNext/>
              <w:keepLines/>
              <w:jc w:val="left"/>
              <w:rPr>
                <w:rFonts w:ascii="Arial Narrow" w:hAnsi="Arial Narrow"/>
                <w:sz w:val="20"/>
                <w:szCs w:val="20"/>
              </w:rPr>
            </w:pPr>
          </w:p>
          <w:p w14:paraId="2D082BA3" w14:textId="777BD0EA"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The DUSC analysis showed that the prevalent patients receiving a first TKI increased by 2.5%</w:t>
            </w:r>
            <w:r>
              <w:rPr>
                <w:rFonts w:ascii="Arial Narrow" w:hAnsi="Arial Narrow"/>
                <w:sz w:val="20"/>
                <w:szCs w:val="20"/>
              </w:rPr>
              <w:t>.</w:t>
            </w:r>
          </w:p>
        </w:tc>
        <w:tc>
          <w:tcPr>
            <w:tcW w:w="1883" w:type="pct"/>
          </w:tcPr>
          <w:p w14:paraId="2D7ED0C7" w14:textId="2F25D441"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 xml:space="preserve">Considering that the PBAC noted that the estimated </w:t>
            </w:r>
            <w:r w:rsidR="00B96A78" w:rsidRPr="00B96A78">
              <w:rPr>
                <w:rFonts w:ascii="Arial Narrow" w:hAnsi="Arial Narrow"/>
                <w:color w:val="000000"/>
                <w:spacing w:val="49"/>
                <w:sz w:val="20"/>
                <w:szCs w:val="20"/>
                <w:shd w:val="solid" w:color="000000" w:fill="000000"/>
                <w:fitText w:val="320" w:id="-1301052150"/>
                <w14:textFill>
                  <w14:solidFill>
                    <w14:srgbClr w14:val="000000">
                      <w14:alpha w14:val="100000"/>
                    </w14:srgbClr>
                  </w14:solidFill>
                </w14:textFill>
              </w:rPr>
              <w:t>|||</w:t>
            </w:r>
            <w:r w:rsidR="00B96A78" w:rsidRPr="00B96A78">
              <w:rPr>
                <w:rFonts w:ascii="Arial Narrow" w:hAnsi="Arial Narrow"/>
                <w:color w:val="000000"/>
                <w:spacing w:val="3"/>
                <w:sz w:val="20"/>
                <w:szCs w:val="20"/>
                <w:shd w:val="solid" w:color="000000" w:fill="000000"/>
                <w:fitText w:val="320" w:id="-1301052150"/>
                <w14:textFill>
                  <w14:solidFill>
                    <w14:srgbClr w14:val="000000">
                      <w14:alpha w14:val="100000"/>
                    </w14:srgbClr>
                  </w14:solidFill>
                </w14:textFill>
              </w:rPr>
              <w:t>|</w:t>
            </w:r>
            <w:r w:rsidR="005F5586" w:rsidRPr="00716D0B">
              <w:rPr>
                <w:rFonts w:ascii="Arial Narrow" w:hAnsi="Arial Narrow"/>
                <w:sz w:val="20"/>
                <w:szCs w:val="20"/>
                <w:vertAlign w:val="superscript"/>
              </w:rPr>
              <w:t>1</w:t>
            </w:r>
            <w:r w:rsidRPr="00576C89">
              <w:rPr>
                <w:rFonts w:ascii="Arial Narrow" w:hAnsi="Arial Narrow"/>
                <w:sz w:val="20"/>
                <w:szCs w:val="20"/>
              </w:rPr>
              <w:t xml:space="preserve"> patients in Year 1 was consistent with the estimates from the 2019 DUSC</w:t>
            </w:r>
            <w:r>
              <w:rPr>
                <w:rFonts w:ascii="Arial Narrow" w:hAnsi="Arial Narrow"/>
                <w:sz w:val="20"/>
                <w:szCs w:val="20"/>
              </w:rPr>
              <w:t xml:space="preserve"> Secretariat</w:t>
            </w:r>
            <w:r w:rsidRPr="00576C89">
              <w:rPr>
                <w:rFonts w:ascii="Arial Narrow" w:hAnsi="Arial Narrow"/>
                <w:sz w:val="20"/>
                <w:szCs w:val="20"/>
              </w:rPr>
              <w:t xml:space="preserve"> review, </w:t>
            </w:r>
            <w:r w:rsidRPr="00DF716B">
              <w:rPr>
                <w:rFonts w:ascii="Arial Narrow" w:hAnsi="Arial Narrow"/>
                <w:sz w:val="20"/>
                <w:szCs w:val="20"/>
              </w:rPr>
              <w:t>the number of patients in Year 1 remains unchanged</w:t>
            </w:r>
            <w:r w:rsidRPr="00576C89">
              <w:rPr>
                <w:rFonts w:ascii="Arial Narrow" w:hAnsi="Arial Narrow"/>
                <w:sz w:val="20"/>
                <w:szCs w:val="20"/>
              </w:rPr>
              <w:t>.</w:t>
            </w:r>
          </w:p>
          <w:p w14:paraId="751C1D7C" w14:textId="69FEF77F"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The DUSC</w:t>
            </w:r>
            <w:r>
              <w:rPr>
                <w:rFonts w:ascii="Arial Narrow" w:hAnsi="Arial Narrow"/>
                <w:sz w:val="20"/>
                <w:szCs w:val="20"/>
              </w:rPr>
              <w:t xml:space="preserve"> Secretariat</w:t>
            </w:r>
            <w:r w:rsidR="003E6697">
              <w:rPr>
                <w:rFonts w:ascii="Arial Narrow" w:hAnsi="Arial Narrow"/>
                <w:sz w:val="20"/>
                <w:szCs w:val="20"/>
              </w:rPr>
              <w:t xml:space="preserve"> analysis</w:t>
            </w:r>
            <w:r w:rsidRPr="00576C89">
              <w:rPr>
                <w:rFonts w:ascii="Arial Narrow" w:hAnsi="Arial Narrow"/>
                <w:sz w:val="20"/>
                <w:szCs w:val="20"/>
              </w:rPr>
              <w:t xml:space="preserve"> showed that the prevalent patients receiving </w:t>
            </w:r>
            <w:r w:rsidR="007B374B">
              <w:rPr>
                <w:rFonts w:ascii="Arial Narrow" w:hAnsi="Arial Narrow"/>
                <w:sz w:val="20"/>
                <w:szCs w:val="20"/>
              </w:rPr>
              <w:t>a</w:t>
            </w:r>
            <w:r w:rsidRPr="00576C89">
              <w:rPr>
                <w:rFonts w:ascii="Arial Narrow" w:hAnsi="Arial Narrow"/>
                <w:sz w:val="20"/>
                <w:szCs w:val="20"/>
              </w:rPr>
              <w:t xml:space="preserve"> third TKI increased by 11.3% per year which, when applied to </w:t>
            </w:r>
            <w:r w:rsidR="00B96A78" w:rsidRPr="00B96A78">
              <w:rPr>
                <w:rFonts w:ascii="Arial Narrow" w:hAnsi="Arial Narrow"/>
                <w:color w:val="000000"/>
                <w:spacing w:val="53"/>
                <w:sz w:val="20"/>
                <w:szCs w:val="20"/>
                <w:shd w:val="solid" w:color="000000" w:fill="000000"/>
                <w:fitText w:val="330" w:id="-1301052149"/>
                <w14:textFill>
                  <w14:solidFill>
                    <w14:srgbClr w14:val="000000">
                      <w14:alpha w14:val="100000"/>
                    </w14:srgbClr>
                  </w14:solidFill>
                </w14:textFill>
              </w:rPr>
              <w:t>|||</w:t>
            </w:r>
            <w:r w:rsidR="00B96A78" w:rsidRPr="00B96A78">
              <w:rPr>
                <w:rFonts w:ascii="Arial Narrow" w:hAnsi="Arial Narrow"/>
                <w:color w:val="000000"/>
                <w:spacing w:val="1"/>
                <w:sz w:val="20"/>
                <w:szCs w:val="20"/>
                <w:shd w:val="solid" w:color="000000" w:fill="000000"/>
                <w:fitText w:val="330" w:id="-1301052149"/>
                <w14:textFill>
                  <w14:solidFill>
                    <w14:srgbClr w14:val="000000">
                      <w14:alpha w14:val="100000"/>
                    </w14:srgbClr>
                  </w14:solidFill>
                </w14:textFill>
              </w:rPr>
              <w:t>|</w:t>
            </w:r>
            <w:r w:rsidR="005F5586" w:rsidRPr="008C025A">
              <w:rPr>
                <w:rFonts w:ascii="Arial Narrow" w:hAnsi="Arial Narrow"/>
                <w:sz w:val="20"/>
                <w:szCs w:val="20"/>
                <w:vertAlign w:val="superscript"/>
              </w:rPr>
              <w:t>1</w:t>
            </w:r>
            <w:r w:rsidRPr="00576C89">
              <w:rPr>
                <w:rFonts w:ascii="Arial Narrow" w:hAnsi="Arial Narrow"/>
                <w:sz w:val="20"/>
                <w:szCs w:val="20"/>
              </w:rPr>
              <w:t xml:space="preserve"> patients in </w:t>
            </w:r>
            <w:r w:rsidR="007B374B">
              <w:rPr>
                <w:rFonts w:ascii="Arial Narrow" w:hAnsi="Arial Narrow"/>
                <w:sz w:val="20"/>
                <w:szCs w:val="20"/>
              </w:rPr>
              <w:t>Y</w:t>
            </w:r>
            <w:r w:rsidRPr="00576C89">
              <w:rPr>
                <w:rFonts w:ascii="Arial Narrow" w:hAnsi="Arial Narrow"/>
                <w:sz w:val="20"/>
                <w:szCs w:val="20"/>
              </w:rPr>
              <w:t>ear 1</w:t>
            </w:r>
            <w:r w:rsidR="007B374B">
              <w:rPr>
                <w:rFonts w:ascii="Arial Narrow" w:hAnsi="Arial Narrow"/>
                <w:sz w:val="20"/>
                <w:szCs w:val="20"/>
              </w:rPr>
              <w:t>,</w:t>
            </w:r>
            <w:r w:rsidRPr="00576C89">
              <w:rPr>
                <w:rFonts w:ascii="Arial Narrow" w:hAnsi="Arial Narrow"/>
                <w:sz w:val="20"/>
                <w:szCs w:val="20"/>
              </w:rPr>
              <w:t xml:space="preserve"> results in a total prevalent population greater than estimated in the July 2022 submission. </w:t>
            </w:r>
            <w:r w:rsidR="007B374B">
              <w:rPr>
                <w:rFonts w:ascii="Arial Narrow" w:hAnsi="Arial Narrow"/>
                <w:sz w:val="20"/>
                <w:szCs w:val="20"/>
              </w:rPr>
              <w:t>T</w:t>
            </w:r>
            <w:r w:rsidRPr="00576C89">
              <w:rPr>
                <w:rFonts w:ascii="Arial Narrow" w:hAnsi="Arial Narrow"/>
                <w:sz w:val="20"/>
                <w:szCs w:val="20"/>
              </w:rPr>
              <w:t xml:space="preserve">he analysis </w:t>
            </w:r>
            <w:r w:rsidR="007B374B">
              <w:rPr>
                <w:rFonts w:ascii="Arial Narrow" w:hAnsi="Arial Narrow"/>
                <w:sz w:val="20"/>
                <w:szCs w:val="20"/>
              </w:rPr>
              <w:t>was</w:t>
            </w:r>
            <w:r w:rsidRPr="00576C89">
              <w:rPr>
                <w:rFonts w:ascii="Arial Narrow" w:hAnsi="Arial Narrow"/>
                <w:sz w:val="20"/>
                <w:szCs w:val="20"/>
              </w:rPr>
              <w:t xml:space="preserve"> revised to conservatively assume an annual increase of 2.5% to reflect the growth in the prevalent patients receiving a first TKI</w:t>
            </w:r>
            <w:r>
              <w:rPr>
                <w:rFonts w:ascii="Arial Narrow" w:hAnsi="Arial Narrow"/>
                <w:sz w:val="20"/>
                <w:szCs w:val="20"/>
              </w:rPr>
              <w:t>.</w:t>
            </w:r>
          </w:p>
        </w:tc>
      </w:tr>
      <w:tr w:rsidR="00181366" w:rsidRPr="00576C89" w14:paraId="44945FC3" w14:textId="77777777" w:rsidTr="00C35ABF">
        <w:tc>
          <w:tcPr>
            <w:tcW w:w="576" w:type="pct"/>
            <w:vMerge w:val="restart"/>
          </w:tcPr>
          <w:p w14:paraId="7A43B05C" w14:textId="77777777"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Distribution of use of TKI across prevalent patients</w:t>
            </w:r>
          </w:p>
        </w:tc>
        <w:tc>
          <w:tcPr>
            <w:tcW w:w="1181" w:type="pct"/>
          </w:tcPr>
          <w:p w14:paraId="11D1B535" w14:textId="77777777"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Relative use of imatinib (23%) over the analysis period 2022 to 2027 was underestimated</w:t>
            </w:r>
            <w:r>
              <w:rPr>
                <w:rFonts w:ascii="Arial Narrow" w:hAnsi="Arial Narrow"/>
                <w:sz w:val="20"/>
                <w:szCs w:val="20"/>
              </w:rPr>
              <w:t>.</w:t>
            </w:r>
          </w:p>
        </w:tc>
        <w:tc>
          <w:tcPr>
            <w:tcW w:w="1360" w:type="pct"/>
          </w:tcPr>
          <w:p w14:paraId="3521686E" w14:textId="4FD25C88"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The DUSC</w:t>
            </w:r>
            <w:r>
              <w:rPr>
                <w:rFonts w:ascii="Arial Narrow" w:hAnsi="Arial Narrow"/>
                <w:sz w:val="20"/>
                <w:szCs w:val="20"/>
              </w:rPr>
              <w:t xml:space="preserve"> Secretariat</w:t>
            </w:r>
            <w:r w:rsidRPr="00576C89">
              <w:rPr>
                <w:rFonts w:ascii="Arial Narrow" w:hAnsi="Arial Narrow"/>
                <w:sz w:val="20"/>
                <w:szCs w:val="20"/>
              </w:rPr>
              <w:t xml:space="preserve"> analysis showed that while the use of imatinib in patients receiving a third TKI has increased somewhat (i.e., 21% in 2017-18 to 24% in 2021-22), this change is not substantial. Further, compared to 2020-21, the use of imatinib has decline</w:t>
            </w:r>
            <w:r>
              <w:rPr>
                <w:rFonts w:ascii="Arial Narrow" w:hAnsi="Arial Narrow"/>
                <w:sz w:val="20"/>
                <w:szCs w:val="20"/>
              </w:rPr>
              <w:t>d</w:t>
            </w:r>
            <w:r w:rsidRPr="00576C89">
              <w:rPr>
                <w:rFonts w:ascii="Arial Narrow" w:hAnsi="Arial Narrow"/>
                <w:sz w:val="20"/>
                <w:szCs w:val="20"/>
              </w:rPr>
              <w:t xml:space="preserve"> from 26% to 24%) </w:t>
            </w:r>
            <w:r>
              <w:rPr>
                <w:rFonts w:ascii="Arial Narrow" w:hAnsi="Arial Narrow"/>
                <w:sz w:val="20"/>
                <w:szCs w:val="20"/>
              </w:rPr>
              <w:t>.</w:t>
            </w:r>
          </w:p>
        </w:tc>
        <w:tc>
          <w:tcPr>
            <w:tcW w:w="1883" w:type="pct"/>
          </w:tcPr>
          <w:p w14:paraId="5DB003F3" w14:textId="622AD079" w:rsidR="00181366" w:rsidRPr="00576C89" w:rsidRDefault="00181366" w:rsidP="00C35ABF">
            <w:pPr>
              <w:keepNext/>
              <w:keepLines/>
              <w:jc w:val="left"/>
              <w:rPr>
                <w:rFonts w:ascii="Arial Narrow" w:hAnsi="Arial Narrow"/>
                <w:sz w:val="20"/>
                <w:szCs w:val="20"/>
              </w:rPr>
            </w:pPr>
            <w:r w:rsidRPr="00DF716B">
              <w:rPr>
                <w:rFonts w:ascii="Arial Narrow" w:hAnsi="Arial Narrow"/>
                <w:sz w:val="20"/>
                <w:szCs w:val="20"/>
              </w:rPr>
              <w:t xml:space="preserve">Relative use of TKIs </w:t>
            </w:r>
            <w:r w:rsidR="001523B5">
              <w:rPr>
                <w:rFonts w:ascii="Arial Narrow" w:hAnsi="Arial Narrow"/>
                <w:sz w:val="20"/>
                <w:szCs w:val="20"/>
              </w:rPr>
              <w:t xml:space="preserve">was </w:t>
            </w:r>
            <w:r w:rsidRPr="00DF716B">
              <w:rPr>
                <w:rFonts w:ascii="Arial Narrow" w:hAnsi="Arial Narrow"/>
                <w:sz w:val="20"/>
                <w:szCs w:val="20"/>
              </w:rPr>
              <w:t>revised</w:t>
            </w:r>
            <w:r w:rsidRPr="00576C89">
              <w:rPr>
                <w:rFonts w:ascii="Arial Narrow" w:hAnsi="Arial Narrow"/>
                <w:sz w:val="20"/>
                <w:szCs w:val="20"/>
              </w:rPr>
              <w:t xml:space="preserve"> to that reported in the DUSC</w:t>
            </w:r>
            <w:r>
              <w:rPr>
                <w:rFonts w:ascii="Arial Narrow" w:hAnsi="Arial Narrow"/>
                <w:sz w:val="20"/>
                <w:szCs w:val="20"/>
              </w:rPr>
              <w:t xml:space="preserve"> Secretariat</w:t>
            </w:r>
            <w:r w:rsidRPr="00576C89">
              <w:rPr>
                <w:rFonts w:ascii="Arial Narrow" w:hAnsi="Arial Narrow"/>
                <w:sz w:val="20"/>
                <w:szCs w:val="20"/>
              </w:rPr>
              <w:t xml:space="preserve"> analysis for the period 2021-22 (nilotinib: 45.7%, ponatinib: 9.0%, dasatinib: 21.2%, imatinib: 24.1%). </w:t>
            </w:r>
          </w:p>
        </w:tc>
      </w:tr>
      <w:tr w:rsidR="00181366" w:rsidRPr="00576C89" w14:paraId="62CC4BB8" w14:textId="77777777" w:rsidTr="00C35ABF">
        <w:tc>
          <w:tcPr>
            <w:tcW w:w="576" w:type="pct"/>
            <w:vMerge/>
          </w:tcPr>
          <w:p w14:paraId="0B2A978E" w14:textId="77777777" w:rsidR="00181366" w:rsidRPr="00576C89" w:rsidRDefault="00181366" w:rsidP="00C35ABF">
            <w:pPr>
              <w:keepNext/>
              <w:keepLines/>
              <w:jc w:val="left"/>
              <w:rPr>
                <w:rFonts w:ascii="Arial Narrow" w:hAnsi="Arial Narrow"/>
                <w:sz w:val="20"/>
                <w:szCs w:val="20"/>
              </w:rPr>
            </w:pPr>
          </w:p>
        </w:tc>
        <w:tc>
          <w:tcPr>
            <w:tcW w:w="1181" w:type="pct"/>
          </w:tcPr>
          <w:p w14:paraId="7C04E2A5" w14:textId="77777777"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Use of ponatinib should reflect use primarily in patient with T315I mutation</w:t>
            </w:r>
            <w:r>
              <w:rPr>
                <w:rFonts w:ascii="Arial Narrow" w:hAnsi="Arial Narrow"/>
                <w:sz w:val="20"/>
                <w:szCs w:val="20"/>
              </w:rPr>
              <w:t>.</w:t>
            </w:r>
          </w:p>
        </w:tc>
        <w:tc>
          <w:tcPr>
            <w:tcW w:w="1360" w:type="pct"/>
          </w:tcPr>
          <w:p w14:paraId="6277DFC1" w14:textId="77777777"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The DUSC</w:t>
            </w:r>
            <w:r>
              <w:rPr>
                <w:rFonts w:ascii="Arial Narrow" w:hAnsi="Arial Narrow"/>
                <w:sz w:val="20"/>
                <w:szCs w:val="20"/>
              </w:rPr>
              <w:t xml:space="preserve"> Secretariat</w:t>
            </w:r>
            <w:r w:rsidRPr="00576C89">
              <w:rPr>
                <w:rFonts w:ascii="Arial Narrow" w:hAnsi="Arial Narrow"/>
                <w:sz w:val="20"/>
                <w:szCs w:val="20"/>
              </w:rPr>
              <w:t xml:space="preserve"> analysis showed that only 7.2% of patients receiving ponatinib have the T315</w:t>
            </w:r>
            <w:r>
              <w:rPr>
                <w:rFonts w:ascii="Arial Narrow" w:hAnsi="Arial Narrow"/>
                <w:sz w:val="20"/>
                <w:szCs w:val="20"/>
              </w:rPr>
              <w:t>I</w:t>
            </w:r>
            <w:r w:rsidRPr="00576C89">
              <w:rPr>
                <w:rFonts w:ascii="Arial Narrow" w:hAnsi="Arial Narrow"/>
                <w:sz w:val="20"/>
                <w:szCs w:val="20"/>
              </w:rPr>
              <w:t xml:space="preserve"> mutation. </w:t>
            </w:r>
          </w:p>
        </w:tc>
        <w:tc>
          <w:tcPr>
            <w:tcW w:w="1883" w:type="pct"/>
          </w:tcPr>
          <w:p w14:paraId="2BCFED38" w14:textId="77777777" w:rsidR="00181366" w:rsidRPr="00576C89" w:rsidRDefault="00181366" w:rsidP="00C35ABF">
            <w:pPr>
              <w:keepNext/>
              <w:keepLines/>
              <w:jc w:val="left"/>
              <w:rPr>
                <w:rFonts w:ascii="Arial Narrow" w:hAnsi="Arial Narrow"/>
                <w:sz w:val="20"/>
                <w:szCs w:val="20"/>
              </w:rPr>
            </w:pPr>
            <w:r w:rsidRPr="00DF716B">
              <w:rPr>
                <w:rFonts w:ascii="Arial Narrow" w:hAnsi="Arial Narrow"/>
                <w:sz w:val="20"/>
                <w:szCs w:val="20"/>
              </w:rPr>
              <w:t>Unchanged</w:t>
            </w:r>
            <w:r w:rsidRPr="00576C89">
              <w:rPr>
                <w:rFonts w:ascii="Arial Narrow" w:hAnsi="Arial Narrow"/>
                <w:sz w:val="20"/>
                <w:szCs w:val="20"/>
              </w:rPr>
              <w:t>, but use of ponatinib and associated substitution has been revised to separately consider patients with and without the T315</w:t>
            </w:r>
            <w:r>
              <w:rPr>
                <w:rFonts w:ascii="Arial Narrow" w:hAnsi="Arial Narrow"/>
                <w:sz w:val="20"/>
                <w:szCs w:val="20"/>
              </w:rPr>
              <w:t>I</w:t>
            </w:r>
            <w:r w:rsidRPr="00576C89">
              <w:rPr>
                <w:rFonts w:ascii="Arial Narrow" w:hAnsi="Arial Narrow"/>
                <w:sz w:val="20"/>
                <w:szCs w:val="20"/>
              </w:rPr>
              <w:t xml:space="preserve"> mutation</w:t>
            </w:r>
            <w:r>
              <w:rPr>
                <w:rFonts w:ascii="Arial Narrow" w:hAnsi="Arial Narrow"/>
                <w:sz w:val="20"/>
                <w:szCs w:val="20"/>
              </w:rPr>
              <w:t>.</w:t>
            </w:r>
          </w:p>
        </w:tc>
      </w:tr>
      <w:tr w:rsidR="00181366" w:rsidRPr="00576C89" w14:paraId="08A7A406" w14:textId="77777777" w:rsidTr="00C35ABF">
        <w:tc>
          <w:tcPr>
            <w:tcW w:w="576" w:type="pct"/>
            <w:vMerge w:val="restart"/>
          </w:tcPr>
          <w:p w14:paraId="5281AB88" w14:textId="77777777"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Uptake and substitution rates</w:t>
            </w:r>
          </w:p>
        </w:tc>
        <w:tc>
          <w:tcPr>
            <w:tcW w:w="1181" w:type="pct"/>
          </w:tcPr>
          <w:p w14:paraId="539E6A81" w14:textId="7240A5A2"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 xml:space="preserve">Uptake of 35% in </w:t>
            </w:r>
            <w:r w:rsidR="001523B5">
              <w:rPr>
                <w:rFonts w:ascii="Arial Narrow" w:hAnsi="Arial Narrow"/>
                <w:sz w:val="20"/>
                <w:szCs w:val="20"/>
              </w:rPr>
              <w:t>Y</w:t>
            </w:r>
            <w:r w:rsidRPr="00576C89">
              <w:rPr>
                <w:rFonts w:ascii="Arial Narrow" w:hAnsi="Arial Narrow"/>
                <w:sz w:val="20"/>
                <w:szCs w:val="20"/>
              </w:rPr>
              <w:t xml:space="preserve">ear 1 increasing to 49.5% in </w:t>
            </w:r>
            <w:r w:rsidR="001523B5">
              <w:rPr>
                <w:rFonts w:ascii="Arial Narrow" w:hAnsi="Arial Narrow"/>
                <w:sz w:val="20"/>
                <w:szCs w:val="20"/>
              </w:rPr>
              <w:t>Y</w:t>
            </w:r>
            <w:r w:rsidRPr="00576C89">
              <w:rPr>
                <w:rFonts w:ascii="Arial Narrow" w:hAnsi="Arial Narrow"/>
                <w:sz w:val="20"/>
                <w:szCs w:val="20"/>
              </w:rPr>
              <w:t xml:space="preserve">ear 6. The uptake in the initial years was overestimated but were underestimated in </w:t>
            </w:r>
            <w:r w:rsidR="001523B5">
              <w:rPr>
                <w:rFonts w:ascii="Arial Narrow" w:hAnsi="Arial Narrow"/>
                <w:sz w:val="20"/>
                <w:szCs w:val="20"/>
              </w:rPr>
              <w:t>Y</w:t>
            </w:r>
            <w:r w:rsidRPr="00576C89">
              <w:rPr>
                <w:rFonts w:ascii="Arial Narrow" w:hAnsi="Arial Narrow"/>
                <w:sz w:val="20"/>
                <w:szCs w:val="20"/>
              </w:rPr>
              <w:t>ear 6.</w:t>
            </w:r>
          </w:p>
        </w:tc>
        <w:tc>
          <w:tcPr>
            <w:tcW w:w="1360" w:type="pct"/>
          </w:tcPr>
          <w:p w14:paraId="7F68B87E" w14:textId="77777777"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N/A</w:t>
            </w:r>
          </w:p>
        </w:tc>
        <w:tc>
          <w:tcPr>
            <w:tcW w:w="1883" w:type="pct"/>
          </w:tcPr>
          <w:p w14:paraId="6F7AAD9C" w14:textId="77777777" w:rsidR="00181366" w:rsidRPr="00576C89" w:rsidRDefault="00181366" w:rsidP="00C35ABF">
            <w:pPr>
              <w:keepNext/>
              <w:keepLines/>
              <w:jc w:val="left"/>
              <w:rPr>
                <w:rFonts w:ascii="Arial Narrow" w:hAnsi="Arial Narrow"/>
                <w:sz w:val="20"/>
                <w:szCs w:val="20"/>
              </w:rPr>
            </w:pPr>
            <w:r w:rsidRPr="00DF716B">
              <w:rPr>
                <w:rFonts w:ascii="Arial Narrow" w:hAnsi="Arial Narrow"/>
                <w:sz w:val="20"/>
                <w:szCs w:val="20"/>
              </w:rPr>
              <w:t>Revised</w:t>
            </w:r>
            <w:r w:rsidRPr="00576C89">
              <w:rPr>
                <w:rFonts w:ascii="Arial Narrow" w:hAnsi="Arial Narrow"/>
                <w:sz w:val="20"/>
                <w:szCs w:val="20"/>
              </w:rPr>
              <w:t xml:space="preserve"> in accordance with sensitivity analysis undertaken during the evaluation (i.e., Year 1 30% increasing by 10% every year until 70% in Year 5 and 6)</w:t>
            </w:r>
            <w:r>
              <w:rPr>
                <w:rFonts w:ascii="Arial Narrow" w:hAnsi="Arial Narrow"/>
                <w:sz w:val="20"/>
                <w:szCs w:val="20"/>
              </w:rPr>
              <w:t>.</w:t>
            </w:r>
          </w:p>
          <w:p w14:paraId="506332FB" w14:textId="77777777"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Note that grandfathered patients are included in the prevalent population.</w:t>
            </w:r>
          </w:p>
        </w:tc>
      </w:tr>
      <w:tr w:rsidR="00181366" w:rsidRPr="00576C89" w14:paraId="42DAE3E4" w14:textId="77777777" w:rsidTr="00C35ABF">
        <w:tc>
          <w:tcPr>
            <w:tcW w:w="576" w:type="pct"/>
            <w:vMerge/>
          </w:tcPr>
          <w:p w14:paraId="224C2FAE" w14:textId="77777777" w:rsidR="00181366" w:rsidRPr="00576C89" w:rsidRDefault="00181366" w:rsidP="00C35ABF">
            <w:pPr>
              <w:keepNext/>
              <w:keepLines/>
              <w:jc w:val="left"/>
              <w:rPr>
                <w:rFonts w:ascii="Arial Narrow" w:hAnsi="Arial Narrow"/>
                <w:sz w:val="20"/>
                <w:szCs w:val="20"/>
              </w:rPr>
            </w:pPr>
          </w:p>
        </w:tc>
        <w:tc>
          <w:tcPr>
            <w:tcW w:w="1181" w:type="pct"/>
          </w:tcPr>
          <w:p w14:paraId="5FCDF436" w14:textId="77777777" w:rsidR="00181366" w:rsidRPr="00576C89" w:rsidRDefault="00181366" w:rsidP="00C35ABF">
            <w:pPr>
              <w:keepNext/>
              <w:keepLines/>
              <w:jc w:val="left"/>
              <w:rPr>
                <w:rFonts w:ascii="Arial Narrow" w:hAnsi="Arial Narrow"/>
                <w:sz w:val="20"/>
                <w:szCs w:val="20"/>
              </w:rPr>
            </w:pPr>
            <w:r w:rsidRPr="00576C89">
              <w:rPr>
                <w:rFonts w:ascii="Arial Narrow" w:hAnsi="Arial Narrow"/>
                <w:sz w:val="20"/>
                <w:szCs w:val="20"/>
              </w:rPr>
              <w:t>Relative substitution from the 10% PBS sample data do not reflect current or expected future substitution.</w:t>
            </w:r>
          </w:p>
        </w:tc>
        <w:tc>
          <w:tcPr>
            <w:tcW w:w="1360" w:type="pct"/>
          </w:tcPr>
          <w:p w14:paraId="7B1E98D3" w14:textId="0E62D17C" w:rsidR="00181366" w:rsidRPr="00576C89" w:rsidRDefault="001523B5" w:rsidP="00C35ABF">
            <w:pPr>
              <w:keepNext/>
              <w:keepLines/>
              <w:jc w:val="left"/>
              <w:rPr>
                <w:rFonts w:ascii="Arial Narrow" w:hAnsi="Arial Narrow"/>
                <w:sz w:val="20"/>
                <w:szCs w:val="20"/>
              </w:rPr>
            </w:pPr>
            <w:r w:rsidRPr="00576C89">
              <w:rPr>
                <w:rFonts w:ascii="Arial Narrow" w:hAnsi="Arial Narrow"/>
                <w:sz w:val="20"/>
                <w:szCs w:val="20"/>
              </w:rPr>
              <w:t>N/A</w:t>
            </w:r>
          </w:p>
        </w:tc>
        <w:tc>
          <w:tcPr>
            <w:tcW w:w="1883" w:type="pct"/>
          </w:tcPr>
          <w:p w14:paraId="5FD9D55B" w14:textId="77777777" w:rsidR="00181366" w:rsidRPr="00576C89" w:rsidRDefault="00181366" w:rsidP="00C35ABF">
            <w:pPr>
              <w:keepNext/>
              <w:keepLines/>
              <w:jc w:val="left"/>
              <w:rPr>
                <w:rFonts w:ascii="Arial Narrow" w:hAnsi="Arial Narrow"/>
                <w:sz w:val="20"/>
                <w:szCs w:val="20"/>
              </w:rPr>
            </w:pPr>
            <w:r w:rsidRPr="00DF716B">
              <w:rPr>
                <w:rFonts w:ascii="Arial Narrow" w:hAnsi="Arial Narrow"/>
                <w:sz w:val="20"/>
                <w:szCs w:val="20"/>
              </w:rPr>
              <w:t>Unchanged</w:t>
            </w:r>
            <w:r w:rsidRPr="00576C89">
              <w:rPr>
                <w:rFonts w:ascii="Arial Narrow" w:hAnsi="Arial Narrow"/>
                <w:sz w:val="20"/>
                <w:szCs w:val="20"/>
              </w:rPr>
              <w:t>, asciminib will substitute all other TKIs based on their relative use. However, the relative use of the other TKIs is based on the DUSC</w:t>
            </w:r>
            <w:r>
              <w:rPr>
                <w:rFonts w:ascii="Arial Narrow" w:hAnsi="Arial Narrow"/>
                <w:sz w:val="20"/>
                <w:szCs w:val="20"/>
              </w:rPr>
              <w:t xml:space="preserve"> Secretariat</w:t>
            </w:r>
            <w:r w:rsidRPr="00576C89">
              <w:rPr>
                <w:rFonts w:ascii="Arial Narrow" w:hAnsi="Arial Narrow"/>
                <w:sz w:val="20"/>
                <w:szCs w:val="20"/>
              </w:rPr>
              <w:t xml:space="preserve"> analysis (nilotinib: 45.7%, ponatinib: 9.0%, dasatinib: 21.2%, imatinib: 24.1%).</w:t>
            </w:r>
          </w:p>
        </w:tc>
      </w:tr>
    </w:tbl>
    <w:p w14:paraId="626587E1" w14:textId="77777777" w:rsidR="00181366" w:rsidRDefault="00181366" w:rsidP="00181366">
      <w:pPr>
        <w:pStyle w:val="Tablefooter"/>
        <w:rPr>
          <w:rFonts w:ascii="Arial Narrow" w:hAnsi="Arial Narrow" w:cstheme="minorHAnsi"/>
        </w:rPr>
      </w:pPr>
      <w:r w:rsidRPr="00576C89">
        <w:rPr>
          <w:rFonts w:ascii="Arial Narrow" w:hAnsi="Arial Narrow"/>
        </w:rPr>
        <w:t>Source:</w:t>
      </w:r>
      <w:r>
        <w:t xml:space="preserve"> </w:t>
      </w:r>
      <w:r w:rsidRPr="002F41B5">
        <w:rPr>
          <w:rFonts w:ascii="Arial Narrow" w:hAnsi="Arial Narrow" w:cstheme="minorHAnsi"/>
        </w:rPr>
        <w:t xml:space="preserve">Resubmission Table </w:t>
      </w:r>
      <w:r>
        <w:rPr>
          <w:rFonts w:ascii="Arial Narrow" w:hAnsi="Arial Narrow" w:cstheme="minorHAnsi"/>
        </w:rPr>
        <w:t xml:space="preserve">4-1. </w:t>
      </w:r>
    </w:p>
    <w:p w14:paraId="6C1AABB6" w14:textId="181A5F50" w:rsidR="00181366" w:rsidRDefault="00181366" w:rsidP="00181366">
      <w:pPr>
        <w:pStyle w:val="Tablefooter"/>
        <w:spacing w:after="120"/>
        <w:rPr>
          <w:rFonts w:ascii="Arial Narrow" w:hAnsi="Arial Narrow"/>
        </w:rPr>
      </w:pPr>
      <w:r>
        <w:rPr>
          <w:rFonts w:ascii="Arial Narrow" w:hAnsi="Arial Narrow"/>
        </w:rPr>
        <w:t xml:space="preserve">DUSC = Drug Utilisation Sub-Committee; TKI = </w:t>
      </w:r>
      <w:r w:rsidRPr="007578D0">
        <w:rPr>
          <w:rFonts w:ascii="Arial Narrow" w:hAnsi="Arial Narrow"/>
        </w:rPr>
        <w:t>tyrosine kinase inhibitor</w:t>
      </w:r>
      <w:r>
        <w:rPr>
          <w:rFonts w:ascii="Arial Narrow" w:hAnsi="Arial Narrow"/>
        </w:rPr>
        <w:t>.</w:t>
      </w:r>
    </w:p>
    <w:p w14:paraId="796ECFCA" w14:textId="5434B81A" w:rsidR="005F5586" w:rsidRPr="009A6D58" w:rsidRDefault="005F5586" w:rsidP="005F5586">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 </w:t>
      </w:r>
    </w:p>
    <w:p w14:paraId="2B2670DE" w14:textId="3EC76058" w:rsidR="005F5586" w:rsidRPr="009A6D58" w:rsidRDefault="005F5586" w:rsidP="000715F6">
      <w:pPr>
        <w:spacing w:after="120"/>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5F5586">
        <w:rPr>
          <w:rFonts w:ascii="Arial Narrow" w:hAnsi="Arial Narrow" w:cs="Arial"/>
          <w:i/>
          <w:sz w:val="18"/>
          <w:szCs w:val="18"/>
        </w:rPr>
        <w:t>500 to &lt; 5,000</w:t>
      </w:r>
    </w:p>
    <w:p w14:paraId="563A5150" w14:textId="2FAC1D47" w:rsidR="00181366" w:rsidRPr="005835DF" w:rsidRDefault="00181366" w:rsidP="00181366">
      <w:pPr>
        <w:pStyle w:val="3-BodyText"/>
      </w:pPr>
      <w:r w:rsidRPr="0015717E">
        <w:t xml:space="preserve">The impact of these revisions to the financial implications are presented in </w:t>
      </w:r>
      <w:r w:rsidRPr="0015717E">
        <w:rPr>
          <w:rFonts w:cstheme="minorHAnsi"/>
        </w:rPr>
        <w:fldChar w:fldCharType="begin" w:fldLock="1"/>
      </w:r>
      <w:r w:rsidRPr="0015717E">
        <w:rPr>
          <w:rFonts w:cstheme="minorHAnsi"/>
        </w:rPr>
        <w:instrText xml:space="preserve"> REF _Ref114849480 \h  \* MERGEFORMAT </w:instrText>
      </w:r>
      <w:r w:rsidRPr="0015717E">
        <w:rPr>
          <w:rFonts w:cstheme="minorHAnsi"/>
        </w:rPr>
      </w:r>
      <w:r w:rsidRPr="0015717E">
        <w:rPr>
          <w:rFonts w:cstheme="minorHAnsi"/>
        </w:rPr>
        <w:fldChar w:fldCharType="separate"/>
      </w:r>
      <w:r w:rsidRPr="00196FF1">
        <w:rPr>
          <w:rFonts w:cstheme="minorHAnsi"/>
        </w:rPr>
        <w:t xml:space="preserve">Table </w:t>
      </w:r>
      <w:r w:rsidRPr="00196FF1">
        <w:rPr>
          <w:rFonts w:cstheme="minorHAnsi"/>
          <w:noProof/>
        </w:rPr>
        <w:t>20</w:t>
      </w:r>
      <w:r w:rsidRPr="0015717E">
        <w:rPr>
          <w:rFonts w:cstheme="minorHAnsi"/>
        </w:rPr>
        <w:fldChar w:fldCharType="end"/>
      </w:r>
      <w:r w:rsidRPr="0015717E">
        <w:t>. Overall, a PBS listing for asciminib based on the proposed resubmission price (effective DPMQ $</w:t>
      </w:r>
      <w:r w:rsidR="00B96A78" w:rsidRPr="007F018F">
        <w:rPr>
          <w:color w:val="000000"/>
          <w:w w:val="15"/>
          <w:shd w:val="solid" w:color="000000" w:fill="000000"/>
          <w:fitText w:val="-20" w:id="-1301052148"/>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2148"/>
          <w14:textFill>
            <w14:solidFill>
              <w14:srgbClr w14:val="000000">
                <w14:alpha w14:val="100000"/>
              </w14:srgbClr>
            </w14:solidFill>
          </w14:textFill>
        </w:rPr>
        <w:t>|</w:t>
      </w:r>
      <w:r w:rsidRPr="0015717E">
        <w:t xml:space="preserve">) is expected to result in an incremental cost to the R/PBS of </w:t>
      </w:r>
      <w:r w:rsidR="007A2BA6" w:rsidRPr="007A2BA6">
        <w:t>$0 to &lt; $10 million</w:t>
      </w:r>
      <w:r w:rsidR="007A2BA6">
        <w:t xml:space="preserve"> </w:t>
      </w:r>
      <w:r w:rsidRPr="0015717E">
        <w:t xml:space="preserve">in Year 1, and an incremental cost </w:t>
      </w:r>
      <w:r w:rsidRPr="0015717E">
        <w:lastRenderedPageBreak/>
        <w:t xml:space="preserve">to the R/PBS of </w:t>
      </w:r>
      <w:r w:rsidR="007A2BA6" w:rsidRPr="007A2BA6">
        <w:t>$30 million to &lt; $40 million</w:t>
      </w:r>
      <w:r w:rsidR="007A2BA6">
        <w:t xml:space="preserve"> </w:t>
      </w:r>
      <w:r w:rsidRPr="0015717E">
        <w:t>over</w:t>
      </w:r>
      <w:r>
        <w:t xml:space="preserve"> the first</w:t>
      </w:r>
      <w:r w:rsidRPr="0015717E">
        <w:t xml:space="preserve"> 6 years of listing. </w:t>
      </w:r>
      <w:r w:rsidRPr="005835DF">
        <w:t xml:space="preserve">The compares to an estimated net financial impact of </w:t>
      </w:r>
      <w:r w:rsidR="007A2BA6" w:rsidRPr="007A2BA6">
        <w:t>$30 million to &lt; $40 million</w:t>
      </w:r>
      <w:r w:rsidR="007A2BA6">
        <w:t xml:space="preserve"> </w:t>
      </w:r>
      <w:r w:rsidRPr="005835DF">
        <w:t>(evaluation corrected) over 6 years for the July 2022 submission.</w:t>
      </w:r>
    </w:p>
    <w:p w14:paraId="164E4EFE" w14:textId="7AC1C1EE" w:rsidR="00181366" w:rsidRPr="00761E63" w:rsidRDefault="00181366" w:rsidP="00181366">
      <w:pPr>
        <w:pStyle w:val="Tableheading"/>
        <w:jc w:val="left"/>
        <w:rPr>
          <w:rFonts w:ascii="Arial Narrow" w:hAnsi="Arial Narrow"/>
        </w:rPr>
      </w:pPr>
      <w:bookmarkStart w:id="47" w:name="_Ref114849480"/>
      <w:r w:rsidRPr="00761E63">
        <w:rPr>
          <w:rFonts w:ascii="Arial Narrow" w:hAnsi="Arial Narrow"/>
        </w:rPr>
        <w:t xml:space="preserve">Table </w:t>
      </w:r>
      <w:r w:rsidRPr="00761E63">
        <w:rPr>
          <w:rFonts w:ascii="Arial Narrow" w:hAnsi="Arial Narrow"/>
        </w:rPr>
        <w:fldChar w:fldCharType="begin" w:fldLock="1"/>
      </w:r>
      <w:r w:rsidRPr="00761E63">
        <w:rPr>
          <w:rFonts w:ascii="Arial Narrow" w:hAnsi="Arial Narrow"/>
        </w:rPr>
        <w:instrText xml:space="preserve"> SEQ Table \* ARABIC </w:instrText>
      </w:r>
      <w:r w:rsidRPr="00761E63">
        <w:rPr>
          <w:rFonts w:ascii="Arial Narrow" w:hAnsi="Arial Narrow"/>
        </w:rPr>
        <w:fldChar w:fldCharType="separate"/>
      </w:r>
      <w:r w:rsidR="00100F00">
        <w:rPr>
          <w:rFonts w:ascii="Arial Narrow" w:hAnsi="Arial Narrow"/>
          <w:noProof/>
        </w:rPr>
        <w:t>20</w:t>
      </w:r>
      <w:r w:rsidRPr="00761E63">
        <w:rPr>
          <w:rFonts w:ascii="Arial Narrow" w:hAnsi="Arial Narrow"/>
        </w:rPr>
        <w:fldChar w:fldCharType="end"/>
      </w:r>
      <w:bookmarkEnd w:id="47"/>
      <w:r w:rsidRPr="00761E63">
        <w:rPr>
          <w:rFonts w:ascii="Arial Narrow" w:hAnsi="Arial Narrow"/>
        </w:rPr>
        <w:t>: Estimated extent of use and financial implications</w:t>
      </w:r>
    </w:p>
    <w:tbl>
      <w:tblPr>
        <w:tblStyle w:val="TableGrid"/>
        <w:tblW w:w="5028" w:type="pct"/>
        <w:jc w:val="center"/>
        <w:tblLayout w:type="fixed"/>
        <w:tblLook w:val="04A0" w:firstRow="1" w:lastRow="0" w:firstColumn="1" w:lastColumn="0" w:noHBand="0" w:noVBand="1"/>
        <w:tblCaption w:val="Table 20: Estimated extent of use and financial implications"/>
      </w:tblPr>
      <w:tblGrid>
        <w:gridCol w:w="1555"/>
        <w:gridCol w:w="1280"/>
        <w:gridCol w:w="1246"/>
        <w:gridCol w:w="1242"/>
        <w:gridCol w:w="1246"/>
        <w:gridCol w:w="1242"/>
        <w:gridCol w:w="1255"/>
      </w:tblGrid>
      <w:tr w:rsidR="00181366" w:rsidRPr="00EC7978" w14:paraId="28923AC8" w14:textId="77777777" w:rsidTr="00716D0B">
        <w:trPr>
          <w:jc w:val="center"/>
        </w:trPr>
        <w:tc>
          <w:tcPr>
            <w:tcW w:w="858" w:type="pct"/>
            <w:shd w:val="clear" w:color="auto" w:fill="auto"/>
            <w:vAlign w:val="center"/>
          </w:tcPr>
          <w:p w14:paraId="55393373" w14:textId="77777777" w:rsidR="00181366" w:rsidRPr="00EC7978" w:rsidRDefault="00181366" w:rsidP="00C35ABF">
            <w:pPr>
              <w:keepNext/>
              <w:spacing w:line="276" w:lineRule="auto"/>
              <w:rPr>
                <w:rFonts w:ascii="Arial Narrow" w:hAnsi="Arial Narrow" w:cstheme="minorHAnsi"/>
                <w:bCs/>
                <w:sz w:val="20"/>
                <w:szCs w:val="20"/>
              </w:rPr>
            </w:pPr>
          </w:p>
        </w:tc>
        <w:tc>
          <w:tcPr>
            <w:tcW w:w="706" w:type="pct"/>
            <w:shd w:val="clear" w:color="auto" w:fill="auto"/>
            <w:vAlign w:val="center"/>
          </w:tcPr>
          <w:p w14:paraId="0E77A011" w14:textId="77777777" w:rsidR="00181366" w:rsidRPr="00EC7978" w:rsidRDefault="00181366" w:rsidP="00C35ABF">
            <w:pPr>
              <w:keepNext/>
              <w:spacing w:line="276" w:lineRule="auto"/>
              <w:jc w:val="center"/>
              <w:rPr>
                <w:rFonts w:ascii="Arial Narrow" w:hAnsi="Arial Narrow" w:cstheme="minorHAnsi"/>
                <w:b/>
                <w:sz w:val="20"/>
                <w:szCs w:val="20"/>
              </w:rPr>
            </w:pPr>
            <w:r w:rsidRPr="00EC7978">
              <w:rPr>
                <w:rFonts w:ascii="Arial Narrow" w:hAnsi="Arial Narrow" w:cstheme="minorHAnsi"/>
                <w:b/>
                <w:sz w:val="20"/>
                <w:szCs w:val="20"/>
              </w:rPr>
              <w:t>Year 1</w:t>
            </w:r>
          </w:p>
        </w:tc>
        <w:tc>
          <w:tcPr>
            <w:tcW w:w="687" w:type="pct"/>
            <w:shd w:val="clear" w:color="auto" w:fill="auto"/>
            <w:vAlign w:val="center"/>
          </w:tcPr>
          <w:p w14:paraId="1E446520" w14:textId="77777777" w:rsidR="00181366" w:rsidRPr="00EC7978" w:rsidRDefault="00181366" w:rsidP="00C35ABF">
            <w:pPr>
              <w:keepNext/>
              <w:spacing w:line="276" w:lineRule="auto"/>
              <w:jc w:val="center"/>
              <w:rPr>
                <w:rFonts w:ascii="Arial Narrow" w:hAnsi="Arial Narrow" w:cstheme="minorHAnsi"/>
                <w:b/>
                <w:sz w:val="20"/>
                <w:szCs w:val="20"/>
              </w:rPr>
            </w:pPr>
            <w:r w:rsidRPr="00EC7978">
              <w:rPr>
                <w:rFonts w:ascii="Arial Narrow" w:hAnsi="Arial Narrow" w:cstheme="minorHAnsi"/>
                <w:b/>
                <w:sz w:val="20"/>
                <w:szCs w:val="20"/>
              </w:rPr>
              <w:t>Year 2</w:t>
            </w:r>
          </w:p>
        </w:tc>
        <w:tc>
          <w:tcPr>
            <w:tcW w:w="685" w:type="pct"/>
            <w:shd w:val="clear" w:color="auto" w:fill="auto"/>
            <w:vAlign w:val="center"/>
          </w:tcPr>
          <w:p w14:paraId="40E831E6" w14:textId="77777777" w:rsidR="00181366" w:rsidRPr="00EC7978" w:rsidRDefault="00181366" w:rsidP="00C35ABF">
            <w:pPr>
              <w:keepNext/>
              <w:spacing w:line="276" w:lineRule="auto"/>
              <w:jc w:val="center"/>
              <w:rPr>
                <w:rFonts w:ascii="Arial Narrow" w:hAnsi="Arial Narrow" w:cstheme="minorHAnsi"/>
                <w:b/>
                <w:sz w:val="20"/>
                <w:szCs w:val="20"/>
              </w:rPr>
            </w:pPr>
            <w:r w:rsidRPr="00EC7978">
              <w:rPr>
                <w:rFonts w:ascii="Arial Narrow" w:hAnsi="Arial Narrow" w:cstheme="minorHAnsi"/>
                <w:b/>
                <w:sz w:val="20"/>
                <w:szCs w:val="20"/>
              </w:rPr>
              <w:t>Year 3</w:t>
            </w:r>
          </w:p>
        </w:tc>
        <w:tc>
          <w:tcPr>
            <w:tcW w:w="687" w:type="pct"/>
            <w:shd w:val="clear" w:color="auto" w:fill="auto"/>
            <w:vAlign w:val="center"/>
          </w:tcPr>
          <w:p w14:paraId="26CF2404" w14:textId="77777777" w:rsidR="00181366" w:rsidRPr="00EC7978" w:rsidRDefault="00181366" w:rsidP="00C35ABF">
            <w:pPr>
              <w:keepNext/>
              <w:spacing w:line="276" w:lineRule="auto"/>
              <w:jc w:val="center"/>
              <w:rPr>
                <w:rFonts w:ascii="Arial Narrow" w:hAnsi="Arial Narrow" w:cstheme="minorHAnsi"/>
                <w:b/>
                <w:sz w:val="20"/>
                <w:szCs w:val="20"/>
              </w:rPr>
            </w:pPr>
            <w:r w:rsidRPr="00EC7978">
              <w:rPr>
                <w:rFonts w:ascii="Arial Narrow" w:hAnsi="Arial Narrow" w:cstheme="minorHAnsi"/>
                <w:b/>
                <w:sz w:val="20"/>
                <w:szCs w:val="20"/>
              </w:rPr>
              <w:t>Year 4</w:t>
            </w:r>
          </w:p>
        </w:tc>
        <w:tc>
          <w:tcPr>
            <w:tcW w:w="685" w:type="pct"/>
            <w:shd w:val="clear" w:color="auto" w:fill="auto"/>
            <w:vAlign w:val="center"/>
          </w:tcPr>
          <w:p w14:paraId="73A570A9" w14:textId="77777777" w:rsidR="00181366" w:rsidRPr="00EC7978" w:rsidRDefault="00181366" w:rsidP="00C35ABF">
            <w:pPr>
              <w:keepNext/>
              <w:spacing w:line="276" w:lineRule="auto"/>
              <w:jc w:val="center"/>
              <w:rPr>
                <w:rFonts w:ascii="Arial Narrow" w:hAnsi="Arial Narrow" w:cstheme="minorHAnsi"/>
                <w:b/>
                <w:sz w:val="20"/>
                <w:szCs w:val="20"/>
              </w:rPr>
            </w:pPr>
            <w:r w:rsidRPr="00EC7978">
              <w:rPr>
                <w:rFonts w:ascii="Arial Narrow" w:hAnsi="Arial Narrow" w:cstheme="minorHAnsi"/>
                <w:b/>
                <w:sz w:val="20"/>
                <w:szCs w:val="20"/>
              </w:rPr>
              <w:t>Year 5</w:t>
            </w:r>
          </w:p>
        </w:tc>
        <w:tc>
          <w:tcPr>
            <w:tcW w:w="693" w:type="pct"/>
            <w:shd w:val="clear" w:color="auto" w:fill="auto"/>
            <w:vAlign w:val="center"/>
          </w:tcPr>
          <w:p w14:paraId="2CE000FA" w14:textId="77777777" w:rsidR="00181366" w:rsidRPr="00EC7978" w:rsidRDefault="00181366" w:rsidP="00C35ABF">
            <w:pPr>
              <w:keepNext/>
              <w:spacing w:line="276" w:lineRule="auto"/>
              <w:jc w:val="center"/>
              <w:rPr>
                <w:rFonts w:ascii="Arial Narrow" w:hAnsi="Arial Narrow" w:cstheme="minorHAnsi"/>
                <w:b/>
                <w:sz w:val="20"/>
                <w:szCs w:val="20"/>
              </w:rPr>
            </w:pPr>
            <w:r w:rsidRPr="00EC7978">
              <w:rPr>
                <w:rFonts w:ascii="Arial Narrow" w:hAnsi="Arial Narrow" w:cstheme="minorHAnsi"/>
                <w:b/>
                <w:sz w:val="20"/>
                <w:szCs w:val="20"/>
              </w:rPr>
              <w:t>Year 6</w:t>
            </w:r>
          </w:p>
        </w:tc>
      </w:tr>
      <w:tr w:rsidR="00181366" w:rsidRPr="00EC7978" w14:paraId="6908DE7D" w14:textId="77777777" w:rsidTr="00716D0B">
        <w:trPr>
          <w:jc w:val="center"/>
        </w:trPr>
        <w:tc>
          <w:tcPr>
            <w:tcW w:w="5000" w:type="pct"/>
            <w:gridSpan w:val="7"/>
            <w:shd w:val="clear" w:color="auto" w:fill="F2F2F2" w:themeFill="background1" w:themeFillShade="F2"/>
            <w:vAlign w:val="center"/>
          </w:tcPr>
          <w:p w14:paraId="0CE5DAD5" w14:textId="77777777" w:rsidR="00181366" w:rsidRPr="00EC7978" w:rsidRDefault="00181366" w:rsidP="00C35ABF">
            <w:pPr>
              <w:keepNext/>
              <w:spacing w:line="276" w:lineRule="auto"/>
              <w:jc w:val="left"/>
              <w:rPr>
                <w:rFonts w:ascii="Arial Narrow" w:hAnsi="Arial Narrow" w:cstheme="minorHAnsi"/>
                <w:b/>
                <w:sz w:val="20"/>
                <w:szCs w:val="20"/>
              </w:rPr>
            </w:pPr>
            <w:r w:rsidRPr="00EC7978">
              <w:rPr>
                <w:rFonts w:ascii="Arial Narrow" w:hAnsi="Arial Narrow" w:cstheme="minorHAnsi"/>
                <w:b/>
                <w:sz w:val="20"/>
                <w:szCs w:val="20"/>
              </w:rPr>
              <w:t>Predicted use</w:t>
            </w:r>
          </w:p>
        </w:tc>
      </w:tr>
      <w:tr w:rsidR="00181366" w:rsidRPr="00EC7978" w14:paraId="5FFD455C" w14:textId="77777777" w:rsidTr="00716D0B">
        <w:trPr>
          <w:jc w:val="center"/>
        </w:trPr>
        <w:tc>
          <w:tcPr>
            <w:tcW w:w="858" w:type="pct"/>
            <w:shd w:val="clear" w:color="auto" w:fill="auto"/>
            <w:vAlign w:val="center"/>
          </w:tcPr>
          <w:p w14:paraId="144C5BB2" w14:textId="205DE684" w:rsidR="00181366" w:rsidRPr="00716D0B" w:rsidRDefault="00181366" w:rsidP="00C35ABF">
            <w:pPr>
              <w:keepNext/>
              <w:spacing w:line="276" w:lineRule="auto"/>
              <w:rPr>
                <w:rFonts w:ascii="Arial Narrow" w:hAnsi="Arial Narrow" w:cstheme="minorHAnsi"/>
                <w:bCs/>
                <w:sz w:val="20"/>
                <w:szCs w:val="20"/>
                <w:vertAlign w:val="superscript"/>
              </w:rPr>
            </w:pPr>
            <w:r w:rsidRPr="00EC7978">
              <w:rPr>
                <w:rFonts w:ascii="Arial Narrow" w:hAnsi="Arial Narrow" w:cstheme="minorHAnsi"/>
                <w:bCs/>
                <w:sz w:val="20"/>
                <w:szCs w:val="20"/>
              </w:rPr>
              <w:t>Eligible pop.</w:t>
            </w:r>
          </w:p>
        </w:tc>
        <w:tc>
          <w:tcPr>
            <w:tcW w:w="706" w:type="pct"/>
            <w:shd w:val="clear" w:color="auto" w:fill="auto"/>
            <w:vAlign w:val="center"/>
          </w:tcPr>
          <w:p w14:paraId="50667FEC" w14:textId="0817254A"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5"/>
                <w:sz w:val="20"/>
                <w:szCs w:val="20"/>
                <w:shd w:val="solid" w:color="000000" w:fill="000000"/>
                <w:fitText w:val="50" w:id="-1301052147"/>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50" w:id="-1301052147"/>
                <w14:textFill>
                  <w14:solidFill>
                    <w14:srgbClr w14:val="000000">
                      <w14:alpha w14:val="100000"/>
                    </w14:srgbClr>
                  </w14:solidFill>
                </w14:textFill>
              </w:rPr>
              <w:t>|</w:t>
            </w:r>
            <w:r w:rsidRPr="00B96A78">
              <w:rPr>
                <w:rFonts w:ascii="Arial Narrow" w:hAnsi="Arial Narrow" w:cstheme="minorHAnsi" w:hint="eastAsia"/>
                <w:color w:val="000000"/>
                <w:spacing w:val="-15"/>
                <w:w w:val="15"/>
                <w:sz w:val="20"/>
                <w:szCs w:val="20"/>
                <w:shd w:val="solid" w:color="000000" w:fill="000000"/>
                <w:fitText w:val="50" w:id="-1301052147"/>
                <w14:textFill>
                  <w14:solidFill>
                    <w14:srgbClr w14:val="000000">
                      <w14:alpha w14:val="100000"/>
                    </w14:srgbClr>
                  </w14:solidFill>
                </w14:textFill>
              </w:rPr>
              <w:t xml:space="preserve">　</w:t>
            </w:r>
            <w:r w:rsidR="007A2BA6">
              <w:rPr>
                <w:rFonts w:ascii="Arial Narrow" w:hAnsi="Arial Narrow" w:cstheme="minorHAnsi"/>
                <w:bCs/>
                <w:sz w:val="20"/>
                <w:szCs w:val="20"/>
                <w:vertAlign w:val="superscript"/>
              </w:rPr>
              <w:t>1</w:t>
            </w:r>
          </w:p>
        </w:tc>
        <w:tc>
          <w:tcPr>
            <w:tcW w:w="687" w:type="pct"/>
            <w:shd w:val="clear" w:color="auto" w:fill="auto"/>
            <w:vAlign w:val="center"/>
          </w:tcPr>
          <w:p w14:paraId="07466CC9" w14:textId="5FE8F5C4"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5"/>
                <w:sz w:val="20"/>
                <w:szCs w:val="20"/>
                <w:shd w:val="solid" w:color="000000" w:fill="000000"/>
                <w:fitText w:val="50" w:id="-1301052146"/>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50" w:id="-1301052146"/>
                <w14:textFill>
                  <w14:solidFill>
                    <w14:srgbClr w14:val="000000">
                      <w14:alpha w14:val="100000"/>
                    </w14:srgbClr>
                  </w14:solidFill>
                </w14:textFill>
              </w:rPr>
              <w:t>|</w:t>
            </w:r>
            <w:r w:rsidRPr="00B96A78">
              <w:rPr>
                <w:rFonts w:ascii="Arial Narrow" w:hAnsi="Arial Narrow" w:cstheme="minorHAnsi" w:hint="eastAsia"/>
                <w:color w:val="000000"/>
                <w:spacing w:val="-15"/>
                <w:w w:val="15"/>
                <w:sz w:val="20"/>
                <w:szCs w:val="20"/>
                <w:shd w:val="solid" w:color="000000" w:fill="000000"/>
                <w:fitText w:val="50" w:id="-1301052146"/>
                <w14:textFill>
                  <w14:solidFill>
                    <w14:srgbClr w14:val="000000">
                      <w14:alpha w14:val="100000"/>
                    </w14:srgbClr>
                  </w14:solidFill>
                </w14:textFill>
              </w:rPr>
              <w:t xml:space="preserve">　</w:t>
            </w:r>
            <w:r w:rsidR="007A2BA6">
              <w:rPr>
                <w:rFonts w:ascii="Arial Narrow" w:hAnsi="Arial Narrow" w:cstheme="minorHAnsi"/>
                <w:bCs/>
                <w:sz w:val="20"/>
                <w:szCs w:val="20"/>
                <w:vertAlign w:val="superscript"/>
              </w:rPr>
              <w:t>1</w:t>
            </w:r>
          </w:p>
        </w:tc>
        <w:tc>
          <w:tcPr>
            <w:tcW w:w="685" w:type="pct"/>
            <w:shd w:val="clear" w:color="auto" w:fill="auto"/>
            <w:vAlign w:val="center"/>
          </w:tcPr>
          <w:p w14:paraId="33C80BA6" w14:textId="33C30B82"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5"/>
                <w:sz w:val="20"/>
                <w:szCs w:val="20"/>
                <w:shd w:val="solid" w:color="000000" w:fill="000000"/>
                <w:fitText w:val="70" w:id="-1301052145"/>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70" w:id="-1301052145"/>
                <w14:textFill>
                  <w14:solidFill>
                    <w14:srgbClr w14:val="000000">
                      <w14:alpha w14:val="100000"/>
                    </w14:srgbClr>
                  </w14:solidFill>
                </w14:textFill>
              </w:rPr>
              <w:t>|</w:t>
            </w:r>
            <w:r w:rsidRPr="00B96A78">
              <w:rPr>
                <w:rFonts w:ascii="Arial Narrow" w:hAnsi="Arial Narrow" w:cstheme="minorHAnsi" w:hint="eastAsia"/>
                <w:color w:val="000000"/>
                <w:spacing w:val="4"/>
                <w:w w:val="15"/>
                <w:sz w:val="20"/>
                <w:szCs w:val="20"/>
                <w:shd w:val="solid" w:color="000000" w:fill="000000"/>
                <w:fitText w:val="70" w:id="-1301052145"/>
                <w14:textFill>
                  <w14:solidFill>
                    <w14:srgbClr w14:val="000000">
                      <w14:alpha w14:val="100000"/>
                    </w14:srgbClr>
                  </w14:solidFill>
                </w14:textFill>
              </w:rPr>
              <w:t xml:space="preserve">　</w:t>
            </w:r>
            <w:r w:rsidR="007A2BA6">
              <w:rPr>
                <w:rFonts w:ascii="Arial Narrow" w:hAnsi="Arial Narrow" w:cstheme="minorHAnsi"/>
                <w:bCs/>
                <w:sz w:val="20"/>
                <w:szCs w:val="20"/>
                <w:vertAlign w:val="superscript"/>
              </w:rPr>
              <w:t>1</w:t>
            </w:r>
          </w:p>
        </w:tc>
        <w:tc>
          <w:tcPr>
            <w:tcW w:w="687" w:type="pct"/>
            <w:shd w:val="clear" w:color="auto" w:fill="auto"/>
            <w:vAlign w:val="center"/>
          </w:tcPr>
          <w:p w14:paraId="1C73B4BA" w14:textId="1C610514"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5"/>
                <w:sz w:val="20"/>
                <w:szCs w:val="20"/>
                <w:shd w:val="solid" w:color="000000" w:fill="000000"/>
                <w:fitText w:val="50" w:id="-1301052144"/>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50" w:id="-1301052144"/>
                <w14:textFill>
                  <w14:solidFill>
                    <w14:srgbClr w14:val="000000">
                      <w14:alpha w14:val="100000"/>
                    </w14:srgbClr>
                  </w14:solidFill>
                </w14:textFill>
              </w:rPr>
              <w:t>|</w:t>
            </w:r>
            <w:r w:rsidRPr="00B96A78">
              <w:rPr>
                <w:rFonts w:ascii="Arial Narrow" w:hAnsi="Arial Narrow" w:cstheme="minorHAnsi" w:hint="eastAsia"/>
                <w:color w:val="000000"/>
                <w:spacing w:val="-15"/>
                <w:w w:val="15"/>
                <w:sz w:val="20"/>
                <w:szCs w:val="20"/>
                <w:shd w:val="solid" w:color="000000" w:fill="000000"/>
                <w:fitText w:val="50" w:id="-1301052144"/>
                <w14:textFill>
                  <w14:solidFill>
                    <w14:srgbClr w14:val="000000">
                      <w14:alpha w14:val="100000"/>
                    </w14:srgbClr>
                  </w14:solidFill>
                </w14:textFill>
              </w:rPr>
              <w:t xml:space="preserve">　</w:t>
            </w:r>
            <w:r w:rsidR="007A2BA6">
              <w:rPr>
                <w:rFonts w:ascii="Arial Narrow" w:hAnsi="Arial Narrow" w:cstheme="minorHAnsi"/>
                <w:bCs/>
                <w:sz w:val="20"/>
                <w:szCs w:val="20"/>
                <w:vertAlign w:val="superscript"/>
              </w:rPr>
              <w:t>1</w:t>
            </w:r>
          </w:p>
        </w:tc>
        <w:tc>
          <w:tcPr>
            <w:tcW w:w="685" w:type="pct"/>
            <w:shd w:val="clear" w:color="auto" w:fill="auto"/>
            <w:vAlign w:val="center"/>
          </w:tcPr>
          <w:p w14:paraId="1DE8F9BF" w14:textId="47946DFF"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5"/>
                <w:sz w:val="20"/>
                <w:szCs w:val="20"/>
                <w:shd w:val="solid" w:color="000000" w:fill="000000"/>
                <w:fitText w:val="70" w:id="-1301052160"/>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70" w:id="-1301052160"/>
                <w14:textFill>
                  <w14:solidFill>
                    <w14:srgbClr w14:val="000000">
                      <w14:alpha w14:val="100000"/>
                    </w14:srgbClr>
                  </w14:solidFill>
                </w14:textFill>
              </w:rPr>
              <w:t>|</w:t>
            </w:r>
            <w:r w:rsidRPr="00B96A78">
              <w:rPr>
                <w:rFonts w:ascii="Arial Narrow" w:hAnsi="Arial Narrow" w:cstheme="minorHAnsi" w:hint="eastAsia"/>
                <w:color w:val="000000"/>
                <w:spacing w:val="4"/>
                <w:w w:val="15"/>
                <w:sz w:val="20"/>
                <w:szCs w:val="20"/>
                <w:shd w:val="solid" w:color="000000" w:fill="000000"/>
                <w:fitText w:val="70" w:id="-1301052160"/>
                <w14:textFill>
                  <w14:solidFill>
                    <w14:srgbClr w14:val="000000">
                      <w14:alpha w14:val="100000"/>
                    </w14:srgbClr>
                  </w14:solidFill>
                </w14:textFill>
              </w:rPr>
              <w:t xml:space="preserve">　</w:t>
            </w:r>
            <w:r w:rsidR="007A2BA6">
              <w:rPr>
                <w:rFonts w:ascii="Arial Narrow" w:hAnsi="Arial Narrow" w:cstheme="minorHAnsi"/>
                <w:bCs/>
                <w:sz w:val="20"/>
                <w:szCs w:val="20"/>
                <w:vertAlign w:val="superscript"/>
              </w:rPr>
              <w:t>1</w:t>
            </w:r>
          </w:p>
        </w:tc>
        <w:tc>
          <w:tcPr>
            <w:tcW w:w="693" w:type="pct"/>
            <w:shd w:val="clear" w:color="auto" w:fill="auto"/>
            <w:vAlign w:val="center"/>
          </w:tcPr>
          <w:p w14:paraId="0DC1D461" w14:textId="30E5A5E5"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5"/>
                <w:sz w:val="20"/>
                <w:szCs w:val="20"/>
                <w:shd w:val="solid" w:color="000000" w:fill="000000"/>
                <w:fitText w:val="60" w:id="-1301052159"/>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60" w:id="-1301052159"/>
                <w14:textFill>
                  <w14:solidFill>
                    <w14:srgbClr w14:val="000000">
                      <w14:alpha w14:val="100000"/>
                    </w14:srgbClr>
                  </w14:solidFill>
                </w14:textFill>
              </w:rPr>
              <w:t>|</w:t>
            </w:r>
            <w:r w:rsidRPr="00B96A78">
              <w:rPr>
                <w:rFonts w:ascii="Arial Narrow" w:hAnsi="Arial Narrow" w:cstheme="minorHAnsi" w:hint="eastAsia"/>
                <w:color w:val="000000"/>
                <w:spacing w:val="-5"/>
                <w:w w:val="15"/>
                <w:sz w:val="20"/>
                <w:szCs w:val="20"/>
                <w:shd w:val="solid" w:color="000000" w:fill="000000"/>
                <w:fitText w:val="60" w:id="-1301052159"/>
                <w14:textFill>
                  <w14:solidFill>
                    <w14:srgbClr w14:val="000000">
                      <w14:alpha w14:val="100000"/>
                    </w14:srgbClr>
                  </w14:solidFill>
                </w14:textFill>
              </w:rPr>
              <w:t xml:space="preserve">　</w:t>
            </w:r>
            <w:r w:rsidR="007A2BA6">
              <w:rPr>
                <w:rFonts w:ascii="Arial Narrow" w:hAnsi="Arial Narrow" w:cstheme="minorHAnsi"/>
                <w:bCs/>
                <w:sz w:val="20"/>
                <w:szCs w:val="20"/>
                <w:vertAlign w:val="superscript"/>
              </w:rPr>
              <w:t>1</w:t>
            </w:r>
          </w:p>
        </w:tc>
      </w:tr>
      <w:tr w:rsidR="00181366" w:rsidRPr="00EC7978" w14:paraId="0A0986FC" w14:textId="77777777" w:rsidTr="00716D0B">
        <w:trPr>
          <w:jc w:val="center"/>
        </w:trPr>
        <w:tc>
          <w:tcPr>
            <w:tcW w:w="858" w:type="pct"/>
            <w:shd w:val="clear" w:color="auto" w:fill="auto"/>
            <w:vAlign w:val="center"/>
          </w:tcPr>
          <w:p w14:paraId="125AB623" w14:textId="48B80B5C" w:rsidR="00181366" w:rsidRPr="00EC7978" w:rsidRDefault="00181366" w:rsidP="00C35ABF">
            <w:pPr>
              <w:keepNext/>
              <w:spacing w:line="276" w:lineRule="auto"/>
              <w:rPr>
                <w:rFonts w:ascii="Arial Narrow" w:hAnsi="Arial Narrow" w:cstheme="minorHAnsi"/>
                <w:bCs/>
                <w:sz w:val="20"/>
                <w:szCs w:val="20"/>
              </w:rPr>
            </w:pPr>
            <w:r w:rsidRPr="00EC7978">
              <w:rPr>
                <w:rFonts w:ascii="Arial Narrow" w:hAnsi="Arial Narrow" w:cstheme="minorHAnsi"/>
                <w:bCs/>
                <w:sz w:val="20"/>
                <w:szCs w:val="20"/>
              </w:rPr>
              <w:t>Asciminib no</w:t>
            </w:r>
            <w:r w:rsidR="001523B5">
              <w:rPr>
                <w:rFonts w:ascii="Arial Narrow" w:hAnsi="Arial Narrow" w:cstheme="minorHAnsi"/>
                <w:bCs/>
                <w:sz w:val="20"/>
                <w:szCs w:val="20"/>
              </w:rPr>
              <w:t xml:space="preserve"> </w:t>
            </w:r>
            <w:r w:rsidRPr="00EC7978">
              <w:rPr>
                <w:rFonts w:ascii="Arial Narrow" w:hAnsi="Arial Narrow" w:cstheme="minorHAnsi"/>
                <w:bCs/>
                <w:sz w:val="20"/>
                <w:szCs w:val="20"/>
              </w:rPr>
              <w:t>T315I</w:t>
            </w:r>
          </w:p>
        </w:tc>
        <w:tc>
          <w:tcPr>
            <w:tcW w:w="706" w:type="pct"/>
            <w:shd w:val="clear" w:color="auto" w:fill="auto"/>
            <w:vAlign w:val="center"/>
          </w:tcPr>
          <w:p w14:paraId="3D0A1CC7" w14:textId="1009AB91"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5"/>
                <w:sz w:val="20"/>
                <w:szCs w:val="20"/>
                <w:shd w:val="solid" w:color="000000" w:fill="000000"/>
                <w:fitText w:val="50" w:id="-1301052158"/>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50" w:id="-1301052158"/>
                <w14:textFill>
                  <w14:solidFill>
                    <w14:srgbClr w14:val="000000">
                      <w14:alpha w14:val="100000"/>
                    </w14:srgbClr>
                  </w14:solidFill>
                </w14:textFill>
              </w:rPr>
              <w:t>|</w:t>
            </w:r>
            <w:r w:rsidRPr="00B96A78">
              <w:rPr>
                <w:rFonts w:ascii="Arial Narrow" w:hAnsi="Arial Narrow" w:cstheme="minorHAnsi" w:hint="eastAsia"/>
                <w:color w:val="000000"/>
                <w:spacing w:val="-15"/>
                <w:w w:val="15"/>
                <w:sz w:val="20"/>
                <w:szCs w:val="20"/>
                <w:shd w:val="solid" w:color="000000" w:fill="000000"/>
                <w:fitText w:val="50" w:id="-1301052158"/>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2</w:t>
            </w:r>
          </w:p>
        </w:tc>
        <w:tc>
          <w:tcPr>
            <w:tcW w:w="687" w:type="pct"/>
            <w:shd w:val="clear" w:color="auto" w:fill="auto"/>
            <w:vAlign w:val="center"/>
          </w:tcPr>
          <w:p w14:paraId="47FEE3BF" w14:textId="33310751"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5"/>
                <w:sz w:val="20"/>
                <w:szCs w:val="20"/>
                <w:shd w:val="solid" w:color="000000" w:fill="000000"/>
                <w:fitText w:val="50" w:id="-1301052157"/>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50" w:id="-1301052157"/>
                <w14:textFill>
                  <w14:solidFill>
                    <w14:srgbClr w14:val="000000">
                      <w14:alpha w14:val="100000"/>
                    </w14:srgbClr>
                  </w14:solidFill>
                </w14:textFill>
              </w:rPr>
              <w:t>|</w:t>
            </w:r>
            <w:r w:rsidRPr="00B96A78">
              <w:rPr>
                <w:rFonts w:ascii="Arial Narrow" w:hAnsi="Arial Narrow" w:cstheme="minorHAnsi" w:hint="eastAsia"/>
                <w:color w:val="000000"/>
                <w:spacing w:val="-15"/>
                <w:w w:val="15"/>
                <w:sz w:val="20"/>
                <w:szCs w:val="20"/>
                <w:shd w:val="solid" w:color="000000" w:fill="000000"/>
                <w:fitText w:val="50" w:id="-1301052157"/>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2</w:t>
            </w:r>
          </w:p>
        </w:tc>
        <w:tc>
          <w:tcPr>
            <w:tcW w:w="685" w:type="pct"/>
            <w:shd w:val="clear" w:color="auto" w:fill="auto"/>
            <w:vAlign w:val="center"/>
          </w:tcPr>
          <w:p w14:paraId="1873EDFB" w14:textId="243BD7E0"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5"/>
                <w:sz w:val="20"/>
                <w:szCs w:val="20"/>
                <w:shd w:val="solid" w:color="000000" w:fill="000000"/>
                <w:fitText w:val="70" w:id="-1301052156"/>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70" w:id="-1301052156"/>
                <w14:textFill>
                  <w14:solidFill>
                    <w14:srgbClr w14:val="000000">
                      <w14:alpha w14:val="100000"/>
                    </w14:srgbClr>
                  </w14:solidFill>
                </w14:textFill>
              </w:rPr>
              <w:t>|</w:t>
            </w:r>
            <w:r w:rsidRPr="00B96A78">
              <w:rPr>
                <w:rFonts w:ascii="Arial Narrow" w:hAnsi="Arial Narrow" w:cstheme="minorHAnsi" w:hint="eastAsia"/>
                <w:color w:val="000000"/>
                <w:spacing w:val="4"/>
                <w:w w:val="15"/>
                <w:sz w:val="20"/>
                <w:szCs w:val="20"/>
                <w:shd w:val="solid" w:color="000000" w:fill="000000"/>
                <w:fitText w:val="70" w:id="-1301052156"/>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2</w:t>
            </w:r>
          </w:p>
        </w:tc>
        <w:tc>
          <w:tcPr>
            <w:tcW w:w="687" w:type="pct"/>
            <w:shd w:val="clear" w:color="auto" w:fill="auto"/>
            <w:vAlign w:val="center"/>
          </w:tcPr>
          <w:p w14:paraId="327D76A0" w14:textId="4BE12A24"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5"/>
                <w:sz w:val="20"/>
                <w:szCs w:val="20"/>
                <w:shd w:val="solid" w:color="000000" w:fill="000000"/>
                <w:fitText w:val="50" w:id="-1301052155"/>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50" w:id="-1301052155"/>
                <w14:textFill>
                  <w14:solidFill>
                    <w14:srgbClr w14:val="000000">
                      <w14:alpha w14:val="100000"/>
                    </w14:srgbClr>
                  </w14:solidFill>
                </w14:textFill>
              </w:rPr>
              <w:t>|</w:t>
            </w:r>
            <w:r w:rsidRPr="00B96A78">
              <w:rPr>
                <w:rFonts w:ascii="Arial Narrow" w:hAnsi="Arial Narrow" w:cstheme="minorHAnsi" w:hint="eastAsia"/>
                <w:color w:val="000000"/>
                <w:spacing w:val="-15"/>
                <w:w w:val="15"/>
                <w:sz w:val="20"/>
                <w:szCs w:val="20"/>
                <w:shd w:val="solid" w:color="000000" w:fill="000000"/>
                <w:fitText w:val="50" w:id="-1301052155"/>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2</w:t>
            </w:r>
          </w:p>
        </w:tc>
        <w:tc>
          <w:tcPr>
            <w:tcW w:w="685" w:type="pct"/>
            <w:shd w:val="clear" w:color="auto" w:fill="auto"/>
            <w:vAlign w:val="center"/>
          </w:tcPr>
          <w:p w14:paraId="123C93B2" w14:textId="76119A9A"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5"/>
                <w:sz w:val="20"/>
                <w:szCs w:val="20"/>
                <w:shd w:val="solid" w:color="000000" w:fill="000000"/>
                <w:fitText w:val="70" w:id="-1301052154"/>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70" w:id="-1301052154"/>
                <w14:textFill>
                  <w14:solidFill>
                    <w14:srgbClr w14:val="000000">
                      <w14:alpha w14:val="100000"/>
                    </w14:srgbClr>
                  </w14:solidFill>
                </w14:textFill>
              </w:rPr>
              <w:t>|</w:t>
            </w:r>
            <w:r w:rsidRPr="00B96A78">
              <w:rPr>
                <w:rFonts w:ascii="Arial Narrow" w:hAnsi="Arial Narrow" w:cstheme="minorHAnsi" w:hint="eastAsia"/>
                <w:color w:val="000000"/>
                <w:spacing w:val="4"/>
                <w:w w:val="15"/>
                <w:sz w:val="20"/>
                <w:szCs w:val="20"/>
                <w:shd w:val="solid" w:color="000000" w:fill="000000"/>
                <w:fitText w:val="70" w:id="-1301052154"/>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2</w:t>
            </w:r>
          </w:p>
        </w:tc>
        <w:tc>
          <w:tcPr>
            <w:tcW w:w="693" w:type="pct"/>
            <w:shd w:val="clear" w:color="auto" w:fill="auto"/>
            <w:vAlign w:val="center"/>
          </w:tcPr>
          <w:p w14:paraId="38FAD6A7" w14:textId="335DE4FC"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5"/>
                <w:sz w:val="20"/>
                <w:szCs w:val="20"/>
                <w:shd w:val="solid" w:color="000000" w:fill="000000"/>
                <w:fitText w:val="60" w:id="-1301052153"/>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60" w:id="-1301052153"/>
                <w14:textFill>
                  <w14:solidFill>
                    <w14:srgbClr w14:val="000000">
                      <w14:alpha w14:val="100000"/>
                    </w14:srgbClr>
                  </w14:solidFill>
                </w14:textFill>
              </w:rPr>
              <w:t>|</w:t>
            </w:r>
            <w:r w:rsidRPr="00B96A78">
              <w:rPr>
                <w:rFonts w:ascii="Arial Narrow" w:hAnsi="Arial Narrow" w:cstheme="minorHAnsi" w:hint="eastAsia"/>
                <w:color w:val="000000"/>
                <w:spacing w:val="-5"/>
                <w:w w:val="15"/>
                <w:sz w:val="20"/>
                <w:szCs w:val="20"/>
                <w:shd w:val="solid" w:color="000000" w:fill="000000"/>
                <w:fitText w:val="60" w:id="-1301052153"/>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2</w:t>
            </w:r>
          </w:p>
        </w:tc>
      </w:tr>
      <w:tr w:rsidR="00181366" w:rsidRPr="00EC7978" w14:paraId="531547D0" w14:textId="77777777" w:rsidTr="00716D0B">
        <w:trPr>
          <w:jc w:val="center"/>
        </w:trPr>
        <w:tc>
          <w:tcPr>
            <w:tcW w:w="858" w:type="pct"/>
            <w:shd w:val="clear" w:color="auto" w:fill="auto"/>
            <w:vAlign w:val="center"/>
          </w:tcPr>
          <w:p w14:paraId="2A8C1B82" w14:textId="77777777" w:rsidR="00181366" w:rsidRPr="00EC7978" w:rsidRDefault="00181366" w:rsidP="00C35ABF">
            <w:pPr>
              <w:keepNext/>
              <w:spacing w:line="276" w:lineRule="auto"/>
              <w:rPr>
                <w:rFonts w:ascii="Arial Narrow" w:hAnsi="Arial Narrow" w:cstheme="minorHAnsi"/>
                <w:bCs/>
                <w:sz w:val="20"/>
                <w:szCs w:val="20"/>
              </w:rPr>
            </w:pPr>
            <w:r w:rsidRPr="00EC7978">
              <w:rPr>
                <w:rFonts w:ascii="Arial Narrow" w:hAnsi="Arial Narrow" w:cstheme="minorHAnsi"/>
                <w:bCs/>
                <w:sz w:val="20"/>
                <w:szCs w:val="20"/>
              </w:rPr>
              <w:t>Asciminib T315I</w:t>
            </w:r>
          </w:p>
        </w:tc>
        <w:tc>
          <w:tcPr>
            <w:tcW w:w="706" w:type="pct"/>
            <w:shd w:val="clear" w:color="auto" w:fill="auto"/>
            <w:vAlign w:val="center"/>
          </w:tcPr>
          <w:p w14:paraId="5C081946" w14:textId="1C122E63"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bCs/>
                <w:color w:val="000000"/>
                <w:w w:val="15"/>
                <w:sz w:val="20"/>
                <w:szCs w:val="20"/>
                <w:shd w:val="solid" w:color="000000" w:fill="000000"/>
                <w:fitText w:val="50" w:id="-1301052152"/>
                <w14:textFill>
                  <w14:solidFill>
                    <w14:srgbClr w14:val="000000">
                      <w14:alpha w14:val="100000"/>
                    </w14:srgbClr>
                  </w14:solidFill>
                </w14:textFill>
              </w:rPr>
              <w:t xml:space="preserve">　</w:t>
            </w:r>
            <w:r w:rsidRPr="00B96A78">
              <w:rPr>
                <w:rFonts w:ascii="Arial Narrow" w:hAnsi="Arial Narrow" w:cstheme="minorHAnsi"/>
                <w:bCs/>
                <w:color w:val="000000"/>
                <w:w w:val="15"/>
                <w:sz w:val="20"/>
                <w:szCs w:val="20"/>
                <w:shd w:val="solid" w:color="000000" w:fill="000000"/>
                <w:fitText w:val="50" w:id="-1301052152"/>
                <w14:textFill>
                  <w14:solidFill>
                    <w14:srgbClr w14:val="000000">
                      <w14:alpha w14:val="100000"/>
                    </w14:srgbClr>
                  </w14:solidFill>
                </w14:textFill>
              </w:rPr>
              <w:t>|</w:t>
            </w:r>
            <w:r w:rsidRPr="00B96A78">
              <w:rPr>
                <w:rFonts w:ascii="Arial Narrow" w:hAnsi="Arial Narrow" w:cstheme="minorHAnsi" w:hint="eastAsia"/>
                <w:bCs/>
                <w:color w:val="000000"/>
                <w:spacing w:val="-15"/>
                <w:w w:val="15"/>
                <w:sz w:val="20"/>
                <w:szCs w:val="20"/>
                <w:shd w:val="solid" w:color="000000" w:fill="000000"/>
                <w:fitText w:val="50" w:id="-1301052152"/>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2</w:t>
            </w:r>
          </w:p>
        </w:tc>
        <w:tc>
          <w:tcPr>
            <w:tcW w:w="687" w:type="pct"/>
            <w:shd w:val="clear" w:color="auto" w:fill="auto"/>
            <w:vAlign w:val="center"/>
          </w:tcPr>
          <w:p w14:paraId="3DBE8479" w14:textId="4428FDAE"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bCs/>
                <w:color w:val="000000"/>
                <w:w w:val="15"/>
                <w:sz w:val="20"/>
                <w:szCs w:val="20"/>
                <w:shd w:val="solid" w:color="000000" w:fill="000000"/>
                <w:fitText w:val="50" w:id="-1301052151"/>
                <w14:textFill>
                  <w14:solidFill>
                    <w14:srgbClr w14:val="000000">
                      <w14:alpha w14:val="100000"/>
                    </w14:srgbClr>
                  </w14:solidFill>
                </w14:textFill>
              </w:rPr>
              <w:t xml:space="preserve">　</w:t>
            </w:r>
            <w:r w:rsidRPr="00B96A78">
              <w:rPr>
                <w:rFonts w:ascii="Arial Narrow" w:hAnsi="Arial Narrow" w:cstheme="minorHAnsi"/>
                <w:bCs/>
                <w:color w:val="000000"/>
                <w:w w:val="15"/>
                <w:sz w:val="20"/>
                <w:szCs w:val="20"/>
                <w:shd w:val="solid" w:color="000000" w:fill="000000"/>
                <w:fitText w:val="50" w:id="-1301052151"/>
                <w14:textFill>
                  <w14:solidFill>
                    <w14:srgbClr w14:val="000000">
                      <w14:alpha w14:val="100000"/>
                    </w14:srgbClr>
                  </w14:solidFill>
                </w14:textFill>
              </w:rPr>
              <w:t>|</w:t>
            </w:r>
            <w:r w:rsidRPr="00B96A78">
              <w:rPr>
                <w:rFonts w:ascii="Arial Narrow" w:hAnsi="Arial Narrow" w:cstheme="minorHAnsi" w:hint="eastAsia"/>
                <w:bCs/>
                <w:color w:val="000000"/>
                <w:spacing w:val="-15"/>
                <w:w w:val="15"/>
                <w:sz w:val="20"/>
                <w:szCs w:val="20"/>
                <w:shd w:val="solid" w:color="000000" w:fill="000000"/>
                <w:fitText w:val="50" w:id="-1301052151"/>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2</w:t>
            </w:r>
          </w:p>
        </w:tc>
        <w:tc>
          <w:tcPr>
            <w:tcW w:w="685" w:type="pct"/>
            <w:shd w:val="clear" w:color="auto" w:fill="auto"/>
            <w:vAlign w:val="center"/>
          </w:tcPr>
          <w:p w14:paraId="50ECDAF7" w14:textId="3926B464"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bCs/>
                <w:color w:val="000000"/>
                <w:w w:val="15"/>
                <w:sz w:val="20"/>
                <w:szCs w:val="20"/>
                <w:shd w:val="solid" w:color="000000" w:fill="000000"/>
                <w:fitText w:val="70" w:id="-1301051904"/>
                <w14:textFill>
                  <w14:solidFill>
                    <w14:srgbClr w14:val="000000">
                      <w14:alpha w14:val="100000"/>
                    </w14:srgbClr>
                  </w14:solidFill>
                </w14:textFill>
              </w:rPr>
              <w:t xml:space="preserve">　</w:t>
            </w:r>
            <w:r w:rsidRPr="00B96A78">
              <w:rPr>
                <w:rFonts w:ascii="Arial Narrow" w:hAnsi="Arial Narrow" w:cstheme="minorHAnsi"/>
                <w:bCs/>
                <w:color w:val="000000"/>
                <w:w w:val="15"/>
                <w:sz w:val="20"/>
                <w:szCs w:val="20"/>
                <w:shd w:val="solid" w:color="000000" w:fill="000000"/>
                <w:fitText w:val="70" w:id="-1301051904"/>
                <w14:textFill>
                  <w14:solidFill>
                    <w14:srgbClr w14:val="000000">
                      <w14:alpha w14:val="100000"/>
                    </w14:srgbClr>
                  </w14:solidFill>
                </w14:textFill>
              </w:rPr>
              <w:t>|</w:t>
            </w:r>
            <w:r w:rsidRPr="00B96A78">
              <w:rPr>
                <w:rFonts w:ascii="Arial Narrow" w:hAnsi="Arial Narrow" w:cstheme="minorHAnsi" w:hint="eastAsia"/>
                <w:bCs/>
                <w:color w:val="000000"/>
                <w:spacing w:val="4"/>
                <w:w w:val="15"/>
                <w:sz w:val="20"/>
                <w:szCs w:val="20"/>
                <w:shd w:val="solid" w:color="000000" w:fill="000000"/>
                <w:fitText w:val="70" w:id="-1301051904"/>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2</w:t>
            </w:r>
          </w:p>
        </w:tc>
        <w:tc>
          <w:tcPr>
            <w:tcW w:w="687" w:type="pct"/>
            <w:shd w:val="clear" w:color="auto" w:fill="auto"/>
            <w:vAlign w:val="center"/>
          </w:tcPr>
          <w:p w14:paraId="29991ABC" w14:textId="6499643D"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bCs/>
                <w:color w:val="000000"/>
                <w:w w:val="15"/>
                <w:sz w:val="20"/>
                <w:szCs w:val="20"/>
                <w:shd w:val="solid" w:color="000000" w:fill="000000"/>
                <w:fitText w:val="50" w:id="-1301051903"/>
                <w14:textFill>
                  <w14:solidFill>
                    <w14:srgbClr w14:val="000000">
                      <w14:alpha w14:val="100000"/>
                    </w14:srgbClr>
                  </w14:solidFill>
                </w14:textFill>
              </w:rPr>
              <w:t xml:space="preserve">　</w:t>
            </w:r>
            <w:r w:rsidRPr="00B96A78">
              <w:rPr>
                <w:rFonts w:ascii="Arial Narrow" w:hAnsi="Arial Narrow" w:cstheme="minorHAnsi"/>
                <w:bCs/>
                <w:color w:val="000000"/>
                <w:w w:val="15"/>
                <w:sz w:val="20"/>
                <w:szCs w:val="20"/>
                <w:shd w:val="solid" w:color="000000" w:fill="000000"/>
                <w:fitText w:val="50" w:id="-1301051903"/>
                <w14:textFill>
                  <w14:solidFill>
                    <w14:srgbClr w14:val="000000">
                      <w14:alpha w14:val="100000"/>
                    </w14:srgbClr>
                  </w14:solidFill>
                </w14:textFill>
              </w:rPr>
              <w:t>|</w:t>
            </w:r>
            <w:r w:rsidRPr="00B96A78">
              <w:rPr>
                <w:rFonts w:ascii="Arial Narrow" w:hAnsi="Arial Narrow" w:cstheme="minorHAnsi" w:hint="eastAsia"/>
                <w:bCs/>
                <w:color w:val="000000"/>
                <w:spacing w:val="-15"/>
                <w:w w:val="15"/>
                <w:sz w:val="20"/>
                <w:szCs w:val="20"/>
                <w:shd w:val="solid" w:color="000000" w:fill="000000"/>
                <w:fitText w:val="50" w:id="-1301051903"/>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2</w:t>
            </w:r>
          </w:p>
        </w:tc>
        <w:tc>
          <w:tcPr>
            <w:tcW w:w="685" w:type="pct"/>
            <w:shd w:val="clear" w:color="auto" w:fill="auto"/>
            <w:vAlign w:val="center"/>
          </w:tcPr>
          <w:p w14:paraId="71A37270" w14:textId="1A95B226"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bCs/>
                <w:color w:val="000000"/>
                <w:w w:val="15"/>
                <w:sz w:val="20"/>
                <w:szCs w:val="20"/>
                <w:shd w:val="solid" w:color="000000" w:fill="000000"/>
                <w:fitText w:val="70" w:id="-1301051902"/>
                <w14:textFill>
                  <w14:solidFill>
                    <w14:srgbClr w14:val="000000">
                      <w14:alpha w14:val="100000"/>
                    </w14:srgbClr>
                  </w14:solidFill>
                </w14:textFill>
              </w:rPr>
              <w:t xml:space="preserve">　</w:t>
            </w:r>
            <w:r w:rsidRPr="00B96A78">
              <w:rPr>
                <w:rFonts w:ascii="Arial Narrow" w:hAnsi="Arial Narrow" w:cstheme="minorHAnsi"/>
                <w:bCs/>
                <w:color w:val="000000"/>
                <w:w w:val="15"/>
                <w:sz w:val="20"/>
                <w:szCs w:val="20"/>
                <w:shd w:val="solid" w:color="000000" w:fill="000000"/>
                <w:fitText w:val="70" w:id="-1301051902"/>
                <w14:textFill>
                  <w14:solidFill>
                    <w14:srgbClr w14:val="000000">
                      <w14:alpha w14:val="100000"/>
                    </w14:srgbClr>
                  </w14:solidFill>
                </w14:textFill>
              </w:rPr>
              <w:t>|</w:t>
            </w:r>
            <w:r w:rsidRPr="00B96A78">
              <w:rPr>
                <w:rFonts w:ascii="Arial Narrow" w:hAnsi="Arial Narrow" w:cstheme="minorHAnsi" w:hint="eastAsia"/>
                <w:bCs/>
                <w:color w:val="000000"/>
                <w:spacing w:val="4"/>
                <w:w w:val="15"/>
                <w:sz w:val="20"/>
                <w:szCs w:val="20"/>
                <w:shd w:val="solid" w:color="000000" w:fill="000000"/>
                <w:fitText w:val="70" w:id="-1301051902"/>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2</w:t>
            </w:r>
          </w:p>
        </w:tc>
        <w:tc>
          <w:tcPr>
            <w:tcW w:w="693" w:type="pct"/>
            <w:shd w:val="clear" w:color="auto" w:fill="auto"/>
            <w:vAlign w:val="center"/>
          </w:tcPr>
          <w:p w14:paraId="266A3238" w14:textId="4A7BDDB3"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bCs/>
                <w:color w:val="000000"/>
                <w:w w:val="15"/>
                <w:sz w:val="20"/>
                <w:szCs w:val="20"/>
                <w:shd w:val="solid" w:color="000000" w:fill="000000"/>
                <w:fitText w:val="60" w:id="-1301051901"/>
                <w14:textFill>
                  <w14:solidFill>
                    <w14:srgbClr w14:val="000000">
                      <w14:alpha w14:val="100000"/>
                    </w14:srgbClr>
                  </w14:solidFill>
                </w14:textFill>
              </w:rPr>
              <w:t xml:space="preserve">　</w:t>
            </w:r>
            <w:r w:rsidRPr="00B96A78">
              <w:rPr>
                <w:rFonts w:ascii="Arial Narrow" w:hAnsi="Arial Narrow" w:cstheme="minorHAnsi"/>
                <w:bCs/>
                <w:color w:val="000000"/>
                <w:w w:val="15"/>
                <w:sz w:val="20"/>
                <w:szCs w:val="20"/>
                <w:shd w:val="solid" w:color="000000" w:fill="000000"/>
                <w:fitText w:val="60" w:id="-1301051901"/>
                <w14:textFill>
                  <w14:solidFill>
                    <w14:srgbClr w14:val="000000">
                      <w14:alpha w14:val="100000"/>
                    </w14:srgbClr>
                  </w14:solidFill>
                </w14:textFill>
              </w:rPr>
              <w:t>|</w:t>
            </w:r>
            <w:r w:rsidRPr="00B96A78">
              <w:rPr>
                <w:rFonts w:ascii="Arial Narrow" w:hAnsi="Arial Narrow" w:cstheme="minorHAnsi" w:hint="eastAsia"/>
                <w:bCs/>
                <w:color w:val="000000"/>
                <w:spacing w:val="-5"/>
                <w:w w:val="15"/>
                <w:sz w:val="20"/>
                <w:szCs w:val="20"/>
                <w:shd w:val="solid" w:color="000000" w:fill="000000"/>
                <w:fitText w:val="60" w:id="-1301051901"/>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2</w:t>
            </w:r>
          </w:p>
        </w:tc>
      </w:tr>
      <w:tr w:rsidR="00181366" w:rsidRPr="00EC7978" w14:paraId="5A034F18" w14:textId="77777777" w:rsidTr="00716D0B">
        <w:trPr>
          <w:jc w:val="center"/>
        </w:trPr>
        <w:tc>
          <w:tcPr>
            <w:tcW w:w="858" w:type="pct"/>
            <w:shd w:val="clear" w:color="auto" w:fill="auto"/>
            <w:vAlign w:val="center"/>
          </w:tcPr>
          <w:p w14:paraId="7270DC9D" w14:textId="77777777" w:rsidR="00181366" w:rsidRPr="00EC7978" w:rsidRDefault="00181366" w:rsidP="00C35ABF">
            <w:pPr>
              <w:keepNext/>
              <w:spacing w:line="276" w:lineRule="auto"/>
              <w:rPr>
                <w:rFonts w:ascii="Arial Narrow" w:hAnsi="Arial Narrow" w:cstheme="minorHAnsi"/>
                <w:bCs/>
                <w:sz w:val="20"/>
                <w:szCs w:val="20"/>
              </w:rPr>
            </w:pPr>
            <w:r w:rsidRPr="00EC7978">
              <w:rPr>
                <w:rFonts w:ascii="Arial Narrow" w:hAnsi="Arial Narrow" w:cstheme="minorHAnsi"/>
                <w:bCs/>
                <w:sz w:val="20"/>
                <w:szCs w:val="20"/>
              </w:rPr>
              <w:t>Total asciminib</w:t>
            </w:r>
            <w:r>
              <w:rPr>
                <w:rFonts w:ascii="Arial Narrow" w:hAnsi="Arial Narrow" w:cstheme="minorHAnsi"/>
                <w:bCs/>
                <w:sz w:val="20"/>
                <w:szCs w:val="20"/>
              </w:rPr>
              <w:t xml:space="preserve"> pts</w:t>
            </w:r>
          </w:p>
        </w:tc>
        <w:tc>
          <w:tcPr>
            <w:tcW w:w="706" w:type="pct"/>
            <w:shd w:val="clear" w:color="auto" w:fill="auto"/>
            <w:vAlign w:val="center"/>
          </w:tcPr>
          <w:p w14:paraId="6ECC5C02" w14:textId="523E3D20"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5"/>
                <w:sz w:val="20"/>
                <w:szCs w:val="20"/>
                <w:shd w:val="solid" w:color="000000" w:fill="000000"/>
                <w:fitText w:val="70" w:id="-1301051900"/>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70" w:id="-1301051900"/>
                <w14:textFill>
                  <w14:solidFill>
                    <w14:srgbClr w14:val="000000">
                      <w14:alpha w14:val="100000"/>
                    </w14:srgbClr>
                  </w14:solidFill>
                </w14:textFill>
              </w:rPr>
              <w:t>|</w:t>
            </w:r>
            <w:r w:rsidRPr="00B96A78">
              <w:rPr>
                <w:rFonts w:ascii="Arial Narrow" w:hAnsi="Arial Narrow" w:cstheme="minorHAnsi" w:hint="eastAsia"/>
                <w:color w:val="000000"/>
                <w:spacing w:val="4"/>
                <w:w w:val="15"/>
                <w:sz w:val="20"/>
                <w:szCs w:val="20"/>
                <w:shd w:val="solid" w:color="000000" w:fill="000000"/>
                <w:fitText w:val="70" w:id="-1301051900"/>
                <w14:textFill>
                  <w14:solidFill>
                    <w14:srgbClr w14:val="000000">
                      <w14:alpha w14:val="100000"/>
                    </w14:srgbClr>
                  </w14:solidFill>
                </w14:textFill>
              </w:rPr>
              <w:t xml:space="preserve">　</w:t>
            </w:r>
            <w:r w:rsidRPr="00B96A78">
              <w:rPr>
                <w:rFonts w:ascii="Arial Narrow" w:hAnsi="Arial Narrow" w:cstheme="minorHAnsi"/>
                <w:color w:val="000000"/>
                <w:sz w:val="20"/>
                <w:szCs w:val="20"/>
              </w:rPr>
              <w:t xml:space="preserve"> </w:t>
            </w:r>
            <w:r w:rsidR="00AC5FB4">
              <w:rPr>
                <w:rFonts w:ascii="Arial Narrow" w:hAnsi="Arial Narrow" w:cstheme="minorHAnsi"/>
                <w:bCs/>
                <w:sz w:val="20"/>
                <w:szCs w:val="20"/>
                <w:vertAlign w:val="superscript"/>
              </w:rPr>
              <w:t>2</w:t>
            </w:r>
          </w:p>
        </w:tc>
        <w:tc>
          <w:tcPr>
            <w:tcW w:w="687" w:type="pct"/>
            <w:shd w:val="clear" w:color="auto" w:fill="auto"/>
            <w:vAlign w:val="center"/>
          </w:tcPr>
          <w:p w14:paraId="30F2A500" w14:textId="3955D204"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20"/>
                <w:sz w:val="20"/>
                <w:szCs w:val="20"/>
                <w:shd w:val="solid" w:color="000000" w:fill="000000"/>
                <w:fitText w:val="90" w:id="-1301051899"/>
                <w14:textFill>
                  <w14:solidFill>
                    <w14:srgbClr w14:val="000000">
                      <w14:alpha w14:val="100000"/>
                    </w14:srgbClr>
                  </w14:solidFill>
                </w14:textFill>
              </w:rPr>
              <w:t xml:space="preserve">　</w:t>
            </w:r>
            <w:r w:rsidRPr="00B96A78">
              <w:rPr>
                <w:rFonts w:ascii="Arial Narrow" w:hAnsi="Arial Narrow" w:cstheme="minorHAnsi"/>
                <w:color w:val="000000"/>
                <w:w w:val="20"/>
                <w:sz w:val="20"/>
                <w:szCs w:val="20"/>
                <w:shd w:val="solid" w:color="000000" w:fill="000000"/>
                <w:fitText w:val="90" w:id="-1301051899"/>
                <w14:textFill>
                  <w14:solidFill>
                    <w14:srgbClr w14:val="000000">
                      <w14:alpha w14:val="100000"/>
                    </w14:srgbClr>
                  </w14:solidFill>
                </w14:textFill>
              </w:rPr>
              <w:t>|</w:t>
            </w:r>
            <w:r w:rsidRPr="00B96A78">
              <w:rPr>
                <w:rFonts w:ascii="Arial Narrow" w:hAnsi="Arial Narrow" w:cstheme="minorHAnsi" w:hint="eastAsia"/>
                <w:color w:val="000000"/>
                <w:spacing w:val="3"/>
                <w:w w:val="20"/>
                <w:sz w:val="20"/>
                <w:szCs w:val="20"/>
                <w:shd w:val="solid" w:color="000000" w:fill="000000"/>
                <w:fitText w:val="90" w:id="-1301051899"/>
                <w14:textFill>
                  <w14:solidFill>
                    <w14:srgbClr w14:val="000000">
                      <w14:alpha w14:val="100000"/>
                    </w14:srgbClr>
                  </w14:solidFill>
                </w14:textFill>
              </w:rPr>
              <w:t xml:space="preserve">　</w:t>
            </w:r>
            <w:r w:rsidRPr="00B96A78">
              <w:rPr>
                <w:rFonts w:ascii="Arial Narrow" w:hAnsi="Arial Narrow" w:cstheme="minorHAnsi"/>
                <w:color w:val="000000"/>
                <w:sz w:val="20"/>
                <w:szCs w:val="20"/>
              </w:rPr>
              <w:t xml:space="preserve"> </w:t>
            </w:r>
            <w:r w:rsidR="00AC5FB4">
              <w:rPr>
                <w:rFonts w:ascii="Arial Narrow" w:hAnsi="Arial Narrow" w:cstheme="minorHAnsi"/>
                <w:bCs/>
                <w:sz w:val="20"/>
                <w:szCs w:val="20"/>
                <w:vertAlign w:val="superscript"/>
              </w:rPr>
              <w:t>2</w:t>
            </w:r>
          </w:p>
        </w:tc>
        <w:tc>
          <w:tcPr>
            <w:tcW w:w="685" w:type="pct"/>
            <w:shd w:val="clear" w:color="auto" w:fill="auto"/>
            <w:vAlign w:val="center"/>
          </w:tcPr>
          <w:p w14:paraId="67B0B69B" w14:textId="3C76E054"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20"/>
                <w:sz w:val="20"/>
                <w:szCs w:val="20"/>
                <w:shd w:val="solid" w:color="000000" w:fill="000000"/>
                <w:fitText w:val="90" w:id="-1301051898"/>
                <w14:textFill>
                  <w14:solidFill>
                    <w14:srgbClr w14:val="000000">
                      <w14:alpha w14:val="100000"/>
                    </w14:srgbClr>
                  </w14:solidFill>
                </w14:textFill>
              </w:rPr>
              <w:t xml:space="preserve">　</w:t>
            </w:r>
            <w:r w:rsidRPr="00B96A78">
              <w:rPr>
                <w:rFonts w:ascii="Arial Narrow" w:hAnsi="Arial Narrow" w:cstheme="minorHAnsi"/>
                <w:color w:val="000000"/>
                <w:w w:val="20"/>
                <w:sz w:val="20"/>
                <w:szCs w:val="20"/>
                <w:shd w:val="solid" w:color="000000" w:fill="000000"/>
                <w:fitText w:val="90" w:id="-1301051898"/>
                <w14:textFill>
                  <w14:solidFill>
                    <w14:srgbClr w14:val="000000">
                      <w14:alpha w14:val="100000"/>
                    </w14:srgbClr>
                  </w14:solidFill>
                </w14:textFill>
              </w:rPr>
              <w:t>|</w:t>
            </w:r>
            <w:r w:rsidRPr="00B96A78">
              <w:rPr>
                <w:rFonts w:ascii="Arial Narrow" w:hAnsi="Arial Narrow" w:cstheme="minorHAnsi" w:hint="eastAsia"/>
                <w:color w:val="000000"/>
                <w:spacing w:val="3"/>
                <w:w w:val="20"/>
                <w:sz w:val="20"/>
                <w:szCs w:val="20"/>
                <w:shd w:val="solid" w:color="000000" w:fill="000000"/>
                <w:fitText w:val="90" w:id="-1301051898"/>
                <w14:textFill>
                  <w14:solidFill>
                    <w14:srgbClr w14:val="000000">
                      <w14:alpha w14:val="100000"/>
                    </w14:srgbClr>
                  </w14:solidFill>
                </w14:textFill>
              </w:rPr>
              <w:t xml:space="preserve">　</w:t>
            </w:r>
            <w:r w:rsidRPr="00B96A78">
              <w:rPr>
                <w:rFonts w:ascii="Arial Narrow" w:hAnsi="Arial Narrow" w:cstheme="minorHAnsi"/>
                <w:color w:val="000000"/>
                <w:sz w:val="20"/>
                <w:szCs w:val="20"/>
              </w:rPr>
              <w:t xml:space="preserve"> </w:t>
            </w:r>
            <w:r w:rsidR="00AC5FB4">
              <w:rPr>
                <w:rFonts w:ascii="Arial Narrow" w:hAnsi="Arial Narrow" w:cstheme="minorHAnsi"/>
                <w:bCs/>
                <w:sz w:val="20"/>
                <w:szCs w:val="20"/>
                <w:vertAlign w:val="superscript"/>
              </w:rPr>
              <w:t>2</w:t>
            </w:r>
          </w:p>
        </w:tc>
        <w:tc>
          <w:tcPr>
            <w:tcW w:w="687" w:type="pct"/>
            <w:shd w:val="clear" w:color="auto" w:fill="auto"/>
            <w:vAlign w:val="center"/>
          </w:tcPr>
          <w:p w14:paraId="015A4EB3" w14:textId="74C0EF67"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20"/>
                <w:sz w:val="20"/>
                <w:szCs w:val="20"/>
                <w:shd w:val="solid" w:color="000000" w:fill="000000"/>
                <w:fitText w:val="90" w:id="-1301051897"/>
                <w14:textFill>
                  <w14:solidFill>
                    <w14:srgbClr w14:val="000000">
                      <w14:alpha w14:val="100000"/>
                    </w14:srgbClr>
                  </w14:solidFill>
                </w14:textFill>
              </w:rPr>
              <w:t xml:space="preserve">　</w:t>
            </w:r>
            <w:r w:rsidRPr="00B96A78">
              <w:rPr>
                <w:rFonts w:ascii="Arial Narrow" w:hAnsi="Arial Narrow" w:cstheme="minorHAnsi"/>
                <w:color w:val="000000"/>
                <w:w w:val="20"/>
                <w:sz w:val="20"/>
                <w:szCs w:val="20"/>
                <w:shd w:val="solid" w:color="000000" w:fill="000000"/>
                <w:fitText w:val="90" w:id="-1301051897"/>
                <w14:textFill>
                  <w14:solidFill>
                    <w14:srgbClr w14:val="000000">
                      <w14:alpha w14:val="100000"/>
                    </w14:srgbClr>
                  </w14:solidFill>
                </w14:textFill>
              </w:rPr>
              <w:t>|</w:t>
            </w:r>
            <w:r w:rsidRPr="00B96A78">
              <w:rPr>
                <w:rFonts w:ascii="Arial Narrow" w:hAnsi="Arial Narrow" w:cstheme="minorHAnsi" w:hint="eastAsia"/>
                <w:color w:val="000000"/>
                <w:spacing w:val="3"/>
                <w:w w:val="20"/>
                <w:sz w:val="20"/>
                <w:szCs w:val="20"/>
                <w:shd w:val="solid" w:color="000000" w:fill="000000"/>
                <w:fitText w:val="90" w:id="-1301051897"/>
                <w14:textFill>
                  <w14:solidFill>
                    <w14:srgbClr w14:val="000000">
                      <w14:alpha w14:val="100000"/>
                    </w14:srgbClr>
                  </w14:solidFill>
                </w14:textFill>
              </w:rPr>
              <w:t xml:space="preserve">　</w:t>
            </w:r>
            <w:r w:rsidRPr="00B96A78">
              <w:rPr>
                <w:rFonts w:ascii="Arial Narrow" w:hAnsi="Arial Narrow" w:cstheme="minorHAnsi"/>
                <w:color w:val="000000"/>
                <w:sz w:val="20"/>
                <w:szCs w:val="20"/>
              </w:rPr>
              <w:t xml:space="preserve"> </w:t>
            </w:r>
            <w:r w:rsidR="00AC5FB4">
              <w:rPr>
                <w:rFonts w:ascii="Arial Narrow" w:hAnsi="Arial Narrow" w:cstheme="minorHAnsi"/>
                <w:bCs/>
                <w:sz w:val="20"/>
                <w:szCs w:val="20"/>
                <w:vertAlign w:val="superscript"/>
              </w:rPr>
              <w:t>2</w:t>
            </w:r>
          </w:p>
        </w:tc>
        <w:tc>
          <w:tcPr>
            <w:tcW w:w="685" w:type="pct"/>
            <w:shd w:val="clear" w:color="auto" w:fill="auto"/>
            <w:vAlign w:val="center"/>
          </w:tcPr>
          <w:p w14:paraId="0089DC35" w14:textId="3A744687"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20"/>
                <w:sz w:val="20"/>
                <w:szCs w:val="20"/>
                <w:shd w:val="solid" w:color="000000" w:fill="000000"/>
                <w:fitText w:val="90" w:id="-1301051896"/>
                <w14:textFill>
                  <w14:solidFill>
                    <w14:srgbClr w14:val="000000">
                      <w14:alpha w14:val="100000"/>
                    </w14:srgbClr>
                  </w14:solidFill>
                </w14:textFill>
              </w:rPr>
              <w:t xml:space="preserve">　</w:t>
            </w:r>
            <w:r w:rsidRPr="00B96A78">
              <w:rPr>
                <w:rFonts w:ascii="Arial Narrow" w:hAnsi="Arial Narrow" w:cstheme="minorHAnsi"/>
                <w:color w:val="000000"/>
                <w:w w:val="20"/>
                <w:sz w:val="20"/>
                <w:szCs w:val="20"/>
                <w:shd w:val="solid" w:color="000000" w:fill="000000"/>
                <w:fitText w:val="90" w:id="-1301051896"/>
                <w14:textFill>
                  <w14:solidFill>
                    <w14:srgbClr w14:val="000000">
                      <w14:alpha w14:val="100000"/>
                    </w14:srgbClr>
                  </w14:solidFill>
                </w14:textFill>
              </w:rPr>
              <w:t>|</w:t>
            </w:r>
            <w:r w:rsidRPr="00B96A78">
              <w:rPr>
                <w:rFonts w:ascii="Arial Narrow" w:hAnsi="Arial Narrow" w:cstheme="minorHAnsi" w:hint="eastAsia"/>
                <w:color w:val="000000"/>
                <w:spacing w:val="3"/>
                <w:w w:val="20"/>
                <w:sz w:val="20"/>
                <w:szCs w:val="20"/>
                <w:shd w:val="solid" w:color="000000" w:fill="000000"/>
                <w:fitText w:val="90" w:id="-1301051896"/>
                <w14:textFill>
                  <w14:solidFill>
                    <w14:srgbClr w14:val="000000">
                      <w14:alpha w14:val="100000"/>
                    </w14:srgbClr>
                  </w14:solidFill>
                </w14:textFill>
              </w:rPr>
              <w:t xml:space="preserve">　</w:t>
            </w:r>
            <w:r w:rsidRPr="00B96A78">
              <w:rPr>
                <w:rFonts w:ascii="Arial Narrow" w:hAnsi="Arial Narrow" w:cstheme="minorHAnsi"/>
                <w:color w:val="000000"/>
                <w:sz w:val="20"/>
                <w:szCs w:val="20"/>
              </w:rPr>
              <w:t xml:space="preserve"> </w:t>
            </w:r>
            <w:r w:rsidR="00AC5FB4">
              <w:rPr>
                <w:rFonts w:ascii="Arial Narrow" w:hAnsi="Arial Narrow" w:cstheme="minorHAnsi"/>
                <w:bCs/>
                <w:sz w:val="20"/>
                <w:szCs w:val="20"/>
                <w:vertAlign w:val="superscript"/>
              </w:rPr>
              <w:t>2</w:t>
            </w:r>
          </w:p>
        </w:tc>
        <w:tc>
          <w:tcPr>
            <w:tcW w:w="693" w:type="pct"/>
            <w:shd w:val="clear" w:color="auto" w:fill="auto"/>
            <w:vAlign w:val="center"/>
          </w:tcPr>
          <w:p w14:paraId="43D1930E" w14:textId="63995109" w:rsidR="00181366" w:rsidRPr="00716D0B" w:rsidRDefault="00B96A78" w:rsidP="00C35ABF">
            <w:pPr>
              <w:keepNext/>
              <w:spacing w:line="276" w:lineRule="auto"/>
              <w:jc w:val="center"/>
              <w:rPr>
                <w:rFonts w:ascii="Arial Narrow" w:hAnsi="Arial Narrow" w:cstheme="minorHAnsi"/>
                <w:bCs/>
                <w:sz w:val="20"/>
                <w:szCs w:val="20"/>
                <w:highlight w:val="darkGray"/>
              </w:rPr>
            </w:pPr>
            <w:r w:rsidRPr="00B96A78">
              <w:rPr>
                <w:rFonts w:ascii="Arial Narrow" w:hAnsi="Arial Narrow" w:cstheme="minorHAnsi" w:hint="eastAsia"/>
                <w:color w:val="000000"/>
                <w:w w:val="18"/>
                <w:sz w:val="20"/>
                <w:szCs w:val="20"/>
                <w:shd w:val="solid" w:color="000000" w:fill="000000"/>
                <w:fitText w:val="80" w:id="-1301051895"/>
                <w14:textFill>
                  <w14:solidFill>
                    <w14:srgbClr w14:val="000000">
                      <w14:alpha w14:val="100000"/>
                    </w14:srgbClr>
                  </w14:solidFill>
                </w14:textFill>
              </w:rPr>
              <w:t xml:space="preserve">　</w:t>
            </w:r>
            <w:r w:rsidRPr="00B96A78">
              <w:rPr>
                <w:rFonts w:ascii="Arial Narrow" w:hAnsi="Arial Narrow" w:cstheme="minorHAnsi"/>
                <w:color w:val="000000"/>
                <w:w w:val="18"/>
                <w:sz w:val="20"/>
                <w:szCs w:val="20"/>
                <w:shd w:val="solid" w:color="000000" w:fill="000000"/>
                <w:fitText w:val="80" w:id="-1301051895"/>
                <w14:textFill>
                  <w14:solidFill>
                    <w14:srgbClr w14:val="000000">
                      <w14:alpha w14:val="100000"/>
                    </w14:srgbClr>
                  </w14:solidFill>
                </w14:textFill>
              </w:rPr>
              <w:t>|</w:t>
            </w:r>
            <w:r w:rsidRPr="00B96A78">
              <w:rPr>
                <w:rFonts w:ascii="Arial Narrow" w:hAnsi="Arial Narrow" w:cstheme="minorHAnsi" w:hint="eastAsia"/>
                <w:color w:val="000000"/>
                <w:w w:val="18"/>
                <w:sz w:val="20"/>
                <w:szCs w:val="20"/>
                <w:shd w:val="solid" w:color="000000" w:fill="000000"/>
                <w:fitText w:val="80" w:id="-1301051895"/>
                <w14:textFill>
                  <w14:solidFill>
                    <w14:srgbClr w14:val="000000">
                      <w14:alpha w14:val="100000"/>
                    </w14:srgbClr>
                  </w14:solidFill>
                </w14:textFill>
              </w:rPr>
              <w:t xml:space="preserve">　</w:t>
            </w:r>
            <w:r w:rsidRPr="00B96A78">
              <w:rPr>
                <w:rFonts w:ascii="Arial Narrow" w:hAnsi="Arial Narrow" w:cstheme="minorHAnsi"/>
                <w:color w:val="000000"/>
                <w:sz w:val="20"/>
                <w:szCs w:val="20"/>
              </w:rPr>
              <w:t xml:space="preserve"> </w:t>
            </w:r>
            <w:r w:rsidR="00AC5FB4">
              <w:rPr>
                <w:rFonts w:ascii="Arial Narrow" w:hAnsi="Arial Narrow" w:cstheme="minorHAnsi"/>
                <w:bCs/>
                <w:sz w:val="20"/>
                <w:szCs w:val="20"/>
                <w:vertAlign w:val="superscript"/>
              </w:rPr>
              <w:t>2</w:t>
            </w:r>
          </w:p>
        </w:tc>
      </w:tr>
      <w:tr w:rsidR="00181366" w:rsidRPr="00EC7978" w14:paraId="727D5364" w14:textId="77777777" w:rsidTr="00716D0B">
        <w:trPr>
          <w:jc w:val="center"/>
        </w:trPr>
        <w:tc>
          <w:tcPr>
            <w:tcW w:w="5000" w:type="pct"/>
            <w:gridSpan w:val="7"/>
            <w:shd w:val="clear" w:color="auto" w:fill="F2F2F2" w:themeFill="background1" w:themeFillShade="F2"/>
            <w:vAlign w:val="center"/>
          </w:tcPr>
          <w:p w14:paraId="4BFE367E" w14:textId="77777777" w:rsidR="00181366" w:rsidRPr="00EC7978" w:rsidRDefault="00181366" w:rsidP="00C35ABF">
            <w:pPr>
              <w:keepNext/>
              <w:spacing w:line="276" w:lineRule="auto"/>
              <w:jc w:val="left"/>
              <w:rPr>
                <w:rFonts w:ascii="Arial Narrow" w:hAnsi="Arial Narrow" w:cstheme="minorHAnsi"/>
                <w:b/>
                <w:sz w:val="20"/>
                <w:szCs w:val="20"/>
              </w:rPr>
            </w:pPr>
            <w:r w:rsidRPr="00EC7978">
              <w:rPr>
                <w:rFonts w:ascii="Arial Narrow" w:hAnsi="Arial Narrow" w:cstheme="minorHAnsi"/>
                <w:b/>
                <w:sz w:val="20"/>
                <w:szCs w:val="20"/>
              </w:rPr>
              <w:t>Financial implications</w:t>
            </w:r>
          </w:p>
        </w:tc>
      </w:tr>
      <w:tr w:rsidR="00181366" w:rsidRPr="00EC7978" w14:paraId="7F4985D5" w14:textId="77777777" w:rsidTr="00716D0B">
        <w:trPr>
          <w:jc w:val="center"/>
        </w:trPr>
        <w:tc>
          <w:tcPr>
            <w:tcW w:w="858" w:type="pct"/>
            <w:vAlign w:val="center"/>
          </w:tcPr>
          <w:p w14:paraId="4CF51871" w14:textId="77777777" w:rsidR="00181366" w:rsidRPr="0015717E" w:rsidRDefault="00181366" w:rsidP="00C35ABF">
            <w:pPr>
              <w:keepNext/>
              <w:spacing w:line="276" w:lineRule="auto"/>
              <w:jc w:val="left"/>
              <w:rPr>
                <w:rFonts w:ascii="Arial Narrow" w:hAnsi="Arial Narrow" w:cstheme="minorHAnsi"/>
                <w:sz w:val="20"/>
                <w:szCs w:val="20"/>
              </w:rPr>
            </w:pPr>
            <w:r w:rsidRPr="0015717E">
              <w:rPr>
                <w:rFonts w:ascii="Arial Narrow" w:hAnsi="Arial Narrow" w:cstheme="minorHAnsi"/>
                <w:sz w:val="20"/>
                <w:szCs w:val="20"/>
              </w:rPr>
              <w:t>R/PBS Asciminib</w:t>
            </w:r>
          </w:p>
        </w:tc>
        <w:tc>
          <w:tcPr>
            <w:tcW w:w="706" w:type="pct"/>
            <w:shd w:val="clear" w:color="auto" w:fill="auto"/>
          </w:tcPr>
          <w:p w14:paraId="71B77D4A" w14:textId="2153C9EA" w:rsidR="00181366" w:rsidRPr="00716D0B" w:rsidRDefault="00B96A78" w:rsidP="00C35ABF">
            <w:pPr>
              <w:keepNext/>
              <w:spacing w:line="276" w:lineRule="auto"/>
              <w:jc w:val="center"/>
              <w:rPr>
                <w:rFonts w:ascii="Arial Narrow" w:hAnsi="Arial Narrow" w:cs="Calibri"/>
                <w:color w:val="000000"/>
                <w:sz w:val="20"/>
                <w:szCs w:val="20"/>
                <w:highlight w:val="darkGray"/>
              </w:rPr>
            </w:pPr>
            <w:r w:rsidRPr="00B96A78">
              <w:rPr>
                <w:rFonts w:ascii="Arial Narrow" w:hAnsi="Arial Narrow" w:hint="eastAsia"/>
                <w:color w:val="000000"/>
                <w:w w:val="15"/>
                <w:sz w:val="20"/>
                <w:szCs w:val="20"/>
                <w:shd w:val="solid" w:color="000000" w:fill="000000"/>
                <w:fitText w:val="50" w:id="-1301051894"/>
                <w14:textFill>
                  <w14:solidFill>
                    <w14:srgbClr w14:val="000000">
                      <w14:alpha w14:val="100000"/>
                    </w14:srgbClr>
                  </w14:solidFill>
                </w14:textFill>
              </w:rPr>
              <w:t xml:space="preserve">　</w:t>
            </w:r>
            <w:r w:rsidRPr="00B96A78">
              <w:rPr>
                <w:rFonts w:ascii="Arial Narrow" w:hAnsi="Arial Narrow"/>
                <w:color w:val="000000"/>
                <w:w w:val="15"/>
                <w:sz w:val="20"/>
                <w:szCs w:val="20"/>
                <w:shd w:val="solid" w:color="000000" w:fill="000000"/>
                <w:fitText w:val="50" w:id="-1301051894"/>
                <w14:textFill>
                  <w14:solidFill>
                    <w14:srgbClr w14:val="000000">
                      <w14:alpha w14:val="100000"/>
                    </w14:srgbClr>
                  </w14:solidFill>
                </w14:textFill>
              </w:rPr>
              <w:t>|</w:t>
            </w:r>
            <w:r w:rsidRPr="00B96A78">
              <w:rPr>
                <w:rFonts w:ascii="Arial Narrow" w:hAnsi="Arial Narrow" w:hint="eastAsia"/>
                <w:color w:val="000000"/>
                <w:spacing w:val="-15"/>
                <w:w w:val="15"/>
                <w:sz w:val="20"/>
                <w:szCs w:val="20"/>
                <w:shd w:val="solid" w:color="000000" w:fill="000000"/>
                <w:fitText w:val="50" w:id="-1301051894"/>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87" w:type="pct"/>
            <w:shd w:val="clear" w:color="auto" w:fill="auto"/>
          </w:tcPr>
          <w:p w14:paraId="274E82B6" w14:textId="0D10F1D3" w:rsidR="00181366" w:rsidRPr="00716D0B" w:rsidRDefault="00B96A78" w:rsidP="00C35ABF">
            <w:pPr>
              <w:keepNext/>
              <w:spacing w:line="276" w:lineRule="auto"/>
              <w:jc w:val="center"/>
              <w:rPr>
                <w:rFonts w:ascii="Arial Narrow" w:hAnsi="Arial Narrow" w:cs="Calibri"/>
                <w:color w:val="000000"/>
                <w:sz w:val="20"/>
                <w:szCs w:val="20"/>
                <w:highlight w:val="darkGray"/>
              </w:rPr>
            </w:pPr>
            <w:r w:rsidRPr="00B96A78">
              <w:rPr>
                <w:rFonts w:ascii="Arial Narrow" w:hAnsi="Arial Narrow" w:hint="eastAsia"/>
                <w:color w:val="000000"/>
                <w:w w:val="15"/>
                <w:sz w:val="20"/>
                <w:szCs w:val="20"/>
                <w:shd w:val="solid" w:color="000000" w:fill="000000"/>
                <w:fitText w:val="50" w:id="-1301051893"/>
                <w14:textFill>
                  <w14:solidFill>
                    <w14:srgbClr w14:val="000000">
                      <w14:alpha w14:val="100000"/>
                    </w14:srgbClr>
                  </w14:solidFill>
                </w14:textFill>
              </w:rPr>
              <w:t xml:space="preserve">　</w:t>
            </w:r>
            <w:r w:rsidRPr="00B96A78">
              <w:rPr>
                <w:rFonts w:ascii="Arial Narrow" w:hAnsi="Arial Narrow"/>
                <w:color w:val="000000"/>
                <w:w w:val="15"/>
                <w:sz w:val="20"/>
                <w:szCs w:val="20"/>
                <w:shd w:val="solid" w:color="000000" w:fill="000000"/>
                <w:fitText w:val="50" w:id="-1301051893"/>
                <w14:textFill>
                  <w14:solidFill>
                    <w14:srgbClr w14:val="000000">
                      <w14:alpha w14:val="100000"/>
                    </w14:srgbClr>
                  </w14:solidFill>
                </w14:textFill>
              </w:rPr>
              <w:t>|</w:t>
            </w:r>
            <w:r w:rsidRPr="00B96A78">
              <w:rPr>
                <w:rFonts w:ascii="Arial Narrow" w:hAnsi="Arial Narrow" w:hint="eastAsia"/>
                <w:color w:val="000000"/>
                <w:spacing w:val="-15"/>
                <w:w w:val="15"/>
                <w:sz w:val="20"/>
                <w:szCs w:val="20"/>
                <w:shd w:val="solid" w:color="000000" w:fill="000000"/>
                <w:fitText w:val="50" w:id="-1301051893"/>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4</w:t>
            </w:r>
          </w:p>
        </w:tc>
        <w:tc>
          <w:tcPr>
            <w:tcW w:w="685" w:type="pct"/>
            <w:shd w:val="clear" w:color="auto" w:fill="auto"/>
          </w:tcPr>
          <w:p w14:paraId="09F9394B" w14:textId="5A2EE4C6" w:rsidR="00181366" w:rsidRPr="00716D0B" w:rsidRDefault="00B96A78" w:rsidP="00C35ABF">
            <w:pPr>
              <w:keepNext/>
              <w:spacing w:line="276" w:lineRule="auto"/>
              <w:jc w:val="center"/>
              <w:rPr>
                <w:rFonts w:ascii="Arial Narrow" w:hAnsi="Arial Narrow" w:cs="Calibri"/>
                <w:color w:val="000000"/>
                <w:sz w:val="20"/>
                <w:szCs w:val="20"/>
                <w:highlight w:val="darkGray"/>
              </w:rPr>
            </w:pPr>
            <w:r w:rsidRPr="00B96A78">
              <w:rPr>
                <w:rFonts w:ascii="Arial Narrow" w:hAnsi="Arial Narrow" w:hint="eastAsia"/>
                <w:color w:val="000000"/>
                <w:w w:val="15"/>
                <w:sz w:val="20"/>
                <w:szCs w:val="20"/>
                <w:shd w:val="solid" w:color="000000" w:fill="000000"/>
                <w:fitText w:val="70" w:id="-1301051892"/>
                <w14:textFill>
                  <w14:solidFill>
                    <w14:srgbClr w14:val="000000">
                      <w14:alpha w14:val="100000"/>
                    </w14:srgbClr>
                  </w14:solidFill>
                </w14:textFill>
              </w:rPr>
              <w:t xml:space="preserve">　</w:t>
            </w:r>
            <w:r w:rsidRPr="00B96A78">
              <w:rPr>
                <w:rFonts w:ascii="Arial Narrow" w:hAnsi="Arial Narrow"/>
                <w:color w:val="000000"/>
                <w:w w:val="15"/>
                <w:sz w:val="20"/>
                <w:szCs w:val="20"/>
                <w:shd w:val="solid" w:color="000000" w:fill="000000"/>
                <w:fitText w:val="70" w:id="-1301051892"/>
                <w14:textFill>
                  <w14:solidFill>
                    <w14:srgbClr w14:val="000000">
                      <w14:alpha w14:val="100000"/>
                    </w14:srgbClr>
                  </w14:solidFill>
                </w14:textFill>
              </w:rPr>
              <w:t>|</w:t>
            </w:r>
            <w:r w:rsidRPr="00B96A78">
              <w:rPr>
                <w:rFonts w:ascii="Arial Narrow" w:hAnsi="Arial Narrow" w:hint="eastAsia"/>
                <w:color w:val="000000"/>
                <w:spacing w:val="4"/>
                <w:w w:val="15"/>
                <w:sz w:val="20"/>
                <w:szCs w:val="20"/>
                <w:shd w:val="solid" w:color="000000" w:fill="000000"/>
                <w:fitText w:val="70" w:id="-1301051892"/>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4</w:t>
            </w:r>
          </w:p>
        </w:tc>
        <w:tc>
          <w:tcPr>
            <w:tcW w:w="687" w:type="pct"/>
            <w:shd w:val="clear" w:color="auto" w:fill="auto"/>
          </w:tcPr>
          <w:p w14:paraId="39179610" w14:textId="5CDE36CC" w:rsidR="00181366" w:rsidRPr="00716D0B" w:rsidRDefault="00B96A78" w:rsidP="00C35ABF">
            <w:pPr>
              <w:keepNext/>
              <w:spacing w:line="276" w:lineRule="auto"/>
              <w:jc w:val="center"/>
              <w:rPr>
                <w:rFonts w:ascii="Arial Narrow" w:hAnsi="Arial Narrow" w:cs="Calibri"/>
                <w:color w:val="000000"/>
                <w:sz w:val="20"/>
                <w:szCs w:val="20"/>
                <w:highlight w:val="darkGray"/>
              </w:rPr>
            </w:pPr>
            <w:r w:rsidRPr="00B96A78">
              <w:rPr>
                <w:rFonts w:ascii="Arial Narrow" w:hAnsi="Arial Narrow" w:hint="eastAsia"/>
                <w:color w:val="000000"/>
                <w:w w:val="15"/>
                <w:sz w:val="20"/>
                <w:szCs w:val="20"/>
                <w:shd w:val="solid" w:color="000000" w:fill="000000"/>
                <w:fitText w:val="50" w:id="-1301051891"/>
                <w14:textFill>
                  <w14:solidFill>
                    <w14:srgbClr w14:val="000000">
                      <w14:alpha w14:val="100000"/>
                    </w14:srgbClr>
                  </w14:solidFill>
                </w14:textFill>
              </w:rPr>
              <w:t xml:space="preserve">　</w:t>
            </w:r>
            <w:r w:rsidRPr="00B96A78">
              <w:rPr>
                <w:rFonts w:ascii="Arial Narrow" w:hAnsi="Arial Narrow"/>
                <w:color w:val="000000"/>
                <w:w w:val="15"/>
                <w:sz w:val="20"/>
                <w:szCs w:val="20"/>
                <w:shd w:val="solid" w:color="000000" w:fill="000000"/>
                <w:fitText w:val="50" w:id="-1301051891"/>
                <w14:textFill>
                  <w14:solidFill>
                    <w14:srgbClr w14:val="000000">
                      <w14:alpha w14:val="100000"/>
                    </w14:srgbClr>
                  </w14:solidFill>
                </w14:textFill>
              </w:rPr>
              <w:t>|</w:t>
            </w:r>
            <w:r w:rsidRPr="00B96A78">
              <w:rPr>
                <w:rFonts w:ascii="Arial Narrow" w:hAnsi="Arial Narrow" w:hint="eastAsia"/>
                <w:color w:val="000000"/>
                <w:spacing w:val="-15"/>
                <w:w w:val="15"/>
                <w:sz w:val="20"/>
                <w:szCs w:val="20"/>
                <w:shd w:val="solid" w:color="000000" w:fill="000000"/>
                <w:fitText w:val="50" w:id="-1301051891"/>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5</w:t>
            </w:r>
          </w:p>
        </w:tc>
        <w:tc>
          <w:tcPr>
            <w:tcW w:w="685" w:type="pct"/>
            <w:shd w:val="clear" w:color="auto" w:fill="auto"/>
          </w:tcPr>
          <w:p w14:paraId="58E4B6E8" w14:textId="18BFBA1E" w:rsidR="00181366" w:rsidRPr="00716D0B" w:rsidRDefault="00B96A78" w:rsidP="00C35ABF">
            <w:pPr>
              <w:keepNext/>
              <w:spacing w:line="276" w:lineRule="auto"/>
              <w:jc w:val="center"/>
              <w:rPr>
                <w:rFonts w:ascii="Arial Narrow" w:hAnsi="Arial Narrow" w:cs="Calibri"/>
                <w:color w:val="000000"/>
                <w:sz w:val="20"/>
                <w:szCs w:val="20"/>
                <w:highlight w:val="darkGray"/>
              </w:rPr>
            </w:pPr>
            <w:r w:rsidRPr="00B96A78">
              <w:rPr>
                <w:rFonts w:ascii="Arial Narrow" w:hAnsi="Arial Narrow" w:hint="eastAsia"/>
                <w:color w:val="000000"/>
                <w:w w:val="15"/>
                <w:sz w:val="20"/>
                <w:szCs w:val="20"/>
                <w:shd w:val="solid" w:color="000000" w:fill="000000"/>
                <w:fitText w:val="70" w:id="-1301051890"/>
                <w14:textFill>
                  <w14:solidFill>
                    <w14:srgbClr w14:val="000000">
                      <w14:alpha w14:val="100000"/>
                    </w14:srgbClr>
                  </w14:solidFill>
                </w14:textFill>
              </w:rPr>
              <w:t xml:space="preserve">　</w:t>
            </w:r>
            <w:r w:rsidRPr="00B96A78">
              <w:rPr>
                <w:rFonts w:ascii="Arial Narrow" w:hAnsi="Arial Narrow"/>
                <w:color w:val="000000"/>
                <w:w w:val="15"/>
                <w:sz w:val="20"/>
                <w:szCs w:val="20"/>
                <w:shd w:val="solid" w:color="000000" w:fill="000000"/>
                <w:fitText w:val="70" w:id="-1301051890"/>
                <w14:textFill>
                  <w14:solidFill>
                    <w14:srgbClr w14:val="000000">
                      <w14:alpha w14:val="100000"/>
                    </w14:srgbClr>
                  </w14:solidFill>
                </w14:textFill>
              </w:rPr>
              <w:t>|</w:t>
            </w:r>
            <w:r w:rsidRPr="00B96A78">
              <w:rPr>
                <w:rFonts w:ascii="Arial Narrow" w:hAnsi="Arial Narrow" w:hint="eastAsia"/>
                <w:color w:val="000000"/>
                <w:spacing w:val="4"/>
                <w:w w:val="15"/>
                <w:sz w:val="20"/>
                <w:szCs w:val="20"/>
                <w:shd w:val="solid" w:color="000000" w:fill="000000"/>
                <w:fitText w:val="70" w:id="-1301051890"/>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5</w:t>
            </w:r>
          </w:p>
        </w:tc>
        <w:tc>
          <w:tcPr>
            <w:tcW w:w="693" w:type="pct"/>
            <w:shd w:val="clear" w:color="auto" w:fill="auto"/>
          </w:tcPr>
          <w:p w14:paraId="5949CCFA" w14:textId="3D76032D" w:rsidR="00181366" w:rsidRPr="00716D0B" w:rsidRDefault="00B96A78" w:rsidP="00C35ABF">
            <w:pPr>
              <w:keepNext/>
              <w:spacing w:line="276" w:lineRule="auto"/>
              <w:jc w:val="center"/>
              <w:rPr>
                <w:rFonts w:ascii="Arial Narrow" w:hAnsi="Arial Narrow" w:cs="Calibri"/>
                <w:color w:val="000000"/>
                <w:sz w:val="20"/>
                <w:szCs w:val="20"/>
                <w:highlight w:val="darkGray"/>
              </w:rPr>
            </w:pPr>
            <w:r w:rsidRPr="00B96A78">
              <w:rPr>
                <w:rFonts w:ascii="Arial Narrow" w:hAnsi="Arial Narrow" w:hint="eastAsia"/>
                <w:color w:val="000000"/>
                <w:w w:val="15"/>
                <w:sz w:val="20"/>
                <w:szCs w:val="20"/>
                <w:shd w:val="solid" w:color="000000" w:fill="000000"/>
                <w:fitText w:val="60" w:id="-1301051889"/>
                <w14:textFill>
                  <w14:solidFill>
                    <w14:srgbClr w14:val="000000">
                      <w14:alpha w14:val="100000"/>
                    </w14:srgbClr>
                  </w14:solidFill>
                </w14:textFill>
              </w:rPr>
              <w:t xml:space="preserve">　</w:t>
            </w:r>
            <w:r w:rsidRPr="00B96A78">
              <w:rPr>
                <w:rFonts w:ascii="Arial Narrow" w:hAnsi="Arial Narrow"/>
                <w:color w:val="000000"/>
                <w:w w:val="15"/>
                <w:sz w:val="20"/>
                <w:szCs w:val="20"/>
                <w:shd w:val="solid" w:color="000000" w:fill="000000"/>
                <w:fitText w:val="60" w:id="-1301051889"/>
                <w14:textFill>
                  <w14:solidFill>
                    <w14:srgbClr w14:val="000000">
                      <w14:alpha w14:val="100000"/>
                    </w14:srgbClr>
                  </w14:solidFill>
                </w14:textFill>
              </w:rPr>
              <w:t>|</w:t>
            </w:r>
            <w:r w:rsidRPr="00B96A78">
              <w:rPr>
                <w:rFonts w:ascii="Arial Narrow" w:hAnsi="Arial Narrow" w:hint="eastAsia"/>
                <w:color w:val="000000"/>
                <w:spacing w:val="-5"/>
                <w:w w:val="15"/>
                <w:sz w:val="20"/>
                <w:szCs w:val="20"/>
                <w:shd w:val="solid" w:color="000000" w:fill="000000"/>
                <w:fitText w:val="60" w:id="-1301051889"/>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5</w:t>
            </w:r>
          </w:p>
        </w:tc>
      </w:tr>
      <w:tr w:rsidR="00181366" w:rsidRPr="00EC7978" w14:paraId="200B1F5E" w14:textId="77777777" w:rsidTr="00716D0B">
        <w:trPr>
          <w:jc w:val="center"/>
        </w:trPr>
        <w:tc>
          <w:tcPr>
            <w:tcW w:w="858" w:type="pct"/>
            <w:vAlign w:val="center"/>
          </w:tcPr>
          <w:p w14:paraId="42A0359D" w14:textId="77777777" w:rsidR="00181366" w:rsidRPr="0015717E" w:rsidRDefault="00181366" w:rsidP="00C35ABF">
            <w:pPr>
              <w:keepNext/>
              <w:spacing w:line="276" w:lineRule="auto"/>
              <w:jc w:val="left"/>
              <w:rPr>
                <w:rFonts w:ascii="Arial Narrow" w:hAnsi="Arial Narrow" w:cstheme="minorHAnsi"/>
                <w:sz w:val="20"/>
                <w:szCs w:val="20"/>
              </w:rPr>
            </w:pPr>
            <w:r w:rsidRPr="0015717E">
              <w:rPr>
                <w:rFonts w:ascii="Arial Narrow" w:hAnsi="Arial Narrow" w:cstheme="minorHAnsi"/>
                <w:sz w:val="20"/>
                <w:szCs w:val="20"/>
              </w:rPr>
              <w:t>R/PBS TKIs</w:t>
            </w:r>
          </w:p>
        </w:tc>
        <w:tc>
          <w:tcPr>
            <w:tcW w:w="706" w:type="pct"/>
            <w:shd w:val="clear" w:color="auto" w:fill="auto"/>
            <w:vAlign w:val="center"/>
          </w:tcPr>
          <w:p w14:paraId="17359DFB" w14:textId="11588C4D" w:rsidR="00181366" w:rsidRPr="00716D0B" w:rsidRDefault="00B96A78" w:rsidP="00C35ABF">
            <w:pPr>
              <w:keepNext/>
              <w:spacing w:line="276" w:lineRule="auto"/>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50" w:id="-1301051888"/>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50" w:id="-1301051888"/>
                <w14:textFill>
                  <w14:solidFill>
                    <w14:srgbClr w14:val="000000">
                      <w14:alpha w14:val="100000"/>
                    </w14:srgbClr>
                  </w14:solidFill>
                </w14:textFill>
              </w:rPr>
              <w:t>|</w:t>
            </w:r>
            <w:r w:rsidRPr="00B96A78">
              <w:rPr>
                <w:rFonts w:ascii="Arial Narrow" w:hAnsi="Arial Narrow" w:cs="Calibri" w:hint="eastAsia"/>
                <w:color w:val="000000"/>
                <w:spacing w:val="-15"/>
                <w:w w:val="15"/>
                <w:sz w:val="20"/>
                <w:szCs w:val="20"/>
                <w:shd w:val="solid" w:color="000000" w:fill="000000"/>
                <w:fitText w:val="50" w:id="-1301051888"/>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6</w:t>
            </w:r>
          </w:p>
        </w:tc>
        <w:tc>
          <w:tcPr>
            <w:tcW w:w="687" w:type="pct"/>
            <w:shd w:val="clear" w:color="auto" w:fill="auto"/>
            <w:vAlign w:val="center"/>
          </w:tcPr>
          <w:p w14:paraId="7EFA66C5" w14:textId="3519D142" w:rsidR="00181366" w:rsidRPr="00716D0B" w:rsidRDefault="00B96A78" w:rsidP="00C35ABF">
            <w:pPr>
              <w:keepNext/>
              <w:spacing w:line="276" w:lineRule="auto"/>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50" w:id="-1301051904"/>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50" w:id="-1301051904"/>
                <w14:textFill>
                  <w14:solidFill>
                    <w14:srgbClr w14:val="000000">
                      <w14:alpha w14:val="100000"/>
                    </w14:srgbClr>
                  </w14:solidFill>
                </w14:textFill>
              </w:rPr>
              <w:t>|</w:t>
            </w:r>
            <w:r w:rsidRPr="00B96A78">
              <w:rPr>
                <w:rFonts w:ascii="Arial Narrow" w:hAnsi="Arial Narrow" w:cs="Calibri" w:hint="eastAsia"/>
                <w:color w:val="000000"/>
                <w:spacing w:val="-15"/>
                <w:w w:val="15"/>
                <w:sz w:val="20"/>
                <w:szCs w:val="20"/>
                <w:shd w:val="solid" w:color="000000" w:fill="000000"/>
                <w:fitText w:val="50" w:id="-1301051904"/>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6</w:t>
            </w:r>
          </w:p>
        </w:tc>
        <w:tc>
          <w:tcPr>
            <w:tcW w:w="685" w:type="pct"/>
            <w:shd w:val="clear" w:color="auto" w:fill="auto"/>
            <w:vAlign w:val="center"/>
          </w:tcPr>
          <w:p w14:paraId="6745836F" w14:textId="7E314C77" w:rsidR="00181366" w:rsidRPr="00716D0B" w:rsidRDefault="00B96A78" w:rsidP="00C35ABF">
            <w:pPr>
              <w:keepNext/>
              <w:spacing w:line="276" w:lineRule="auto"/>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70" w:id="-1301051903"/>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903"/>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903"/>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6</w:t>
            </w:r>
          </w:p>
        </w:tc>
        <w:tc>
          <w:tcPr>
            <w:tcW w:w="687" w:type="pct"/>
            <w:shd w:val="clear" w:color="auto" w:fill="auto"/>
            <w:vAlign w:val="center"/>
          </w:tcPr>
          <w:p w14:paraId="70D01A81" w14:textId="564DDEA9" w:rsidR="00181366" w:rsidRPr="00716D0B" w:rsidRDefault="00B96A78" w:rsidP="00C35ABF">
            <w:pPr>
              <w:keepNext/>
              <w:spacing w:line="276" w:lineRule="auto"/>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50" w:id="-1301051902"/>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50" w:id="-1301051902"/>
                <w14:textFill>
                  <w14:solidFill>
                    <w14:srgbClr w14:val="000000">
                      <w14:alpha w14:val="100000"/>
                    </w14:srgbClr>
                  </w14:solidFill>
                </w14:textFill>
              </w:rPr>
              <w:t>|</w:t>
            </w:r>
            <w:r w:rsidRPr="00B96A78">
              <w:rPr>
                <w:rFonts w:ascii="Arial Narrow" w:hAnsi="Arial Narrow" w:cs="Calibri" w:hint="eastAsia"/>
                <w:color w:val="000000"/>
                <w:spacing w:val="-15"/>
                <w:w w:val="15"/>
                <w:sz w:val="20"/>
                <w:szCs w:val="20"/>
                <w:shd w:val="solid" w:color="000000" w:fill="000000"/>
                <w:fitText w:val="50" w:id="-1301051902"/>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6</w:t>
            </w:r>
          </w:p>
        </w:tc>
        <w:tc>
          <w:tcPr>
            <w:tcW w:w="685" w:type="pct"/>
            <w:shd w:val="clear" w:color="auto" w:fill="auto"/>
            <w:vAlign w:val="center"/>
          </w:tcPr>
          <w:p w14:paraId="7A95B741" w14:textId="4230F72E" w:rsidR="00181366" w:rsidRPr="00716D0B" w:rsidRDefault="00B96A78" w:rsidP="00C35ABF">
            <w:pPr>
              <w:keepNext/>
              <w:spacing w:line="276" w:lineRule="auto"/>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70" w:id="-1301051901"/>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901"/>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901"/>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6</w:t>
            </w:r>
          </w:p>
        </w:tc>
        <w:tc>
          <w:tcPr>
            <w:tcW w:w="693" w:type="pct"/>
            <w:shd w:val="clear" w:color="auto" w:fill="auto"/>
            <w:vAlign w:val="center"/>
          </w:tcPr>
          <w:p w14:paraId="5CA42422" w14:textId="0404AF20" w:rsidR="00181366" w:rsidRPr="00716D0B" w:rsidRDefault="00B96A78" w:rsidP="00C35ABF">
            <w:pPr>
              <w:keepNext/>
              <w:spacing w:line="276" w:lineRule="auto"/>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60" w:id="-1301051900"/>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60" w:id="-1301051900"/>
                <w14:textFill>
                  <w14:solidFill>
                    <w14:srgbClr w14:val="000000">
                      <w14:alpha w14:val="100000"/>
                    </w14:srgbClr>
                  </w14:solidFill>
                </w14:textFill>
              </w:rPr>
              <w:t>|</w:t>
            </w:r>
            <w:r w:rsidRPr="00B96A78">
              <w:rPr>
                <w:rFonts w:ascii="Arial Narrow" w:hAnsi="Arial Narrow" w:cs="Calibri" w:hint="eastAsia"/>
                <w:color w:val="000000"/>
                <w:spacing w:val="-5"/>
                <w:w w:val="15"/>
                <w:sz w:val="20"/>
                <w:szCs w:val="20"/>
                <w:shd w:val="solid" w:color="000000" w:fill="000000"/>
                <w:fitText w:val="60" w:id="-1301051900"/>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6</w:t>
            </w:r>
          </w:p>
        </w:tc>
      </w:tr>
      <w:tr w:rsidR="00181366" w:rsidRPr="00206932" w14:paraId="72299D4F" w14:textId="77777777" w:rsidTr="00716D0B">
        <w:trPr>
          <w:jc w:val="center"/>
        </w:trPr>
        <w:tc>
          <w:tcPr>
            <w:tcW w:w="858" w:type="pct"/>
            <w:vAlign w:val="center"/>
          </w:tcPr>
          <w:p w14:paraId="65BF2C04" w14:textId="33DB79A9" w:rsidR="00181366" w:rsidRPr="001523B5" w:rsidRDefault="00181366" w:rsidP="00C35ABF">
            <w:pPr>
              <w:keepNext/>
              <w:spacing w:line="276" w:lineRule="auto"/>
              <w:jc w:val="left"/>
              <w:rPr>
                <w:rFonts w:ascii="Arial Narrow" w:hAnsi="Arial Narrow" w:cstheme="minorHAnsi"/>
                <w:b/>
                <w:bCs/>
                <w:sz w:val="20"/>
                <w:szCs w:val="20"/>
              </w:rPr>
            </w:pPr>
            <w:r w:rsidRPr="001523B5">
              <w:rPr>
                <w:rFonts w:ascii="Arial Narrow" w:hAnsi="Arial Narrow" w:cstheme="minorHAnsi"/>
                <w:b/>
                <w:bCs/>
                <w:color w:val="000000"/>
                <w:sz w:val="20"/>
                <w:szCs w:val="20"/>
              </w:rPr>
              <w:t>Cost</w:t>
            </w:r>
            <w:r w:rsidR="00B55F21">
              <w:rPr>
                <w:rFonts w:ascii="Arial Narrow" w:hAnsi="Arial Narrow" w:cstheme="minorHAnsi"/>
                <w:b/>
                <w:bCs/>
                <w:color w:val="000000"/>
                <w:sz w:val="20"/>
                <w:szCs w:val="20"/>
              </w:rPr>
              <w:t xml:space="preserve"> to</w:t>
            </w:r>
            <w:r w:rsidRPr="001523B5">
              <w:rPr>
                <w:rFonts w:ascii="Arial Narrow" w:hAnsi="Arial Narrow" w:cstheme="minorHAnsi"/>
                <w:b/>
                <w:bCs/>
                <w:color w:val="000000"/>
                <w:sz w:val="20"/>
                <w:szCs w:val="20"/>
              </w:rPr>
              <w:t xml:space="preserve"> R/PBS</w:t>
            </w:r>
          </w:p>
        </w:tc>
        <w:tc>
          <w:tcPr>
            <w:tcW w:w="706" w:type="pct"/>
            <w:shd w:val="clear" w:color="auto" w:fill="auto"/>
            <w:vAlign w:val="center"/>
          </w:tcPr>
          <w:p w14:paraId="7208919B" w14:textId="07A51D13" w:rsidR="00181366" w:rsidRPr="00716D0B" w:rsidRDefault="00B96A78" w:rsidP="00C35ABF">
            <w:pPr>
              <w:keepNext/>
              <w:spacing w:line="276" w:lineRule="auto"/>
              <w:jc w:val="center"/>
              <w:rPr>
                <w:rFonts w:ascii="Arial Narrow" w:hAnsi="Arial Narrow" w:cstheme="minorHAnsi"/>
                <w:b/>
                <w:bCs/>
                <w:sz w:val="20"/>
                <w:szCs w:val="20"/>
                <w:highlight w:val="darkGray"/>
              </w:rPr>
            </w:pPr>
            <w:r w:rsidRPr="00B96A78">
              <w:rPr>
                <w:rFonts w:ascii="Arial Narrow" w:hAnsi="Arial Narrow" w:cs="Calibri" w:hint="eastAsia"/>
                <w:b/>
                <w:bCs/>
                <w:color w:val="000000"/>
                <w:w w:val="20"/>
                <w:sz w:val="20"/>
                <w:szCs w:val="20"/>
                <w:shd w:val="solid" w:color="000000" w:fill="000000"/>
                <w:fitText w:val="90" w:id="-1301051899"/>
                <w14:textFill>
                  <w14:solidFill>
                    <w14:srgbClr w14:val="000000">
                      <w14:alpha w14:val="100000"/>
                    </w14:srgbClr>
                  </w14:solidFill>
                </w14:textFill>
              </w:rPr>
              <w:t xml:space="preserve">　</w:t>
            </w:r>
            <w:r w:rsidRPr="00B96A78">
              <w:rPr>
                <w:rFonts w:ascii="Arial Narrow" w:hAnsi="Arial Narrow" w:cs="Calibri"/>
                <w:b/>
                <w:bCs/>
                <w:color w:val="000000"/>
                <w:w w:val="20"/>
                <w:sz w:val="20"/>
                <w:szCs w:val="20"/>
                <w:shd w:val="solid" w:color="000000" w:fill="000000"/>
                <w:fitText w:val="90" w:id="-1301051899"/>
                <w14:textFill>
                  <w14:solidFill>
                    <w14:srgbClr w14:val="000000">
                      <w14:alpha w14:val="100000"/>
                    </w14:srgbClr>
                  </w14:solidFill>
                </w14:textFill>
              </w:rPr>
              <w:t>|</w:t>
            </w:r>
            <w:r w:rsidRPr="00B96A78">
              <w:rPr>
                <w:rFonts w:ascii="Arial Narrow" w:hAnsi="Arial Narrow" w:cs="Calibri" w:hint="eastAsia"/>
                <w:b/>
                <w:bCs/>
                <w:color w:val="000000"/>
                <w:spacing w:val="2"/>
                <w:w w:val="20"/>
                <w:sz w:val="20"/>
                <w:szCs w:val="20"/>
                <w:shd w:val="solid" w:color="000000" w:fill="000000"/>
                <w:fitText w:val="90" w:id="-1301051899"/>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87" w:type="pct"/>
            <w:shd w:val="clear" w:color="auto" w:fill="auto"/>
            <w:vAlign w:val="center"/>
          </w:tcPr>
          <w:p w14:paraId="4DC6E6B0" w14:textId="5113F870" w:rsidR="00181366" w:rsidRPr="00716D0B" w:rsidRDefault="00B96A78" w:rsidP="00C35ABF">
            <w:pPr>
              <w:keepNext/>
              <w:spacing w:line="276" w:lineRule="auto"/>
              <w:jc w:val="center"/>
              <w:rPr>
                <w:rFonts w:ascii="Arial Narrow" w:hAnsi="Arial Narrow" w:cstheme="minorHAnsi"/>
                <w:b/>
                <w:bCs/>
                <w:sz w:val="20"/>
                <w:szCs w:val="20"/>
                <w:highlight w:val="darkGray"/>
              </w:rPr>
            </w:pPr>
            <w:r w:rsidRPr="00B96A78">
              <w:rPr>
                <w:rFonts w:ascii="Arial Narrow" w:hAnsi="Arial Narrow" w:cs="Calibri" w:hint="eastAsia"/>
                <w:b/>
                <w:bCs/>
                <w:color w:val="000000"/>
                <w:w w:val="22"/>
                <w:sz w:val="20"/>
                <w:szCs w:val="20"/>
                <w:shd w:val="solid" w:color="000000" w:fill="000000"/>
                <w:fitText w:val="100" w:id="-1301051898"/>
                <w14:textFill>
                  <w14:solidFill>
                    <w14:srgbClr w14:val="000000">
                      <w14:alpha w14:val="100000"/>
                    </w14:srgbClr>
                  </w14:solidFill>
                </w14:textFill>
              </w:rPr>
              <w:t xml:space="preserve">　</w:t>
            </w:r>
            <w:r w:rsidRPr="00B96A78">
              <w:rPr>
                <w:rFonts w:ascii="Arial Narrow" w:hAnsi="Arial Narrow" w:cs="Calibri"/>
                <w:b/>
                <w:bCs/>
                <w:color w:val="000000"/>
                <w:w w:val="22"/>
                <w:sz w:val="20"/>
                <w:szCs w:val="20"/>
                <w:shd w:val="solid" w:color="000000" w:fill="000000"/>
                <w:fitText w:val="100" w:id="-1301051898"/>
                <w14:textFill>
                  <w14:solidFill>
                    <w14:srgbClr w14:val="000000">
                      <w14:alpha w14:val="100000"/>
                    </w14:srgbClr>
                  </w14:solidFill>
                </w14:textFill>
              </w:rPr>
              <w:t>|</w:t>
            </w:r>
            <w:r w:rsidRPr="00B96A78">
              <w:rPr>
                <w:rFonts w:ascii="Arial Narrow" w:hAnsi="Arial Narrow" w:cs="Calibri" w:hint="eastAsia"/>
                <w:b/>
                <w:bCs/>
                <w:color w:val="000000"/>
                <w:spacing w:val="2"/>
                <w:w w:val="22"/>
                <w:sz w:val="20"/>
                <w:szCs w:val="20"/>
                <w:shd w:val="solid" w:color="000000" w:fill="000000"/>
                <w:fitText w:val="100" w:id="-1301051898"/>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85" w:type="pct"/>
            <w:shd w:val="clear" w:color="auto" w:fill="auto"/>
            <w:vAlign w:val="center"/>
          </w:tcPr>
          <w:p w14:paraId="628CBFAF" w14:textId="5AA6CD55" w:rsidR="00181366" w:rsidRPr="00716D0B" w:rsidRDefault="00B96A78" w:rsidP="00C35ABF">
            <w:pPr>
              <w:keepNext/>
              <w:spacing w:line="276" w:lineRule="auto"/>
              <w:jc w:val="center"/>
              <w:rPr>
                <w:rFonts w:ascii="Arial Narrow" w:hAnsi="Arial Narrow" w:cstheme="minorHAnsi"/>
                <w:b/>
                <w:bCs/>
                <w:sz w:val="20"/>
                <w:szCs w:val="20"/>
                <w:highlight w:val="darkGray"/>
              </w:rPr>
            </w:pPr>
            <w:r w:rsidRPr="00B96A78">
              <w:rPr>
                <w:rFonts w:ascii="Arial Narrow" w:hAnsi="Arial Narrow" w:cs="Calibri" w:hint="eastAsia"/>
                <w:b/>
                <w:bCs/>
                <w:color w:val="000000"/>
                <w:w w:val="24"/>
                <w:sz w:val="20"/>
                <w:szCs w:val="20"/>
                <w:shd w:val="solid" w:color="000000" w:fill="000000"/>
                <w:fitText w:val="110" w:id="-1301051897"/>
                <w14:textFill>
                  <w14:solidFill>
                    <w14:srgbClr w14:val="000000">
                      <w14:alpha w14:val="100000"/>
                    </w14:srgbClr>
                  </w14:solidFill>
                </w14:textFill>
              </w:rPr>
              <w:t xml:space="preserve">　</w:t>
            </w:r>
            <w:r w:rsidRPr="00B96A78">
              <w:rPr>
                <w:rFonts w:ascii="Arial Narrow" w:hAnsi="Arial Narrow" w:cs="Calibri"/>
                <w:b/>
                <w:bCs/>
                <w:color w:val="000000"/>
                <w:w w:val="24"/>
                <w:sz w:val="20"/>
                <w:szCs w:val="20"/>
                <w:shd w:val="solid" w:color="000000" w:fill="000000"/>
                <w:fitText w:val="110" w:id="-1301051897"/>
                <w14:textFill>
                  <w14:solidFill>
                    <w14:srgbClr w14:val="000000">
                      <w14:alpha w14:val="100000"/>
                    </w14:srgbClr>
                  </w14:solidFill>
                </w14:textFill>
              </w:rPr>
              <w:t>|</w:t>
            </w:r>
            <w:r w:rsidRPr="00B96A78">
              <w:rPr>
                <w:rFonts w:ascii="Arial Narrow" w:hAnsi="Arial Narrow" w:cs="Calibri" w:hint="eastAsia"/>
                <w:b/>
                <w:bCs/>
                <w:color w:val="000000"/>
                <w:spacing w:val="5"/>
                <w:w w:val="24"/>
                <w:sz w:val="20"/>
                <w:szCs w:val="20"/>
                <w:shd w:val="solid" w:color="000000" w:fill="000000"/>
                <w:fitText w:val="110" w:id="-1301051897"/>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87" w:type="pct"/>
            <w:shd w:val="clear" w:color="auto" w:fill="auto"/>
            <w:vAlign w:val="center"/>
          </w:tcPr>
          <w:p w14:paraId="4CA27CEE" w14:textId="1EA58BD2" w:rsidR="00181366" w:rsidRPr="00716D0B" w:rsidRDefault="00B96A78" w:rsidP="00C35ABF">
            <w:pPr>
              <w:keepNext/>
              <w:spacing w:line="276" w:lineRule="auto"/>
              <w:jc w:val="center"/>
              <w:rPr>
                <w:rFonts w:ascii="Arial Narrow" w:hAnsi="Arial Narrow" w:cstheme="minorHAnsi"/>
                <w:b/>
                <w:bCs/>
                <w:sz w:val="20"/>
                <w:szCs w:val="20"/>
                <w:highlight w:val="darkGray"/>
              </w:rPr>
            </w:pPr>
            <w:r w:rsidRPr="00B96A78">
              <w:rPr>
                <w:rFonts w:ascii="Arial Narrow" w:hAnsi="Arial Narrow" w:cs="Calibri" w:hint="eastAsia"/>
                <w:b/>
                <w:bCs/>
                <w:color w:val="000000"/>
                <w:w w:val="22"/>
                <w:sz w:val="20"/>
                <w:szCs w:val="20"/>
                <w:shd w:val="solid" w:color="000000" w:fill="000000"/>
                <w:fitText w:val="100" w:id="-1301051896"/>
                <w14:textFill>
                  <w14:solidFill>
                    <w14:srgbClr w14:val="000000">
                      <w14:alpha w14:val="100000"/>
                    </w14:srgbClr>
                  </w14:solidFill>
                </w14:textFill>
              </w:rPr>
              <w:t xml:space="preserve">　</w:t>
            </w:r>
            <w:r w:rsidRPr="00B96A78">
              <w:rPr>
                <w:rFonts w:ascii="Arial Narrow" w:hAnsi="Arial Narrow" w:cs="Calibri"/>
                <w:b/>
                <w:bCs/>
                <w:color w:val="000000"/>
                <w:w w:val="22"/>
                <w:sz w:val="20"/>
                <w:szCs w:val="20"/>
                <w:shd w:val="solid" w:color="000000" w:fill="000000"/>
                <w:fitText w:val="100" w:id="-1301051896"/>
                <w14:textFill>
                  <w14:solidFill>
                    <w14:srgbClr w14:val="000000">
                      <w14:alpha w14:val="100000"/>
                    </w14:srgbClr>
                  </w14:solidFill>
                </w14:textFill>
              </w:rPr>
              <w:t>|</w:t>
            </w:r>
            <w:r w:rsidRPr="00B96A78">
              <w:rPr>
                <w:rFonts w:ascii="Arial Narrow" w:hAnsi="Arial Narrow" w:cs="Calibri" w:hint="eastAsia"/>
                <w:b/>
                <w:bCs/>
                <w:color w:val="000000"/>
                <w:spacing w:val="2"/>
                <w:w w:val="22"/>
                <w:sz w:val="20"/>
                <w:szCs w:val="20"/>
                <w:shd w:val="solid" w:color="000000" w:fill="000000"/>
                <w:fitText w:val="100" w:id="-1301051896"/>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85" w:type="pct"/>
            <w:shd w:val="clear" w:color="auto" w:fill="auto"/>
            <w:vAlign w:val="center"/>
          </w:tcPr>
          <w:p w14:paraId="109FA6EE" w14:textId="1C6BADF4" w:rsidR="00181366" w:rsidRPr="00716D0B" w:rsidRDefault="00B96A78" w:rsidP="00C35ABF">
            <w:pPr>
              <w:keepNext/>
              <w:spacing w:line="276" w:lineRule="auto"/>
              <w:jc w:val="center"/>
              <w:rPr>
                <w:rFonts w:ascii="Arial Narrow" w:hAnsi="Arial Narrow" w:cstheme="minorHAnsi"/>
                <w:b/>
                <w:bCs/>
                <w:sz w:val="20"/>
                <w:szCs w:val="20"/>
                <w:highlight w:val="darkGray"/>
              </w:rPr>
            </w:pPr>
            <w:r w:rsidRPr="00B96A78">
              <w:rPr>
                <w:rFonts w:ascii="Arial Narrow" w:hAnsi="Arial Narrow" w:cs="Calibri" w:hint="eastAsia"/>
                <w:b/>
                <w:bCs/>
                <w:color w:val="000000"/>
                <w:w w:val="24"/>
                <w:sz w:val="20"/>
                <w:szCs w:val="20"/>
                <w:shd w:val="solid" w:color="000000" w:fill="000000"/>
                <w:fitText w:val="110" w:id="-1301051895"/>
                <w14:textFill>
                  <w14:solidFill>
                    <w14:srgbClr w14:val="000000">
                      <w14:alpha w14:val="100000"/>
                    </w14:srgbClr>
                  </w14:solidFill>
                </w14:textFill>
              </w:rPr>
              <w:t xml:space="preserve">　</w:t>
            </w:r>
            <w:r w:rsidRPr="00B96A78">
              <w:rPr>
                <w:rFonts w:ascii="Arial Narrow" w:hAnsi="Arial Narrow" w:cs="Calibri"/>
                <w:b/>
                <w:bCs/>
                <w:color w:val="000000"/>
                <w:w w:val="24"/>
                <w:sz w:val="20"/>
                <w:szCs w:val="20"/>
                <w:shd w:val="solid" w:color="000000" w:fill="000000"/>
                <w:fitText w:val="110" w:id="-1301051895"/>
                <w14:textFill>
                  <w14:solidFill>
                    <w14:srgbClr w14:val="000000">
                      <w14:alpha w14:val="100000"/>
                    </w14:srgbClr>
                  </w14:solidFill>
                </w14:textFill>
              </w:rPr>
              <w:t>|</w:t>
            </w:r>
            <w:r w:rsidRPr="00B96A78">
              <w:rPr>
                <w:rFonts w:ascii="Arial Narrow" w:hAnsi="Arial Narrow" w:cs="Calibri" w:hint="eastAsia"/>
                <w:b/>
                <w:bCs/>
                <w:color w:val="000000"/>
                <w:spacing w:val="5"/>
                <w:w w:val="24"/>
                <w:sz w:val="20"/>
                <w:szCs w:val="20"/>
                <w:shd w:val="solid" w:color="000000" w:fill="000000"/>
                <w:fitText w:val="110" w:id="-1301051895"/>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93" w:type="pct"/>
            <w:shd w:val="clear" w:color="auto" w:fill="auto"/>
            <w:vAlign w:val="center"/>
          </w:tcPr>
          <w:p w14:paraId="57D3C496" w14:textId="6954E1B0" w:rsidR="00181366" w:rsidRPr="00716D0B" w:rsidRDefault="00B96A78" w:rsidP="00C35ABF">
            <w:pPr>
              <w:keepNext/>
              <w:spacing w:line="276" w:lineRule="auto"/>
              <w:jc w:val="center"/>
              <w:rPr>
                <w:rFonts w:ascii="Arial Narrow" w:hAnsi="Arial Narrow" w:cstheme="minorHAnsi"/>
                <w:b/>
                <w:bCs/>
                <w:sz w:val="20"/>
                <w:szCs w:val="20"/>
                <w:highlight w:val="darkGray"/>
              </w:rPr>
            </w:pPr>
            <w:r w:rsidRPr="00B96A78">
              <w:rPr>
                <w:rFonts w:ascii="Arial Narrow" w:hAnsi="Arial Narrow" w:cs="Calibri" w:hint="eastAsia"/>
                <w:b/>
                <w:bCs/>
                <w:color w:val="000000"/>
                <w:w w:val="24"/>
                <w:sz w:val="20"/>
                <w:szCs w:val="20"/>
                <w:shd w:val="solid" w:color="000000" w:fill="000000"/>
                <w:fitText w:val="110" w:id="-1301051894"/>
                <w14:textFill>
                  <w14:solidFill>
                    <w14:srgbClr w14:val="000000">
                      <w14:alpha w14:val="100000"/>
                    </w14:srgbClr>
                  </w14:solidFill>
                </w14:textFill>
              </w:rPr>
              <w:t xml:space="preserve">　</w:t>
            </w:r>
            <w:r w:rsidRPr="00B96A78">
              <w:rPr>
                <w:rFonts w:ascii="Arial Narrow" w:hAnsi="Arial Narrow" w:cs="Calibri"/>
                <w:b/>
                <w:bCs/>
                <w:color w:val="000000"/>
                <w:w w:val="24"/>
                <w:sz w:val="20"/>
                <w:szCs w:val="20"/>
                <w:shd w:val="solid" w:color="000000" w:fill="000000"/>
                <w:fitText w:val="110" w:id="-1301051894"/>
                <w14:textFill>
                  <w14:solidFill>
                    <w14:srgbClr w14:val="000000">
                      <w14:alpha w14:val="100000"/>
                    </w14:srgbClr>
                  </w14:solidFill>
                </w14:textFill>
              </w:rPr>
              <w:t>|</w:t>
            </w:r>
            <w:r w:rsidRPr="00B96A78">
              <w:rPr>
                <w:rFonts w:ascii="Arial Narrow" w:hAnsi="Arial Narrow" w:cs="Calibri" w:hint="eastAsia"/>
                <w:b/>
                <w:bCs/>
                <w:color w:val="000000"/>
                <w:spacing w:val="5"/>
                <w:w w:val="24"/>
                <w:sz w:val="20"/>
                <w:szCs w:val="20"/>
                <w:shd w:val="solid" w:color="000000" w:fill="000000"/>
                <w:fitText w:val="110" w:id="-1301051894"/>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r>
      <w:tr w:rsidR="00EA787D" w:rsidRPr="00206932" w14:paraId="46EDCD88" w14:textId="77777777" w:rsidTr="00716D0B">
        <w:trPr>
          <w:jc w:val="center"/>
        </w:trPr>
        <w:tc>
          <w:tcPr>
            <w:tcW w:w="858" w:type="pct"/>
            <w:vAlign w:val="center"/>
          </w:tcPr>
          <w:p w14:paraId="6C11C1D4" w14:textId="62179C9B" w:rsidR="00EA787D" w:rsidRPr="001523B5" w:rsidRDefault="00EA787D" w:rsidP="00EA787D">
            <w:pPr>
              <w:keepNext/>
              <w:spacing w:line="276" w:lineRule="auto"/>
              <w:jc w:val="left"/>
              <w:rPr>
                <w:rFonts w:ascii="Arial Narrow" w:hAnsi="Arial Narrow" w:cstheme="minorHAnsi"/>
                <w:b/>
                <w:bCs/>
                <w:color w:val="000000"/>
                <w:sz w:val="20"/>
                <w:szCs w:val="20"/>
              </w:rPr>
            </w:pPr>
            <w:r>
              <w:rPr>
                <w:rFonts w:ascii="Arial Narrow" w:hAnsi="Arial Narrow" w:cstheme="minorHAnsi"/>
                <w:b/>
                <w:bCs/>
                <w:color w:val="000000"/>
                <w:sz w:val="20"/>
                <w:szCs w:val="20"/>
              </w:rPr>
              <w:t>Revised</w:t>
            </w:r>
            <w:r w:rsidRPr="00EA787D">
              <w:rPr>
                <w:rFonts w:ascii="Arial Narrow" w:hAnsi="Arial Narrow" w:cstheme="minorHAnsi"/>
                <w:b/>
                <w:bCs/>
                <w:color w:val="000000"/>
                <w:sz w:val="20"/>
                <w:szCs w:val="20"/>
                <w:vertAlign w:val="superscript"/>
              </w:rPr>
              <w:t>a</w:t>
            </w:r>
            <w:r>
              <w:rPr>
                <w:rFonts w:ascii="Arial Narrow" w:hAnsi="Arial Narrow" w:cstheme="minorHAnsi"/>
                <w:b/>
                <w:bCs/>
                <w:color w:val="000000"/>
                <w:sz w:val="20"/>
                <w:szCs w:val="20"/>
              </w:rPr>
              <w:t xml:space="preserve"> R/PBS</w:t>
            </w:r>
          </w:p>
        </w:tc>
        <w:tc>
          <w:tcPr>
            <w:tcW w:w="706" w:type="pct"/>
            <w:shd w:val="clear" w:color="auto" w:fill="auto"/>
            <w:vAlign w:val="center"/>
          </w:tcPr>
          <w:p w14:paraId="0045C094" w14:textId="52C6DDC1" w:rsidR="00EA787D" w:rsidRPr="00716D0B" w:rsidRDefault="00B96A78" w:rsidP="00EA787D">
            <w:pPr>
              <w:keepNext/>
              <w:spacing w:line="276" w:lineRule="auto"/>
              <w:jc w:val="center"/>
              <w:rPr>
                <w:rFonts w:ascii="Arial Narrow" w:hAnsi="Arial Narrow" w:cs="Calibri"/>
                <w:b/>
                <w:bCs/>
                <w:color w:val="000000"/>
                <w:sz w:val="20"/>
                <w:szCs w:val="20"/>
                <w:highlight w:val="darkGray"/>
              </w:rPr>
            </w:pPr>
            <w:r w:rsidRPr="00B96A78">
              <w:rPr>
                <w:rFonts w:ascii="Arial Narrow" w:hAnsi="Arial Narrow" w:cs="Calibri" w:hint="eastAsia"/>
                <w:b/>
                <w:bCs/>
                <w:color w:val="000000"/>
                <w:w w:val="20"/>
                <w:sz w:val="20"/>
                <w:szCs w:val="20"/>
                <w:shd w:val="solid" w:color="000000" w:fill="000000"/>
                <w:fitText w:val="90" w:id="-1301051893"/>
                <w14:textFill>
                  <w14:solidFill>
                    <w14:srgbClr w14:val="000000">
                      <w14:alpha w14:val="100000"/>
                    </w14:srgbClr>
                  </w14:solidFill>
                </w14:textFill>
              </w:rPr>
              <w:t xml:space="preserve">　</w:t>
            </w:r>
            <w:r w:rsidRPr="00B96A78">
              <w:rPr>
                <w:rFonts w:ascii="Arial Narrow" w:hAnsi="Arial Narrow" w:cs="Calibri"/>
                <w:b/>
                <w:bCs/>
                <w:color w:val="000000"/>
                <w:w w:val="20"/>
                <w:sz w:val="20"/>
                <w:szCs w:val="20"/>
                <w:shd w:val="solid" w:color="000000" w:fill="000000"/>
                <w:fitText w:val="90" w:id="-1301051893"/>
                <w14:textFill>
                  <w14:solidFill>
                    <w14:srgbClr w14:val="000000">
                      <w14:alpha w14:val="100000"/>
                    </w14:srgbClr>
                  </w14:solidFill>
                </w14:textFill>
              </w:rPr>
              <w:t>|</w:t>
            </w:r>
            <w:r w:rsidRPr="00B96A78">
              <w:rPr>
                <w:rFonts w:ascii="Arial Narrow" w:hAnsi="Arial Narrow" w:cs="Calibri" w:hint="eastAsia"/>
                <w:b/>
                <w:bCs/>
                <w:color w:val="000000"/>
                <w:spacing w:val="2"/>
                <w:w w:val="20"/>
                <w:sz w:val="20"/>
                <w:szCs w:val="20"/>
                <w:shd w:val="solid" w:color="000000" w:fill="000000"/>
                <w:fitText w:val="90" w:id="-1301051893"/>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87" w:type="pct"/>
            <w:shd w:val="clear" w:color="auto" w:fill="auto"/>
            <w:vAlign w:val="center"/>
          </w:tcPr>
          <w:p w14:paraId="0EF9AA3C" w14:textId="433104A7" w:rsidR="00EA787D" w:rsidRPr="00716D0B" w:rsidRDefault="00B96A78" w:rsidP="00EA787D">
            <w:pPr>
              <w:keepNext/>
              <w:spacing w:line="276" w:lineRule="auto"/>
              <w:jc w:val="center"/>
              <w:rPr>
                <w:rFonts w:ascii="Arial Narrow" w:hAnsi="Arial Narrow" w:cs="Calibri"/>
                <w:b/>
                <w:bCs/>
                <w:color w:val="000000"/>
                <w:sz w:val="20"/>
                <w:szCs w:val="20"/>
                <w:highlight w:val="darkGray"/>
              </w:rPr>
            </w:pPr>
            <w:r w:rsidRPr="00B96A78">
              <w:rPr>
                <w:rFonts w:ascii="Arial Narrow" w:hAnsi="Arial Narrow" w:cs="Calibri" w:hint="eastAsia"/>
                <w:b/>
                <w:bCs/>
                <w:color w:val="000000"/>
                <w:w w:val="22"/>
                <w:sz w:val="20"/>
                <w:szCs w:val="20"/>
                <w:shd w:val="solid" w:color="000000" w:fill="000000"/>
                <w:fitText w:val="100" w:id="-1301051892"/>
                <w14:textFill>
                  <w14:solidFill>
                    <w14:srgbClr w14:val="000000">
                      <w14:alpha w14:val="100000"/>
                    </w14:srgbClr>
                  </w14:solidFill>
                </w14:textFill>
              </w:rPr>
              <w:t xml:space="preserve">　</w:t>
            </w:r>
            <w:r w:rsidRPr="00B96A78">
              <w:rPr>
                <w:rFonts w:ascii="Arial Narrow" w:hAnsi="Arial Narrow" w:cs="Calibri"/>
                <w:b/>
                <w:bCs/>
                <w:color w:val="000000"/>
                <w:w w:val="22"/>
                <w:sz w:val="20"/>
                <w:szCs w:val="20"/>
                <w:shd w:val="solid" w:color="000000" w:fill="000000"/>
                <w:fitText w:val="100" w:id="-1301051892"/>
                <w14:textFill>
                  <w14:solidFill>
                    <w14:srgbClr w14:val="000000">
                      <w14:alpha w14:val="100000"/>
                    </w14:srgbClr>
                  </w14:solidFill>
                </w14:textFill>
              </w:rPr>
              <w:t>|</w:t>
            </w:r>
            <w:r w:rsidRPr="00B96A78">
              <w:rPr>
                <w:rFonts w:ascii="Arial Narrow" w:hAnsi="Arial Narrow" w:cs="Calibri" w:hint="eastAsia"/>
                <w:b/>
                <w:bCs/>
                <w:color w:val="000000"/>
                <w:spacing w:val="2"/>
                <w:w w:val="22"/>
                <w:sz w:val="20"/>
                <w:szCs w:val="20"/>
                <w:shd w:val="solid" w:color="000000" w:fill="000000"/>
                <w:fitText w:val="100" w:id="-1301051892"/>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85" w:type="pct"/>
            <w:shd w:val="clear" w:color="auto" w:fill="auto"/>
            <w:vAlign w:val="center"/>
          </w:tcPr>
          <w:p w14:paraId="1B0489AE" w14:textId="1D069D30" w:rsidR="00EA787D" w:rsidRPr="00716D0B" w:rsidRDefault="00B96A78" w:rsidP="00EA787D">
            <w:pPr>
              <w:keepNext/>
              <w:spacing w:line="276" w:lineRule="auto"/>
              <w:jc w:val="center"/>
              <w:rPr>
                <w:rFonts w:ascii="Arial Narrow" w:hAnsi="Arial Narrow" w:cs="Calibri"/>
                <w:b/>
                <w:bCs/>
                <w:color w:val="000000"/>
                <w:sz w:val="20"/>
                <w:szCs w:val="20"/>
                <w:highlight w:val="darkGray"/>
              </w:rPr>
            </w:pPr>
            <w:r w:rsidRPr="00B96A78">
              <w:rPr>
                <w:rFonts w:ascii="Arial Narrow" w:hAnsi="Arial Narrow" w:cs="Calibri" w:hint="eastAsia"/>
                <w:b/>
                <w:bCs/>
                <w:color w:val="000000"/>
                <w:w w:val="24"/>
                <w:sz w:val="20"/>
                <w:szCs w:val="20"/>
                <w:shd w:val="solid" w:color="000000" w:fill="000000"/>
                <w:fitText w:val="110" w:id="-1301051891"/>
                <w14:textFill>
                  <w14:solidFill>
                    <w14:srgbClr w14:val="000000">
                      <w14:alpha w14:val="100000"/>
                    </w14:srgbClr>
                  </w14:solidFill>
                </w14:textFill>
              </w:rPr>
              <w:t xml:space="preserve">　</w:t>
            </w:r>
            <w:r w:rsidRPr="00B96A78">
              <w:rPr>
                <w:rFonts w:ascii="Arial Narrow" w:hAnsi="Arial Narrow" w:cs="Calibri"/>
                <w:b/>
                <w:bCs/>
                <w:color w:val="000000"/>
                <w:w w:val="24"/>
                <w:sz w:val="20"/>
                <w:szCs w:val="20"/>
                <w:shd w:val="solid" w:color="000000" w:fill="000000"/>
                <w:fitText w:val="110" w:id="-1301051891"/>
                <w14:textFill>
                  <w14:solidFill>
                    <w14:srgbClr w14:val="000000">
                      <w14:alpha w14:val="100000"/>
                    </w14:srgbClr>
                  </w14:solidFill>
                </w14:textFill>
              </w:rPr>
              <w:t>|</w:t>
            </w:r>
            <w:r w:rsidRPr="00B96A78">
              <w:rPr>
                <w:rFonts w:ascii="Arial Narrow" w:hAnsi="Arial Narrow" w:cs="Calibri" w:hint="eastAsia"/>
                <w:b/>
                <w:bCs/>
                <w:color w:val="000000"/>
                <w:spacing w:val="5"/>
                <w:w w:val="24"/>
                <w:sz w:val="20"/>
                <w:szCs w:val="20"/>
                <w:shd w:val="solid" w:color="000000" w:fill="000000"/>
                <w:fitText w:val="110" w:id="-1301051891"/>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87" w:type="pct"/>
            <w:shd w:val="clear" w:color="auto" w:fill="auto"/>
            <w:vAlign w:val="center"/>
          </w:tcPr>
          <w:p w14:paraId="18229DCE" w14:textId="0F1330B5" w:rsidR="00EA787D" w:rsidRPr="00716D0B" w:rsidRDefault="00B96A78" w:rsidP="00EA787D">
            <w:pPr>
              <w:keepNext/>
              <w:spacing w:line="276" w:lineRule="auto"/>
              <w:jc w:val="center"/>
              <w:rPr>
                <w:rFonts w:ascii="Arial Narrow" w:hAnsi="Arial Narrow" w:cs="Calibri"/>
                <w:b/>
                <w:bCs/>
                <w:color w:val="000000"/>
                <w:sz w:val="20"/>
                <w:szCs w:val="20"/>
                <w:highlight w:val="darkGray"/>
              </w:rPr>
            </w:pPr>
            <w:r w:rsidRPr="00B96A78">
              <w:rPr>
                <w:rFonts w:ascii="Arial Narrow" w:hAnsi="Arial Narrow" w:cs="Calibri" w:hint="eastAsia"/>
                <w:b/>
                <w:bCs/>
                <w:color w:val="000000"/>
                <w:w w:val="22"/>
                <w:sz w:val="20"/>
                <w:szCs w:val="20"/>
                <w:shd w:val="solid" w:color="000000" w:fill="000000"/>
                <w:fitText w:val="100" w:id="-1301051890"/>
                <w14:textFill>
                  <w14:solidFill>
                    <w14:srgbClr w14:val="000000">
                      <w14:alpha w14:val="100000"/>
                    </w14:srgbClr>
                  </w14:solidFill>
                </w14:textFill>
              </w:rPr>
              <w:t xml:space="preserve">　</w:t>
            </w:r>
            <w:r w:rsidRPr="00B96A78">
              <w:rPr>
                <w:rFonts w:ascii="Arial Narrow" w:hAnsi="Arial Narrow" w:cs="Calibri"/>
                <w:b/>
                <w:bCs/>
                <w:color w:val="000000"/>
                <w:w w:val="22"/>
                <w:sz w:val="20"/>
                <w:szCs w:val="20"/>
                <w:shd w:val="solid" w:color="000000" w:fill="000000"/>
                <w:fitText w:val="100" w:id="-1301051890"/>
                <w14:textFill>
                  <w14:solidFill>
                    <w14:srgbClr w14:val="000000">
                      <w14:alpha w14:val="100000"/>
                    </w14:srgbClr>
                  </w14:solidFill>
                </w14:textFill>
              </w:rPr>
              <w:t>|</w:t>
            </w:r>
            <w:r w:rsidRPr="00B96A78">
              <w:rPr>
                <w:rFonts w:ascii="Arial Narrow" w:hAnsi="Arial Narrow" w:cs="Calibri" w:hint="eastAsia"/>
                <w:b/>
                <w:bCs/>
                <w:color w:val="000000"/>
                <w:spacing w:val="2"/>
                <w:w w:val="22"/>
                <w:sz w:val="20"/>
                <w:szCs w:val="20"/>
                <w:shd w:val="solid" w:color="000000" w:fill="000000"/>
                <w:fitText w:val="100" w:id="-1301051890"/>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85" w:type="pct"/>
            <w:shd w:val="clear" w:color="auto" w:fill="auto"/>
            <w:vAlign w:val="center"/>
          </w:tcPr>
          <w:p w14:paraId="030C995E" w14:textId="6CB93D48" w:rsidR="00EA787D" w:rsidRPr="00716D0B" w:rsidRDefault="00B96A78" w:rsidP="00EA787D">
            <w:pPr>
              <w:keepNext/>
              <w:spacing w:line="276" w:lineRule="auto"/>
              <w:jc w:val="center"/>
              <w:rPr>
                <w:rFonts w:ascii="Arial Narrow" w:hAnsi="Arial Narrow" w:cs="Calibri"/>
                <w:b/>
                <w:bCs/>
                <w:color w:val="000000"/>
                <w:sz w:val="20"/>
                <w:szCs w:val="20"/>
                <w:highlight w:val="darkGray"/>
              </w:rPr>
            </w:pPr>
            <w:r w:rsidRPr="00B96A78">
              <w:rPr>
                <w:rFonts w:ascii="Arial Narrow" w:hAnsi="Arial Narrow" w:cs="Calibri" w:hint="eastAsia"/>
                <w:b/>
                <w:bCs/>
                <w:color w:val="000000"/>
                <w:w w:val="24"/>
                <w:sz w:val="20"/>
                <w:szCs w:val="20"/>
                <w:shd w:val="solid" w:color="000000" w:fill="000000"/>
                <w:fitText w:val="110" w:id="-1301051889"/>
                <w14:textFill>
                  <w14:solidFill>
                    <w14:srgbClr w14:val="000000">
                      <w14:alpha w14:val="100000"/>
                    </w14:srgbClr>
                  </w14:solidFill>
                </w14:textFill>
              </w:rPr>
              <w:t xml:space="preserve">　</w:t>
            </w:r>
            <w:r w:rsidRPr="00B96A78">
              <w:rPr>
                <w:rFonts w:ascii="Arial Narrow" w:hAnsi="Arial Narrow" w:cs="Calibri"/>
                <w:b/>
                <w:bCs/>
                <w:color w:val="000000"/>
                <w:w w:val="24"/>
                <w:sz w:val="20"/>
                <w:szCs w:val="20"/>
                <w:shd w:val="solid" w:color="000000" w:fill="000000"/>
                <w:fitText w:val="110" w:id="-1301051889"/>
                <w14:textFill>
                  <w14:solidFill>
                    <w14:srgbClr w14:val="000000">
                      <w14:alpha w14:val="100000"/>
                    </w14:srgbClr>
                  </w14:solidFill>
                </w14:textFill>
              </w:rPr>
              <w:t>|</w:t>
            </w:r>
            <w:r w:rsidRPr="00B96A78">
              <w:rPr>
                <w:rFonts w:ascii="Arial Narrow" w:hAnsi="Arial Narrow" w:cs="Calibri" w:hint="eastAsia"/>
                <w:b/>
                <w:bCs/>
                <w:color w:val="000000"/>
                <w:spacing w:val="5"/>
                <w:w w:val="24"/>
                <w:sz w:val="20"/>
                <w:szCs w:val="20"/>
                <w:shd w:val="solid" w:color="000000" w:fill="000000"/>
                <w:fitText w:val="110" w:id="-1301051889"/>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93" w:type="pct"/>
            <w:shd w:val="clear" w:color="auto" w:fill="auto"/>
            <w:vAlign w:val="center"/>
          </w:tcPr>
          <w:p w14:paraId="1564611A" w14:textId="1D71DBCD" w:rsidR="00EA787D" w:rsidRPr="00716D0B" w:rsidRDefault="00B96A78" w:rsidP="00EA787D">
            <w:pPr>
              <w:keepNext/>
              <w:spacing w:line="276" w:lineRule="auto"/>
              <w:jc w:val="center"/>
              <w:rPr>
                <w:rFonts w:ascii="Arial Narrow" w:hAnsi="Arial Narrow" w:cs="Calibri"/>
                <w:b/>
                <w:bCs/>
                <w:color w:val="000000"/>
                <w:sz w:val="20"/>
                <w:szCs w:val="20"/>
                <w:highlight w:val="darkGray"/>
              </w:rPr>
            </w:pPr>
            <w:r w:rsidRPr="00B96A78">
              <w:rPr>
                <w:rFonts w:ascii="Arial Narrow" w:hAnsi="Arial Narrow" w:cs="Calibri" w:hint="eastAsia"/>
                <w:b/>
                <w:bCs/>
                <w:color w:val="000000"/>
                <w:w w:val="24"/>
                <w:sz w:val="20"/>
                <w:szCs w:val="20"/>
                <w:shd w:val="solid" w:color="000000" w:fill="000000"/>
                <w:fitText w:val="110" w:id="-1301051888"/>
                <w14:textFill>
                  <w14:solidFill>
                    <w14:srgbClr w14:val="000000">
                      <w14:alpha w14:val="100000"/>
                    </w14:srgbClr>
                  </w14:solidFill>
                </w14:textFill>
              </w:rPr>
              <w:t xml:space="preserve">　</w:t>
            </w:r>
            <w:r w:rsidRPr="00B96A78">
              <w:rPr>
                <w:rFonts w:ascii="Arial Narrow" w:hAnsi="Arial Narrow" w:cs="Calibri"/>
                <w:b/>
                <w:bCs/>
                <w:color w:val="000000"/>
                <w:w w:val="24"/>
                <w:sz w:val="20"/>
                <w:szCs w:val="20"/>
                <w:shd w:val="solid" w:color="000000" w:fill="000000"/>
                <w:fitText w:val="110" w:id="-1301051888"/>
                <w14:textFill>
                  <w14:solidFill>
                    <w14:srgbClr w14:val="000000">
                      <w14:alpha w14:val="100000"/>
                    </w14:srgbClr>
                  </w14:solidFill>
                </w14:textFill>
              </w:rPr>
              <w:t>|</w:t>
            </w:r>
            <w:r w:rsidRPr="00B96A78">
              <w:rPr>
                <w:rFonts w:ascii="Arial Narrow" w:hAnsi="Arial Narrow" w:cs="Calibri" w:hint="eastAsia"/>
                <w:b/>
                <w:bCs/>
                <w:color w:val="000000"/>
                <w:spacing w:val="5"/>
                <w:w w:val="24"/>
                <w:sz w:val="20"/>
                <w:szCs w:val="20"/>
                <w:shd w:val="solid" w:color="000000" w:fill="000000"/>
                <w:fitText w:val="110" w:id="-1301051888"/>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r>
      <w:tr w:rsidR="00181366" w:rsidRPr="00206932" w14:paraId="1F862A26" w14:textId="77777777" w:rsidTr="00716D0B">
        <w:trPr>
          <w:jc w:val="center"/>
        </w:trPr>
        <w:tc>
          <w:tcPr>
            <w:tcW w:w="5000" w:type="pct"/>
            <w:gridSpan w:val="7"/>
            <w:vAlign w:val="center"/>
          </w:tcPr>
          <w:p w14:paraId="4184D257" w14:textId="096A45D2" w:rsidR="00181366" w:rsidRPr="000411B2" w:rsidRDefault="00181366" w:rsidP="00B55F21">
            <w:pPr>
              <w:keepNext/>
              <w:spacing w:line="276" w:lineRule="auto"/>
              <w:jc w:val="left"/>
              <w:rPr>
                <w:rFonts w:ascii="Arial Narrow" w:hAnsi="Arial Narrow" w:cs="Calibri"/>
                <w:b/>
                <w:bCs/>
                <w:color w:val="000000"/>
                <w:sz w:val="20"/>
                <w:szCs w:val="20"/>
              </w:rPr>
            </w:pPr>
            <w:r>
              <w:rPr>
                <w:rFonts w:ascii="Arial Narrow" w:hAnsi="Arial Narrow" w:cs="Calibri"/>
                <w:b/>
                <w:bCs/>
                <w:color w:val="000000"/>
                <w:sz w:val="20"/>
                <w:szCs w:val="20"/>
              </w:rPr>
              <w:t>July 2022</w:t>
            </w:r>
            <w:r w:rsidRPr="000411B2">
              <w:rPr>
                <w:rFonts w:ascii="Arial Narrow" w:hAnsi="Arial Narrow" w:cs="Calibri"/>
                <w:b/>
                <w:bCs/>
                <w:color w:val="000000"/>
                <w:sz w:val="20"/>
                <w:szCs w:val="20"/>
              </w:rPr>
              <w:t xml:space="preserve"> submission</w:t>
            </w:r>
          </w:p>
        </w:tc>
      </w:tr>
      <w:tr w:rsidR="00181366" w:rsidRPr="00206932" w14:paraId="0902EA64" w14:textId="77777777" w:rsidTr="00716D0B">
        <w:trPr>
          <w:jc w:val="center"/>
        </w:trPr>
        <w:tc>
          <w:tcPr>
            <w:tcW w:w="858" w:type="pct"/>
            <w:vAlign w:val="center"/>
          </w:tcPr>
          <w:p w14:paraId="24F7770C" w14:textId="4D054ADA" w:rsidR="00181366" w:rsidRPr="00A60FC7" w:rsidRDefault="00B55F21" w:rsidP="00C35ABF">
            <w:pPr>
              <w:keepNext/>
              <w:spacing w:line="276" w:lineRule="auto"/>
              <w:jc w:val="left"/>
              <w:rPr>
                <w:rFonts w:ascii="Arial Narrow" w:hAnsi="Arial Narrow" w:cstheme="minorHAnsi"/>
                <w:color w:val="000000"/>
                <w:sz w:val="20"/>
                <w:szCs w:val="20"/>
              </w:rPr>
            </w:pPr>
            <w:r>
              <w:rPr>
                <w:rFonts w:ascii="Arial Narrow" w:hAnsi="Arial Narrow" w:cstheme="minorHAnsi"/>
                <w:color w:val="000000"/>
                <w:sz w:val="20"/>
                <w:szCs w:val="20"/>
              </w:rPr>
              <w:t>C</w:t>
            </w:r>
            <w:r w:rsidR="00181366" w:rsidRPr="00A60FC7">
              <w:rPr>
                <w:rFonts w:ascii="Arial Narrow" w:hAnsi="Arial Narrow" w:cstheme="minorHAnsi"/>
                <w:color w:val="000000"/>
                <w:sz w:val="20"/>
                <w:szCs w:val="20"/>
              </w:rPr>
              <w:t>ost to R/PBS</w:t>
            </w:r>
          </w:p>
        </w:tc>
        <w:tc>
          <w:tcPr>
            <w:tcW w:w="706" w:type="pct"/>
            <w:shd w:val="clear" w:color="auto" w:fill="auto"/>
            <w:vAlign w:val="center"/>
          </w:tcPr>
          <w:p w14:paraId="449EBC69" w14:textId="5E8C4AC6" w:rsidR="00181366" w:rsidRPr="00716D0B" w:rsidRDefault="00B96A78" w:rsidP="00C35ABF">
            <w:pPr>
              <w:keepNext/>
              <w:spacing w:line="276" w:lineRule="auto"/>
              <w:jc w:val="center"/>
              <w:rPr>
                <w:rFonts w:ascii="Arial Narrow" w:hAnsi="Arial Narrow" w:cstheme="minorHAnsi"/>
                <w:color w:val="000000"/>
                <w:sz w:val="20"/>
                <w:szCs w:val="20"/>
                <w:highlight w:val="darkGray"/>
              </w:rPr>
            </w:pPr>
            <w:r w:rsidRPr="00B96A78">
              <w:rPr>
                <w:rFonts w:ascii="Arial Narrow" w:hAnsi="Arial Narrow" w:cstheme="minorHAnsi" w:hint="eastAsia"/>
                <w:color w:val="000000"/>
                <w:w w:val="15"/>
                <w:sz w:val="20"/>
                <w:szCs w:val="20"/>
                <w:shd w:val="solid" w:color="000000" w:fill="000000"/>
                <w:fitText w:val="50" w:id="-1301051904"/>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50" w:id="-1301051904"/>
                <w14:textFill>
                  <w14:solidFill>
                    <w14:srgbClr w14:val="000000">
                      <w14:alpha w14:val="100000"/>
                    </w14:srgbClr>
                  </w14:solidFill>
                </w14:textFill>
              </w:rPr>
              <w:t>|</w:t>
            </w:r>
            <w:r w:rsidRPr="00B96A78">
              <w:rPr>
                <w:rFonts w:ascii="Arial Narrow" w:hAnsi="Arial Narrow" w:cstheme="minorHAnsi" w:hint="eastAsia"/>
                <w:color w:val="000000"/>
                <w:spacing w:val="-15"/>
                <w:w w:val="15"/>
                <w:sz w:val="20"/>
                <w:szCs w:val="20"/>
                <w:shd w:val="solid" w:color="000000" w:fill="000000"/>
                <w:fitText w:val="50" w:id="-1301051904"/>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87" w:type="pct"/>
            <w:shd w:val="clear" w:color="auto" w:fill="auto"/>
            <w:vAlign w:val="center"/>
          </w:tcPr>
          <w:p w14:paraId="18AED2B3" w14:textId="40F7C63C" w:rsidR="00181366" w:rsidRPr="00716D0B" w:rsidRDefault="00B96A78" w:rsidP="00C35ABF">
            <w:pPr>
              <w:keepNext/>
              <w:spacing w:line="276" w:lineRule="auto"/>
              <w:jc w:val="center"/>
              <w:rPr>
                <w:rFonts w:ascii="Arial Narrow" w:hAnsi="Arial Narrow" w:cstheme="minorHAnsi"/>
                <w:color w:val="000000"/>
                <w:sz w:val="20"/>
                <w:szCs w:val="20"/>
                <w:highlight w:val="darkGray"/>
              </w:rPr>
            </w:pPr>
            <w:r w:rsidRPr="00B96A78">
              <w:rPr>
                <w:rFonts w:ascii="Arial Narrow" w:hAnsi="Arial Narrow" w:cstheme="minorHAnsi" w:hint="eastAsia"/>
                <w:color w:val="000000"/>
                <w:w w:val="15"/>
                <w:sz w:val="20"/>
                <w:szCs w:val="20"/>
                <w:shd w:val="solid" w:color="000000" w:fill="000000"/>
                <w:fitText w:val="50" w:id="-1301051903"/>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50" w:id="-1301051903"/>
                <w14:textFill>
                  <w14:solidFill>
                    <w14:srgbClr w14:val="000000">
                      <w14:alpha w14:val="100000"/>
                    </w14:srgbClr>
                  </w14:solidFill>
                </w14:textFill>
              </w:rPr>
              <w:t>|</w:t>
            </w:r>
            <w:r w:rsidRPr="00B96A78">
              <w:rPr>
                <w:rFonts w:ascii="Arial Narrow" w:hAnsi="Arial Narrow" w:cstheme="minorHAnsi" w:hint="eastAsia"/>
                <w:color w:val="000000"/>
                <w:spacing w:val="-15"/>
                <w:w w:val="15"/>
                <w:sz w:val="20"/>
                <w:szCs w:val="20"/>
                <w:shd w:val="solid" w:color="000000" w:fill="000000"/>
                <w:fitText w:val="50" w:id="-1301051903"/>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85" w:type="pct"/>
            <w:shd w:val="clear" w:color="auto" w:fill="auto"/>
            <w:vAlign w:val="center"/>
          </w:tcPr>
          <w:p w14:paraId="05D5EC9B" w14:textId="7D278A5A" w:rsidR="00181366" w:rsidRPr="00716D0B" w:rsidRDefault="00B96A78" w:rsidP="00C35ABF">
            <w:pPr>
              <w:keepNext/>
              <w:spacing w:line="276" w:lineRule="auto"/>
              <w:jc w:val="center"/>
              <w:rPr>
                <w:rFonts w:ascii="Arial Narrow" w:hAnsi="Arial Narrow" w:cstheme="minorHAnsi"/>
                <w:color w:val="000000"/>
                <w:sz w:val="20"/>
                <w:szCs w:val="20"/>
                <w:highlight w:val="darkGray"/>
              </w:rPr>
            </w:pPr>
            <w:r w:rsidRPr="00B96A78">
              <w:rPr>
                <w:rFonts w:ascii="Arial Narrow" w:hAnsi="Arial Narrow" w:cstheme="minorHAnsi" w:hint="eastAsia"/>
                <w:color w:val="000000"/>
                <w:w w:val="15"/>
                <w:sz w:val="20"/>
                <w:szCs w:val="20"/>
                <w:shd w:val="solid" w:color="000000" w:fill="000000"/>
                <w:fitText w:val="70" w:id="-1301051902"/>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70" w:id="-1301051902"/>
                <w14:textFill>
                  <w14:solidFill>
                    <w14:srgbClr w14:val="000000">
                      <w14:alpha w14:val="100000"/>
                    </w14:srgbClr>
                  </w14:solidFill>
                </w14:textFill>
              </w:rPr>
              <w:t>|</w:t>
            </w:r>
            <w:r w:rsidRPr="00B96A78">
              <w:rPr>
                <w:rFonts w:ascii="Arial Narrow" w:hAnsi="Arial Narrow" w:cstheme="minorHAnsi" w:hint="eastAsia"/>
                <w:color w:val="000000"/>
                <w:spacing w:val="4"/>
                <w:w w:val="15"/>
                <w:sz w:val="20"/>
                <w:szCs w:val="20"/>
                <w:shd w:val="solid" w:color="000000" w:fill="000000"/>
                <w:fitText w:val="70" w:id="-1301051902"/>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87" w:type="pct"/>
            <w:shd w:val="clear" w:color="auto" w:fill="auto"/>
            <w:vAlign w:val="center"/>
          </w:tcPr>
          <w:p w14:paraId="7AE2A609" w14:textId="34DD1F2C" w:rsidR="00181366" w:rsidRPr="00716D0B" w:rsidRDefault="00B96A78" w:rsidP="00C35ABF">
            <w:pPr>
              <w:keepNext/>
              <w:spacing w:line="276" w:lineRule="auto"/>
              <w:jc w:val="center"/>
              <w:rPr>
                <w:rFonts w:ascii="Arial Narrow" w:hAnsi="Arial Narrow" w:cstheme="minorHAnsi"/>
                <w:color w:val="000000"/>
                <w:sz w:val="20"/>
                <w:szCs w:val="20"/>
                <w:highlight w:val="darkGray"/>
              </w:rPr>
            </w:pPr>
            <w:r w:rsidRPr="00B96A78">
              <w:rPr>
                <w:rFonts w:ascii="Arial Narrow" w:hAnsi="Arial Narrow" w:cstheme="minorHAnsi" w:hint="eastAsia"/>
                <w:color w:val="000000"/>
                <w:w w:val="15"/>
                <w:sz w:val="20"/>
                <w:szCs w:val="20"/>
                <w:shd w:val="solid" w:color="000000" w:fill="000000"/>
                <w:fitText w:val="50" w:id="-1301051901"/>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50" w:id="-1301051901"/>
                <w14:textFill>
                  <w14:solidFill>
                    <w14:srgbClr w14:val="000000">
                      <w14:alpha w14:val="100000"/>
                    </w14:srgbClr>
                  </w14:solidFill>
                </w14:textFill>
              </w:rPr>
              <w:t>|</w:t>
            </w:r>
            <w:r w:rsidRPr="00B96A78">
              <w:rPr>
                <w:rFonts w:ascii="Arial Narrow" w:hAnsi="Arial Narrow" w:cstheme="minorHAnsi" w:hint="eastAsia"/>
                <w:color w:val="000000"/>
                <w:spacing w:val="-15"/>
                <w:w w:val="15"/>
                <w:sz w:val="20"/>
                <w:szCs w:val="20"/>
                <w:shd w:val="solid" w:color="000000" w:fill="000000"/>
                <w:fitText w:val="50" w:id="-1301051901"/>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85" w:type="pct"/>
            <w:shd w:val="clear" w:color="auto" w:fill="auto"/>
            <w:vAlign w:val="center"/>
          </w:tcPr>
          <w:p w14:paraId="64089C28" w14:textId="3691DEB5" w:rsidR="00181366" w:rsidRPr="00716D0B" w:rsidRDefault="00B96A78" w:rsidP="00C35ABF">
            <w:pPr>
              <w:keepNext/>
              <w:spacing w:line="276" w:lineRule="auto"/>
              <w:jc w:val="center"/>
              <w:rPr>
                <w:rFonts w:ascii="Arial Narrow" w:hAnsi="Arial Narrow" w:cstheme="minorHAnsi"/>
                <w:color w:val="000000"/>
                <w:sz w:val="20"/>
                <w:szCs w:val="20"/>
                <w:highlight w:val="darkGray"/>
              </w:rPr>
            </w:pPr>
            <w:r w:rsidRPr="00B96A78">
              <w:rPr>
                <w:rFonts w:ascii="Arial Narrow" w:hAnsi="Arial Narrow" w:cstheme="minorHAnsi" w:hint="eastAsia"/>
                <w:color w:val="000000"/>
                <w:w w:val="15"/>
                <w:sz w:val="20"/>
                <w:szCs w:val="20"/>
                <w:shd w:val="solid" w:color="000000" w:fill="000000"/>
                <w:fitText w:val="70" w:id="-1301051900"/>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70" w:id="-1301051900"/>
                <w14:textFill>
                  <w14:solidFill>
                    <w14:srgbClr w14:val="000000">
                      <w14:alpha w14:val="100000"/>
                    </w14:srgbClr>
                  </w14:solidFill>
                </w14:textFill>
              </w:rPr>
              <w:t>|</w:t>
            </w:r>
            <w:r w:rsidRPr="00B96A78">
              <w:rPr>
                <w:rFonts w:ascii="Arial Narrow" w:hAnsi="Arial Narrow" w:cstheme="minorHAnsi" w:hint="eastAsia"/>
                <w:color w:val="000000"/>
                <w:spacing w:val="4"/>
                <w:w w:val="15"/>
                <w:sz w:val="20"/>
                <w:szCs w:val="20"/>
                <w:shd w:val="solid" w:color="000000" w:fill="000000"/>
                <w:fitText w:val="70" w:id="-1301051900"/>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c>
          <w:tcPr>
            <w:tcW w:w="693" w:type="pct"/>
            <w:shd w:val="clear" w:color="auto" w:fill="auto"/>
            <w:vAlign w:val="center"/>
          </w:tcPr>
          <w:p w14:paraId="395B9228" w14:textId="3E8DF891" w:rsidR="00181366" w:rsidRPr="00716D0B" w:rsidRDefault="00B96A78" w:rsidP="00C35ABF">
            <w:pPr>
              <w:keepNext/>
              <w:spacing w:line="276" w:lineRule="auto"/>
              <w:jc w:val="center"/>
              <w:rPr>
                <w:rFonts w:ascii="Arial Narrow" w:hAnsi="Arial Narrow" w:cstheme="minorHAnsi"/>
                <w:color w:val="000000"/>
                <w:sz w:val="20"/>
                <w:szCs w:val="20"/>
                <w:highlight w:val="darkGray"/>
              </w:rPr>
            </w:pPr>
            <w:r w:rsidRPr="00B96A78">
              <w:rPr>
                <w:rFonts w:ascii="Arial Narrow" w:hAnsi="Arial Narrow" w:cstheme="minorHAnsi" w:hint="eastAsia"/>
                <w:color w:val="000000"/>
                <w:w w:val="15"/>
                <w:sz w:val="20"/>
                <w:szCs w:val="20"/>
                <w:shd w:val="solid" w:color="000000" w:fill="000000"/>
                <w:fitText w:val="60" w:id="-1301051899"/>
                <w14:textFill>
                  <w14:solidFill>
                    <w14:srgbClr w14:val="000000">
                      <w14:alpha w14:val="100000"/>
                    </w14:srgbClr>
                  </w14:solidFill>
                </w14:textFill>
              </w:rPr>
              <w:t xml:space="preserve">　</w:t>
            </w:r>
            <w:r w:rsidRPr="00B96A78">
              <w:rPr>
                <w:rFonts w:ascii="Arial Narrow" w:hAnsi="Arial Narrow" w:cstheme="minorHAnsi"/>
                <w:color w:val="000000"/>
                <w:w w:val="15"/>
                <w:sz w:val="20"/>
                <w:szCs w:val="20"/>
                <w:shd w:val="solid" w:color="000000" w:fill="000000"/>
                <w:fitText w:val="60" w:id="-1301051899"/>
                <w14:textFill>
                  <w14:solidFill>
                    <w14:srgbClr w14:val="000000">
                      <w14:alpha w14:val="100000"/>
                    </w14:srgbClr>
                  </w14:solidFill>
                </w14:textFill>
              </w:rPr>
              <w:t>|</w:t>
            </w:r>
            <w:r w:rsidRPr="00B96A78">
              <w:rPr>
                <w:rFonts w:ascii="Arial Narrow" w:hAnsi="Arial Narrow" w:cstheme="minorHAnsi" w:hint="eastAsia"/>
                <w:color w:val="000000"/>
                <w:spacing w:val="-5"/>
                <w:w w:val="15"/>
                <w:sz w:val="20"/>
                <w:szCs w:val="20"/>
                <w:shd w:val="solid" w:color="000000" w:fill="000000"/>
                <w:fitText w:val="60" w:id="-1301051899"/>
                <w14:textFill>
                  <w14:solidFill>
                    <w14:srgbClr w14:val="000000">
                      <w14:alpha w14:val="100000"/>
                    </w14:srgbClr>
                  </w14:solidFill>
                </w14:textFill>
              </w:rPr>
              <w:t xml:space="preserve">　</w:t>
            </w:r>
            <w:r w:rsidR="00AC5FB4">
              <w:rPr>
                <w:rFonts w:ascii="Arial Narrow" w:hAnsi="Arial Narrow" w:cstheme="minorHAnsi"/>
                <w:bCs/>
                <w:sz w:val="20"/>
                <w:szCs w:val="20"/>
                <w:vertAlign w:val="superscript"/>
              </w:rPr>
              <w:t>3</w:t>
            </w:r>
          </w:p>
        </w:tc>
      </w:tr>
    </w:tbl>
    <w:p w14:paraId="4FE6BA58" w14:textId="77777777" w:rsidR="00181366" w:rsidRPr="0079410D" w:rsidRDefault="00181366" w:rsidP="0009015E">
      <w:pPr>
        <w:pStyle w:val="Tablefooter"/>
        <w:rPr>
          <w:rFonts w:ascii="Arial Narrow" w:hAnsi="Arial Narrow"/>
        </w:rPr>
      </w:pPr>
      <w:r w:rsidRPr="0079410D">
        <w:rPr>
          <w:rFonts w:ascii="Arial Narrow" w:hAnsi="Arial Narrow"/>
        </w:rPr>
        <w:t xml:space="preserve">Source: </w:t>
      </w:r>
      <w:r w:rsidRPr="002F41B5">
        <w:rPr>
          <w:rFonts w:ascii="Arial Narrow" w:hAnsi="Arial Narrow" w:cstheme="minorHAnsi"/>
        </w:rPr>
        <w:t xml:space="preserve">Resubmission Table </w:t>
      </w:r>
      <w:r>
        <w:rPr>
          <w:rFonts w:ascii="Arial Narrow" w:hAnsi="Arial Narrow" w:cstheme="minorHAnsi"/>
        </w:rPr>
        <w:t xml:space="preserve">4-2 </w:t>
      </w:r>
      <w:r w:rsidRPr="0079410D">
        <w:rPr>
          <w:rFonts w:ascii="Arial Narrow" w:hAnsi="Arial Narrow" w:cstheme="minorHAnsi"/>
          <w:i/>
          <w:iCs/>
        </w:rPr>
        <w:t>and modified by the Secretariat</w:t>
      </w:r>
      <w:r>
        <w:rPr>
          <w:rFonts w:ascii="Arial Narrow" w:hAnsi="Arial Narrow" w:cstheme="minorHAnsi"/>
        </w:rPr>
        <w:t xml:space="preserve">; </w:t>
      </w:r>
      <w:r w:rsidRPr="0079410D">
        <w:rPr>
          <w:rFonts w:ascii="Arial Narrow" w:hAnsi="Arial Narrow"/>
        </w:rPr>
        <w:t xml:space="preserve">worksheet 5. Impact - net </w:t>
      </w:r>
    </w:p>
    <w:p w14:paraId="6187AEC3" w14:textId="58DC6E72" w:rsidR="00181366" w:rsidRDefault="00181366" w:rsidP="0009015E">
      <w:pPr>
        <w:pStyle w:val="Tablefooter"/>
        <w:rPr>
          <w:rFonts w:ascii="Arial Narrow" w:hAnsi="Arial Narrow"/>
        </w:rPr>
      </w:pPr>
      <w:r w:rsidRPr="0079410D">
        <w:rPr>
          <w:rFonts w:ascii="Arial Narrow" w:hAnsi="Arial Narrow"/>
        </w:rPr>
        <w:t>Abbreviations: Pop. = population; TKI = tyrosine kinase inhibitor; PBS = Pharmaceutical Benefits Scheme; RPBS = Repatriation Pharmaceutical Benefits Scheme; SPA = special pricing arrangement; fin. = financial; impl. = implications</w:t>
      </w:r>
      <w:r>
        <w:rPr>
          <w:rFonts w:ascii="Arial Narrow" w:hAnsi="Arial Narrow"/>
        </w:rPr>
        <w:t>.</w:t>
      </w:r>
    </w:p>
    <w:p w14:paraId="1B85F8F6" w14:textId="0100AA27" w:rsidR="0009015E" w:rsidRDefault="0009015E" w:rsidP="00181366">
      <w:pPr>
        <w:pStyle w:val="Tablefooter"/>
        <w:spacing w:after="120"/>
        <w:rPr>
          <w:rFonts w:ascii="Arial Narrow" w:hAnsi="Arial Narrow"/>
        </w:rPr>
      </w:pPr>
      <w:r>
        <w:rPr>
          <w:rFonts w:ascii="Arial Narrow" w:hAnsi="Arial Narrow"/>
        </w:rPr>
        <w:t xml:space="preserve">a Revised in the pre-PBAC response to reflect (i) </w:t>
      </w:r>
      <w:r w:rsidRPr="0009015E">
        <w:rPr>
          <w:rFonts w:ascii="Arial Narrow" w:hAnsi="Arial Narrow"/>
        </w:rPr>
        <w:t xml:space="preserve">revised EMP for asciminib </w:t>
      </w:r>
      <w:r w:rsidRPr="009A07EA">
        <w:rPr>
          <w:rFonts w:ascii="Arial Narrow" w:hAnsi="Arial Narrow"/>
        </w:rPr>
        <w:t>of $</w:t>
      </w:r>
      <w:r w:rsidR="00B96A78" w:rsidRPr="00B96A78">
        <w:rPr>
          <w:rFonts w:ascii="Arial Narrow" w:hAnsi="Arial Narrow"/>
          <w:color w:val="000000"/>
          <w:spacing w:val="37"/>
          <w:shd w:val="solid" w:color="000000" w:fill="000000"/>
          <w:fitText w:val="270" w:id="-1301051898"/>
          <w14:textFill>
            <w14:solidFill>
              <w14:srgbClr w14:val="000000">
                <w14:alpha w14:val="100000"/>
              </w14:srgbClr>
            </w14:solidFill>
          </w14:textFill>
        </w:rPr>
        <w:t xml:space="preserve">|  </w:t>
      </w:r>
      <w:r w:rsidR="00B96A78" w:rsidRPr="00B96A78">
        <w:rPr>
          <w:rFonts w:ascii="Arial Narrow" w:hAnsi="Arial Narrow"/>
          <w:color w:val="000000"/>
          <w:spacing w:val="1"/>
          <w:shd w:val="solid" w:color="000000" w:fill="000000"/>
          <w:fitText w:val="270" w:id="-1301051898"/>
          <w14:textFill>
            <w14:solidFill>
              <w14:srgbClr w14:val="000000">
                <w14:alpha w14:val="100000"/>
              </w14:srgbClr>
            </w14:solidFill>
          </w14:textFill>
        </w:rPr>
        <w:t>|</w:t>
      </w:r>
      <w:r w:rsidRPr="0009015E">
        <w:rPr>
          <w:rFonts w:ascii="Arial Narrow" w:hAnsi="Arial Narrow"/>
        </w:rPr>
        <w:t xml:space="preserve"> </w:t>
      </w:r>
      <w:r w:rsidR="00E222D3">
        <w:rPr>
          <w:rFonts w:ascii="Arial Narrow" w:hAnsi="Arial Narrow"/>
        </w:rPr>
        <w:t>using a</w:t>
      </w:r>
      <w:r w:rsidRPr="0009015E">
        <w:rPr>
          <w:rFonts w:ascii="Arial Narrow" w:hAnsi="Arial Narrow"/>
        </w:rPr>
        <w:t xml:space="preserve"> dasatinib equi</w:t>
      </w:r>
      <w:r>
        <w:rPr>
          <w:rFonts w:ascii="Arial Narrow" w:hAnsi="Arial Narrow"/>
        </w:rPr>
        <w:t>-</w:t>
      </w:r>
      <w:r w:rsidRPr="0009015E">
        <w:rPr>
          <w:rFonts w:ascii="Arial Narrow" w:hAnsi="Arial Narrow"/>
        </w:rPr>
        <w:t>effective dose of 109.7</w:t>
      </w:r>
      <w:r>
        <w:rPr>
          <w:rFonts w:ascii="Arial Narrow" w:hAnsi="Arial Narrow"/>
        </w:rPr>
        <w:t> </w:t>
      </w:r>
      <w:r w:rsidRPr="0009015E">
        <w:rPr>
          <w:rFonts w:ascii="Arial Narrow" w:hAnsi="Arial Narrow"/>
        </w:rPr>
        <w:t>mg/day</w:t>
      </w:r>
      <w:r>
        <w:rPr>
          <w:rFonts w:ascii="Arial Narrow" w:hAnsi="Arial Narrow"/>
        </w:rPr>
        <w:t xml:space="preserve">; and (ii) </w:t>
      </w:r>
      <w:r w:rsidR="00EA787D">
        <w:rPr>
          <w:rFonts w:ascii="Arial Narrow" w:hAnsi="Arial Narrow"/>
        </w:rPr>
        <w:t>correction of an</w:t>
      </w:r>
      <w:r w:rsidR="00EA787D" w:rsidRPr="00EA787D">
        <w:rPr>
          <w:rFonts w:ascii="Arial Narrow" w:hAnsi="Arial Narrow"/>
        </w:rPr>
        <w:t xml:space="preserve"> error in the estimation of the cost of asciminib for patients who harbour the T315I mutation</w:t>
      </w:r>
      <w:r>
        <w:rPr>
          <w:rFonts w:ascii="Arial Narrow" w:hAnsi="Arial Narrow"/>
        </w:rPr>
        <w:t>.</w:t>
      </w:r>
    </w:p>
    <w:p w14:paraId="2D354E13" w14:textId="77777777" w:rsidR="007A2BA6" w:rsidRPr="009A6D58" w:rsidRDefault="007A2BA6" w:rsidP="007A2BA6">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7100EE70" w14:textId="223C6C5B" w:rsidR="007A2BA6" w:rsidRPr="009A6D58" w:rsidRDefault="007A2BA6" w:rsidP="007A2BA6">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7A2BA6">
        <w:rPr>
          <w:rFonts w:ascii="Arial Narrow" w:hAnsi="Arial Narrow" w:cs="Arial"/>
          <w:i/>
          <w:sz w:val="18"/>
          <w:szCs w:val="18"/>
        </w:rPr>
        <w:t>500 to &lt; 5,000</w:t>
      </w:r>
    </w:p>
    <w:p w14:paraId="4BC84017" w14:textId="5F9F21EE" w:rsidR="007A2BA6" w:rsidRPr="009A6D58" w:rsidRDefault="007A2BA6" w:rsidP="007A2BA6">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7A2BA6">
        <w:rPr>
          <w:rFonts w:ascii="Arial Narrow" w:hAnsi="Arial Narrow" w:cs="Arial"/>
          <w:i/>
          <w:sz w:val="18"/>
          <w:szCs w:val="18"/>
        </w:rPr>
        <w:t>&lt; 500</w:t>
      </w:r>
    </w:p>
    <w:p w14:paraId="5C4F8081" w14:textId="651D0899" w:rsidR="007A2BA6" w:rsidRDefault="007A2BA6" w:rsidP="007A2BA6">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7A2BA6">
        <w:rPr>
          <w:rFonts w:ascii="Arial Narrow" w:hAnsi="Arial Narrow" w:cs="Arial"/>
          <w:i/>
          <w:sz w:val="18"/>
          <w:szCs w:val="18"/>
        </w:rPr>
        <w:t>$0 to &lt; $10 million</w:t>
      </w:r>
    </w:p>
    <w:p w14:paraId="7101C002" w14:textId="42ABB4C5" w:rsidR="007A2BA6" w:rsidRDefault="007A2BA6" w:rsidP="007A2BA6">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7A2BA6">
        <w:rPr>
          <w:rFonts w:ascii="Arial Narrow" w:hAnsi="Arial Narrow" w:cs="Arial"/>
          <w:i/>
          <w:sz w:val="18"/>
          <w:szCs w:val="18"/>
        </w:rPr>
        <w:t>$10 million to &lt; $20 million</w:t>
      </w:r>
    </w:p>
    <w:p w14:paraId="6B300330" w14:textId="386B8D7B" w:rsidR="007A2BA6" w:rsidRDefault="007A2BA6" w:rsidP="007A2BA6">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7A2BA6">
        <w:rPr>
          <w:rFonts w:ascii="Arial Narrow" w:hAnsi="Arial Narrow" w:cs="Arial"/>
          <w:i/>
          <w:sz w:val="18"/>
          <w:szCs w:val="18"/>
        </w:rPr>
        <w:t>$20 million to &lt; $30 million</w:t>
      </w:r>
    </w:p>
    <w:p w14:paraId="2C254784" w14:textId="481D4D94" w:rsidR="007A2BA6" w:rsidRPr="000715F6" w:rsidRDefault="007A2BA6" w:rsidP="000715F6">
      <w:pPr>
        <w:spacing w:after="120"/>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Pr="007A2BA6">
        <w:rPr>
          <w:rFonts w:ascii="Arial Narrow" w:hAnsi="Arial Narrow" w:cs="Arial"/>
          <w:i/>
          <w:sz w:val="18"/>
          <w:szCs w:val="18"/>
        </w:rPr>
        <w:t>net cost saving</w:t>
      </w:r>
    </w:p>
    <w:p w14:paraId="0131501C" w14:textId="1BED2CD9" w:rsidR="00100F00" w:rsidRDefault="00100F00" w:rsidP="00100F00">
      <w:pPr>
        <w:pStyle w:val="3-BodyText"/>
      </w:pPr>
      <w:r>
        <w:t xml:space="preserve">The Pre-PBAC response provided updated financial estimates to reflect (i) the accepted </w:t>
      </w:r>
      <w:r w:rsidRPr="00100F00">
        <w:t>dasatinib equi-effective dose of 109.7 mg/day; and (ii) correction of an error in the estimation of the cost of asciminib for patients who harbour the T315I mutation.</w:t>
      </w:r>
      <w:r>
        <w:t xml:space="preserve"> </w:t>
      </w:r>
      <w:r w:rsidR="00FF6CD8">
        <w:t xml:space="preserve">The listing of asciminib is expected to result in a revised incremental cost </w:t>
      </w:r>
      <w:r w:rsidR="00FF6CD8" w:rsidRPr="0015717E">
        <w:t xml:space="preserve">to the R/PBS of </w:t>
      </w:r>
      <w:r w:rsidR="00AC5FB4" w:rsidRPr="00AC5FB4">
        <w:t>$10 million to &lt; $20 million</w:t>
      </w:r>
      <w:r w:rsidR="00AC5FB4">
        <w:t xml:space="preserve"> </w:t>
      </w:r>
      <w:r w:rsidR="00FF6CD8" w:rsidRPr="0015717E">
        <w:t>over</w:t>
      </w:r>
      <w:r w:rsidR="00FF6CD8">
        <w:t xml:space="preserve"> the first</w:t>
      </w:r>
      <w:r w:rsidR="00FF6CD8" w:rsidRPr="0015717E">
        <w:t xml:space="preserve"> 6 years of listing.</w:t>
      </w:r>
      <w:r>
        <w:t xml:space="preserve"> </w:t>
      </w:r>
    </w:p>
    <w:p w14:paraId="122B102F" w14:textId="02658641" w:rsidR="0048486B" w:rsidRDefault="00EA787D" w:rsidP="00100F00">
      <w:pPr>
        <w:pStyle w:val="3-BodyText"/>
      </w:pPr>
      <w:r>
        <w:t>As t</w:t>
      </w:r>
      <w:r w:rsidR="00181366" w:rsidRPr="005835DF">
        <w:t xml:space="preserve">he reasons for the additional cost to government </w:t>
      </w:r>
      <w:r>
        <w:t>were</w:t>
      </w:r>
      <w:r w:rsidRPr="005835DF">
        <w:t xml:space="preserve"> </w:t>
      </w:r>
      <w:r w:rsidR="00181366" w:rsidRPr="005835DF">
        <w:t>unclear in the resubmission</w:t>
      </w:r>
      <w:r>
        <w:t>,</w:t>
      </w:r>
      <w:r w:rsidR="00181366" w:rsidRPr="005835DF">
        <w:t xml:space="preserve"> </w:t>
      </w:r>
      <w:r w:rsidR="00100F00">
        <w:t>t</w:t>
      </w:r>
      <w:r w:rsidR="00181366" w:rsidRPr="005835DF">
        <w:t>he Pre-PBAC Response</w:t>
      </w:r>
      <w:r w:rsidR="00100F00">
        <w:t xml:space="preserve"> provided </w:t>
      </w:r>
      <w:r w:rsidR="00181366" w:rsidRPr="005835DF">
        <w:t>a breakdown of the additional spend</w:t>
      </w:r>
      <w:r w:rsidR="00421341">
        <w:t xml:space="preserve"> for the revised financial estimates</w:t>
      </w:r>
      <w:r w:rsidR="00100F00">
        <w:t xml:space="preserve"> in terms of replaced therapies (</w:t>
      </w:r>
      <w:r w:rsidR="00FF6CD8" w:rsidRPr="00FF6CD8">
        <w:rPr>
          <w:rFonts w:cstheme="minorHAnsi"/>
          <w:szCs w:val="24"/>
        </w:rPr>
        <w:fldChar w:fldCharType="begin" w:fldLock="1"/>
      </w:r>
      <w:r w:rsidR="00FF6CD8" w:rsidRPr="00FF6CD8">
        <w:rPr>
          <w:rFonts w:cstheme="minorHAnsi"/>
          <w:szCs w:val="24"/>
        </w:rPr>
        <w:instrText xml:space="preserve"> REF _Ref119490260 \h  \* MERGEFORMAT </w:instrText>
      </w:r>
      <w:r w:rsidR="00FF6CD8" w:rsidRPr="00FF6CD8">
        <w:rPr>
          <w:rFonts w:cstheme="minorHAnsi"/>
          <w:szCs w:val="24"/>
        </w:rPr>
      </w:r>
      <w:r w:rsidR="00FF6CD8" w:rsidRPr="00FF6CD8">
        <w:rPr>
          <w:rFonts w:cstheme="minorHAnsi"/>
          <w:szCs w:val="24"/>
        </w:rPr>
        <w:fldChar w:fldCharType="separate"/>
      </w:r>
      <w:r w:rsidR="00FF6CD8" w:rsidRPr="00421341">
        <w:rPr>
          <w:rFonts w:cstheme="minorHAnsi"/>
          <w:szCs w:val="24"/>
        </w:rPr>
        <w:t xml:space="preserve">Table </w:t>
      </w:r>
      <w:r w:rsidR="00FF6CD8" w:rsidRPr="00421341">
        <w:rPr>
          <w:rFonts w:cstheme="minorHAnsi"/>
          <w:noProof/>
          <w:szCs w:val="24"/>
        </w:rPr>
        <w:t>21</w:t>
      </w:r>
      <w:r w:rsidR="00FF6CD8" w:rsidRPr="00FF6CD8">
        <w:rPr>
          <w:rFonts w:cstheme="minorHAnsi"/>
          <w:szCs w:val="24"/>
        </w:rPr>
        <w:fldChar w:fldCharType="end"/>
      </w:r>
      <w:r w:rsidR="00100F00">
        <w:t>).</w:t>
      </w:r>
      <w:r w:rsidR="00421341">
        <w:t xml:space="preserve"> The Pre-PBAC response stated (p1) that the revised uptake rates and removal of the grandfathered population (included in the prevalent population in the resubmission) had the most significant impact on the overall cost to the R/PBS. Since the changes in the number of prescriptions for asciminib and substituted TKIs are consistent with the change in the total number of patients, the incremental cost to the R/PBS is predominantly due to differences in cost of substituted therapies.</w:t>
      </w:r>
    </w:p>
    <w:p w14:paraId="2246AEA1" w14:textId="2DEA01CC" w:rsidR="00501287" w:rsidRPr="00421341" w:rsidRDefault="00100F00" w:rsidP="00100F00">
      <w:pPr>
        <w:pStyle w:val="Caption"/>
        <w:keepNext/>
        <w:spacing w:after="0"/>
        <w:rPr>
          <w:rFonts w:ascii="Arial Narrow" w:hAnsi="Arial Narrow"/>
          <w:b/>
          <w:bCs/>
          <w:i w:val="0"/>
          <w:iCs w:val="0"/>
          <w:color w:val="auto"/>
          <w:sz w:val="20"/>
          <w:szCs w:val="20"/>
        </w:rPr>
      </w:pPr>
      <w:bookmarkStart w:id="48" w:name="_Ref119490260"/>
      <w:r w:rsidRPr="00421341">
        <w:rPr>
          <w:rFonts w:ascii="Arial Narrow" w:hAnsi="Arial Narrow"/>
          <w:b/>
          <w:bCs/>
          <w:i w:val="0"/>
          <w:iCs w:val="0"/>
          <w:color w:val="auto"/>
          <w:sz w:val="20"/>
          <w:szCs w:val="20"/>
        </w:rPr>
        <w:lastRenderedPageBreak/>
        <w:t xml:space="preserve">Table </w:t>
      </w:r>
      <w:r w:rsidRPr="00421341">
        <w:rPr>
          <w:rFonts w:ascii="Arial Narrow" w:hAnsi="Arial Narrow"/>
          <w:b/>
          <w:bCs/>
          <w:i w:val="0"/>
          <w:iCs w:val="0"/>
          <w:color w:val="auto"/>
          <w:sz w:val="20"/>
          <w:szCs w:val="20"/>
        </w:rPr>
        <w:fldChar w:fldCharType="begin" w:fldLock="1"/>
      </w:r>
      <w:r w:rsidRPr="00421341">
        <w:rPr>
          <w:rFonts w:ascii="Arial Narrow" w:hAnsi="Arial Narrow"/>
          <w:b/>
          <w:bCs/>
          <w:i w:val="0"/>
          <w:iCs w:val="0"/>
          <w:color w:val="auto"/>
          <w:sz w:val="20"/>
          <w:szCs w:val="20"/>
        </w:rPr>
        <w:instrText xml:space="preserve"> SEQ Table \* ARABIC </w:instrText>
      </w:r>
      <w:r w:rsidRPr="00421341">
        <w:rPr>
          <w:rFonts w:ascii="Arial Narrow" w:hAnsi="Arial Narrow"/>
          <w:b/>
          <w:bCs/>
          <w:i w:val="0"/>
          <w:iCs w:val="0"/>
          <w:color w:val="auto"/>
          <w:sz w:val="20"/>
          <w:szCs w:val="20"/>
        </w:rPr>
        <w:fldChar w:fldCharType="separate"/>
      </w:r>
      <w:r w:rsidRPr="00421341">
        <w:rPr>
          <w:rFonts w:ascii="Arial Narrow" w:hAnsi="Arial Narrow"/>
          <w:b/>
          <w:bCs/>
          <w:i w:val="0"/>
          <w:iCs w:val="0"/>
          <w:noProof/>
          <w:color w:val="auto"/>
          <w:sz w:val="20"/>
          <w:szCs w:val="20"/>
        </w:rPr>
        <w:t>21</w:t>
      </w:r>
      <w:r w:rsidRPr="00421341">
        <w:rPr>
          <w:rFonts w:ascii="Arial Narrow" w:hAnsi="Arial Narrow"/>
          <w:b/>
          <w:bCs/>
          <w:i w:val="0"/>
          <w:iCs w:val="0"/>
          <w:color w:val="auto"/>
          <w:sz w:val="20"/>
          <w:szCs w:val="20"/>
        </w:rPr>
        <w:fldChar w:fldCharType="end"/>
      </w:r>
      <w:bookmarkEnd w:id="48"/>
      <w:r w:rsidRPr="00421341">
        <w:rPr>
          <w:rFonts w:ascii="Arial Narrow" w:hAnsi="Arial Narrow"/>
          <w:b/>
          <w:bCs/>
          <w:i w:val="0"/>
          <w:iCs w:val="0"/>
          <w:color w:val="auto"/>
          <w:sz w:val="20"/>
          <w:szCs w:val="20"/>
        </w:rPr>
        <w:t xml:space="preserve">: </w:t>
      </w:r>
      <w:r w:rsidR="00501287" w:rsidRPr="00421341">
        <w:rPr>
          <w:rFonts w:ascii="Arial Narrow" w:hAnsi="Arial Narrow"/>
          <w:b/>
          <w:bCs/>
          <w:i w:val="0"/>
          <w:iCs w:val="0"/>
          <w:color w:val="auto"/>
          <w:sz w:val="20"/>
          <w:szCs w:val="20"/>
        </w:rPr>
        <w:t>Source of incremental cost to the R/PBS</w:t>
      </w:r>
    </w:p>
    <w:tbl>
      <w:tblPr>
        <w:tblStyle w:val="TableGrid"/>
        <w:tblW w:w="5000" w:type="pct"/>
        <w:jc w:val="center"/>
        <w:tblLook w:val="04A0" w:firstRow="1" w:lastRow="0" w:firstColumn="1" w:lastColumn="0" w:noHBand="0" w:noVBand="1"/>
        <w:tblCaption w:val="Table 21: Source of incremental cost to the R/PBS"/>
      </w:tblPr>
      <w:tblGrid>
        <w:gridCol w:w="1810"/>
        <w:gridCol w:w="1091"/>
        <w:gridCol w:w="1224"/>
        <w:gridCol w:w="1223"/>
        <w:gridCol w:w="1224"/>
        <w:gridCol w:w="1223"/>
        <w:gridCol w:w="1221"/>
      </w:tblGrid>
      <w:tr w:rsidR="00221D48" w:rsidRPr="00100F00" w14:paraId="075A4BDD" w14:textId="77777777" w:rsidTr="00421341">
        <w:trPr>
          <w:jc w:val="center"/>
        </w:trPr>
        <w:tc>
          <w:tcPr>
            <w:tcW w:w="1004" w:type="pct"/>
            <w:shd w:val="clear" w:color="auto" w:fill="auto"/>
            <w:vAlign w:val="center"/>
          </w:tcPr>
          <w:p w14:paraId="0CA62DB5" w14:textId="5516E93E" w:rsidR="00501287" w:rsidRPr="00904332" w:rsidRDefault="00904332" w:rsidP="005A7F0C">
            <w:pPr>
              <w:keepNext/>
              <w:rPr>
                <w:rFonts w:ascii="Arial Narrow" w:hAnsi="Arial Narrow" w:cstheme="minorHAnsi"/>
                <w:b/>
                <w:sz w:val="20"/>
                <w:szCs w:val="20"/>
              </w:rPr>
            </w:pPr>
            <w:r w:rsidRPr="00904332">
              <w:rPr>
                <w:rFonts w:ascii="Arial Narrow" w:hAnsi="Arial Narrow" w:cstheme="minorHAnsi"/>
                <w:b/>
                <w:sz w:val="20"/>
                <w:szCs w:val="20"/>
              </w:rPr>
              <w:t>Replaced therapies</w:t>
            </w:r>
          </w:p>
        </w:tc>
        <w:tc>
          <w:tcPr>
            <w:tcW w:w="605" w:type="pct"/>
            <w:shd w:val="clear" w:color="auto" w:fill="auto"/>
            <w:vAlign w:val="center"/>
          </w:tcPr>
          <w:p w14:paraId="5E343CB6" w14:textId="77777777" w:rsidR="00501287" w:rsidRPr="00FF6CD8" w:rsidRDefault="00501287" w:rsidP="005A7F0C">
            <w:pPr>
              <w:keepNext/>
              <w:jc w:val="center"/>
              <w:rPr>
                <w:rFonts w:ascii="Arial Narrow" w:hAnsi="Arial Narrow" w:cstheme="minorHAnsi"/>
                <w:b/>
                <w:sz w:val="20"/>
                <w:szCs w:val="20"/>
              </w:rPr>
            </w:pPr>
            <w:r w:rsidRPr="00FF6CD8">
              <w:rPr>
                <w:rFonts w:ascii="Arial Narrow" w:hAnsi="Arial Narrow" w:cstheme="minorHAnsi"/>
                <w:b/>
                <w:sz w:val="20"/>
                <w:szCs w:val="20"/>
              </w:rPr>
              <w:t>Year 1</w:t>
            </w:r>
          </w:p>
        </w:tc>
        <w:tc>
          <w:tcPr>
            <w:tcW w:w="679" w:type="pct"/>
            <w:shd w:val="clear" w:color="auto" w:fill="auto"/>
            <w:vAlign w:val="center"/>
          </w:tcPr>
          <w:p w14:paraId="150A08A8" w14:textId="77777777" w:rsidR="00501287" w:rsidRPr="00421341" w:rsidRDefault="00501287" w:rsidP="005A7F0C">
            <w:pPr>
              <w:keepNext/>
              <w:jc w:val="center"/>
              <w:rPr>
                <w:rFonts w:ascii="Arial Narrow" w:hAnsi="Arial Narrow" w:cstheme="minorHAnsi"/>
                <w:b/>
                <w:sz w:val="20"/>
                <w:szCs w:val="20"/>
              </w:rPr>
            </w:pPr>
            <w:r w:rsidRPr="00421341">
              <w:rPr>
                <w:rFonts w:ascii="Arial Narrow" w:hAnsi="Arial Narrow" w:cstheme="minorHAnsi"/>
                <w:b/>
                <w:sz w:val="20"/>
                <w:szCs w:val="20"/>
              </w:rPr>
              <w:t>Year 2</w:t>
            </w:r>
          </w:p>
        </w:tc>
        <w:tc>
          <w:tcPr>
            <w:tcW w:w="678" w:type="pct"/>
            <w:shd w:val="clear" w:color="auto" w:fill="auto"/>
            <w:vAlign w:val="center"/>
          </w:tcPr>
          <w:p w14:paraId="3CFAD625" w14:textId="77777777" w:rsidR="00501287" w:rsidRPr="00421341" w:rsidRDefault="00501287" w:rsidP="005A7F0C">
            <w:pPr>
              <w:keepNext/>
              <w:jc w:val="center"/>
              <w:rPr>
                <w:rFonts w:ascii="Arial Narrow" w:hAnsi="Arial Narrow" w:cstheme="minorHAnsi"/>
                <w:b/>
                <w:sz w:val="20"/>
                <w:szCs w:val="20"/>
              </w:rPr>
            </w:pPr>
            <w:r w:rsidRPr="00421341">
              <w:rPr>
                <w:rFonts w:ascii="Arial Narrow" w:hAnsi="Arial Narrow" w:cstheme="minorHAnsi"/>
                <w:b/>
                <w:sz w:val="20"/>
                <w:szCs w:val="20"/>
              </w:rPr>
              <w:t>Year 3</w:t>
            </w:r>
          </w:p>
        </w:tc>
        <w:tc>
          <w:tcPr>
            <w:tcW w:w="679" w:type="pct"/>
            <w:shd w:val="clear" w:color="auto" w:fill="auto"/>
            <w:vAlign w:val="center"/>
          </w:tcPr>
          <w:p w14:paraId="7DF61D5C" w14:textId="77777777" w:rsidR="00501287" w:rsidRPr="00421341" w:rsidRDefault="00501287" w:rsidP="005A7F0C">
            <w:pPr>
              <w:keepNext/>
              <w:jc w:val="center"/>
              <w:rPr>
                <w:rFonts w:ascii="Arial Narrow" w:hAnsi="Arial Narrow" w:cstheme="minorHAnsi"/>
                <w:b/>
                <w:sz w:val="20"/>
                <w:szCs w:val="20"/>
              </w:rPr>
            </w:pPr>
            <w:r w:rsidRPr="00421341">
              <w:rPr>
                <w:rFonts w:ascii="Arial Narrow" w:hAnsi="Arial Narrow" w:cstheme="minorHAnsi"/>
                <w:b/>
                <w:sz w:val="20"/>
                <w:szCs w:val="20"/>
              </w:rPr>
              <w:t>Year 4</w:t>
            </w:r>
          </w:p>
        </w:tc>
        <w:tc>
          <w:tcPr>
            <w:tcW w:w="678" w:type="pct"/>
            <w:shd w:val="clear" w:color="auto" w:fill="auto"/>
            <w:vAlign w:val="center"/>
          </w:tcPr>
          <w:p w14:paraId="65D13D0B" w14:textId="77777777" w:rsidR="00501287" w:rsidRPr="009530A7" w:rsidRDefault="00501287" w:rsidP="005A7F0C">
            <w:pPr>
              <w:keepNext/>
              <w:jc w:val="center"/>
              <w:rPr>
                <w:rFonts w:ascii="Arial Narrow" w:hAnsi="Arial Narrow" w:cstheme="minorHAnsi"/>
                <w:b/>
                <w:sz w:val="20"/>
                <w:szCs w:val="20"/>
              </w:rPr>
            </w:pPr>
            <w:r w:rsidRPr="009530A7">
              <w:rPr>
                <w:rFonts w:ascii="Arial Narrow" w:hAnsi="Arial Narrow" w:cstheme="minorHAnsi"/>
                <w:b/>
                <w:sz w:val="20"/>
                <w:szCs w:val="20"/>
              </w:rPr>
              <w:t>Year 5</w:t>
            </w:r>
          </w:p>
        </w:tc>
        <w:tc>
          <w:tcPr>
            <w:tcW w:w="678" w:type="pct"/>
            <w:shd w:val="clear" w:color="auto" w:fill="auto"/>
            <w:vAlign w:val="center"/>
          </w:tcPr>
          <w:p w14:paraId="271FBB1F" w14:textId="77777777" w:rsidR="00501287" w:rsidRPr="00FF2718" w:rsidRDefault="00501287" w:rsidP="005A7F0C">
            <w:pPr>
              <w:keepNext/>
              <w:jc w:val="center"/>
              <w:rPr>
                <w:rFonts w:ascii="Arial Narrow" w:hAnsi="Arial Narrow" w:cstheme="minorHAnsi"/>
                <w:b/>
                <w:sz w:val="20"/>
                <w:szCs w:val="20"/>
              </w:rPr>
            </w:pPr>
            <w:r w:rsidRPr="00FF2718">
              <w:rPr>
                <w:rFonts w:ascii="Arial Narrow" w:hAnsi="Arial Narrow" w:cstheme="minorHAnsi"/>
                <w:b/>
                <w:sz w:val="20"/>
                <w:szCs w:val="20"/>
              </w:rPr>
              <w:t>Year 6</w:t>
            </w:r>
          </w:p>
        </w:tc>
      </w:tr>
      <w:tr w:rsidR="00501287" w:rsidRPr="00100F00" w14:paraId="384A230F" w14:textId="77777777" w:rsidTr="00904332">
        <w:trPr>
          <w:jc w:val="center"/>
        </w:trPr>
        <w:tc>
          <w:tcPr>
            <w:tcW w:w="1004" w:type="pct"/>
            <w:vAlign w:val="center"/>
          </w:tcPr>
          <w:p w14:paraId="2E1D0838" w14:textId="77777777" w:rsidR="00501287" w:rsidRPr="00100F00" w:rsidRDefault="00501287" w:rsidP="005A7F0C">
            <w:pPr>
              <w:keepNext/>
              <w:rPr>
                <w:rFonts w:ascii="Arial Narrow" w:hAnsi="Arial Narrow" w:cstheme="minorHAnsi"/>
                <w:b/>
                <w:bCs/>
                <w:sz w:val="20"/>
                <w:szCs w:val="20"/>
              </w:rPr>
            </w:pPr>
            <w:r w:rsidRPr="00100F00">
              <w:rPr>
                <w:rFonts w:ascii="Arial Narrow" w:hAnsi="Arial Narrow" w:cs="Calibri"/>
                <w:b/>
                <w:bCs/>
                <w:color w:val="000000"/>
                <w:sz w:val="20"/>
                <w:szCs w:val="20"/>
              </w:rPr>
              <w:t>Nilotinib</w:t>
            </w:r>
          </w:p>
        </w:tc>
        <w:tc>
          <w:tcPr>
            <w:tcW w:w="605" w:type="pct"/>
            <w:shd w:val="clear" w:color="auto" w:fill="auto"/>
            <w:vAlign w:val="center"/>
          </w:tcPr>
          <w:p w14:paraId="2AD12942" w14:textId="624ED3E6" w:rsidR="00501287" w:rsidRPr="00716D0B" w:rsidRDefault="00B96A78" w:rsidP="005A7F0C">
            <w:pPr>
              <w:keepNext/>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31"/>
                <w:sz w:val="20"/>
                <w:szCs w:val="20"/>
                <w:shd w:val="solid" w:color="000000" w:fill="000000"/>
                <w:fitText w:val="140" w:id="-1301051897"/>
                <w14:textFill>
                  <w14:solidFill>
                    <w14:srgbClr w14:val="000000">
                      <w14:alpha w14:val="100000"/>
                    </w14:srgbClr>
                  </w14:solidFill>
                </w14:textFill>
              </w:rPr>
              <w:t xml:space="preserve">　</w:t>
            </w:r>
            <w:r w:rsidRPr="00B96A78">
              <w:rPr>
                <w:rFonts w:ascii="Arial Narrow" w:hAnsi="Arial Narrow" w:cs="Calibri"/>
                <w:color w:val="000000"/>
                <w:w w:val="31"/>
                <w:sz w:val="20"/>
                <w:szCs w:val="20"/>
                <w:shd w:val="solid" w:color="000000" w:fill="000000"/>
                <w:fitText w:val="140" w:id="-1301051897"/>
                <w14:textFill>
                  <w14:solidFill>
                    <w14:srgbClr w14:val="000000">
                      <w14:alpha w14:val="100000"/>
                    </w14:srgbClr>
                  </w14:solidFill>
                </w14:textFill>
              </w:rPr>
              <w:t>|</w:t>
            </w:r>
            <w:r w:rsidRPr="00B96A78">
              <w:rPr>
                <w:rFonts w:ascii="Arial Narrow" w:hAnsi="Arial Narrow" w:cs="Calibri" w:hint="eastAsia"/>
                <w:color w:val="000000"/>
                <w:spacing w:val="4"/>
                <w:w w:val="31"/>
                <w:sz w:val="20"/>
                <w:szCs w:val="20"/>
                <w:shd w:val="solid" w:color="000000" w:fill="000000"/>
                <w:fitText w:val="140" w:id="-1301051897"/>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1</w:t>
            </w:r>
          </w:p>
        </w:tc>
        <w:tc>
          <w:tcPr>
            <w:tcW w:w="679" w:type="pct"/>
            <w:shd w:val="clear" w:color="auto" w:fill="auto"/>
            <w:vAlign w:val="center"/>
          </w:tcPr>
          <w:p w14:paraId="35288572" w14:textId="021ACA8C" w:rsidR="00501287" w:rsidRPr="00716D0B" w:rsidRDefault="00B96A78" w:rsidP="005A7F0C">
            <w:pPr>
              <w:keepNext/>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70" w:id="-1301051896"/>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896"/>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896"/>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1</w:t>
            </w:r>
          </w:p>
        </w:tc>
        <w:tc>
          <w:tcPr>
            <w:tcW w:w="678" w:type="pct"/>
            <w:shd w:val="clear" w:color="auto" w:fill="auto"/>
            <w:vAlign w:val="center"/>
          </w:tcPr>
          <w:p w14:paraId="6E94304A" w14:textId="0D563A33" w:rsidR="00501287" w:rsidRPr="00716D0B" w:rsidRDefault="00B96A78" w:rsidP="005A7F0C">
            <w:pPr>
              <w:keepNext/>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70" w:id="-1301051895"/>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895"/>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895"/>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1</w:t>
            </w:r>
          </w:p>
        </w:tc>
        <w:tc>
          <w:tcPr>
            <w:tcW w:w="679" w:type="pct"/>
            <w:shd w:val="clear" w:color="auto" w:fill="auto"/>
            <w:vAlign w:val="center"/>
          </w:tcPr>
          <w:p w14:paraId="460D8AD5" w14:textId="3F4458F3" w:rsidR="00501287" w:rsidRPr="00716D0B" w:rsidRDefault="00B96A78" w:rsidP="005A7F0C">
            <w:pPr>
              <w:keepNext/>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70" w:id="-1301051894"/>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894"/>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894"/>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1</w:t>
            </w:r>
          </w:p>
        </w:tc>
        <w:tc>
          <w:tcPr>
            <w:tcW w:w="678" w:type="pct"/>
            <w:shd w:val="clear" w:color="auto" w:fill="auto"/>
            <w:vAlign w:val="center"/>
          </w:tcPr>
          <w:p w14:paraId="1093E247" w14:textId="61A8FF18" w:rsidR="00501287" w:rsidRPr="00716D0B" w:rsidRDefault="00B96A78" w:rsidP="005A7F0C">
            <w:pPr>
              <w:keepNext/>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70" w:id="-1301051893"/>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893"/>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893"/>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1</w:t>
            </w:r>
          </w:p>
        </w:tc>
        <w:tc>
          <w:tcPr>
            <w:tcW w:w="678" w:type="pct"/>
            <w:shd w:val="clear" w:color="auto" w:fill="auto"/>
            <w:vAlign w:val="center"/>
          </w:tcPr>
          <w:p w14:paraId="145C698E" w14:textId="0B48E81E" w:rsidR="00501287" w:rsidRPr="00716D0B" w:rsidRDefault="00B96A78" w:rsidP="005A7F0C">
            <w:pPr>
              <w:keepNext/>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8"/>
                <w:sz w:val="20"/>
                <w:szCs w:val="20"/>
                <w:shd w:val="solid" w:color="000000" w:fill="000000"/>
                <w:fitText w:val="80" w:id="-1301051892"/>
                <w14:textFill>
                  <w14:solidFill>
                    <w14:srgbClr w14:val="000000">
                      <w14:alpha w14:val="100000"/>
                    </w14:srgbClr>
                  </w14:solidFill>
                </w14:textFill>
              </w:rPr>
              <w:t xml:space="preserve">　</w:t>
            </w:r>
            <w:r w:rsidRPr="00B96A78">
              <w:rPr>
                <w:rFonts w:ascii="Arial Narrow" w:hAnsi="Arial Narrow" w:cs="Calibri"/>
                <w:color w:val="000000"/>
                <w:w w:val="18"/>
                <w:sz w:val="20"/>
                <w:szCs w:val="20"/>
                <w:shd w:val="solid" w:color="000000" w:fill="000000"/>
                <w:fitText w:val="80" w:id="-1301051892"/>
                <w14:textFill>
                  <w14:solidFill>
                    <w14:srgbClr w14:val="000000">
                      <w14:alpha w14:val="100000"/>
                    </w14:srgbClr>
                  </w14:solidFill>
                </w14:textFill>
              </w:rPr>
              <w:t>|</w:t>
            </w:r>
            <w:r w:rsidRPr="00B96A78">
              <w:rPr>
                <w:rFonts w:ascii="Arial Narrow" w:hAnsi="Arial Narrow" w:cs="Calibri" w:hint="eastAsia"/>
                <w:color w:val="000000"/>
                <w:w w:val="18"/>
                <w:sz w:val="20"/>
                <w:szCs w:val="20"/>
                <w:shd w:val="solid" w:color="000000" w:fill="000000"/>
                <w:fitText w:val="80" w:id="-1301051892"/>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1</w:t>
            </w:r>
          </w:p>
        </w:tc>
      </w:tr>
      <w:tr w:rsidR="00501287" w:rsidRPr="00100F00" w14:paraId="20572A2F" w14:textId="77777777" w:rsidTr="00904332">
        <w:trPr>
          <w:jc w:val="center"/>
        </w:trPr>
        <w:tc>
          <w:tcPr>
            <w:tcW w:w="1004" w:type="pct"/>
            <w:vAlign w:val="center"/>
          </w:tcPr>
          <w:p w14:paraId="0F2FD251" w14:textId="77777777" w:rsidR="00501287" w:rsidRPr="00100F00" w:rsidRDefault="00501287" w:rsidP="005A7F0C">
            <w:pPr>
              <w:keepNext/>
              <w:rPr>
                <w:rFonts w:ascii="Arial Narrow" w:hAnsi="Arial Narrow" w:cstheme="minorHAnsi"/>
                <w:b/>
                <w:bCs/>
                <w:sz w:val="20"/>
                <w:szCs w:val="20"/>
              </w:rPr>
            </w:pPr>
            <w:r w:rsidRPr="00100F00">
              <w:rPr>
                <w:rFonts w:ascii="Arial Narrow" w:hAnsi="Arial Narrow" w:cs="Calibri"/>
                <w:b/>
                <w:bCs/>
                <w:color w:val="000000"/>
                <w:sz w:val="20"/>
                <w:szCs w:val="20"/>
              </w:rPr>
              <w:t>Ponatinib</w:t>
            </w:r>
          </w:p>
        </w:tc>
        <w:tc>
          <w:tcPr>
            <w:tcW w:w="605" w:type="pct"/>
            <w:shd w:val="clear" w:color="auto" w:fill="auto"/>
            <w:vAlign w:val="center"/>
          </w:tcPr>
          <w:p w14:paraId="38A41510" w14:textId="0D35A7E6" w:rsidR="00501287" w:rsidRPr="00716D0B" w:rsidRDefault="00B96A78" w:rsidP="005A7F0C">
            <w:pPr>
              <w:keepNext/>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31"/>
                <w:sz w:val="20"/>
                <w:szCs w:val="20"/>
                <w:shd w:val="solid" w:color="000000" w:fill="000000"/>
                <w:fitText w:val="140" w:id="-1301051891"/>
                <w14:textFill>
                  <w14:solidFill>
                    <w14:srgbClr w14:val="000000">
                      <w14:alpha w14:val="100000"/>
                    </w14:srgbClr>
                  </w14:solidFill>
                </w14:textFill>
              </w:rPr>
              <w:t xml:space="preserve">　</w:t>
            </w:r>
            <w:r w:rsidRPr="00B96A78">
              <w:rPr>
                <w:rFonts w:ascii="Arial Narrow" w:hAnsi="Arial Narrow" w:cs="Calibri"/>
                <w:color w:val="000000"/>
                <w:w w:val="31"/>
                <w:sz w:val="20"/>
                <w:szCs w:val="20"/>
                <w:shd w:val="solid" w:color="000000" w:fill="000000"/>
                <w:fitText w:val="140" w:id="-1301051891"/>
                <w14:textFill>
                  <w14:solidFill>
                    <w14:srgbClr w14:val="000000">
                      <w14:alpha w14:val="100000"/>
                    </w14:srgbClr>
                  </w14:solidFill>
                </w14:textFill>
              </w:rPr>
              <w:t>|</w:t>
            </w:r>
            <w:r w:rsidRPr="00B96A78">
              <w:rPr>
                <w:rFonts w:ascii="Arial Narrow" w:hAnsi="Arial Narrow" w:cs="Calibri" w:hint="eastAsia"/>
                <w:color w:val="000000"/>
                <w:spacing w:val="4"/>
                <w:w w:val="31"/>
                <w:sz w:val="20"/>
                <w:szCs w:val="20"/>
                <w:shd w:val="solid" w:color="000000" w:fill="000000"/>
                <w:fitText w:val="140" w:id="-1301051891"/>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9" w:type="pct"/>
            <w:shd w:val="clear" w:color="auto" w:fill="auto"/>
            <w:vAlign w:val="center"/>
          </w:tcPr>
          <w:p w14:paraId="09C8E407" w14:textId="2BBC7FC3" w:rsidR="00501287" w:rsidRPr="00716D0B" w:rsidRDefault="00B96A78" w:rsidP="005A7F0C">
            <w:pPr>
              <w:keepNext/>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70" w:id="-1301051890"/>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890"/>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890"/>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8" w:type="pct"/>
            <w:shd w:val="clear" w:color="auto" w:fill="auto"/>
            <w:vAlign w:val="center"/>
          </w:tcPr>
          <w:p w14:paraId="7AE09284" w14:textId="752562C9" w:rsidR="00501287" w:rsidRPr="00716D0B" w:rsidRDefault="00B96A78" w:rsidP="005A7F0C">
            <w:pPr>
              <w:keepNext/>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70" w:id="-1301051889"/>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889"/>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889"/>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9" w:type="pct"/>
            <w:shd w:val="clear" w:color="auto" w:fill="auto"/>
            <w:vAlign w:val="center"/>
          </w:tcPr>
          <w:p w14:paraId="1461D814" w14:textId="2B694CB9" w:rsidR="00501287" w:rsidRPr="00716D0B" w:rsidRDefault="00B96A78" w:rsidP="005A7F0C">
            <w:pPr>
              <w:keepNext/>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70" w:id="-1301051888"/>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888"/>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888"/>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8" w:type="pct"/>
            <w:shd w:val="clear" w:color="auto" w:fill="auto"/>
            <w:vAlign w:val="center"/>
          </w:tcPr>
          <w:p w14:paraId="08AB3024" w14:textId="36C24ADC" w:rsidR="00501287" w:rsidRPr="00716D0B" w:rsidRDefault="00B96A78" w:rsidP="005A7F0C">
            <w:pPr>
              <w:keepNext/>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5"/>
                <w:sz w:val="20"/>
                <w:szCs w:val="20"/>
                <w:shd w:val="solid" w:color="000000" w:fill="000000"/>
                <w:fitText w:val="70" w:id="-1301051904"/>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904"/>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904"/>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8" w:type="pct"/>
            <w:shd w:val="clear" w:color="auto" w:fill="auto"/>
            <w:vAlign w:val="center"/>
          </w:tcPr>
          <w:p w14:paraId="2A628363" w14:textId="7FB7EEF0" w:rsidR="00501287" w:rsidRPr="00716D0B" w:rsidRDefault="00B96A78" w:rsidP="005A7F0C">
            <w:pPr>
              <w:keepNext/>
              <w:jc w:val="center"/>
              <w:rPr>
                <w:rFonts w:ascii="Arial Narrow" w:hAnsi="Arial Narrow" w:cstheme="minorHAnsi"/>
                <w:color w:val="000000"/>
                <w:sz w:val="20"/>
                <w:szCs w:val="20"/>
                <w:highlight w:val="darkGray"/>
              </w:rPr>
            </w:pPr>
            <w:r w:rsidRPr="00B96A78">
              <w:rPr>
                <w:rFonts w:ascii="Arial Narrow" w:hAnsi="Arial Narrow" w:cs="Calibri" w:hint="eastAsia"/>
                <w:color w:val="000000"/>
                <w:w w:val="18"/>
                <w:sz w:val="20"/>
                <w:szCs w:val="20"/>
                <w:shd w:val="solid" w:color="000000" w:fill="000000"/>
                <w:fitText w:val="80" w:id="-1301051903"/>
                <w14:textFill>
                  <w14:solidFill>
                    <w14:srgbClr w14:val="000000">
                      <w14:alpha w14:val="100000"/>
                    </w14:srgbClr>
                  </w14:solidFill>
                </w14:textFill>
              </w:rPr>
              <w:t xml:space="preserve">　</w:t>
            </w:r>
            <w:r w:rsidRPr="00B96A78">
              <w:rPr>
                <w:rFonts w:ascii="Arial Narrow" w:hAnsi="Arial Narrow" w:cs="Calibri"/>
                <w:color w:val="000000"/>
                <w:w w:val="18"/>
                <w:sz w:val="20"/>
                <w:szCs w:val="20"/>
                <w:shd w:val="solid" w:color="000000" w:fill="000000"/>
                <w:fitText w:val="80" w:id="-1301051903"/>
                <w14:textFill>
                  <w14:solidFill>
                    <w14:srgbClr w14:val="000000">
                      <w14:alpha w14:val="100000"/>
                    </w14:srgbClr>
                  </w14:solidFill>
                </w14:textFill>
              </w:rPr>
              <w:t>|</w:t>
            </w:r>
            <w:r w:rsidRPr="00B96A78">
              <w:rPr>
                <w:rFonts w:ascii="Arial Narrow" w:hAnsi="Arial Narrow" w:cs="Calibri" w:hint="eastAsia"/>
                <w:color w:val="000000"/>
                <w:w w:val="18"/>
                <w:sz w:val="20"/>
                <w:szCs w:val="20"/>
                <w:shd w:val="solid" w:color="000000" w:fill="000000"/>
                <w:fitText w:val="80" w:id="-1301051903"/>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r>
      <w:tr w:rsidR="00501287" w:rsidRPr="00100F00" w14:paraId="2AECE3F3" w14:textId="77777777" w:rsidTr="00904332">
        <w:trPr>
          <w:jc w:val="center"/>
        </w:trPr>
        <w:tc>
          <w:tcPr>
            <w:tcW w:w="1004" w:type="pct"/>
            <w:vAlign w:val="center"/>
          </w:tcPr>
          <w:p w14:paraId="4AFA0FE9" w14:textId="77777777" w:rsidR="00501287" w:rsidRPr="00100F00" w:rsidRDefault="00501287" w:rsidP="005A7F0C">
            <w:pPr>
              <w:keepNext/>
              <w:rPr>
                <w:rFonts w:ascii="Arial Narrow" w:hAnsi="Arial Narrow" w:cstheme="minorHAnsi"/>
                <w:b/>
                <w:bCs/>
                <w:sz w:val="20"/>
                <w:szCs w:val="20"/>
              </w:rPr>
            </w:pPr>
            <w:r w:rsidRPr="00100F00">
              <w:rPr>
                <w:rFonts w:ascii="Arial Narrow" w:hAnsi="Arial Narrow" w:cs="Calibri"/>
                <w:b/>
                <w:bCs/>
                <w:color w:val="000000"/>
                <w:sz w:val="20"/>
                <w:szCs w:val="20"/>
              </w:rPr>
              <w:t>Dasatinib</w:t>
            </w:r>
          </w:p>
        </w:tc>
        <w:tc>
          <w:tcPr>
            <w:tcW w:w="605" w:type="pct"/>
            <w:shd w:val="clear" w:color="auto" w:fill="auto"/>
            <w:vAlign w:val="center"/>
          </w:tcPr>
          <w:p w14:paraId="76413861" w14:textId="1744ECDB" w:rsidR="00501287" w:rsidRPr="00716D0B" w:rsidRDefault="00B96A78" w:rsidP="005A7F0C">
            <w:pPr>
              <w:keepNext/>
              <w:jc w:val="center"/>
              <w:rPr>
                <w:rFonts w:ascii="Arial Narrow" w:hAnsi="Arial Narrow" w:cstheme="minorHAnsi"/>
                <w:sz w:val="20"/>
                <w:szCs w:val="20"/>
                <w:highlight w:val="darkGray"/>
              </w:rPr>
            </w:pPr>
            <w:r w:rsidRPr="00B96A78">
              <w:rPr>
                <w:rFonts w:ascii="Arial Narrow" w:hAnsi="Arial Narrow" w:cs="Calibri" w:hint="eastAsia"/>
                <w:color w:val="000000"/>
                <w:w w:val="31"/>
                <w:sz w:val="20"/>
                <w:szCs w:val="20"/>
                <w:shd w:val="solid" w:color="000000" w:fill="000000"/>
                <w:fitText w:val="140" w:id="-1301051902"/>
                <w14:textFill>
                  <w14:solidFill>
                    <w14:srgbClr w14:val="000000">
                      <w14:alpha w14:val="100000"/>
                    </w14:srgbClr>
                  </w14:solidFill>
                </w14:textFill>
              </w:rPr>
              <w:t xml:space="preserve">　</w:t>
            </w:r>
            <w:r w:rsidRPr="00B96A78">
              <w:rPr>
                <w:rFonts w:ascii="Arial Narrow" w:hAnsi="Arial Narrow" w:cs="Calibri"/>
                <w:color w:val="000000"/>
                <w:w w:val="31"/>
                <w:sz w:val="20"/>
                <w:szCs w:val="20"/>
                <w:shd w:val="solid" w:color="000000" w:fill="000000"/>
                <w:fitText w:val="140" w:id="-1301051902"/>
                <w14:textFill>
                  <w14:solidFill>
                    <w14:srgbClr w14:val="000000">
                      <w14:alpha w14:val="100000"/>
                    </w14:srgbClr>
                  </w14:solidFill>
                </w14:textFill>
              </w:rPr>
              <w:t>|</w:t>
            </w:r>
            <w:r w:rsidRPr="00B96A78">
              <w:rPr>
                <w:rFonts w:ascii="Arial Narrow" w:hAnsi="Arial Narrow" w:cs="Calibri" w:hint="eastAsia"/>
                <w:color w:val="000000"/>
                <w:spacing w:val="4"/>
                <w:w w:val="31"/>
                <w:sz w:val="20"/>
                <w:szCs w:val="20"/>
                <w:shd w:val="solid" w:color="000000" w:fill="000000"/>
                <w:fitText w:val="140" w:id="-1301051902"/>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9" w:type="pct"/>
            <w:shd w:val="clear" w:color="auto" w:fill="auto"/>
            <w:vAlign w:val="center"/>
          </w:tcPr>
          <w:p w14:paraId="3F1CE02B" w14:textId="0EA73186" w:rsidR="00501287" w:rsidRPr="00716D0B" w:rsidRDefault="00B96A78" w:rsidP="005A7F0C">
            <w:pPr>
              <w:keepNext/>
              <w:jc w:val="center"/>
              <w:rPr>
                <w:rFonts w:ascii="Arial Narrow" w:hAnsi="Arial Narrow" w:cstheme="minorHAnsi"/>
                <w:sz w:val="20"/>
                <w:szCs w:val="20"/>
                <w:highlight w:val="darkGray"/>
              </w:rPr>
            </w:pPr>
            <w:r w:rsidRPr="00B96A78">
              <w:rPr>
                <w:rFonts w:ascii="Arial Narrow" w:hAnsi="Arial Narrow" w:cs="Calibri" w:hint="eastAsia"/>
                <w:color w:val="000000"/>
                <w:w w:val="15"/>
                <w:sz w:val="20"/>
                <w:szCs w:val="20"/>
                <w:shd w:val="solid" w:color="000000" w:fill="000000"/>
                <w:fitText w:val="70" w:id="-1301051901"/>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901"/>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901"/>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8" w:type="pct"/>
            <w:shd w:val="clear" w:color="auto" w:fill="auto"/>
            <w:vAlign w:val="center"/>
          </w:tcPr>
          <w:p w14:paraId="51D0A012" w14:textId="51DD7739" w:rsidR="00501287" w:rsidRPr="00716D0B" w:rsidRDefault="00B96A78" w:rsidP="005A7F0C">
            <w:pPr>
              <w:keepNext/>
              <w:jc w:val="center"/>
              <w:rPr>
                <w:rFonts w:ascii="Arial Narrow" w:hAnsi="Arial Narrow" w:cstheme="minorHAnsi"/>
                <w:sz w:val="20"/>
                <w:szCs w:val="20"/>
                <w:highlight w:val="darkGray"/>
              </w:rPr>
            </w:pPr>
            <w:r w:rsidRPr="00B96A78">
              <w:rPr>
                <w:rFonts w:ascii="Arial Narrow" w:hAnsi="Arial Narrow" w:cs="Calibri" w:hint="eastAsia"/>
                <w:color w:val="000000"/>
                <w:w w:val="15"/>
                <w:sz w:val="20"/>
                <w:szCs w:val="20"/>
                <w:shd w:val="solid" w:color="000000" w:fill="000000"/>
                <w:fitText w:val="70" w:id="-1301051900"/>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900"/>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900"/>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9" w:type="pct"/>
            <w:shd w:val="clear" w:color="auto" w:fill="auto"/>
            <w:vAlign w:val="center"/>
          </w:tcPr>
          <w:p w14:paraId="4B99B332" w14:textId="3385FE8A" w:rsidR="00501287" w:rsidRPr="00716D0B" w:rsidRDefault="00B96A78" w:rsidP="005A7F0C">
            <w:pPr>
              <w:keepNext/>
              <w:jc w:val="center"/>
              <w:rPr>
                <w:rFonts w:ascii="Arial Narrow" w:hAnsi="Arial Narrow" w:cstheme="minorHAnsi"/>
                <w:sz w:val="20"/>
                <w:szCs w:val="20"/>
                <w:highlight w:val="darkGray"/>
              </w:rPr>
            </w:pPr>
            <w:r w:rsidRPr="00B96A78">
              <w:rPr>
                <w:rFonts w:ascii="Arial Narrow" w:hAnsi="Arial Narrow" w:cs="Calibri" w:hint="eastAsia"/>
                <w:color w:val="000000"/>
                <w:w w:val="15"/>
                <w:sz w:val="20"/>
                <w:szCs w:val="20"/>
                <w:shd w:val="solid" w:color="000000" w:fill="000000"/>
                <w:fitText w:val="70" w:id="-1301051899"/>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899"/>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899"/>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8" w:type="pct"/>
            <w:shd w:val="clear" w:color="auto" w:fill="auto"/>
            <w:vAlign w:val="center"/>
          </w:tcPr>
          <w:p w14:paraId="627C6B24" w14:textId="4E4EC364" w:rsidR="00501287" w:rsidRPr="00716D0B" w:rsidRDefault="00B96A78" w:rsidP="005A7F0C">
            <w:pPr>
              <w:keepNext/>
              <w:jc w:val="center"/>
              <w:rPr>
                <w:rFonts w:ascii="Arial Narrow" w:hAnsi="Arial Narrow" w:cstheme="minorHAnsi"/>
                <w:sz w:val="20"/>
                <w:szCs w:val="20"/>
                <w:highlight w:val="darkGray"/>
              </w:rPr>
            </w:pPr>
            <w:r w:rsidRPr="00B96A78">
              <w:rPr>
                <w:rFonts w:ascii="Arial Narrow" w:hAnsi="Arial Narrow" w:cs="Calibri" w:hint="eastAsia"/>
                <w:color w:val="000000"/>
                <w:w w:val="15"/>
                <w:sz w:val="20"/>
                <w:szCs w:val="20"/>
                <w:shd w:val="solid" w:color="000000" w:fill="000000"/>
                <w:fitText w:val="70" w:id="-1301051898"/>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898"/>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898"/>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8" w:type="pct"/>
            <w:shd w:val="clear" w:color="auto" w:fill="auto"/>
            <w:vAlign w:val="center"/>
          </w:tcPr>
          <w:p w14:paraId="5A272615" w14:textId="2CE60AA1" w:rsidR="00501287" w:rsidRPr="00716D0B" w:rsidRDefault="00B96A78" w:rsidP="005A7F0C">
            <w:pPr>
              <w:keepNext/>
              <w:jc w:val="center"/>
              <w:rPr>
                <w:rFonts w:ascii="Arial Narrow" w:hAnsi="Arial Narrow" w:cstheme="minorHAnsi"/>
                <w:sz w:val="20"/>
                <w:szCs w:val="20"/>
                <w:highlight w:val="darkGray"/>
              </w:rPr>
            </w:pPr>
            <w:r w:rsidRPr="00B96A78">
              <w:rPr>
                <w:rFonts w:ascii="Arial Narrow" w:hAnsi="Arial Narrow" w:cs="Calibri" w:hint="eastAsia"/>
                <w:color w:val="000000"/>
                <w:w w:val="18"/>
                <w:sz w:val="20"/>
                <w:szCs w:val="20"/>
                <w:shd w:val="solid" w:color="000000" w:fill="000000"/>
                <w:fitText w:val="80" w:id="-1301051897"/>
                <w14:textFill>
                  <w14:solidFill>
                    <w14:srgbClr w14:val="000000">
                      <w14:alpha w14:val="100000"/>
                    </w14:srgbClr>
                  </w14:solidFill>
                </w14:textFill>
              </w:rPr>
              <w:t xml:space="preserve">　</w:t>
            </w:r>
            <w:r w:rsidRPr="00B96A78">
              <w:rPr>
                <w:rFonts w:ascii="Arial Narrow" w:hAnsi="Arial Narrow" w:cs="Calibri"/>
                <w:color w:val="000000"/>
                <w:w w:val="18"/>
                <w:sz w:val="20"/>
                <w:szCs w:val="20"/>
                <w:shd w:val="solid" w:color="000000" w:fill="000000"/>
                <w:fitText w:val="80" w:id="-1301051897"/>
                <w14:textFill>
                  <w14:solidFill>
                    <w14:srgbClr w14:val="000000">
                      <w14:alpha w14:val="100000"/>
                    </w14:srgbClr>
                  </w14:solidFill>
                </w14:textFill>
              </w:rPr>
              <w:t>|</w:t>
            </w:r>
            <w:r w:rsidRPr="00B96A78">
              <w:rPr>
                <w:rFonts w:ascii="Arial Narrow" w:hAnsi="Arial Narrow" w:cs="Calibri" w:hint="eastAsia"/>
                <w:color w:val="000000"/>
                <w:w w:val="18"/>
                <w:sz w:val="20"/>
                <w:szCs w:val="20"/>
                <w:shd w:val="solid" w:color="000000" w:fill="000000"/>
                <w:fitText w:val="80" w:id="-1301051897"/>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r>
      <w:tr w:rsidR="00501287" w:rsidRPr="00100F00" w14:paraId="3DED681D" w14:textId="77777777" w:rsidTr="00904332">
        <w:trPr>
          <w:jc w:val="center"/>
        </w:trPr>
        <w:tc>
          <w:tcPr>
            <w:tcW w:w="1004" w:type="pct"/>
            <w:vAlign w:val="center"/>
          </w:tcPr>
          <w:p w14:paraId="5CF19F77" w14:textId="77777777" w:rsidR="00501287" w:rsidRPr="00100F00" w:rsidRDefault="00501287" w:rsidP="005A7F0C">
            <w:pPr>
              <w:keepNext/>
              <w:rPr>
                <w:rFonts w:ascii="Arial Narrow" w:hAnsi="Arial Narrow" w:cstheme="minorHAnsi"/>
                <w:b/>
                <w:bCs/>
                <w:sz w:val="20"/>
                <w:szCs w:val="20"/>
              </w:rPr>
            </w:pPr>
            <w:r w:rsidRPr="00100F00">
              <w:rPr>
                <w:rFonts w:ascii="Arial Narrow" w:hAnsi="Arial Narrow" w:cs="Calibri"/>
                <w:b/>
                <w:bCs/>
                <w:color w:val="000000"/>
                <w:sz w:val="20"/>
                <w:szCs w:val="20"/>
              </w:rPr>
              <w:t>Imatinib</w:t>
            </w:r>
          </w:p>
        </w:tc>
        <w:tc>
          <w:tcPr>
            <w:tcW w:w="605" w:type="pct"/>
            <w:shd w:val="clear" w:color="auto" w:fill="auto"/>
            <w:vAlign w:val="center"/>
          </w:tcPr>
          <w:p w14:paraId="3C7F8F4B" w14:textId="44CE824D" w:rsidR="00501287" w:rsidRPr="00716D0B" w:rsidRDefault="00B96A78" w:rsidP="005A7F0C">
            <w:pPr>
              <w:keepNext/>
              <w:jc w:val="center"/>
              <w:rPr>
                <w:rFonts w:ascii="Arial Narrow" w:hAnsi="Arial Narrow" w:cstheme="minorHAnsi"/>
                <w:sz w:val="20"/>
                <w:szCs w:val="20"/>
                <w:highlight w:val="darkGray"/>
              </w:rPr>
            </w:pPr>
            <w:r w:rsidRPr="00B96A78">
              <w:rPr>
                <w:rFonts w:ascii="Arial Narrow" w:hAnsi="Arial Narrow" w:cs="Calibri" w:hint="eastAsia"/>
                <w:color w:val="000000"/>
                <w:w w:val="31"/>
                <w:sz w:val="20"/>
                <w:szCs w:val="20"/>
                <w:shd w:val="solid" w:color="000000" w:fill="000000"/>
                <w:fitText w:val="140" w:id="-1301051896"/>
                <w14:textFill>
                  <w14:solidFill>
                    <w14:srgbClr w14:val="000000">
                      <w14:alpha w14:val="100000"/>
                    </w14:srgbClr>
                  </w14:solidFill>
                </w14:textFill>
              </w:rPr>
              <w:t xml:space="preserve">　</w:t>
            </w:r>
            <w:r w:rsidRPr="00B96A78">
              <w:rPr>
                <w:rFonts w:ascii="Arial Narrow" w:hAnsi="Arial Narrow" w:cs="Calibri"/>
                <w:color w:val="000000"/>
                <w:w w:val="31"/>
                <w:sz w:val="20"/>
                <w:szCs w:val="20"/>
                <w:shd w:val="solid" w:color="000000" w:fill="000000"/>
                <w:fitText w:val="140" w:id="-1301051896"/>
                <w14:textFill>
                  <w14:solidFill>
                    <w14:srgbClr w14:val="000000">
                      <w14:alpha w14:val="100000"/>
                    </w14:srgbClr>
                  </w14:solidFill>
                </w14:textFill>
              </w:rPr>
              <w:t>|</w:t>
            </w:r>
            <w:r w:rsidRPr="00B96A78">
              <w:rPr>
                <w:rFonts w:ascii="Arial Narrow" w:hAnsi="Arial Narrow" w:cs="Calibri" w:hint="eastAsia"/>
                <w:color w:val="000000"/>
                <w:spacing w:val="4"/>
                <w:w w:val="31"/>
                <w:sz w:val="20"/>
                <w:szCs w:val="20"/>
                <w:shd w:val="solid" w:color="000000" w:fill="000000"/>
                <w:fitText w:val="140" w:id="-1301051896"/>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9" w:type="pct"/>
            <w:shd w:val="clear" w:color="auto" w:fill="auto"/>
            <w:vAlign w:val="center"/>
          </w:tcPr>
          <w:p w14:paraId="04A8FBC7" w14:textId="10C585A0" w:rsidR="00501287" w:rsidRPr="00716D0B" w:rsidRDefault="00B96A78" w:rsidP="005A7F0C">
            <w:pPr>
              <w:keepNext/>
              <w:jc w:val="center"/>
              <w:rPr>
                <w:rFonts w:ascii="Arial Narrow" w:hAnsi="Arial Narrow" w:cstheme="minorHAnsi"/>
                <w:sz w:val="20"/>
                <w:szCs w:val="20"/>
                <w:highlight w:val="darkGray"/>
              </w:rPr>
            </w:pPr>
            <w:r w:rsidRPr="00B96A78">
              <w:rPr>
                <w:rFonts w:ascii="Arial Narrow" w:hAnsi="Arial Narrow" w:cs="Calibri" w:hint="eastAsia"/>
                <w:color w:val="000000"/>
                <w:w w:val="15"/>
                <w:sz w:val="20"/>
                <w:szCs w:val="20"/>
                <w:shd w:val="solid" w:color="000000" w:fill="000000"/>
                <w:fitText w:val="70" w:id="-1301051895"/>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895"/>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895"/>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8" w:type="pct"/>
            <w:shd w:val="clear" w:color="auto" w:fill="auto"/>
            <w:vAlign w:val="center"/>
          </w:tcPr>
          <w:p w14:paraId="61CFB85D" w14:textId="3A1DE140" w:rsidR="00501287" w:rsidRPr="00716D0B" w:rsidRDefault="00B96A78" w:rsidP="005A7F0C">
            <w:pPr>
              <w:keepNext/>
              <w:jc w:val="center"/>
              <w:rPr>
                <w:rFonts w:ascii="Arial Narrow" w:hAnsi="Arial Narrow" w:cstheme="minorHAnsi"/>
                <w:sz w:val="20"/>
                <w:szCs w:val="20"/>
                <w:highlight w:val="darkGray"/>
              </w:rPr>
            </w:pPr>
            <w:r w:rsidRPr="00B96A78">
              <w:rPr>
                <w:rFonts w:ascii="Arial Narrow" w:hAnsi="Arial Narrow" w:cs="Calibri" w:hint="eastAsia"/>
                <w:color w:val="000000"/>
                <w:w w:val="15"/>
                <w:sz w:val="20"/>
                <w:szCs w:val="20"/>
                <w:shd w:val="solid" w:color="000000" w:fill="000000"/>
                <w:fitText w:val="70" w:id="-1301051894"/>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894"/>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894"/>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9" w:type="pct"/>
            <w:shd w:val="clear" w:color="auto" w:fill="auto"/>
            <w:vAlign w:val="center"/>
          </w:tcPr>
          <w:p w14:paraId="78E0B507" w14:textId="0DB003D3" w:rsidR="00501287" w:rsidRPr="00716D0B" w:rsidRDefault="00B96A78" w:rsidP="005A7F0C">
            <w:pPr>
              <w:keepNext/>
              <w:jc w:val="center"/>
              <w:rPr>
                <w:rFonts w:ascii="Arial Narrow" w:hAnsi="Arial Narrow" w:cstheme="minorHAnsi"/>
                <w:sz w:val="20"/>
                <w:szCs w:val="20"/>
                <w:highlight w:val="darkGray"/>
              </w:rPr>
            </w:pPr>
            <w:r w:rsidRPr="00B96A78">
              <w:rPr>
                <w:rFonts w:ascii="Arial Narrow" w:hAnsi="Arial Narrow" w:cs="Calibri" w:hint="eastAsia"/>
                <w:color w:val="000000"/>
                <w:w w:val="15"/>
                <w:sz w:val="20"/>
                <w:szCs w:val="20"/>
                <w:shd w:val="solid" w:color="000000" w:fill="000000"/>
                <w:fitText w:val="70" w:id="-1301051893"/>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893"/>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893"/>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8" w:type="pct"/>
            <w:shd w:val="clear" w:color="auto" w:fill="auto"/>
            <w:vAlign w:val="center"/>
          </w:tcPr>
          <w:p w14:paraId="5F8DC74D" w14:textId="7651CF31" w:rsidR="00501287" w:rsidRPr="00716D0B" w:rsidRDefault="00B96A78" w:rsidP="005A7F0C">
            <w:pPr>
              <w:keepNext/>
              <w:jc w:val="center"/>
              <w:rPr>
                <w:rFonts w:ascii="Arial Narrow" w:hAnsi="Arial Narrow" w:cstheme="minorHAnsi"/>
                <w:sz w:val="20"/>
                <w:szCs w:val="20"/>
                <w:highlight w:val="darkGray"/>
              </w:rPr>
            </w:pPr>
            <w:r w:rsidRPr="00B96A78">
              <w:rPr>
                <w:rFonts w:ascii="Arial Narrow" w:hAnsi="Arial Narrow" w:cs="Calibri" w:hint="eastAsia"/>
                <w:color w:val="000000"/>
                <w:w w:val="15"/>
                <w:sz w:val="20"/>
                <w:szCs w:val="20"/>
                <w:shd w:val="solid" w:color="000000" w:fill="000000"/>
                <w:fitText w:val="70" w:id="-1301051892"/>
                <w14:textFill>
                  <w14:solidFill>
                    <w14:srgbClr w14:val="000000">
                      <w14:alpha w14:val="100000"/>
                    </w14:srgbClr>
                  </w14:solidFill>
                </w14:textFill>
              </w:rPr>
              <w:t xml:space="preserve">　</w:t>
            </w:r>
            <w:r w:rsidRPr="00B96A78">
              <w:rPr>
                <w:rFonts w:ascii="Arial Narrow" w:hAnsi="Arial Narrow" w:cs="Calibri"/>
                <w:color w:val="000000"/>
                <w:w w:val="15"/>
                <w:sz w:val="20"/>
                <w:szCs w:val="20"/>
                <w:shd w:val="solid" w:color="000000" w:fill="000000"/>
                <w:fitText w:val="70" w:id="-1301051892"/>
                <w14:textFill>
                  <w14:solidFill>
                    <w14:srgbClr w14:val="000000">
                      <w14:alpha w14:val="100000"/>
                    </w14:srgbClr>
                  </w14:solidFill>
                </w14:textFill>
              </w:rPr>
              <w:t>|</w:t>
            </w:r>
            <w:r w:rsidRPr="00B96A78">
              <w:rPr>
                <w:rFonts w:ascii="Arial Narrow" w:hAnsi="Arial Narrow" w:cs="Calibri" w:hint="eastAsia"/>
                <w:color w:val="000000"/>
                <w:spacing w:val="4"/>
                <w:w w:val="15"/>
                <w:sz w:val="20"/>
                <w:szCs w:val="20"/>
                <w:shd w:val="solid" w:color="000000" w:fill="000000"/>
                <w:fitText w:val="70" w:id="-1301051892"/>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8" w:type="pct"/>
            <w:shd w:val="clear" w:color="auto" w:fill="auto"/>
            <w:vAlign w:val="center"/>
          </w:tcPr>
          <w:p w14:paraId="5D23B541" w14:textId="3CFB4F7D" w:rsidR="00501287" w:rsidRPr="00716D0B" w:rsidRDefault="00B96A78" w:rsidP="005A7F0C">
            <w:pPr>
              <w:keepNext/>
              <w:jc w:val="center"/>
              <w:rPr>
                <w:rFonts w:ascii="Arial Narrow" w:hAnsi="Arial Narrow" w:cstheme="minorHAnsi"/>
                <w:sz w:val="20"/>
                <w:szCs w:val="20"/>
                <w:highlight w:val="darkGray"/>
              </w:rPr>
            </w:pPr>
            <w:r w:rsidRPr="00B96A78">
              <w:rPr>
                <w:rFonts w:ascii="Arial Narrow" w:hAnsi="Arial Narrow" w:cs="Calibri" w:hint="eastAsia"/>
                <w:color w:val="000000"/>
                <w:w w:val="18"/>
                <w:sz w:val="20"/>
                <w:szCs w:val="20"/>
                <w:shd w:val="solid" w:color="000000" w:fill="000000"/>
                <w:fitText w:val="80" w:id="-1301051891"/>
                <w14:textFill>
                  <w14:solidFill>
                    <w14:srgbClr w14:val="000000">
                      <w14:alpha w14:val="100000"/>
                    </w14:srgbClr>
                  </w14:solidFill>
                </w14:textFill>
              </w:rPr>
              <w:t xml:space="preserve">　</w:t>
            </w:r>
            <w:r w:rsidRPr="00B96A78">
              <w:rPr>
                <w:rFonts w:ascii="Arial Narrow" w:hAnsi="Arial Narrow" w:cs="Calibri"/>
                <w:color w:val="000000"/>
                <w:w w:val="18"/>
                <w:sz w:val="20"/>
                <w:szCs w:val="20"/>
                <w:shd w:val="solid" w:color="000000" w:fill="000000"/>
                <w:fitText w:val="80" w:id="-1301051891"/>
                <w14:textFill>
                  <w14:solidFill>
                    <w14:srgbClr w14:val="000000">
                      <w14:alpha w14:val="100000"/>
                    </w14:srgbClr>
                  </w14:solidFill>
                </w14:textFill>
              </w:rPr>
              <w:t>|</w:t>
            </w:r>
            <w:r w:rsidRPr="00B96A78">
              <w:rPr>
                <w:rFonts w:ascii="Arial Narrow" w:hAnsi="Arial Narrow" w:cs="Calibri" w:hint="eastAsia"/>
                <w:color w:val="000000"/>
                <w:w w:val="18"/>
                <w:sz w:val="20"/>
                <w:szCs w:val="20"/>
                <w:shd w:val="solid" w:color="000000" w:fill="000000"/>
                <w:fitText w:val="80" w:id="-1301051891"/>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r>
      <w:tr w:rsidR="00221D48" w:rsidRPr="00100F00" w14:paraId="182EB4EE" w14:textId="77777777" w:rsidTr="00421341">
        <w:trPr>
          <w:jc w:val="center"/>
        </w:trPr>
        <w:tc>
          <w:tcPr>
            <w:tcW w:w="1004" w:type="pct"/>
            <w:shd w:val="clear" w:color="auto" w:fill="auto"/>
            <w:vAlign w:val="center"/>
          </w:tcPr>
          <w:p w14:paraId="57BFF0C8" w14:textId="77777777" w:rsidR="00501287" w:rsidRPr="00100F00" w:rsidRDefault="00501287" w:rsidP="005A7F0C">
            <w:pPr>
              <w:keepNext/>
              <w:rPr>
                <w:rFonts w:ascii="Arial Narrow" w:hAnsi="Arial Narrow" w:cstheme="minorHAnsi"/>
                <w:b/>
                <w:bCs/>
                <w:sz w:val="20"/>
                <w:szCs w:val="20"/>
              </w:rPr>
            </w:pPr>
            <w:r w:rsidRPr="00100F00">
              <w:rPr>
                <w:rFonts w:ascii="Arial Narrow" w:hAnsi="Arial Narrow" w:cs="Calibri"/>
                <w:b/>
                <w:bCs/>
                <w:color w:val="000000"/>
                <w:sz w:val="20"/>
                <w:szCs w:val="20"/>
              </w:rPr>
              <w:t>Total</w:t>
            </w:r>
          </w:p>
        </w:tc>
        <w:tc>
          <w:tcPr>
            <w:tcW w:w="605" w:type="pct"/>
            <w:shd w:val="clear" w:color="auto" w:fill="auto"/>
            <w:vAlign w:val="center"/>
          </w:tcPr>
          <w:p w14:paraId="79851719" w14:textId="350A64B9" w:rsidR="00501287" w:rsidRPr="00716D0B" w:rsidRDefault="00B96A78" w:rsidP="005A7F0C">
            <w:pPr>
              <w:keepNext/>
              <w:jc w:val="center"/>
              <w:rPr>
                <w:rFonts w:ascii="Arial Narrow" w:hAnsi="Arial Narrow" w:cstheme="minorHAnsi"/>
                <w:b/>
                <w:bCs/>
                <w:sz w:val="20"/>
                <w:szCs w:val="20"/>
                <w:highlight w:val="darkGray"/>
              </w:rPr>
            </w:pPr>
            <w:r w:rsidRPr="00B96A78">
              <w:rPr>
                <w:rFonts w:ascii="Arial Narrow" w:hAnsi="Arial Narrow" w:cs="Calibri"/>
                <w:b/>
                <w:bCs/>
                <w:color w:val="000000"/>
                <w:spacing w:val="88"/>
                <w:sz w:val="20"/>
                <w:szCs w:val="20"/>
                <w:shd w:val="solid" w:color="000000" w:fill="000000"/>
                <w:fitText w:val="180" w:id="-1301051890"/>
                <w14:textFill>
                  <w14:solidFill>
                    <w14:srgbClr w14:val="000000">
                      <w14:alpha w14:val="100000"/>
                    </w14:srgbClr>
                  </w14:solidFill>
                </w14:textFill>
              </w:rPr>
              <w:t>|</w:t>
            </w:r>
            <w:r w:rsidRPr="00B96A78">
              <w:rPr>
                <w:rFonts w:ascii="Arial Narrow" w:hAnsi="Arial Narrow" w:cs="Calibri"/>
                <w:b/>
                <w:bCs/>
                <w:color w:val="000000"/>
                <w:spacing w:val="1"/>
                <w:sz w:val="20"/>
                <w:szCs w:val="20"/>
                <w:shd w:val="solid" w:color="000000" w:fill="000000"/>
                <w:fitText w:val="180" w:id="-1301051890"/>
                <w14:textFill>
                  <w14:solidFill>
                    <w14:srgbClr w14:val="000000">
                      <w14:alpha w14:val="100000"/>
                    </w14:srgbClr>
                  </w14:solidFill>
                </w14:textFill>
              </w:rPr>
              <w:t>|</w:t>
            </w:r>
            <w:r w:rsidR="00C3609A">
              <w:rPr>
                <w:rFonts w:ascii="Arial Narrow" w:hAnsi="Arial Narrow" w:cstheme="minorHAnsi"/>
                <w:bCs/>
                <w:sz w:val="20"/>
                <w:szCs w:val="20"/>
                <w:vertAlign w:val="superscript"/>
              </w:rPr>
              <w:t>2</w:t>
            </w:r>
          </w:p>
        </w:tc>
        <w:tc>
          <w:tcPr>
            <w:tcW w:w="679" w:type="pct"/>
            <w:shd w:val="clear" w:color="auto" w:fill="auto"/>
            <w:vAlign w:val="center"/>
          </w:tcPr>
          <w:p w14:paraId="01D41040" w14:textId="56542077" w:rsidR="00501287" w:rsidRPr="00716D0B" w:rsidRDefault="00B96A78" w:rsidP="005A7F0C">
            <w:pPr>
              <w:keepNext/>
              <w:jc w:val="center"/>
              <w:rPr>
                <w:rFonts w:ascii="Arial Narrow" w:hAnsi="Arial Narrow" w:cstheme="minorHAnsi"/>
                <w:b/>
                <w:bCs/>
                <w:sz w:val="20"/>
                <w:szCs w:val="20"/>
                <w:highlight w:val="darkGray"/>
              </w:rPr>
            </w:pPr>
            <w:r w:rsidRPr="00B96A78">
              <w:rPr>
                <w:rFonts w:ascii="Arial Narrow" w:hAnsi="Arial Narrow" w:cs="Calibri" w:hint="eastAsia"/>
                <w:b/>
                <w:bCs/>
                <w:color w:val="000000"/>
                <w:w w:val="24"/>
                <w:sz w:val="20"/>
                <w:szCs w:val="20"/>
                <w:shd w:val="solid" w:color="000000" w:fill="000000"/>
                <w:fitText w:val="110" w:id="-1301051889"/>
                <w14:textFill>
                  <w14:solidFill>
                    <w14:srgbClr w14:val="000000">
                      <w14:alpha w14:val="100000"/>
                    </w14:srgbClr>
                  </w14:solidFill>
                </w14:textFill>
              </w:rPr>
              <w:t xml:space="preserve">　</w:t>
            </w:r>
            <w:r w:rsidRPr="00B96A78">
              <w:rPr>
                <w:rFonts w:ascii="Arial Narrow" w:hAnsi="Arial Narrow" w:cs="Calibri"/>
                <w:b/>
                <w:bCs/>
                <w:color w:val="000000"/>
                <w:w w:val="24"/>
                <w:sz w:val="20"/>
                <w:szCs w:val="20"/>
                <w:shd w:val="solid" w:color="000000" w:fill="000000"/>
                <w:fitText w:val="110" w:id="-1301051889"/>
                <w14:textFill>
                  <w14:solidFill>
                    <w14:srgbClr w14:val="000000">
                      <w14:alpha w14:val="100000"/>
                    </w14:srgbClr>
                  </w14:solidFill>
                </w14:textFill>
              </w:rPr>
              <w:t>|</w:t>
            </w:r>
            <w:r w:rsidRPr="00B96A78">
              <w:rPr>
                <w:rFonts w:ascii="Arial Narrow" w:hAnsi="Arial Narrow" w:cs="Calibri" w:hint="eastAsia"/>
                <w:b/>
                <w:bCs/>
                <w:color w:val="000000"/>
                <w:spacing w:val="5"/>
                <w:w w:val="24"/>
                <w:sz w:val="20"/>
                <w:szCs w:val="20"/>
                <w:shd w:val="solid" w:color="000000" w:fill="000000"/>
                <w:fitText w:val="110" w:id="-1301051889"/>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8" w:type="pct"/>
            <w:shd w:val="clear" w:color="auto" w:fill="auto"/>
            <w:vAlign w:val="center"/>
          </w:tcPr>
          <w:p w14:paraId="3F800599" w14:textId="5BD0234A" w:rsidR="00501287" w:rsidRPr="00716D0B" w:rsidRDefault="00B96A78" w:rsidP="005A7F0C">
            <w:pPr>
              <w:keepNext/>
              <w:jc w:val="center"/>
              <w:rPr>
                <w:rFonts w:ascii="Arial Narrow" w:hAnsi="Arial Narrow" w:cstheme="minorHAnsi"/>
                <w:b/>
                <w:bCs/>
                <w:sz w:val="20"/>
                <w:szCs w:val="20"/>
                <w:highlight w:val="darkGray"/>
              </w:rPr>
            </w:pPr>
            <w:r w:rsidRPr="00B96A78">
              <w:rPr>
                <w:rFonts w:ascii="Arial Narrow" w:hAnsi="Arial Narrow" w:cs="Calibri" w:hint="eastAsia"/>
                <w:b/>
                <w:bCs/>
                <w:color w:val="000000"/>
                <w:w w:val="24"/>
                <w:sz w:val="20"/>
                <w:szCs w:val="20"/>
                <w:shd w:val="solid" w:color="000000" w:fill="000000"/>
                <w:fitText w:val="110" w:id="-1301051888"/>
                <w14:textFill>
                  <w14:solidFill>
                    <w14:srgbClr w14:val="000000">
                      <w14:alpha w14:val="100000"/>
                    </w14:srgbClr>
                  </w14:solidFill>
                </w14:textFill>
              </w:rPr>
              <w:t xml:space="preserve">　</w:t>
            </w:r>
            <w:r w:rsidRPr="00B96A78">
              <w:rPr>
                <w:rFonts w:ascii="Arial Narrow" w:hAnsi="Arial Narrow" w:cs="Calibri"/>
                <w:b/>
                <w:bCs/>
                <w:color w:val="000000"/>
                <w:w w:val="24"/>
                <w:sz w:val="20"/>
                <w:szCs w:val="20"/>
                <w:shd w:val="solid" w:color="000000" w:fill="000000"/>
                <w:fitText w:val="110" w:id="-1301051888"/>
                <w14:textFill>
                  <w14:solidFill>
                    <w14:srgbClr w14:val="000000">
                      <w14:alpha w14:val="100000"/>
                    </w14:srgbClr>
                  </w14:solidFill>
                </w14:textFill>
              </w:rPr>
              <w:t>|</w:t>
            </w:r>
            <w:r w:rsidRPr="00B96A78">
              <w:rPr>
                <w:rFonts w:ascii="Arial Narrow" w:hAnsi="Arial Narrow" w:cs="Calibri" w:hint="eastAsia"/>
                <w:b/>
                <w:bCs/>
                <w:color w:val="000000"/>
                <w:spacing w:val="5"/>
                <w:w w:val="24"/>
                <w:sz w:val="20"/>
                <w:szCs w:val="20"/>
                <w:shd w:val="solid" w:color="000000" w:fill="000000"/>
                <w:fitText w:val="110" w:id="-1301051888"/>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9" w:type="pct"/>
            <w:shd w:val="clear" w:color="auto" w:fill="auto"/>
            <w:vAlign w:val="center"/>
          </w:tcPr>
          <w:p w14:paraId="2D6387B7" w14:textId="3AC5C1AB" w:rsidR="00501287" w:rsidRPr="00716D0B" w:rsidRDefault="00B96A78" w:rsidP="005A7F0C">
            <w:pPr>
              <w:keepNext/>
              <w:jc w:val="center"/>
              <w:rPr>
                <w:rFonts w:ascii="Arial Narrow" w:hAnsi="Arial Narrow" w:cstheme="minorHAnsi"/>
                <w:b/>
                <w:bCs/>
                <w:sz w:val="20"/>
                <w:szCs w:val="20"/>
                <w:highlight w:val="darkGray"/>
              </w:rPr>
            </w:pPr>
            <w:r w:rsidRPr="00B96A78">
              <w:rPr>
                <w:rFonts w:ascii="Arial Narrow" w:hAnsi="Arial Narrow" w:cs="Calibri" w:hint="eastAsia"/>
                <w:b/>
                <w:bCs/>
                <w:color w:val="000000"/>
                <w:w w:val="24"/>
                <w:sz w:val="20"/>
                <w:szCs w:val="20"/>
                <w:shd w:val="solid" w:color="000000" w:fill="000000"/>
                <w:fitText w:val="110" w:id="-1301051904"/>
                <w14:textFill>
                  <w14:solidFill>
                    <w14:srgbClr w14:val="000000">
                      <w14:alpha w14:val="100000"/>
                    </w14:srgbClr>
                  </w14:solidFill>
                </w14:textFill>
              </w:rPr>
              <w:t xml:space="preserve">　</w:t>
            </w:r>
            <w:r w:rsidRPr="00B96A78">
              <w:rPr>
                <w:rFonts w:ascii="Arial Narrow" w:hAnsi="Arial Narrow" w:cs="Calibri"/>
                <w:b/>
                <w:bCs/>
                <w:color w:val="000000"/>
                <w:w w:val="24"/>
                <w:sz w:val="20"/>
                <w:szCs w:val="20"/>
                <w:shd w:val="solid" w:color="000000" w:fill="000000"/>
                <w:fitText w:val="110" w:id="-1301051904"/>
                <w14:textFill>
                  <w14:solidFill>
                    <w14:srgbClr w14:val="000000">
                      <w14:alpha w14:val="100000"/>
                    </w14:srgbClr>
                  </w14:solidFill>
                </w14:textFill>
              </w:rPr>
              <w:t>|</w:t>
            </w:r>
            <w:r w:rsidRPr="00B96A78">
              <w:rPr>
                <w:rFonts w:ascii="Arial Narrow" w:hAnsi="Arial Narrow" w:cs="Calibri" w:hint="eastAsia"/>
                <w:b/>
                <w:bCs/>
                <w:color w:val="000000"/>
                <w:spacing w:val="5"/>
                <w:w w:val="24"/>
                <w:sz w:val="20"/>
                <w:szCs w:val="20"/>
                <w:shd w:val="solid" w:color="000000" w:fill="000000"/>
                <w:fitText w:val="110" w:id="-1301051904"/>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8" w:type="pct"/>
            <w:shd w:val="clear" w:color="auto" w:fill="auto"/>
            <w:vAlign w:val="center"/>
          </w:tcPr>
          <w:p w14:paraId="5E5A4CBF" w14:textId="74D18858" w:rsidR="00501287" w:rsidRPr="00716D0B" w:rsidRDefault="00B96A78" w:rsidP="005A7F0C">
            <w:pPr>
              <w:keepNext/>
              <w:jc w:val="center"/>
              <w:rPr>
                <w:rFonts w:ascii="Arial Narrow" w:hAnsi="Arial Narrow" w:cstheme="minorHAnsi"/>
                <w:b/>
                <w:bCs/>
                <w:sz w:val="20"/>
                <w:szCs w:val="20"/>
                <w:highlight w:val="darkGray"/>
              </w:rPr>
            </w:pPr>
            <w:r w:rsidRPr="00B96A78">
              <w:rPr>
                <w:rFonts w:ascii="Arial Narrow" w:hAnsi="Arial Narrow" w:cs="Calibri" w:hint="eastAsia"/>
                <w:b/>
                <w:bCs/>
                <w:color w:val="000000"/>
                <w:w w:val="24"/>
                <w:sz w:val="20"/>
                <w:szCs w:val="20"/>
                <w:shd w:val="solid" w:color="000000" w:fill="000000"/>
                <w:fitText w:val="110" w:id="-1301051903"/>
                <w14:textFill>
                  <w14:solidFill>
                    <w14:srgbClr w14:val="000000">
                      <w14:alpha w14:val="100000"/>
                    </w14:srgbClr>
                  </w14:solidFill>
                </w14:textFill>
              </w:rPr>
              <w:t xml:space="preserve">　</w:t>
            </w:r>
            <w:r w:rsidRPr="00B96A78">
              <w:rPr>
                <w:rFonts w:ascii="Arial Narrow" w:hAnsi="Arial Narrow" w:cs="Calibri"/>
                <w:b/>
                <w:bCs/>
                <w:color w:val="000000"/>
                <w:w w:val="24"/>
                <w:sz w:val="20"/>
                <w:szCs w:val="20"/>
                <w:shd w:val="solid" w:color="000000" w:fill="000000"/>
                <w:fitText w:val="110" w:id="-1301051903"/>
                <w14:textFill>
                  <w14:solidFill>
                    <w14:srgbClr w14:val="000000">
                      <w14:alpha w14:val="100000"/>
                    </w14:srgbClr>
                  </w14:solidFill>
                </w14:textFill>
              </w:rPr>
              <w:t>|</w:t>
            </w:r>
            <w:r w:rsidRPr="00B96A78">
              <w:rPr>
                <w:rFonts w:ascii="Arial Narrow" w:hAnsi="Arial Narrow" w:cs="Calibri" w:hint="eastAsia"/>
                <w:b/>
                <w:bCs/>
                <w:color w:val="000000"/>
                <w:spacing w:val="5"/>
                <w:w w:val="24"/>
                <w:sz w:val="20"/>
                <w:szCs w:val="20"/>
                <w:shd w:val="solid" w:color="000000" w:fill="000000"/>
                <w:fitText w:val="110" w:id="-1301051903"/>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c>
          <w:tcPr>
            <w:tcW w:w="678" w:type="pct"/>
            <w:shd w:val="clear" w:color="auto" w:fill="auto"/>
            <w:vAlign w:val="center"/>
          </w:tcPr>
          <w:p w14:paraId="493F3059" w14:textId="4BCDE3C2" w:rsidR="00501287" w:rsidRPr="00716D0B" w:rsidRDefault="00B96A78" w:rsidP="005A7F0C">
            <w:pPr>
              <w:keepNext/>
              <w:jc w:val="center"/>
              <w:rPr>
                <w:rFonts w:ascii="Arial Narrow" w:hAnsi="Arial Narrow" w:cstheme="minorHAnsi"/>
                <w:b/>
                <w:bCs/>
                <w:sz w:val="20"/>
                <w:szCs w:val="20"/>
                <w:highlight w:val="darkGray"/>
              </w:rPr>
            </w:pPr>
            <w:r w:rsidRPr="00B96A78">
              <w:rPr>
                <w:rFonts w:ascii="Arial Narrow" w:hAnsi="Arial Narrow" w:cs="Calibri" w:hint="eastAsia"/>
                <w:b/>
                <w:bCs/>
                <w:color w:val="000000"/>
                <w:w w:val="26"/>
                <w:sz w:val="20"/>
                <w:szCs w:val="20"/>
                <w:shd w:val="solid" w:color="000000" w:fill="000000"/>
                <w:fitText w:val="120" w:id="-1301051902"/>
                <w14:textFill>
                  <w14:solidFill>
                    <w14:srgbClr w14:val="000000">
                      <w14:alpha w14:val="100000"/>
                    </w14:srgbClr>
                  </w14:solidFill>
                </w14:textFill>
              </w:rPr>
              <w:t xml:space="preserve">　</w:t>
            </w:r>
            <w:r w:rsidRPr="00B96A78">
              <w:rPr>
                <w:rFonts w:ascii="Arial Narrow" w:hAnsi="Arial Narrow" w:cs="Calibri"/>
                <w:b/>
                <w:bCs/>
                <w:color w:val="000000"/>
                <w:w w:val="26"/>
                <w:sz w:val="20"/>
                <w:szCs w:val="20"/>
                <w:shd w:val="solid" w:color="000000" w:fill="000000"/>
                <w:fitText w:val="120" w:id="-1301051902"/>
                <w14:textFill>
                  <w14:solidFill>
                    <w14:srgbClr w14:val="000000">
                      <w14:alpha w14:val="100000"/>
                    </w14:srgbClr>
                  </w14:solidFill>
                </w14:textFill>
              </w:rPr>
              <w:t>|</w:t>
            </w:r>
            <w:r w:rsidRPr="00B96A78">
              <w:rPr>
                <w:rFonts w:ascii="Arial Narrow" w:hAnsi="Arial Narrow" w:cs="Calibri" w:hint="eastAsia"/>
                <w:b/>
                <w:bCs/>
                <w:color w:val="000000"/>
                <w:spacing w:val="4"/>
                <w:w w:val="26"/>
                <w:sz w:val="20"/>
                <w:szCs w:val="20"/>
                <w:shd w:val="solid" w:color="000000" w:fill="000000"/>
                <w:fitText w:val="120" w:id="-1301051902"/>
                <w14:textFill>
                  <w14:solidFill>
                    <w14:srgbClr w14:val="000000">
                      <w14:alpha w14:val="100000"/>
                    </w14:srgbClr>
                  </w14:solidFill>
                </w14:textFill>
              </w:rPr>
              <w:t xml:space="preserve">　</w:t>
            </w:r>
            <w:r w:rsidR="00C3609A">
              <w:rPr>
                <w:rFonts w:ascii="Arial Narrow" w:hAnsi="Arial Narrow" w:cstheme="minorHAnsi"/>
                <w:bCs/>
                <w:sz w:val="20"/>
                <w:szCs w:val="20"/>
                <w:vertAlign w:val="superscript"/>
              </w:rPr>
              <w:t>2</w:t>
            </w:r>
          </w:p>
        </w:tc>
      </w:tr>
    </w:tbl>
    <w:p w14:paraId="085D3491" w14:textId="7C724E65" w:rsidR="00501287" w:rsidRDefault="00501287" w:rsidP="00FF6CD8">
      <w:pPr>
        <w:rPr>
          <w:rFonts w:ascii="Arial Narrow" w:hAnsi="Arial Narrow"/>
          <w:sz w:val="18"/>
          <w:szCs w:val="18"/>
        </w:rPr>
      </w:pPr>
      <w:r w:rsidRPr="00100F00">
        <w:rPr>
          <w:rFonts w:ascii="Arial Narrow" w:hAnsi="Arial Narrow"/>
          <w:sz w:val="18"/>
          <w:szCs w:val="18"/>
        </w:rPr>
        <w:t xml:space="preserve">Source: </w:t>
      </w:r>
      <w:r w:rsidR="00100F00" w:rsidRPr="00100F00">
        <w:rPr>
          <w:rFonts w:ascii="Arial Narrow" w:hAnsi="Arial Narrow"/>
          <w:sz w:val="18"/>
          <w:szCs w:val="18"/>
        </w:rPr>
        <w:t xml:space="preserve">Pre-PBAC Response, </w:t>
      </w:r>
      <w:r w:rsidRPr="00100F00">
        <w:rPr>
          <w:rFonts w:ascii="Arial Narrow" w:hAnsi="Arial Narrow"/>
          <w:sz w:val="18"/>
          <w:szCs w:val="18"/>
        </w:rPr>
        <w:t xml:space="preserve">Asciminib - UCM - Aug 2022 - Corrected.xlsx, worksheet 3c. Impact – proposed (eff) </w:t>
      </w:r>
    </w:p>
    <w:p w14:paraId="695362C5" w14:textId="77777777" w:rsidR="00C3609A" w:rsidRPr="009A6D58" w:rsidRDefault="00C3609A" w:rsidP="00C3609A">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F010339" w14:textId="47476D6B" w:rsidR="00C3609A" w:rsidRPr="009A6D58" w:rsidRDefault="00C3609A" w:rsidP="00C3609A">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C3609A">
        <w:rPr>
          <w:rFonts w:ascii="Arial Narrow" w:hAnsi="Arial Narrow" w:cs="Arial"/>
          <w:i/>
          <w:sz w:val="18"/>
          <w:szCs w:val="18"/>
        </w:rPr>
        <w:t>net cost saving</w:t>
      </w:r>
    </w:p>
    <w:p w14:paraId="483661D1" w14:textId="46A7EA53" w:rsidR="00C3609A" w:rsidRPr="000715F6" w:rsidRDefault="00C3609A" w:rsidP="00FF6CD8">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C3609A">
        <w:rPr>
          <w:rFonts w:ascii="Arial Narrow" w:hAnsi="Arial Narrow" w:cs="Arial"/>
          <w:i/>
          <w:sz w:val="18"/>
          <w:szCs w:val="18"/>
        </w:rPr>
        <w:t>$0 to &lt; $10 million</w:t>
      </w:r>
    </w:p>
    <w:p w14:paraId="4D5D5BBD" w14:textId="0BDC0F6F" w:rsidR="00181366" w:rsidRPr="005835DF" w:rsidRDefault="00181366" w:rsidP="00FF6CD8">
      <w:pPr>
        <w:pStyle w:val="3-BodyText"/>
        <w:numPr>
          <w:ilvl w:val="0"/>
          <w:numId w:val="0"/>
        </w:numPr>
        <w:spacing w:before="120"/>
        <w:ind w:left="720"/>
        <w:rPr>
          <w:lang w:eastAsia="en-US"/>
        </w:rPr>
      </w:pPr>
      <w:r w:rsidRPr="00C33D30">
        <w:rPr>
          <w:i/>
        </w:rPr>
        <w:t xml:space="preserve">For more detail on PBAC’s view, see section </w:t>
      </w:r>
      <w:r w:rsidR="00A070F1">
        <w:rPr>
          <w:i/>
        </w:rPr>
        <w:t>6</w:t>
      </w:r>
      <w:r w:rsidR="00A070F1" w:rsidRPr="00C33D30">
        <w:rPr>
          <w:i/>
        </w:rPr>
        <w:t xml:space="preserve"> </w:t>
      </w:r>
      <w:r w:rsidRPr="00C33D30">
        <w:rPr>
          <w:i/>
        </w:rPr>
        <w:t>PBAC outcome.</w:t>
      </w:r>
    </w:p>
    <w:p w14:paraId="19A740AA" w14:textId="7FD91B98" w:rsidR="00484D4C" w:rsidRDefault="00DF5A23" w:rsidP="00FD3D2F">
      <w:pPr>
        <w:pStyle w:val="2-SectionHeading"/>
        <w:spacing w:before="120"/>
      </w:pPr>
      <w:bookmarkStart w:id="49" w:name="_Hlk76381249"/>
      <w:bookmarkStart w:id="50" w:name="_Hlk76377955"/>
      <w:r w:rsidRPr="0090150D">
        <w:t>PBAC Outcome</w:t>
      </w:r>
    </w:p>
    <w:p w14:paraId="45EFAAC5" w14:textId="47501365" w:rsidR="00F6575A" w:rsidRPr="00F6575A" w:rsidRDefault="00684956" w:rsidP="001D3B3A">
      <w:pPr>
        <w:pStyle w:val="3-BodyText"/>
        <w:rPr>
          <w:snapToGrid w:val="0"/>
          <w:lang w:val="en-GB"/>
        </w:rPr>
      </w:pPr>
      <w:r w:rsidRPr="00684956">
        <w:rPr>
          <w:snapToGrid w:val="0"/>
          <w:lang w:val="en-GB"/>
        </w:rPr>
        <w:t xml:space="preserve">The PBAC recommended the Authority Required listing of asciminib for the </w:t>
      </w:r>
      <w:r w:rsidRPr="00684956">
        <w:t>treatment of (i) patients with Philadelphia chromosome-positive chronic myeloid leukaemia (Ph+ CML) in chronic phase (CP)</w:t>
      </w:r>
      <w:r w:rsidR="00996E64">
        <w:t xml:space="preserve"> or accelerated phase (AP)</w:t>
      </w:r>
      <w:r w:rsidRPr="00684956">
        <w:t>, who had been previously treated with two or more tyrosine kinase inhibitors (TKIs); and (ii) patients with Ph+ CML in CP</w:t>
      </w:r>
      <w:r w:rsidR="00996E64">
        <w:t xml:space="preserve"> or AP</w:t>
      </w:r>
      <w:r w:rsidRPr="00684956">
        <w:t>, who had been previously treated with one or more TKIs and harbouring the T315I mutation.</w:t>
      </w:r>
      <w:r>
        <w:t xml:space="preserve"> </w:t>
      </w:r>
    </w:p>
    <w:p w14:paraId="4569B8A4" w14:textId="39F6AB2F" w:rsidR="00DF5A23" w:rsidRPr="001D3B3A" w:rsidRDefault="00F6575A" w:rsidP="001D3B3A">
      <w:pPr>
        <w:pStyle w:val="3-BodyText"/>
        <w:rPr>
          <w:snapToGrid w:val="0"/>
          <w:lang w:val="en-GB"/>
        </w:rPr>
      </w:pPr>
      <w:r>
        <w:t xml:space="preserve">The PBAC considered that the resubmission had addressed the outstanding issues identified at the July 2022 PBAC meeting. </w:t>
      </w:r>
      <w:r w:rsidR="00684956">
        <w:t>The resubmission pro</w:t>
      </w:r>
      <w:r w:rsidR="003E15BF">
        <w:t xml:space="preserve">posed </w:t>
      </w:r>
      <w:r w:rsidR="003E15BF" w:rsidRPr="003E15BF">
        <w:rPr>
          <w:lang w:val="en-GB"/>
        </w:rPr>
        <w:t xml:space="preserve">a separate restriction for </w:t>
      </w:r>
      <w:r w:rsidR="003E15BF" w:rsidRPr="003E15BF">
        <w:t xml:space="preserve">patients with the T315I mutation; </w:t>
      </w:r>
      <w:r w:rsidR="003E15BF">
        <w:t xml:space="preserve">provided </w:t>
      </w:r>
      <w:r w:rsidR="003E15BF" w:rsidRPr="003E15BF">
        <w:t xml:space="preserve">clinical data to support non-inferiority of asciminib to ponatinib in patients with the T315I mutation; </w:t>
      </w:r>
      <w:r w:rsidR="003E15BF">
        <w:t xml:space="preserve">provided </w:t>
      </w:r>
      <w:r w:rsidR="003E15BF" w:rsidRPr="003E15BF">
        <w:rPr>
          <w:lang w:val="en-GB"/>
        </w:rPr>
        <w:t xml:space="preserve">an economic evaluation reflecting </w:t>
      </w:r>
      <w:r w:rsidR="003E15BF" w:rsidRPr="003E15BF">
        <w:t>benchmarking against the second generation TKIs nilotinib and dasatinib</w:t>
      </w:r>
      <w:r w:rsidR="003E15BF">
        <w:t xml:space="preserve"> in patients without the T315I mutation</w:t>
      </w:r>
      <w:r w:rsidR="003E15BF" w:rsidRPr="003E15BF">
        <w:t>; and recalculat</w:t>
      </w:r>
      <w:r w:rsidR="003E15BF">
        <w:t>ed</w:t>
      </w:r>
      <w:r w:rsidR="003E15BF" w:rsidRPr="003E15BF">
        <w:t xml:space="preserve"> the financial implications.</w:t>
      </w:r>
      <w:r w:rsidR="003E15BF">
        <w:t xml:space="preserve"> </w:t>
      </w:r>
      <w:r w:rsidR="001D3B3A" w:rsidRPr="001C1D89">
        <w:t xml:space="preserve">Overall, the PBAC considered that the concerns raised at the </w:t>
      </w:r>
      <w:r w:rsidR="001D3B3A">
        <w:t>July</w:t>
      </w:r>
      <w:r w:rsidR="001D3B3A" w:rsidRPr="001C1D89">
        <w:t xml:space="preserve"> 202</w:t>
      </w:r>
      <w:r w:rsidR="001D3B3A">
        <w:t>2</w:t>
      </w:r>
      <w:r w:rsidR="001D3B3A" w:rsidRPr="001C1D89">
        <w:t xml:space="preserve"> meeting had been sufficiently addressed.</w:t>
      </w:r>
    </w:p>
    <w:p w14:paraId="45F7105A" w14:textId="049DE535" w:rsidR="0052011E" w:rsidRPr="005E2D2D" w:rsidRDefault="00C717EB" w:rsidP="00075757">
      <w:pPr>
        <w:pStyle w:val="3-BodyText"/>
        <w:rPr>
          <w:snapToGrid w:val="0"/>
          <w:lang w:val="en-GB"/>
        </w:rPr>
      </w:pPr>
      <w:bookmarkStart w:id="51" w:name="_Ref119931183"/>
      <w:r w:rsidRPr="005E2D2D">
        <w:t>T</w:t>
      </w:r>
      <w:r w:rsidR="00075757" w:rsidRPr="005E2D2D">
        <w:t xml:space="preserve">he doses used to inform the </w:t>
      </w:r>
      <w:r w:rsidR="005E2D2D" w:rsidRPr="005E2D2D">
        <w:t>cost minimisation</w:t>
      </w:r>
      <w:r w:rsidR="00075757" w:rsidRPr="005E2D2D">
        <w:t xml:space="preserve"> </w:t>
      </w:r>
      <w:r w:rsidR="0052011E" w:rsidRPr="005E2D2D">
        <w:t>were</w:t>
      </w:r>
      <w:r w:rsidR="00075757" w:rsidRPr="005E2D2D">
        <w:t xml:space="preserve"> based on the median dose of asciminib in</w:t>
      </w:r>
      <w:r w:rsidR="0052011E" w:rsidRPr="005E2D2D">
        <w:t xml:space="preserve"> the</w:t>
      </w:r>
      <w:r w:rsidR="00075757" w:rsidRPr="005E2D2D">
        <w:t xml:space="preserve"> ASCEMBL</w:t>
      </w:r>
      <w:r w:rsidR="0052011E" w:rsidRPr="005E2D2D">
        <w:t xml:space="preserve"> trial</w:t>
      </w:r>
      <w:r w:rsidR="00075757" w:rsidRPr="005E2D2D">
        <w:t xml:space="preserve"> (79.8 mg/day) and the median dose of dasatinib (111</w:t>
      </w:r>
      <w:r w:rsidR="005E2D2D" w:rsidRPr="005E2D2D">
        <w:t> </w:t>
      </w:r>
      <w:r w:rsidR="00075757" w:rsidRPr="005E2D2D">
        <w:t xml:space="preserve">mg/day) that had previously been used to establish the equi-effective doses of dasatinib </w:t>
      </w:r>
      <w:r w:rsidR="0052011E" w:rsidRPr="005E2D2D">
        <w:t>against</w:t>
      </w:r>
      <w:r w:rsidR="00075757" w:rsidRPr="005E2D2D">
        <w:t xml:space="preserve"> nilotinib</w:t>
      </w:r>
      <w:r w:rsidR="0052011E" w:rsidRPr="005E2D2D">
        <w:t xml:space="preserve"> (792.1 mg/day)</w:t>
      </w:r>
      <w:r w:rsidR="00075757" w:rsidRPr="005E2D2D">
        <w:t xml:space="preserve"> (</w:t>
      </w:r>
      <w:r w:rsidR="0052011E" w:rsidRPr="005E2D2D">
        <w:t>Section 12, nilotinib PSD, March 2008 meeting</w:t>
      </w:r>
      <w:r w:rsidR="00075757" w:rsidRPr="005E2D2D">
        <w:t>)</w:t>
      </w:r>
      <w:r w:rsidR="0052011E" w:rsidRPr="005E2D2D">
        <w:t>.</w:t>
      </w:r>
      <w:r w:rsidR="005E2D2D" w:rsidRPr="005E2D2D">
        <w:t xml:space="preserve"> Given that the PBAC accepted </w:t>
      </w:r>
      <w:r w:rsidR="005E2D2D" w:rsidRPr="005E2D2D">
        <w:rPr>
          <w:snapToGrid w:val="0"/>
          <w:lang w:val="en-GB"/>
        </w:rPr>
        <w:t xml:space="preserve">equi-effective doses for asciminib and nilotinib based on median doses in the </w:t>
      </w:r>
      <w:r w:rsidR="005E2D2D" w:rsidRPr="005E2D2D">
        <w:t>ASCEMBL</w:t>
      </w:r>
      <w:r w:rsidR="005E2D2D" w:rsidRPr="005E2D2D">
        <w:rPr>
          <w:snapToGrid w:val="0"/>
          <w:lang w:val="en-GB"/>
        </w:rPr>
        <w:t xml:space="preserve"> (79.8 mg/day) and ENACT </w:t>
      </w:r>
      <w:r w:rsidR="005E2D2D" w:rsidRPr="00CF2659">
        <w:rPr>
          <w:snapToGrid w:val="0"/>
          <w:lang w:val="en-GB"/>
        </w:rPr>
        <w:t>(782.5 </w:t>
      </w:r>
      <w:r w:rsidR="005E2D2D" w:rsidRPr="00994A49">
        <w:rPr>
          <w:snapToGrid w:val="0"/>
          <w:lang w:val="en-GB"/>
        </w:rPr>
        <w:t>mg/day) trials, respectively (</w:t>
      </w:r>
      <w:r w:rsidR="005E2D2D" w:rsidRPr="005E2D2D">
        <w:t>paragraph 7.12, asciminib PSD, July 2022</w:t>
      </w:r>
      <w:r w:rsidR="005E2D2D" w:rsidRPr="005E2D2D">
        <w:rPr>
          <w:snapToGrid w:val="0"/>
          <w:lang w:val="en-GB"/>
        </w:rPr>
        <w:t>), the equi-effective doses of the three agents can be represented by:</w:t>
      </w:r>
      <w:bookmarkEnd w:id="51"/>
    </w:p>
    <w:p w14:paraId="0CF177F3" w14:textId="30479A4C" w:rsidR="00DF5A23" w:rsidRPr="005E2D2D" w:rsidRDefault="00075757" w:rsidP="0052011E">
      <w:pPr>
        <w:pStyle w:val="3-BodyText"/>
        <w:numPr>
          <w:ilvl w:val="0"/>
          <w:numId w:val="0"/>
        </w:numPr>
        <w:ind w:left="720"/>
        <w:jc w:val="center"/>
        <w:rPr>
          <w:snapToGrid w:val="0"/>
          <w:lang w:val="en-GB"/>
        </w:rPr>
      </w:pPr>
      <w:r w:rsidRPr="005E2D2D">
        <w:t xml:space="preserve">asciminib (79.8 mg/day) </w:t>
      </w:r>
      <w:r w:rsidRPr="005E2D2D">
        <w:rPr>
          <w:rFonts w:cstheme="minorHAnsi"/>
        </w:rPr>
        <w:t>≡</w:t>
      </w:r>
      <w:r w:rsidRPr="005E2D2D">
        <w:t xml:space="preserve"> nilotinib (782.5 mg/day) </w:t>
      </w:r>
      <w:r w:rsidRPr="005E2D2D">
        <w:rPr>
          <w:rFonts w:cstheme="minorHAnsi"/>
        </w:rPr>
        <w:t>≡ dasatinib (109.7 mg/day).</w:t>
      </w:r>
    </w:p>
    <w:p w14:paraId="3C5262EF" w14:textId="497BF320" w:rsidR="005E2D2D" w:rsidRPr="005E2D2D" w:rsidRDefault="005E2D2D" w:rsidP="005E2D2D">
      <w:pPr>
        <w:pStyle w:val="3-BodyText"/>
        <w:numPr>
          <w:ilvl w:val="0"/>
          <w:numId w:val="0"/>
        </w:numPr>
        <w:ind w:left="720"/>
        <w:rPr>
          <w:snapToGrid w:val="0"/>
          <w:lang w:val="en-GB"/>
        </w:rPr>
      </w:pPr>
      <w:r w:rsidRPr="005E2D2D">
        <w:rPr>
          <w:snapToGrid w:val="0"/>
          <w:lang w:val="en-GB"/>
        </w:rPr>
        <w:t>The Sponsor accepted these equi-effective doses in their pre-PBAC response and the PBAC considered this to be appropriate.</w:t>
      </w:r>
    </w:p>
    <w:p w14:paraId="26936904" w14:textId="27CB463D" w:rsidR="00DF5A23" w:rsidRPr="00CE42B4" w:rsidRDefault="004D2321" w:rsidP="00C726D6">
      <w:pPr>
        <w:pStyle w:val="3-BodyText"/>
        <w:rPr>
          <w:snapToGrid w:val="0"/>
          <w:lang w:val="en-GB"/>
        </w:rPr>
      </w:pPr>
      <w:r>
        <w:t>The PBAC</w:t>
      </w:r>
      <w:r w:rsidR="00C50B90">
        <w:t xml:space="preserve"> has</w:t>
      </w:r>
      <w:r>
        <w:t xml:space="preserve"> previously noted the clinical place of asciminib in patients with Ph+ CML in CP and its clinical need</w:t>
      </w:r>
      <w:r w:rsidR="00C50B90">
        <w:t xml:space="preserve"> in patients with CML who have no remaining options with </w:t>
      </w:r>
      <w:r w:rsidR="00C50B90">
        <w:lastRenderedPageBreak/>
        <w:t xml:space="preserve">TKI therapy </w:t>
      </w:r>
      <w:r w:rsidR="00C50B90">
        <w:rPr>
          <w:bCs/>
          <w:snapToGrid w:val="0"/>
        </w:rPr>
        <w:t xml:space="preserve">and for whom the </w:t>
      </w:r>
      <w:r w:rsidR="00C50B90" w:rsidRPr="00834CCA">
        <w:rPr>
          <w:bCs/>
        </w:rPr>
        <w:t xml:space="preserve">only alternative </w:t>
      </w:r>
      <w:r w:rsidR="00C50B90">
        <w:rPr>
          <w:bCs/>
        </w:rPr>
        <w:t xml:space="preserve">treatment </w:t>
      </w:r>
      <w:r w:rsidR="00C50B90" w:rsidRPr="00834CCA">
        <w:rPr>
          <w:bCs/>
        </w:rPr>
        <w:t xml:space="preserve">would </w:t>
      </w:r>
      <w:r w:rsidR="00C50B90">
        <w:rPr>
          <w:bCs/>
        </w:rPr>
        <w:t>be</w:t>
      </w:r>
      <w:r w:rsidR="00C50B90" w:rsidRPr="00834CCA">
        <w:rPr>
          <w:bCs/>
        </w:rPr>
        <w:t xml:space="preserve"> </w:t>
      </w:r>
      <w:r w:rsidR="00C50B90">
        <w:t>allogeneic transplantation</w:t>
      </w:r>
      <w:r>
        <w:t xml:space="preserve"> (</w:t>
      </w:r>
      <w:r w:rsidRPr="003721A0">
        <w:t>paragraph 7.</w:t>
      </w:r>
      <w:r>
        <w:t>3</w:t>
      </w:r>
      <w:r w:rsidRPr="003721A0">
        <w:t xml:space="preserve">, asciminib </w:t>
      </w:r>
      <w:r>
        <w:t>PSD</w:t>
      </w:r>
      <w:r w:rsidRPr="003721A0">
        <w:t>, July 2022</w:t>
      </w:r>
      <w:r>
        <w:t>).</w:t>
      </w:r>
      <w:r>
        <w:rPr>
          <w:snapToGrid w:val="0"/>
          <w:lang w:val="en-GB"/>
        </w:rPr>
        <w:t xml:space="preserve"> </w:t>
      </w:r>
    </w:p>
    <w:p w14:paraId="2A9DB718" w14:textId="0C9FE217" w:rsidR="00A90AE8" w:rsidRDefault="00A97CB0" w:rsidP="00C726D6">
      <w:pPr>
        <w:pStyle w:val="3-BodyText"/>
        <w:rPr>
          <w:snapToGrid w:val="0"/>
          <w:lang w:val="en-GB"/>
        </w:rPr>
      </w:pPr>
      <w:r>
        <w:rPr>
          <w:snapToGrid w:val="0"/>
          <w:lang w:val="en-GB"/>
        </w:rPr>
        <w:t xml:space="preserve">The PBAC noted that </w:t>
      </w:r>
      <w:r w:rsidR="002E4DA8">
        <w:t>t</w:t>
      </w:r>
      <w:r w:rsidR="002E4DA8" w:rsidRPr="00EF4580">
        <w:t xml:space="preserve">he </w:t>
      </w:r>
      <w:r w:rsidR="002E4DA8" w:rsidRPr="002C633F">
        <w:t>resubmission accepted</w:t>
      </w:r>
      <w:r w:rsidR="002E4DA8">
        <w:t xml:space="preserve"> the Secretariat’s </w:t>
      </w:r>
      <w:r w:rsidR="002E4DA8" w:rsidRPr="002C633F">
        <w:t>proposed amendments to the restriction</w:t>
      </w:r>
      <w:r w:rsidR="002E4DA8">
        <w:t xml:space="preserve"> for </w:t>
      </w:r>
      <w:r w:rsidR="002E4DA8" w:rsidRPr="00A93F80">
        <w:t>CML</w:t>
      </w:r>
      <w:r w:rsidR="002E4DA8">
        <w:t xml:space="preserve"> patients without the T315I mutation, </w:t>
      </w:r>
      <w:r w:rsidR="002E4DA8" w:rsidRPr="00A93F80">
        <w:t xml:space="preserve">as presented in the </w:t>
      </w:r>
      <w:r w:rsidR="001D267B">
        <w:t>PSD</w:t>
      </w:r>
      <w:r w:rsidR="002E4DA8">
        <w:t xml:space="preserve"> for the July 2022 meeting, and </w:t>
      </w:r>
      <w:r w:rsidR="002E4DA8">
        <w:rPr>
          <w:rFonts w:eastAsia="Times New Roman" w:cs="Arial"/>
          <w:snapToGrid w:val="0"/>
          <w:szCs w:val="24"/>
        </w:rPr>
        <w:t xml:space="preserve">did not present </w:t>
      </w:r>
      <w:r w:rsidR="002E4DA8" w:rsidRPr="00E70948">
        <w:rPr>
          <w:rFonts w:eastAsia="Times New Roman" w:cs="Arial"/>
          <w:snapToGrid w:val="0"/>
          <w:szCs w:val="24"/>
        </w:rPr>
        <w:t xml:space="preserve">additional </w:t>
      </w:r>
      <w:r w:rsidR="002E4DA8">
        <w:rPr>
          <w:rFonts w:eastAsia="Times New Roman" w:cs="Arial"/>
          <w:snapToGrid w:val="0"/>
          <w:szCs w:val="24"/>
        </w:rPr>
        <w:t>restrictions</w:t>
      </w:r>
      <w:r w:rsidR="002E4DA8" w:rsidRPr="00E70948">
        <w:rPr>
          <w:rFonts w:eastAsia="Times New Roman" w:cs="Arial"/>
          <w:snapToGrid w:val="0"/>
          <w:szCs w:val="24"/>
        </w:rPr>
        <w:t xml:space="preserve"> for this patient population</w:t>
      </w:r>
      <w:r w:rsidR="002E4DA8">
        <w:t>.</w:t>
      </w:r>
      <w:r w:rsidR="00B65F18">
        <w:t xml:space="preserve"> The recommended asciminib dose in non-T315I mutation patients is </w:t>
      </w:r>
      <w:r w:rsidR="00B65F18">
        <w:rPr>
          <w:snapToGrid w:val="0"/>
          <w:lang w:val="en-GB"/>
        </w:rPr>
        <w:t>80 mg daily</w:t>
      </w:r>
      <w:r w:rsidR="00BF26F6">
        <w:rPr>
          <w:snapToGrid w:val="0"/>
          <w:lang w:val="en-GB"/>
        </w:rPr>
        <w:t>, requiring a maximum quantity of 1 pack</w:t>
      </w:r>
      <w:r w:rsidR="00B65F18">
        <w:rPr>
          <w:snapToGrid w:val="0"/>
          <w:lang w:val="en-GB"/>
        </w:rPr>
        <w:t>.</w:t>
      </w:r>
    </w:p>
    <w:p w14:paraId="7DF7798B" w14:textId="540A6C83" w:rsidR="00DF5A23" w:rsidRPr="002E4DA8" w:rsidRDefault="00DC672F" w:rsidP="002E4DA8">
      <w:pPr>
        <w:pStyle w:val="3-BodyText"/>
        <w:rPr>
          <w:snapToGrid w:val="0"/>
          <w:lang w:val="en-GB"/>
        </w:rPr>
      </w:pPr>
      <w:r>
        <w:rPr>
          <w:snapToGrid w:val="0"/>
          <w:lang w:val="en-GB"/>
        </w:rPr>
        <w:t>Consistent with the PBAC’s recommendation in July 2022, t</w:t>
      </w:r>
      <w:r w:rsidR="009D124D">
        <w:rPr>
          <w:snapToGrid w:val="0"/>
          <w:lang w:val="en-GB"/>
        </w:rPr>
        <w:t>he resubmission requested a</w:t>
      </w:r>
      <w:r>
        <w:rPr>
          <w:snapToGrid w:val="0"/>
          <w:lang w:val="en-GB"/>
        </w:rPr>
        <w:t xml:space="preserve"> separate</w:t>
      </w:r>
      <w:r w:rsidR="009D124D">
        <w:rPr>
          <w:snapToGrid w:val="0"/>
          <w:lang w:val="en-GB"/>
        </w:rPr>
        <w:t xml:space="preserve"> </w:t>
      </w:r>
      <w:r w:rsidR="009D124D" w:rsidRPr="009D124D">
        <w:rPr>
          <w:snapToGrid w:val="0"/>
          <w:lang w:val="en-GB"/>
        </w:rPr>
        <w:t>Authority Required</w:t>
      </w:r>
      <w:r w:rsidR="00684956">
        <w:rPr>
          <w:snapToGrid w:val="0"/>
          <w:lang w:val="en-GB"/>
        </w:rPr>
        <w:t xml:space="preserve"> restriction</w:t>
      </w:r>
      <w:r w:rsidR="009D124D">
        <w:rPr>
          <w:snapToGrid w:val="0"/>
          <w:lang w:val="en-GB"/>
        </w:rPr>
        <w:t xml:space="preserve"> for patients with the T315I mutation</w:t>
      </w:r>
      <w:r w:rsidR="00BF26F6">
        <w:rPr>
          <w:snapToGrid w:val="0"/>
          <w:lang w:val="en-GB"/>
        </w:rPr>
        <w:t>, in line with the separate restriction for ponatinib in T315I patients</w:t>
      </w:r>
      <w:r w:rsidR="009D124D">
        <w:rPr>
          <w:snapToGrid w:val="0"/>
          <w:lang w:val="en-GB"/>
        </w:rPr>
        <w:t xml:space="preserve">. </w:t>
      </w:r>
      <w:r w:rsidR="00684956">
        <w:rPr>
          <w:snapToGrid w:val="0"/>
          <w:lang w:val="en-GB"/>
        </w:rPr>
        <w:t xml:space="preserve">While the submission requested </w:t>
      </w:r>
      <w:r w:rsidR="00684956" w:rsidRPr="009D124D">
        <w:rPr>
          <w:snapToGrid w:val="0"/>
          <w:lang w:val="en-GB"/>
        </w:rPr>
        <w:t>telephone/onlin</w:t>
      </w:r>
      <w:r w:rsidR="00684956">
        <w:rPr>
          <w:snapToGrid w:val="0"/>
          <w:lang w:val="en-GB"/>
        </w:rPr>
        <w:t>e</w:t>
      </w:r>
      <w:r w:rsidR="00684956" w:rsidRPr="009D124D">
        <w:rPr>
          <w:snapToGrid w:val="0"/>
          <w:lang w:val="en-GB"/>
        </w:rPr>
        <w:t xml:space="preserve"> immediate assessment</w:t>
      </w:r>
      <w:r w:rsidR="00684956">
        <w:rPr>
          <w:snapToGrid w:val="0"/>
          <w:lang w:val="en-GB"/>
        </w:rPr>
        <w:t xml:space="preserve"> for initial treatment, t</w:t>
      </w:r>
      <w:r w:rsidR="009D124D">
        <w:rPr>
          <w:snapToGrid w:val="0"/>
          <w:lang w:val="en-GB"/>
        </w:rPr>
        <w:t xml:space="preserve">he PBAC considered that </w:t>
      </w:r>
      <w:r w:rsidR="00A90AE8">
        <w:rPr>
          <w:snapToGrid w:val="0"/>
          <w:lang w:val="en-GB"/>
        </w:rPr>
        <w:t>due to</w:t>
      </w:r>
      <w:r w:rsidR="00A97CB0">
        <w:rPr>
          <w:snapToGrid w:val="0"/>
          <w:lang w:val="en-GB"/>
        </w:rPr>
        <w:t xml:space="preserve"> the documentation required to demonstrate </w:t>
      </w:r>
      <w:r w:rsidR="00A97CB0" w:rsidRPr="00A97CB0">
        <w:rPr>
          <w:snapToGrid w:val="0"/>
          <w:lang w:val="en-GB"/>
        </w:rPr>
        <w:t>express</w:t>
      </w:r>
      <w:r w:rsidR="00A97CB0">
        <w:rPr>
          <w:snapToGrid w:val="0"/>
          <w:lang w:val="en-GB"/>
        </w:rPr>
        <w:t>ion of</w:t>
      </w:r>
      <w:r w:rsidR="00A97CB0" w:rsidRPr="00A97CB0">
        <w:rPr>
          <w:snapToGrid w:val="0"/>
          <w:lang w:val="en-GB"/>
        </w:rPr>
        <w:t xml:space="preserve"> the T315I mutation </w:t>
      </w:r>
      <w:r w:rsidR="00A97CB0">
        <w:rPr>
          <w:snapToGrid w:val="0"/>
          <w:lang w:val="en-GB"/>
        </w:rPr>
        <w:t>(</w:t>
      </w:r>
      <w:r w:rsidR="00A97CB0" w:rsidRPr="00A97CB0">
        <w:rPr>
          <w:snapToGrid w:val="0"/>
          <w:lang w:val="en-GB"/>
        </w:rPr>
        <w:t>a bone marrow biopsy pathology report</w:t>
      </w:r>
      <w:r w:rsidR="00A97CB0">
        <w:rPr>
          <w:snapToGrid w:val="0"/>
          <w:lang w:val="en-GB"/>
        </w:rPr>
        <w:t>), and</w:t>
      </w:r>
      <w:r w:rsidR="00A90AE8">
        <w:rPr>
          <w:snapToGrid w:val="0"/>
          <w:lang w:val="en-GB"/>
        </w:rPr>
        <w:t xml:space="preserve"> the higher dosage required for these patients</w:t>
      </w:r>
      <w:r w:rsidR="00EF2539">
        <w:rPr>
          <w:snapToGrid w:val="0"/>
          <w:lang w:val="en-GB"/>
        </w:rPr>
        <w:t xml:space="preserve"> (200 mg twice daily)</w:t>
      </w:r>
      <w:r w:rsidR="00A90AE8">
        <w:rPr>
          <w:snapToGrid w:val="0"/>
          <w:lang w:val="en-GB"/>
        </w:rPr>
        <w:t xml:space="preserve"> with</w:t>
      </w:r>
      <w:r w:rsidR="009D124D">
        <w:rPr>
          <w:snapToGrid w:val="0"/>
          <w:lang w:val="en-GB"/>
        </w:rPr>
        <w:t xml:space="preserve"> the</w:t>
      </w:r>
      <w:r w:rsidR="00A90AE8">
        <w:rPr>
          <w:snapToGrid w:val="0"/>
          <w:lang w:val="en-GB"/>
        </w:rPr>
        <w:t xml:space="preserve"> associated increase in the maximum</w:t>
      </w:r>
      <w:r w:rsidR="009D124D">
        <w:rPr>
          <w:snapToGrid w:val="0"/>
          <w:lang w:val="en-GB"/>
        </w:rPr>
        <w:t xml:space="preserve"> </w:t>
      </w:r>
      <w:r w:rsidR="00A90AE8">
        <w:rPr>
          <w:snapToGrid w:val="0"/>
          <w:lang w:val="en-GB"/>
        </w:rPr>
        <w:t>quantity</w:t>
      </w:r>
      <w:r w:rsidR="009D124D">
        <w:rPr>
          <w:snapToGrid w:val="0"/>
          <w:lang w:val="en-GB"/>
        </w:rPr>
        <w:t xml:space="preserve"> of packs </w:t>
      </w:r>
      <w:r w:rsidR="00A90AE8">
        <w:rPr>
          <w:snapToGrid w:val="0"/>
          <w:lang w:val="en-GB"/>
        </w:rPr>
        <w:t>(5)</w:t>
      </w:r>
      <w:r w:rsidR="009D124D">
        <w:rPr>
          <w:snapToGrid w:val="0"/>
          <w:lang w:val="en-GB"/>
        </w:rPr>
        <w:t xml:space="preserve">, </w:t>
      </w:r>
      <w:r w:rsidR="00A90AE8">
        <w:rPr>
          <w:snapToGrid w:val="0"/>
          <w:lang w:val="en-GB"/>
        </w:rPr>
        <w:t>a written Authority would be required</w:t>
      </w:r>
      <w:r w:rsidR="00A97CB0">
        <w:rPr>
          <w:snapToGrid w:val="0"/>
          <w:lang w:val="en-GB"/>
        </w:rPr>
        <w:t xml:space="preserve"> for initial treatment</w:t>
      </w:r>
      <w:r w:rsidR="00A90AE8">
        <w:rPr>
          <w:snapToGrid w:val="0"/>
          <w:lang w:val="en-GB"/>
        </w:rPr>
        <w:t>.</w:t>
      </w:r>
      <w:r w:rsidR="009D124D">
        <w:rPr>
          <w:snapToGrid w:val="0"/>
          <w:lang w:val="en-GB"/>
        </w:rPr>
        <w:t xml:space="preserve"> </w:t>
      </w:r>
    </w:p>
    <w:p w14:paraId="7A6E98A5" w14:textId="64F9E4B2" w:rsidR="007E60DA" w:rsidRPr="007E60DA" w:rsidRDefault="007E60DA" w:rsidP="007E60DA">
      <w:pPr>
        <w:pStyle w:val="3-BodyText"/>
        <w:rPr>
          <w:snapToGrid w:val="0"/>
          <w:lang w:val="en-GB"/>
        </w:rPr>
      </w:pPr>
      <w:r w:rsidRPr="00D3287E">
        <w:t>While the PBAC noted asciminib does not have a registered indication for the rare subgroup in accelerated phase, the PBAC acknowledged the high clinical need in this small number of patients. The PBAC suggested that the clinical criterion in the requested restriction wording “must be in the chronic phase” be amended to “must not be in the blast phase”.</w:t>
      </w:r>
    </w:p>
    <w:p w14:paraId="4336C8D8" w14:textId="45C6E5E7" w:rsidR="003B36F8" w:rsidRPr="003B36F8" w:rsidRDefault="003B36F8" w:rsidP="003B36F8">
      <w:pPr>
        <w:pStyle w:val="3-BodyText"/>
        <w:rPr>
          <w:snapToGrid w:val="0"/>
          <w:lang w:val="en-GB"/>
        </w:rPr>
      </w:pPr>
      <w:r w:rsidRPr="003721A0">
        <w:rPr>
          <w:snapToGrid w:val="0"/>
          <w:lang w:val="en-GB"/>
        </w:rPr>
        <w:t>The PBAC</w:t>
      </w:r>
      <w:r>
        <w:rPr>
          <w:snapToGrid w:val="0"/>
          <w:lang w:val="en-GB"/>
        </w:rPr>
        <w:t xml:space="preserve"> recalled </w:t>
      </w:r>
      <w:r w:rsidR="004B3E7F">
        <w:rPr>
          <w:snapToGrid w:val="0"/>
          <w:lang w:val="en-GB"/>
        </w:rPr>
        <w:t>from</w:t>
      </w:r>
      <w:r w:rsidRPr="003721A0">
        <w:t xml:space="preserve"> the July 2022 meeting</w:t>
      </w:r>
      <w:r w:rsidR="004B3E7F">
        <w:t xml:space="preserve"> that</w:t>
      </w:r>
      <w:r w:rsidRPr="003721A0">
        <w:t xml:space="preserve"> </w:t>
      </w:r>
      <w:r w:rsidRPr="003721A0">
        <w:rPr>
          <w:snapToGrid w:val="0"/>
          <w:lang w:val="en-GB"/>
        </w:rPr>
        <w:t>the comparator</w:t>
      </w:r>
      <w:r>
        <w:rPr>
          <w:snapToGrid w:val="0"/>
          <w:lang w:val="en-GB"/>
        </w:rPr>
        <w:t xml:space="preserve"> was considered to be</w:t>
      </w:r>
      <w:r w:rsidRPr="003721A0">
        <w:rPr>
          <w:snapToGrid w:val="0"/>
          <w:lang w:val="en-GB"/>
        </w:rPr>
        <w:t xml:space="preserve"> complex due to the change in the use of TKIs over the last 24-48 months.</w:t>
      </w:r>
      <w:r>
        <w:rPr>
          <w:snapToGrid w:val="0"/>
          <w:lang w:val="en-GB"/>
        </w:rPr>
        <w:t xml:space="preserve"> </w:t>
      </w:r>
      <w:r w:rsidRPr="003721A0">
        <w:t>The PBAC considered</w:t>
      </w:r>
      <w:r>
        <w:t xml:space="preserve"> in July 2022</w:t>
      </w:r>
      <w:r w:rsidRPr="003721A0">
        <w:t xml:space="preserve"> that, for some patients, asciminib likely provides a significant improvement in efficacy over imatinib, and as an additional TKI with a different mechanism of action, </w:t>
      </w:r>
      <w:r w:rsidR="00E07B26">
        <w:t>it</w:t>
      </w:r>
      <w:r w:rsidRPr="003721A0">
        <w:t xml:space="preserve"> likely provides a significant improvement in efficacy and/or reduction in toxicity over standard of care (non-TKI therapy) for patients who have either failed, or</w:t>
      </w:r>
      <w:r w:rsidR="00E07B26">
        <w:t xml:space="preserve"> are</w:t>
      </w:r>
      <w:r w:rsidRPr="003721A0">
        <w:t xml:space="preserve"> unable to tolerate, both dasatinib and nilotinib.</w:t>
      </w:r>
      <w:r w:rsidR="0054560B">
        <w:t xml:space="preserve"> </w:t>
      </w:r>
      <w:r>
        <w:rPr>
          <w:snapToGrid w:val="0"/>
          <w:lang w:val="en-GB"/>
        </w:rPr>
        <w:t>T</w:t>
      </w:r>
      <w:r w:rsidRPr="003B36F8">
        <w:rPr>
          <w:snapToGrid w:val="0"/>
          <w:lang w:val="en-GB"/>
        </w:rPr>
        <w:t xml:space="preserve">he PBAC advised that a resubmission should </w:t>
      </w:r>
      <w:r w:rsidRPr="003B36F8">
        <w:rPr>
          <w:lang w:val="en-GB"/>
        </w:rPr>
        <w:t xml:space="preserve">reflect </w:t>
      </w:r>
      <w:r w:rsidRPr="0054560B">
        <w:t>benchmarking</w:t>
      </w:r>
      <w:r w:rsidRPr="003721A0">
        <w:t xml:space="preserve"> against the second generation TKIs, nilotinib and dasatinib </w:t>
      </w:r>
      <w:r w:rsidRPr="003B36F8">
        <w:rPr>
          <w:lang w:val="en-GB"/>
        </w:rPr>
        <w:t>(</w:t>
      </w:r>
      <w:r w:rsidRPr="003721A0">
        <w:t xml:space="preserve">paragraph 7.7, asciminib </w:t>
      </w:r>
      <w:r w:rsidR="001D267B">
        <w:t>PSD</w:t>
      </w:r>
      <w:r w:rsidRPr="003721A0">
        <w:t>, July 2022</w:t>
      </w:r>
      <w:r w:rsidRPr="003B36F8">
        <w:rPr>
          <w:lang w:val="en-GB"/>
        </w:rPr>
        <w:t>)</w:t>
      </w:r>
      <w:r w:rsidRPr="003B36F8">
        <w:rPr>
          <w:snapToGrid w:val="0"/>
          <w:lang w:val="en-GB"/>
        </w:rPr>
        <w:t xml:space="preserve">. </w:t>
      </w:r>
      <w:r w:rsidRPr="003B36F8">
        <w:rPr>
          <w:lang w:val="en-GB"/>
        </w:rPr>
        <w:t>The PBAC also considered</w:t>
      </w:r>
      <w:r w:rsidRPr="009270BE">
        <w:rPr>
          <w:lang w:val="en-GB"/>
        </w:rPr>
        <w:t xml:space="preserve"> </w:t>
      </w:r>
      <w:r w:rsidRPr="002E4230">
        <w:t>at the July 2022 meeting that</w:t>
      </w:r>
      <w:r w:rsidRPr="003B36F8">
        <w:rPr>
          <w:lang w:val="en-GB"/>
        </w:rPr>
        <w:t xml:space="preserve"> ponatinib is a relevant comparator for patients with the T315I mutation (</w:t>
      </w:r>
      <w:r w:rsidRPr="002E4230">
        <w:t xml:space="preserve">paragraph 7.8, asciminib </w:t>
      </w:r>
      <w:r w:rsidR="001D267B">
        <w:t>PSD</w:t>
      </w:r>
      <w:r>
        <w:t>, July 2022</w:t>
      </w:r>
      <w:r w:rsidRPr="003B36F8">
        <w:rPr>
          <w:lang w:val="en-GB"/>
        </w:rPr>
        <w:t>).</w:t>
      </w:r>
    </w:p>
    <w:p w14:paraId="2B1510BF" w14:textId="20309129" w:rsidR="00666F78" w:rsidRPr="00AB6DEA" w:rsidRDefault="003B36F8" w:rsidP="00AB6DEA">
      <w:pPr>
        <w:pStyle w:val="3-BodyText"/>
        <w:rPr>
          <w:snapToGrid w:val="0"/>
          <w:lang w:val="en-GB"/>
        </w:rPr>
      </w:pPr>
      <w:r w:rsidRPr="005835DF">
        <w:rPr>
          <w:lang w:val="en-GB"/>
        </w:rPr>
        <w:t>The resubmission did not specifically re-define the comparator for asciminib; however,</w:t>
      </w:r>
      <w:r w:rsidR="00DC672F">
        <w:rPr>
          <w:lang w:val="en-GB"/>
        </w:rPr>
        <w:t xml:space="preserve"> c</w:t>
      </w:r>
      <w:r w:rsidR="00DC672F">
        <w:rPr>
          <w:snapToGrid w:val="0"/>
          <w:lang w:val="en-GB"/>
        </w:rPr>
        <w:t>onsistent with the PBAC’s recommendation in July 2022,</w:t>
      </w:r>
      <w:r w:rsidRPr="005835DF">
        <w:rPr>
          <w:lang w:val="en-GB"/>
        </w:rPr>
        <w:t xml:space="preserve"> it presented clinical data for a comparison in the T315I mutation population of asciminib v</w:t>
      </w:r>
      <w:r w:rsidR="00666F78">
        <w:rPr>
          <w:lang w:val="en-GB"/>
        </w:rPr>
        <w:t>ersu</w:t>
      </w:r>
      <w:r w:rsidRPr="005835DF">
        <w:rPr>
          <w:lang w:val="en-GB"/>
        </w:rPr>
        <w:t xml:space="preserve">s ponatinib, and it presented an economic evaluation in the non-T315I mutation population </w:t>
      </w:r>
      <w:r w:rsidR="0054560B">
        <w:rPr>
          <w:lang w:val="en-GB"/>
        </w:rPr>
        <w:t>for both</w:t>
      </w:r>
      <w:r w:rsidRPr="005835DF">
        <w:rPr>
          <w:lang w:val="en-GB"/>
        </w:rPr>
        <w:t xml:space="preserve"> asciminib v</w:t>
      </w:r>
      <w:r>
        <w:rPr>
          <w:lang w:val="en-GB"/>
        </w:rPr>
        <w:t>ersu</w:t>
      </w:r>
      <w:r w:rsidRPr="005835DF">
        <w:rPr>
          <w:lang w:val="en-GB"/>
        </w:rPr>
        <w:t>s nilotinib and asciminib v</w:t>
      </w:r>
      <w:r>
        <w:rPr>
          <w:lang w:val="en-GB"/>
        </w:rPr>
        <w:t>ersu</w:t>
      </w:r>
      <w:r w:rsidRPr="005835DF">
        <w:rPr>
          <w:lang w:val="en-GB"/>
        </w:rPr>
        <w:t>s dasatinib.</w:t>
      </w:r>
    </w:p>
    <w:p w14:paraId="201E5840" w14:textId="128AC120" w:rsidR="00AB6DEA" w:rsidRPr="00AB6DEA" w:rsidRDefault="00A30C13" w:rsidP="00AB6DEA">
      <w:pPr>
        <w:pStyle w:val="3-BodyText"/>
        <w:rPr>
          <w:snapToGrid w:val="0"/>
          <w:lang w:val="en-GB"/>
        </w:rPr>
      </w:pPr>
      <w:r w:rsidRPr="00A30C13">
        <w:rPr>
          <w:snapToGrid w:val="0"/>
          <w:lang w:val="en-GB"/>
        </w:rPr>
        <w:t>The PBAC recalled</w:t>
      </w:r>
      <w:r>
        <w:rPr>
          <w:snapToGrid w:val="0"/>
          <w:lang w:val="en-GB"/>
        </w:rPr>
        <w:t xml:space="preserve"> from the July 2022 consideration</w:t>
      </w:r>
      <w:r w:rsidRPr="00A30C13">
        <w:rPr>
          <w:snapToGrid w:val="0"/>
          <w:lang w:val="en-GB"/>
        </w:rPr>
        <w:t xml:space="preserve"> that</w:t>
      </w:r>
      <w:r>
        <w:rPr>
          <w:snapToGrid w:val="0"/>
          <w:lang w:val="en-GB"/>
        </w:rPr>
        <w:t>, for the clinical comparison of asciminib versus nilotinib in the non-T315I mutation population</w:t>
      </w:r>
      <w:r>
        <w:t>, non-inferior efficacy is likely supported despite the limitations of the evidence</w:t>
      </w:r>
      <w:r w:rsidR="00C2794C">
        <w:t xml:space="preserve"> </w:t>
      </w:r>
      <w:r w:rsidR="00C2794C">
        <w:rPr>
          <w:snapToGrid w:val="0"/>
          <w:lang w:val="en-GB"/>
        </w:rPr>
        <w:t>from the ASCEMBL and ENACT trials</w:t>
      </w:r>
      <w:r>
        <w:t xml:space="preserve"> (</w:t>
      </w:r>
      <w:r w:rsidRPr="002E4230">
        <w:t>paragraph 7.</w:t>
      </w:r>
      <w:r>
        <w:t>9</w:t>
      </w:r>
      <w:r w:rsidRPr="002E4230">
        <w:t xml:space="preserve">, asciminib </w:t>
      </w:r>
      <w:r>
        <w:t>PSD, July 2022).</w:t>
      </w:r>
      <w:r w:rsidR="004B3E7F">
        <w:t xml:space="preserve"> The PBAC also recalled that</w:t>
      </w:r>
      <w:r w:rsidR="00494346">
        <w:t xml:space="preserve"> </w:t>
      </w:r>
      <w:r w:rsidR="00494346">
        <w:lastRenderedPageBreak/>
        <w:t>the available data do not support the claim of superior safety</w:t>
      </w:r>
      <w:r w:rsidR="004B3E7F">
        <w:t xml:space="preserve"> </w:t>
      </w:r>
      <w:r w:rsidR="00494346">
        <w:t>compared with nilotinib [or ponatinib] in the non-T315I mutation population (</w:t>
      </w:r>
      <w:r w:rsidR="00494346" w:rsidRPr="002E4230">
        <w:t>paragraph 7.</w:t>
      </w:r>
      <w:r w:rsidR="00494346">
        <w:t>11</w:t>
      </w:r>
      <w:r w:rsidR="00494346" w:rsidRPr="002E4230">
        <w:t xml:space="preserve">, asciminib </w:t>
      </w:r>
      <w:r w:rsidR="00494346">
        <w:t>PSD, July 2022).</w:t>
      </w:r>
    </w:p>
    <w:p w14:paraId="06F20A79" w14:textId="4711EC50" w:rsidR="001166A5" w:rsidRPr="001343DA" w:rsidRDefault="00AB6DEA" w:rsidP="001343DA">
      <w:pPr>
        <w:pStyle w:val="3-BodyText"/>
      </w:pPr>
      <w:r w:rsidRPr="001343DA">
        <w:rPr>
          <w:lang w:val="en-GB"/>
        </w:rPr>
        <w:t xml:space="preserve">Consistent </w:t>
      </w:r>
      <w:r w:rsidRPr="001343DA">
        <w:rPr>
          <w:snapToGrid w:val="0"/>
          <w:lang w:val="en-GB"/>
        </w:rPr>
        <w:t xml:space="preserve">with the PBAC’s </w:t>
      </w:r>
      <w:r w:rsidR="009530A7">
        <w:rPr>
          <w:snapToGrid w:val="0"/>
          <w:lang w:val="en-GB"/>
        </w:rPr>
        <w:t>request</w:t>
      </w:r>
      <w:r w:rsidRPr="001343DA">
        <w:rPr>
          <w:snapToGrid w:val="0"/>
          <w:lang w:val="en-GB"/>
        </w:rPr>
        <w:t xml:space="preserve"> in July 2022</w:t>
      </w:r>
      <w:r w:rsidRPr="001343DA">
        <w:rPr>
          <w:lang w:val="en-GB"/>
        </w:rPr>
        <w:t xml:space="preserve"> (</w:t>
      </w:r>
      <w:r w:rsidRPr="001343DA">
        <w:rPr>
          <w:snapToGrid w:val="0"/>
          <w:lang w:val="en-GB"/>
        </w:rPr>
        <w:t xml:space="preserve">paragraph 7.15, </w:t>
      </w:r>
      <w:r w:rsidRPr="001343DA">
        <w:rPr>
          <w:bCs/>
        </w:rPr>
        <w:t>asciminib PSD)</w:t>
      </w:r>
      <w:r w:rsidRPr="001343DA">
        <w:rPr>
          <w:lang w:val="en-GB"/>
        </w:rPr>
        <w:t>, the resubmission p</w:t>
      </w:r>
      <w:r w:rsidR="00666F78" w:rsidRPr="001343DA">
        <w:t>resent</w:t>
      </w:r>
      <w:r w:rsidRPr="001343DA">
        <w:t>ed</w:t>
      </w:r>
      <w:r w:rsidR="00666F78" w:rsidRPr="001343DA">
        <w:t xml:space="preserve"> clinical data to support asciminib </w:t>
      </w:r>
      <w:r w:rsidRPr="001343DA">
        <w:t>being</w:t>
      </w:r>
      <w:r w:rsidR="00666F78" w:rsidRPr="001343DA">
        <w:t xml:space="preserve"> non-inferior to ponatinib in patients with the T315I mutation.</w:t>
      </w:r>
      <w:r w:rsidR="008436D3">
        <w:t xml:space="preserve"> While </w:t>
      </w:r>
      <w:r w:rsidR="001343DA">
        <w:t>the PBAC acknowledged the</w:t>
      </w:r>
      <w:r w:rsidR="008436D3">
        <w:t xml:space="preserve"> inherent uncertainties associated with an unanchored and unadjusted</w:t>
      </w:r>
      <w:r w:rsidR="0007670A">
        <w:t xml:space="preserve"> indirect</w:t>
      </w:r>
      <w:r w:rsidR="008436D3">
        <w:t xml:space="preserve"> comparison, </w:t>
      </w:r>
      <w:r w:rsidR="001343DA">
        <w:t>it</w:t>
      </w:r>
      <w:r w:rsidR="008436D3">
        <w:t xml:space="preserve"> considered that there was no signal of a difference between asciminib and ponatinib</w:t>
      </w:r>
      <w:r w:rsidR="0007670A">
        <w:t xml:space="preserve"> with respect to clinical efficacy or safety and noted that the small numbers of patients in the evidence base reflected the </w:t>
      </w:r>
      <w:r w:rsidR="00F22858">
        <w:t>low prevalence of the patient population</w:t>
      </w:r>
      <w:r w:rsidR="0007670A">
        <w:t>.</w:t>
      </w:r>
    </w:p>
    <w:p w14:paraId="4A18403F" w14:textId="4A05F577" w:rsidR="00AE3D71" w:rsidRPr="00DC2327" w:rsidRDefault="00AB6DEA" w:rsidP="00AE3D71">
      <w:pPr>
        <w:pStyle w:val="3-BodyText"/>
        <w:rPr>
          <w:snapToGrid w:val="0"/>
          <w:lang w:val="en-GB"/>
        </w:rPr>
      </w:pPr>
      <w:r w:rsidRPr="00DC2327">
        <w:rPr>
          <w:lang w:val="en-GB"/>
        </w:rPr>
        <w:t xml:space="preserve">Consistent </w:t>
      </w:r>
      <w:r w:rsidRPr="00DC2327">
        <w:rPr>
          <w:snapToGrid w:val="0"/>
          <w:lang w:val="en-GB"/>
        </w:rPr>
        <w:t xml:space="preserve">with the PBAC’s </w:t>
      </w:r>
      <w:r w:rsidR="009530A7">
        <w:rPr>
          <w:snapToGrid w:val="0"/>
          <w:lang w:val="en-GB"/>
        </w:rPr>
        <w:t>request</w:t>
      </w:r>
      <w:r w:rsidRPr="00DC2327">
        <w:rPr>
          <w:snapToGrid w:val="0"/>
          <w:lang w:val="en-GB"/>
        </w:rPr>
        <w:t xml:space="preserve"> in July 2022</w:t>
      </w:r>
      <w:r w:rsidRPr="00DC2327">
        <w:rPr>
          <w:lang w:val="en-GB"/>
        </w:rPr>
        <w:t xml:space="preserve"> (</w:t>
      </w:r>
      <w:r w:rsidRPr="00DC2327">
        <w:rPr>
          <w:snapToGrid w:val="0"/>
          <w:lang w:val="en-GB"/>
        </w:rPr>
        <w:t xml:space="preserve">paragraph 7.15, </w:t>
      </w:r>
      <w:r w:rsidRPr="00DC2327">
        <w:rPr>
          <w:bCs/>
        </w:rPr>
        <w:t>asciminib PSD)</w:t>
      </w:r>
      <w:r w:rsidRPr="00DC2327">
        <w:rPr>
          <w:lang w:val="en-GB"/>
        </w:rPr>
        <w:t>, the resubmission p</w:t>
      </w:r>
      <w:r w:rsidRPr="00DC2327">
        <w:t>resented a</w:t>
      </w:r>
      <w:r w:rsidR="00666F78" w:rsidRPr="00DC2327">
        <w:rPr>
          <w:lang w:val="en-GB"/>
        </w:rPr>
        <w:t xml:space="preserve">n economic evaluation that reflects </w:t>
      </w:r>
      <w:r w:rsidR="00666F78" w:rsidRPr="00DC2327">
        <w:t>benchmarking against the second generation TKIs, nilotinib and dasatinib</w:t>
      </w:r>
      <w:r w:rsidR="00900C5B" w:rsidRPr="00DC2327">
        <w:t>, in patients without the T315I mutation</w:t>
      </w:r>
      <w:r w:rsidR="00666F78" w:rsidRPr="00DC2327">
        <w:t>.</w:t>
      </w:r>
      <w:r w:rsidR="00900C5B" w:rsidRPr="00DC2327">
        <w:t xml:space="preserve"> The PBAC </w:t>
      </w:r>
      <w:r w:rsidR="00900C5B" w:rsidRPr="002F3FB0">
        <w:t>considered that the revised cost minimisations were appropriate, noting</w:t>
      </w:r>
      <w:r w:rsidR="005F7C4D" w:rsidRPr="002F3FB0">
        <w:t xml:space="preserve"> that the monitoring costs in the CMAs were required to be calculated over</w:t>
      </w:r>
      <w:r w:rsidR="0025519B" w:rsidRPr="002F3FB0">
        <w:t xml:space="preserve"> a</w:t>
      </w:r>
      <w:r w:rsidR="005F7C4D" w:rsidRPr="002F3FB0">
        <w:t xml:space="preserve"> 2</w:t>
      </w:r>
      <w:r w:rsidR="0025519B" w:rsidRPr="002F3FB0">
        <w:noBreakHyphen/>
      </w:r>
      <w:r w:rsidR="005F7C4D" w:rsidRPr="002F3FB0">
        <w:t>year</w:t>
      </w:r>
      <w:r w:rsidR="0025519B" w:rsidRPr="002F3FB0">
        <w:t xml:space="preserve"> time horizon, along with</w:t>
      </w:r>
      <w:r w:rsidR="00900C5B" w:rsidRPr="002F3FB0">
        <w:t xml:space="preserve"> </w:t>
      </w:r>
      <w:r w:rsidR="005F7C4D" w:rsidRPr="002F3FB0">
        <w:t>an</w:t>
      </w:r>
      <w:r w:rsidR="00900C5B" w:rsidRPr="002F3FB0">
        <w:t xml:space="preserve"> adjustment</w:t>
      </w:r>
      <w:r w:rsidR="005F7C4D" w:rsidRPr="002F3FB0">
        <w:t xml:space="preserve"> </w:t>
      </w:r>
      <w:r w:rsidR="00900C5B" w:rsidRPr="002F3FB0">
        <w:t>to the equi-effective dose</w:t>
      </w:r>
      <w:r w:rsidR="0025519B" w:rsidRPr="002F3FB0">
        <w:t xml:space="preserve"> for dasatinib (</w:t>
      </w:r>
      <w:r w:rsidR="00900C5B" w:rsidRPr="002F3FB0">
        <w:t>paragraph 6.3</w:t>
      </w:r>
      <w:r w:rsidR="0025519B" w:rsidRPr="002F3FB0">
        <w:t>)</w:t>
      </w:r>
      <w:r w:rsidR="00900C5B" w:rsidRPr="002F3FB0">
        <w:t xml:space="preserve">. The PBAC noted that </w:t>
      </w:r>
      <w:r w:rsidR="00E55199" w:rsidRPr="002F3FB0">
        <w:t>the Sponsor proposed the same EMP for both the asciminib 20 mg and 40 mg strengths</w:t>
      </w:r>
      <w:r w:rsidR="002F3FB0" w:rsidRPr="002F3FB0">
        <w:t xml:space="preserve"> and that the 20 mg strength should be priced such that it does not lead to an increase in cost versus the cost for nilotinib or dasatinib</w:t>
      </w:r>
      <w:r w:rsidR="00E55199" w:rsidRPr="002F3FB0">
        <w:t xml:space="preserve">. The PBAC noted that the weighted average price of </w:t>
      </w:r>
      <w:r w:rsidR="00B81A93" w:rsidRPr="002F3FB0">
        <w:t>asciminib</w:t>
      </w:r>
      <w:r w:rsidR="00E55199" w:rsidRPr="002F3FB0">
        <w:t xml:space="preserve"> was calculated according to the relative use of dasatinib</w:t>
      </w:r>
      <w:r w:rsidR="00616902" w:rsidRPr="002F3FB0">
        <w:t xml:space="preserve"> (</w:t>
      </w:r>
      <w:r w:rsidR="00B96A78" w:rsidRPr="007F018F">
        <w:rPr>
          <w:color w:val="000000"/>
          <w:w w:val="15"/>
          <w:shd w:val="solid" w:color="000000" w:fill="000000"/>
          <w:fitText w:val="-20" w:id="-1301051901"/>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1901"/>
          <w14:textFill>
            <w14:solidFill>
              <w14:srgbClr w14:val="000000">
                <w14:alpha w14:val="100000"/>
              </w14:srgbClr>
            </w14:solidFill>
          </w14:textFill>
        </w:rPr>
        <w:t>|</w:t>
      </w:r>
      <w:r w:rsidR="00616902" w:rsidRPr="009A07EA">
        <w:t>%</w:t>
      </w:r>
      <w:r w:rsidR="00616902" w:rsidRPr="002F3FB0">
        <w:t>)</w:t>
      </w:r>
      <w:r w:rsidR="00E55199" w:rsidRPr="002F3FB0">
        <w:t xml:space="preserve"> and nilotinib</w:t>
      </w:r>
      <w:r w:rsidR="00616902" w:rsidRPr="002F3FB0">
        <w:t xml:space="preserve"> (</w:t>
      </w:r>
      <w:r w:rsidR="00B96A78" w:rsidRPr="007F018F">
        <w:rPr>
          <w:color w:val="000000"/>
          <w:w w:val="15"/>
          <w:shd w:val="solid" w:color="000000" w:fill="000000"/>
          <w:fitText w:val="-20" w:id="-1301051900"/>
          <w14:textFill>
            <w14:solidFill>
              <w14:srgbClr w14:val="000000">
                <w14:alpha w14:val="100000"/>
              </w14:srgbClr>
            </w14:solidFill>
          </w14:textFill>
        </w:rPr>
        <w:t xml:space="preserve">|  </w:t>
      </w:r>
      <w:r w:rsidR="00B96A78" w:rsidRPr="007F018F">
        <w:rPr>
          <w:color w:val="000000"/>
          <w:spacing w:val="-69"/>
          <w:w w:val="15"/>
          <w:shd w:val="solid" w:color="000000" w:fill="000000"/>
          <w:fitText w:val="-20" w:id="-1301051900"/>
          <w14:textFill>
            <w14:solidFill>
              <w14:srgbClr w14:val="000000">
                <w14:alpha w14:val="100000"/>
              </w14:srgbClr>
            </w14:solidFill>
          </w14:textFill>
        </w:rPr>
        <w:t>|</w:t>
      </w:r>
      <w:r w:rsidR="00616902" w:rsidRPr="009A07EA">
        <w:t>%</w:t>
      </w:r>
      <w:r w:rsidR="00616902" w:rsidRPr="002F3FB0">
        <w:t xml:space="preserve">) as reported in a DUSC Secretariat analysis of usage of a third TKI, and considered this to be appropriate. The PBAC noted the Sponsor’s </w:t>
      </w:r>
      <w:r w:rsidR="00616902">
        <w:t xml:space="preserve">price proposal for non-T315I mutation patients was extended to the T315I population and considered that while the cost-effectiveness of </w:t>
      </w:r>
      <w:r w:rsidR="00DC2327">
        <w:t>asciminib in the T315I population is uncertain at the proposed price, it is acceptable in the context of very few patients</w:t>
      </w:r>
      <w:r w:rsidR="00F22858">
        <w:t xml:space="preserve"> (approximately 6 per year)</w:t>
      </w:r>
      <w:r w:rsidR="00DC2327">
        <w:t xml:space="preserve"> having this mutation.</w:t>
      </w:r>
    </w:p>
    <w:p w14:paraId="33C8FCBE" w14:textId="643A66C8" w:rsidR="00DF5A23" w:rsidRDefault="00DC2327" w:rsidP="009530A7">
      <w:pPr>
        <w:pStyle w:val="3-BodyText"/>
        <w:rPr>
          <w:snapToGrid w:val="0"/>
          <w:lang w:val="en-GB"/>
        </w:rPr>
      </w:pPr>
      <w:r w:rsidRPr="009530A7">
        <w:rPr>
          <w:lang w:val="en-GB"/>
        </w:rPr>
        <w:t xml:space="preserve">Consistent </w:t>
      </w:r>
      <w:r w:rsidRPr="009530A7">
        <w:rPr>
          <w:snapToGrid w:val="0"/>
          <w:lang w:val="en-GB"/>
        </w:rPr>
        <w:t xml:space="preserve">with the PBAC’s </w:t>
      </w:r>
      <w:r w:rsidR="009530A7" w:rsidRPr="009530A7">
        <w:rPr>
          <w:snapToGrid w:val="0"/>
          <w:lang w:val="en-GB"/>
        </w:rPr>
        <w:t>request</w:t>
      </w:r>
      <w:r w:rsidRPr="009530A7">
        <w:rPr>
          <w:snapToGrid w:val="0"/>
          <w:lang w:val="en-GB"/>
        </w:rPr>
        <w:t xml:space="preserve"> in July 2022</w:t>
      </w:r>
      <w:r w:rsidRPr="009530A7">
        <w:rPr>
          <w:lang w:val="en-GB"/>
        </w:rPr>
        <w:t xml:space="preserve"> (</w:t>
      </w:r>
      <w:r w:rsidRPr="009530A7">
        <w:rPr>
          <w:snapToGrid w:val="0"/>
          <w:lang w:val="en-GB"/>
        </w:rPr>
        <w:t xml:space="preserve">paragraph 7.15, </w:t>
      </w:r>
      <w:r w:rsidRPr="009530A7">
        <w:rPr>
          <w:bCs/>
        </w:rPr>
        <w:t>asciminib PSD)</w:t>
      </w:r>
      <w:r w:rsidRPr="009530A7">
        <w:rPr>
          <w:lang w:val="en-GB"/>
        </w:rPr>
        <w:t xml:space="preserve">, the resubmission </w:t>
      </w:r>
      <w:r w:rsidR="009530A7" w:rsidRPr="009530A7">
        <w:t>recalculated</w:t>
      </w:r>
      <w:r w:rsidRPr="009530A7">
        <w:t xml:space="preserve"> the financial implications.</w:t>
      </w:r>
      <w:r w:rsidR="009530A7">
        <w:t xml:space="preserve"> </w:t>
      </w:r>
      <w:r w:rsidR="009530A7" w:rsidRPr="001C1D89">
        <w:rPr>
          <w:rFonts w:cs="Arial"/>
          <w:snapToGrid w:val="0"/>
        </w:rPr>
        <w:t>The revised financial estimates</w:t>
      </w:r>
      <w:r w:rsidR="009530A7">
        <w:rPr>
          <w:rFonts w:cs="Arial"/>
          <w:snapToGrid w:val="0"/>
        </w:rPr>
        <w:t xml:space="preserve"> in the Pre-PBAC Response</w:t>
      </w:r>
      <w:r w:rsidR="009530A7" w:rsidRPr="001C1D89">
        <w:rPr>
          <w:rFonts w:cs="Arial"/>
          <w:snapToGrid w:val="0"/>
        </w:rPr>
        <w:t xml:space="preserve"> us</w:t>
      </w:r>
      <w:r w:rsidR="009530A7">
        <w:rPr>
          <w:rFonts w:cs="Arial"/>
          <w:snapToGrid w:val="0"/>
        </w:rPr>
        <w:t>ed</w:t>
      </w:r>
      <w:r w:rsidR="009530A7" w:rsidRPr="001C1D89">
        <w:rPr>
          <w:rFonts w:cs="Arial"/>
          <w:snapToGrid w:val="0"/>
        </w:rPr>
        <w:t xml:space="preserve"> </w:t>
      </w:r>
      <w:r w:rsidR="009530A7">
        <w:rPr>
          <w:rFonts w:cs="Arial"/>
          <w:snapToGrid w:val="0"/>
        </w:rPr>
        <w:t>an</w:t>
      </w:r>
      <w:r w:rsidR="009530A7" w:rsidRPr="001C1D89">
        <w:rPr>
          <w:rFonts w:cs="Arial"/>
          <w:snapToGrid w:val="0"/>
        </w:rPr>
        <w:t xml:space="preserve"> </w:t>
      </w:r>
      <w:r w:rsidR="009530A7">
        <w:rPr>
          <w:rFonts w:cs="Arial"/>
          <w:snapToGrid w:val="0"/>
        </w:rPr>
        <w:t>asciminib</w:t>
      </w:r>
      <w:r w:rsidR="009530A7" w:rsidRPr="001C1D89">
        <w:rPr>
          <w:rFonts w:cs="Arial"/>
          <w:snapToGrid w:val="0"/>
        </w:rPr>
        <w:t xml:space="preserve"> price</w:t>
      </w:r>
      <w:r w:rsidR="009530A7">
        <w:rPr>
          <w:rFonts w:cs="Arial"/>
          <w:snapToGrid w:val="0"/>
        </w:rPr>
        <w:t xml:space="preserve"> reflecting a</w:t>
      </w:r>
      <w:r w:rsidR="009600A4">
        <w:rPr>
          <w:rFonts w:cs="Arial"/>
          <w:snapToGrid w:val="0"/>
        </w:rPr>
        <w:t>n updated</w:t>
      </w:r>
      <w:r w:rsidR="009530A7">
        <w:rPr>
          <w:rFonts w:cs="Arial"/>
          <w:snapToGrid w:val="0"/>
        </w:rPr>
        <w:t xml:space="preserve"> </w:t>
      </w:r>
      <w:r w:rsidR="009530A7" w:rsidRPr="00100F00">
        <w:t>dasatinib equi-effective dose of 109.7 mg/day</w:t>
      </w:r>
      <w:r w:rsidR="00204DCC">
        <w:t xml:space="preserve"> (</w:t>
      </w:r>
      <w:r w:rsidR="00204DCC" w:rsidRPr="00D3204F">
        <w:t xml:space="preserve">paragraph </w:t>
      </w:r>
      <w:r w:rsidR="00204DCC" w:rsidRPr="00D3204F">
        <w:fldChar w:fldCharType="begin" w:fldLock="1"/>
      </w:r>
      <w:r w:rsidR="00204DCC" w:rsidRPr="00D3204F">
        <w:instrText xml:space="preserve"> REF _Ref119931183 \r \h  \* MERGEFORMAT </w:instrText>
      </w:r>
      <w:r w:rsidR="00204DCC" w:rsidRPr="00D3204F">
        <w:fldChar w:fldCharType="separate"/>
      </w:r>
      <w:r w:rsidR="00204DCC" w:rsidRPr="00D3204F">
        <w:t>6.3</w:t>
      </w:r>
      <w:r w:rsidR="00204DCC" w:rsidRPr="00D3204F">
        <w:fldChar w:fldCharType="end"/>
      </w:r>
      <w:r w:rsidR="00204DCC">
        <w:t>)</w:t>
      </w:r>
      <w:r w:rsidR="009530A7" w:rsidRPr="001C1D89">
        <w:rPr>
          <w:rFonts w:cs="Arial"/>
          <w:snapToGrid w:val="0"/>
        </w:rPr>
        <w:t>. The</w:t>
      </w:r>
      <w:r w:rsidR="009530A7" w:rsidRPr="001C1D89">
        <w:t xml:space="preserve"> estimated net financial impact to the PBS/RPBS for the listing of </w:t>
      </w:r>
      <w:r w:rsidR="009530A7">
        <w:t>asciminib</w:t>
      </w:r>
      <w:r w:rsidR="009530A7" w:rsidRPr="001C1D89">
        <w:t xml:space="preserve"> was </w:t>
      </w:r>
      <w:r w:rsidR="00C3609A" w:rsidRPr="00C3609A">
        <w:t>$10 million to &lt; $20 million</w:t>
      </w:r>
      <w:r w:rsidR="00C3609A">
        <w:t xml:space="preserve"> </w:t>
      </w:r>
      <w:r w:rsidR="009530A7" w:rsidRPr="001C1D89">
        <w:t>over six years</w:t>
      </w:r>
      <w:r w:rsidR="006A793A">
        <w:t>, predominantly due to differences in cost of substituted therapies</w:t>
      </w:r>
      <w:r w:rsidR="009530A7" w:rsidRPr="001C1D89">
        <w:t>.</w:t>
      </w:r>
    </w:p>
    <w:p w14:paraId="772707AF" w14:textId="748148B2" w:rsidR="00DF5A23" w:rsidRPr="00877EF1" w:rsidRDefault="00877EF1" w:rsidP="00877EF1">
      <w:pPr>
        <w:pStyle w:val="3-BodyText"/>
        <w:rPr>
          <w:snapToGrid w:val="0"/>
          <w:lang w:val="en-GB"/>
        </w:rPr>
      </w:pPr>
      <w:r w:rsidRPr="00940F72">
        <w:rPr>
          <w:bCs/>
          <w:snapToGrid w:val="0"/>
        </w:rPr>
        <w:t xml:space="preserve">The PBAC recommended that </w:t>
      </w:r>
      <w:r>
        <w:rPr>
          <w:bCs/>
          <w:snapToGrid w:val="0"/>
        </w:rPr>
        <w:t>asciminib</w:t>
      </w:r>
      <w:r w:rsidRPr="00940F72">
        <w:rPr>
          <w:bCs/>
          <w:snapToGrid w:val="0"/>
        </w:rPr>
        <w:t xml:space="preserve"> should not be treated as interchangeable with any other drugs.</w:t>
      </w:r>
    </w:p>
    <w:p w14:paraId="2F5EB21F" w14:textId="1E6A382B" w:rsidR="00DF5A23" w:rsidRPr="00525B39" w:rsidRDefault="00877EF1" w:rsidP="00C726D6">
      <w:pPr>
        <w:pStyle w:val="3-BodyText"/>
        <w:rPr>
          <w:snapToGrid w:val="0"/>
          <w:lang w:val="en-GB"/>
        </w:rPr>
      </w:pPr>
      <w:r w:rsidRPr="00940F72">
        <w:rPr>
          <w:bCs/>
          <w:snapToGrid w:val="0"/>
        </w:rPr>
        <w:t xml:space="preserve">The PBAC advised that </w:t>
      </w:r>
      <w:r>
        <w:rPr>
          <w:bCs/>
          <w:snapToGrid w:val="0"/>
        </w:rPr>
        <w:t>asciminib</w:t>
      </w:r>
      <w:r w:rsidRPr="00940F72">
        <w:rPr>
          <w:bCs/>
          <w:snapToGrid w:val="0"/>
        </w:rPr>
        <w:t xml:space="preserve"> is not suitable for prescribing by nurse practitioners. The PBAC noted that </w:t>
      </w:r>
      <w:r>
        <w:rPr>
          <w:bCs/>
          <w:snapToGrid w:val="0"/>
        </w:rPr>
        <w:t>existing TKI therapies are</w:t>
      </w:r>
      <w:r w:rsidRPr="00940F72">
        <w:rPr>
          <w:bCs/>
          <w:snapToGrid w:val="0"/>
        </w:rPr>
        <w:t xml:space="preserve"> not available for nurse prescribing.</w:t>
      </w:r>
    </w:p>
    <w:p w14:paraId="5A4114F0" w14:textId="20A5C4D1" w:rsidR="00DF5A23" w:rsidRPr="00FF2718" w:rsidRDefault="00877EF1" w:rsidP="00FF2718">
      <w:pPr>
        <w:pStyle w:val="3-BodyText"/>
        <w:rPr>
          <w:snapToGrid w:val="0"/>
          <w:lang w:val="en-GB"/>
        </w:rPr>
      </w:pPr>
      <w:r w:rsidRPr="00940F72">
        <w:t xml:space="preserve">The PBAC recommended that the Early Supply Rule </w:t>
      </w:r>
      <w:r w:rsidRPr="00877EF1">
        <w:t>should</w:t>
      </w:r>
      <w:r w:rsidRPr="00940F72">
        <w:t xml:space="preserve"> apply to </w:t>
      </w:r>
      <w:r>
        <w:t>asciminib</w:t>
      </w:r>
      <w:r w:rsidRPr="00940F72">
        <w:t xml:space="preserve">. The PBAC noted that the </w:t>
      </w:r>
      <w:r w:rsidRPr="00940F72">
        <w:rPr>
          <w:bCs/>
        </w:rPr>
        <w:t xml:space="preserve">Early Supply Rule applies to </w:t>
      </w:r>
      <w:r>
        <w:rPr>
          <w:bCs/>
        </w:rPr>
        <w:t>existing TKI therapy</w:t>
      </w:r>
      <w:r w:rsidRPr="00940F72">
        <w:rPr>
          <w:bCs/>
        </w:rPr>
        <w:t>.</w:t>
      </w:r>
    </w:p>
    <w:p w14:paraId="4AFC5D61" w14:textId="77777777" w:rsidR="00FF2718" w:rsidRPr="00FF2718" w:rsidRDefault="00FF2718" w:rsidP="00FF2718">
      <w:pPr>
        <w:pStyle w:val="3-BodyText"/>
        <w:rPr>
          <w:lang w:val="en-GB"/>
        </w:rPr>
      </w:pPr>
      <w:r w:rsidRPr="00D121C5">
        <w:rPr>
          <w:lang w:val="en-GB"/>
        </w:rPr>
        <w:lastRenderedPageBreak/>
        <w:t xml:space="preserve">The PBAC noted that its recommendation was on a cost-minimisation basis and advised that, because </w:t>
      </w:r>
      <w:r>
        <w:rPr>
          <w:lang w:val="en-GB"/>
        </w:rPr>
        <w:t>asciminib</w:t>
      </w:r>
      <w:r w:rsidRPr="00D121C5">
        <w:rPr>
          <w:lang w:val="en-GB"/>
        </w:rPr>
        <w:t xml:space="preserve"> is not expected to provide a substantial</w:t>
      </w:r>
      <w:r w:rsidRPr="00D121C5">
        <w:rPr>
          <w:bCs/>
          <w:lang w:val="en-GB"/>
        </w:rPr>
        <w:t xml:space="preserve"> and</w:t>
      </w:r>
      <w:r w:rsidRPr="00531A05">
        <w:rPr>
          <w:bCs/>
          <w:lang w:val="en-GB"/>
        </w:rPr>
        <w:t xml:space="preserve"> clinically relevant improvement in efficacy, or reduction of toxicity, over</w:t>
      </w:r>
      <w:r>
        <w:rPr>
          <w:bCs/>
          <w:lang w:val="en-GB"/>
        </w:rPr>
        <w:t xml:space="preserve"> existing TKI therapy</w:t>
      </w:r>
      <w:r w:rsidRPr="00531A05">
        <w:rPr>
          <w:bCs/>
          <w:lang w:val="en-GB"/>
        </w:rPr>
        <w:t xml:space="preserve">, or not expected to address a high and urgent unmet clinical need given the presence of an alternative therapy, the criteria prescribed by the </w:t>
      </w:r>
      <w:r w:rsidRPr="007A5703">
        <w:rPr>
          <w:bCs/>
          <w:i/>
          <w:lang w:val="en-GB"/>
        </w:rPr>
        <w:t>National Health (Pharmaceuticals and Vaccines – Cost Recovery) Regulations 20</w:t>
      </w:r>
      <w:r>
        <w:rPr>
          <w:bCs/>
          <w:i/>
          <w:lang w:val="en-GB"/>
        </w:rPr>
        <w:t>22</w:t>
      </w:r>
      <w:r w:rsidRPr="00531A05">
        <w:rPr>
          <w:bCs/>
          <w:lang w:val="en-GB"/>
        </w:rPr>
        <w:t xml:space="preserve"> for Pricing Pathway A were not met.</w:t>
      </w:r>
    </w:p>
    <w:p w14:paraId="75F3DE92" w14:textId="4E973FA2" w:rsidR="00DF5A23" w:rsidRPr="00EB443D" w:rsidRDefault="00FF2718" w:rsidP="00FF2718">
      <w:pPr>
        <w:pStyle w:val="3-BodyText"/>
        <w:rPr>
          <w:bCs/>
          <w:lang w:val="en-GB"/>
        </w:rPr>
      </w:pPr>
      <w:r w:rsidRPr="00525B39">
        <w:rPr>
          <w:snapToGrid w:val="0"/>
          <w:lang w:val="en-GB"/>
        </w:rPr>
        <w:t>The PBAC noted that this submission is not eligible for an Independent Review</w:t>
      </w:r>
      <w:r>
        <w:rPr>
          <w:snapToGrid w:val="0"/>
          <w:lang w:val="en-GB"/>
        </w:rPr>
        <w:t xml:space="preserve"> </w:t>
      </w:r>
      <w:r w:rsidRPr="001C1D89">
        <w:rPr>
          <w:rFonts w:cs="Arial"/>
          <w:bCs/>
          <w:snapToGrid w:val="0"/>
        </w:rPr>
        <w:t>as it received a positive recommendation</w:t>
      </w:r>
      <w:r w:rsidRPr="00525B39">
        <w:rPr>
          <w:snapToGrid w:val="0"/>
          <w:lang w:val="en-GB"/>
        </w:rPr>
        <w:t>.</w:t>
      </w:r>
    </w:p>
    <w:p w14:paraId="27AE7137" w14:textId="77777777" w:rsidR="00DF5A23" w:rsidRPr="00525B39" w:rsidRDefault="00DF5A23" w:rsidP="00DF5A23">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6A3A0D4A" w14:textId="24305C32" w:rsidR="00DF5A23" w:rsidRPr="00525B39" w:rsidRDefault="00DF5A23" w:rsidP="00DF5A23">
      <w:pPr>
        <w:rPr>
          <w:rFonts w:asciiTheme="minorHAnsi" w:hAnsiTheme="minorHAnsi" w:cs="Arial"/>
          <w:bCs/>
          <w:snapToGrid w:val="0"/>
          <w:lang w:val="en-GB"/>
        </w:rPr>
      </w:pPr>
      <w:r w:rsidRPr="00525B39">
        <w:rPr>
          <w:rFonts w:asciiTheme="minorHAnsi" w:hAnsiTheme="minorHAnsi" w:cs="Arial"/>
          <w:bCs/>
          <w:snapToGrid w:val="0"/>
          <w:lang w:val="en-GB"/>
        </w:rPr>
        <w:t>Recommended</w:t>
      </w:r>
    </w:p>
    <w:bookmarkEnd w:id="49"/>
    <w:p w14:paraId="7DD729DF" w14:textId="77777777" w:rsidR="00DF5A23" w:rsidRPr="00DF5A23" w:rsidRDefault="00DF5A23" w:rsidP="00DF5A23">
      <w:pPr>
        <w:pStyle w:val="2-SectionHeading"/>
        <w:rPr>
          <w:bCs/>
          <w:iCs/>
          <w:lang w:val="en-GB"/>
        </w:rPr>
      </w:pPr>
      <w:r w:rsidRPr="00525B39">
        <w:rPr>
          <w:lang w:val="en-GB"/>
        </w:rPr>
        <w:t>Recommended listing</w:t>
      </w:r>
    </w:p>
    <w:p w14:paraId="1CD74201" w14:textId="4F603D07" w:rsidR="00DF5A23" w:rsidRPr="00C72E03" w:rsidRDefault="004837E1" w:rsidP="000715F6">
      <w:pPr>
        <w:pStyle w:val="3-BodyText"/>
        <w:spacing w:after="0"/>
        <w:rPr>
          <w:bCs/>
          <w:snapToGrid w:val="0"/>
        </w:rPr>
      </w:pPr>
      <w:r w:rsidRPr="004837E1">
        <w:rPr>
          <w:rFonts w:cs="Arial"/>
          <w:bCs/>
          <w:snapToGrid w:val="0"/>
        </w:rPr>
        <w:t>Add new medicinal product as follows:</w:t>
      </w:r>
    </w:p>
    <w:p w14:paraId="08A41172" w14:textId="77777777" w:rsidR="004837E1" w:rsidRPr="00263443" w:rsidRDefault="004837E1" w:rsidP="000715F6">
      <w:pPr>
        <w:widowControl w:val="0"/>
      </w:pPr>
      <w:r w:rsidRPr="00263443">
        <w:rPr>
          <w:b/>
          <w:bCs/>
        </w:rPr>
        <w:t>Patients who have received at least 2 prior TKIs</w:t>
      </w:r>
    </w:p>
    <w:p w14:paraId="07E9F854" w14:textId="0683B978" w:rsidR="004837E1" w:rsidRPr="009802FB" w:rsidRDefault="004837E1" w:rsidP="002B34A3">
      <w:pPr>
        <w:rPr>
          <w:rFonts w:ascii="Arial Narrow" w:eastAsia="Calibri" w:hAnsi="Arial Narrow"/>
          <w:sz w:val="20"/>
          <w:szCs w:val="20"/>
        </w:rPr>
      </w:pPr>
      <w:r w:rsidRPr="00263443">
        <w:rPr>
          <w:rFonts w:ascii="Arial Narrow" w:eastAsia="Calibri" w:hAnsi="Arial Narrow"/>
          <w:sz w:val="20"/>
          <w:szCs w:val="20"/>
        </w:rPr>
        <w:t>Initial Treatment and Grandfather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91"/>
        <w:gridCol w:w="2983"/>
        <w:gridCol w:w="993"/>
        <w:gridCol w:w="850"/>
        <w:gridCol w:w="709"/>
        <w:gridCol w:w="709"/>
        <w:gridCol w:w="1842"/>
      </w:tblGrid>
      <w:tr w:rsidR="004837E1" w:rsidRPr="009A610D" w14:paraId="40194C7A" w14:textId="77777777" w:rsidTr="003D4043">
        <w:trPr>
          <w:cantSplit/>
          <w:trHeight w:val="471"/>
        </w:trPr>
        <w:tc>
          <w:tcPr>
            <w:tcW w:w="3964" w:type="dxa"/>
            <w:gridSpan w:val="3"/>
          </w:tcPr>
          <w:p w14:paraId="1D40EDB5" w14:textId="77777777" w:rsidR="004837E1" w:rsidRPr="00733D17" w:rsidRDefault="004837E1" w:rsidP="003D4043">
            <w:pPr>
              <w:keepNext/>
              <w:ind w:left="-57"/>
              <w:rPr>
                <w:rFonts w:ascii="Arial Narrow" w:hAnsi="Arial Narrow" w:cs="Arial"/>
                <w:b/>
                <w:bCs/>
                <w:sz w:val="20"/>
                <w:szCs w:val="20"/>
              </w:rPr>
            </w:pPr>
            <w:r w:rsidRPr="00733D17">
              <w:rPr>
                <w:rFonts w:ascii="Arial Narrow" w:hAnsi="Arial Narrow" w:cs="Arial"/>
                <w:b/>
                <w:bCs/>
                <w:sz w:val="20"/>
                <w:szCs w:val="20"/>
              </w:rPr>
              <w:t>MEDICINAL PRODUCT</w:t>
            </w:r>
          </w:p>
          <w:p w14:paraId="5EEBEDF4" w14:textId="77777777" w:rsidR="004837E1" w:rsidRPr="00733D17" w:rsidRDefault="004837E1" w:rsidP="003D4043">
            <w:pPr>
              <w:keepNext/>
              <w:ind w:left="-57"/>
              <w:rPr>
                <w:rFonts w:ascii="Arial Narrow" w:hAnsi="Arial Narrow" w:cs="Arial"/>
                <w:b/>
                <w:sz w:val="20"/>
                <w:szCs w:val="20"/>
              </w:rPr>
            </w:pPr>
            <w:r w:rsidRPr="00733D17">
              <w:rPr>
                <w:rFonts w:ascii="Arial Narrow" w:hAnsi="Arial Narrow" w:cs="Arial"/>
                <w:b/>
                <w:bCs/>
                <w:sz w:val="20"/>
                <w:szCs w:val="20"/>
              </w:rPr>
              <w:t>medicinal product pack</w:t>
            </w:r>
          </w:p>
        </w:tc>
        <w:tc>
          <w:tcPr>
            <w:tcW w:w="993" w:type="dxa"/>
          </w:tcPr>
          <w:p w14:paraId="1C148222" w14:textId="77777777" w:rsidR="004837E1" w:rsidRPr="009A610D" w:rsidRDefault="004837E1" w:rsidP="003D4043">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850" w:type="dxa"/>
          </w:tcPr>
          <w:p w14:paraId="59D119AF" w14:textId="77777777" w:rsidR="004837E1" w:rsidRPr="009A610D" w:rsidRDefault="004837E1" w:rsidP="003D4043">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709" w:type="dxa"/>
          </w:tcPr>
          <w:p w14:paraId="45D3256B" w14:textId="77777777" w:rsidR="004837E1" w:rsidRPr="009A610D" w:rsidRDefault="004837E1" w:rsidP="003D4043">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709" w:type="dxa"/>
          </w:tcPr>
          <w:p w14:paraId="504F415A" w14:textId="77777777" w:rsidR="004837E1" w:rsidRPr="009A610D" w:rsidRDefault="004837E1" w:rsidP="003D4043">
            <w:pPr>
              <w:keepNext/>
              <w:ind w:left="-108"/>
              <w:jc w:val="center"/>
              <w:rPr>
                <w:rFonts w:ascii="Arial Narrow" w:hAnsi="Arial Narrow" w:cs="Arial"/>
                <w:b/>
                <w:sz w:val="18"/>
                <w:szCs w:val="18"/>
              </w:rPr>
            </w:pPr>
            <w:r w:rsidRPr="009A610D">
              <w:rPr>
                <w:rFonts w:ascii="Arial Narrow" w:hAnsi="Arial Narrow" w:cs="Arial"/>
                <w:b/>
                <w:sz w:val="18"/>
                <w:szCs w:val="18"/>
              </w:rPr>
              <w:t>№.of</w:t>
            </w:r>
          </w:p>
          <w:p w14:paraId="0B8AFE7A" w14:textId="77777777" w:rsidR="004837E1" w:rsidRPr="009A610D" w:rsidRDefault="004837E1" w:rsidP="003D4043">
            <w:pPr>
              <w:keepNext/>
              <w:ind w:left="-108"/>
              <w:jc w:val="center"/>
              <w:rPr>
                <w:rFonts w:ascii="Arial Narrow" w:hAnsi="Arial Narrow" w:cs="Arial"/>
                <w:b/>
                <w:sz w:val="18"/>
                <w:szCs w:val="18"/>
              </w:rPr>
            </w:pPr>
            <w:r w:rsidRPr="009A610D">
              <w:rPr>
                <w:rFonts w:ascii="Arial Narrow" w:hAnsi="Arial Narrow" w:cs="Arial"/>
                <w:b/>
                <w:sz w:val="18"/>
                <w:szCs w:val="18"/>
              </w:rPr>
              <w:t>Rpts</w:t>
            </w:r>
          </w:p>
        </w:tc>
        <w:tc>
          <w:tcPr>
            <w:tcW w:w="1842" w:type="dxa"/>
          </w:tcPr>
          <w:p w14:paraId="6E514D8F" w14:textId="77777777" w:rsidR="004837E1" w:rsidRPr="009A610D" w:rsidRDefault="004837E1" w:rsidP="003D4043">
            <w:pPr>
              <w:keepNext/>
              <w:rPr>
                <w:rFonts w:ascii="Arial Narrow" w:hAnsi="Arial Narrow" w:cs="Arial"/>
                <w:b/>
                <w:sz w:val="18"/>
                <w:szCs w:val="18"/>
                <w:lang w:val="fr-FR"/>
              </w:rPr>
            </w:pPr>
            <w:r>
              <w:rPr>
                <w:rFonts w:ascii="Arial Narrow" w:hAnsi="Arial Narrow" w:cs="Arial"/>
                <w:b/>
                <w:sz w:val="18"/>
                <w:szCs w:val="18"/>
              </w:rPr>
              <w:t>Available brands</w:t>
            </w:r>
          </w:p>
        </w:tc>
      </w:tr>
      <w:tr w:rsidR="004837E1" w:rsidRPr="009A610D" w14:paraId="19930761" w14:textId="77777777" w:rsidTr="003D4043">
        <w:trPr>
          <w:cantSplit/>
          <w:trHeight w:val="224"/>
        </w:trPr>
        <w:tc>
          <w:tcPr>
            <w:tcW w:w="9067" w:type="dxa"/>
            <w:gridSpan w:val="8"/>
          </w:tcPr>
          <w:p w14:paraId="208E9912" w14:textId="77777777" w:rsidR="004837E1" w:rsidRPr="00733D17" w:rsidRDefault="004837E1" w:rsidP="003D4043">
            <w:pPr>
              <w:keepNext/>
              <w:ind w:left="-57"/>
              <w:rPr>
                <w:rFonts w:ascii="Arial Narrow" w:hAnsi="Arial Narrow" w:cs="Arial"/>
                <w:sz w:val="20"/>
                <w:szCs w:val="20"/>
              </w:rPr>
            </w:pPr>
            <w:r w:rsidRPr="00733D17">
              <w:rPr>
                <w:rFonts w:ascii="Arial Narrow" w:hAnsi="Arial Narrow" w:cs="Arial"/>
                <w:sz w:val="20"/>
                <w:szCs w:val="20"/>
              </w:rPr>
              <w:t>ASCIMINIB</w:t>
            </w:r>
          </w:p>
        </w:tc>
      </w:tr>
      <w:tr w:rsidR="004837E1" w:rsidRPr="009A610D" w14:paraId="558F750C" w14:textId="77777777" w:rsidTr="003D4043">
        <w:trPr>
          <w:cantSplit/>
          <w:trHeight w:val="269"/>
        </w:trPr>
        <w:tc>
          <w:tcPr>
            <w:tcW w:w="3964" w:type="dxa"/>
            <w:gridSpan w:val="3"/>
          </w:tcPr>
          <w:p w14:paraId="388EE4C9" w14:textId="77777777" w:rsidR="004837E1" w:rsidRPr="00733D17" w:rsidRDefault="004837E1" w:rsidP="003D4043">
            <w:pPr>
              <w:keepNext/>
              <w:ind w:left="-57"/>
              <w:rPr>
                <w:rFonts w:ascii="Arial Narrow" w:hAnsi="Arial Narrow" w:cs="Arial"/>
                <w:sz w:val="20"/>
                <w:szCs w:val="20"/>
              </w:rPr>
            </w:pPr>
            <w:r w:rsidRPr="00733D17">
              <w:rPr>
                <w:rFonts w:ascii="Arial Narrow" w:hAnsi="Arial Narrow" w:cs="Arial"/>
                <w:sz w:val="20"/>
                <w:szCs w:val="20"/>
              </w:rPr>
              <w:t xml:space="preserve">asciminib 20 mg tablet, 60 </w:t>
            </w:r>
          </w:p>
        </w:tc>
        <w:tc>
          <w:tcPr>
            <w:tcW w:w="993" w:type="dxa"/>
          </w:tcPr>
          <w:p w14:paraId="5CEBD6F9" w14:textId="77777777" w:rsidR="004837E1" w:rsidRPr="009A610D" w:rsidRDefault="004837E1" w:rsidP="003D4043">
            <w:pPr>
              <w:keepNext/>
              <w:jc w:val="center"/>
              <w:rPr>
                <w:rFonts w:ascii="Arial Narrow" w:hAnsi="Arial Narrow" w:cs="Arial"/>
                <w:sz w:val="18"/>
                <w:szCs w:val="18"/>
              </w:rPr>
            </w:pPr>
            <w:r>
              <w:rPr>
                <w:rFonts w:ascii="Arial Narrow" w:hAnsi="Arial Narrow" w:cs="Arial"/>
                <w:sz w:val="18"/>
                <w:szCs w:val="18"/>
              </w:rPr>
              <w:t>NEW</w:t>
            </w:r>
          </w:p>
        </w:tc>
        <w:tc>
          <w:tcPr>
            <w:tcW w:w="850" w:type="dxa"/>
          </w:tcPr>
          <w:p w14:paraId="5EA2F422" w14:textId="77777777" w:rsidR="004837E1" w:rsidRPr="009A610D" w:rsidRDefault="004837E1" w:rsidP="003D4043">
            <w:pPr>
              <w:keepNext/>
              <w:jc w:val="center"/>
              <w:rPr>
                <w:rFonts w:ascii="Arial Narrow" w:hAnsi="Arial Narrow" w:cs="Arial"/>
                <w:sz w:val="18"/>
                <w:szCs w:val="18"/>
              </w:rPr>
            </w:pPr>
            <w:r>
              <w:rPr>
                <w:rFonts w:ascii="Arial Narrow" w:hAnsi="Arial Narrow" w:cs="Arial"/>
                <w:sz w:val="18"/>
                <w:szCs w:val="18"/>
              </w:rPr>
              <w:t>1</w:t>
            </w:r>
          </w:p>
        </w:tc>
        <w:tc>
          <w:tcPr>
            <w:tcW w:w="709" w:type="dxa"/>
          </w:tcPr>
          <w:p w14:paraId="2C7CA8D9" w14:textId="77777777" w:rsidR="004837E1" w:rsidRPr="009A610D" w:rsidRDefault="004837E1" w:rsidP="003D4043">
            <w:pPr>
              <w:keepNext/>
              <w:jc w:val="center"/>
              <w:rPr>
                <w:rFonts w:ascii="Arial Narrow" w:hAnsi="Arial Narrow" w:cs="Arial"/>
                <w:sz w:val="18"/>
                <w:szCs w:val="18"/>
              </w:rPr>
            </w:pPr>
            <w:r>
              <w:rPr>
                <w:rFonts w:ascii="Arial Narrow" w:hAnsi="Arial Narrow" w:cs="Arial"/>
                <w:sz w:val="18"/>
                <w:szCs w:val="18"/>
              </w:rPr>
              <w:t>60</w:t>
            </w:r>
          </w:p>
        </w:tc>
        <w:tc>
          <w:tcPr>
            <w:tcW w:w="709" w:type="dxa"/>
          </w:tcPr>
          <w:p w14:paraId="45666745" w14:textId="77777777" w:rsidR="004837E1" w:rsidRPr="009A610D" w:rsidRDefault="004837E1" w:rsidP="003D4043">
            <w:pPr>
              <w:keepNext/>
              <w:jc w:val="center"/>
              <w:rPr>
                <w:rFonts w:ascii="Arial Narrow" w:hAnsi="Arial Narrow" w:cs="Arial"/>
                <w:sz w:val="18"/>
                <w:szCs w:val="18"/>
              </w:rPr>
            </w:pPr>
            <w:r>
              <w:rPr>
                <w:rFonts w:ascii="Arial Narrow" w:hAnsi="Arial Narrow" w:cs="Arial"/>
                <w:sz w:val="18"/>
                <w:szCs w:val="18"/>
              </w:rPr>
              <w:t>5</w:t>
            </w:r>
          </w:p>
        </w:tc>
        <w:tc>
          <w:tcPr>
            <w:tcW w:w="1842" w:type="dxa"/>
          </w:tcPr>
          <w:p w14:paraId="0494A520" w14:textId="77777777" w:rsidR="004837E1" w:rsidRPr="009A610D" w:rsidRDefault="004837E1" w:rsidP="003D4043">
            <w:pPr>
              <w:keepNext/>
              <w:rPr>
                <w:rFonts w:ascii="Arial Narrow" w:hAnsi="Arial Narrow" w:cs="Arial"/>
                <w:sz w:val="18"/>
                <w:szCs w:val="18"/>
              </w:rPr>
            </w:pPr>
            <w:r>
              <w:rPr>
                <w:rFonts w:ascii="Arial Narrow" w:hAnsi="Arial Narrow" w:cs="Arial"/>
                <w:sz w:val="18"/>
                <w:szCs w:val="18"/>
              </w:rPr>
              <w:t>s</w:t>
            </w:r>
            <w:r w:rsidRPr="00DF1E87">
              <w:rPr>
                <w:rFonts w:ascii="Arial Narrow" w:hAnsi="Arial Narrow" w:cs="Arial"/>
                <w:sz w:val="18"/>
                <w:szCs w:val="18"/>
              </w:rPr>
              <w:t>cemblix</w:t>
            </w:r>
          </w:p>
        </w:tc>
      </w:tr>
      <w:tr w:rsidR="004837E1" w:rsidRPr="009A610D" w14:paraId="3D442209" w14:textId="77777777" w:rsidTr="003D4043">
        <w:trPr>
          <w:cantSplit/>
          <w:trHeight w:val="347"/>
        </w:trPr>
        <w:tc>
          <w:tcPr>
            <w:tcW w:w="3964" w:type="dxa"/>
            <w:gridSpan w:val="3"/>
          </w:tcPr>
          <w:p w14:paraId="7B8A1E94" w14:textId="77777777" w:rsidR="004837E1" w:rsidRPr="00733D17" w:rsidRDefault="004837E1" w:rsidP="003D4043">
            <w:pPr>
              <w:keepNext/>
              <w:ind w:left="-57"/>
              <w:rPr>
                <w:rFonts w:ascii="Arial Narrow" w:hAnsi="Arial Narrow" w:cs="Arial"/>
                <w:sz w:val="20"/>
                <w:szCs w:val="20"/>
              </w:rPr>
            </w:pPr>
            <w:r w:rsidRPr="00733D17">
              <w:rPr>
                <w:rFonts w:ascii="Arial Narrow" w:hAnsi="Arial Narrow" w:cs="Arial"/>
                <w:sz w:val="20"/>
                <w:szCs w:val="20"/>
              </w:rPr>
              <w:t>asciminib 40 mg tablet, 60</w:t>
            </w:r>
          </w:p>
        </w:tc>
        <w:tc>
          <w:tcPr>
            <w:tcW w:w="993" w:type="dxa"/>
          </w:tcPr>
          <w:p w14:paraId="7CC41011" w14:textId="77777777" w:rsidR="004837E1" w:rsidRDefault="004837E1" w:rsidP="003D4043">
            <w:pPr>
              <w:keepNext/>
              <w:jc w:val="center"/>
              <w:rPr>
                <w:rFonts w:ascii="Arial Narrow" w:hAnsi="Arial Narrow" w:cs="Arial"/>
                <w:sz w:val="18"/>
                <w:szCs w:val="18"/>
              </w:rPr>
            </w:pPr>
            <w:r>
              <w:rPr>
                <w:rFonts w:ascii="Arial Narrow" w:hAnsi="Arial Narrow" w:cs="Arial"/>
                <w:sz w:val="18"/>
                <w:szCs w:val="18"/>
              </w:rPr>
              <w:t>NEW</w:t>
            </w:r>
          </w:p>
        </w:tc>
        <w:tc>
          <w:tcPr>
            <w:tcW w:w="850" w:type="dxa"/>
          </w:tcPr>
          <w:p w14:paraId="08A96992" w14:textId="77777777" w:rsidR="004837E1" w:rsidRDefault="004837E1" w:rsidP="003D4043">
            <w:pPr>
              <w:keepNext/>
              <w:jc w:val="center"/>
              <w:rPr>
                <w:rFonts w:ascii="Arial Narrow" w:hAnsi="Arial Narrow" w:cs="Arial"/>
                <w:sz w:val="18"/>
                <w:szCs w:val="18"/>
              </w:rPr>
            </w:pPr>
            <w:r>
              <w:rPr>
                <w:rFonts w:ascii="Arial Narrow" w:hAnsi="Arial Narrow" w:cs="Arial"/>
                <w:sz w:val="18"/>
                <w:szCs w:val="18"/>
              </w:rPr>
              <w:t>1</w:t>
            </w:r>
          </w:p>
        </w:tc>
        <w:tc>
          <w:tcPr>
            <w:tcW w:w="709" w:type="dxa"/>
          </w:tcPr>
          <w:p w14:paraId="6643B039" w14:textId="77777777" w:rsidR="004837E1" w:rsidRDefault="004837E1" w:rsidP="003D4043">
            <w:pPr>
              <w:keepNext/>
              <w:jc w:val="center"/>
              <w:rPr>
                <w:rFonts w:ascii="Arial Narrow" w:hAnsi="Arial Narrow" w:cs="Arial"/>
                <w:sz w:val="18"/>
                <w:szCs w:val="18"/>
              </w:rPr>
            </w:pPr>
            <w:r>
              <w:rPr>
                <w:rFonts w:ascii="Arial Narrow" w:hAnsi="Arial Narrow" w:cs="Arial"/>
                <w:sz w:val="18"/>
                <w:szCs w:val="18"/>
              </w:rPr>
              <w:t>60</w:t>
            </w:r>
          </w:p>
        </w:tc>
        <w:tc>
          <w:tcPr>
            <w:tcW w:w="709" w:type="dxa"/>
          </w:tcPr>
          <w:p w14:paraId="4DCC5EA9" w14:textId="77777777" w:rsidR="004837E1" w:rsidRPr="009A610D" w:rsidRDefault="004837E1" w:rsidP="003D4043">
            <w:pPr>
              <w:keepNext/>
              <w:jc w:val="center"/>
              <w:rPr>
                <w:rFonts w:ascii="Arial Narrow" w:hAnsi="Arial Narrow" w:cs="Arial"/>
                <w:sz w:val="18"/>
                <w:szCs w:val="18"/>
              </w:rPr>
            </w:pPr>
            <w:r>
              <w:rPr>
                <w:rFonts w:ascii="Arial Narrow" w:hAnsi="Arial Narrow" w:cs="Arial"/>
                <w:sz w:val="18"/>
                <w:szCs w:val="18"/>
              </w:rPr>
              <w:t>5</w:t>
            </w:r>
          </w:p>
        </w:tc>
        <w:tc>
          <w:tcPr>
            <w:tcW w:w="1842" w:type="dxa"/>
          </w:tcPr>
          <w:p w14:paraId="34585F13" w14:textId="77777777" w:rsidR="004837E1" w:rsidRDefault="004837E1" w:rsidP="003D4043">
            <w:pPr>
              <w:keepNext/>
              <w:rPr>
                <w:rFonts w:ascii="Arial Narrow" w:hAnsi="Arial Narrow" w:cs="Arial"/>
                <w:sz w:val="18"/>
                <w:szCs w:val="18"/>
              </w:rPr>
            </w:pPr>
            <w:r>
              <w:rPr>
                <w:rFonts w:ascii="Arial Narrow" w:hAnsi="Arial Narrow" w:cs="Arial"/>
                <w:sz w:val="18"/>
                <w:szCs w:val="18"/>
              </w:rPr>
              <w:t>s</w:t>
            </w:r>
            <w:r w:rsidRPr="00DF1E87">
              <w:rPr>
                <w:rFonts w:ascii="Arial Narrow" w:hAnsi="Arial Narrow" w:cs="Arial"/>
                <w:sz w:val="18"/>
                <w:szCs w:val="18"/>
              </w:rPr>
              <w:t>cemblix</w:t>
            </w:r>
          </w:p>
        </w:tc>
      </w:tr>
      <w:tr w:rsidR="004837E1" w:rsidRPr="00120A12" w14:paraId="2E2C1E83" w14:textId="77777777" w:rsidTr="003D4043">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22B25323" w14:textId="77777777" w:rsidR="004837E1" w:rsidRPr="00733D17" w:rsidRDefault="004837E1" w:rsidP="003D4043">
            <w:pPr>
              <w:rPr>
                <w:rFonts w:ascii="Arial Narrow" w:hAnsi="Arial Narrow" w:cs="Arial"/>
                <w:b/>
                <w:sz w:val="20"/>
                <w:szCs w:val="20"/>
              </w:rPr>
            </w:pPr>
            <w:r w:rsidRPr="00733D17">
              <w:rPr>
                <w:rFonts w:ascii="Arial Narrow" w:hAnsi="Arial Narrow"/>
                <w:b/>
                <w:sz w:val="20"/>
                <w:szCs w:val="20"/>
              </w:rPr>
              <w:t>Restriction Summary [new] / Treatment of Concept: [new]</w:t>
            </w:r>
          </w:p>
        </w:tc>
      </w:tr>
      <w:tr w:rsidR="004837E1" w:rsidRPr="00120A12" w14:paraId="26758742"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235CB199" w14:textId="77777777" w:rsidR="004837E1" w:rsidRPr="00733D17" w:rsidRDefault="004837E1" w:rsidP="00075C73">
            <w:pPr>
              <w:jc w:val="center"/>
              <w:rPr>
                <w:rFonts w:ascii="Arial Narrow" w:hAnsi="Arial Narrow" w:cs="Arial"/>
                <w:b/>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0579A32C" w14:textId="6BD2E65F" w:rsidR="004837E1" w:rsidRPr="00733D17" w:rsidRDefault="004837E1" w:rsidP="003D4043">
            <w:pPr>
              <w:rPr>
                <w:rFonts w:ascii="Arial Narrow" w:hAnsi="Arial Narrow" w:cs="Arial"/>
                <w:sz w:val="20"/>
                <w:szCs w:val="20"/>
              </w:rPr>
            </w:pPr>
            <w:r w:rsidRPr="00733D17">
              <w:rPr>
                <w:rFonts w:ascii="Arial Narrow" w:hAnsi="Arial Narrow" w:cs="Arial"/>
                <w:b/>
                <w:sz w:val="20"/>
                <w:szCs w:val="20"/>
              </w:rPr>
              <w:t xml:space="preserve">Category / Program:   </w:t>
            </w:r>
            <w:r w:rsidRPr="00733D17">
              <w:rPr>
                <w:rFonts w:ascii="Arial Narrow" w:hAnsi="Arial Narrow" w:cs="Arial"/>
                <w:sz w:val="20"/>
                <w:szCs w:val="20"/>
              </w:rPr>
              <w:t>GENERAL – General Schedule (Code GE)</w:t>
            </w:r>
            <w:r w:rsidRPr="00733D17">
              <w:rPr>
                <w:rFonts w:ascii="Arial Narrow" w:hAnsi="Arial Narrow" w:cs="Arial"/>
                <w:color w:val="FF0000"/>
                <w:sz w:val="20"/>
                <w:szCs w:val="20"/>
              </w:rPr>
              <w:t xml:space="preserve"> </w:t>
            </w:r>
          </w:p>
        </w:tc>
      </w:tr>
      <w:tr w:rsidR="004837E1" w:rsidRPr="00120A12" w14:paraId="46BB04E2" w14:textId="77777777" w:rsidTr="003D4043">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05D2B244" w14:textId="77777777" w:rsidR="004837E1" w:rsidRPr="00733D17" w:rsidRDefault="004837E1" w:rsidP="003D4043">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F0D9285" w14:textId="77777777" w:rsidR="004837E1" w:rsidRPr="00733D17" w:rsidRDefault="004837E1" w:rsidP="003D4043">
            <w:pPr>
              <w:rPr>
                <w:rFonts w:ascii="Arial Narrow" w:hAnsi="Arial Narrow" w:cs="Arial"/>
                <w:b/>
                <w:sz w:val="20"/>
                <w:szCs w:val="20"/>
              </w:rPr>
            </w:pPr>
            <w:r w:rsidRPr="00733D17">
              <w:rPr>
                <w:rFonts w:ascii="Arial Narrow" w:hAnsi="Arial Narrow" w:cs="Arial"/>
                <w:b/>
                <w:sz w:val="20"/>
                <w:szCs w:val="20"/>
              </w:rPr>
              <w:t>Prescriber type:</w:t>
            </w:r>
            <w:r w:rsidRPr="00733D17">
              <w:rPr>
                <w:rFonts w:ascii="Arial Narrow" w:hAnsi="Arial Narrow" w:cs="Arial"/>
                <w:sz w:val="20"/>
                <w:szCs w:val="20"/>
              </w:rPr>
              <w:t xml:space="preserve">    </w:t>
            </w:r>
            <w:r w:rsidRPr="00733D17">
              <w:rPr>
                <w:rFonts w:ascii="Arial Narrow" w:hAnsi="Arial Narrow" w:cs="Arial"/>
                <w:sz w:val="20"/>
                <w:szCs w:val="20"/>
              </w:rPr>
              <w:fldChar w:fldCharType="begin" w:fldLock="1">
                <w:ffData>
                  <w:name w:val=""/>
                  <w:enabled/>
                  <w:calcOnExit w:val="0"/>
                  <w:checkBox>
                    <w:sizeAuto/>
                    <w:default w:val="1"/>
                  </w:checkBox>
                </w:ffData>
              </w:fldChar>
            </w:r>
            <w:r w:rsidRPr="00733D17">
              <w:rPr>
                <w:rFonts w:ascii="Arial Narrow" w:hAnsi="Arial Narrow" w:cs="Arial"/>
                <w:sz w:val="20"/>
                <w:szCs w:val="20"/>
              </w:rPr>
              <w:instrText xml:space="preserve"> FORMCHECKBOX </w:instrText>
            </w:r>
            <w:r w:rsidR="00E53C72">
              <w:rPr>
                <w:rFonts w:ascii="Arial Narrow" w:hAnsi="Arial Narrow" w:cs="Arial"/>
                <w:sz w:val="20"/>
                <w:szCs w:val="20"/>
              </w:rPr>
            </w:r>
            <w:r w:rsidR="00E53C72">
              <w:rPr>
                <w:rFonts w:ascii="Arial Narrow" w:hAnsi="Arial Narrow" w:cs="Arial"/>
                <w:sz w:val="20"/>
                <w:szCs w:val="20"/>
              </w:rPr>
              <w:fldChar w:fldCharType="separate"/>
            </w:r>
            <w:r w:rsidRPr="00733D17">
              <w:rPr>
                <w:rFonts w:ascii="Arial Narrow" w:hAnsi="Arial Narrow" w:cs="Arial"/>
                <w:sz w:val="20"/>
                <w:szCs w:val="20"/>
              </w:rPr>
              <w:fldChar w:fldCharType="end"/>
            </w:r>
            <w:r w:rsidRPr="00733D17">
              <w:rPr>
                <w:rFonts w:ascii="Arial Narrow" w:hAnsi="Arial Narrow" w:cs="Arial"/>
                <w:sz w:val="20"/>
                <w:szCs w:val="20"/>
              </w:rPr>
              <w:t xml:space="preserve">Medical Practitioners </w:t>
            </w:r>
          </w:p>
        </w:tc>
      </w:tr>
      <w:tr w:rsidR="004837E1" w:rsidRPr="00120A12" w14:paraId="29C1863E"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Merge/>
            <w:tcBorders>
              <w:left w:val="single" w:sz="4" w:space="0" w:color="auto"/>
              <w:bottom w:val="single" w:sz="4" w:space="0" w:color="auto"/>
              <w:right w:val="single" w:sz="4" w:space="0" w:color="auto"/>
            </w:tcBorders>
          </w:tcPr>
          <w:p w14:paraId="0FB722A7" w14:textId="77777777" w:rsidR="004837E1" w:rsidRPr="00733D17" w:rsidRDefault="004837E1" w:rsidP="003D4043">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FB91E41" w14:textId="77777777" w:rsidR="004837E1" w:rsidRPr="00733D17" w:rsidRDefault="004837E1" w:rsidP="003D4043">
            <w:pPr>
              <w:rPr>
                <w:rFonts w:ascii="Arial Narrow" w:hAnsi="Arial Narrow" w:cs="Arial"/>
                <w:b/>
                <w:sz w:val="20"/>
                <w:szCs w:val="20"/>
              </w:rPr>
            </w:pPr>
            <w:r w:rsidRPr="00733D17">
              <w:rPr>
                <w:rFonts w:ascii="Arial Narrow" w:hAnsi="Arial Narrow" w:cs="Arial"/>
                <w:b/>
                <w:sz w:val="20"/>
                <w:szCs w:val="20"/>
              </w:rPr>
              <w:t xml:space="preserve">Restriction type: </w:t>
            </w:r>
          </w:p>
          <w:p w14:paraId="7BCAAFA7" w14:textId="77777777" w:rsidR="004837E1" w:rsidRPr="00733D17" w:rsidRDefault="004837E1" w:rsidP="003D4043">
            <w:pPr>
              <w:rPr>
                <w:rFonts w:ascii="Arial Narrow" w:eastAsia="Calibri" w:hAnsi="Arial Narrow" w:cs="Arial"/>
                <w:color w:val="FF0000"/>
                <w:sz w:val="20"/>
                <w:szCs w:val="20"/>
              </w:rPr>
            </w:pPr>
            <w:r w:rsidRPr="00733D17">
              <w:rPr>
                <w:rFonts w:ascii="Arial Narrow" w:eastAsia="Calibri" w:hAnsi="Arial Narrow" w:cs="Arial"/>
                <w:sz w:val="20"/>
                <w:szCs w:val="20"/>
              </w:rPr>
              <w:fldChar w:fldCharType="begin" w:fldLock="1">
                <w:ffData>
                  <w:name w:val=""/>
                  <w:enabled/>
                  <w:calcOnExit w:val="0"/>
                  <w:checkBox>
                    <w:sizeAuto/>
                    <w:default w:val="1"/>
                  </w:checkBox>
                </w:ffData>
              </w:fldChar>
            </w:r>
            <w:r w:rsidRPr="00733D17">
              <w:rPr>
                <w:rFonts w:ascii="Arial Narrow" w:eastAsia="Calibri" w:hAnsi="Arial Narrow" w:cs="Arial"/>
                <w:sz w:val="20"/>
                <w:szCs w:val="20"/>
              </w:rPr>
              <w:instrText xml:space="preserve"> FORMCHECKBOX </w:instrText>
            </w:r>
            <w:r w:rsidR="00E53C72">
              <w:rPr>
                <w:rFonts w:ascii="Arial Narrow" w:eastAsia="Calibri" w:hAnsi="Arial Narrow" w:cs="Arial"/>
                <w:sz w:val="20"/>
                <w:szCs w:val="20"/>
              </w:rPr>
            </w:r>
            <w:r w:rsidR="00E53C72">
              <w:rPr>
                <w:rFonts w:ascii="Arial Narrow" w:eastAsia="Calibri" w:hAnsi="Arial Narrow" w:cs="Arial"/>
                <w:sz w:val="20"/>
                <w:szCs w:val="20"/>
              </w:rPr>
              <w:fldChar w:fldCharType="separate"/>
            </w:r>
            <w:r w:rsidRPr="00733D17">
              <w:rPr>
                <w:rFonts w:ascii="Arial Narrow" w:eastAsia="Calibri" w:hAnsi="Arial Narrow" w:cs="Arial"/>
                <w:sz w:val="20"/>
                <w:szCs w:val="20"/>
              </w:rPr>
              <w:fldChar w:fldCharType="end"/>
            </w:r>
            <w:r w:rsidRPr="00733D17">
              <w:rPr>
                <w:rFonts w:ascii="Arial Narrow" w:eastAsia="Calibri" w:hAnsi="Arial Narrow" w:cs="Arial"/>
                <w:sz w:val="20"/>
                <w:szCs w:val="20"/>
              </w:rPr>
              <w:t>Authority Required (telephone/online PBS Authorities system)</w:t>
            </w:r>
          </w:p>
        </w:tc>
      </w:tr>
      <w:tr w:rsidR="00922488" w:rsidRPr="00120A12" w14:paraId="6A5B9AAB" w14:textId="77777777" w:rsidTr="003D4043">
        <w:tblPrEx>
          <w:tblCellMar>
            <w:top w:w="15" w:type="dxa"/>
            <w:left w:w="15" w:type="dxa"/>
            <w:bottom w:w="15" w:type="dxa"/>
            <w:right w:w="15" w:type="dxa"/>
          </w:tblCellMar>
          <w:tblLook w:val="04A0" w:firstRow="1" w:lastRow="0" w:firstColumn="1" w:lastColumn="0" w:noHBand="0" w:noVBand="1"/>
        </w:tblPrEx>
        <w:tc>
          <w:tcPr>
            <w:tcW w:w="490" w:type="dxa"/>
            <w:vMerge w:val="restart"/>
            <w:tcBorders>
              <w:left w:val="single" w:sz="4" w:space="0" w:color="auto"/>
              <w:right w:val="single" w:sz="4" w:space="0" w:color="auto"/>
            </w:tcBorders>
            <w:textDirection w:val="btLr"/>
          </w:tcPr>
          <w:p w14:paraId="0047B3A5" w14:textId="3DEABB1B" w:rsidR="00922488" w:rsidRPr="00733D17" w:rsidRDefault="00922488" w:rsidP="003D4043">
            <w:pPr>
              <w:ind w:left="113" w:right="113"/>
              <w:rPr>
                <w:rFonts w:ascii="Arial Narrow" w:hAnsi="Arial Narrow" w:cs="Arial"/>
                <w:sz w:val="20"/>
                <w:szCs w:val="20"/>
                <w:highlight w:val="yellow"/>
              </w:rPr>
            </w:pPr>
            <w:r w:rsidRPr="00733D17">
              <w:rPr>
                <w:rFonts w:ascii="Arial Narrow" w:hAnsi="Arial Narrow" w:cs="Arial"/>
                <w:sz w:val="20"/>
                <w:szCs w:val="20"/>
              </w:rPr>
              <w:t>Prescribing rule level</w:t>
            </w:r>
          </w:p>
        </w:tc>
        <w:tc>
          <w:tcPr>
            <w:tcW w:w="491" w:type="dxa"/>
            <w:vAlign w:val="center"/>
          </w:tcPr>
          <w:p w14:paraId="59C3807B" w14:textId="604B94AC" w:rsidR="00922488" w:rsidRPr="00733D17" w:rsidRDefault="00922488" w:rsidP="003D4043">
            <w:pPr>
              <w:jc w:val="center"/>
              <w:rPr>
                <w:rFonts w:ascii="Arial Narrow" w:hAnsi="Arial Narrow" w:cs="Arial"/>
                <w:sz w:val="20"/>
                <w:szCs w:val="20"/>
              </w:rPr>
            </w:pPr>
          </w:p>
        </w:tc>
        <w:tc>
          <w:tcPr>
            <w:tcW w:w="8086" w:type="dxa"/>
            <w:gridSpan w:val="6"/>
            <w:vAlign w:val="center"/>
          </w:tcPr>
          <w:p w14:paraId="3C24C9B9" w14:textId="77777777" w:rsidR="00922488" w:rsidRPr="00733D17" w:rsidRDefault="00922488" w:rsidP="003D4043">
            <w:pPr>
              <w:rPr>
                <w:rFonts w:ascii="Arial Narrow" w:hAnsi="Arial Narrow" w:cs="Arial"/>
                <w:b/>
                <w:bCs/>
                <w:sz w:val="20"/>
                <w:szCs w:val="20"/>
                <w:highlight w:val="yellow"/>
              </w:rPr>
            </w:pPr>
            <w:r w:rsidRPr="00733D17">
              <w:rPr>
                <w:rFonts w:ascii="Arial Narrow" w:hAnsi="Arial Narrow" w:cs="Arial"/>
                <w:b/>
                <w:bCs/>
                <w:sz w:val="20"/>
                <w:szCs w:val="20"/>
              </w:rPr>
              <w:t xml:space="preserve">Administrative Advice: </w:t>
            </w:r>
            <w:r w:rsidRPr="00733D17">
              <w:rPr>
                <w:rFonts w:ascii="Arial Narrow" w:hAnsi="Arial Narrow" w:cs="Arial"/>
                <w:sz w:val="20"/>
                <w:szCs w:val="20"/>
              </w:rPr>
              <w:t>No increase in the maximum quantity or number of units may be authorised.</w:t>
            </w:r>
          </w:p>
        </w:tc>
      </w:tr>
      <w:tr w:rsidR="00922488" w:rsidRPr="00120A12" w14:paraId="5EC5B668" w14:textId="77777777" w:rsidTr="003D4043">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right w:val="single" w:sz="4" w:space="0" w:color="auto"/>
            </w:tcBorders>
            <w:textDirection w:val="btLr"/>
          </w:tcPr>
          <w:p w14:paraId="57497181" w14:textId="4E0F5989" w:rsidR="00922488" w:rsidRPr="00733D17" w:rsidRDefault="00922488" w:rsidP="003D4043">
            <w:pPr>
              <w:ind w:left="113" w:right="113"/>
              <w:rPr>
                <w:rFonts w:ascii="Arial Narrow" w:hAnsi="Arial Narrow" w:cs="Arial"/>
                <w:sz w:val="20"/>
                <w:szCs w:val="20"/>
                <w:highlight w:val="yellow"/>
              </w:rPr>
            </w:pPr>
          </w:p>
        </w:tc>
        <w:tc>
          <w:tcPr>
            <w:tcW w:w="491" w:type="dxa"/>
            <w:vAlign w:val="center"/>
          </w:tcPr>
          <w:p w14:paraId="37944478" w14:textId="4E9367B2" w:rsidR="00922488" w:rsidRPr="00733D17" w:rsidRDefault="00922488" w:rsidP="003D4043">
            <w:pPr>
              <w:jc w:val="center"/>
              <w:rPr>
                <w:rFonts w:ascii="Arial Narrow" w:hAnsi="Arial Narrow" w:cs="Arial"/>
                <w:sz w:val="20"/>
                <w:szCs w:val="20"/>
              </w:rPr>
            </w:pPr>
          </w:p>
        </w:tc>
        <w:tc>
          <w:tcPr>
            <w:tcW w:w="8086" w:type="dxa"/>
            <w:gridSpan w:val="6"/>
            <w:vAlign w:val="center"/>
          </w:tcPr>
          <w:p w14:paraId="4E138AEE" w14:textId="77777777" w:rsidR="00922488" w:rsidRPr="00733D17" w:rsidRDefault="00922488" w:rsidP="003D4043">
            <w:pPr>
              <w:rPr>
                <w:rFonts w:ascii="Arial Narrow" w:hAnsi="Arial Narrow" w:cs="Arial"/>
                <w:b/>
                <w:bCs/>
                <w:sz w:val="20"/>
                <w:szCs w:val="20"/>
                <w:highlight w:val="yellow"/>
              </w:rPr>
            </w:pPr>
            <w:r w:rsidRPr="00733D17">
              <w:rPr>
                <w:rFonts w:ascii="Arial Narrow" w:hAnsi="Arial Narrow" w:cs="Arial"/>
                <w:b/>
                <w:bCs/>
                <w:sz w:val="20"/>
                <w:szCs w:val="20"/>
              </w:rPr>
              <w:t xml:space="preserve">Administrative Advice: </w:t>
            </w:r>
            <w:r w:rsidRPr="00733D17">
              <w:rPr>
                <w:rFonts w:ascii="Arial Narrow" w:hAnsi="Arial Narrow" w:cs="Arial"/>
                <w:sz w:val="20"/>
                <w:szCs w:val="20"/>
              </w:rPr>
              <w:t>No increase in the maximum number of repeats may be authorised.</w:t>
            </w:r>
          </w:p>
        </w:tc>
      </w:tr>
      <w:tr w:rsidR="00922488" w:rsidRPr="00120A12" w14:paraId="3ECEEEE5" w14:textId="77777777" w:rsidTr="003D4043">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right w:val="single" w:sz="4" w:space="0" w:color="auto"/>
            </w:tcBorders>
            <w:textDirection w:val="btLr"/>
          </w:tcPr>
          <w:p w14:paraId="61F3ADD6" w14:textId="3CB8DF50" w:rsidR="00922488" w:rsidRPr="00733D17" w:rsidRDefault="00922488" w:rsidP="003D4043">
            <w:pPr>
              <w:ind w:left="113" w:right="113"/>
              <w:rPr>
                <w:rFonts w:ascii="Arial Narrow" w:hAnsi="Arial Narrow" w:cs="Arial"/>
                <w:sz w:val="20"/>
                <w:szCs w:val="20"/>
              </w:rPr>
            </w:pPr>
          </w:p>
        </w:tc>
        <w:tc>
          <w:tcPr>
            <w:tcW w:w="491" w:type="dxa"/>
            <w:vAlign w:val="center"/>
          </w:tcPr>
          <w:p w14:paraId="5C60E6D2" w14:textId="07FDF002" w:rsidR="00922488" w:rsidRPr="00733D17" w:rsidRDefault="00922488" w:rsidP="003D4043">
            <w:pPr>
              <w:jc w:val="center"/>
              <w:rPr>
                <w:rFonts w:ascii="Arial Narrow" w:hAnsi="Arial Narrow"/>
                <w:color w:val="333333"/>
                <w:sz w:val="20"/>
                <w:szCs w:val="20"/>
                <w:highlight w:val="yellow"/>
              </w:rPr>
            </w:pPr>
          </w:p>
        </w:tc>
        <w:tc>
          <w:tcPr>
            <w:tcW w:w="8086" w:type="dxa"/>
            <w:gridSpan w:val="6"/>
            <w:vAlign w:val="center"/>
          </w:tcPr>
          <w:p w14:paraId="0C83FEB4" w14:textId="77777777" w:rsidR="00922488" w:rsidRPr="00733D17" w:rsidRDefault="00922488" w:rsidP="003D4043">
            <w:pPr>
              <w:rPr>
                <w:rFonts w:ascii="Arial Narrow" w:hAnsi="Arial Narrow"/>
                <w:color w:val="333333"/>
                <w:sz w:val="20"/>
                <w:szCs w:val="20"/>
              </w:rPr>
            </w:pPr>
            <w:r w:rsidRPr="00733D17">
              <w:rPr>
                <w:rFonts w:ascii="Arial Narrow" w:hAnsi="Arial Narrow" w:cs="Arial"/>
                <w:b/>
                <w:bCs/>
                <w:sz w:val="20"/>
                <w:szCs w:val="20"/>
              </w:rPr>
              <w:t>Administrative Advice</w:t>
            </w:r>
            <w:r w:rsidRPr="00733D17">
              <w:rPr>
                <w:rFonts w:ascii="Arial Narrow" w:hAnsi="Arial Narrow" w:cs="Arial"/>
                <w:bCs/>
                <w:sz w:val="20"/>
                <w:szCs w:val="20"/>
              </w:rPr>
              <w:t xml:space="preserve">: </w:t>
            </w:r>
            <w:r w:rsidRPr="00733D17">
              <w:rPr>
                <w:rFonts w:ascii="Arial Narrow" w:hAnsi="Arial Narrow" w:cs="Arial"/>
                <w:sz w:val="20"/>
                <w:szCs w:val="20"/>
              </w:rPr>
              <w:t>Special Pricing Arrangements apply.</w:t>
            </w:r>
          </w:p>
        </w:tc>
      </w:tr>
      <w:tr w:rsidR="004837E1" w:rsidRPr="001A310D" w14:paraId="0D6757BE"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Merge w:val="restart"/>
            <w:vAlign w:val="center"/>
          </w:tcPr>
          <w:p w14:paraId="66735162"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vAlign w:val="center"/>
          </w:tcPr>
          <w:p w14:paraId="7105FA7C" w14:textId="77777777" w:rsidR="004837E1" w:rsidRPr="00733D17" w:rsidRDefault="004837E1" w:rsidP="003D4043">
            <w:pPr>
              <w:rPr>
                <w:rFonts w:ascii="Arial Narrow" w:hAnsi="Arial Narrow"/>
                <w:bCs/>
                <w:color w:val="A6A6A6" w:themeColor="background1" w:themeShade="A6"/>
                <w:sz w:val="20"/>
                <w:szCs w:val="20"/>
              </w:rPr>
            </w:pPr>
            <w:r w:rsidRPr="00733D17">
              <w:rPr>
                <w:rFonts w:ascii="Arial Narrow" w:hAnsi="Arial Narrow"/>
                <w:b/>
                <w:bCs/>
                <w:color w:val="A6A6A6" w:themeColor="background1" w:themeShade="A6"/>
                <w:sz w:val="20"/>
                <w:szCs w:val="20"/>
              </w:rPr>
              <w:t xml:space="preserve">Episodicity: </w:t>
            </w:r>
            <w:r w:rsidRPr="00733D17">
              <w:rPr>
                <w:rFonts w:ascii="Arial Narrow" w:hAnsi="Arial Narrow"/>
                <w:bCs/>
                <w:color w:val="A6A6A6" w:themeColor="background1" w:themeShade="A6"/>
                <w:sz w:val="20"/>
                <w:szCs w:val="20"/>
              </w:rPr>
              <w:t>Chronic</w:t>
            </w:r>
          </w:p>
        </w:tc>
      </w:tr>
      <w:tr w:rsidR="004837E1" w:rsidRPr="00120A12" w14:paraId="50E765E0"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Merge/>
            <w:vAlign w:val="center"/>
          </w:tcPr>
          <w:p w14:paraId="509DCEB1"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vAlign w:val="center"/>
          </w:tcPr>
          <w:p w14:paraId="510F3EC1" w14:textId="77777777" w:rsidR="004837E1" w:rsidRPr="00733D17" w:rsidRDefault="004837E1" w:rsidP="003D4043">
            <w:pPr>
              <w:rPr>
                <w:rFonts w:ascii="Arial Narrow" w:hAnsi="Arial Narrow"/>
                <w:b/>
                <w:bCs/>
                <w:color w:val="A6A6A6" w:themeColor="background1" w:themeShade="A6"/>
                <w:sz w:val="20"/>
                <w:szCs w:val="20"/>
              </w:rPr>
            </w:pPr>
            <w:r w:rsidRPr="00733D17">
              <w:rPr>
                <w:rFonts w:ascii="Arial Narrow" w:hAnsi="Arial Narrow"/>
                <w:b/>
                <w:bCs/>
                <w:color w:val="A6A6A6" w:themeColor="background1" w:themeShade="A6"/>
                <w:sz w:val="20"/>
                <w:szCs w:val="20"/>
              </w:rPr>
              <w:t xml:space="preserve">Severity: </w:t>
            </w:r>
            <w:r w:rsidRPr="00733D17">
              <w:rPr>
                <w:rFonts w:ascii="Arial Narrow" w:hAnsi="Arial Narrow"/>
                <w:bCs/>
                <w:color w:val="A6A6A6" w:themeColor="background1" w:themeShade="A6"/>
                <w:sz w:val="20"/>
                <w:szCs w:val="20"/>
              </w:rPr>
              <w:t>[blank]</w:t>
            </w:r>
          </w:p>
        </w:tc>
      </w:tr>
      <w:tr w:rsidR="004837E1" w:rsidRPr="00120A12" w14:paraId="1D48BD86"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Merge/>
            <w:vAlign w:val="center"/>
          </w:tcPr>
          <w:p w14:paraId="583C3491"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vAlign w:val="center"/>
          </w:tcPr>
          <w:p w14:paraId="18B971A0" w14:textId="77777777" w:rsidR="004837E1" w:rsidRPr="00733D17" w:rsidRDefault="004837E1" w:rsidP="003D4043">
            <w:pPr>
              <w:rPr>
                <w:rFonts w:ascii="Arial Narrow" w:hAnsi="Arial Narrow"/>
                <w:b/>
                <w:bCs/>
                <w:color w:val="A6A6A6" w:themeColor="background1" w:themeShade="A6"/>
                <w:sz w:val="20"/>
                <w:szCs w:val="20"/>
              </w:rPr>
            </w:pPr>
            <w:r w:rsidRPr="00733D17">
              <w:rPr>
                <w:rFonts w:ascii="Arial Narrow" w:hAnsi="Arial Narrow"/>
                <w:b/>
                <w:bCs/>
                <w:color w:val="A6A6A6" w:themeColor="background1" w:themeShade="A6"/>
                <w:sz w:val="20"/>
                <w:szCs w:val="20"/>
              </w:rPr>
              <w:t xml:space="preserve">Condition: </w:t>
            </w:r>
            <w:r w:rsidRPr="00733D17">
              <w:rPr>
                <w:rFonts w:ascii="Arial Narrow" w:hAnsi="Arial Narrow"/>
                <w:bCs/>
                <w:color w:val="A6A6A6" w:themeColor="background1" w:themeShade="A6"/>
                <w:sz w:val="20"/>
                <w:szCs w:val="20"/>
              </w:rPr>
              <w:t>myeloid leukaemia</w:t>
            </w:r>
          </w:p>
        </w:tc>
      </w:tr>
      <w:tr w:rsidR="004837E1" w:rsidRPr="00120A12" w14:paraId="3FEF6884" w14:textId="77777777" w:rsidTr="00075C7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A9B9294" w14:textId="6A573B39" w:rsidR="004837E1" w:rsidRPr="00733D17" w:rsidRDefault="004837E1" w:rsidP="003D4043">
            <w:pPr>
              <w:jc w:val="center"/>
              <w:rPr>
                <w:rFonts w:ascii="Arial Narrow" w:hAnsi="Arial Narrow"/>
                <w:color w:val="333333"/>
                <w:sz w:val="20"/>
                <w:szCs w:val="20"/>
                <w:highlight w:val="yellow"/>
              </w:rPr>
            </w:pPr>
          </w:p>
        </w:tc>
        <w:tc>
          <w:tcPr>
            <w:tcW w:w="8086" w:type="dxa"/>
            <w:gridSpan w:val="6"/>
            <w:vAlign w:val="center"/>
            <w:hideMark/>
          </w:tcPr>
          <w:p w14:paraId="0D52E387" w14:textId="77777777" w:rsidR="004837E1" w:rsidRPr="00733D17" w:rsidRDefault="004837E1" w:rsidP="003D4043">
            <w:pPr>
              <w:rPr>
                <w:rFonts w:ascii="Arial Narrow" w:hAnsi="Arial Narrow"/>
                <w:color w:val="333333"/>
                <w:sz w:val="20"/>
                <w:szCs w:val="20"/>
              </w:rPr>
            </w:pPr>
            <w:r w:rsidRPr="00733D17">
              <w:rPr>
                <w:rFonts w:ascii="Arial Narrow" w:hAnsi="Arial Narrow"/>
                <w:b/>
                <w:bCs/>
                <w:color w:val="333333"/>
                <w:sz w:val="20"/>
                <w:szCs w:val="20"/>
              </w:rPr>
              <w:t>Indication:</w:t>
            </w:r>
            <w:r w:rsidRPr="00733D17">
              <w:rPr>
                <w:rFonts w:ascii="Arial Narrow" w:hAnsi="Arial Narrow"/>
                <w:color w:val="333333"/>
                <w:sz w:val="20"/>
                <w:szCs w:val="20"/>
              </w:rPr>
              <w:t xml:space="preserve"> Chronic myeloid leukaemia</w:t>
            </w:r>
          </w:p>
        </w:tc>
      </w:tr>
      <w:tr w:rsidR="004837E1" w:rsidRPr="00B90897" w14:paraId="62070869"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8E05A0B"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vAlign w:val="center"/>
          </w:tcPr>
          <w:p w14:paraId="71EB1163" w14:textId="77777777" w:rsidR="004837E1" w:rsidRPr="00733D17" w:rsidRDefault="004837E1" w:rsidP="003D4043">
            <w:pPr>
              <w:rPr>
                <w:rFonts w:ascii="Arial Narrow" w:hAnsi="Arial Narrow"/>
                <w:color w:val="333333"/>
                <w:sz w:val="20"/>
                <w:szCs w:val="20"/>
              </w:rPr>
            </w:pPr>
            <w:r w:rsidRPr="00733D17">
              <w:rPr>
                <w:rFonts w:ascii="Arial Narrow" w:hAnsi="Arial Narrow"/>
                <w:b/>
                <w:bCs/>
                <w:color w:val="333333"/>
                <w:sz w:val="20"/>
                <w:szCs w:val="20"/>
              </w:rPr>
              <w:t>Treatment Phase:</w:t>
            </w:r>
            <w:r w:rsidRPr="00733D17">
              <w:rPr>
                <w:rFonts w:ascii="Arial Narrow" w:hAnsi="Arial Narrow"/>
                <w:color w:val="333333"/>
                <w:sz w:val="20"/>
                <w:szCs w:val="20"/>
              </w:rPr>
              <w:t xml:space="preserve"> Initial PBS-subsidised treatment for patients without T315I mutation</w:t>
            </w:r>
          </w:p>
        </w:tc>
      </w:tr>
      <w:tr w:rsidR="004837E1" w:rsidRPr="007F2BB2" w14:paraId="5BF3E8CA"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BA69F64" w14:textId="77777777" w:rsidR="004837E1" w:rsidRPr="00733D17" w:rsidRDefault="004837E1" w:rsidP="003D4043">
            <w:pPr>
              <w:jc w:val="center"/>
              <w:rPr>
                <w:rFonts w:ascii="Arial Narrow" w:eastAsia="Calibri" w:hAnsi="Arial Narrow" w:cstheme="minorHAnsi"/>
                <w:sz w:val="20"/>
                <w:szCs w:val="20"/>
              </w:rPr>
            </w:pPr>
          </w:p>
        </w:tc>
        <w:tc>
          <w:tcPr>
            <w:tcW w:w="8086" w:type="dxa"/>
            <w:gridSpan w:val="6"/>
            <w:vAlign w:val="center"/>
          </w:tcPr>
          <w:p w14:paraId="123D7D12" w14:textId="77777777" w:rsidR="004837E1" w:rsidRPr="00733D17" w:rsidRDefault="004837E1" w:rsidP="003D4043">
            <w:pPr>
              <w:rPr>
                <w:rFonts w:ascii="Arial Narrow" w:hAnsi="Arial Narrow" w:cstheme="minorHAnsi"/>
                <w:b/>
                <w:bCs/>
                <w:sz w:val="20"/>
                <w:szCs w:val="20"/>
              </w:rPr>
            </w:pPr>
            <w:r w:rsidRPr="00733D17">
              <w:rPr>
                <w:rFonts w:ascii="Arial Narrow" w:hAnsi="Arial Narrow" w:cstheme="minorHAnsi"/>
                <w:b/>
                <w:bCs/>
                <w:sz w:val="20"/>
                <w:szCs w:val="20"/>
              </w:rPr>
              <w:t>Clinical criteria</w:t>
            </w:r>
          </w:p>
        </w:tc>
      </w:tr>
      <w:tr w:rsidR="004837E1" w:rsidRPr="007F2BB2" w14:paraId="5A832C6E"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73671A3" w14:textId="2F87F199" w:rsidR="004837E1" w:rsidRPr="00733D17" w:rsidRDefault="004837E1" w:rsidP="003D4043">
            <w:pPr>
              <w:jc w:val="center"/>
              <w:rPr>
                <w:rFonts w:ascii="Arial Narrow" w:eastAsia="Calibri" w:hAnsi="Arial Narrow" w:cstheme="minorHAnsi"/>
                <w:sz w:val="20"/>
                <w:szCs w:val="20"/>
              </w:rPr>
            </w:pPr>
          </w:p>
        </w:tc>
        <w:tc>
          <w:tcPr>
            <w:tcW w:w="8086" w:type="dxa"/>
            <w:gridSpan w:val="6"/>
            <w:vAlign w:val="center"/>
          </w:tcPr>
          <w:p w14:paraId="3EB25567" w14:textId="77777777" w:rsidR="004837E1" w:rsidRPr="00733D17" w:rsidRDefault="004837E1" w:rsidP="003D4043">
            <w:pPr>
              <w:rPr>
                <w:rFonts w:ascii="Arial Narrow" w:hAnsi="Arial Narrow" w:cstheme="minorHAnsi"/>
                <w:b/>
                <w:bCs/>
                <w:sz w:val="20"/>
                <w:szCs w:val="20"/>
              </w:rPr>
            </w:pPr>
            <w:r w:rsidRPr="00733D17">
              <w:rPr>
                <w:rFonts w:ascii="Arial Narrow" w:hAnsi="Arial Narrow"/>
                <w:color w:val="333333"/>
                <w:sz w:val="20"/>
                <w:szCs w:val="20"/>
              </w:rPr>
              <w:t>The treatment must be the sole PBS-subsidised therapy for this condition</w:t>
            </w:r>
          </w:p>
        </w:tc>
      </w:tr>
      <w:tr w:rsidR="004837E1" w:rsidRPr="007F2BB2" w14:paraId="5FCBB4EB"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54C53E5" w14:textId="77777777" w:rsidR="004837E1" w:rsidRPr="00733D17" w:rsidRDefault="004837E1" w:rsidP="003D4043">
            <w:pPr>
              <w:jc w:val="center"/>
              <w:rPr>
                <w:rFonts w:ascii="Arial Narrow" w:eastAsia="Calibri" w:hAnsi="Arial Narrow" w:cstheme="minorHAnsi"/>
                <w:sz w:val="20"/>
                <w:szCs w:val="20"/>
              </w:rPr>
            </w:pPr>
          </w:p>
        </w:tc>
        <w:tc>
          <w:tcPr>
            <w:tcW w:w="8086" w:type="dxa"/>
            <w:gridSpan w:val="6"/>
            <w:vAlign w:val="center"/>
          </w:tcPr>
          <w:p w14:paraId="0C3B7387" w14:textId="77777777" w:rsidR="004837E1" w:rsidRPr="00733D17" w:rsidRDefault="004837E1" w:rsidP="003D4043">
            <w:pPr>
              <w:rPr>
                <w:rFonts w:ascii="Arial Narrow" w:hAnsi="Arial Narrow" w:cstheme="minorHAnsi"/>
                <w:b/>
                <w:bCs/>
                <w:sz w:val="20"/>
                <w:szCs w:val="20"/>
              </w:rPr>
            </w:pPr>
            <w:r w:rsidRPr="00733D17">
              <w:rPr>
                <w:rFonts w:ascii="Arial Narrow" w:hAnsi="Arial Narrow" w:cstheme="minorHAnsi"/>
                <w:b/>
                <w:bCs/>
                <w:sz w:val="20"/>
                <w:szCs w:val="20"/>
              </w:rPr>
              <w:t>AND</w:t>
            </w:r>
          </w:p>
        </w:tc>
      </w:tr>
      <w:tr w:rsidR="004837E1" w:rsidRPr="007F2BB2" w14:paraId="19342D94"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4E88206" w14:textId="0D4C36AE" w:rsidR="004837E1" w:rsidRPr="00733D17" w:rsidRDefault="004837E1" w:rsidP="003D4043">
            <w:pPr>
              <w:jc w:val="center"/>
              <w:rPr>
                <w:rFonts w:ascii="Arial Narrow" w:eastAsia="Calibri" w:hAnsi="Arial Narrow" w:cstheme="minorHAnsi"/>
                <w:sz w:val="20"/>
                <w:szCs w:val="20"/>
              </w:rPr>
            </w:pPr>
          </w:p>
        </w:tc>
        <w:tc>
          <w:tcPr>
            <w:tcW w:w="8086" w:type="dxa"/>
            <w:gridSpan w:val="6"/>
            <w:vAlign w:val="center"/>
          </w:tcPr>
          <w:p w14:paraId="06D0F42E" w14:textId="77777777" w:rsidR="004837E1" w:rsidRPr="00733D17" w:rsidRDefault="004837E1" w:rsidP="003D4043">
            <w:pPr>
              <w:rPr>
                <w:rFonts w:ascii="Arial Narrow" w:hAnsi="Arial Narrow" w:cstheme="minorHAnsi"/>
                <w:b/>
                <w:bCs/>
                <w:sz w:val="20"/>
                <w:szCs w:val="20"/>
              </w:rPr>
            </w:pPr>
            <w:r w:rsidRPr="00733D17">
              <w:rPr>
                <w:rFonts w:ascii="Arial Narrow" w:hAnsi="Arial Narrow" w:cstheme="minorHAnsi"/>
                <w:b/>
                <w:bCs/>
                <w:sz w:val="20"/>
                <w:szCs w:val="20"/>
              </w:rPr>
              <w:t>Clinical criteria:</w:t>
            </w:r>
          </w:p>
        </w:tc>
      </w:tr>
      <w:tr w:rsidR="004837E1" w:rsidRPr="007F2BB2" w14:paraId="7BA6D0FF"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1C54855" w14:textId="3FDA5840" w:rsidR="004837E1" w:rsidRPr="00733D17" w:rsidRDefault="004837E1" w:rsidP="003D4043">
            <w:pPr>
              <w:jc w:val="center"/>
              <w:rPr>
                <w:rFonts w:ascii="Arial Narrow" w:eastAsia="Calibri" w:hAnsi="Arial Narrow" w:cstheme="minorHAnsi"/>
                <w:sz w:val="20"/>
                <w:szCs w:val="20"/>
              </w:rPr>
            </w:pPr>
          </w:p>
        </w:tc>
        <w:tc>
          <w:tcPr>
            <w:tcW w:w="8086" w:type="dxa"/>
            <w:gridSpan w:val="6"/>
            <w:vAlign w:val="center"/>
          </w:tcPr>
          <w:p w14:paraId="087495E3" w14:textId="3248CC5B" w:rsidR="004837E1" w:rsidRPr="00FD3D2F" w:rsidRDefault="004837E1" w:rsidP="00FD3D2F">
            <w:pPr>
              <w:jc w:val="left"/>
              <w:rPr>
                <w:rFonts w:ascii="Arial Narrow" w:hAnsi="Arial Narrow"/>
                <w:color w:val="333333"/>
                <w:sz w:val="20"/>
                <w:szCs w:val="20"/>
              </w:rPr>
            </w:pPr>
            <w:r w:rsidRPr="00733D17">
              <w:rPr>
                <w:rFonts w:ascii="Arial Narrow" w:hAnsi="Arial Narrow" w:cstheme="minorHAnsi"/>
                <w:sz w:val="20"/>
                <w:szCs w:val="20"/>
              </w:rPr>
              <w:t xml:space="preserve">The condition must </w:t>
            </w:r>
            <w:r w:rsidR="0035437E">
              <w:rPr>
                <w:rFonts w:ascii="Arial Narrow" w:hAnsi="Arial Narrow" w:cstheme="minorHAnsi"/>
                <w:sz w:val="20"/>
                <w:szCs w:val="20"/>
              </w:rPr>
              <w:t xml:space="preserve">not </w:t>
            </w:r>
            <w:r w:rsidRPr="00733D17">
              <w:rPr>
                <w:rFonts w:ascii="Arial Narrow" w:hAnsi="Arial Narrow" w:cstheme="minorHAnsi"/>
                <w:sz w:val="20"/>
                <w:szCs w:val="20"/>
              </w:rPr>
              <w:t xml:space="preserve">be in the </w:t>
            </w:r>
            <w:r w:rsidR="0035437E">
              <w:rPr>
                <w:rFonts w:ascii="Arial Narrow" w:hAnsi="Arial Narrow" w:cstheme="minorHAnsi"/>
                <w:sz w:val="20"/>
                <w:szCs w:val="20"/>
              </w:rPr>
              <w:t xml:space="preserve">blast </w:t>
            </w:r>
            <w:r w:rsidRPr="00733D17">
              <w:rPr>
                <w:rFonts w:ascii="Arial Narrow" w:hAnsi="Arial Narrow" w:cstheme="minorHAnsi"/>
                <w:sz w:val="20"/>
                <w:szCs w:val="20"/>
              </w:rPr>
              <w:t>phase</w:t>
            </w:r>
          </w:p>
        </w:tc>
      </w:tr>
      <w:tr w:rsidR="00AB71A7" w:rsidRPr="007F2BB2" w14:paraId="4DB561F9"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896118B" w14:textId="77777777" w:rsidR="00AB71A7" w:rsidRPr="00733D17" w:rsidRDefault="00AB71A7" w:rsidP="00AB71A7">
            <w:pPr>
              <w:jc w:val="center"/>
              <w:rPr>
                <w:rFonts w:ascii="Arial Narrow" w:eastAsia="Calibri" w:hAnsi="Arial Narrow" w:cstheme="minorHAnsi"/>
                <w:sz w:val="20"/>
                <w:szCs w:val="20"/>
              </w:rPr>
            </w:pPr>
          </w:p>
        </w:tc>
        <w:tc>
          <w:tcPr>
            <w:tcW w:w="8086" w:type="dxa"/>
            <w:gridSpan w:val="6"/>
            <w:vAlign w:val="center"/>
          </w:tcPr>
          <w:p w14:paraId="202BDC76" w14:textId="46EBE4D3" w:rsidR="00AB71A7" w:rsidRPr="00733D17" w:rsidRDefault="00AB71A7" w:rsidP="00AB71A7">
            <w:pPr>
              <w:rPr>
                <w:rFonts w:ascii="Arial Narrow" w:hAnsi="Arial Narrow" w:cstheme="minorHAnsi"/>
                <w:sz w:val="20"/>
                <w:szCs w:val="20"/>
              </w:rPr>
            </w:pPr>
            <w:r w:rsidRPr="00733D17">
              <w:rPr>
                <w:rFonts w:ascii="Arial Narrow" w:hAnsi="Arial Narrow" w:cstheme="minorHAnsi"/>
                <w:b/>
                <w:bCs/>
                <w:sz w:val="20"/>
                <w:szCs w:val="20"/>
              </w:rPr>
              <w:t>AND</w:t>
            </w:r>
          </w:p>
        </w:tc>
      </w:tr>
      <w:tr w:rsidR="00AB71A7" w:rsidRPr="007F2BB2" w14:paraId="68E3CCFA"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7C4D840" w14:textId="36785B14" w:rsidR="00AB71A7" w:rsidRPr="00733D17" w:rsidRDefault="00AB71A7" w:rsidP="00AB71A7">
            <w:pPr>
              <w:jc w:val="center"/>
              <w:rPr>
                <w:rFonts w:ascii="Arial Narrow" w:eastAsia="Calibri" w:hAnsi="Arial Narrow" w:cstheme="minorHAnsi"/>
                <w:sz w:val="20"/>
                <w:szCs w:val="20"/>
              </w:rPr>
            </w:pPr>
          </w:p>
        </w:tc>
        <w:tc>
          <w:tcPr>
            <w:tcW w:w="8086" w:type="dxa"/>
            <w:gridSpan w:val="6"/>
            <w:vAlign w:val="center"/>
          </w:tcPr>
          <w:p w14:paraId="75A8D442" w14:textId="62B640F3" w:rsidR="00AB71A7" w:rsidRPr="00733D17" w:rsidRDefault="00AB71A7" w:rsidP="00AB71A7">
            <w:pPr>
              <w:rPr>
                <w:rFonts w:ascii="Arial Narrow" w:hAnsi="Arial Narrow" w:cstheme="minorHAnsi"/>
                <w:sz w:val="20"/>
                <w:szCs w:val="20"/>
              </w:rPr>
            </w:pPr>
            <w:r w:rsidRPr="00733D17">
              <w:rPr>
                <w:rFonts w:ascii="Arial Narrow" w:hAnsi="Arial Narrow" w:cstheme="minorHAnsi"/>
                <w:b/>
                <w:bCs/>
                <w:sz w:val="20"/>
                <w:szCs w:val="20"/>
              </w:rPr>
              <w:t>Clinical criteria:</w:t>
            </w:r>
          </w:p>
        </w:tc>
      </w:tr>
      <w:tr w:rsidR="00AB71A7" w:rsidRPr="007F2BB2" w14:paraId="21A62DF2"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93C077A" w14:textId="424AE136" w:rsidR="00AB71A7" w:rsidRPr="00733D17" w:rsidRDefault="00AB71A7" w:rsidP="00AB71A7">
            <w:pPr>
              <w:jc w:val="center"/>
              <w:rPr>
                <w:rFonts w:ascii="Arial Narrow" w:eastAsia="Calibri" w:hAnsi="Arial Narrow" w:cstheme="minorHAnsi"/>
                <w:sz w:val="20"/>
                <w:szCs w:val="20"/>
              </w:rPr>
            </w:pPr>
          </w:p>
        </w:tc>
        <w:tc>
          <w:tcPr>
            <w:tcW w:w="8086" w:type="dxa"/>
            <w:gridSpan w:val="6"/>
            <w:vAlign w:val="center"/>
          </w:tcPr>
          <w:p w14:paraId="1EF7C0A5" w14:textId="3A251BB7" w:rsidR="00AB71A7" w:rsidRPr="00733D17" w:rsidRDefault="00AB71A7" w:rsidP="00AB71A7">
            <w:pPr>
              <w:rPr>
                <w:rFonts w:ascii="Arial Narrow" w:hAnsi="Arial Narrow" w:cstheme="minorHAnsi"/>
                <w:sz w:val="20"/>
                <w:szCs w:val="20"/>
              </w:rPr>
            </w:pPr>
            <w:r w:rsidRPr="00733D17">
              <w:rPr>
                <w:rFonts w:ascii="Arial Narrow" w:hAnsi="Arial Narrow" w:cstheme="minorHAnsi"/>
                <w:sz w:val="20"/>
                <w:szCs w:val="20"/>
              </w:rPr>
              <w:t>The treatment must not exceed a total maximum of 18 months of therapy with PBS-subsidised treatment with a tyrosine kinase inhibitor for this condition under this restriction.</w:t>
            </w:r>
          </w:p>
        </w:tc>
      </w:tr>
      <w:tr w:rsidR="00AB71A7" w:rsidRPr="007F2BB2" w14:paraId="079F85EF"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9ACCBED" w14:textId="77777777" w:rsidR="00AB71A7" w:rsidRPr="00733D17" w:rsidRDefault="00AB71A7" w:rsidP="00AB71A7">
            <w:pPr>
              <w:jc w:val="center"/>
              <w:rPr>
                <w:rFonts w:ascii="Arial Narrow" w:eastAsia="Calibri" w:hAnsi="Arial Narrow"/>
                <w:sz w:val="20"/>
                <w:szCs w:val="20"/>
                <w:highlight w:val="yellow"/>
              </w:rPr>
            </w:pPr>
          </w:p>
        </w:tc>
        <w:tc>
          <w:tcPr>
            <w:tcW w:w="8086" w:type="dxa"/>
            <w:gridSpan w:val="6"/>
            <w:vAlign w:val="center"/>
          </w:tcPr>
          <w:p w14:paraId="0518130D" w14:textId="77777777" w:rsidR="00AB71A7" w:rsidRPr="00733D17" w:rsidRDefault="00AB71A7" w:rsidP="00AB71A7">
            <w:pPr>
              <w:rPr>
                <w:rFonts w:ascii="Arial Narrow" w:hAnsi="Arial Narrow"/>
                <w:b/>
                <w:bCs/>
                <w:sz w:val="20"/>
                <w:szCs w:val="20"/>
              </w:rPr>
            </w:pPr>
            <w:r w:rsidRPr="00733D17">
              <w:rPr>
                <w:rFonts w:ascii="Arial Narrow" w:hAnsi="Arial Narrow"/>
                <w:b/>
                <w:bCs/>
                <w:sz w:val="20"/>
                <w:szCs w:val="20"/>
              </w:rPr>
              <w:t>AND</w:t>
            </w:r>
          </w:p>
        </w:tc>
      </w:tr>
      <w:tr w:rsidR="00AB71A7" w:rsidRPr="007F2BB2" w14:paraId="27B971EE"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DE1DBBF" w14:textId="4DAEB161" w:rsidR="00AB71A7" w:rsidRPr="00733D17" w:rsidRDefault="00AB71A7" w:rsidP="00AB71A7">
            <w:pPr>
              <w:jc w:val="center"/>
              <w:rPr>
                <w:rFonts w:ascii="Arial Narrow" w:hAnsi="Arial Narrow"/>
                <w:color w:val="333333"/>
                <w:sz w:val="20"/>
                <w:szCs w:val="20"/>
              </w:rPr>
            </w:pPr>
          </w:p>
        </w:tc>
        <w:tc>
          <w:tcPr>
            <w:tcW w:w="8086" w:type="dxa"/>
            <w:gridSpan w:val="6"/>
            <w:vAlign w:val="center"/>
          </w:tcPr>
          <w:p w14:paraId="2CB7F186" w14:textId="77777777" w:rsidR="00AB71A7" w:rsidRPr="00733D17" w:rsidRDefault="00AB71A7" w:rsidP="00AB71A7">
            <w:pPr>
              <w:rPr>
                <w:rFonts w:ascii="Arial Narrow" w:hAnsi="Arial Narrow"/>
                <w:b/>
                <w:bCs/>
                <w:color w:val="333333"/>
                <w:sz w:val="20"/>
                <w:szCs w:val="20"/>
              </w:rPr>
            </w:pPr>
            <w:r w:rsidRPr="00733D17">
              <w:rPr>
                <w:rFonts w:ascii="Arial Narrow" w:hAnsi="Arial Narrow"/>
                <w:b/>
                <w:bCs/>
                <w:sz w:val="20"/>
                <w:szCs w:val="20"/>
              </w:rPr>
              <w:t>Clinical criteria:</w:t>
            </w:r>
          </w:p>
        </w:tc>
      </w:tr>
      <w:tr w:rsidR="00AB71A7" w:rsidRPr="007F2BB2" w14:paraId="0A28FA0D" w14:textId="77777777" w:rsidTr="003D4043">
        <w:tblPrEx>
          <w:tblCellMar>
            <w:top w:w="15" w:type="dxa"/>
            <w:left w:w="15" w:type="dxa"/>
            <w:bottom w:w="15" w:type="dxa"/>
            <w:right w:w="15" w:type="dxa"/>
          </w:tblCellMar>
          <w:tblLook w:val="04A0" w:firstRow="1" w:lastRow="0" w:firstColumn="1" w:lastColumn="0" w:noHBand="0" w:noVBand="1"/>
        </w:tblPrEx>
        <w:trPr>
          <w:trHeight w:val="35"/>
        </w:trPr>
        <w:tc>
          <w:tcPr>
            <w:tcW w:w="981" w:type="dxa"/>
            <w:gridSpan w:val="2"/>
            <w:vAlign w:val="center"/>
          </w:tcPr>
          <w:p w14:paraId="14ADC74C" w14:textId="77777777" w:rsidR="00AB71A7" w:rsidRPr="00733D17" w:rsidRDefault="00AB71A7" w:rsidP="00AB71A7">
            <w:pPr>
              <w:jc w:val="center"/>
              <w:rPr>
                <w:rFonts w:ascii="Arial Narrow" w:hAnsi="Arial Narrow"/>
                <w:color w:val="333333"/>
                <w:sz w:val="20"/>
                <w:szCs w:val="20"/>
              </w:rPr>
            </w:pPr>
          </w:p>
        </w:tc>
        <w:tc>
          <w:tcPr>
            <w:tcW w:w="8086" w:type="dxa"/>
            <w:gridSpan w:val="6"/>
            <w:vAlign w:val="center"/>
          </w:tcPr>
          <w:p w14:paraId="69C3733E" w14:textId="77777777" w:rsidR="00AB71A7" w:rsidRPr="00733D17" w:rsidRDefault="00AB71A7" w:rsidP="00AB71A7">
            <w:pPr>
              <w:pStyle w:val="PBACtext"/>
              <w:keepNext w:val="0"/>
              <w:spacing w:line="240" w:lineRule="auto"/>
              <w:rPr>
                <w:sz w:val="20"/>
                <w:szCs w:val="20"/>
              </w:rPr>
            </w:pPr>
            <w:r w:rsidRPr="00733D17">
              <w:rPr>
                <w:sz w:val="20"/>
                <w:szCs w:val="20"/>
              </w:rPr>
              <w:t xml:space="preserve">The condition must be expressing the Philadelphia chromosome confirmed through cytogenetic analysis; or </w:t>
            </w:r>
          </w:p>
        </w:tc>
      </w:tr>
      <w:tr w:rsidR="00AB71A7" w:rsidRPr="007F2BB2" w14:paraId="60EEE428"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10D871C" w14:textId="41D7AB22" w:rsidR="00AB71A7" w:rsidRPr="00733D17" w:rsidRDefault="00AB71A7" w:rsidP="00AB71A7">
            <w:pPr>
              <w:jc w:val="center"/>
              <w:rPr>
                <w:rFonts w:ascii="Arial Narrow" w:eastAsia="Calibri" w:hAnsi="Arial Narrow"/>
                <w:sz w:val="20"/>
                <w:szCs w:val="20"/>
              </w:rPr>
            </w:pPr>
          </w:p>
        </w:tc>
        <w:tc>
          <w:tcPr>
            <w:tcW w:w="8086" w:type="dxa"/>
            <w:gridSpan w:val="6"/>
            <w:vAlign w:val="center"/>
          </w:tcPr>
          <w:p w14:paraId="5F051476" w14:textId="77777777" w:rsidR="00AB71A7" w:rsidRPr="00733D17" w:rsidRDefault="00AB71A7" w:rsidP="00AB71A7">
            <w:pPr>
              <w:pStyle w:val="PBACtext"/>
              <w:keepNext w:val="0"/>
              <w:spacing w:line="240" w:lineRule="auto"/>
              <w:rPr>
                <w:sz w:val="20"/>
                <w:szCs w:val="20"/>
              </w:rPr>
            </w:pPr>
            <w:r w:rsidRPr="00733D17">
              <w:rPr>
                <w:sz w:val="20"/>
                <w:szCs w:val="20"/>
              </w:rPr>
              <w:t>The condition must have the transcript BCR-ABL tyrosine kinase confirmed through quantitative polymerase chain reaction (PCR)</w:t>
            </w:r>
          </w:p>
        </w:tc>
      </w:tr>
      <w:tr w:rsidR="00AB71A7" w:rsidRPr="007F2BB2" w14:paraId="0841B29B"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7B3C4F2" w14:textId="77777777" w:rsidR="00AB71A7" w:rsidRPr="00733D17" w:rsidRDefault="00AB71A7" w:rsidP="00AB71A7">
            <w:pPr>
              <w:jc w:val="center"/>
              <w:rPr>
                <w:rFonts w:ascii="Arial Narrow" w:eastAsia="Calibri" w:hAnsi="Arial Narrow"/>
                <w:sz w:val="20"/>
                <w:szCs w:val="20"/>
                <w:highlight w:val="yellow"/>
              </w:rPr>
            </w:pPr>
          </w:p>
        </w:tc>
        <w:tc>
          <w:tcPr>
            <w:tcW w:w="8086" w:type="dxa"/>
            <w:gridSpan w:val="6"/>
            <w:vAlign w:val="center"/>
          </w:tcPr>
          <w:p w14:paraId="56975FC3" w14:textId="77777777" w:rsidR="00AB71A7" w:rsidRPr="00733D17" w:rsidRDefault="00AB71A7" w:rsidP="00AB71A7">
            <w:pPr>
              <w:pStyle w:val="PBACtext"/>
              <w:keepNext w:val="0"/>
              <w:spacing w:line="240" w:lineRule="auto"/>
              <w:rPr>
                <w:b/>
                <w:bCs/>
                <w:sz w:val="20"/>
                <w:szCs w:val="20"/>
              </w:rPr>
            </w:pPr>
            <w:r w:rsidRPr="00733D17">
              <w:rPr>
                <w:b/>
                <w:bCs/>
                <w:sz w:val="20"/>
                <w:szCs w:val="20"/>
              </w:rPr>
              <w:t>AND</w:t>
            </w:r>
          </w:p>
        </w:tc>
      </w:tr>
      <w:tr w:rsidR="00AB71A7" w:rsidRPr="007F2BB2" w14:paraId="3BE00644"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B6D93F6" w14:textId="77777777" w:rsidR="00AB71A7" w:rsidRPr="00733D17" w:rsidRDefault="00AB71A7" w:rsidP="00AB71A7">
            <w:pPr>
              <w:jc w:val="center"/>
              <w:rPr>
                <w:rFonts w:ascii="Arial Narrow" w:eastAsia="Calibri" w:hAnsi="Arial Narrow"/>
                <w:sz w:val="20"/>
                <w:szCs w:val="20"/>
                <w:highlight w:val="yellow"/>
              </w:rPr>
            </w:pPr>
          </w:p>
        </w:tc>
        <w:tc>
          <w:tcPr>
            <w:tcW w:w="8086" w:type="dxa"/>
            <w:gridSpan w:val="6"/>
            <w:vAlign w:val="center"/>
          </w:tcPr>
          <w:p w14:paraId="15D2324A" w14:textId="77777777" w:rsidR="00AB71A7" w:rsidRPr="00733D17" w:rsidRDefault="00AB71A7" w:rsidP="00AB71A7">
            <w:pPr>
              <w:pStyle w:val="PBACtext"/>
              <w:keepNext w:val="0"/>
              <w:spacing w:line="240" w:lineRule="auto"/>
              <w:rPr>
                <w:b/>
                <w:bCs/>
                <w:sz w:val="20"/>
                <w:szCs w:val="20"/>
              </w:rPr>
            </w:pPr>
            <w:r w:rsidRPr="00733D17">
              <w:rPr>
                <w:b/>
                <w:bCs/>
                <w:sz w:val="20"/>
                <w:szCs w:val="20"/>
              </w:rPr>
              <w:t>Clinical criteria:</w:t>
            </w:r>
          </w:p>
        </w:tc>
      </w:tr>
      <w:tr w:rsidR="00AB71A7" w:rsidRPr="00720161" w14:paraId="2724E300" w14:textId="77777777" w:rsidTr="00075C7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07430FA" w14:textId="09CD097A" w:rsidR="00AB71A7" w:rsidRPr="00733D17" w:rsidRDefault="00AB71A7" w:rsidP="00AB71A7">
            <w:pPr>
              <w:jc w:val="center"/>
              <w:rPr>
                <w:rFonts w:ascii="Arial Narrow" w:hAnsi="Arial Narrow"/>
                <w:color w:val="333333"/>
                <w:sz w:val="20"/>
                <w:szCs w:val="20"/>
              </w:rPr>
            </w:pPr>
          </w:p>
        </w:tc>
        <w:tc>
          <w:tcPr>
            <w:tcW w:w="8086" w:type="dxa"/>
            <w:gridSpan w:val="6"/>
            <w:vAlign w:val="center"/>
          </w:tcPr>
          <w:p w14:paraId="4487C1DC" w14:textId="77777777" w:rsidR="00AB71A7" w:rsidRPr="00733D17" w:rsidRDefault="00AB71A7" w:rsidP="00AB71A7">
            <w:pPr>
              <w:rPr>
                <w:rFonts w:ascii="Arial Narrow" w:hAnsi="Arial Narrow"/>
                <w:sz w:val="20"/>
                <w:szCs w:val="20"/>
              </w:rPr>
            </w:pPr>
            <w:r w:rsidRPr="00733D17">
              <w:rPr>
                <w:rFonts w:ascii="Arial Narrow" w:hAnsi="Arial Narrow"/>
                <w:sz w:val="20"/>
                <w:szCs w:val="20"/>
              </w:rPr>
              <w:t xml:space="preserve">Patient must have failed an adequate trial of at least two tyrosine kinase inhibitors; </w:t>
            </w:r>
            <w:r w:rsidRPr="00733D17">
              <w:rPr>
                <w:rFonts w:ascii="Arial Narrow" w:hAnsi="Arial Narrow"/>
                <w:b/>
                <w:bCs/>
                <w:sz w:val="20"/>
                <w:szCs w:val="20"/>
              </w:rPr>
              <w:t>OR</w:t>
            </w:r>
          </w:p>
        </w:tc>
      </w:tr>
      <w:tr w:rsidR="00AB71A7" w:rsidRPr="00720161" w14:paraId="5D5A0D93"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D2534D1" w14:textId="19F143CC" w:rsidR="00AB71A7" w:rsidRPr="00733D17" w:rsidRDefault="00AB71A7" w:rsidP="00AB71A7">
            <w:pPr>
              <w:jc w:val="center"/>
              <w:rPr>
                <w:rFonts w:ascii="Arial Narrow" w:hAnsi="Arial Narrow"/>
                <w:color w:val="333333"/>
                <w:sz w:val="20"/>
                <w:szCs w:val="20"/>
              </w:rPr>
            </w:pPr>
          </w:p>
        </w:tc>
        <w:tc>
          <w:tcPr>
            <w:tcW w:w="8086" w:type="dxa"/>
            <w:gridSpan w:val="6"/>
            <w:vAlign w:val="center"/>
          </w:tcPr>
          <w:p w14:paraId="27680A26" w14:textId="77777777" w:rsidR="00AB71A7" w:rsidRPr="00733D17" w:rsidRDefault="00AB71A7" w:rsidP="00AB71A7">
            <w:pPr>
              <w:rPr>
                <w:rFonts w:ascii="Arial Narrow" w:hAnsi="Arial Narrow"/>
                <w:sz w:val="20"/>
                <w:szCs w:val="20"/>
              </w:rPr>
            </w:pPr>
            <w:r w:rsidRPr="00733D17">
              <w:rPr>
                <w:rFonts w:ascii="Arial Narrow" w:hAnsi="Arial Narrow"/>
                <w:sz w:val="20"/>
                <w:szCs w:val="20"/>
              </w:rPr>
              <w:t xml:space="preserve">Patient must have experienced intolerance, not failure to respond, to at least two tyrosine kinase inhibitors; </w:t>
            </w:r>
            <w:r w:rsidRPr="00733D17">
              <w:rPr>
                <w:rFonts w:ascii="Arial Narrow" w:hAnsi="Arial Narrow"/>
                <w:b/>
                <w:bCs/>
                <w:sz w:val="20"/>
                <w:szCs w:val="20"/>
              </w:rPr>
              <w:t>OR</w:t>
            </w:r>
          </w:p>
        </w:tc>
      </w:tr>
      <w:tr w:rsidR="00AB71A7" w:rsidRPr="00720161" w14:paraId="7401F109"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2C79BF7" w14:textId="57C29E9B" w:rsidR="00AB71A7" w:rsidRPr="00733D17" w:rsidRDefault="00AB71A7" w:rsidP="00AB71A7">
            <w:pPr>
              <w:jc w:val="center"/>
              <w:rPr>
                <w:rFonts w:ascii="Arial Narrow" w:hAnsi="Arial Narrow"/>
                <w:color w:val="333333"/>
                <w:sz w:val="20"/>
                <w:szCs w:val="20"/>
              </w:rPr>
            </w:pPr>
          </w:p>
        </w:tc>
        <w:tc>
          <w:tcPr>
            <w:tcW w:w="8086" w:type="dxa"/>
            <w:gridSpan w:val="6"/>
            <w:vAlign w:val="center"/>
          </w:tcPr>
          <w:p w14:paraId="1EB72B39" w14:textId="77777777" w:rsidR="00AB71A7" w:rsidRPr="00733D17" w:rsidRDefault="00AB71A7" w:rsidP="00AB71A7">
            <w:pPr>
              <w:rPr>
                <w:rFonts w:ascii="Arial Narrow" w:hAnsi="Arial Narrow"/>
                <w:sz w:val="20"/>
                <w:szCs w:val="20"/>
              </w:rPr>
            </w:pPr>
            <w:r w:rsidRPr="00733D17">
              <w:rPr>
                <w:rFonts w:ascii="Arial Narrow" w:hAnsi="Arial Narrow"/>
                <w:sz w:val="20"/>
                <w:szCs w:val="20"/>
              </w:rPr>
              <w:t>Patient must have failed an adequate trial of at least one tyrosine kinase inhibitor with intolerance to at least another tyrosine kinase inhibitor.</w:t>
            </w:r>
          </w:p>
        </w:tc>
      </w:tr>
      <w:tr w:rsidR="00D42EF1" w:rsidRPr="00720161" w14:paraId="2AD675C1" w14:textId="77777777" w:rsidTr="00D42EF1">
        <w:tblPrEx>
          <w:tblCellMar>
            <w:top w:w="15" w:type="dxa"/>
            <w:left w:w="15" w:type="dxa"/>
            <w:bottom w:w="15" w:type="dxa"/>
            <w:right w:w="15" w:type="dxa"/>
          </w:tblCellMar>
          <w:tblLook w:val="04A0" w:firstRow="1" w:lastRow="0" w:firstColumn="1" w:lastColumn="0" w:noHBand="0" w:noVBand="1"/>
        </w:tblPrEx>
        <w:tc>
          <w:tcPr>
            <w:tcW w:w="981" w:type="dxa"/>
            <w:gridSpan w:val="2"/>
          </w:tcPr>
          <w:p w14:paraId="550C75B5" w14:textId="02F0C8E2" w:rsidR="00D42EF1" w:rsidRPr="00733D17" w:rsidRDefault="00D42EF1" w:rsidP="00D42EF1">
            <w:pPr>
              <w:jc w:val="center"/>
              <w:rPr>
                <w:rFonts w:ascii="Arial Narrow" w:hAnsi="Arial Narrow"/>
                <w:color w:val="333333"/>
                <w:sz w:val="20"/>
                <w:szCs w:val="20"/>
              </w:rPr>
            </w:pPr>
          </w:p>
        </w:tc>
        <w:tc>
          <w:tcPr>
            <w:tcW w:w="8086" w:type="dxa"/>
            <w:gridSpan w:val="6"/>
          </w:tcPr>
          <w:p w14:paraId="5A0C744C" w14:textId="02D02FB4" w:rsidR="00D42EF1" w:rsidRPr="00733D17" w:rsidRDefault="00D42EF1" w:rsidP="00D42EF1">
            <w:pPr>
              <w:rPr>
                <w:rFonts w:ascii="Arial Narrow" w:hAnsi="Arial Narrow"/>
                <w:sz w:val="20"/>
                <w:szCs w:val="20"/>
              </w:rPr>
            </w:pPr>
            <w:r w:rsidRPr="00733D17">
              <w:rPr>
                <w:rFonts w:ascii="Arial Narrow" w:hAnsi="Arial Narrow"/>
                <w:sz w:val="20"/>
                <w:szCs w:val="20"/>
              </w:rPr>
              <w:t xml:space="preserve">Administrative Advice: Tyrosine Kinase Inhibitors (TKI) are defined as either (i) imatinib, (ii) dasatinib, (iii) nilotinib </w:t>
            </w:r>
          </w:p>
        </w:tc>
      </w:tr>
      <w:tr w:rsidR="00AB71A7" w:rsidRPr="00720161" w14:paraId="50417201"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5FD25BF" w14:textId="77777777" w:rsidR="00AB71A7" w:rsidRPr="00733D17" w:rsidRDefault="00AB71A7" w:rsidP="00AB71A7">
            <w:pPr>
              <w:jc w:val="center"/>
              <w:rPr>
                <w:rFonts w:ascii="Arial Narrow" w:hAnsi="Arial Narrow"/>
                <w:color w:val="333333"/>
                <w:sz w:val="20"/>
                <w:szCs w:val="20"/>
              </w:rPr>
            </w:pPr>
          </w:p>
        </w:tc>
        <w:tc>
          <w:tcPr>
            <w:tcW w:w="8086" w:type="dxa"/>
            <w:gridSpan w:val="6"/>
            <w:vAlign w:val="center"/>
          </w:tcPr>
          <w:p w14:paraId="5B9DD000" w14:textId="77777777" w:rsidR="00AB71A7" w:rsidRPr="00733D17" w:rsidRDefault="00AB71A7" w:rsidP="00AB71A7">
            <w:pPr>
              <w:jc w:val="left"/>
              <w:rPr>
                <w:rFonts w:ascii="Arial Narrow" w:hAnsi="Arial Narrow"/>
                <w:color w:val="333333"/>
                <w:sz w:val="20"/>
                <w:szCs w:val="20"/>
              </w:rPr>
            </w:pPr>
            <w:r w:rsidRPr="00733D17">
              <w:rPr>
                <w:rFonts w:ascii="Arial Narrow" w:hAnsi="Arial Narrow"/>
                <w:b/>
                <w:bCs/>
                <w:color w:val="333333"/>
                <w:sz w:val="20"/>
                <w:szCs w:val="20"/>
              </w:rPr>
              <w:t>Prescribing Instructions:</w:t>
            </w:r>
            <w:r w:rsidRPr="00733D17">
              <w:rPr>
                <w:rFonts w:ascii="Arial Narrow" w:hAnsi="Arial Narrow"/>
                <w:color w:val="333333"/>
                <w:sz w:val="20"/>
                <w:szCs w:val="20"/>
              </w:rPr>
              <w:t xml:space="preserve"> </w:t>
            </w:r>
          </w:p>
        </w:tc>
      </w:tr>
      <w:tr w:rsidR="00AB71A7" w:rsidRPr="00E03D40" w14:paraId="77C353CF" w14:textId="77777777" w:rsidTr="00075C7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8941CDA" w14:textId="77777777" w:rsidR="00AB71A7" w:rsidRPr="00733D17" w:rsidRDefault="00AB71A7" w:rsidP="00AB71A7">
            <w:pPr>
              <w:jc w:val="center"/>
              <w:rPr>
                <w:rFonts w:ascii="Arial Narrow" w:hAnsi="Arial Narrow"/>
                <w:color w:val="333333"/>
                <w:sz w:val="20"/>
                <w:szCs w:val="20"/>
              </w:rPr>
            </w:pPr>
          </w:p>
        </w:tc>
        <w:tc>
          <w:tcPr>
            <w:tcW w:w="8086" w:type="dxa"/>
            <w:gridSpan w:val="6"/>
            <w:vAlign w:val="center"/>
            <w:hideMark/>
          </w:tcPr>
          <w:p w14:paraId="75239FCC" w14:textId="77777777" w:rsidR="00AB71A7" w:rsidRPr="00733D17" w:rsidRDefault="00AB71A7" w:rsidP="00AB71A7">
            <w:pPr>
              <w:jc w:val="left"/>
              <w:rPr>
                <w:rFonts w:ascii="Arial Narrow" w:hAnsi="Arial Narrow"/>
                <w:color w:val="333333"/>
                <w:sz w:val="20"/>
                <w:szCs w:val="20"/>
              </w:rPr>
            </w:pPr>
            <w:r w:rsidRPr="00733D17">
              <w:rPr>
                <w:rFonts w:ascii="Arial Narrow" w:hAnsi="Arial Narrow"/>
                <w:color w:val="333333"/>
                <w:sz w:val="20"/>
                <w:szCs w:val="20"/>
              </w:rPr>
              <w:t>Failure of an adequate trial of a tyrosine kinase inhibitor is defined as:</w:t>
            </w:r>
          </w:p>
          <w:p w14:paraId="72B655AF" w14:textId="77777777" w:rsidR="00AB71A7" w:rsidRPr="00733D17" w:rsidRDefault="00AB71A7" w:rsidP="00AB71A7">
            <w:pPr>
              <w:jc w:val="left"/>
              <w:rPr>
                <w:rFonts w:ascii="Arial Narrow" w:hAnsi="Arial Narrow"/>
                <w:color w:val="333333"/>
                <w:sz w:val="20"/>
                <w:szCs w:val="20"/>
              </w:rPr>
            </w:pPr>
            <w:r w:rsidRPr="00733D17">
              <w:rPr>
                <w:rFonts w:ascii="Arial Narrow" w:hAnsi="Arial Narrow"/>
                <w:color w:val="333333"/>
                <w:sz w:val="20"/>
                <w:szCs w:val="20"/>
              </w:rPr>
              <w:t>1. Lack of response defined as either:</w:t>
            </w:r>
          </w:p>
          <w:p w14:paraId="58020F16" w14:textId="77777777" w:rsidR="00AB71A7" w:rsidRPr="00733D17" w:rsidRDefault="00AB71A7" w:rsidP="00AB71A7">
            <w:pPr>
              <w:jc w:val="left"/>
              <w:rPr>
                <w:rFonts w:ascii="Arial Narrow" w:hAnsi="Arial Narrow"/>
                <w:color w:val="333333"/>
                <w:sz w:val="20"/>
                <w:szCs w:val="20"/>
              </w:rPr>
            </w:pPr>
            <w:r w:rsidRPr="00733D17">
              <w:rPr>
                <w:rFonts w:ascii="Arial Narrow" w:hAnsi="Arial Narrow"/>
                <w:color w:val="333333"/>
                <w:sz w:val="20"/>
                <w:szCs w:val="20"/>
              </w:rPr>
              <w:t>(i) failure to achieve a haematological response after a minimum of 3 months therapy; or</w:t>
            </w:r>
          </w:p>
          <w:p w14:paraId="6209AA36" w14:textId="77777777" w:rsidR="00AB71A7" w:rsidRPr="00733D17" w:rsidRDefault="00AB71A7" w:rsidP="00AB71A7">
            <w:pPr>
              <w:jc w:val="left"/>
              <w:rPr>
                <w:rFonts w:ascii="Arial Narrow" w:hAnsi="Arial Narrow"/>
                <w:color w:val="333333"/>
                <w:sz w:val="20"/>
                <w:szCs w:val="20"/>
              </w:rPr>
            </w:pPr>
            <w:r w:rsidRPr="00733D17">
              <w:rPr>
                <w:rFonts w:ascii="Arial Narrow" w:hAnsi="Arial Narrow"/>
                <w:color w:val="333333"/>
                <w:sz w:val="20"/>
                <w:szCs w:val="20"/>
              </w:rPr>
              <w:t>(ii) failure to achieve any cytogenetic response after a minimum of 6 months therapy as demonstrated on bone marrow biopsy by presence of greater than 95% Philadelphia chromosome positive (Ph+) cells; or</w:t>
            </w:r>
          </w:p>
          <w:p w14:paraId="27D3D70D" w14:textId="77777777" w:rsidR="00AB71A7" w:rsidRPr="00733D17" w:rsidRDefault="00AB71A7" w:rsidP="00AB71A7">
            <w:pPr>
              <w:jc w:val="left"/>
              <w:rPr>
                <w:rFonts w:ascii="Arial Narrow" w:hAnsi="Arial Narrow"/>
                <w:color w:val="333333"/>
                <w:sz w:val="20"/>
                <w:szCs w:val="20"/>
              </w:rPr>
            </w:pPr>
            <w:r w:rsidRPr="00733D17">
              <w:rPr>
                <w:rFonts w:ascii="Arial Narrow" w:hAnsi="Arial Narrow"/>
                <w:color w:val="333333"/>
                <w:sz w:val="20"/>
                <w:szCs w:val="20"/>
              </w:rPr>
              <w:t>(iii) failure to achieve or maintain a major cytogenetic response or a peripheral blood BCR-ABL level of less than 1% after a minimum of 12 months therapy; OR</w:t>
            </w:r>
          </w:p>
          <w:p w14:paraId="04EDC3C0" w14:textId="77777777" w:rsidR="00AB71A7" w:rsidRPr="00733D17" w:rsidRDefault="00AB71A7" w:rsidP="00AB71A7">
            <w:pPr>
              <w:jc w:val="left"/>
              <w:rPr>
                <w:rFonts w:ascii="Arial Narrow" w:hAnsi="Arial Narrow"/>
                <w:color w:val="333333"/>
                <w:sz w:val="20"/>
                <w:szCs w:val="20"/>
              </w:rPr>
            </w:pPr>
          </w:p>
          <w:p w14:paraId="307B4ECE" w14:textId="77777777" w:rsidR="00AB71A7" w:rsidRPr="00733D17" w:rsidRDefault="00AB71A7" w:rsidP="00AB71A7">
            <w:pPr>
              <w:jc w:val="left"/>
              <w:rPr>
                <w:rFonts w:ascii="Arial Narrow" w:hAnsi="Arial Narrow"/>
                <w:color w:val="333333"/>
                <w:sz w:val="20"/>
                <w:szCs w:val="20"/>
              </w:rPr>
            </w:pPr>
            <w:r w:rsidRPr="00733D17">
              <w:rPr>
                <w:rFonts w:ascii="Arial Narrow" w:hAnsi="Arial Narrow"/>
                <w:color w:val="333333"/>
                <w:sz w:val="20"/>
                <w:szCs w:val="20"/>
              </w:rPr>
              <w:t>2. Loss of a previously documented major cytogenetic response (demonstrated by the presence of greater than 35% Ph+ cells on bone marrow biopsy), during ongoing tyrosine kinase inhibitor (TKI) therapy; OR</w:t>
            </w:r>
          </w:p>
          <w:p w14:paraId="058AF534" w14:textId="77777777" w:rsidR="00AB71A7" w:rsidRPr="00733D17" w:rsidRDefault="00AB71A7" w:rsidP="00AB71A7">
            <w:pPr>
              <w:jc w:val="left"/>
              <w:rPr>
                <w:rFonts w:ascii="Arial Narrow" w:hAnsi="Arial Narrow"/>
                <w:color w:val="333333"/>
                <w:sz w:val="20"/>
                <w:szCs w:val="20"/>
              </w:rPr>
            </w:pPr>
          </w:p>
          <w:p w14:paraId="3EED807E" w14:textId="77777777" w:rsidR="00AB71A7" w:rsidRPr="00733D17" w:rsidRDefault="00AB71A7" w:rsidP="00AB71A7">
            <w:pPr>
              <w:jc w:val="left"/>
              <w:rPr>
                <w:rFonts w:ascii="Arial Narrow" w:hAnsi="Arial Narrow"/>
                <w:color w:val="333333"/>
                <w:sz w:val="20"/>
                <w:szCs w:val="20"/>
              </w:rPr>
            </w:pPr>
            <w:r w:rsidRPr="00733D17">
              <w:rPr>
                <w:rFonts w:ascii="Arial Narrow" w:hAnsi="Arial Narrow"/>
                <w:color w:val="333333"/>
                <w:sz w:val="20"/>
                <w:szCs w:val="20"/>
              </w:rPr>
              <w:t>3. Loss of a previously demonstrated molecular response (demonstrated by peripheral blood BCR-ABL levels increasing consecutively in value by at least 5 fold to a level of greater than 0.1% confirmed on a subsequent test), during ongoing TKI therapy; OR</w:t>
            </w:r>
          </w:p>
          <w:p w14:paraId="386728E2" w14:textId="77777777" w:rsidR="00AB71A7" w:rsidRPr="00733D17" w:rsidRDefault="00AB71A7" w:rsidP="00AB71A7">
            <w:pPr>
              <w:jc w:val="left"/>
              <w:rPr>
                <w:rFonts w:ascii="Arial Narrow" w:hAnsi="Arial Narrow"/>
                <w:color w:val="333333"/>
                <w:sz w:val="20"/>
                <w:szCs w:val="20"/>
              </w:rPr>
            </w:pPr>
          </w:p>
          <w:p w14:paraId="68982809" w14:textId="5FC736C7" w:rsidR="00AB71A7" w:rsidRPr="00733D17" w:rsidRDefault="00AB71A7" w:rsidP="00AB71A7">
            <w:pPr>
              <w:jc w:val="left"/>
              <w:rPr>
                <w:rFonts w:ascii="Arial Narrow" w:hAnsi="Arial Narrow"/>
                <w:color w:val="333333"/>
                <w:sz w:val="20"/>
                <w:szCs w:val="20"/>
              </w:rPr>
            </w:pPr>
            <w:r w:rsidRPr="00733D17">
              <w:rPr>
                <w:rFonts w:ascii="Arial Narrow" w:hAnsi="Arial Narrow"/>
                <w:color w:val="333333"/>
                <w:sz w:val="20"/>
                <w:szCs w:val="20"/>
              </w:rPr>
              <w:t xml:space="preserve">4. Development of accelerated phase </w:t>
            </w:r>
            <w:r w:rsidRPr="002F3FB0">
              <w:rPr>
                <w:rFonts w:ascii="Arial Narrow" w:hAnsi="Arial Narrow"/>
                <w:color w:val="333333"/>
                <w:sz w:val="20"/>
                <w:szCs w:val="20"/>
              </w:rPr>
              <w:t>in a</w:t>
            </w:r>
            <w:r w:rsidRPr="00733D17">
              <w:rPr>
                <w:rFonts w:ascii="Arial Narrow" w:hAnsi="Arial Narrow"/>
                <w:color w:val="333333"/>
                <w:sz w:val="20"/>
                <w:szCs w:val="20"/>
              </w:rPr>
              <w:t xml:space="preserve"> patient previously prescribed a TKI for any phase of chronic myeloid leukaemia; OR</w:t>
            </w:r>
          </w:p>
          <w:p w14:paraId="43B8C07C" w14:textId="21BD3A81" w:rsidR="00EA23DA" w:rsidRPr="00733D17" w:rsidRDefault="00EA23DA" w:rsidP="00AB71A7">
            <w:pPr>
              <w:jc w:val="left"/>
              <w:rPr>
                <w:rFonts w:ascii="Arial Narrow" w:hAnsi="Arial Narrow"/>
                <w:color w:val="333333"/>
                <w:sz w:val="20"/>
                <w:szCs w:val="20"/>
              </w:rPr>
            </w:pPr>
          </w:p>
          <w:p w14:paraId="737A1817" w14:textId="460434FA" w:rsidR="00EA23DA" w:rsidRPr="00733D17" w:rsidRDefault="00BA4108" w:rsidP="00AB71A7">
            <w:pPr>
              <w:jc w:val="left"/>
              <w:rPr>
                <w:rFonts w:ascii="Arial Narrow" w:hAnsi="Arial Narrow"/>
                <w:color w:val="333333"/>
                <w:sz w:val="20"/>
                <w:szCs w:val="20"/>
              </w:rPr>
            </w:pPr>
            <w:r>
              <w:rPr>
                <w:rFonts w:ascii="Arial Narrow" w:hAnsi="Arial Narrow"/>
                <w:color w:val="333333"/>
                <w:sz w:val="20"/>
                <w:szCs w:val="20"/>
              </w:rPr>
              <w:t xml:space="preserve">5. </w:t>
            </w:r>
            <w:r w:rsidRPr="00BA4108">
              <w:rPr>
                <w:rFonts w:ascii="Arial Narrow" w:hAnsi="Arial Narrow"/>
                <w:color w:val="333333"/>
                <w:sz w:val="20"/>
                <w:szCs w:val="20"/>
              </w:rPr>
              <w:t xml:space="preserve">Disease progression (defined as a greater than or equal to 50% increase in peripheral white blood cell count, blast count, basophils or platelets) during </w:t>
            </w:r>
            <w:r>
              <w:rPr>
                <w:rFonts w:ascii="Arial Narrow" w:hAnsi="Arial Narrow"/>
                <w:color w:val="333333"/>
                <w:sz w:val="20"/>
                <w:szCs w:val="20"/>
              </w:rPr>
              <w:t>TKI</w:t>
            </w:r>
            <w:r w:rsidRPr="00BA4108">
              <w:rPr>
                <w:rFonts w:ascii="Arial Narrow" w:hAnsi="Arial Narrow"/>
                <w:color w:val="333333"/>
                <w:sz w:val="20"/>
                <w:szCs w:val="20"/>
              </w:rPr>
              <w:t xml:space="preserve"> therapy in patients with accelerated phase chronic myeloid leukaemia.</w:t>
            </w:r>
          </w:p>
          <w:p w14:paraId="3044DB7B" w14:textId="77777777" w:rsidR="00AB71A7" w:rsidRPr="00733D17" w:rsidRDefault="00AB71A7" w:rsidP="00AB71A7">
            <w:pPr>
              <w:jc w:val="left"/>
              <w:rPr>
                <w:rFonts w:ascii="Arial Narrow" w:hAnsi="Arial Narrow"/>
                <w:color w:val="333333"/>
                <w:sz w:val="20"/>
                <w:szCs w:val="20"/>
              </w:rPr>
            </w:pPr>
          </w:p>
          <w:p w14:paraId="5CA4BAF9" w14:textId="77777777" w:rsidR="00AB71A7" w:rsidRPr="00733D17" w:rsidRDefault="00AB71A7" w:rsidP="00AB71A7">
            <w:pPr>
              <w:jc w:val="left"/>
              <w:rPr>
                <w:rFonts w:ascii="Arial Narrow" w:hAnsi="Arial Narrow"/>
                <w:color w:val="333333"/>
                <w:sz w:val="20"/>
                <w:szCs w:val="20"/>
              </w:rPr>
            </w:pPr>
            <w:r w:rsidRPr="00733D17">
              <w:rPr>
                <w:rFonts w:ascii="Arial Narrow" w:hAnsi="Arial Narrow"/>
                <w:color w:val="333333"/>
                <w:sz w:val="20"/>
                <w:szCs w:val="20"/>
              </w:rPr>
              <w:t xml:space="preserve">Accelerated phase is defined by the presence of 1 or more of the following: </w:t>
            </w:r>
          </w:p>
          <w:p w14:paraId="36A5D2A0" w14:textId="77777777" w:rsidR="00AB71A7" w:rsidRPr="00733D17" w:rsidRDefault="00AB71A7" w:rsidP="00AB71A7">
            <w:pPr>
              <w:jc w:val="left"/>
              <w:rPr>
                <w:rFonts w:ascii="Arial Narrow" w:hAnsi="Arial Narrow"/>
                <w:color w:val="333333"/>
                <w:sz w:val="20"/>
                <w:szCs w:val="20"/>
              </w:rPr>
            </w:pPr>
            <w:r w:rsidRPr="00733D17">
              <w:rPr>
                <w:rFonts w:ascii="Arial Narrow" w:hAnsi="Arial Narrow"/>
                <w:color w:val="333333"/>
                <w:sz w:val="20"/>
                <w:szCs w:val="20"/>
              </w:rPr>
              <w:t>1. Percentage of blasts in the peripheral blood or bone marrow greater than or equal to 15% but less than 30%; or</w:t>
            </w:r>
          </w:p>
          <w:p w14:paraId="128E1ABF" w14:textId="77777777" w:rsidR="00AB71A7" w:rsidRPr="00733D17" w:rsidRDefault="00AB71A7" w:rsidP="00AB71A7">
            <w:pPr>
              <w:jc w:val="left"/>
              <w:rPr>
                <w:rFonts w:ascii="Arial Narrow" w:hAnsi="Arial Narrow"/>
                <w:color w:val="333333"/>
                <w:sz w:val="20"/>
                <w:szCs w:val="20"/>
              </w:rPr>
            </w:pPr>
          </w:p>
          <w:p w14:paraId="70A4C3F6" w14:textId="77777777" w:rsidR="00AB71A7" w:rsidRPr="00733D17" w:rsidRDefault="00AB71A7" w:rsidP="00AB71A7">
            <w:pPr>
              <w:jc w:val="left"/>
              <w:rPr>
                <w:rFonts w:ascii="Arial Narrow" w:hAnsi="Arial Narrow"/>
                <w:color w:val="333333"/>
                <w:sz w:val="20"/>
                <w:szCs w:val="20"/>
              </w:rPr>
            </w:pPr>
            <w:r w:rsidRPr="00733D17">
              <w:rPr>
                <w:rFonts w:ascii="Arial Narrow" w:hAnsi="Arial Narrow"/>
                <w:color w:val="333333"/>
                <w:sz w:val="20"/>
                <w:szCs w:val="20"/>
              </w:rPr>
              <w:t>2. Percentage of blasts plus promyelocytes in the peripheral blood or bone marrow greater than or equal to 30%, provided that blast count is less than 30%; or</w:t>
            </w:r>
          </w:p>
          <w:p w14:paraId="7BFEA581" w14:textId="77777777" w:rsidR="00AB71A7" w:rsidRPr="00733D17" w:rsidRDefault="00AB71A7" w:rsidP="00AB71A7">
            <w:pPr>
              <w:jc w:val="left"/>
              <w:rPr>
                <w:rFonts w:ascii="Arial Narrow" w:hAnsi="Arial Narrow"/>
                <w:color w:val="333333"/>
                <w:sz w:val="20"/>
                <w:szCs w:val="20"/>
              </w:rPr>
            </w:pPr>
          </w:p>
          <w:p w14:paraId="732050DA" w14:textId="77777777" w:rsidR="00AB71A7" w:rsidRPr="00733D17" w:rsidRDefault="00AB71A7" w:rsidP="00AB71A7">
            <w:pPr>
              <w:jc w:val="left"/>
              <w:rPr>
                <w:rFonts w:ascii="Arial Narrow" w:hAnsi="Arial Narrow"/>
                <w:color w:val="333333"/>
                <w:sz w:val="20"/>
                <w:szCs w:val="20"/>
              </w:rPr>
            </w:pPr>
            <w:r w:rsidRPr="00733D17">
              <w:rPr>
                <w:rFonts w:ascii="Arial Narrow" w:hAnsi="Arial Narrow"/>
                <w:color w:val="333333"/>
                <w:sz w:val="20"/>
                <w:szCs w:val="20"/>
              </w:rPr>
              <w:t>3. Peripheral basophils greater than or equal to 20%; or</w:t>
            </w:r>
          </w:p>
          <w:p w14:paraId="39CAB94D" w14:textId="77777777" w:rsidR="00AB71A7" w:rsidRPr="00733D17" w:rsidRDefault="00AB71A7" w:rsidP="00AB71A7">
            <w:pPr>
              <w:jc w:val="left"/>
              <w:rPr>
                <w:rFonts w:ascii="Arial Narrow" w:hAnsi="Arial Narrow"/>
                <w:color w:val="333333"/>
                <w:sz w:val="20"/>
                <w:szCs w:val="20"/>
              </w:rPr>
            </w:pPr>
          </w:p>
          <w:p w14:paraId="31338D6C" w14:textId="77777777" w:rsidR="00AB71A7" w:rsidRPr="00733D17" w:rsidRDefault="00AB71A7" w:rsidP="00AB71A7">
            <w:pPr>
              <w:jc w:val="left"/>
              <w:rPr>
                <w:rFonts w:ascii="Arial Narrow" w:hAnsi="Arial Narrow"/>
                <w:color w:val="333333"/>
                <w:sz w:val="20"/>
                <w:szCs w:val="20"/>
              </w:rPr>
            </w:pPr>
            <w:r w:rsidRPr="00733D17">
              <w:rPr>
                <w:rFonts w:ascii="Arial Narrow" w:hAnsi="Arial Narrow"/>
                <w:color w:val="333333"/>
                <w:sz w:val="20"/>
                <w:szCs w:val="20"/>
              </w:rPr>
              <w:t>4. Progressive splenomegaly to a size greater than or equal to 10 cm below the left costal margin to be confirmed on 2 occasions at least 4 weeks apart, or a greater than or equal to 50% increase in size below the left costal margin over 4 weeks; or</w:t>
            </w:r>
          </w:p>
          <w:p w14:paraId="21C548E5" w14:textId="77777777" w:rsidR="00AB71A7" w:rsidRPr="00733D17" w:rsidRDefault="00AB71A7" w:rsidP="00AB71A7">
            <w:pPr>
              <w:jc w:val="left"/>
              <w:rPr>
                <w:rFonts w:ascii="Arial Narrow" w:hAnsi="Arial Narrow"/>
                <w:color w:val="333333"/>
                <w:sz w:val="20"/>
                <w:szCs w:val="20"/>
              </w:rPr>
            </w:pPr>
          </w:p>
          <w:p w14:paraId="4197CDEA" w14:textId="64B7FE2D" w:rsidR="00AB71A7" w:rsidRPr="00FD3D2F" w:rsidRDefault="00AB71A7" w:rsidP="00FD3D2F">
            <w:pPr>
              <w:jc w:val="left"/>
              <w:rPr>
                <w:rFonts w:ascii="Arial Narrow" w:hAnsi="Arial Narrow"/>
                <w:color w:val="333333"/>
                <w:sz w:val="20"/>
                <w:szCs w:val="20"/>
              </w:rPr>
            </w:pPr>
            <w:r w:rsidRPr="00733D17">
              <w:rPr>
                <w:rFonts w:ascii="Arial Narrow" w:hAnsi="Arial Narrow"/>
                <w:color w:val="333333"/>
                <w:sz w:val="20"/>
                <w:szCs w:val="20"/>
              </w:rPr>
              <w:t>5. Karyotypic evolution (chromosomal abnormalities in addition to a single Philadelphia chromosome).</w:t>
            </w:r>
          </w:p>
        </w:tc>
      </w:tr>
      <w:tr w:rsidR="00AB71A7" w:rsidRPr="00E03D40" w14:paraId="5A8E52D1"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BF48F2A" w14:textId="06BFB0DD" w:rsidR="00AB71A7" w:rsidRPr="00733D17" w:rsidRDefault="00AB71A7" w:rsidP="00AB71A7">
            <w:pPr>
              <w:jc w:val="center"/>
              <w:rPr>
                <w:rFonts w:ascii="Arial Narrow" w:hAnsi="Arial Narrow"/>
                <w:color w:val="333333"/>
                <w:sz w:val="20"/>
                <w:szCs w:val="20"/>
              </w:rPr>
            </w:pPr>
          </w:p>
        </w:tc>
        <w:tc>
          <w:tcPr>
            <w:tcW w:w="8086" w:type="dxa"/>
            <w:gridSpan w:val="6"/>
            <w:vAlign w:val="center"/>
          </w:tcPr>
          <w:p w14:paraId="3024FFE5" w14:textId="77777777" w:rsidR="00AB71A7" w:rsidRPr="00733D17" w:rsidRDefault="00AB71A7" w:rsidP="00AB71A7">
            <w:pPr>
              <w:pStyle w:val="PBACbold"/>
              <w:rPr>
                <w:rFonts w:cstheme="minorBidi"/>
                <w:bCs/>
                <w:sz w:val="20"/>
                <w:szCs w:val="20"/>
              </w:rPr>
            </w:pPr>
            <w:r w:rsidRPr="00733D17">
              <w:rPr>
                <w:rFonts w:cstheme="minorBidi"/>
                <w:bCs/>
                <w:sz w:val="20"/>
                <w:szCs w:val="20"/>
              </w:rPr>
              <w:t xml:space="preserve">Administrative Advice: </w:t>
            </w:r>
          </w:p>
          <w:p w14:paraId="1679D287" w14:textId="6BF9F3E8" w:rsidR="001148C5" w:rsidRPr="00733D17" w:rsidRDefault="00AB71A7" w:rsidP="00AB71A7">
            <w:pPr>
              <w:jc w:val="left"/>
              <w:rPr>
                <w:rFonts w:ascii="Arial Narrow" w:hAnsi="Arial Narrow" w:cstheme="minorBidi"/>
                <w:sz w:val="20"/>
                <w:szCs w:val="20"/>
              </w:rPr>
            </w:pPr>
            <w:r w:rsidRPr="00733D17">
              <w:rPr>
                <w:rFonts w:ascii="Arial Narrow" w:hAnsi="Arial Narrow" w:cstheme="minorBidi"/>
                <w:sz w:val="20"/>
                <w:szCs w:val="20"/>
              </w:rPr>
              <w:lastRenderedPageBreak/>
              <w:t>Applications for authorisation under this restriction may be made in real time using the Online PBS Authorities system (see www.servicesaustralia.gov.au/HPOS) or by telephone by contacting Services</w:t>
            </w:r>
            <w:r w:rsidRPr="00733D17">
              <w:rPr>
                <w:rFonts w:ascii="Arial Narrow" w:hAnsi="Arial Narrow"/>
                <w:color w:val="333333"/>
                <w:sz w:val="20"/>
                <w:szCs w:val="20"/>
                <w:shd w:val="clear" w:color="auto" w:fill="FFFFFF"/>
              </w:rPr>
              <w:t xml:space="preserve"> </w:t>
            </w:r>
            <w:r w:rsidRPr="00733D17">
              <w:rPr>
                <w:rFonts w:ascii="Arial Narrow" w:hAnsi="Arial Narrow" w:cstheme="minorBidi"/>
                <w:sz w:val="20"/>
                <w:szCs w:val="20"/>
              </w:rPr>
              <w:t>Australia on 1800 700 270 (hours of operation 8 a.m. to 5 p.m. Monday to Friday).</w:t>
            </w:r>
          </w:p>
        </w:tc>
      </w:tr>
      <w:tr w:rsidR="001148C5" w:rsidRPr="00E03D40" w14:paraId="13EC72AE" w14:textId="77777777" w:rsidTr="003D404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A0476C8" w14:textId="77777777" w:rsidR="001148C5" w:rsidRPr="00733D17" w:rsidRDefault="001148C5" w:rsidP="00AB71A7">
            <w:pPr>
              <w:jc w:val="center"/>
              <w:rPr>
                <w:rFonts w:ascii="Arial Narrow" w:eastAsia="Calibri" w:hAnsi="Arial Narrow"/>
                <w:sz w:val="20"/>
                <w:szCs w:val="20"/>
              </w:rPr>
            </w:pPr>
          </w:p>
        </w:tc>
        <w:tc>
          <w:tcPr>
            <w:tcW w:w="8086" w:type="dxa"/>
            <w:gridSpan w:val="6"/>
            <w:vAlign w:val="center"/>
          </w:tcPr>
          <w:p w14:paraId="433123B6" w14:textId="77777777" w:rsidR="001148C5" w:rsidRPr="00733D17" w:rsidRDefault="001148C5" w:rsidP="00AB71A7">
            <w:pPr>
              <w:pStyle w:val="PBACbold"/>
              <w:rPr>
                <w:rFonts w:cstheme="minorBidi"/>
                <w:bCs/>
                <w:sz w:val="20"/>
                <w:szCs w:val="20"/>
              </w:rPr>
            </w:pPr>
            <w:r w:rsidRPr="00733D17">
              <w:rPr>
                <w:rFonts w:cstheme="minorBidi"/>
                <w:bCs/>
                <w:sz w:val="20"/>
                <w:szCs w:val="20"/>
              </w:rPr>
              <w:t>Administrative Advice:</w:t>
            </w:r>
          </w:p>
          <w:p w14:paraId="384D98D2" w14:textId="3B0C5827" w:rsidR="001148C5" w:rsidRPr="00733D17" w:rsidRDefault="001148C5" w:rsidP="00AB71A7">
            <w:pPr>
              <w:pStyle w:val="PBACbold"/>
              <w:rPr>
                <w:rFonts w:cstheme="minorBidi"/>
                <w:b w:val="0"/>
                <w:sz w:val="20"/>
                <w:szCs w:val="20"/>
              </w:rPr>
            </w:pPr>
            <w:r w:rsidRPr="00733D17">
              <w:rPr>
                <w:rFonts w:cstheme="minorBidi"/>
                <w:b w:val="0"/>
                <w:sz w:val="20"/>
                <w:szCs w:val="20"/>
              </w:rPr>
              <w:t>Patients are eligible for PBS-subsidised treatment with only one TKI agent at any one time and must not be receiving concomitant interferon alfa therapy. Eligible patients may only swap between TKI agents if they have not failed prior PBS-subsidised treatment with that agent.</w:t>
            </w:r>
          </w:p>
        </w:tc>
      </w:tr>
    </w:tbl>
    <w:p w14:paraId="7E9DB7A4" w14:textId="72CB53E0" w:rsidR="004837E1" w:rsidRPr="00263443" w:rsidRDefault="004837E1" w:rsidP="000715F6">
      <w:pPr>
        <w:pStyle w:val="3-BodyText"/>
        <w:numPr>
          <w:ilvl w:val="0"/>
          <w:numId w:val="0"/>
        </w:numPr>
        <w:spacing w:after="0"/>
        <w:rPr>
          <w:b/>
          <w:bCs/>
        </w:rPr>
      </w:pPr>
    </w:p>
    <w:p w14:paraId="4123CDDC" w14:textId="193AB72E" w:rsidR="004837E1" w:rsidRPr="009802FB" w:rsidRDefault="004837E1" w:rsidP="00F12A1F">
      <w:pPr>
        <w:pStyle w:val="3-BodyText"/>
        <w:numPr>
          <w:ilvl w:val="0"/>
          <w:numId w:val="0"/>
        </w:numPr>
        <w:spacing w:after="0"/>
        <w:rPr>
          <w:rFonts w:ascii="Arial Narrow" w:hAnsi="Arial Narrow"/>
          <w:sz w:val="20"/>
          <w:szCs w:val="20"/>
        </w:rPr>
      </w:pPr>
      <w:r w:rsidRPr="00263443">
        <w:rPr>
          <w:rFonts w:ascii="Arial Narrow" w:hAnsi="Arial Narrow"/>
          <w:sz w:val="20"/>
          <w:szCs w:val="20"/>
        </w:rPr>
        <w:t>Continu</w:t>
      </w:r>
      <w:r w:rsidR="00F12A1F" w:rsidRPr="00263443">
        <w:rPr>
          <w:rFonts w:ascii="Arial Narrow" w:hAnsi="Arial Narrow"/>
          <w:sz w:val="20"/>
          <w:szCs w:val="20"/>
        </w:rPr>
        <w:t>ing</w:t>
      </w:r>
      <w:r w:rsidRPr="00263443">
        <w:rPr>
          <w:rFonts w:ascii="Arial Narrow" w:hAnsi="Arial Narrow"/>
          <w:sz w:val="20"/>
          <w:szCs w:val="20"/>
        </w:rPr>
        <w:t xml:space="preserve"> Treatment</w:t>
      </w:r>
      <w:r w:rsidRPr="009802FB">
        <w:rPr>
          <w:rFonts w:ascii="Arial Narrow" w:hAnsi="Arial Narrow"/>
          <w:sz w:val="20"/>
          <w:szCs w:val="20"/>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0"/>
        <w:gridCol w:w="491"/>
        <w:gridCol w:w="8086"/>
      </w:tblGrid>
      <w:tr w:rsidR="004837E1" w:rsidRPr="00733D17" w14:paraId="4CCE12A9" w14:textId="77777777" w:rsidTr="00F917FC">
        <w:tc>
          <w:tcPr>
            <w:tcW w:w="9067" w:type="dxa"/>
            <w:gridSpan w:val="3"/>
            <w:tcBorders>
              <w:top w:val="single" w:sz="4" w:space="0" w:color="auto"/>
              <w:left w:val="single" w:sz="4" w:space="0" w:color="auto"/>
              <w:right w:val="single" w:sz="4" w:space="0" w:color="auto"/>
            </w:tcBorders>
          </w:tcPr>
          <w:p w14:paraId="6E339AFF" w14:textId="77777777" w:rsidR="004837E1" w:rsidRPr="00733D17" w:rsidRDefault="004837E1" w:rsidP="003D4043">
            <w:pPr>
              <w:rPr>
                <w:rFonts w:ascii="Arial Narrow" w:hAnsi="Arial Narrow" w:cs="Arial"/>
                <w:b/>
                <w:sz w:val="20"/>
                <w:szCs w:val="20"/>
              </w:rPr>
            </w:pPr>
            <w:r w:rsidRPr="00733D17">
              <w:rPr>
                <w:rFonts w:ascii="Arial Narrow" w:hAnsi="Arial Narrow"/>
                <w:b/>
                <w:sz w:val="20"/>
                <w:szCs w:val="20"/>
              </w:rPr>
              <w:t xml:space="preserve">Restriction Summary [new]  / Treatment of Concept: [new] </w:t>
            </w:r>
          </w:p>
        </w:tc>
      </w:tr>
      <w:tr w:rsidR="004837E1" w:rsidRPr="00733D17" w14:paraId="7E1102A7" w14:textId="77777777" w:rsidTr="00F917FC">
        <w:tc>
          <w:tcPr>
            <w:tcW w:w="981" w:type="dxa"/>
            <w:gridSpan w:val="2"/>
            <w:vMerge w:val="restart"/>
            <w:tcBorders>
              <w:top w:val="single" w:sz="4" w:space="0" w:color="auto"/>
              <w:left w:val="single" w:sz="4" w:space="0" w:color="auto"/>
              <w:right w:val="single" w:sz="4" w:space="0" w:color="auto"/>
            </w:tcBorders>
          </w:tcPr>
          <w:p w14:paraId="07BB3A1E" w14:textId="77777777" w:rsidR="004837E1" w:rsidRPr="00733D17" w:rsidRDefault="004837E1" w:rsidP="00075C73">
            <w:pPr>
              <w:jc w:val="center"/>
              <w:rPr>
                <w:rFonts w:ascii="Arial Narrow" w:hAnsi="Arial Narrow" w:cs="Arial"/>
                <w:b/>
                <w:sz w:val="20"/>
                <w:szCs w:val="20"/>
              </w:rPr>
            </w:pPr>
          </w:p>
        </w:tc>
        <w:tc>
          <w:tcPr>
            <w:tcW w:w="8086" w:type="dxa"/>
            <w:tcBorders>
              <w:top w:val="single" w:sz="4" w:space="0" w:color="auto"/>
              <w:left w:val="single" w:sz="4" w:space="0" w:color="auto"/>
              <w:bottom w:val="single" w:sz="4" w:space="0" w:color="auto"/>
              <w:right w:val="single" w:sz="4" w:space="0" w:color="auto"/>
            </w:tcBorders>
          </w:tcPr>
          <w:p w14:paraId="0F59AB65" w14:textId="14DCACBF" w:rsidR="004837E1" w:rsidRPr="00733D17" w:rsidRDefault="004837E1" w:rsidP="003D4043">
            <w:pPr>
              <w:rPr>
                <w:rFonts w:ascii="Arial Narrow" w:hAnsi="Arial Narrow" w:cs="Arial"/>
                <w:sz w:val="20"/>
                <w:szCs w:val="20"/>
              </w:rPr>
            </w:pPr>
            <w:r w:rsidRPr="00733D17">
              <w:rPr>
                <w:rFonts w:ascii="Arial Narrow" w:hAnsi="Arial Narrow" w:cs="Arial"/>
                <w:b/>
                <w:sz w:val="20"/>
                <w:szCs w:val="20"/>
              </w:rPr>
              <w:t xml:space="preserve">Category / Program:   </w:t>
            </w:r>
            <w:r w:rsidRPr="00733D17">
              <w:rPr>
                <w:rFonts w:ascii="Arial Narrow" w:hAnsi="Arial Narrow" w:cs="Arial"/>
                <w:sz w:val="20"/>
                <w:szCs w:val="20"/>
              </w:rPr>
              <w:t>GENERAL – General Schedule (Code GE)</w:t>
            </w:r>
            <w:r w:rsidRPr="00733D17">
              <w:rPr>
                <w:rFonts w:ascii="Arial Narrow" w:hAnsi="Arial Narrow" w:cs="Arial"/>
                <w:color w:val="FF0000"/>
                <w:sz w:val="20"/>
                <w:szCs w:val="20"/>
              </w:rPr>
              <w:t xml:space="preserve"> </w:t>
            </w:r>
          </w:p>
        </w:tc>
      </w:tr>
      <w:tr w:rsidR="004837E1" w:rsidRPr="00733D17" w14:paraId="742AC1C0" w14:textId="77777777" w:rsidTr="00F917FC">
        <w:trPr>
          <w:trHeight w:val="240"/>
        </w:trPr>
        <w:tc>
          <w:tcPr>
            <w:tcW w:w="981" w:type="dxa"/>
            <w:gridSpan w:val="2"/>
            <w:vMerge/>
            <w:tcBorders>
              <w:left w:val="single" w:sz="4" w:space="0" w:color="auto"/>
              <w:right w:val="single" w:sz="4" w:space="0" w:color="auto"/>
            </w:tcBorders>
          </w:tcPr>
          <w:p w14:paraId="6D9FAD03" w14:textId="77777777" w:rsidR="004837E1" w:rsidRPr="00733D17" w:rsidRDefault="004837E1" w:rsidP="003D4043">
            <w:pPr>
              <w:rPr>
                <w:rFonts w:ascii="Arial Narrow" w:hAnsi="Arial Narrow" w:cs="Arial"/>
                <w:sz w:val="20"/>
                <w:szCs w:val="20"/>
              </w:rPr>
            </w:pPr>
          </w:p>
        </w:tc>
        <w:tc>
          <w:tcPr>
            <w:tcW w:w="8086" w:type="dxa"/>
            <w:tcBorders>
              <w:top w:val="single" w:sz="4" w:space="0" w:color="auto"/>
              <w:left w:val="single" w:sz="4" w:space="0" w:color="auto"/>
              <w:bottom w:val="single" w:sz="4" w:space="0" w:color="auto"/>
              <w:right w:val="single" w:sz="4" w:space="0" w:color="auto"/>
            </w:tcBorders>
          </w:tcPr>
          <w:p w14:paraId="21BD3F1B" w14:textId="77777777" w:rsidR="004837E1" w:rsidRPr="00733D17" w:rsidRDefault="004837E1" w:rsidP="003D4043">
            <w:pPr>
              <w:rPr>
                <w:rFonts w:ascii="Arial Narrow" w:hAnsi="Arial Narrow" w:cs="Arial"/>
                <w:b/>
                <w:sz w:val="20"/>
                <w:szCs w:val="20"/>
              </w:rPr>
            </w:pPr>
            <w:r w:rsidRPr="00733D17">
              <w:rPr>
                <w:rFonts w:ascii="Arial Narrow" w:hAnsi="Arial Narrow" w:cs="Arial"/>
                <w:b/>
                <w:sz w:val="20"/>
                <w:szCs w:val="20"/>
              </w:rPr>
              <w:t>Prescriber type:</w:t>
            </w:r>
            <w:r w:rsidRPr="00733D17">
              <w:rPr>
                <w:rFonts w:ascii="Arial Narrow" w:hAnsi="Arial Narrow" w:cs="Arial"/>
                <w:sz w:val="20"/>
                <w:szCs w:val="20"/>
              </w:rPr>
              <w:t xml:space="preserve">    </w:t>
            </w:r>
            <w:r w:rsidRPr="00733D17">
              <w:rPr>
                <w:rFonts w:ascii="Arial Narrow" w:hAnsi="Arial Narrow" w:cs="Arial"/>
                <w:sz w:val="20"/>
                <w:szCs w:val="20"/>
              </w:rPr>
              <w:fldChar w:fldCharType="begin" w:fldLock="1">
                <w:ffData>
                  <w:name w:val=""/>
                  <w:enabled/>
                  <w:calcOnExit w:val="0"/>
                  <w:checkBox>
                    <w:sizeAuto/>
                    <w:default w:val="1"/>
                  </w:checkBox>
                </w:ffData>
              </w:fldChar>
            </w:r>
            <w:r w:rsidRPr="00733D17">
              <w:rPr>
                <w:rFonts w:ascii="Arial Narrow" w:hAnsi="Arial Narrow" w:cs="Arial"/>
                <w:sz w:val="20"/>
                <w:szCs w:val="20"/>
              </w:rPr>
              <w:instrText xml:space="preserve"> FORMCHECKBOX </w:instrText>
            </w:r>
            <w:r w:rsidR="00E53C72">
              <w:rPr>
                <w:rFonts w:ascii="Arial Narrow" w:hAnsi="Arial Narrow" w:cs="Arial"/>
                <w:sz w:val="20"/>
                <w:szCs w:val="20"/>
              </w:rPr>
            </w:r>
            <w:r w:rsidR="00E53C72">
              <w:rPr>
                <w:rFonts w:ascii="Arial Narrow" w:hAnsi="Arial Narrow" w:cs="Arial"/>
                <w:sz w:val="20"/>
                <w:szCs w:val="20"/>
              </w:rPr>
              <w:fldChar w:fldCharType="separate"/>
            </w:r>
            <w:r w:rsidRPr="00733D17">
              <w:rPr>
                <w:rFonts w:ascii="Arial Narrow" w:hAnsi="Arial Narrow" w:cs="Arial"/>
                <w:sz w:val="20"/>
                <w:szCs w:val="20"/>
              </w:rPr>
              <w:fldChar w:fldCharType="end"/>
            </w:r>
            <w:r w:rsidRPr="00733D17">
              <w:rPr>
                <w:rFonts w:ascii="Arial Narrow" w:hAnsi="Arial Narrow" w:cs="Arial"/>
                <w:sz w:val="20"/>
                <w:szCs w:val="20"/>
              </w:rPr>
              <w:t xml:space="preserve">Medical Practitioners </w:t>
            </w:r>
          </w:p>
        </w:tc>
      </w:tr>
      <w:tr w:rsidR="004837E1" w:rsidRPr="00733D17" w14:paraId="207C5635" w14:textId="77777777" w:rsidTr="00F917FC">
        <w:tc>
          <w:tcPr>
            <w:tcW w:w="981" w:type="dxa"/>
            <w:gridSpan w:val="2"/>
            <w:vMerge/>
            <w:tcBorders>
              <w:left w:val="single" w:sz="4" w:space="0" w:color="auto"/>
              <w:bottom w:val="single" w:sz="4" w:space="0" w:color="auto"/>
              <w:right w:val="single" w:sz="4" w:space="0" w:color="auto"/>
            </w:tcBorders>
          </w:tcPr>
          <w:p w14:paraId="2757E5E0" w14:textId="77777777" w:rsidR="004837E1" w:rsidRPr="00733D17" w:rsidRDefault="004837E1" w:rsidP="003D4043">
            <w:pPr>
              <w:rPr>
                <w:rFonts w:ascii="Arial Narrow" w:hAnsi="Arial Narrow" w:cs="Arial"/>
                <w:sz w:val="20"/>
                <w:szCs w:val="20"/>
              </w:rPr>
            </w:pPr>
          </w:p>
        </w:tc>
        <w:tc>
          <w:tcPr>
            <w:tcW w:w="8086" w:type="dxa"/>
            <w:tcBorders>
              <w:top w:val="single" w:sz="4" w:space="0" w:color="auto"/>
              <w:left w:val="single" w:sz="4" w:space="0" w:color="auto"/>
              <w:bottom w:val="single" w:sz="4" w:space="0" w:color="auto"/>
              <w:right w:val="single" w:sz="4" w:space="0" w:color="auto"/>
            </w:tcBorders>
          </w:tcPr>
          <w:p w14:paraId="721A976A" w14:textId="77777777" w:rsidR="004837E1" w:rsidRPr="00733D17" w:rsidRDefault="004837E1" w:rsidP="003D4043">
            <w:pPr>
              <w:rPr>
                <w:rFonts w:ascii="Arial Narrow" w:hAnsi="Arial Narrow" w:cs="Arial"/>
                <w:b/>
                <w:sz w:val="20"/>
                <w:szCs w:val="20"/>
              </w:rPr>
            </w:pPr>
            <w:r w:rsidRPr="00733D17">
              <w:rPr>
                <w:rFonts w:ascii="Arial Narrow" w:hAnsi="Arial Narrow" w:cs="Arial"/>
                <w:b/>
                <w:sz w:val="20"/>
                <w:szCs w:val="20"/>
              </w:rPr>
              <w:t xml:space="preserve">Restriction type: </w:t>
            </w:r>
          </w:p>
          <w:p w14:paraId="012FC3EF" w14:textId="77777777" w:rsidR="004837E1" w:rsidRPr="00733D17" w:rsidRDefault="004837E1" w:rsidP="003D4043">
            <w:pPr>
              <w:rPr>
                <w:rFonts w:ascii="Arial Narrow" w:eastAsia="Calibri" w:hAnsi="Arial Narrow" w:cs="Arial"/>
                <w:color w:val="FF0000"/>
                <w:sz w:val="20"/>
                <w:szCs w:val="20"/>
              </w:rPr>
            </w:pPr>
            <w:r w:rsidRPr="00733D17">
              <w:rPr>
                <w:rFonts w:ascii="Arial Narrow" w:eastAsia="Calibri" w:hAnsi="Arial Narrow" w:cs="Arial"/>
                <w:sz w:val="20"/>
                <w:szCs w:val="20"/>
              </w:rPr>
              <w:fldChar w:fldCharType="begin" w:fldLock="1">
                <w:ffData>
                  <w:name w:val=""/>
                  <w:enabled/>
                  <w:calcOnExit w:val="0"/>
                  <w:checkBox>
                    <w:sizeAuto/>
                    <w:default w:val="1"/>
                  </w:checkBox>
                </w:ffData>
              </w:fldChar>
            </w:r>
            <w:r w:rsidRPr="00733D17">
              <w:rPr>
                <w:rFonts w:ascii="Arial Narrow" w:eastAsia="Calibri" w:hAnsi="Arial Narrow" w:cs="Arial"/>
                <w:sz w:val="20"/>
                <w:szCs w:val="20"/>
              </w:rPr>
              <w:instrText xml:space="preserve"> FORMCHECKBOX </w:instrText>
            </w:r>
            <w:r w:rsidR="00E53C72">
              <w:rPr>
                <w:rFonts w:ascii="Arial Narrow" w:eastAsia="Calibri" w:hAnsi="Arial Narrow" w:cs="Arial"/>
                <w:sz w:val="20"/>
                <w:szCs w:val="20"/>
              </w:rPr>
            </w:r>
            <w:r w:rsidR="00E53C72">
              <w:rPr>
                <w:rFonts w:ascii="Arial Narrow" w:eastAsia="Calibri" w:hAnsi="Arial Narrow" w:cs="Arial"/>
                <w:sz w:val="20"/>
                <w:szCs w:val="20"/>
              </w:rPr>
              <w:fldChar w:fldCharType="separate"/>
            </w:r>
            <w:r w:rsidRPr="00733D17">
              <w:rPr>
                <w:rFonts w:ascii="Arial Narrow" w:eastAsia="Calibri" w:hAnsi="Arial Narrow" w:cs="Arial"/>
                <w:sz w:val="20"/>
                <w:szCs w:val="20"/>
              </w:rPr>
              <w:fldChar w:fldCharType="end"/>
            </w:r>
            <w:r w:rsidRPr="00733D17">
              <w:rPr>
                <w:rFonts w:ascii="Arial Narrow" w:eastAsia="Calibri" w:hAnsi="Arial Narrow" w:cs="Arial"/>
                <w:sz w:val="20"/>
                <w:szCs w:val="20"/>
              </w:rPr>
              <w:t>Authority Required (streamlined) [new/existing code]</w:t>
            </w:r>
          </w:p>
        </w:tc>
      </w:tr>
      <w:tr w:rsidR="004837E1" w:rsidRPr="00733D17" w14:paraId="53378C9F" w14:textId="77777777" w:rsidTr="00F917FC">
        <w:trPr>
          <w:trHeight w:val="392"/>
        </w:trPr>
        <w:tc>
          <w:tcPr>
            <w:tcW w:w="490" w:type="dxa"/>
            <w:vMerge w:val="restart"/>
            <w:tcBorders>
              <w:left w:val="single" w:sz="4" w:space="0" w:color="auto"/>
              <w:right w:val="single" w:sz="4" w:space="0" w:color="auto"/>
            </w:tcBorders>
            <w:textDirection w:val="btLr"/>
          </w:tcPr>
          <w:p w14:paraId="5D03F370" w14:textId="77777777" w:rsidR="004837E1" w:rsidRPr="00733D17" w:rsidRDefault="004837E1" w:rsidP="003D4043">
            <w:pPr>
              <w:ind w:left="113" w:right="113"/>
              <w:rPr>
                <w:rFonts w:ascii="Arial Narrow" w:hAnsi="Arial Narrow" w:cs="Arial"/>
                <w:sz w:val="20"/>
                <w:szCs w:val="20"/>
              </w:rPr>
            </w:pPr>
            <w:r w:rsidRPr="00733D17">
              <w:rPr>
                <w:rFonts w:ascii="Arial Narrow" w:hAnsi="Arial Narrow" w:cs="Arial"/>
                <w:sz w:val="20"/>
                <w:szCs w:val="20"/>
              </w:rPr>
              <w:t>Prescribing rule level</w:t>
            </w:r>
          </w:p>
        </w:tc>
        <w:tc>
          <w:tcPr>
            <w:tcW w:w="491" w:type="dxa"/>
            <w:vAlign w:val="center"/>
          </w:tcPr>
          <w:p w14:paraId="7B9F0044" w14:textId="0A47AD36" w:rsidR="004837E1" w:rsidRPr="00733D17" w:rsidRDefault="004837E1" w:rsidP="003D4043">
            <w:pPr>
              <w:jc w:val="center"/>
              <w:rPr>
                <w:rFonts w:ascii="Arial Narrow" w:hAnsi="Arial Narrow" w:cs="Arial"/>
                <w:sz w:val="20"/>
                <w:szCs w:val="20"/>
              </w:rPr>
            </w:pPr>
          </w:p>
        </w:tc>
        <w:tc>
          <w:tcPr>
            <w:tcW w:w="8086" w:type="dxa"/>
            <w:vAlign w:val="center"/>
          </w:tcPr>
          <w:p w14:paraId="1DDA1A81" w14:textId="77777777" w:rsidR="004837E1" w:rsidRPr="00733D17" w:rsidRDefault="004837E1" w:rsidP="003D4043">
            <w:pPr>
              <w:rPr>
                <w:rFonts w:ascii="Arial Narrow" w:hAnsi="Arial Narrow" w:cs="Arial"/>
                <w:b/>
                <w:bCs/>
                <w:sz w:val="20"/>
                <w:szCs w:val="20"/>
              </w:rPr>
            </w:pPr>
            <w:r w:rsidRPr="00733D17">
              <w:rPr>
                <w:rFonts w:ascii="Arial Narrow" w:hAnsi="Arial Narrow" w:cs="Arial"/>
                <w:b/>
                <w:bCs/>
                <w:sz w:val="20"/>
                <w:szCs w:val="20"/>
              </w:rPr>
              <w:t xml:space="preserve">Administrative Advice: </w:t>
            </w:r>
            <w:r w:rsidRPr="00733D17">
              <w:rPr>
                <w:rFonts w:ascii="Arial Narrow" w:hAnsi="Arial Narrow" w:cs="Arial"/>
                <w:sz w:val="20"/>
                <w:szCs w:val="20"/>
              </w:rPr>
              <w:t>No increase in the maximum quantity or number of units may be authorised.</w:t>
            </w:r>
          </w:p>
        </w:tc>
      </w:tr>
      <w:tr w:rsidR="004837E1" w:rsidRPr="00733D17" w14:paraId="528576C2" w14:textId="77777777" w:rsidTr="00F917FC">
        <w:trPr>
          <w:trHeight w:val="40"/>
        </w:trPr>
        <w:tc>
          <w:tcPr>
            <w:tcW w:w="490" w:type="dxa"/>
            <w:vMerge/>
            <w:tcBorders>
              <w:left w:val="single" w:sz="4" w:space="0" w:color="auto"/>
              <w:right w:val="single" w:sz="4" w:space="0" w:color="auto"/>
            </w:tcBorders>
            <w:textDirection w:val="btLr"/>
          </w:tcPr>
          <w:p w14:paraId="151A8DBA" w14:textId="77777777" w:rsidR="004837E1" w:rsidRPr="00733D17" w:rsidRDefault="004837E1" w:rsidP="003D4043">
            <w:pPr>
              <w:ind w:left="113" w:right="113"/>
              <w:rPr>
                <w:rFonts w:ascii="Arial Narrow" w:hAnsi="Arial Narrow" w:cs="Arial"/>
                <w:sz w:val="20"/>
                <w:szCs w:val="20"/>
              </w:rPr>
            </w:pPr>
          </w:p>
        </w:tc>
        <w:tc>
          <w:tcPr>
            <w:tcW w:w="491" w:type="dxa"/>
            <w:vAlign w:val="center"/>
          </w:tcPr>
          <w:p w14:paraId="36BBC381" w14:textId="7ACC95B4" w:rsidR="004837E1" w:rsidRPr="00733D17" w:rsidRDefault="004837E1" w:rsidP="003D4043">
            <w:pPr>
              <w:jc w:val="center"/>
              <w:rPr>
                <w:rFonts w:ascii="Arial Narrow" w:hAnsi="Arial Narrow" w:cs="Arial"/>
                <w:sz w:val="20"/>
                <w:szCs w:val="20"/>
              </w:rPr>
            </w:pPr>
          </w:p>
        </w:tc>
        <w:tc>
          <w:tcPr>
            <w:tcW w:w="8086" w:type="dxa"/>
            <w:vAlign w:val="center"/>
          </w:tcPr>
          <w:p w14:paraId="5C4808C6" w14:textId="77777777" w:rsidR="004837E1" w:rsidRPr="00733D17" w:rsidRDefault="004837E1" w:rsidP="003D4043">
            <w:pPr>
              <w:rPr>
                <w:rFonts w:ascii="Arial Narrow" w:hAnsi="Arial Narrow" w:cs="Arial"/>
                <w:b/>
                <w:bCs/>
                <w:sz w:val="20"/>
                <w:szCs w:val="20"/>
              </w:rPr>
            </w:pPr>
            <w:r w:rsidRPr="00733D17">
              <w:rPr>
                <w:rFonts w:ascii="Arial Narrow" w:hAnsi="Arial Narrow" w:cs="Arial"/>
                <w:b/>
                <w:bCs/>
                <w:sz w:val="20"/>
                <w:szCs w:val="20"/>
              </w:rPr>
              <w:t xml:space="preserve">Administrative Advice: </w:t>
            </w:r>
            <w:r w:rsidRPr="00733D17">
              <w:rPr>
                <w:rFonts w:ascii="Arial Narrow" w:hAnsi="Arial Narrow" w:cs="Arial"/>
                <w:sz w:val="20"/>
                <w:szCs w:val="20"/>
              </w:rPr>
              <w:t>No increase in the maximum number of repeats may be authorised.</w:t>
            </w:r>
          </w:p>
        </w:tc>
      </w:tr>
      <w:tr w:rsidR="004837E1" w:rsidRPr="00733D17" w14:paraId="5CF223CF" w14:textId="77777777" w:rsidTr="00FD3D2F">
        <w:trPr>
          <w:trHeight w:val="356"/>
        </w:trPr>
        <w:tc>
          <w:tcPr>
            <w:tcW w:w="490" w:type="dxa"/>
            <w:vMerge/>
            <w:tcBorders>
              <w:left w:val="single" w:sz="4" w:space="0" w:color="auto"/>
              <w:right w:val="single" w:sz="4" w:space="0" w:color="auto"/>
            </w:tcBorders>
            <w:textDirection w:val="btLr"/>
          </w:tcPr>
          <w:p w14:paraId="6529E0B8" w14:textId="77777777" w:rsidR="004837E1" w:rsidRPr="00733D17" w:rsidRDefault="004837E1" w:rsidP="003D4043">
            <w:pPr>
              <w:ind w:left="113" w:right="113"/>
              <w:rPr>
                <w:rFonts w:ascii="Arial Narrow" w:hAnsi="Arial Narrow" w:cs="Arial"/>
                <w:sz w:val="20"/>
                <w:szCs w:val="20"/>
              </w:rPr>
            </w:pPr>
          </w:p>
        </w:tc>
        <w:tc>
          <w:tcPr>
            <w:tcW w:w="491" w:type="dxa"/>
            <w:vAlign w:val="center"/>
          </w:tcPr>
          <w:p w14:paraId="129ED06F" w14:textId="15981739" w:rsidR="004837E1" w:rsidRPr="00733D17" w:rsidRDefault="004837E1" w:rsidP="003D4043">
            <w:pPr>
              <w:jc w:val="center"/>
              <w:rPr>
                <w:rFonts w:ascii="Arial Narrow" w:hAnsi="Arial Narrow"/>
                <w:color w:val="333333"/>
                <w:sz w:val="20"/>
                <w:szCs w:val="20"/>
              </w:rPr>
            </w:pPr>
          </w:p>
        </w:tc>
        <w:tc>
          <w:tcPr>
            <w:tcW w:w="8086" w:type="dxa"/>
            <w:vAlign w:val="center"/>
          </w:tcPr>
          <w:p w14:paraId="71AEE0C7" w14:textId="77777777" w:rsidR="004837E1" w:rsidRPr="00733D17" w:rsidRDefault="004837E1" w:rsidP="003D4043">
            <w:pPr>
              <w:rPr>
                <w:rFonts w:ascii="Arial Narrow" w:hAnsi="Arial Narrow"/>
                <w:color w:val="333333"/>
                <w:sz w:val="20"/>
                <w:szCs w:val="20"/>
              </w:rPr>
            </w:pPr>
            <w:r w:rsidRPr="00733D17">
              <w:rPr>
                <w:rFonts w:ascii="Arial Narrow" w:hAnsi="Arial Narrow" w:cs="Arial"/>
                <w:b/>
                <w:bCs/>
                <w:sz w:val="20"/>
                <w:szCs w:val="20"/>
              </w:rPr>
              <w:t>Administrative Advice</w:t>
            </w:r>
            <w:r w:rsidRPr="00733D17">
              <w:rPr>
                <w:rFonts w:ascii="Arial Narrow" w:hAnsi="Arial Narrow" w:cs="Arial"/>
                <w:bCs/>
                <w:sz w:val="20"/>
                <w:szCs w:val="20"/>
              </w:rPr>
              <w:t xml:space="preserve">: </w:t>
            </w:r>
            <w:r w:rsidRPr="00733D17">
              <w:rPr>
                <w:rFonts w:ascii="Arial Narrow" w:hAnsi="Arial Narrow" w:cs="Arial"/>
                <w:sz w:val="20"/>
                <w:szCs w:val="20"/>
              </w:rPr>
              <w:t>Special Pricing Arrangements apply.</w:t>
            </w:r>
          </w:p>
        </w:tc>
      </w:tr>
      <w:tr w:rsidR="004837E1" w:rsidRPr="00733D17" w14:paraId="04FF4B49" w14:textId="77777777" w:rsidTr="00F917FC">
        <w:tc>
          <w:tcPr>
            <w:tcW w:w="981" w:type="dxa"/>
            <w:gridSpan w:val="2"/>
            <w:vMerge w:val="restart"/>
            <w:vAlign w:val="center"/>
          </w:tcPr>
          <w:p w14:paraId="5BE80D42" w14:textId="77777777" w:rsidR="004837E1" w:rsidRPr="00733D17" w:rsidRDefault="004837E1" w:rsidP="003D4043">
            <w:pPr>
              <w:jc w:val="center"/>
              <w:rPr>
                <w:rFonts w:ascii="Arial Narrow" w:hAnsi="Arial Narrow"/>
                <w:color w:val="333333"/>
                <w:sz w:val="20"/>
                <w:szCs w:val="20"/>
                <w:highlight w:val="yellow"/>
              </w:rPr>
            </w:pPr>
          </w:p>
        </w:tc>
        <w:tc>
          <w:tcPr>
            <w:tcW w:w="8086" w:type="dxa"/>
            <w:vAlign w:val="center"/>
          </w:tcPr>
          <w:p w14:paraId="70519648" w14:textId="77777777" w:rsidR="004837E1" w:rsidRPr="00733D17" w:rsidRDefault="004837E1" w:rsidP="003D4043">
            <w:pPr>
              <w:rPr>
                <w:rFonts w:ascii="Arial Narrow" w:hAnsi="Arial Narrow"/>
                <w:bCs/>
                <w:color w:val="A6A6A6" w:themeColor="background1" w:themeShade="A6"/>
                <w:sz w:val="20"/>
                <w:szCs w:val="20"/>
              </w:rPr>
            </w:pPr>
            <w:r w:rsidRPr="00733D17">
              <w:rPr>
                <w:rFonts w:ascii="Arial Narrow" w:hAnsi="Arial Narrow"/>
                <w:b/>
                <w:bCs/>
                <w:color w:val="A6A6A6" w:themeColor="background1" w:themeShade="A6"/>
                <w:sz w:val="20"/>
                <w:szCs w:val="20"/>
              </w:rPr>
              <w:t xml:space="preserve">Episodicity: </w:t>
            </w:r>
            <w:r w:rsidRPr="00733D17">
              <w:rPr>
                <w:rFonts w:ascii="Arial Narrow" w:hAnsi="Arial Narrow"/>
                <w:bCs/>
                <w:color w:val="A6A6A6" w:themeColor="background1" w:themeShade="A6"/>
                <w:sz w:val="20"/>
                <w:szCs w:val="20"/>
              </w:rPr>
              <w:t>Chronic</w:t>
            </w:r>
          </w:p>
        </w:tc>
      </w:tr>
      <w:tr w:rsidR="004837E1" w:rsidRPr="00733D17" w14:paraId="30B29116" w14:textId="77777777" w:rsidTr="00F917FC">
        <w:tc>
          <w:tcPr>
            <w:tcW w:w="981" w:type="dxa"/>
            <w:gridSpan w:val="2"/>
            <w:vMerge/>
            <w:vAlign w:val="center"/>
          </w:tcPr>
          <w:p w14:paraId="50F7DE33" w14:textId="77777777" w:rsidR="004837E1" w:rsidRPr="00733D17" w:rsidRDefault="004837E1" w:rsidP="003D4043">
            <w:pPr>
              <w:jc w:val="center"/>
              <w:rPr>
                <w:rFonts w:ascii="Arial Narrow" w:hAnsi="Arial Narrow"/>
                <w:color w:val="333333"/>
                <w:sz w:val="20"/>
                <w:szCs w:val="20"/>
                <w:highlight w:val="yellow"/>
              </w:rPr>
            </w:pPr>
          </w:p>
        </w:tc>
        <w:tc>
          <w:tcPr>
            <w:tcW w:w="8086" w:type="dxa"/>
            <w:vAlign w:val="center"/>
          </w:tcPr>
          <w:p w14:paraId="50142A96" w14:textId="77777777" w:rsidR="004837E1" w:rsidRPr="00733D17" w:rsidRDefault="004837E1" w:rsidP="003D4043">
            <w:pPr>
              <w:rPr>
                <w:rFonts w:ascii="Arial Narrow" w:hAnsi="Arial Narrow"/>
                <w:b/>
                <w:bCs/>
                <w:color w:val="A6A6A6" w:themeColor="background1" w:themeShade="A6"/>
                <w:sz w:val="20"/>
                <w:szCs w:val="20"/>
              </w:rPr>
            </w:pPr>
            <w:r w:rsidRPr="00733D17">
              <w:rPr>
                <w:rFonts w:ascii="Arial Narrow" w:hAnsi="Arial Narrow"/>
                <w:b/>
                <w:bCs/>
                <w:color w:val="A6A6A6" w:themeColor="background1" w:themeShade="A6"/>
                <w:sz w:val="20"/>
                <w:szCs w:val="20"/>
              </w:rPr>
              <w:t xml:space="preserve">Severity: </w:t>
            </w:r>
            <w:r w:rsidRPr="00733D17">
              <w:rPr>
                <w:rFonts w:ascii="Arial Narrow" w:hAnsi="Arial Narrow"/>
                <w:bCs/>
                <w:color w:val="A6A6A6" w:themeColor="background1" w:themeShade="A6"/>
                <w:sz w:val="20"/>
                <w:szCs w:val="20"/>
              </w:rPr>
              <w:t>[blank]</w:t>
            </w:r>
          </w:p>
        </w:tc>
      </w:tr>
      <w:tr w:rsidR="004837E1" w:rsidRPr="00733D17" w14:paraId="4C4DA511" w14:textId="77777777" w:rsidTr="00F917FC">
        <w:tc>
          <w:tcPr>
            <w:tcW w:w="981" w:type="dxa"/>
            <w:gridSpan w:val="2"/>
            <w:vMerge/>
            <w:vAlign w:val="center"/>
          </w:tcPr>
          <w:p w14:paraId="4D74D59A" w14:textId="77777777" w:rsidR="004837E1" w:rsidRPr="00733D17" w:rsidRDefault="004837E1" w:rsidP="003D4043">
            <w:pPr>
              <w:jc w:val="center"/>
              <w:rPr>
                <w:rFonts w:ascii="Arial Narrow" w:hAnsi="Arial Narrow"/>
                <w:color w:val="333333"/>
                <w:sz w:val="20"/>
                <w:szCs w:val="20"/>
                <w:highlight w:val="yellow"/>
              </w:rPr>
            </w:pPr>
          </w:p>
        </w:tc>
        <w:tc>
          <w:tcPr>
            <w:tcW w:w="8086" w:type="dxa"/>
            <w:vAlign w:val="center"/>
          </w:tcPr>
          <w:p w14:paraId="16336245" w14:textId="77777777" w:rsidR="004837E1" w:rsidRPr="00733D17" w:rsidRDefault="004837E1" w:rsidP="003D4043">
            <w:pPr>
              <w:rPr>
                <w:rFonts w:ascii="Arial Narrow" w:hAnsi="Arial Narrow"/>
                <w:b/>
                <w:bCs/>
                <w:color w:val="A6A6A6" w:themeColor="background1" w:themeShade="A6"/>
                <w:sz w:val="20"/>
                <w:szCs w:val="20"/>
              </w:rPr>
            </w:pPr>
            <w:r w:rsidRPr="00733D17">
              <w:rPr>
                <w:rFonts w:ascii="Arial Narrow" w:hAnsi="Arial Narrow"/>
                <w:b/>
                <w:bCs/>
                <w:color w:val="A6A6A6" w:themeColor="background1" w:themeShade="A6"/>
                <w:sz w:val="20"/>
                <w:szCs w:val="20"/>
              </w:rPr>
              <w:t xml:space="preserve">Condition: </w:t>
            </w:r>
            <w:r w:rsidRPr="00733D17">
              <w:rPr>
                <w:rFonts w:ascii="Arial Narrow" w:hAnsi="Arial Narrow"/>
                <w:bCs/>
                <w:color w:val="A6A6A6" w:themeColor="background1" w:themeShade="A6"/>
                <w:sz w:val="20"/>
                <w:szCs w:val="20"/>
              </w:rPr>
              <w:t>myeloid leukaemia</w:t>
            </w:r>
          </w:p>
        </w:tc>
      </w:tr>
      <w:tr w:rsidR="004837E1" w:rsidRPr="00733D17" w14:paraId="35E53BBC" w14:textId="77777777" w:rsidTr="00075C73">
        <w:tc>
          <w:tcPr>
            <w:tcW w:w="981" w:type="dxa"/>
            <w:gridSpan w:val="2"/>
            <w:vAlign w:val="center"/>
          </w:tcPr>
          <w:p w14:paraId="59C25943" w14:textId="259AEE96" w:rsidR="004837E1" w:rsidRPr="00733D17" w:rsidRDefault="004837E1" w:rsidP="003D4043">
            <w:pPr>
              <w:jc w:val="center"/>
              <w:rPr>
                <w:rFonts w:ascii="Arial Narrow" w:hAnsi="Arial Narrow"/>
                <w:color w:val="333333"/>
                <w:sz w:val="20"/>
                <w:szCs w:val="20"/>
                <w:highlight w:val="yellow"/>
              </w:rPr>
            </w:pPr>
          </w:p>
        </w:tc>
        <w:tc>
          <w:tcPr>
            <w:tcW w:w="8086" w:type="dxa"/>
            <w:vAlign w:val="center"/>
            <w:hideMark/>
          </w:tcPr>
          <w:p w14:paraId="0FE74240" w14:textId="77777777" w:rsidR="004837E1" w:rsidRPr="00733D17" w:rsidRDefault="004837E1" w:rsidP="003D4043">
            <w:pPr>
              <w:rPr>
                <w:rFonts w:ascii="Arial Narrow" w:hAnsi="Arial Narrow"/>
                <w:color w:val="333333"/>
                <w:sz w:val="20"/>
                <w:szCs w:val="20"/>
              </w:rPr>
            </w:pPr>
            <w:r w:rsidRPr="00733D17">
              <w:rPr>
                <w:rFonts w:ascii="Arial Narrow" w:hAnsi="Arial Narrow"/>
                <w:b/>
                <w:bCs/>
                <w:color w:val="333333"/>
                <w:sz w:val="20"/>
                <w:szCs w:val="20"/>
              </w:rPr>
              <w:t>Indication:</w:t>
            </w:r>
            <w:r w:rsidRPr="00733D17">
              <w:rPr>
                <w:rFonts w:ascii="Arial Narrow" w:hAnsi="Arial Narrow"/>
                <w:color w:val="333333"/>
                <w:sz w:val="20"/>
                <w:szCs w:val="20"/>
              </w:rPr>
              <w:t xml:space="preserve"> Chronic myeloid leukaemia</w:t>
            </w:r>
          </w:p>
        </w:tc>
      </w:tr>
      <w:tr w:rsidR="004837E1" w:rsidRPr="00733D17" w14:paraId="71F5CBDF" w14:textId="77777777" w:rsidTr="00F917FC">
        <w:trPr>
          <w:trHeight w:val="35"/>
        </w:trPr>
        <w:tc>
          <w:tcPr>
            <w:tcW w:w="981" w:type="dxa"/>
            <w:gridSpan w:val="2"/>
            <w:vAlign w:val="center"/>
          </w:tcPr>
          <w:p w14:paraId="28034C46" w14:textId="77777777" w:rsidR="004837E1" w:rsidRPr="00733D17" w:rsidRDefault="004837E1" w:rsidP="003D4043">
            <w:pPr>
              <w:jc w:val="center"/>
              <w:rPr>
                <w:rFonts w:ascii="Arial Narrow" w:hAnsi="Arial Narrow"/>
                <w:color w:val="333333"/>
                <w:sz w:val="20"/>
                <w:szCs w:val="20"/>
                <w:highlight w:val="yellow"/>
              </w:rPr>
            </w:pPr>
          </w:p>
        </w:tc>
        <w:tc>
          <w:tcPr>
            <w:tcW w:w="8086" w:type="dxa"/>
            <w:vAlign w:val="center"/>
          </w:tcPr>
          <w:p w14:paraId="2191D06E" w14:textId="77777777" w:rsidR="004837E1" w:rsidRPr="00733D17" w:rsidRDefault="004837E1" w:rsidP="003D4043">
            <w:pPr>
              <w:rPr>
                <w:rFonts w:ascii="Arial Narrow" w:hAnsi="Arial Narrow"/>
                <w:sz w:val="20"/>
                <w:szCs w:val="20"/>
              </w:rPr>
            </w:pPr>
            <w:r w:rsidRPr="00733D17">
              <w:rPr>
                <w:rFonts w:ascii="Arial Narrow" w:hAnsi="Arial Narrow"/>
                <w:b/>
                <w:bCs/>
                <w:color w:val="333333"/>
                <w:sz w:val="20"/>
                <w:szCs w:val="20"/>
              </w:rPr>
              <w:t>Treatment Phase:</w:t>
            </w:r>
            <w:r w:rsidRPr="00733D17">
              <w:rPr>
                <w:rFonts w:ascii="Arial Narrow" w:hAnsi="Arial Narrow"/>
                <w:color w:val="333333"/>
                <w:sz w:val="20"/>
                <w:szCs w:val="20"/>
              </w:rPr>
              <w:t xml:space="preserve"> Continuing treatment for patients without T315I mutation</w:t>
            </w:r>
          </w:p>
        </w:tc>
      </w:tr>
      <w:tr w:rsidR="00896BC0" w:rsidRPr="00733D17" w14:paraId="294F4B43" w14:textId="77777777" w:rsidTr="00F917FC">
        <w:tc>
          <w:tcPr>
            <w:tcW w:w="981" w:type="dxa"/>
            <w:gridSpan w:val="2"/>
            <w:vAlign w:val="center"/>
          </w:tcPr>
          <w:p w14:paraId="37235B44" w14:textId="77777777" w:rsidR="00896BC0" w:rsidRPr="00733D17" w:rsidRDefault="00896BC0" w:rsidP="00896BC0">
            <w:pPr>
              <w:jc w:val="center"/>
              <w:rPr>
                <w:rFonts w:ascii="Arial Narrow" w:hAnsi="Arial Narrow"/>
                <w:color w:val="333333"/>
                <w:sz w:val="20"/>
                <w:szCs w:val="20"/>
                <w:highlight w:val="yellow"/>
              </w:rPr>
            </w:pPr>
          </w:p>
        </w:tc>
        <w:tc>
          <w:tcPr>
            <w:tcW w:w="8086" w:type="dxa"/>
            <w:vAlign w:val="center"/>
          </w:tcPr>
          <w:p w14:paraId="627122C2" w14:textId="72D0EC48" w:rsidR="00896BC0" w:rsidRPr="00733D17" w:rsidRDefault="00896BC0" w:rsidP="00896BC0">
            <w:pPr>
              <w:rPr>
                <w:rFonts w:ascii="Arial Narrow" w:hAnsi="Arial Narrow"/>
                <w:b/>
                <w:bCs/>
                <w:color w:val="333333"/>
                <w:sz w:val="20"/>
                <w:szCs w:val="20"/>
              </w:rPr>
            </w:pPr>
            <w:r w:rsidRPr="00733D17">
              <w:rPr>
                <w:rFonts w:ascii="Arial Narrow" w:hAnsi="Arial Narrow"/>
                <w:b/>
                <w:bCs/>
                <w:sz w:val="20"/>
                <w:szCs w:val="20"/>
              </w:rPr>
              <w:t>Clinical criteria:</w:t>
            </w:r>
          </w:p>
        </w:tc>
      </w:tr>
      <w:tr w:rsidR="00896BC0" w:rsidRPr="00733D17" w14:paraId="1DB40172" w14:textId="77777777" w:rsidTr="00F917FC">
        <w:tc>
          <w:tcPr>
            <w:tcW w:w="981" w:type="dxa"/>
            <w:gridSpan w:val="2"/>
            <w:vAlign w:val="center"/>
          </w:tcPr>
          <w:p w14:paraId="45B0396C" w14:textId="43BFAEC2" w:rsidR="00896BC0" w:rsidRPr="00733D17" w:rsidRDefault="00896BC0" w:rsidP="00896BC0">
            <w:pPr>
              <w:jc w:val="center"/>
              <w:rPr>
                <w:rFonts w:ascii="Arial Narrow" w:hAnsi="Arial Narrow"/>
                <w:color w:val="333333"/>
                <w:sz w:val="20"/>
                <w:szCs w:val="20"/>
                <w:highlight w:val="yellow"/>
              </w:rPr>
            </w:pPr>
          </w:p>
        </w:tc>
        <w:tc>
          <w:tcPr>
            <w:tcW w:w="8086" w:type="dxa"/>
            <w:vAlign w:val="center"/>
          </w:tcPr>
          <w:p w14:paraId="1497C6D8" w14:textId="54057ECA" w:rsidR="00896BC0" w:rsidRPr="00733D17" w:rsidRDefault="00896BC0" w:rsidP="00896BC0">
            <w:pPr>
              <w:rPr>
                <w:rFonts w:ascii="Arial Narrow" w:hAnsi="Arial Narrow"/>
                <w:b/>
                <w:bCs/>
                <w:color w:val="333333"/>
                <w:sz w:val="20"/>
                <w:szCs w:val="20"/>
              </w:rPr>
            </w:pPr>
            <w:r w:rsidRPr="00733D17">
              <w:rPr>
                <w:rFonts w:ascii="Arial Narrow" w:hAnsi="Arial Narrow"/>
                <w:sz w:val="20"/>
                <w:szCs w:val="20"/>
              </w:rPr>
              <w:t>The treatment must be the sole PBS-subsidised therapy for this condition</w:t>
            </w:r>
          </w:p>
        </w:tc>
      </w:tr>
      <w:tr w:rsidR="00896BC0" w:rsidRPr="00733D17" w14:paraId="0D0A4787" w14:textId="77777777" w:rsidTr="00F917FC">
        <w:tc>
          <w:tcPr>
            <w:tcW w:w="981" w:type="dxa"/>
            <w:gridSpan w:val="2"/>
            <w:vAlign w:val="center"/>
          </w:tcPr>
          <w:p w14:paraId="3FEDE5B3" w14:textId="77777777" w:rsidR="00896BC0" w:rsidRPr="00733D17" w:rsidRDefault="00896BC0" w:rsidP="00896BC0">
            <w:pPr>
              <w:jc w:val="center"/>
              <w:rPr>
                <w:rFonts w:ascii="Arial Narrow" w:eastAsia="Calibri" w:hAnsi="Arial Narrow" w:cstheme="minorHAnsi"/>
                <w:b/>
                <w:bCs/>
                <w:sz w:val="20"/>
                <w:szCs w:val="20"/>
              </w:rPr>
            </w:pPr>
          </w:p>
        </w:tc>
        <w:tc>
          <w:tcPr>
            <w:tcW w:w="8086" w:type="dxa"/>
            <w:vAlign w:val="center"/>
          </w:tcPr>
          <w:p w14:paraId="2491EBA8" w14:textId="57AC9D16" w:rsidR="00896BC0" w:rsidRPr="00733D17" w:rsidRDefault="00896BC0" w:rsidP="00896BC0">
            <w:pPr>
              <w:rPr>
                <w:rFonts w:ascii="Arial Narrow" w:hAnsi="Arial Narrow"/>
                <w:b/>
                <w:bCs/>
                <w:sz w:val="20"/>
                <w:szCs w:val="20"/>
              </w:rPr>
            </w:pPr>
            <w:r w:rsidRPr="00733D17">
              <w:rPr>
                <w:rFonts w:ascii="Arial Narrow" w:hAnsi="Arial Narrow"/>
                <w:b/>
                <w:bCs/>
                <w:sz w:val="20"/>
                <w:szCs w:val="20"/>
              </w:rPr>
              <w:t>AND</w:t>
            </w:r>
          </w:p>
        </w:tc>
      </w:tr>
      <w:tr w:rsidR="00896BC0" w:rsidRPr="00733D17" w14:paraId="004EA41B" w14:textId="77777777" w:rsidTr="00F917FC">
        <w:tc>
          <w:tcPr>
            <w:tcW w:w="981" w:type="dxa"/>
            <w:gridSpan w:val="2"/>
            <w:vAlign w:val="center"/>
          </w:tcPr>
          <w:p w14:paraId="7C4A3042" w14:textId="77777777" w:rsidR="00896BC0" w:rsidRPr="00733D17" w:rsidRDefault="00896BC0" w:rsidP="00896BC0">
            <w:pPr>
              <w:jc w:val="center"/>
              <w:rPr>
                <w:rFonts w:ascii="Arial Narrow" w:hAnsi="Arial Narrow"/>
                <w:color w:val="333333"/>
                <w:sz w:val="20"/>
                <w:szCs w:val="20"/>
                <w:highlight w:val="yellow"/>
              </w:rPr>
            </w:pPr>
          </w:p>
        </w:tc>
        <w:tc>
          <w:tcPr>
            <w:tcW w:w="8086" w:type="dxa"/>
            <w:vAlign w:val="center"/>
          </w:tcPr>
          <w:p w14:paraId="452A3C0D" w14:textId="77777777" w:rsidR="00896BC0" w:rsidRPr="00733D17" w:rsidRDefault="00896BC0" w:rsidP="00896BC0">
            <w:pPr>
              <w:rPr>
                <w:rFonts w:ascii="Arial Narrow" w:hAnsi="Arial Narrow"/>
                <w:sz w:val="20"/>
                <w:szCs w:val="20"/>
              </w:rPr>
            </w:pPr>
            <w:r w:rsidRPr="00733D17">
              <w:rPr>
                <w:rFonts w:ascii="Arial Narrow" w:hAnsi="Arial Narrow"/>
                <w:b/>
                <w:bCs/>
                <w:color w:val="333333"/>
                <w:sz w:val="20"/>
                <w:szCs w:val="20"/>
              </w:rPr>
              <w:t>Clinical criteria:</w:t>
            </w:r>
          </w:p>
        </w:tc>
      </w:tr>
      <w:tr w:rsidR="00896BC0" w:rsidRPr="00733D17" w14:paraId="397F0407" w14:textId="77777777" w:rsidTr="00F917FC">
        <w:tc>
          <w:tcPr>
            <w:tcW w:w="981" w:type="dxa"/>
            <w:gridSpan w:val="2"/>
            <w:vAlign w:val="center"/>
          </w:tcPr>
          <w:p w14:paraId="63FA4A11" w14:textId="2BA02025" w:rsidR="00896BC0" w:rsidRPr="00733D17" w:rsidRDefault="00896BC0" w:rsidP="00896BC0">
            <w:pPr>
              <w:jc w:val="center"/>
              <w:rPr>
                <w:rFonts w:ascii="Arial Narrow" w:hAnsi="Arial Narrow"/>
                <w:color w:val="333333"/>
                <w:sz w:val="20"/>
                <w:szCs w:val="20"/>
                <w:highlight w:val="yellow"/>
              </w:rPr>
            </w:pPr>
          </w:p>
        </w:tc>
        <w:tc>
          <w:tcPr>
            <w:tcW w:w="8086" w:type="dxa"/>
            <w:vAlign w:val="center"/>
          </w:tcPr>
          <w:p w14:paraId="13F8591A" w14:textId="77777777" w:rsidR="00896BC0" w:rsidRPr="00733D17" w:rsidRDefault="00896BC0" w:rsidP="00896BC0">
            <w:pPr>
              <w:rPr>
                <w:rFonts w:ascii="Arial Narrow" w:hAnsi="Arial Narrow"/>
                <w:sz w:val="20"/>
                <w:szCs w:val="20"/>
              </w:rPr>
            </w:pPr>
            <w:r w:rsidRPr="00733D17">
              <w:rPr>
                <w:rFonts w:ascii="Arial Narrow" w:hAnsi="Arial Narrow"/>
                <w:color w:val="333333"/>
                <w:sz w:val="20"/>
                <w:szCs w:val="20"/>
              </w:rPr>
              <w:t>Patient must have received initial PBS-subsidised treatment with this drug for this condition;</w:t>
            </w:r>
          </w:p>
        </w:tc>
      </w:tr>
      <w:tr w:rsidR="00896BC0" w:rsidRPr="00733D17" w14:paraId="15FCAD07" w14:textId="77777777" w:rsidTr="00F917FC">
        <w:tc>
          <w:tcPr>
            <w:tcW w:w="981" w:type="dxa"/>
            <w:gridSpan w:val="2"/>
            <w:vAlign w:val="center"/>
          </w:tcPr>
          <w:p w14:paraId="58CA4241" w14:textId="77777777" w:rsidR="00896BC0" w:rsidRPr="00733D17" w:rsidRDefault="00896BC0" w:rsidP="00896BC0">
            <w:pPr>
              <w:jc w:val="center"/>
              <w:rPr>
                <w:rFonts w:ascii="Arial Narrow" w:hAnsi="Arial Narrow"/>
                <w:color w:val="333333"/>
                <w:sz w:val="20"/>
                <w:szCs w:val="20"/>
                <w:highlight w:val="yellow"/>
              </w:rPr>
            </w:pPr>
          </w:p>
        </w:tc>
        <w:tc>
          <w:tcPr>
            <w:tcW w:w="8086" w:type="dxa"/>
            <w:vAlign w:val="center"/>
          </w:tcPr>
          <w:p w14:paraId="625C9CEA" w14:textId="77777777" w:rsidR="00896BC0" w:rsidRPr="00733D17" w:rsidRDefault="00896BC0" w:rsidP="00896BC0">
            <w:pPr>
              <w:rPr>
                <w:rFonts w:ascii="Arial Narrow" w:hAnsi="Arial Narrow"/>
                <w:b/>
                <w:bCs/>
                <w:sz w:val="20"/>
                <w:szCs w:val="20"/>
              </w:rPr>
            </w:pPr>
            <w:r w:rsidRPr="00733D17">
              <w:rPr>
                <w:rFonts w:ascii="Arial Narrow" w:hAnsi="Arial Narrow"/>
                <w:b/>
                <w:bCs/>
                <w:color w:val="333333"/>
                <w:sz w:val="20"/>
                <w:szCs w:val="20"/>
              </w:rPr>
              <w:t>AND</w:t>
            </w:r>
          </w:p>
        </w:tc>
      </w:tr>
      <w:tr w:rsidR="00896BC0" w:rsidRPr="00733D17" w14:paraId="6B0D71DB" w14:textId="77777777" w:rsidTr="00F917FC">
        <w:tc>
          <w:tcPr>
            <w:tcW w:w="981" w:type="dxa"/>
            <w:gridSpan w:val="2"/>
            <w:vAlign w:val="center"/>
          </w:tcPr>
          <w:p w14:paraId="1986AE3A" w14:textId="77777777" w:rsidR="00896BC0" w:rsidRPr="00733D17" w:rsidRDefault="00896BC0" w:rsidP="00896BC0">
            <w:pPr>
              <w:jc w:val="center"/>
              <w:rPr>
                <w:rFonts w:ascii="Arial Narrow" w:hAnsi="Arial Narrow"/>
                <w:color w:val="333333"/>
                <w:sz w:val="20"/>
                <w:szCs w:val="20"/>
                <w:highlight w:val="yellow"/>
              </w:rPr>
            </w:pPr>
          </w:p>
        </w:tc>
        <w:tc>
          <w:tcPr>
            <w:tcW w:w="8086" w:type="dxa"/>
            <w:vAlign w:val="center"/>
          </w:tcPr>
          <w:p w14:paraId="5ED6A1E3" w14:textId="77777777" w:rsidR="00896BC0" w:rsidRPr="00733D17" w:rsidRDefault="00896BC0" w:rsidP="00896BC0">
            <w:pPr>
              <w:rPr>
                <w:rFonts w:ascii="Arial Narrow" w:hAnsi="Arial Narrow"/>
                <w:b/>
                <w:bCs/>
                <w:color w:val="333333"/>
                <w:sz w:val="20"/>
                <w:szCs w:val="20"/>
              </w:rPr>
            </w:pPr>
            <w:r w:rsidRPr="00733D17">
              <w:rPr>
                <w:rFonts w:ascii="Arial Narrow" w:hAnsi="Arial Narrow"/>
                <w:b/>
                <w:bCs/>
                <w:color w:val="333333"/>
                <w:sz w:val="20"/>
                <w:szCs w:val="20"/>
              </w:rPr>
              <w:t>Clinical criteria:</w:t>
            </w:r>
          </w:p>
        </w:tc>
      </w:tr>
      <w:tr w:rsidR="00896BC0" w:rsidRPr="00733D17" w14:paraId="26CC211B" w14:textId="77777777" w:rsidTr="00F917FC">
        <w:tc>
          <w:tcPr>
            <w:tcW w:w="981" w:type="dxa"/>
            <w:gridSpan w:val="2"/>
            <w:vAlign w:val="center"/>
          </w:tcPr>
          <w:p w14:paraId="7DD5CA14" w14:textId="38FDF2D9" w:rsidR="00896BC0" w:rsidRPr="00733D17" w:rsidRDefault="00896BC0" w:rsidP="00896BC0">
            <w:pPr>
              <w:jc w:val="center"/>
              <w:rPr>
                <w:rFonts w:ascii="Arial Narrow" w:hAnsi="Arial Narrow"/>
                <w:color w:val="333333"/>
                <w:sz w:val="20"/>
                <w:szCs w:val="20"/>
              </w:rPr>
            </w:pPr>
          </w:p>
        </w:tc>
        <w:tc>
          <w:tcPr>
            <w:tcW w:w="8086" w:type="dxa"/>
            <w:vAlign w:val="center"/>
          </w:tcPr>
          <w:p w14:paraId="0DB65449" w14:textId="77777777" w:rsidR="00896BC0" w:rsidRPr="00733D17" w:rsidRDefault="00896BC0" w:rsidP="00896BC0">
            <w:pPr>
              <w:pStyle w:val="PBACtext"/>
              <w:spacing w:line="240" w:lineRule="auto"/>
              <w:rPr>
                <w:sz w:val="20"/>
                <w:szCs w:val="20"/>
                <w:lang w:eastAsia="en-AU"/>
              </w:rPr>
            </w:pPr>
            <w:r w:rsidRPr="00733D17">
              <w:rPr>
                <w:sz w:val="20"/>
                <w:szCs w:val="20"/>
                <w:lang w:eastAsia="en-AU"/>
              </w:rPr>
              <w:t xml:space="preserve">Patient must be undergoing first continuing treatment with this drug, demonstrating either (i) a major cytogenetic response (ii) </w:t>
            </w:r>
            <w:r w:rsidRPr="00733D17">
              <w:rPr>
                <w:color w:val="333333"/>
                <w:sz w:val="20"/>
                <w:szCs w:val="20"/>
              </w:rPr>
              <w:t xml:space="preserve">a peripheral blood level of BCR-ABL of less than 1%; or </w:t>
            </w:r>
          </w:p>
        </w:tc>
      </w:tr>
      <w:tr w:rsidR="00896BC0" w:rsidRPr="00733D17" w14:paraId="532968ED" w14:textId="77777777" w:rsidTr="00F917FC">
        <w:tc>
          <w:tcPr>
            <w:tcW w:w="981" w:type="dxa"/>
            <w:gridSpan w:val="2"/>
            <w:vAlign w:val="center"/>
          </w:tcPr>
          <w:p w14:paraId="001EBF36" w14:textId="015A4CA5" w:rsidR="00896BC0" w:rsidRPr="00733D17" w:rsidRDefault="00896BC0" w:rsidP="00896BC0">
            <w:pPr>
              <w:jc w:val="center"/>
              <w:rPr>
                <w:rFonts w:ascii="Arial Narrow" w:hAnsi="Arial Narrow"/>
                <w:color w:val="333333"/>
                <w:sz w:val="20"/>
                <w:szCs w:val="20"/>
              </w:rPr>
            </w:pPr>
          </w:p>
        </w:tc>
        <w:tc>
          <w:tcPr>
            <w:tcW w:w="8086" w:type="dxa"/>
            <w:vAlign w:val="center"/>
          </w:tcPr>
          <w:p w14:paraId="369A2926" w14:textId="77777777" w:rsidR="00896BC0" w:rsidRPr="00733D17" w:rsidRDefault="00896BC0" w:rsidP="00896BC0">
            <w:pPr>
              <w:rPr>
                <w:rFonts w:ascii="Arial Narrow" w:hAnsi="Arial Narrow"/>
                <w:sz w:val="20"/>
                <w:szCs w:val="20"/>
              </w:rPr>
            </w:pPr>
            <w:r w:rsidRPr="00733D17">
              <w:rPr>
                <w:rFonts w:ascii="Arial Narrow" w:hAnsi="Arial Narrow"/>
                <w:color w:val="333333"/>
                <w:sz w:val="20"/>
                <w:szCs w:val="20"/>
              </w:rPr>
              <w:t xml:space="preserve">Patient must be undergoing subsequent continuing treatment with this drug, demonstrating a 12-month response of either </w:t>
            </w:r>
            <w:r w:rsidRPr="00733D17">
              <w:rPr>
                <w:rFonts w:ascii="Arial Narrow" w:hAnsi="Arial Narrow"/>
                <w:sz w:val="20"/>
                <w:szCs w:val="20"/>
              </w:rPr>
              <w:t xml:space="preserve">(i) a major cytogenetic response (ii) </w:t>
            </w:r>
            <w:r w:rsidRPr="00733D17">
              <w:rPr>
                <w:rFonts w:ascii="Arial Narrow" w:hAnsi="Arial Narrow"/>
                <w:color w:val="333333"/>
                <w:sz w:val="20"/>
                <w:szCs w:val="20"/>
              </w:rPr>
              <w:t>a peripheral blood level of BCR-ABL of less than 1%;</w:t>
            </w:r>
          </w:p>
        </w:tc>
      </w:tr>
      <w:tr w:rsidR="000D390A" w:rsidRPr="00733D17" w14:paraId="01E12276" w14:textId="77777777" w:rsidTr="00F917FC">
        <w:tc>
          <w:tcPr>
            <w:tcW w:w="981" w:type="dxa"/>
            <w:gridSpan w:val="2"/>
            <w:vAlign w:val="center"/>
          </w:tcPr>
          <w:p w14:paraId="71CFF56E" w14:textId="003B194E" w:rsidR="000D390A" w:rsidRPr="00733D17" w:rsidRDefault="000D390A" w:rsidP="00896BC0">
            <w:pPr>
              <w:jc w:val="center"/>
              <w:rPr>
                <w:rFonts w:ascii="Arial Narrow" w:hAnsi="Arial Narrow"/>
                <w:color w:val="333333"/>
                <w:sz w:val="20"/>
                <w:szCs w:val="20"/>
                <w:highlight w:val="yellow"/>
              </w:rPr>
            </w:pPr>
          </w:p>
        </w:tc>
        <w:tc>
          <w:tcPr>
            <w:tcW w:w="8086" w:type="dxa"/>
            <w:vAlign w:val="center"/>
          </w:tcPr>
          <w:p w14:paraId="52076CAE" w14:textId="09AD22F7" w:rsidR="000D390A" w:rsidRPr="00733D17" w:rsidRDefault="000D390A" w:rsidP="00896BC0">
            <w:pPr>
              <w:rPr>
                <w:rFonts w:ascii="Arial Narrow" w:hAnsi="Arial Narrow"/>
                <w:sz w:val="20"/>
                <w:szCs w:val="20"/>
              </w:rPr>
            </w:pPr>
            <w:r w:rsidRPr="00733D17">
              <w:rPr>
                <w:rFonts w:ascii="Arial Narrow" w:hAnsi="Arial Narrow"/>
                <w:sz w:val="20"/>
                <w:szCs w:val="20"/>
              </w:rPr>
              <w:t>Any queries concerning the arrangements to prescribe may be directed to Services Australia on 1800 700 270 (hours of operation 8 a.m. to 5 p.m. Monday to Friday).</w:t>
            </w:r>
          </w:p>
        </w:tc>
      </w:tr>
      <w:tr w:rsidR="001148C5" w:rsidRPr="00733D17" w14:paraId="7440A403" w14:textId="77777777" w:rsidTr="00F917FC">
        <w:tc>
          <w:tcPr>
            <w:tcW w:w="981" w:type="dxa"/>
            <w:gridSpan w:val="2"/>
            <w:vAlign w:val="center"/>
          </w:tcPr>
          <w:p w14:paraId="72A307C9" w14:textId="77777777" w:rsidR="001148C5" w:rsidRPr="00733D17" w:rsidRDefault="001148C5" w:rsidP="00896BC0">
            <w:pPr>
              <w:jc w:val="center"/>
              <w:rPr>
                <w:rFonts w:ascii="Arial Narrow" w:hAnsi="Arial Narrow"/>
                <w:color w:val="333333"/>
                <w:sz w:val="20"/>
                <w:szCs w:val="20"/>
              </w:rPr>
            </w:pPr>
          </w:p>
        </w:tc>
        <w:tc>
          <w:tcPr>
            <w:tcW w:w="8086" w:type="dxa"/>
            <w:vAlign w:val="center"/>
          </w:tcPr>
          <w:p w14:paraId="736E946A" w14:textId="396ACC36" w:rsidR="001148C5" w:rsidRPr="00733D17" w:rsidRDefault="001148C5" w:rsidP="00896BC0">
            <w:pPr>
              <w:rPr>
                <w:rFonts w:ascii="Arial Narrow" w:hAnsi="Arial Narrow"/>
                <w:b/>
                <w:bCs/>
                <w:sz w:val="20"/>
                <w:szCs w:val="20"/>
              </w:rPr>
            </w:pPr>
            <w:r w:rsidRPr="00733D17">
              <w:rPr>
                <w:rFonts w:ascii="Arial Narrow" w:hAnsi="Arial Narrow"/>
                <w:b/>
                <w:bCs/>
                <w:sz w:val="20"/>
                <w:szCs w:val="20"/>
              </w:rPr>
              <w:t>Prescribing instruction:</w:t>
            </w:r>
          </w:p>
        </w:tc>
      </w:tr>
      <w:tr w:rsidR="001148C5" w:rsidRPr="00733D17" w14:paraId="472A1C54" w14:textId="77777777" w:rsidTr="00BA3C51">
        <w:tc>
          <w:tcPr>
            <w:tcW w:w="981" w:type="dxa"/>
            <w:gridSpan w:val="2"/>
            <w:vAlign w:val="center"/>
          </w:tcPr>
          <w:p w14:paraId="053EAFB2" w14:textId="76468420" w:rsidR="001148C5" w:rsidRPr="00733D17" w:rsidRDefault="001148C5" w:rsidP="00896BC0">
            <w:pPr>
              <w:jc w:val="center"/>
              <w:rPr>
                <w:rFonts w:ascii="Arial Narrow" w:hAnsi="Arial Narrow"/>
                <w:color w:val="333333"/>
                <w:sz w:val="20"/>
                <w:szCs w:val="20"/>
              </w:rPr>
            </w:pPr>
          </w:p>
        </w:tc>
        <w:tc>
          <w:tcPr>
            <w:tcW w:w="8086" w:type="dxa"/>
            <w:shd w:val="clear" w:color="auto" w:fill="auto"/>
            <w:vAlign w:val="center"/>
          </w:tcPr>
          <w:p w14:paraId="50E6F3F7" w14:textId="09AC3313" w:rsidR="001148C5" w:rsidRPr="00733D17" w:rsidRDefault="001148C5" w:rsidP="00896BC0">
            <w:pPr>
              <w:rPr>
                <w:rFonts w:ascii="Arial Narrow" w:hAnsi="Arial Narrow"/>
                <w:sz w:val="20"/>
                <w:szCs w:val="20"/>
              </w:rPr>
            </w:pPr>
            <w:r w:rsidRPr="00733D17">
              <w:rPr>
                <w:rFonts w:ascii="Arial Narrow" w:hAnsi="Arial Narrow" w:cs="Open Sans"/>
                <w:color w:val="222222"/>
                <w:sz w:val="20"/>
                <w:szCs w:val="20"/>
              </w:rPr>
              <w:t>A major cytogenetic response [see Note explaining requirements] or a peripheral blood level of BCR-ABL of less than 1% on the international scale [see Note explaining requirements] must be documented in the patient's medical records.</w:t>
            </w:r>
          </w:p>
        </w:tc>
      </w:tr>
    </w:tbl>
    <w:p w14:paraId="03692F91" w14:textId="77777777" w:rsidR="004837E1" w:rsidRDefault="004837E1" w:rsidP="000715F6">
      <w:pPr>
        <w:pStyle w:val="3-BodyText"/>
        <w:numPr>
          <w:ilvl w:val="0"/>
          <w:numId w:val="0"/>
        </w:numPr>
        <w:spacing w:after="0"/>
      </w:pPr>
    </w:p>
    <w:p w14:paraId="478A26B4" w14:textId="77777777" w:rsidR="004837E1" w:rsidRPr="009802FB" w:rsidRDefault="004837E1" w:rsidP="000715F6">
      <w:pPr>
        <w:pStyle w:val="3-BodyText"/>
        <w:keepNext/>
        <w:keepLines/>
        <w:numPr>
          <w:ilvl w:val="0"/>
          <w:numId w:val="0"/>
        </w:numPr>
        <w:spacing w:after="0"/>
      </w:pPr>
      <w:r w:rsidRPr="009802FB">
        <w:rPr>
          <w:b/>
          <w:bCs/>
          <w:szCs w:val="24"/>
        </w:rPr>
        <w:lastRenderedPageBreak/>
        <w:t>Patients who have received at least 1 prior TKI and harbour the T315I mutation</w:t>
      </w:r>
    </w:p>
    <w:p w14:paraId="763BC4F0" w14:textId="29AECE63" w:rsidR="004837E1" w:rsidRPr="009802FB" w:rsidRDefault="004837E1" w:rsidP="00902E2A">
      <w:pPr>
        <w:keepNext/>
        <w:rPr>
          <w:rFonts w:ascii="Arial Narrow" w:hAnsi="Arial Narrow"/>
          <w:sz w:val="20"/>
          <w:szCs w:val="20"/>
        </w:rPr>
      </w:pPr>
      <w:r w:rsidRPr="009802FB">
        <w:rPr>
          <w:rFonts w:ascii="Arial Narrow" w:hAnsi="Arial Narrow"/>
          <w:sz w:val="20"/>
          <w:szCs w:val="20"/>
        </w:rPr>
        <w:t>Initial Treatment and Grandfather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91"/>
        <w:gridCol w:w="2983"/>
        <w:gridCol w:w="851"/>
        <w:gridCol w:w="850"/>
        <w:gridCol w:w="851"/>
        <w:gridCol w:w="709"/>
        <w:gridCol w:w="1842"/>
      </w:tblGrid>
      <w:tr w:rsidR="004837E1" w:rsidRPr="00733D17" w14:paraId="603A8698" w14:textId="77777777" w:rsidTr="00FD3D2F">
        <w:trPr>
          <w:cantSplit/>
          <w:trHeight w:val="471"/>
        </w:trPr>
        <w:tc>
          <w:tcPr>
            <w:tcW w:w="3964" w:type="dxa"/>
            <w:gridSpan w:val="3"/>
          </w:tcPr>
          <w:p w14:paraId="34B256DB" w14:textId="77777777" w:rsidR="004837E1" w:rsidRPr="00733D17" w:rsidRDefault="004837E1" w:rsidP="003D4043">
            <w:pPr>
              <w:keepNext/>
              <w:ind w:left="-57"/>
              <w:rPr>
                <w:rFonts w:ascii="Arial Narrow" w:hAnsi="Arial Narrow" w:cs="Arial"/>
                <w:b/>
                <w:bCs/>
                <w:sz w:val="20"/>
                <w:szCs w:val="20"/>
              </w:rPr>
            </w:pPr>
            <w:r w:rsidRPr="00733D17">
              <w:rPr>
                <w:rFonts w:ascii="Arial Narrow" w:hAnsi="Arial Narrow" w:cs="Arial"/>
                <w:b/>
                <w:bCs/>
                <w:sz w:val="20"/>
                <w:szCs w:val="20"/>
              </w:rPr>
              <w:t>MEDICINAL PRODUCT</w:t>
            </w:r>
          </w:p>
          <w:p w14:paraId="38BAD76A" w14:textId="77777777" w:rsidR="004837E1" w:rsidRPr="00733D17" w:rsidRDefault="004837E1" w:rsidP="003D4043">
            <w:pPr>
              <w:keepNext/>
              <w:ind w:left="-57"/>
              <w:rPr>
                <w:rFonts w:ascii="Arial Narrow" w:hAnsi="Arial Narrow" w:cs="Arial"/>
                <w:b/>
                <w:sz w:val="20"/>
                <w:szCs w:val="20"/>
              </w:rPr>
            </w:pPr>
            <w:r w:rsidRPr="00733D17">
              <w:rPr>
                <w:rFonts w:ascii="Arial Narrow" w:hAnsi="Arial Narrow" w:cs="Arial"/>
                <w:b/>
                <w:bCs/>
                <w:sz w:val="20"/>
                <w:szCs w:val="20"/>
              </w:rPr>
              <w:t>medicinal product pack</w:t>
            </w:r>
          </w:p>
        </w:tc>
        <w:tc>
          <w:tcPr>
            <w:tcW w:w="851" w:type="dxa"/>
          </w:tcPr>
          <w:p w14:paraId="72E6DEC3" w14:textId="77777777" w:rsidR="004837E1" w:rsidRPr="00733D17" w:rsidRDefault="004837E1" w:rsidP="003D4043">
            <w:pPr>
              <w:keepNext/>
              <w:ind w:left="-108"/>
              <w:jc w:val="center"/>
              <w:rPr>
                <w:rFonts w:ascii="Arial Narrow" w:hAnsi="Arial Narrow" w:cs="Arial"/>
                <w:b/>
                <w:sz w:val="20"/>
                <w:szCs w:val="20"/>
              </w:rPr>
            </w:pPr>
            <w:r w:rsidRPr="00733D17">
              <w:rPr>
                <w:rFonts w:ascii="Arial Narrow" w:hAnsi="Arial Narrow" w:cs="Arial"/>
                <w:b/>
                <w:sz w:val="20"/>
                <w:szCs w:val="20"/>
              </w:rPr>
              <w:t>PBS item code</w:t>
            </w:r>
          </w:p>
        </w:tc>
        <w:tc>
          <w:tcPr>
            <w:tcW w:w="850" w:type="dxa"/>
          </w:tcPr>
          <w:p w14:paraId="1DFCD634" w14:textId="77777777" w:rsidR="004837E1" w:rsidRPr="00733D17" w:rsidRDefault="004837E1" w:rsidP="003D4043">
            <w:pPr>
              <w:keepNext/>
              <w:ind w:left="-108"/>
              <w:jc w:val="center"/>
              <w:rPr>
                <w:rFonts w:ascii="Arial Narrow" w:hAnsi="Arial Narrow" w:cs="Arial"/>
                <w:b/>
                <w:sz w:val="20"/>
                <w:szCs w:val="20"/>
              </w:rPr>
            </w:pPr>
            <w:r w:rsidRPr="00733D17">
              <w:rPr>
                <w:rFonts w:ascii="Arial Narrow" w:hAnsi="Arial Narrow" w:cs="Arial"/>
                <w:b/>
                <w:sz w:val="20"/>
                <w:szCs w:val="20"/>
              </w:rPr>
              <w:t>Max. qty packs</w:t>
            </w:r>
          </w:p>
        </w:tc>
        <w:tc>
          <w:tcPr>
            <w:tcW w:w="851" w:type="dxa"/>
          </w:tcPr>
          <w:p w14:paraId="07B24A02" w14:textId="77777777" w:rsidR="004837E1" w:rsidRPr="00733D17" w:rsidRDefault="004837E1" w:rsidP="003D4043">
            <w:pPr>
              <w:keepNext/>
              <w:ind w:left="-108"/>
              <w:jc w:val="center"/>
              <w:rPr>
                <w:rFonts w:ascii="Arial Narrow" w:hAnsi="Arial Narrow" w:cs="Arial"/>
                <w:b/>
                <w:sz w:val="20"/>
                <w:szCs w:val="20"/>
              </w:rPr>
            </w:pPr>
            <w:r w:rsidRPr="00733D17">
              <w:rPr>
                <w:rFonts w:ascii="Arial Narrow" w:hAnsi="Arial Narrow" w:cs="Arial"/>
                <w:b/>
                <w:sz w:val="20"/>
                <w:szCs w:val="20"/>
              </w:rPr>
              <w:t>Max. qty units</w:t>
            </w:r>
          </w:p>
        </w:tc>
        <w:tc>
          <w:tcPr>
            <w:tcW w:w="709" w:type="dxa"/>
          </w:tcPr>
          <w:p w14:paraId="5DCDDC48" w14:textId="77777777" w:rsidR="004837E1" w:rsidRPr="00733D17" w:rsidRDefault="004837E1" w:rsidP="003D4043">
            <w:pPr>
              <w:keepNext/>
              <w:ind w:left="-108"/>
              <w:jc w:val="center"/>
              <w:rPr>
                <w:rFonts w:ascii="Arial Narrow" w:hAnsi="Arial Narrow" w:cs="Arial"/>
                <w:b/>
                <w:sz w:val="20"/>
                <w:szCs w:val="20"/>
              </w:rPr>
            </w:pPr>
            <w:r w:rsidRPr="00733D17">
              <w:rPr>
                <w:rFonts w:ascii="Arial Narrow" w:hAnsi="Arial Narrow" w:cs="Arial"/>
                <w:b/>
                <w:sz w:val="20"/>
                <w:szCs w:val="20"/>
              </w:rPr>
              <w:t>№.of</w:t>
            </w:r>
          </w:p>
          <w:p w14:paraId="3D88A0C8" w14:textId="77777777" w:rsidR="004837E1" w:rsidRPr="00733D17" w:rsidRDefault="004837E1" w:rsidP="003D4043">
            <w:pPr>
              <w:keepNext/>
              <w:ind w:left="-108"/>
              <w:jc w:val="center"/>
              <w:rPr>
                <w:rFonts w:ascii="Arial Narrow" w:hAnsi="Arial Narrow" w:cs="Arial"/>
                <w:b/>
                <w:sz w:val="20"/>
                <w:szCs w:val="20"/>
              </w:rPr>
            </w:pPr>
            <w:r w:rsidRPr="00733D17">
              <w:rPr>
                <w:rFonts w:ascii="Arial Narrow" w:hAnsi="Arial Narrow" w:cs="Arial"/>
                <w:b/>
                <w:sz w:val="20"/>
                <w:szCs w:val="20"/>
              </w:rPr>
              <w:t>Rpts</w:t>
            </w:r>
          </w:p>
        </w:tc>
        <w:tc>
          <w:tcPr>
            <w:tcW w:w="1842" w:type="dxa"/>
          </w:tcPr>
          <w:p w14:paraId="3D8CDE57" w14:textId="77777777" w:rsidR="004837E1" w:rsidRPr="00733D17" w:rsidRDefault="004837E1" w:rsidP="003D4043">
            <w:pPr>
              <w:keepNext/>
              <w:rPr>
                <w:rFonts w:ascii="Arial Narrow" w:hAnsi="Arial Narrow" w:cs="Arial"/>
                <w:b/>
                <w:sz w:val="20"/>
                <w:szCs w:val="20"/>
                <w:lang w:val="fr-FR"/>
              </w:rPr>
            </w:pPr>
            <w:r w:rsidRPr="00733D17">
              <w:rPr>
                <w:rFonts w:ascii="Arial Narrow" w:hAnsi="Arial Narrow" w:cs="Arial"/>
                <w:b/>
                <w:sz w:val="20"/>
                <w:szCs w:val="20"/>
              </w:rPr>
              <w:t>Available brands</w:t>
            </w:r>
          </w:p>
        </w:tc>
      </w:tr>
      <w:tr w:rsidR="004837E1" w:rsidRPr="00733D17" w14:paraId="58CB6ABF" w14:textId="77777777" w:rsidTr="00BA4108">
        <w:trPr>
          <w:cantSplit/>
          <w:trHeight w:val="224"/>
        </w:trPr>
        <w:tc>
          <w:tcPr>
            <w:tcW w:w="9067" w:type="dxa"/>
            <w:gridSpan w:val="8"/>
          </w:tcPr>
          <w:p w14:paraId="16551320" w14:textId="77777777" w:rsidR="004837E1" w:rsidRPr="00733D17" w:rsidRDefault="004837E1" w:rsidP="003D4043">
            <w:pPr>
              <w:keepNext/>
              <w:ind w:left="-57"/>
              <w:rPr>
                <w:rFonts w:ascii="Arial Narrow" w:hAnsi="Arial Narrow" w:cs="Arial"/>
                <w:sz w:val="20"/>
                <w:szCs w:val="20"/>
              </w:rPr>
            </w:pPr>
            <w:r w:rsidRPr="00733D17">
              <w:rPr>
                <w:rFonts w:ascii="Arial Narrow" w:hAnsi="Arial Narrow" w:cs="Arial"/>
                <w:sz w:val="20"/>
                <w:szCs w:val="20"/>
              </w:rPr>
              <w:t>ASCIMINIB</w:t>
            </w:r>
          </w:p>
        </w:tc>
      </w:tr>
      <w:tr w:rsidR="004837E1" w:rsidRPr="00733D17" w14:paraId="65CFE456" w14:textId="77777777" w:rsidTr="00FD3D2F">
        <w:trPr>
          <w:cantSplit/>
          <w:trHeight w:val="347"/>
        </w:trPr>
        <w:tc>
          <w:tcPr>
            <w:tcW w:w="3964" w:type="dxa"/>
            <w:gridSpan w:val="3"/>
          </w:tcPr>
          <w:p w14:paraId="0ECB141B" w14:textId="77777777" w:rsidR="004837E1" w:rsidRPr="00733D17" w:rsidRDefault="004837E1" w:rsidP="003D4043">
            <w:pPr>
              <w:keepNext/>
              <w:ind w:left="-57"/>
              <w:rPr>
                <w:rFonts w:ascii="Arial Narrow" w:hAnsi="Arial Narrow" w:cs="Arial"/>
                <w:sz w:val="20"/>
                <w:szCs w:val="20"/>
              </w:rPr>
            </w:pPr>
            <w:r w:rsidRPr="00733D17">
              <w:rPr>
                <w:rFonts w:ascii="Arial Narrow" w:hAnsi="Arial Narrow" w:cs="Arial"/>
                <w:sz w:val="20"/>
                <w:szCs w:val="20"/>
              </w:rPr>
              <w:t>asciminib 40 mg tablet, 60</w:t>
            </w:r>
          </w:p>
        </w:tc>
        <w:tc>
          <w:tcPr>
            <w:tcW w:w="851" w:type="dxa"/>
          </w:tcPr>
          <w:p w14:paraId="1FCF06CF" w14:textId="77777777" w:rsidR="004837E1" w:rsidRPr="00733D17" w:rsidRDefault="004837E1" w:rsidP="003D4043">
            <w:pPr>
              <w:keepNext/>
              <w:jc w:val="center"/>
              <w:rPr>
                <w:rFonts w:ascii="Arial Narrow" w:hAnsi="Arial Narrow" w:cs="Arial"/>
                <w:sz w:val="20"/>
                <w:szCs w:val="20"/>
              </w:rPr>
            </w:pPr>
            <w:r w:rsidRPr="00733D17">
              <w:rPr>
                <w:rFonts w:ascii="Arial Narrow" w:hAnsi="Arial Narrow" w:cs="Arial"/>
                <w:sz w:val="20"/>
                <w:szCs w:val="20"/>
              </w:rPr>
              <w:t>NEW</w:t>
            </w:r>
          </w:p>
        </w:tc>
        <w:tc>
          <w:tcPr>
            <w:tcW w:w="850" w:type="dxa"/>
          </w:tcPr>
          <w:p w14:paraId="6444F31C" w14:textId="77777777" w:rsidR="004837E1" w:rsidRPr="00733D17" w:rsidRDefault="004837E1" w:rsidP="003D4043">
            <w:pPr>
              <w:keepNext/>
              <w:jc w:val="center"/>
              <w:rPr>
                <w:rFonts w:ascii="Arial Narrow" w:hAnsi="Arial Narrow" w:cs="Arial"/>
                <w:sz w:val="20"/>
                <w:szCs w:val="20"/>
              </w:rPr>
            </w:pPr>
            <w:r w:rsidRPr="00733D17">
              <w:rPr>
                <w:rFonts w:ascii="Arial Narrow" w:hAnsi="Arial Narrow" w:cs="Arial"/>
                <w:sz w:val="20"/>
                <w:szCs w:val="20"/>
              </w:rPr>
              <w:t>5</w:t>
            </w:r>
          </w:p>
        </w:tc>
        <w:tc>
          <w:tcPr>
            <w:tcW w:w="851" w:type="dxa"/>
          </w:tcPr>
          <w:p w14:paraId="442F770D" w14:textId="77777777" w:rsidR="004837E1" w:rsidRPr="00733D17" w:rsidRDefault="004837E1" w:rsidP="003D4043">
            <w:pPr>
              <w:keepNext/>
              <w:jc w:val="center"/>
              <w:rPr>
                <w:rFonts w:ascii="Arial Narrow" w:hAnsi="Arial Narrow" w:cs="Arial"/>
                <w:sz w:val="20"/>
                <w:szCs w:val="20"/>
              </w:rPr>
            </w:pPr>
            <w:r w:rsidRPr="00733D17">
              <w:rPr>
                <w:rFonts w:ascii="Arial Narrow" w:hAnsi="Arial Narrow" w:cs="Arial"/>
                <w:sz w:val="20"/>
                <w:szCs w:val="20"/>
              </w:rPr>
              <w:t>300</w:t>
            </w:r>
          </w:p>
        </w:tc>
        <w:tc>
          <w:tcPr>
            <w:tcW w:w="709" w:type="dxa"/>
          </w:tcPr>
          <w:p w14:paraId="6BF70D8E" w14:textId="77777777" w:rsidR="004837E1" w:rsidRPr="00733D17" w:rsidRDefault="004837E1" w:rsidP="003D4043">
            <w:pPr>
              <w:keepNext/>
              <w:jc w:val="center"/>
              <w:rPr>
                <w:rFonts w:ascii="Arial Narrow" w:hAnsi="Arial Narrow" w:cs="Arial"/>
                <w:sz w:val="20"/>
                <w:szCs w:val="20"/>
              </w:rPr>
            </w:pPr>
            <w:r w:rsidRPr="00733D17">
              <w:rPr>
                <w:rFonts w:ascii="Arial Narrow" w:hAnsi="Arial Narrow" w:cs="Arial"/>
                <w:sz w:val="20"/>
                <w:szCs w:val="20"/>
              </w:rPr>
              <w:t>5</w:t>
            </w:r>
          </w:p>
        </w:tc>
        <w:tc>
          <w:tcPr>
            <w:tcW w:w="1842" w:type="dxa"/>
          </w:tcPr>
          <w:p w14:paraId="7FCFE6A2" w14:textId="77777777" w:rsidR="004837E1" w:rsidRPr="00733D17" w:rsidRDefault="004837E1" w:rsidP="003D4043">
            <w:pPr>
              <w:keepNext/>
              <w:rPr>
                <w:rFonts w:ascii="Arial Narrow" w:hAnsi="Arial Narrow" w:cs="Arial"/>
                <w:sz w:val="20"/>
                <w:szCs w:val="20"/>
              </w:rPr>
            </w:pPr>
            <w:r w:rsidRPr="00733D17">
              <w:rPr>
                <w:rFonts w:ascii="Arial Narrow" w:hAnsi="Arial Narrow" w:cs="Arial"/>
                <w:sz w:val="20"/>
                <w:szCs w:val="20"/>
              </w:rPr>
              <w:t>scemblix</w:t>
            </w:r>
          </w:p>
        </w:tc>
      </w:tr>
      <w:tr w:rsidR="004837E1" w:rsidRPr="00733D17" w14:paraId="21F79059" w14:textId="77777777" w:rsidTr="00BA4108">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034FA848" w14:textId="77777777" w:rsidR="004837E1" w:rsidRPr="00733D17" w:rsidRDefault="004837E1" w:rsidP="003D4043">
            <w:pPr>
              <w:rPr>
                <w:rFonts w:ascii="Arial Narrow" w:hAnsi="Arial Narrow" w:cs="Arial"/>
                <w:b/>
                <w:sz w:val="20"/>
                <w:szCs w:val="20"/>
              </w:rPr>
            </w:pPr>
            <w:r w:rsidRPr="00733D17">
              <w:rPr>
                <w:rFonts w:ascii="Arial Narrow" w:hAnsi="Arial Narrow"/>
                <w:b/>
                <w:sz w:val="20"/>
                <w:szCs w:val="20"/>
              </w:rPr>
              <w:t xml:space="preserve">Restriction Summary [new] / Treatment of Concept: [new] </w:t>
            </w:r>
          </w:p>
        </w:tc>
      </w:tr>
      <w:tr w:rsidR="004837E1" w:rsidRPr="00733D17" w14:paraId="6FDB9C04"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7802AD0E" w14:textId="5752FC03" w:rsidR="004837E1" w:rsidRPr="00733D17" w:rsidRDefault="004837E1" w:rsidP="003D4043">
            <w:pPr>
              <w:jc w:val="center"/>
              <w:rPr>
                <w:rFonts w:ascii="Arial Narrow" w:hAnsi="Arial Narrow" w:cs="Arial"/>
                <w:sz w:val="20"/>
                <w:szCs w:val="20"/>
              </w:rPr>
            </w:pPr>
          </w:p>
          <w:p w14:paraId="19B5E029" w14:textId="77777777" w:rsidR="004837E1" w:rsidRPr="00733D17" w:rsidRDefault="004837E1" w:rsidP="003D4043">
            <w:pPr>
              <w:rPr>
                <w:rFonts w:ascii="Arial Narrow" w:hAnsi="Arial Narrow" w:cs="Arial"/>
                <w:i/>
                <w:sz w:val="20"/>
                <w:szCs w:val="20"/>
              </w:rPr>
            </w:pPr>
          </w:p>
          <w:p w14:paraId="716531EC" w14:textId="77777777" w:rsidR="004837E1" w:rsidRPr="00733D17" w:rsidRDefault="004837E1" w:rsidP="003D4043">
            <w:pPr>
              <w:rPr>
                <w:rFonts w:ascii="Arial Narrow" w:hAnsi="Arial Narrow" w:cs="Arial"/>
                <w:b/>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7255FDD" w14:textId="407087B6" w:rsidR="004837E1" w:rsidRPr="00733D17" w:rsidRDefault="004837E1" w:rsidP="003D4043">
            <w:pPr>
              <w:rPr>
                <w:rFonts w:ascii="Arial Narrow" w:hAnsi="Arial Narrow" w:cs="Arial"/>
                <w:sz w:val="20"/>
                <w:szCs w:val="20"/>
              </w:rPr>
            </w:pPr>
            <w:r w:rsidRPr="00733D17">
              <w:rPr>
                <w:rFonts w:ascii="Arial Narrow" w:hAnsi="Arial Narrow" w:cs="Arial"/>
                <w:b/>
                <w:sz w:val="20"/>
                <w:szCs w:val="20"/>
              </w:rPr>
              <w:t xml:space="preserve">Category / Program:   </w:t>
            </w:r>
            <w:r w:rsidRPr="00733D17">
              <w:rPr>
                <w:rFonts w:ascii="Arial Narrow" w:hAnsi="Arial Narrow" w:cs="Arial"/>
                <w:sz w:val="20"/>
                <w:szCs w:val="20"/>
              </w:rPr>
              <w:t>GENERAL – General Schedule (Code GE)</w:t>
            </w:r>
            <w:r w:rsidRPr="00733D17">
              <w:rPr>
                <w:rFonts w:ascii="Arial Narrow" w:hAnsi="Arial Narrow" w:cs="Arial"/>
                <w:color w:val="FF0000"/>
                <w:sz w:val="20"/>
                <w:szCs w:val="20"/>
              </w:rPr>
              <w:t xml:space="preserve"> </w:t>
            </w:r>
          </w:p>
        </w:tc>
      </w:tr>
      <w:tr w:rsidR="004837E1" w:rsidRPr="00733D17" w14:paraId="7D74DFE3" w14:textId="77777777" w:rsidTr="00BA4108">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56FD33AC" w14:textId="77777777" w:rsidR="004837E1" w:rsidRPr="00733D17" w:rsidRDefault="004837E1" w:rsidP="003D4043">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4AB42ED1" w14:textId="77777777" w:rsidR="004837E1" w:rsidRPr="00733D17" w:rsidRDefault="004837E1" w:rsidP="003D4043">
            <w:pPr>
              <w:rPr>
                <w:rFonts w:ascii="Arial Narrow" w:hAnsi="Arial Narrow" w:cs="Arial"/>
                <w:b/>
                <w:sz w:val="20"/>
                <w:szCs w:val="20"/>
              </w:rPr>
            </w:pPr>
            <w:r w:rsidRPr="00733D17">
              <w:rPr>
                <w:rFonts w:ascii="Arial Narrow" w:hAnsi="Arial Narrow" w:cs="Arial"/>
                <w:b/>
                <w:sz w:val="20"/>
                <w:szCs w:val="20"/>
              </w:rPr>
              <w:t>Prescriber type:</w:t>
            </w:r>
            <w:r w:rsidRPr="00733D17">
              <w:rPr>
                <w:rFonts w:ascii="Arial Narrow" w:hAnsi="Arial Narrow" w:cs="Arial"/>
                <w:sz w:val="20"/>
                <w:szCs w:val="20"/>
              </w:rPr>
              <w:t xml:space="preserve">    </w:t>
            </w:r>
            <w:r w:rsidRPr="00733D17">
              <w:rPr>
                <w:rFonts w:ascii="Arial Narrow" w:hAnsi="Arial Narrow" w:cs="Arial"/>
                <w:sz w:val="20"/>
                <w:szCs w:val="20"/>
              </w:rPr>
              <w:fldChar w:fldCharType="begin" w:fldLock="1">
                <w:ffData>
                  <w:name w:val=""/>
                  <w:enabled/>
                  <w:calcOnExit w:val="0"/>
                  <w:checkBox>
                    <w:sizeAuto/>
                    <w:default w:val="1"/>
                  </w:checkBox>
                </w:ffData>
              </w:fldChar>
            </w:r>
            <w:r w:rsidRPr="00733D17">
              <w:rPr>
                <w:rFonts w:ascii="Arial Narrow" w:hAnsi="Arial Narrow" w:cs="Arial"/>
                <w:sz w:val="20"/>
                <w:szCs w:val="20"/>
              </w:rPr>
              <w:instrText xml:space="preserve"> FORMCHECKBOX </w:instrText>
            </w:r>
            <w:r w:rsidR="00E53C72">
              <w:rPr>
                <w:rFonts w:ascii="Arial Narrow" w:hAnsi="Arial Narrow" w:cs="Arial"/>
                <w:sz w:val="20"/>
                <w:szCs w:val="20"/>
              </w:rPr>
            </w:r>
            <w:r w:rsidR="00E53C72">
              <w:rPr>
                <w:rFonts w:ascii="Arial Narrow" w:hAnsi="Arial Narrow" w:cs="Arial"/>
                <w:sz w:val="20"/>
                <w:szCs w:val="20"/>
              </w:rPr>
              <w:fldChar w:fldCharType="separate"/>
            </w:r>
            <w:r w:rsidRPr="00733D17">
              <w:rPr>
                <w:rFonts w:ascii="Arial Narrow" w:hAnsi="Arial Narrow" w:cs="Arial"/>
                <w:sz w:val="20"/>
                <w:szCs w:val="20"/>
              </w:rPr>
              <w:fldChar w:fldCharType="end"/>
            </w:r>
            <w:r w:rsidRPr="00733D17">
              <w:rPr>
                <w:rFonts w:ascii="Arial Narrow" w:hAnsi="Arial Narrow" w:cs="Arial"/>
                <w:sz w:val="20"/>
                <w:szCs w:val="20"/>
              </w:rPr>
              <w:t xml:space="preserve">Medical Practitioners </w:t>
            </w:r>
          </w:p>
        </w:tc>
      </w:tr>
      <w:tr w:rsidR="004837E1" w:rsidRPr="00733D17" w14:paraId="56A7DD61"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vMerge/>
            <w:tcBorders>
              <w:left w:val="single" w:sz="4" w:space="0" w:color="auto"/>
              <w:bottom w:val="single" w:sz="4" w:space="0" w:color="auto"/>
              <w:right w:val="single" w:sz="4" w:space="0" w:color="auto"/>
            </w:tcBorders>
          </w:tcPr>
          <w:p w14:paraId="07BE111D" w14:textId="77777777" w:rsidR="004837E1" w:rsidRPr="00733D17" w:rsidRDefault="004837E1" w:rsidP="003D4043">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21A32C93" w14:textId="77777777" w:rsidR="004837E1" w:rsidRPr="00733D17" w:rsidRDefault="004837E1" w:rsidP="003D4043">
            <w:pPr>
              <w:rPr>
                <w:rFonts w:ascii="Arial Narrow" w:hAnsi="Arial Narrow" w:cs="Arial"/>
                <w:b/>
                <w:sz w:val="20"/>
                <w:szCs w:val="20"/>
              </w:rPr>
            </w:pPr>
            <w:r w:rsidRPr="00733D17">
              <w:rPr>
                <w:rFonts w:ascii="Arial Narrow" w:hAnsi="Arial Narrow" w:cs="Arial"/>
                <w:b/>
                <w:sz w:val="20"/>
                <w:szCs w:val="20"/>
              </w:rPr>
              <w:t xml:space="preserve">Restriction type: </w:t>
            </w:r>
          </w:p>
          <w:p w14:paraId="0BF1CF3C" w14:textId="77777777" w:rsidR="004837E1" w:rsidRPr="00733D17" w:rsidRDefault="004837E1" w:rsidP="003D4043">
            <w:pPr>
              <w:rPr>
                <w:rFonts w:ascii="Arial Narrow" w:eastAsia="Calibri" w:hAnsi="Arial Narrow" w:cs="Arial"/>
                <w:color w:val="FF0000"/>
                <w:sz w:val="20"/>
                <w:szCs w:val="20"/>
              </w:rPr>
            </w:pPr>
            <w:r w:rsidRPr="00733D17">
              <w:rPr>
                <w:rFonts w:ascii="Arial Narrow" w:hAnsi="Arial Narrow" w:cs="Arial"/>
                <w:sz w:val="20"/>
                <w:szCs w:val="20"/>
              </w:rPr>
              <w:t xml:space="preserve"> </w:t>
            </w:r>
            <w:r w:rsidRPr="00733D17">
              <w:rPr>
                <w:rFonts w:ascii="Arial Narrow" w:hAnsi="Arial Narrow" w:cs="Arial"/>
                <w:sz w:val="20"/>
                <w:szCs w:val="20"/>
              </w:rPr>
              <w:fldChar w:fldCharType="begin" w:fldLock="1">
                <w:ffData>
                  <w:name w:val=""/>
                  <w:enabled/>
                  <w:calcOnExit w:val="0"/>
                  <w:checkBox>
                    <w:sizeAuto/>
                    <w:default w:val="1"/>
                  </w:checkBox>
                </w:ffData>
              </w:fldChar>
            </w:r>
            <w:r w:rsidRPr="00733D17">
              <w:rPr>
                <w:rFonts w:ascii="Arial Narrow" w:hAnsi="Arial Narrow" w:cs="Arial"/>
                <w:sz w:val="20"/>
                <w:szCs w:val="20"/>
              </w:rPr>
              <w:instrText xml:space="preserve"> FORMCHECKBOX </w:instrText>
            </w:r>
            <w:r w:rsidR="00E53C72">
              <w:rPr>
                <w:rFonts w:ascii="Arial Narrow" w:hAnsi="Arial Narrow" w:cs="Arial"/>
                <w:sz w:val="20"/>
                <w:szCs w:val="20"/>
              </w:rPr>
            </w:r>
            <w:r w:rsidR="00E53C72">
              <w:rPr>
                <w:rFonts w:ascii="Arial Narrow" w:hAnsi="Arial Narrow" w:cs="Arial"/>
                <w:sz w:val="20"/>
                <w:szCs w:val="20"/>
              </w:rPr>
              <w:fldChar w:fldCharType="separate"/>
            </w:r>
            <w:r w:rsidRPr="00733D17">
              <w:rPr>
                <w:rFonts w:ascii="Arial Narrow" w:hAnsi="Arial Narrow" w:cs="Arial"/>
                <w:sz w:val="20"/>
                <w:szCs w:val="20"/>
              </w:rPr>
              <w:fldChar w:fldCharType="end"/>
            </w:r>
            <w:r w:rsidRPr="00733D17">
              <w:rPr>
                <w:rFonts w:ascii="Arial Narrow" w:hAnsi="Arial Narrow" w:cs="Arial"/>
                <w:sz w:val="20"/>
                <w:szCs w:val="20"/>
              </w:rPr>
              <w:t xml:space="preserve"> </w:t>
            </w:r>
            <w:r w:rsidRPr="00733D17">
              <w:rPr>
                <w:rFonts w:ascii="Arial Narrow" w:eastAsia="Calibri" w:hAnsi="Arial Narrow" w:cs="Arial"/>
                <w:sz w:val="20"/>
                <w:szCs w:val="20"/>
              </w:rPr>
              <w:t>Authority Required – (in writing only via mail/postal service or electronic upload to Hobart)</w:t>
            </w:r>
          </w:p>
        </w:tc>
      </w:tr>
      <w:tr w:rsidR="00835D4A" w:rsidRPr="00733D17" w14:paraId="46307B5D" w14:textId="77777777" w:rsidTr="00BA4108">
        <w:tblPrEx>
          <w:tblCellMar>
            <w:top w:w="15" w:type="dxa"/>
            <w:left w:w="15" w:type="dxa"/>
            <w:bottom w:w="15" w:type="dxa"/>
            <w:right w:w="15" w:type="dxa"/>
          </w:tblCellMar>
          <w:tblLook w:val="04A0" w:firstRow="1" w:lastRow="0" w:firstColumn="1" w:lastColumn="0" w:noHBand="0" w:noVBand="1"/>
        </w:tblPrEx>
        <w:trPr>
          <w:trHeight w:val="229"/>
        </w:trPr>
        <w:tc>
          <w:tcPr>
            <w:tcW w:w="490" w:type="dxa"/>
            <w:vMerge w:val="restart"/>
            <w:tcBorders>
              <w:left w:val="single" w:sz="4" w:space="0" w:color="auto"/>
              <w:right w:val="single" w:sz="4" w:space="0" w:color="auto"/>
            </w:tcBorders>
            <w:textDirection w:val="btLr"/>
          </w:tcPr>
          <w:p w14:paraId="00E4AF01" w14:textId="77777777" w:rsidR="00835D4A" w:rsidRPr="00733D17" w:rsidRDefault="00835D4A" w:rsidP="003D4043">
            <w:pPr>
              <w:ind w:left="113" w:right="113"/>
              <w:rPr>
                <w:rFonts w:ascii="Arial Narrow" w:hAnsi="Arial Narrow" w:cs="Arial"/>
                <w:sz w:val="20"/>
                <w:szCs w:val="20"/>
              </w:rPr>
            </w:pPr>
            <w:r w:rsidRPr="00733D17">
              <w:rPr>
                <w:rFonts w:ascii="Arial Narrow" w:hAnsi="Arial Narrow" w:cs="Arial"/>
                <w:sz w:val="20"/>
                <w:szCs w:val="20"/>
              </w:rPr>
              <w:t>Prescribing rule level</w:t>
            </w:r>
          </w:p>
        </w:tc>
        <w:tc>
          <w:tcPr>
            <w:tcW w:w="491" w:type="dxa"/>
          </w:tcPr>
          <w:p w14:paraId="601A67E4" w14:textId="59758E7A" w:rsidR="00835D4A" w:rsidRPr="00733D17" w:rsidRDefault="00835D4A" w:rsidP="003D4043">
            <w:pPr>
              <w:jc w:val="center"/>
              <w:rPr>
                <w:rFonts w:ascii="Arial Narrow" w:hAnsi="Arial Narrow"/>
                <w:color w:val="333333"/>
                <w:sz w:val="20"/>
                <w:szCs w:val="20"/>
              </w:rPr>
            </w:pPr>
          </w:p>
        </w:tc>
        <w:tc>
          <w:tcPr>
            <w:tcW w:w="8086" w:type="dxa"/>
            <w:gridSpan w:val="6"/>
          </w:tcPr>
          <w:p w14:paraId="70108E50" w14:textId="77777777" w:rsidR="00835D4A" w:rsidRPr="00733D17" w:rsidRDefault="00835D4A" w:rsidP="003D4043">
            <w:pPr>
              <w:rPr>
                <w:rFonts w:ascii="Arial Narrow" w:hAnsi="Arial Narrow"/>
                <w:color w:val="333333"/>
                <w:sz w:val="20"/>
                <w:szCs w:val="20"/>
              </w:rPr>
            </w:pPr>
            <w:r w:rsidRPr="00733D17">
              <w:rPr>
                <w:rFonts w:ascii="Arial Narrow" w:hAnsi="Arial Narrow"/>
                <w:b/>
                <w:bCs/>
                <w:sz w:val="20"/>
                <w:szCs w:val="20"/>
              </w:rPr>
              <w:t>Administrative Advice:</w:t>
            </w:r>
            <w:r w:rsidRPr="00733D17">
              <w:rPr>
                <w:rFonts w:ascii="Arial Narrow" w:hAnsi="Arial Narrow"/>
                <w:sz w:val="20"/>
                <w:szCs w:val="20"/>
              </w:rPr>
              <w:t xml:space="preserve"> Special Pricing Arrangements apply.</w:t>
            </w:r>
          </w:p>
        </w:tc>
      </w:tr>
      <w:tr w:rsidR="00835D4A" w:rsidRPr="00733D17" w14:paraId="21508682" w14:textId="77777777" w:rsidTr="00BA4108">
        <w:tblPrEx>
          <w:tblCellMar>
            <w:top w:w="15" w:type="dxa"/>
            <w:left w:w="15" w:type="dxa"/>
            <w:bottom w:w="15" w:type="dxa"/>
            <w:right w:w="15" w:type="dxa"/>
          </w:tblCellMar>
        </w:tblPrEx>
        <w:trPr>
          <w:trHeight w:val="360"/>
        </w:trPr>
        <w:tc>
          <w:tcPr>
            <w:tcW w:w="490" w:type="dxa"/>
            <w:vMerge/>
            <w:tcBorders>
              <w:left w:val="single" w:sz="4" w:space="0" w:color="auto"/>
              <w:right w:val="single" w:sz="4" w:space="0" w:color="auto"/>
            </w:tcBorders>
            <w:textDirection w:val="btLr"/>
          </w:tcPr>
          <w:p w14:paraId="4CF972A1" w14:textId="77777777" w:rsidR="00835D4A" w:rsidRPr="00733D17" w:rsidRDefault="00835D4A" w:rsidP="003D4043">
            <w:pPr>
              <w:ind w:left="113" w:right="113"/>
              <w:rPr>
                <w:rFonts w:ascii="Arial Narrow" w:hAnsi="Arial Narrow" w:cs="Arial"/>
                <w:sz w:val="20"/>
                <w:szCs w:val="20"/>
              </w:rPr>
            </w:pPr>
          </w:p>
        </w:tc>
        <w:tc>
          <w:tcPr>
            <w:tcW w:w="491" w:type="dxa"/>
          </w:tcPr>
          <w:p w14:paraId="18AF6E25" w14:textId="0DE7BDEF" w:rsidR="00835D4A" w:rsidRPr="00733D17" w:rsidRDefault="00835D4A" w:rsidP="003D4043">
            <w:pPr>
              <w:jc w:val="center"/>
              <w:rPr>
                <w:rFonts w:ascii="Arial Narrow" w:hAnsi="Arial Narrow"/>
                <w:sz w:val="20"/>
                <w:szCs w:val="20"/>
              </w:rPr>
            </w:pPr>
          </w:p>
        </w:tc>
        <w:tc>
          <w:tcPr>
            <w:tcW w:w="8086" w:type="dxa"/>
            <w:gridSpan w:val="6"/>
          </w:tcPr>
          <w:p w14:paraId="1D214B40" w14:textId="77777777" w:rsidR="00835D4A" w:rsidRPr="00733D17" w:rsidRDefault="00835D4A" w:rsidP="003D4043">
            <w:pPr>
              <w:rPr>
                <w:rFonts w:ascii="Arial Narrow" w:hAnsi="Arial Narrow" w:cstheme="minorHAnsi"/>
                <w:b/>
                <w:bCs/>
                <w:sz w:val="20"/>
                <w:szCs w:val="20"/>
              </w:rPr>
            </w:pPr>
            <w:r w:rsidRPr="00733D17">
              <w:rPr>
                <w:rFonts w:ascii="Arial Narrow" w:hAnsi="Arial Narrow" w:cs="Arial"/>
                <w:b/>
                <w:bCs/>
                <w:sz w:val="20"/>
                <w:szCs w:val="20"/>
              </w:rPr>
              <w:t xml:space="preserve">Administrative Advice: </w:t>
            </w:r>
            <w:r w:rsidRPr="00733D17">
              <w:rPr>
                <w:rFonts w:ascii="Arial Narrow" w:hAnsi="Arial Narrow" w:cs="Arial"/>
                <w:sz w:val="20"/>
                <w:szCs w:val="20"/>
              </w:rPr>
              <w:t>No increase in the maximum quantity or number of units may be authorised.</w:t>
            </w:r>
          </w:p>
        </w:tc>
      </w:tr>
      <w:tr w:rsidR="00835D4A" w:rsidRPr="00733D17" w14:paraId="21BA68AF" w14:textId="77777777" w:rsidTr="00FD3D2F">
        <w:tblPrEx>
          <w:tblCellMar>
            <w:top w:w="15" w:type="dxa"/>
            <w:left w:w="15" w:type="dxa"/>
            <w:bottom w:w="15" w:type="dxa"/>
            <w:right w:w="15" w:type="dxa"/>
          </w:tblCellMar>
        </w:tblPrEx>
        <w:trPr>
          <w:trHeight w:val="436"/>
        </w:trPr>
        <w:tc>
          <w:tcPr>
            <w:tcW w:w="490" w:type="dxa"/>
            <w:vMerge/>
            <w:tcBorders>
              <w:left w:val="single" w:sz="4" w:space="0" w:color="auto"/>
              <w:right w:val="single" w:sz="4" w:space="0" w:color="auto"/>
            </w:tcBorders>
            <w:textDirection w:val="btLr"/>
          </w:tcPr>
          <w:p w14:paraId="2944DBCE" w14:textId="77777777" w:rsidR="00835D4A" w:rsidRPr="00733D17" w:rsidRDefault="00835D4A" w:rsidP="003D4043">
            <w:pPr>
              <w:ind w:left="113" w:right="113"/>
              <w:rPr>
                <w:rFonts w:ascii="Arial Narrow" w:hAnsi="Arial Narrow" w:cs="Arial"/>
                <w:sz w:val="20"/>
                <w:szCs w:val="20"/>
              </w:rPr>
            </w:pPr>
          </w:p>
        </w:tc>
        <w:tc>
          <w:tcPr>
            <w:tcW w:w="491" w:type="dxa"/>
          </w:tcPr>
          <w:p w14:paraId="51B1389D" w14:textId="0E6E249D" w:rsidR="00835D4A" w:rsidRPr="00733D17" w:rsidRDefault="00835D4A" w:rsidP="003D4043">
            <w:pPr>
              <w:jc w:val="center"/>
              <w:rPr>
                <w:rFonts w:ascii="Arial Narrow" w:hAnsi="Arial Narrow"/>
                <w:sz w:val="20"/>
                <w:szCs w:val="20"/>
              </w:rPr>
            </w:pPr>
          </w:p>
        </w:tc>
        <w:tc>
          <w:tcPr>
            <w:tcW w:w="8086" w:type="dxa"/>
            <w:gridSpan w:val="6"/>
          </w:tcPr>
          <w:p w14:paraId="16D5C384" w14:textId="77777777" w:rsidR="00835D4A" w:rsidRPr="00733D17" w:rsidRDefault="00835D4A" w:rsidP="003D4043">
            <w:pPr>
              <w:rPr>
                <w:rFonts w:ascii="Arial Narrow" w:hAnsi="Arial Narrow" w:cstheme="minorHAnsi"/>
                <w:b/>
                <w:bCs/>
                <w:sz w:val="20"/>
                <w:szCs w:val="20"/>
              </w:rPr>
            </w:pPr>
            <w:r w:rsidRPr="00733D17">
              <w:rPr>
                <w:rFonts w:ascii="Arial Narrow" w:hAnsi="Arial Narrow" w:cs="Arial"/>
                <w:b/>
                <w:bCs/>
                <w:sz w:val="20"/>
                <w:szCs w:val="20"/>
              </w:rPr>
              <w:t xml:space="preserve">Administrative Advice: </w:t>
            </w:r>
            <w:r w:rsidRPr="00733D17">
              <w:rPr>
                <w:rFonts w:ascii="Arial Narrow" w:hAnsi="Arial Narrow" w:cs="Arial"/>
                <w:sz w:val="20"/>
                <w:szCs w:val="20"/>
              </w:rPr>
              <w:t>No increase in the maximum number of repeats may be authorised.</w:t>
            </w:r>
          </w:p>
        </w:tc>
      </w:tr>
      <w:tr w:rsidR="004837E1" w:rsidRPr="00733D17" w14:paraId="0E80ACA0"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Pr>
          <w:p w14:paraId="25F5B92C"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5ECD8BFF" w14:textId="77777777" w:rsidR="004837E1" w:rsidRPr="00733D17" w:rsidRDefault="004837E1" w:rsidP="003D4043">
            <w:pPr>
              <w:rPr>
                <w:rFonts w:ascii="Arial Narrow" w:hAnsi="Arial Narrow"/>
                <w:bCs/>
                <w:color w:val="A6A6A6" w:themeColor="background1" w:themeShade="A6"/>
                <w:sz w:val="20"/>
                <w:szCs w:val="20"/>
              </w:rPr>
            </w:pPr>
            <w:r w:rsidRPr="00733D17">
              <w:rPr>
                <w:rFonts w:ascii="Arial Narrow" w:hAnsi="Arial Narrow"/>
                <w:b/>
                <w:bCs/>
                <w:color w:val="A6A6A6" w:themeColor="background1" w:themeShade="A6"/>
                <w:sz w:val="20"/>
                <w:szCs w:val="20"/>
              </w:rPr>
              <w:t xml:space="preserve">Episodicity: </w:t>
            </w:r>
            <w:r w:rsidRPr="00733D17">
              <w:rPr>
                <w:rFonts w:ascii="Arial Narrow" w:hAnsi="Arial Narrow"/>
                <w:bCs/>
                <w:color w:val="A6A6A6" w:themeColor="background1" w:themeShade="A6"/>
                <w:sz w:val="20"/>
                <w:szCs w:val="20"/>
              </w:rPr>
              <w:t>Chronic</w:t>
            </w:r>
          </w:p>
        </w:tc>
      </w:tr>
      <w:tr w:rsidR="004837E1" w:rsidRPr="00733D17" w14:paraId="0B4B3803"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vMerge/>
          </w:tcPr>
          <w:p w14:paraId="796B3AAE"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21B72D22" w14:textId="77777777" w:rsidR="004837E1" w:rsidRPr="00733D17" w:rsidRDefault="004837E1" w:rsidP="003D4043">
            <w:pPr>
              <w:rPr>
                <w:rFonts w:ascii="Arial Narrow" w:hAnsi="Arial Narrow"/>
                <w:b/>
                <w:bCs/>
                <w:color w:val="A6A6A6" w:themeColor="background1" w:themeShade="A6"/>
                <w:sz w:val="20"/>
                <w:szCs w:val="20"/>
              </w:rPr>
            </w:pPr>
            <w:r w:rsidRPr="00733D17">
              <w:rPr>
                <w:rFonts w:ascii="Arial Narrow" w:hAnsi="Arial Narrow"/>
                <w:b/>
                <w:bCs/>
                <w:color w:val="A6A6A6" w:themeColor="background1" w:themeShade="A6"/>
                <w:sz w:val="20"/>
                <w:szCs w:val="20"/>
              </w:rPr>
              <w:t xml:space="preserve">Severity: </w:t>
            </w:r>
            <w:r w:rsidRPr="00733D17">
              <w:rPr>
                <w:rFonts w:ascii="Arial Narrow" w:hAnsi="Arial Narrow"/>
                <w:bCs/>
                <w:color w:val="A6A6A6" w:themeColor="background1" w:themeShade="A6"/>
                <w:sz w:val="20"/>
                <w:szCs w:val="20"/>
              </w:rPr>
              <w:t>[blank]</w:t>
            </w:r>
          </w:p>
        </w:tc>
      </w:tr>
      <w:tr w:rsidR="004837E1" w:rsidRPr="00733D17" w14:paraId="5A76C7A6"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vMerge/>
          </w:tcPr>
          <w:p w14:paraId="5FB08994"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129ADF57" w14:textId="77777777" w:rsidR="004837E1" w:rsidRPr="00733D17" w:rsidRDefault="004837E1" w:rsidP="003D4043">
            <w:pPr>
              <w:rPr>
                <w:rFonts w:ascii="Arial Narrow" w:hAnsi="Arial Narrow"/>
                <w:b/>
                <w:bCs/>
                <w:color w:val="A6A6A6" w:themeColor="background1" w:themeShade="A6"/>
                <w:sz w:val="20"/>
                <w:szCs w:val="20"/>
              </w:rPr>
            </w:pPr>
            <w:r w:rsidRPr="00733D17">
              <w:rPr>
                <w:rFonts w:ascii="Arial Narrow" w:hAnsi="Arial Narrow"/>
                <w:b/>
                <w:bCs/>
                <w:color w:val="A6A6A6" w:themeColor="background1" w:themeShade="A6"/>
                <w:sz w:val="20"/>
                <w:szCs w:val="20"/>
              </w:rPr>
              <w:t xml:space="preserve">Condition: </w:t>
            </w:r>
            <w:r w:rsidRPr="00733D17">
              <w:rPr>
                <w:rFonts w:ascii="Arial Narrow" w:hAnsi="Arial Narrow"/>
                <w:bCs/>
                <w:color w:val="A6A6A6" w:themeColor="background1" w:themeShade="A6"/>
                <w:sz w:val="20"/>
                <w:szCs w:val="20"/>
              </w:rPr>
              <w:t>myeloid leukaemia</w:t>
            </w:r>
          </w:p>
        </w:tc>
      </w:tr>
      <w:tr w:rsidR="004837E1" w:rsidRPr="00733D17" w14:paraId="7AFA087D" w14:textId="77777777" w:rsidTr="00075C73">
        <w:tblPrEx>
          <w:tblCellMar>
            <w:top w:w="15" w:type="dxa"/>
            <w:left w:w="15" w:type="dxa"/>
            <w:bottom w:w="15" w:type="dxa"/>
            <w:right w:w="15" w:type="dxa"/>
          </w:tblCellMar>
          <w:tblLook w:val="04A0" w:firstRow="1" w:lastRow="0" w:firstColumn="1" w:lastColumn="0" w:noHBand="0" w:noVBand="1"/>
        </w:tblPrEx>
        <w:tc>
          <w:tcPr>
            <w:tcW w:w="981" w:type="dxa"/>
            <w:gridSpan w:val="2"/>
          </w:tcPr>
          <w:p w14:paraId="19D60A3E" w14:textId="48559612" w:rsidR="004837E1" w:rsidRPr="00733D17" w:rsidRDefault="004837E1" w:rsidP="003D4043">
            <w:pPr>
              <w:jc w:val="center"/>
              <w:rPr>
                <w:rFonts w:ascii="Arial Narrow" w:hAnsi="Arial Narrow"/>
                <w:color w:val="333333"/>
                <w:sz w:val="20"/>
                <w:szCs w:val="20"/>
                <w:highlight w:val="yellow"/>
              </w:rPr>
            </w:pPr>
          </w:p>
        </w:tc>
        <w:tc>
          <w:tcPr>
            <w:tcW w:w="8086" w:type="dxa"/>
            <w:gridSpan w:val="6"/>
            <w:hideMark/>
          </w:tcPr>
          <w:p w14:paraId="4353A552" w14:textId="77777777" w:rsidR="004837E1" w:rsidRPr="00733D17" w:rsidRDefault="004837E1" w:rsidP="003D4043">
            <w:pPr>
              <w:rPr>
                <w:rFonts w:ascii="Arial Narrow" w:hAnsi="Arial Narrow"/>
                <w:color w:val="333333"/>
                <w:sz w:val="20"/>
                <w:szCs w:val="20"/>
              </w:rPr>
            </w:pPr>
            <w:r w:rsidRPr="00733D17">
              <w:rPr>
                <w:rFonts w:ascii="Arial Narrow" w:hAnsi="Arial Narrow"/>
                <w:b/>
                <w:bCs/>
                <w:color w:val="333333"/>
                <w:sz w:val="20"/>
                <w:szCs w:val="20"/>
              </w:rPr>
              <w:t>Indication:</w:t>
            </w:r>
            <w:r w:rsidRPr="00733D17">
              <w:rPr>
                <w:rFonts w:ascii="Arial Narrow" w:hAnsi="Arial Narrow"/>
                <w:color w:val="333333"/>
                <w:sz w:val="20"/>
                <w:szCs w:val="20"/>
              </w:rPr>
              <w:t xml:space="preserve"> Chronic myeloid leukaemia</w:t>
            </w:r>
          </w:p>
        </w:tc>
      </w:tr>
      <w:tr w:rsidR="004837E1" w:rsidRPr="00733D17" w14:paraId="7F8542F1"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6FA3A35C"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73BEF336" w14:textId="77777777" w:rsidR="004837E1" w:rsidRPr="00733D17" w:rsidRDefault="004837E1" w:rsidP="003D4043">
            <w:pPr>
              <w:rPr>
                <w:rFonts w:ascii="Arial Narrow" w:hAnsi="Arial Narrow"/>
                <w:color w:val="333333"/>
                <w:sz w:val="20"/>
                <w:szCs w:val="20"/>
              </w:rPr>
            </w:pPr>
            <w:r w:rsidRPr="00733D17">
              <w:rPr>
                <w:rFonts w:ascii="Arial Narrow" w:hAnsi="Arial Narrow"/>
                <w:b/>
                <w:bCs/>
                <w:color w:val="333333"/>
                <w:sz w:val="20"/>
                <w:szCs w:val="20"/>
              </w:rPr>
              <w:t>Treatment Phase:</w:t>
            </w:r>
            <w:r w:rsidRPr="00733D17">
              <w:rPr>
                <w:rFonts w:ascii="Arial Narrow" w:hAnsi="Arial Narrow"/>
                <w:color w:val="333333"/>
                <w:sz w:val="20"/>
                <w:szCs w:val="20"/>
              </w:rPr>
              <w:t xml:space="preserve"> Initial PBS-subsidised treatment for patients with T315I mutation</w:t>
            </w:r>
          </w:p>
        </w:tc>
      </w:tr>
      <w:tr w:rsidR="004837E1" w:rsidRPr="00733D17" w14:paraId="6212AB77"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48F318C3" w14:textId="166B16AB"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3109DA91" w14:textId="77777777" w:rsidR="004837E1" w:rsidRPr="00733D17" w:rsidRDefault="004837E1" w:rsidP="003D4043">
            <w:pPr>
              <w:rPr>
                <w:rFonts w:ascii="Arial Narrow" w:hAnsi="Arial Narrow"/>
                <w:color w:val="333333"/>
                <w:sz w:val="20"/>
                <w:szCs w:val="20"/>
              </w:rPr>
            </w:pPr>
            <w:r w:rsidRPr="00733D17">
              <w:rPr>
                <w:rFonts w:ascii="Arial Narrow" w:hAnsi="Arial Narrow" w:cstheme="minorHAnsi"/>
                <w:b/>
                <w:bCs/>
                <w:sz w:val="20"/>
                <w:szCs w:val="20"/>
              </w:rPr>
              <w:t>Clinical criteria:</w:t>
            </w:r>
          </w:p>
        </w:tc>
      </w:tr>
      <w:tr w:rsidR="004837E1" w:rsidRPr="00733D17" w14:paraId="13D122FC"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0148D651" w14:textId="255167B4"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62528BFC" w14:textId="5475CDE6" w:rsidR="004837E1" w:rsidRPr="00733D17" w:rsidRDefault="004837E1" w:rsidP="00716D0B">
            <w:pPr>
              <w:jc w:val="left"/>
              <w:rPr>
                <w:rFonts w:ascii="Arial Narrow" w:hAnsi="Arial Narrow"/>
                <w:color w:val="333333"/>
                <w:sz w:val="20"/>
                <w:szCs w:val="20"/>
              </w:rPr>
            </w:pPr>
            <w:r w:rsidRPr="00733D17">
              <w:rPr>
                <w:rFonts w:ascii="Arial Narrow" w:hAnsi="Arial Narrow" w:cstheme="minorHAnsi"/>
                <w:sz w:val="20"/>
                <w:szCs w:val="20"/>
              </w:rPr>
              <w:t xml:space="preserve">The condition must </w:t>
            </w:r>
            <w:r w:rsidR="0035437E">
              <w:rPr>
                <w:rFonts w:ascii="Arial Narrow" w:hAnsi="Arial Narrow" w:cstheme="minorHAnsi"/>
                <w:sz w:val="20"/>
                <w:szCs w:val="20"/>
              </w:rPr>
              <w:t xml:space="preserve">not </w:t>
            </w:r>
            <w:r w:rsidRPr="00733D17">
              <w:rPr>
                <w:rFonts w:ascii="Arial Narrow" w:hAnsi="Arial Narrow" w:cstheme="minorHAnsi"/>
                <w:sz w:val="20"/>
                <w:szCs w:val="20"/>
              </w:rPr>
              <w:t>be in the</w:t>
            </w:r>
            <w:r w:rsidR="0035437E">
              <w:rPr>
                <w:rFonts w:ascii="Arial Narrow" w:hAnsi="Arial Narrow" w:cstheme="minorHAnsi"/>
                <w:sz w:val="20"/>
                <w:szCs w:val="20"/>
              </w:rPr>
              <w:t xml:space="preserve"> blast</w:t>
            </w:r>
            <w:r w:rsidRPr="00733D17">
              <w:rPr>
                <w:rFonts w:ascii="Arial Narrow" w:hAnsi="Arial Narrow" w:cstheme="minorHAnsi"/>
                <w:sz w:val="20"/>
                <w:szCs w:val="20"/>
              </w:rPr>
              <w:t xml:space="preserve">  phase</w:t>
            </w:r>
          </w:p>
        </w:tc>
      </w:tr>
      <w:tr w:rsidR="004837E1" w:rsidRPr="00733D17" w14:paraId="2B59FCA6"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5937D3B8"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4DC22032" w14:textId="77777777" w:rsidR="004837E1" w:rsidRPr="00733D17" w:rsidRDefault="004837E1" w:rsidP="003D4043">
            <w:pPr>
              <w:rPr>
                <w:rFonts w:ascii="Arial Narrow" w:hAnsi="Arial Narrow"/>
                <w:b/>
                <w:bCs/>
                <w:sz w:val="20"/>
                <w:szCs w:val="20"/>
              </w:rPr>
            </w:pPr>
            <w:r w:rsidRPr="00733D17">
              <w:rPr>
                <w:rFonts w:ascii="Arial Narrow" w:hAnsi="Arial Narrow"/>
                <w:b/>
                <w:bCs/>
                <w:sz w:val="20"/>
                <w:szCs w:val="20"/>
              </w:rPr>
              <w:t xml:space="preserve">AND </w:t>
            </w:r>
          </w:p>
        </w:tc>
      </w:tr>
      <w:tr w:rsidR="004837E1" w:rsidRPr="00733D17" w14:paraId="39FE4831"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363E4805"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0E5DA7E2" w14:textId="77777777" w:rsidR="004837E1" w:rsidRPr="00733D17" w:rsidRDefault="004837E1" w:rsidP="003D4043">
            <w:pPr>
              <w:rPr>
                <w:rFonts w:ascii="Arial Narrow" w:hAnsi="Arial Narrow"/>
                <w:b/>
                <w:bCs/>
                <w:sz w:val="20"/>
                <w:szCs w:val="20"/>
              </w:rPr>
            </w:pPr>
            <w:r w:rsidRPr="00733D17">
              <w:rPr>
                <w:rFonts w:ascii="Arial Narrow" w:hAnsi="Arial Narrow"/>
                <w:b/>
                <w:bCs/>
                <w:sz w:val="20"/>
                <w:szCs w:val="20"/>
              </w:rPr>
              <w:t>Clinical criteria:</w:t>
            </w:r>
          </w:p>
        </w:tc>
      </w:tr>
      <w:tr w:rsidR="004837E1" w:rsidRPr="00733D17" w14:paraId="74A899EB"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6B245764" w14:textId="3F04261A"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6C397E21" w14:textId="77777777" w:rsidR="004837E1" w:rsidRPr="00733D17" w:rsidRDefault="004837E1" w:rsidP="003D4043">
            <w:pPr>
              <w:rPr>
                <w:rFonts w:ascii="Arial Narrow" w:hAnsi="Arial Narrow"/>
                <w:sz w:val="20"/>
                <w:szCs w:val="20"/>
              </w:rPr>
            </w:pPr>
            <w:r w:rsidRPr="00733D17">
              <w:rPr>
                <w:rFonts w:ascii="Arial Narrow" w:hAnsi="Arial Narrow"/>
                <w:sz w:val="20"/>
                <w:szCs w:val="20"/>
              </w:rPr>
              <w:t>The treatment must be the sole PBS-subsidised therapy for this condition,</w:t>
            </w:r>
          </w:p>
        </w:tc>
      </w:tr>
      <w:tr w:rsidR="004837E1" w:rsidRPr="00733D17" w14:paraId="439CD467"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0325B5CD"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58BC1C77" w14:textId="77777777" w:rsidR="004837E1" w:rsidRPr="00733D17" w:rsidRDefault="004837E1" w:rsidP="003D4043">
            <w:pPr>
              <w:rPr>
                <w:rFonts w:ascii="Arial Narrow" w:hAnsi="Arial Narrow"/>
                <w:color w:val="333333"/>
                <w:sz w:val="20"/>
                <w:szCs w:val="20"/>
              </w:rPr>
            </w:pPr>
            <w:r w:rsidRPr="00733D17">
              <w:rPr>
                <w:rFonts w:ascii="Arial Narrow" w:hAnsi="Arial Narrow"/>
                <w:b/>
                <w:bCs/>
                <w:sz w:val="20"/>
                <w:szCs w:val="20"/>
              </w:rPr>
              <w:t>AND</w:t>
            </w:r>
          </w:p>
        </w:tc>
      </w:tr>
      <w:tr w:rsidR="004837E1" w:rsidRPr="00733D17" w14:paraId="3422AD6A"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728D55B9" w14:textId="1D3698C0"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331E8009" w14:textId="77777777" w:rsidR="004837E1" w:rsidRPr="00733D17" w:rsidRDefault="004837E1" w:rsidP="003D4043">
            <w:pPr>
              <w:rPr>
                <w:rFonts w:ascii="Arial Narrow" w:hAnsi="Arial Narrow"/>
                <w:b/>
                <w:bCs/>
                <w:sz w:val="20"/>
                <w:szCs w:val="20"/>
              </w:rPr>
            </w:pPr>
            <w:r w:rsidRPr="00733D17">
              <w:rPr>
                <w:rFonts w:ascii="Arial Narrow" w:hAnsi="Arial Narrow"/>
                <w:b/>
                <w:bCs/>
                <w:sz w:val="20"/>
                <w:szCs w:val="20"/>
              </w:rPr>
              <w:t>Clinical criteria:</w:t>
            </w:r>
          </w:p>
        </w:tc>
      </w:tr>
      <w:tr w:rsidR="004837E1" w:rsidRPr="00733D17" w14:paraId="6C34CBBC"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316394AC" w14:textId="528EC767"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544B6A2B" w14:textId="77777777" w:rsidR="004837E1" w:rsidRPr="00733D17" w:rsidRDefault="004837E1" w:rsidP="003D4043">
            <w:pPr>
              <w:rPr>
                <w:rFonts w:ascii="Arial Narrow" w:hAnsi="Arial Narrow"/>
                <w:b/>
                <w:bCs/>
                <w:sz w:val="20"/>
                <w:szCs w:val="20"/>
              </w:rPr>
            </w:pPr>
            <w:r w:rsidRPr="00733D17">
              <w:rPr>
                <w:rFonts w:ascii="Arial Narrow" w:hAnsi="Arial Narrow"/>
                <w:color w:val="333333"/>
                <w:sz w:val="20"/>
                <w:szCs w:val="20"/>
              </w:rPr>
              <w:t>The condition must be expressing the T315I mutation confirmed through a bone marrow biopsy pathology report</w:t>
            </w:r>
          </w:p>
        </w:tc>
      </w:tr>
      <w:tr w:rsidR="004837E1" w:rsidRPr="00733D17" w14:paraId="48231A1D"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4078DC84" w14:textId="77777777" w:rsidR="004837E1" w:rsidRPr="00733D17" w:rsidRDefault="004837E1" w:rsidP="003D4043">
            <w:pPr>
              <w:jc w:val="center"/>
              <w:rPr>
                <w:rFonts w:ascii="Arial Narrow" w:hAnsi="Arial Narrow"/>
                <w:b/>
                <w:bCs/>
                <w:color w:val="333333"/>
                <w:sz w:val="20"/>
                <w:szCs w:val="20"/>
                <w:highlight w:val="yellow"/>
              </w:rPr>
            </w:pPr>
          </w:p>
        </w:tc>
        <w:tc>
          <w:tcPr>
            <w:tcW w:w="8086" w:type="dxa"/>
            <w:gridSpan w:val="6"/>
          </w:tcPr>
          <w:p w14:paraId="77B0791C" w14:textId="77777777" w:rsidR="004837E1" w:rsidRPr="00733D17" w:rsidRDefault="004837E1" w:rsidP="003D4043">
            <w:pPr>
              <w:rPr>
                <w:rFonts w:ascii="Arial Narrow" w:hAnsi="Arial Narrow"/>
                <w:b/>
                <w:bCs/>
                <w:color w:val="333333"/>
                <w:sz w:val="20"/>
                <w:szCs w:val="20"/>
              </w:rPr>
            </w:pPr>
            <w:r w:rsidRPr="00733D17">
              <w:rPr>
                <w:rFonts w:ascii="Arial Narrow" w:hAnsi="Arial Narrow"/>
                <w:b/>
                <w:bCs/>
                <w:color w:val="333333"/>
                <w:sz w:val="20"/>
                <w:szCs w:val="20"/>
              </w:rPr>
              <w:t>AND</w:t>
            </w:r>
          </w:p>
        </w:tc>
      </w:tr>
      <w:tr w:rsidR="004837E1" w:rsidRPr="00733D17" w14:paraId="3E89605E"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05AD9697" w14:textId="4A84A976"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6F76E057" w14:textId="77777777" w:rsidR="004837E1" w:rsidRPr="00733D17" w:rsidRDefault="004837E1" w:rsidP="003D4043">
            <w:pPr>
              <w:rPr>
                <w:rFonts w:ascii="Arial Narrow" w:hAnsi="Arial Narrow"/>
                <w:color w:val="333333"/>
                <w:sz w:val="20"/>
                <w:szCs w:val="20"/>
              </w:rPr>
            </w:pPr>
            <w:r w:rsidRPr="00733D17">
              <w:rPr>
                <w:rFonts w:ascii="Arial Narrow" w:hAnsi="Arial Narrow"/>
                <w:b/>
                <w:bCs/>
                <w:sz w:val="20"/>
                <w:szCs w:val="20"/>
              </w:rPr>
              <w:t>Clinical criteria:</w:t>
            </w:r>
          </w:p>
        </w:tc>
      </w:tr>
      <w:tr w:rsidR="004837E1" w:rsidRPr="00733D17" w14:paraId="41984967"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18A2350D"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21D9F4FD" w14:textId="77777777" w:rsidR="004837E1" w:rsidRPr="00733D17" w:rsidRDefault="004837E1" w:rsidP="003D4043">
            <w:pPr>
              <w:rPr>
                <w:rFonts w:ascii="Arial Narrow" w:hAnsi="Arial Narrow"/>
                <w:color w:val="333333"/>
                <w:sz w:val="20"/>
                <w:szCs w:val="20"/>
              </w:rPr>
            </w:pPr>
            <w:r w:rsidRPr="00733D17">
              <w:rPr>
                <w:rFonts w:ascii="Arial Narrow" w:hAnsi="Arial Narrow"/>
                <w:sz w:val="20"/>
                <w:szCs w:val="20"/>
              </w:rPr>
              <w:t xml:space="preserve">The condition must be expressing the Philadelphia chromosome confirmed through cytogenetic analysis; </w:t>
            </w:r>
            <w:r w:rsidRPr="00733D17">
              <w:rPr>
                <w:sz w:val="20"/>
                <w:szCs w:val="20"/>
              </w:rPr>
              <w:t>or</w:t>
            </w:r>
            <w:r w:rsidRPr="00733D17">
              <w:rPr>
                <w:rFonts w:ascii="Arial Narrow" w:hAnsi="Arial Narrow"/>
                <w:sz w:val="20"/>
                <w:szCs w:val="20"/>
              </w:rPr>
              <w:t xml:space="preserve"> </w:t>
            </w:r>
          </w:p>
        </w:tc>
      </w:tr>
      <w:tr w:rsidR="004837E1" w:rsidRPr="00733D17" w14:paraId="7ABA603A" w14:textId="77777777" w:rsidTr="00BA4108">
        <w:tblPrEx>
          <w:tblCellMar>
            <w:top w:w="15" w:type="dxa"/>
            <w:left w:w="15" w:type="dxa"/>
            <w:bottom w:w="15" w:type="dxa"/>
            <w:right w:w="15" w:type="dxa"/>
          </w:tblCellMar>
          <w:tblLook w:val="04A0" w:firstRow="1" w:lastRow="0" w:firstColumn="1" w:lastColumn="0" w:noHBand="0" w:noVBand="1"/>
        </w:tblPrEx>
        <w:trPr>
          <w:trHeight w:val="35"/>
        </w:trPr>
        <w:tc>
          <w:tcPr>
            <w:tcW w:w="981" w:type="dxa"/>
            <w:gridSpan w:val="2"/>
          </w:tcPr>
          <w:p w14:paraId="0A44D6CD" w14:textId="5E65F50C"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0DF13CE9" w14:textId="77777777" w:rsidR="004837E1" w:rsidRPr="00733D17" w:rsidRDefault="004837E1" w:rsidP="003D4043">
            <w:pPr>
              <w:rPr>
                <w:rFonts w:ascii="Arial Narrow" w:hAnsi="Arial Narrow"/>
                <w:color w:val="333333"/>
                <w:sz w:val="20"/>
                <w:szCs w:val="20"/>
              </w:rPr>
            </w:pPr>
            <w:r w:rsidRPr="00733D17">
              <w:rPr>
                <w:rFonts w:ascii="Arial Narrow" w:hAnsi="Arial Narrow"/>
                <w:sz w:val="20"/>
                <w:szCs w:val="20"/>
              </w:rPr>
              <w:t>The condition must have the transcript BCR-ABL tyrosine kinase confirmed through quantitative polymerase chain reaction (PCR)</w:t>
            </w:r>
          </w:p>
        </w:tc>
      </w:tr>
      <w:tr w:rsidR="004837E1" w:rsidRPr="00733D17" w14:paraId="16F2EB2F"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5B0A8A01" w14:textId="77777777" w:rsidR="004837E1" w:rsidRPr="00733D17" w:rsidRDefault="004837E1" w:rsidP="003D4043">
            <w:pPr>
              <w:jc w:val="center"/>
              <w:rPr>
                <w:rFonts w:ascii="Arial Narrow" w:hAnsi="Arial Narrow"/>
                <w:b/>
                <w:bCs/>
                <w:color w:val="333333"/>
                <w:sz w:val="20"/>
                <w:szCs w:val="20"/>
                <w:highlight w:val="yellow"/>
              </w:rPr>
            </w:pPr>
          </w:p>
        </w:tc>
        <w:tc>
          <w:tcPr>
            <w:tcW w:w="8086" w:type="dxa"/>
            <w:gridSpan w:val="6"/>
          </w:tcPr>
          <w:p w14:paraId="3E5D28CC" w14:textId="77777777" w:rsidR="004837E1" w:rsidRPr="00733D17" w:rsidRDefault="004837E1" w:rsidP="003D4043">
            <w:pPr>
              <w:rPr>
                <w:rFonts w:ascii="Arial Narrow" w:hAnsi="Arial Narrow"/>
                <w:b/>
                <w:bCs/>
                <w:color w:val="333333"/>
                <w:sz w:val="20"/>
                <w:szCs w:val="20"/>
              </w:rPr>
            </w:pPr>
            <w:r w:rsidRPr="00733D17">
              <w:rPr>
                <w:rFonts w:ascii="Arial Narrow" w:hAnsi="Arial Narrow"/>
                <w:b/>
                <w:bCs/>
                <w:color w:val="333333"/>
                <w:sz w:val="20"/>
                <w:szCs w:val="20"/>
              </w:rPr>
              <w:t>AND</w:t>
            </w:r>
          </w:p>
        </w:tc>
      </w:tr>
      <w:tr w:rsidR="004837E1" w:rsidRPr="00733D17" w14:paraId="5531DD47" w14:textId="77777777" w:rsidTr="00075C73">
        <w:tblPrEx>
          <w:tblCellMar>
            <w:top w:w="15" w:type="dxa"/>
            <w:left w:w="15" w:type="dxa"/>
            <w:bottom w:w="15" w:type="dxa"/>
            <w:right w:w="15" w:type="dxa"/>
          </w:tblCellMar>
          <w:tblLook w:val="04A0" w:firstRow="1" w:lastRow="0" w:firstColumn="1" w:lastColumn="0" w:noHBand="0" w:noVBand="1"/>
        </w:tblPrEx>
        <w:tc>
          <w:tcPr>
            <w:tcW w:w="981" w:type="dxa"/>
            <w:gridSpan w:val="2"/>
          </w:tcPr>
          <w:p w14:paraId="13CF1876"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hideMark/>
          </w:tcPr>
          <w:p w14:paraId="0AEA2FA1" w14:textId="77777777" w:rsidR="004837E1" w:rsidRPr="00733D17" w:rsidRDefault="004837E1" w:rsidP="003D4043">
            <w:pPr>
              <w:rPr>
                <w:rFonts w:ascii="Arial Narrow" w:hAnsi="Arial Narrow"/>
                <w:color w:val="FF00FF"/>
                <w:sz w:val="20"/>
                <w:szCs w:val="20"/>
              </w:rPr>
            </w:pPr>
            <w:r w:rsidRPr="00733D17">
              <w:rPr>
                <w:rFonts w:ascii="Arial Narrow" w:hAnsi="Arial Narrow"/>
                <w:b/>
                <w:bCs/>
                <w:color w:val="333333"/>
                <w:sz w:val="20"/>
                <w:szCs w:val="20"/>
              </w:rPr>
              <w:t xml:space="preserve">Clinical criteria: </w:t>
            </w:r>
          </w:p>
        </w:tc>
      </w:tr>
      <w:tr w:rsidR="004837E1" w:rsidRPr="00733D17" w14:paraId="4741DD1F"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09C34976" w14:textId="0876BDC1"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23E5F056" w14:textId="77777777" w:rsidR="004837E1" w:rsidRPr="00733D17" w:rsidRDefault="004837E1" w:rsidP="003D4043">
            <w:pPr>
              <w:rPr>
                <w:rFonts w:ascii="Arial Narrow" w:hAnsi="Arial Narrow"/>
                <w:sz w:val="20"/>
                <w:szCs w:val="20"/>
              </w:rPr>
            </w:pPr>
            <w:r w:rsidRPr="00733D17">
              <w:rPr>
                <w:rFonts w:ascii="Arial Narrow" w:hAnsi="Arial Narrow"/>
                <w:sz w:val="20"/>
                <w:szCs w:val="20"/>
              </w:rPr>
              <w:t xml:space="preserve">Patient must have failed an adequate trial of at least one tyrosine kinase inhibitor as confirmed through a pathology report from an Approved Pathology Authority; OR  </w:t>
            </w:r>
          </w:p>
        </w:tc>
      </w:tr>
      <w:tr w:rsidR="004837E1" w:rsidRPr="00733D17" w14:paraId="617F89D2"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44CCCBD9" w14:textId="4E5A5A46"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7FB518A6" w14:textId="348B01CC" w:rsidR="004837E1" w:rsidRPr="00733D17" w:rsidRDefault="004837E1" w:rsidP="003D4043">
            <w:pPr>
              <w:rPr>
                <w:rFonts w:ascii="Arial Narrow" w:hAnsi="Arial Narrow"/>
                <w:color w:val="FF0000"/>
                <w:sz w:val="20"/>
                <w:szCs w:val="20"/>
              </w:rPr>
            </w:pPr>
            <w:r w:rsidRPr="00733D17">
              <w:rPr>
                <w:rFonts w:ascii="Arial Narrow" w:hAnsi="Arial Narrow"/>
                <w:sz w:val="20"/>
                <w:szCs w:val="20"/>
              </w:rPr>
              <w:t>Patient must have experienced intolerance, not failure to respond, to at least one tyrosine kinase inhibitor as confirmed through a pathology report from an Approved Pathology Authority</w:t>
            </w:r>
            <w:r w:rsidR="00C445EB" w:rsidRPr="00733D17">
              <w:rPr>
                <w:rFonts w:ascii="Arial Narrow" w:hAnsi="Arial Narrow"/>
                <w:sz w:val="20"/>
                <w:szCs w:val="20"/>
              </w:rPr>
              <w:t>.</w:t>
            </w:r>
          </w:p>
        </w:tc>
      </w:tr>
      <w:tr w:rsidR="00922488" w:rsidRPr="00733D17" w14:paraId="1FCFC871"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74D71E51" w14:textId="7B45FC01" w:rsidR="00922488" w:rsidRPr="00733D17" w:rsidRDefault="00922488" w:rsidP="00922488">
            <w:pPr>
              <w:jc w:val="center"/>
              <w:rPr>
                <w:rFonts w:ascii="Arial Narrow" w:hAnsi="Arial Narrow"/>
                <w:color w:val="333333"/>
                <w:sz w:val="20"/>
                <w:szCs w:val="20"/>
                <w:highlight w:val="yellow"/>
              </w:rPr>
            </w:pPr>
          </w:p>
        </w:tc>
        <w:tc>
          <w:tcPr>
            <w:tcW w:w="8086" w:type="dxa"/>
            <w:gridSpan w:val="6"/>
          </w:tcPr>
          <w:p w14:paraId="7BB3123E" w14:textId="24C8B601" w:rsidR="00922488" w:rsidRPr="00733D17" w:rsidRDefault="00922488" w:rsidP="00922488">
            <w:pPr>
              <w:rPr>
                <w:rFonts w:ascii="Arial Narrow" w:hAnsi="Arial Narrow"/>
                <w:sz w:val="20"/>
                <w:szCs w:val="20"/>
              </w:rPr>
            </w:pPr>
            <w:r w:rsidRPr="00733D17">
              <w:rPr>
                <w:rFonts w:ascii="Arial Narrow" w:hAnsi="Arial Narrow"/>
                <w:b/>
                <w:bCs/>
                <w:sz w:val="20"/>
                <w:szCs w:val="20"/>
              </w:rPr>
              <w:t>Administrative Advice:</w:t>
            </w:r>
            <w:r w:rsidRPr="00733D17">
              <w:rPr>
                <w:rFonts w:ascii="Arial Narrow" w:hAnsi="Arial Narrow"/>
                <w:sz w:val="20"/>
                <w:szCs w:val="20"/>
              </w:rPr>
              <w:t xml:space="preserve"> Tyrosine Kinase Inhibitors (TKI) are defined as either (i) imatinib, (ii) dasatinib, (iii) nilotinib</w:t>
            </w:r>
            <w:r w:rsidR="00E90B5E" w:rsidRPr="00733D17">
              <w:rPr>
                <w:rFonts w:ascii="Arial Narrow" w:hAnsi="Arial Narrow"/>
                <w:sz w:val="20"/>
                <w:szCs w:val="20"/>
              </w:rPr>
              <w:t>, (iv) ponatinib</w:t>
            </w:r>
          </w:p>
        </w:tc>
      </w:tr>
      <w:tr w:rsidR="004837E1" w:rsidRPr="00733D17" w14:paraId="321EBBDF"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01494A88" w14:textId="77777777" w:rsidR="004837E1" w:rsidRPr="00733D17" w:rsidRDefault="004837E1" w:rsidP="003D4043">
            <w:pPr>
              <w:jc w:val="center"/>
              <w:rPr>
                <w:rFonts w:ascii="Arial Narrow" w:hAnsi="Arial Narrow"/>
                <w:color w:val="333333"/>
                <w:sz w:val="20"/>
                <w:szCs w:val="20"/>
                <w:highlight w:val="yellow"/>
              </w:rPr>
            </w:pPr>
          </w:p>
        </w:tc>
        <w:tc>
          <w:tcPr>
            <w:tcW w:w="8086" w:type="dxa"/>
            <w:gridSpan w:val="6"/>
          </w:tcPr>
          <w:p w14:paraId="73BCEEB6" w14:textId="77777777" w:rsidR="004837E1" w:rsidRPr="00733D17" w:rsidRDefault="004837E1" w:rsidP="003D4043">
            <w:pPr>
              <w:jc w:val="left"/>
              <w:rPr>
                <w:rFonts w:ascii="Arial Narrow" w:hAnsi="Arial Narrow"/>
                <w:color w:val="333333"/>
                <w:sz w:val="20"/>
                <w:szCs w:val="20"/>
              </w:rPr>
            </w:pPr>
            <w:r w:rsidRPr="00733D17">
              <w:rPr>
                <w:rFonts w:ascii="Arial Narrow" w:hAnsi="Arial Narrow"/>
                <w:b/>
                <w:bCs/>
                <w:color w:val="333333"/>
                <w:sz w:val="20"/>
                <w:szCs w:val="20"/>
              </w:rPr>
              <w:t>Prescribing Instructions:</w:t>
            </w:r>
            <w:r w:rsidRPr="00733D17">
              <w:rPr>
                <w:rFonts w:ascii="Arial Narrow" w:hAnsi="Arial Narrow"/>
                <w:color w:val="333333"/>
                <w:sz w:val="20"/>
                <w:szCs w:val="20"/>
              </w:rPr>
              <w:t xml:space="preserve"> </w:t>
            </w:r>
          </w:p>
        </w:tc>
      </w:tr>
      <w:tr w:rsidR="004837E1" w:rsidRPr="00733D17" w14:paraId="323186C4" w14:textId="77777777" w:rsidTr="00075C73">
        <w:tblPrEx>
          <w:tblCellMar>
            <w:top w:w="15" w:type="dxa"/>
            <w:left w:w="15" w:type="dxa"/>
            <w:bottom w:w="15" w:type="dxa"/>
            <w:right w:w="15" w:type="dxa"/>
          </w:tblCellMar>
          <w:tblLook w:val="04A0" w:firstRow="1" w:lastRow="0" w:firstColumn="1" w:lastColumn="0" w:noHBand="0" w:noVBand="1"/>
        </w:tblPrEx>
        <w:tc>
          <w:tcPr>
            <w:tcW w:w="981" w:type="dxa"/>
            <w:gridSpan w:val="2"/>
          </w:tcPr>
          <w:p w14:paraId="64FF0506" w14:textId="46E1A4A1" w:rsidR="004837E1" w:rsidRPr="00733D17" w:rsidRDefault="004837E1" w:rsidP="003D4043">
            <w:pPr>
              <w:rPr>
                <w:rFonts w:ascii="Arial Narrow" w:hAnsi="Arial Narrow"/>
                <w:color w:val="333333"/>
                <w:sz w:val="20"/>
                <w:szCs w:val="20"/>
                <w:highlight w:val="yellow"/>
              </w:rPr>
            </w:pPr>
          </w:p>
        </w:tc>
        <w:tc>
          <w:tcPr>
            <w:tcW w:w="8086" w:type="dxa"/>
            <w:gridSpan w:val="6"/>
            <w:hideMark/>
          </w:tcPr>
          <w:p w14:paraId="2670972A" w14:textId="77777777" w:rsidR="004837E1" w:rsidRPr="00733D17" w:rsidRDefault="004837E1" w:rsidP="003D4043">
            <w:pPr>
              <w:jc w:val="left"/>
              <w:rPr>
                <w:rFonts w:ascii="Arial Narrow" w:hAnsi="Arial Narrow"/>
                <w:color w:val="333333"/>
                <w:sz w:val="20"/>
                <w:szCs w:val="20"/>
              </w:rPr>
            </w:pPr>
            <w:r w:rsidRPr="00733D17">
              <w:rPr>
                <w:rFonts w:ascii="Arial Narrow" w:hAnsi="Arial Narrow"/>
                <w:color w:val="333333"/>
                <w:sz w:val="20"/>
                <w:szCs w:val="20"/>
              </w:rPr>
              <w:t>Failure of an adequate trial of a tyrosine kinase inhibitor is defined as:</w:t>
            </w:r>
          </w:p>
          <w:p w14:paraId="4863F3E2" w14:textId="77777777" w:rsidR="004837E1" w:rsidRPr="00733D17" w:rsidRDefault="004837E1" w:rsidP="003D4043">
            <w:pPr>
              <w:jc w:val="left"/>
              <w:rPr>
                <w:rFonts w:ascii="Arial Narrow" w:hAnsi="Arial Narrow"/>
                <w:color w:val="333333"/>
                <w:sz w:val="20"/>
                <w:szCs w:val="20"/>
              </w:rPr>
            </w:pPr>
            <w:r w:rsidRPr="00733D17">
              <w:rPr>
                <w:rFonts w:ascii="Arial Narrow" w:hAnsi="Arial Narrow"/>
                <w:color w:val="333333"/>
                <w:sz w:val="20"/>
                <w:szCs w:val="20"/>
              </w:rPr>
              <w:t>1. Lack of response defined as either:</w:t>
            </w:r>
          </w:p>
          <w:p w14:paraId="3D9005D6" w14:textId="77777777" w:rsidR="004837E1" w:rsidRPr="00733D17" w:rsidRDefault="004837E1" w:rsidP="003D4043">
            <w:pPr>
              <w:jc w:val="left"/>
              <w:rPr>
                <w:rFonts w:ascii="Arial Narrow" w:hAnsi="Arial Narrow"/>
                <w:color w:val="333333"/>
                <w:sz w:val="20"/>
                <w:szCs w:val="20"/>
              </w:rPr>
            </w:pPr>
            <w:r w:rsidRPr="00733D17">
              <w:rPr>
                <w:rFonts w:ascii="Arial Narrow" w:hAnsi="Arial Narrow"/>
                <w:color w:val="333333"/>
                <w:sz w:val="20"/>
                <w:szCs w:val="20"/>
              </w:rPr>
              <w:t>(i) failure to achieve a haematological response after a minimum of 3 months therapy; or</w:t>
            </w:r>
          </w:p>
          <w:p w14:paraId="593CA953" w14:textId="77777777" w:rsidR="004837E1" w:rsidRPr="00733D17" w:rsidRDefault="004837E1" w:rsidP="003D4043">
            <w:pPr>
              <w:jc w:val="left"/>
              <w:rPr>
                <w:rFonts w:ascii="Arial Narrow" w:hAnsi="Arial Narrow"/>
                <w:color w:val="333333"/>
                <w:sz w:val="20"/>
                <w:szCs w:val="20"/>
              </w:rPr>
            </w:pPr>
            <w:r w:rsidRPr="00733D17">
              <w:rPr>
                <w:rFonts w:ascii="Arial Narrow" w:hAnsi="Arial Narrow"/>
                <w:color w:val="333333"/>
                <w:sz w:val="20"/>
                <w:szCs w:val="20"/>
              </w:rPr>
              <w:lastRenderedPageBreak/>
              <w:t>(ii) failure to achieve any cytogenetic response after a minimum of 6 months therapy as demonstrated on bone marrow biopsy by presence of greater than 95% Philadelphia chromosome positive (Ph+) cells; or</w:t>
            </w:r>
          </w:p>
          <w:p w14:paraId="0738B30B" w14:textId="77777777" w:rsidR="004837E1" w:rsidRPr="00733D17" w:rsidRDefault="004837E1" w:rsidP="003D4043">
            <w:pPr>
              <w:jc w:val="left"/>
              <w:rPr>
                <w:rFonts w:ascii="Arial Narrow" w:hAnsi="Arial Narrow"/>
                <w:color w:val="333333"/>
                <w:sz w:val="20"/>
                <w:szCs w:val="20"/>
              </w:rPr>
            </w:pPr>
            <w:r w:rsidRPr="00733D17">
              <w:rPr>
                <w:rFonts w:ascii="Arial Narrow" w:hAnsi="Arial Narrow"/>
                <w:color w:val="333333"/>
                <w:sz w:val="20"/>
                <w:szCs w:val="20"/>
              </w:rPr>
              <w:t>(iii) failure to achieve or maintain a major cytogenetic response or a peripheral blood BCR-ABL level of less than 1% after a minimum of 12 months therapy; OR</w:t>
            </w:r>
          </w:p>
          <w:p w14:paraId="253950F7" w14:textId="77777777" w:rsidR="004837E1" w:rsidRPr="00733D17" w:rsidRDefault="004837E1" w:rsidP="003D4043">
            <w:pPr>
              <w:jc w:val="left"/>
              <w:rPr>
                <w:rFonts w:ascii="Arial Narrow" w:hAnsi="Arial Narrow"/>
                <w:color w:val="333333"/>
                <w:sz w:val="20"/>
                <w:szCs w:val="20"/>
              </w:rPr>
            </w:pPr>
          </w:p>
          <w:p w14:paraId="22E3CE67" w14:textId="77777777" w:rsidR="004837E1" w:rsidRPr="00733D17" w:rsidRDefault="004837E1" w:rsidP="003D4043">
            <w:pPr>
              <w:jc w:val="left"/>
              <w:rPr>
                <w:rFonts w:ascii="Arial Narrow" w:hAnsi="Arial Narrow"/>
                <w:color w:val="333333"/>
                <w:sz w:val="20"/>
                <w:szCs w:val="20"/>
              </w:rPr>
            </w:pPr>
            <w:r w:rsidRPr="00733D17">
              <w:rPr>
                <w:rFonts w:ascii="Arial Narrow" w:hAnsi="Arial Narrow"/>
                <w:color w:val="333333"/>
                <w:sz w:val="20"/>
                <w:szCs w:val="20"/>
              </w:rPr>
              <w:t>2. Loss of a previously documented major cytogenetic response (demonstrated by the presence of greater than 35% Ph+ cells on bone marrow biopsy), during ongoing tyrosine kinase inhibitor (TKI) therapy; OR</w:t>
            </w:r>
          </w:p>
          <w:p w14:paraId="18720183" w14:textId="77777777" w:rsidR="004837E1" w:rsidRPr="00733D17" w:rsidRDefault="004837E1" w:rsidP="003D4043">
            <w:pPr>
              <w:jc w:val="left"/>
              <w:rPr>
                <w:rFonts w:ascii="Arial Narrow" w:hAnsi="Arial Narrow"/>
                <w:color w:val="333333"/>
                <w:sz w:val="20"/>
                <w:szCs w:val="20"/>
              </w:rPr>
            </w:pPr>
          </w:p>
          <w:p w14:paraId="68B0CBFD" w14:textId="77777777" w:rsidR="004837E1" w:rsidRPr="00733D17" w:rsidRDefault="004837E1" w:rsidP="003D4043">
            <w:pPr>
              <w:jc w:val="left"/>
              <w:rPr>
                <w:rFonts w:ascii="Arial Narrow" w:hAnsi="Arial Narrow"/>
                <w:color w:val="333333"/>
                <w:sz w:val="20"/>
                <w:szCs w:val="20"/>
              </w:rPr>
            </w:pPr>
            <w:r w:rsidRPr="00733D17">
              <w:rPr>
                <w:rFonts w:ascii="Arial Narrow" w:hAnsi="Arial Narrow"/>
                <w:color w:val="333333"/>
                <w:sz w:val="20"/>
                <w:szCs w:val="20"/>
              </w:rPr>
              <w:t>3. Loss of a previously demonstrated molecular response (demonstrated by peripheral blood BCR-ABL levels increasing consecutively in value by at least 5 fold to a level of greater than 0.1% confirmed on a subsequent test), during ongoing tyrosine kinase inhibitor (TKI) therapy; OR</w:t>
            </w:r>
          </w:p>
          <w:p w14:paraId="618E9B19" w14:textId="77777777" w:rsidR="004837E1" w:rsidRPr="00733D17" w:rsidRDefault="004837E1" w:rsidP="003D4043">
            <w:pPr>
              <w:jc w:val="left"/>
              <w:rPr>
                <w:rFonts w:ascii="Arial Narrow" w:hAnsi="Arial Narrow"/>
                <w:color w:val="333333"/>
                <w:sz w:val="20"/>
                <w:szCs w:val="20"/>
              </w:rPr>
            </w:pPr>
          </w:p>
          <w:p w14:paraId="36E10764" w14:textId="4AD5D702" w:rsidR="004837E1" w:rsidRPr="00733D17" w:rsidRDefault="004837E1" w:rsidP="003D4043">
            <w:pPr>
              <w:jc w:val="left"/>
              <w:rPr>
                <w:rFonts w:ascii="Arial Narrow" w:hAnsi="Arial Narrow"/>
                <w:color w:val="333333"/>
                <w:sz w:val="20"/>
                <w:szCs w:val="20"/>
              </w:rPr>
            </w:pPr>
            <w:r w:rsidRPr="00733D17">
              <w:rPr>
                <w:rFonts w:ascii="Arial Narrow" w:hAnsi="Arial Narrow"/>
                <w:color w:val="333333"/>
                <w:sz w:val="20"/>
                <w:szCs w:val="20"/>
              </w:rPr>
              <w:t xml:space="preserve">4. Development of accelerated phase </w:t>
            </w:r>
            <w:r w:rsidRPr="002F3FB0">
              <w:rPr>
                <w:rFonts w:ascii="Arial Narrow" w:hAnsi="Arial Narrow"/>
                <w:color w:val="333333"/>
                <w:sz w:val="20"/>
                <w:szCs w:val="20"/>
              </w:rPr>
              <w:t>in a patient previously prescribed a TKI inhibitor for any phase of chronic myeloid leukaemia; OR</w:t>
            </w:r>
          </w:p>
          <w:p w14:paraId="351275E0" w14:textId="2040DC1B" w:rsidR="00F21E04" w:rsidRPr="00733D17" w:rsidRDefault="00F21E04" w:rsidP="003D4043">
            <w:pPr>
              <w:jc w:val="left"/>
              <w:rPr>
                <w:rFonts w:ascii="Arial Narrow" w:hAnsi="Arial Narrow"/>
                <w:color w:val="333333"/>
                <w:sz w:val="20"/>
                <w:szCs w:val="20"/>
              </w:rPr>
            </w:pPr>
          </w:p>
          <w:p w14:paraId="7348C774" w14:textId="0AA0EF3E" w:rsidR="00F21E04" w:rsidRPr="00733D17" w:rsidRDefault="00BA4108" w:rsidP="003D4043">
            <w:pPr>
              <w:jc w:val="left"/>
              <w:rPr>
                <w:rFonts w:ascii="Arial Narrow" w:hAnsi="Arial Narrow"/>
                <w:color w:val="333333"/>
                <w:sz w:val="20"/>
                <w:szCs w:val="20"/>
              </w:rPr>
            </w:pPr>
            <w:r>
              <w:rPr>
                <w:rFonts w:ascii="Arial Narrow" w:hAnsi="Arial Narrow"/>
                <w:color w:val="333333"/>
                <w:sz w:val="20"/>
                <w:szCs w:val="20"/>
              </w:rPr>
              <w:t xml:space="preserve">5. </w:t>
            </w:r>
            <w:r w:rsidRPr="00BA4108">
              <w:rPr>
                <w:rFonts w:ascii="Arial Narrow" w:hAnsi="Arial Narrow"/>
                <w:color w:val="333333"/>
                <w:sz w:val="20"/>
                <w:szCs w:val="20"/>
              </w:rPr>
              <w:t xml:space="preserve">Disease progression (defined as a greater than or equal to 50% increase in peripheral white blood cell count, blast count, basophils or platelets) during </w:t>
            </w:r>
            <w:r>
              <w:rPr>
                <w:rFonts w:ascii="Arial Narrow" w:hAnsi="Arial Narrow"/>
                <w:color w:val="333333"/>
                <w:sz w:val="20"/>
                <w:szCs w:val="20"/>
              </w:rPr>
              <w:t>TKI</w:t>
            </w:r>
            <w:r w:rsidRPr="00BA4108">
              <w:rPr>
                <w:rFonts w:ascii="Arial Narrow" w:hAnsi="Arial Narrow"/>
                <w:color w:val="333333"/>
                <w:sz w:val="20"/>
                <w:szCs w:val="20"/>
              </w:rPr>
              <w:t xml:space="preserve"> therapy in patients with accelerated phase chronic myeloid leukaemia.</w:t>
            </w:r>
          </w:p>
          <w:p w14:paraId="71E56416" w14:textId="77777777" w:rsidR="004837E1" w:rsidRPr="00733D17" w:rsidRDefault="004837E1" w:rsidP="003D4043">
            <w:pPr>
              <w:jc w:val="left"/>
              <w:rPr>
                <w:rFonts w:ascii="Arial Narrow" w:hAnsi="Arial Narrow"/>
                <w:color w:val="333333"/>
                <w:sz w:val="20"/>
                <w:szCs w:val="20"/>
              </w:rPr>
            </w:pPr>
          </w:p>
          <w:p w14:paraId="083D9B41" w14:textId="77777777" w:rsidR="004837E1" w:rsidRPr="00733D17" w:rsidRDefault="004837E1" w:rsidP="003D4043">
            <w:pPr>
              <w:jc w:val="left"/>
              <w:rPr>
                <w:rFonts w:ascii="Arial Narrow" w:hAnsi="Arial Narrow"/>
                <w:color w:val="333333"/>
                <w:sz w:val="20"/>
                <w:szCs w:val="20"/>
              </w:rPr>
            </w:pPr>
            <w:r w:rsidRPr="00733D17">
              <w:rPr>
                <w:rFonts w:ascii="Arial Narrow" w:hAnsi="Arial Narrow"/>
                <w:color w:val="333333"/>
                <w:sz w:val="20"/>
                <w:szCs w:val="20"/>
              </w:rPr>
              <w:t xml:space="preserve">Accelerated phase is defined by the presence of 1 or more of the following: </w:t>
            </w:r>
          </w:p>
          <w:p w14:paraId="3E79B872" w14:textId="77777777" w:rsidR="004837E1" w:rsidRPr="00733D17" w:rsidRDefault="004837E1" w:rsidP="003D4043">
            <w:pPr>
              <w:jc w:val="left"/>
              <w:rPr>
                <w:rFonts w:ascii="Arial Narrow" w:hAnsi="Arial Narrow"/>
                <w:color w:val="333333"/>
                <w:sz w:val="20"/>
                <w:szCs w:val="20"/>
              </w:rPr>
            </w:pPr>
            <w:r w:rsidRPr="00733D17">
              <w:rPr>
                <w:rFonts w:ascii="Arial Narrow" w:hAnsi="Arial Narrow"/>
                <w:color w:val="333333"/>
                <w:sz w:val="20"/>
                <w:szCs w:val="20"/>
              </w:rPr>
              <w:t>1. Percentage of blasts in the peripheral blood or bone marrow greater than or equal to 15% but less than 30%; or</w:t>
            </w:r>
          </w:p>
          <w:p w14:paraId="5EA5D138" w14:textId="77777777" w:rsidR="004837E1" w:rsidRPr="00733D17" w:rsidRDefault="004837E1" w:rsidP="003D4043">
            <w:pPr>
              <w:jc w:val="left"/>
              <w:rPr>
                <w:rFonts w:ascii="Arial Narrow" w:hAnsi="Arial Narrow"/>
                <w:color w:val="333333"/>
                <w:sz w:val="20"/>
                <w:szCs w:val="20"/>
              </w:rPr>
            </w:pPr>
          </w:p>
          <w:p w14:paraId="1A582916" w14:textId="77777777" w:rsidR="004837E1" w:rsidRPr="00733D17" w:rsidRDefault="004837E1" w:rsidP="003D4043">
            <w:pPr>
              <w:jc w:val="left"/>
              <w:rPr>
                <w:rFonts w:ascii="Arial Narrow" w:hAnsi="Arial Narrow"/>
                <w:color w:val="333333"/>
                <w:sz w:val="20"/>
                <w:szCs w:val="20"/>
              </w:rPr>
            </w:pPr>
            <w:r w:rsidRPr="00733D17">
              <w:rPr>
                <w:rFonts w:ascii="Arial Narrow" w:hAnsi="Arial Narrow"/>
                <w:color w:val="333333"/>
                <w:sz w:val="20"/>
                <w:szCs w:val="20"/>
              </w:rPr>
              <w:t>2. Percentage of blasts plus promyelocytes in the peripheral blood or bone marrow greater than or equal to 30%, provided that blast count is less than 30%; or</w:t>
            </w:r>
          </w:p>
          <w:p w14:paraId="432CFF5E" w14:textId="77777777" w:rsidR="004837E1" w:rsidRPr="00733D17" w:rsidRDefault="004837E1" w:rsidP="003D4043">
            <w:pPr>
              <w:jc w:val="left"/>
              <w:rPr>
                <w:rFonts w:ascii="Arial Narrow" w:hAnsi="Arial Narrow"/>
                <w:color w:val="333333"/>
                <w:sz w:val="20"/>
                <w:szCs w:val="20"/>
              </w:rPr>
            </w:pPr>
          </w:p>
          <w:p w14:paraId="304D92D7" w14:textId="3B4EF30A" w:rsidR="004837E1" w:rsidRPr="00733D17" w:rsidRDefault="004837E1" w:rsidP="003D4043">
            <w:pPr>
              <w:jc w:val="left"/>
              <w:rPr>
                <w:rFonts w:ascii="Arial Narrow" w:hAnsi="Arial Narrow"/>
                <w:color w:val="333333"/>
                <w:sz w:val="20"/>
                <w:szCs w:val="20"/>
              </w:rPr>
            </w:pPr>
            <w:r w:rsidRPr="00733D17">
              <w:rPr>
                <w:rFonts w:ascii="Arial Narrow" w:hAnsi="Arial Narrow"/>
                <w:color w:val="333333"/>
                <w:sz w:val="20"/>
                <w:szCs w:val="20"/>
              </w:rPr>
              <w:t>3. Peripheral basophils greater than or equal to 20%; or</w:t>
            </w:r>
          </w:p>
          <w:p w14:paraId="2B0705D8" w14:textId="77777777" w:rsidR="004837E1" w:rsidRPr="00733D17" w:rsidRDefault="004837E1" w:rsidP="003D4043">
            <w:pPr>
              <w:jc w:val="left"/>
              <w:rPr>
                <w:rFonts w:ascii="Arial Narrow" w:hAnsi="Arial Narrow"/>
                <w:color w:val="333333"/>
                <w:sz w:val="20"/>
                <w:szCs w:val="20"/>
              </w:rPr>
            </w:pPr>
          </w:p>
          <w:p w14:paraId="4777EABD" w14:textId="77777777" w:rsidR="004837E1" w:rsidRPr="00733D17" w:rsidRDefault="004837E1" w:rsidP="003D4043">
            <w:pPr>
              <w:jc w:val="left"/>
              <w:rPr>
                <w:rFonts w:ascii="Arial Narrow" w:hAnsi="Arial Narrow"/>
                <w:color w:val="333333"/>
                <w:sz w:val="20"/>
                <w:szCs w:val="20"/>
              </w:rPr>
            </w:pPr>
            <w:r w:rsidRPr="00733D17">
              <w:rPr>
                <w:rFonts w:ascii="Arial Narrow" w:hAnsi="Arial Narrow"/>
                <w:color w:val="333333"/>
                <w:sz w:val="20"/>
                <w:szCs w:val="20"/>
              </w:rPr>
              <w:t>4. Progressive splenomegaly to a size greater than or equal to 10 cm below the left costal margin to be confirmed on 2 occasions at least 4 weeks apart, or a greater than or equal to 50% increase in size below the left costal margin over 4 weeks; or</w:t>
            </w:r>
          </w:p>
          <w:p w14:paraId="5E752222" w14:textId="77777777" w:rsidR="004837E1" w:rsidRPr="00733D17" w:rsidRDefault="004837E1" w:rsidP="003D4043">
            <w:pPr>
              <w:jc w:val="left"/>
              <w:rPr>
                <w:rFonts w:ascii="Arial Narrow" w:hAnsi="Arial Narrow"/>
                <w:color w:val="333333"/>
                <w:sz w:val="20"/>
                <w:szCs w:val="20"/>
              </w:rPr>
            </w:pPr>
          </w:p>
          <w:p w14:paraId="7E58DD5F" w14:textId="55E82409" w:rsidR="004837E1" w:rsidRPr="00FD3D2F" w:rsidRDefault="004837E1" w:rsidP="00564C3C">
            <w:pPr>
              <w:jc w:val="left"/>
              <w:rPr>
                <w:rFonts w:ascii="Arial Narrow" w:hAnsi="Arial Narrow"/>
                <w:color w:val="333333"/>
                <w:sz w:val="20"/>
                <w:szCs w:val="20"/>
              </w:rPr>
            </w:pPr>
            <w:r w:rsidRPr="00733D17">
              <w:rPr>
                <w:rFonts w:ascii="Arial Narrow" w:hAnsi="Arial Narrow"/>
                <w:color w:val="333333"/>
                <w:sz w:val="20"/>
                <w:szCs w:val="20"/>
              </w:rPr>
              <w:t>5. Karyotypic evolution (chromosomal abnormalities in addition to a single Philadelphia chromosome).</w:t>
            </w:r>
          </w:p>
        </w:tc>
      </w:tr>
      <w:tr w:rsidR="00CB4397" w:rsidRPr="00733D17" w14:paraId="3AEA3E98"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2AFF850C" w14:textId="4498B6F7" w:rsidR="00CB4397" w:rsidRPr="00733D17" w:rsidRDefault="00CB4397" w:rsidP="00CB4397">
            <w:pPr>
              <w:rPr>
                <w:rFonts w:ascii="Arial Narrow" w:hAnsi="Arial Narrow"/>
                <w:color w:val="333333"/>
                <w:sz w:val="20"/>
                <w:szCs w:val="20"/>
                <w:highlight w:val="yellow"/>
              </w:rPr>
            </w:pPr>
          </w:p>
        </w:tc>
        <w:tc>
          <w:tcPr>
            <w:tcW w:w="8086" w:type="dxa"/>
            <w:gridSpan w:val="6"/>
          </w:tcPr>
          <w:p w14:paraId="279FDCE6" w14:textId="5E07F19B" w:rsidR="00CB4397" w:rsidRPr="00FD3D2F" w:rsidRDefault="00CB4397" w:rsidP="00FD3D2F">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sz w:val="20"/>
                <w:szCs w:val="20"/>
              </w:rPr>
              <w:t>Any queries concerning the arrangements to prescribe may be directed to Services Australia on 1800 700 270 (hours of operation 8 a.m. to 5 p.m. Monday to Friday).</w:t>
            </w:r>
            <w:r w:rsidRPr="00733D17">
              <w:rPr>
                <w:rFonts w:ascii="Arial Narrow" w:hAnsi="Arial Narrow" w:cstheme="minorHAnsi"/>
                <w:sz w:val="20"/>
                <w:szCs w:val="20"/>
              </w:rPr>
              <w:br/>
              <w:t xml:space="preserve">Prescribing information (including Authority Application forms and other relevant documentation as applicable) is available on the Services Australia website at </w:t>
            </w:r>
            <w:hyperlink r:id="rId20" w:history="1">
              <w:r w:rsidRPr="00733D17">
                <w:rPr>
                  <w:rStyle w:val="Hyperlink"/>
                  <w:rFonts w:ascii="Arial Narrow" w:eastAsiaTheme="majorEastAsia" w:hAnsi="Arial Narrow" w:cstheme="minorHAnsi"/>
                  <w:color w:val="64B4FA"/>
                  <w:sz w:val="20"/>
                  <w:szCs w:val="20"/>
                </w:rPr>
                <w:t>www.servicesaustralia.gov.au</w:t>
              </w:r>
            </w:hyperlink>
            <w:r w:rsidRPr="00733D17">
              <w:rPr>
                <w:rFonts w:ascii="Arial Narrow" w:hAnsi="Arial Narrow" w:cstheme="minorHAnsi"/>
                <w:sz w:val="20"/>
                <w:szCs w:val="20"/>
              </w:rPr>
              <w:br/>
              <w:t xml:space="preserve">Applications for authorisation under this restriction should be made in real time using the Online PBS Authorities system (see </w:t>
            </w:r>
            <w:hyperlink r:id="rId21" w:history="1">
              <w:r w:rsidRPr="00733D17">
                <w:rPr>
                  <w:rStyle w:val="Hyperlink"/>
                  <w:rFonts w:ascii="Arial Narrow" w:eastAsiaTheme="majorEastAsia" w:hAnsi="Arial Narrow" w:cstheme="minorHAnsi"/>
                  <w:color w:val="64B4FA"/>
                  <w:sz w:val="20"/>
                  <w:szCs w:val="20"/>
                </w:rPr>
                <w:t>www.servicesaustralia.gov.au/hpos</w:t>
              </w:r>
            </w:hyperlink>
            <w:r w:rsidRPr="00733D17">
              <w:rPr>
                <w:rFonts w:ascii="Arial Narrow" w:hAnsi="Arial Narrow" w:cstheme="minorHAnsi"/>
                <w:sz w:val="20"/>
                <w:szCs w:val="20"/>
              </w:rPr>
              <w:t>)</w:t>
            </w:r>
            <w:r w:rsidRPr="00733D17">
              <w:rPr>
                <w:rFonts w:ascii="Arial Narrow" w:hAnsi="Arial Narrow" w:cstheme="minorHAnsi"/>
                <w:sz w:val="20"/>
                <w:szCs w:val="20"/>
              </w:rPr>
              <w:br/>
              <w:t xml:space="preserve">Alternatively, applications for authority to prescribe can be submitted online using the form upload facility in Health Professional Online Services (HPOS) at </w:t>
            </w:r>
            <w:hyperlink r:id="rId22" w:history="1">
              <w:r w:rsidRPr="00733D17">
                <w:rPr>
                  <w:rStyle w:val="Hyperlink"/>
                  <w:rFonts w:ascii="Arial Narrow" w:eastAsiaTheme="majorEastAsia" w:hAnsi="Arial Narrow" w:cstheme="minorHAnsi"/>
                  <w:color w:val="64B4FA"/>
                  <w:sz w:val="20"/>
                  <w:szCs w:val="20"/>
                </w:rPr>
                <w:t>www.servicesaustralia.gov.au/hpos</w:t>
              </w:r>
            </w:hyperlink>
            <w:r w:rsidRPr="00733D17">
              <w:rPr>
                <w:rFonts w:ascii="Arial Narrow" w:hAnsi="Arial Narrow" w:cstheme="minorHAnsi"/>
                <w:sz w:val="20"/>
                <w:szCs w:val="20"/>
              </w:rPr>
              <w:br/>
              <w:t>Or mailed to:</w:t>
            </w:r>
            <w:r w:rsidRPr="00733D17">
              <w:rPr>
                <w:rFonts w:ascii="Arial Narrow" w:hAnsi="Arial Narrow" w:cstheme="minorHAnsi"/>
                <w:sz w:val="20"/>
                <w:szCs w:val="20"/>
              </w:rPr>
              <w:br/>
              <w:t>Services Australia</w:t>
            </w:r>
            <w:r w:rsidRPr="00733D17">
              <w:rPr>
                <w:rFonts w:ascii="Arial Narrow" w:hAnsi="Arial Narrow" w:cstheme="minorHAnsi"/>
                <w:sz w:val="20"/>
                <w:szCs w:val="20"/>
              </w:rPr>
              <w:br/>
              <w:t>Complex Drugs</w:t>
            </w:r>
            <w:r w:rsidRPr="00733D17">
              <w:rPr>
                <w:rFonts w:ascii="Arial Narrow" w:hAnsi="Arial Narrow" w:cstheme="minorHAnsi"/>
                <w:sz w:val="20"/>
                <w:szCs w:val="20"/>
              </w:rPr>
              <w:br/>
              <w:t>Reply Paid 9826</w:t>
            </w:r>
            <w:r w:rsidRPr="00733D17">
              <w:rPr>
                <w:rFonts w:ascii="Arial Narrow" w:hAnsi="Arial Narrow" w:cstheme="minorHAnsi"/>
                <w:sz w:val="20"/>
                <w:szCs w:val="20"/>
              </w:rPr>
              <w:br/>
              <w:t>HOBART TAS 7001</w:t>
            </w:r>
          </w:p>
        </w:tc>
      </w:tr>
      <w:tr w:rsidR="00CB4397" w:rsidRPr="00733D17" w14:paraId="6969695D"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310BCD6B" w14:textId="31B00250" w:rsidR="00CB4397" w:rsidRPr="00733D17" w:rsidRDefault="00CB4397" w:rsidP="00CB4397">
            <w:pPr>
              <w:jc w:val="center"/>
              <w:rPr>
                <w:rFonts w:ascii="Arial Narrow" w:eastAsia="Calibri" w:hAnsi="Arial Narrow"/>
                <w:sz w:val="20"/>
                <w:szCs w:val="20"/>
              </w:rPr>
            </w:pPr>
          </w:p>
        </w:tc>
        <w:tc>
          <w:tcPr>
            <w:tcW w:w="8086" w:type="dxa"/>
            <w:gridSpan w:val="6"/>
          </w:tcPr>
          <w:p w14:paraId="2CD44EE6"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b/>
                <w:bCs/>
                <w:sz w:val="20"/>
                <w:szCs w:val="20"/>
              </w:rPr>
              <w:t>Prescribing Instruction:</w:t>
            </w:r>
          </w:p>
          <w:p w14:paraId="67E39CE7"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sz w:val="20"/>
                <w:szCs w:val="20"/>
              </w:rPr>
              <w:t>Finalised</w:t>
            </w:r>
          </w:p>
          <w:p w14:paraId="22073179"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sz w:val="20"/>
                <w:szCs w:val="20"/>
              </w:rPr>
              <w:t>The authority application must be made via the Online PBS Authorities System (real time assessment), or in writing via HPOS form upload or mail and must include:</w:t>
            </w:r>
          </w:p>
          <w:p w14:paraId="0901A37C"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p>
          <w:p w14:paraId="1EE98C30"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sz w:val="20"/>
                <w:szCs w:val="20"/>
              </w:rPr>
              <w:t>(i) details (date, unique identifying number/code or provider number) of a bone marrow biopsy pathology report demonstrating the patient has active chronic myeloid leukaemia, either manifest as cytogenetic evidence of the Philadelphia chromosome; or</w:t>
            </w:r>
          </w:p>
          <w:p w14:paraId="00B3D380"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p>
          <w:p w14:paraId="0DC5829C"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sz w:val="20"/>
                <w:szCs w:val="20"/>
              </w:rPr>
              <w:t>(ii) details (date, unique identifying number/code or provider number) of a bone marrow biopsy/peripheral blood pathology report demonstrating RT-PCR level of BCR-ABL transcript greater than 0.1% on the international scale; and</w:t>
            </w:r>
          </w:p>
          <w:p w14:paraId="6D305B7C"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p>
          <w:p w14:paraId="73328DF5"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sz w:val="20"/>
                <w:szCs w:val="20"/>
              </w:rPr>
              <w:t>(iii) details (date, unique identifying number/code or provider number) of a bone marrow biopsy pathology report demonstrating evidence of the T315I mutation; and</w:t>
            </w:r>
          </w:p>
          <w:p w14:paraId="757CD36E"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p>
          <w:p w14:paraId="50C824A9"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sz w:val="20"/>
                <w:szCs w:val="20"/>
              </w:rPr>
              <w:t>(iv) where there has been a loss of response to imatinib or dasatinib or nilotinib, details (date, unique identifying number/code or provider number) of the confirming pathology report(s) from an Approved Pathology Authority or details of the dates of assessment in the case of progressive splenomegaly or extramedullary involvement.</w:t>
            </w:r>
          </w:p>
          <w:p w14:paraId="2933516B"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p>
          <w:p w14:paraId="30C75089"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sz w:val="20"/>
                <w:szCs w:val="20"/>
              </w:rPr>
              <w:t xml:space="preserve">All reports must be documented in the patient's medical records. </w:t>
            </w:r>
          </w:p>
        </w:tc>
      </w:tr>
      <w:tr w:rsidR="00CB4397" w:rsidRPr="00733D17" w14:paraId="2C51918E"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0BFC0D93" w14:textId="37CB9272" w:rsidR="00CB4397" w:rsidRPr="00733D17" w:rsidRDefault="00CB4397" w:rsidP="00CB4397">
            <w:pPr>
              <w:jc w:val="center"/>
              <w:rPr>
                <w:rFonts w:ascii="Arial Narrow" w:eastAsia="Calibri" w:hAnsi="Arial Narrow"/>
                <w:sz w:val="20"/>
                <w:szCs w:val="20"/>
              </w:rPr>
            </w:pPr>
          </w:p>
        </w:tc>
        <w:tc>
          <w:tcPr>
            <w:tcW w:w="8086" w:type="dxa"/>
            <w:gridSpan w:val="6"/>
          </w:tcPr>
          <w:p w14:paraId="5FA16C62"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b/>
                <w:bCs/>
                <w:sz w:val="20"/>
                <w:szCs w:val="20"/>
              </w:rPr>
              <w:t>Prescribing Instruction:</w:t>
            </w:r>
          </w:p>
          <w:p w14:paraId="4EC7DD58"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sz w:val="20"/>
                <w:szCs w:val="20"/>
              </w:rPr>
              <w:t>Finalised</w:t>
            </w:r>
          </w:p>
          <w:p w14:paraId="64834877"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sz w:val="20"/>
                <w:szCs w:val="20"/>
              </w:rPr>
              <w:t>If the application is submitted through HPOS form upload or mail, it must include:</w:t>
            </w:r>
          </w:p>
          <w:p w14:paraId="1B7FF2B8"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p>
          <w:p w14:paraId="168F4F7E"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sz w:val="20"/>
                <w:szCs w:val="20"/>
              </w:rPr>
              <w:t>(i) A completed authority prescription form; and</w:t>
            </w:r>
          </w:p>
          <w:p w14:paraId="12E955AA"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p>
          <w:p w14:paraId="1C8819C6"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sz w:val="20"/>
                <w:szCs w:val="20"/>
              </w:rPr>
              <w:t>(ii) A completed authority application form relevant to the indication and treatment phase (the latest version is located on the website specified in the Administrative Advice).</w:t>
            </w:r>
          </w:p>
        </w:tc>
      </w:tr>
      <w:tr w:rsidR="00CB4397" w:rsidRPr="00733D17" w14:paraId="2B63A082"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5049B925" w14:textId="17BDED91" w:rsidR="00CB4397" w:rsidRPr="00733D17" w:rsidRDefault="00CB4397" w:rsidP="00CB4397">
            <w:pPr>
              <w:jc w:val="center"/>
              <w:rPr>
                <w:rFonts w:ascii="Arial Narrow" w:eastAsia="Calibri" w:hAnsi="Arial Narrow"/>
                <w:sz w:val="20"/>
                <w:szCs w:val="20"/>
              </w:rPr>
            </w:pPr>
          </w:p>
        </w:tc>
        <w:tc>
          <w:tcPr>
            <w:tcW w:w="8086" w:type="dxa"/>
            <w:gridSpan w:val="6"/>
          </w:tcPr>
          <w:p w14:paraId="3750A200" w14:textId="5C36F54F" w:rsidR="00CB4397" w:rsidRPr="00733D17" w:rsidRDefault="00CB4397" w:rsidP="00CB4397">
            <w:pPr>
              <w:pStyle w:val="NormalWeb"/>
              <w:spacing w:before="0" w:beforeAutospacing="0" w:after="0" w:afterAutospacing="0"/>
              <w:rPr>
                <w:rFonts w:ascii="Arial Narrow" w:hAnsi="Arial Narrow" w:cs="Segoe UI"/>
                <w:sz w:val="20"/>
                <w:szCs w:val="20"/>
              </w:rPr>
            </w:pPr>
            <w:r w:rsidRPr="00733D17">
              <w:rPr>
                <w:rFonts w:ascii="Arial Narrow" w:hAnsi="Arial Narrow" w:cstheme="minorHAnsi"/>
                <w:b/>
                <w:bCs/>
                <w:sz w:val="20"/>
                <w:szCs w:val="20"/>
              </w:rPr>
              <w:t>Prescribing Instruction</w:t>
            </w:r>
            <w:r w:rsidRPr="00733D17">
              <w:rPr>
                <w:rFonts w:ascii="Arial Narrow" w:hAnsi="Arial Narrow" w:cstheme="minorHAnsi"/>
                <w:sz w:val="20"/>
                <w:szCs w:val="20"/>
              </w:rPr>
              <w:t xml:space="preserve">: </w:t>
            </w:r>
            <w:r w:rsidRPr="00733D17">
              <w:rPr>
                <w:rFonts w:ascii="Arial Narrow" w:hAnsi="Arial Narrow" w:cs="Segoe UI"/>
                <w:sz w:val="20"/>
                <w:szCs w:val="20"/>
              </w:rPr>
              <w:t>Patients are eligible for PBS-subsidised treatment with only one of imatinib, dasatinib, nilotinib ponatinib</w:t>
            </w:r>
            <w:r w:rsidR="006B187B" w:rsidRPr="00733D17">
              <w:rPr>
                <w:rFonts w:ascii="Arial Narrow" w:hAnsi="Arial Narrow" w:cs="Segoe UI"/>
                <w:sz w:val="20"/>
                <w:szCs w:val="20"/>
              </w:rPr>
              <w:t>; or asciminib</w:t>
            </w:r>
            <w:r w:rsidRPr="00733D17">
              <w:rPr>
                <w:rFonts w:ascii="Arial Narrow" w:hAnsi="Arial Narrow" w:cs="Segoe UI"/>
                <w:sz w:val="20"/>
                <w:szCs w:val="20"/>
              </w:rPr>
              <w:t xml:space="preserve"> at any one time and must not be receiving concomitant interferon alfa therapy.</w:t>
            </w:r>
          </w:p>
        </w:tc>
      </w:tr>
      <w:tr w:rsidR="00CB4397" w:rsidRPr="00733D17" w14:paraId="0EEBE27D" w14:textId="77777777" w:rsidTr="00BA4108">
        <w:tblPrEx>
          <w:tblCellMar>
            <w:top w:w="15" w:type="dxa"/>
            <w:left w:w="15" w:type="dxa"/>
            <w:bottom w:w="15" w:type="dxa"/>
            <w:right w:w="15" w:type="dxa"/>
          </w:tblCellMar>
          <w:tblLook w:val="04A0" w:firstRow="1" w:lastRow="0" w:firstColumn="1" w:lastColumn="0" w:noHBand="0" w:noVBand="1"/>
        </w:tblPrEx>
        <w:tc>
          <w:tcPr>
            <w:tcW w:w="981" w:type="dxa"/>
            <w:gridSpan w:val="2"/>
          </w:tcPr>
          <w:p w14:paraId="28117225" w14:textId="6C4F9875" w:rsidR="00CB4397" w:rsidRPr="00733D17" w:rsidRDefault="00CB4397" w:rsidP="00CB4397">
            <w:pPr>
              <w:jc w:val="center"/>
              <w:rPr>
                <w:rFonts w:ascii="Arial Narrow" w:eastAsia="Calibri" w:hAnsi="Arial Narrow"/>
                <w:sz w:val="20"/>
                <w:szCs w:val="20"/>
              </w:rPr>
            </w:pPr>
          </w:p>
        </w:tc>
        <w:tc>
          <w:tcPr>
            <w:tcW w:w="8086" w:type="dxa"/>
            <w:gridSpan w:val="6"/>
          </w:tcPr>
          <w:p w14:paraId="4054C3E4" w14:textId="77777777" w:rsidR="00CB4397" w:rsidRPr="00733D17" w:rsidRDefault="00CB4397" w:rsidP="00CB4397">
            <w:pPr>
              <w:pStyle w:val="NormalWeb"/>
              <w:spacing w:before="0" w:beforeAutospacing="0" w:after="0" w:afterAutospacing="0"/>
              <w:rPr>
                <w:rFonts w:ascii="Arial Narrow" w:hAnsi="Arial Narrow" w:cstheme="minorHAnsi"/>
                <w:sz w:val="20"/>
                <w:szCs w:val="20"/>
              </w:rPr>
            </w:pPr>
            <w:r w:rsidRPr="00733D17">
              <w:rPr>
                <w:rFonts w:ascii="Arial Narrow" w:hAnsi="Arial Narrow" w:cstheme="minorHAnsi"/>
                <w:b/>
                <w:bCs/>
                <w:sz w:val="20"/>
                <w:szCs w:val="20"/>
              </w:rPr>
              <w:t>Prescribing Instruction</w:t>
            </w:r>
            <w:r w:rsidRPr="00733D17">
              <w:rPr>
                <w:rFonts w:ascii="Arial Narrow" w:hAnsi="Arial Narrow" w:cstheme="minorHAnsi"/>
                <w:sz w:val="20"/>
                <w:szCs w:val="20"/>
              </w:rPr>
              <w:t>: Up to a maximum of 18 months of treatment may be authorised under this initial restriction.</w:t>
            </w:r>
          </w:p>
        </w:tc>
      </w:tr>
    </w:tbl>
    <w:p w14:paraId="1BF5CD26" w14:textId="3FCBDEA8" w:rsidR="00902E2A" w:rsidRPr="00F917FC" w:rsidRDefault="00902E2A" w:rsidP="00DF5A23">
      <w:pPr>
        <w:widowControl w:val="0"/>
        <w:rPr>
          <w:rFonts w:asciiTheme="minorHAnsi" w:hAnsiTheme="minorHAnsi" w:cs="Arial"/>
          <w:bCs/>
          <w:snapToGrid w:val="0"/>
        </w:rPr>
      </w:pPr>
    </w:p>
    <w:p w14:paraId="0B29A12F" w14:textId="57994DA9" w:rsidR="00902E2A" w:rsidRPr="00564C3C" w:rsidRDefault="004837E1" w:rsidP="0061492E">
      <w:pPr>
        <w:keepNext/>
        <w:rPr>
          <w:rFonts w:ascii="Arial Narrow" w:hAnsi="Arial Narrow"/>
          <w:sz w:val="20"/>
          <w:szCs w:val="20"/>
        </w:rPr>
      </w:pPr>
      <w:r w:rsidRPr="00564C3C">
        <w:rPr>
          <w:rFonts w:ascii="Arial Narrow" w:hAnsi="Arial Narrow"/>
          <w:sz w:val="20"/>
          <w:szCs w:val="20"/>
        </w:rPr>
        <w:t>Continu</w:t>
      </w:r>
      <w:r w:rsidR="0061492E" w:rsidRPr="00564C3C">
        <w:rPr>
          <w:rFonts w:ascii="Arial Narrow" w:hAnsi="Arial Narrow"/>
          <w:sz w:val="20"/>
          <w:szCs w:val="20"/>
        </w:rPr>
        <w:t>ing</w:t>
      </w:r>
      <w:r w:rsidRPr="00564C3C">
        <w:rPr>
          <w:rFonts w:ascii="Arial Narrow" w:hAnsi="Arial Narrow"/>
          <w:sz w:val="20"/>
          <w:szCs w:val="20"/>
        </w:rPr>
        <w:t xml:space="preserve"> Treatment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0"/>
        <w:gridCol w:w="491"/>
        <w:gridCol w:w="8086"/>
      </w:tblGrid>
      <w:tr w:rsidR="004837E1" w:rsidRPr="00564C3C" w14:paraId="608BCAEB" w14:textId="77777777" w:rsidTr="003D4043">
        <w:tc>
          <w:tcPr>
            <w:tcW w:w="9067" w:type="dxa"/>
            <w:gridSpan w:val="3"/>
            <w:tcBorders>
              <w:top w:val="single" w:sz="4" w:space="0" w:color="auto"/>
              <w:left w:val="single" w:sz="4" w:space="0" w:color="auto"/>
              <w:right w:val="single" w:sz="4" w:space="0" w:color="auto"/>
            </w:tcBorders>
          </w:tcPr>
          <w:p w14:paraId="00F20A8F" w14:textId="77777777" w:rsidR="004837E1" w:rsidRPr="00564C3C" w:rsidRDefault="004837E1" w:rsidP="003D4043">
            <w:pPr>
              <w:rPr>
                <w:rFonts w:ascii="Arial Narrow" w:hAnsi="Arial Narrow" w:cs="Arial"/>
                <w:b/>
                <w:sz w:val="20"/>
                <w:szCs w:val="20"/>
              </w:rPr>
            </w:pPr>
            <w:r w:rsidRPr="00564C3C">
              <w:rPr>
                <w:rFonts w:ascii="Arial Narrow" w:hAnsi="Arial Narrow"/>
                <w:b/>
                <w:sz w:val="20"/>
                <w:szCs w:val="20"/>
              </w:rPr>
              <w:t xml:space="preserve">Restriction Summary [new] / Treatment of Concept: [new] </w:t>
            </w:r>
          </w:p>
        </w:tc>
      </w:tr>
      <w:tr w:rsidR="004837E1" w:rsidRPr="00564C3C" w14:paraId="5B36D0B4" w14:textId="77777777" w:rsidTr="003D4043">
        <w:tc>
          <w:tcPr>
            <w:tcW w:w="981" w:type="dxa"/>
            <w:gridSpan w:val="2"/>
            <w:vMerge w:val="restart"/>
            <w:tcBorders>
              <w:top w:val="single" w:sz="4" w:space="0" w:color="auto"/>
              <w:left w:val="single" w:sz="4" w:space="0" w:color="auto"/>
              <w:right w:val="single" w:sz="4" w:space="0" w:color="auto"/>
            </w:tcBorders>
          </w:tcPr>
          <w:p w14:paraId="091EDF9A" w14:textId="77777777" w:rsidR="004837E1" w:rsidRPr="00564C3C" w:rsidRDefault="004837E1" w:rsidP="003D4043">
            <w:pPr>
              <w:rPr>
                <w:rFonts w:ascii="Arial Narrow" w:hAnsi="Arial Narrow" w:cs="Arial"/>
                <w:i/>
                <w:sz w:val="20"/>
                <w:szCs w:val="20"/>
              </w:rPr>
            </w:pPr>
          </w:p>
          <w:p w14:paraId="0074D25E" w14:textId="77777777" w:rsidR="004837E1" w:rsidRPr="00564C3C" w:rsidRDefault="004837E1" w:rsidP="003D4043">
            <w:pPr>
              <w:rPr>
                <w:rFonts w:ascii="Arial Narrow" w:hAnsi="Arial Narrow" w:cs="Arial"/>
                <w:b/>
                <w:sz w:val="20"/>
                <w:szCs w:val="20"/>
              </w:rPr>
            </w:pPr>
          </w:p>
        </w:tc>
        <w:tc>
          <w:tcPr>
            <w:tcW w:w="8086" w:type="dxa"/>
            <w:tcBorders>
              <w:top w:val="single" w:sz="4" w:space="0" w:color="auto"/>
              <w:left w:val="single" w:sz="4" w:space="0" w:color="auto"/>
              <w:bottom w:val="single" w:sz="4" w:space="0" w:color="auto"/>
              <w:right w:val="single" w:sz="4" w:space="0" w:color="auto"/>
            </w:tcBorders>
          </w:tcPr>
          <w:p w14:paraId="1CB71533" w14:textId="77777777" w:rsidR="004837E1" w:rsidRPr="00564C3C" w:rsidRDefault="004837E1" w:rsidP="003D4043">
            <w:pPr>
              <w:rPr>
                <w:rFonts w:ascii="Arial Narrow" w:hAnsi="Arial Narrow" w:cs="Arial"/>
                <w:sz w:val="20"/>
                <w:szCs w:val="20"/>
              </w:rPr>
            </w:pPr>
            <w:r w:rsidRPr="00564C3C">
              <w:rPr>
                <w:rFonts w:ascii="Arial Narrow" w:hAnsi="Arial Narrow" w:cs="Arial"/>
                <w:b/>
                <w:sz w:val="20"/>
                <w:szCs w:val="20"/>
              </w:rPr>
              <w:t xml:space="preserve">Category / Program:   </w:t>
            </w:r>
            <w:r w:rsidRPr="00564C3C">
              <w:rPr>
                <w:rFonts w:ascii="Arial Narrow" w:hAnsi="Arial Narrow" w:cs="Arial"/>
                <w:sz w:val="20"/>
                <w:szCs w:val="20"/>
              </w:rPr>
              <w:t>GENERAL – General Schedule (Code GE)</w:t>
            </w:r>
            <w:r w:rsidRPr="00564C3C">
              <w:rPr>
                <w:rFonts w:ascii="Arial Narrow" w:hAnsi="Arial Narrow" w:cs="Arial"/>
                <w:color w:val="FF0000"/>
                <w:sz w:val="20"/>
                <w:szCs w:val="20"/>
              </w:rPr>
              <w:t xml:space="preserve"> </w:t>
            </w:r>
          </w:p>
          <w:p w14:paraId="36B51015" w14:textId="77777777" w:rsidR="004837E1" w:rsidRPr="00564C3C" w:rsidRDefault="004837E1" w:rsidP="003D4043">
            <w:pPr>
              <w:rPr>
                <w:rFonts w:ascii="Arial Narrow" w:hAnsi="Arial Narrow" w:cs="Arial"/>
                <w:sz w:val="20"/>
                <w:szCs w:val="20"/>
              </w:rPr>
            </w:pPr>
          </w:p>
        </w:tc>
      </w:tr>
      <w:tr w:rsidR="004837E1" w:rsidRPr="00564C3C" w14:paraId="4F84FF58" w14:textId="77777777" w:rsidTr="003D4043">
        <w:trPr>
          <w:trHeight w:val="240"/>
        </w:trPr>
        <w:tc>
          <w:tcPr>
            <w:tcW w:w="981" w:type="dxa"/>
            <w:gridSpan w:val="2"/>
            <w:vMerge/>
            <w:tcBorders>
              <w:left w:val="single" w:sz="4" w:space="0" w:color="auto"/>
              <w:right w:val="single" w:sz="4" w:space="0" w:color="auto"/>
            </w:tcBorders>
          </w:tcPr>
          <w:p w14:paraId="60F16E18" w14:textId="77777777" w:rsidR="004837E1" w:rsidRPr="00564C3C" w:rsidRDefault="004837E1" w:rsidP="003D4043">
            <w:pPr>
              <w:rPr>
                <w:rFonts w:ascii="Arial Narrow" w:hAnsi="Arial Narrow" w:cs="Arial"/>
                <w:sz w:val="20"/>
                <w:szCs w:val="20"/>
              </w:rPr>
            </w:pPr>
          </w:p>
        </w:tc>
        <w:tc>
          <w:tcPr>
            <w:tcW w:w="8086" w:type="dxa"/>
            <w:tcBorders>
              <w:top w:val="single" w:sz="4" w:space="0" w:color="auto"/>
              <w:left w:val="single" w:sz="4" w:space="0" w:color="auto"/>
              <w:bottom w:val="single" w:sz="4" w:space="0" w:color="auto"/>
              <w:right w:val="single" w:sz="4" w:space="0" w:color="auto"/>
            </w:tcBorders>
          </w:tcPr>
          <w:p w14:paraId="29196D5B" w14:textId="77777777" w:rsidR="004837E1" w:rsidRPr="00564C3C" w:rsidRDefault="004837E1" w:rsidP="003D4043">
            <w:pPr>
              <w:rPr>
                <w:rFonts w:ascii="Arial Narrow" w:hAnsi="Arial Narrow" w:cs="Arial"/>
                <w:b/>
                <w:sz w:val="20"/>
                <w:szCs w:val="20"/>
              </w:rPr>
            </w:pPr>
            <w:r w:rsidRPr="00564C3C">
              <w:rPr>
                <w:rFonts w:ascii="Arial Narrow" w:hAnsi="Arial Narrow" w:cs="Arial"/>
                <w:b/>
                <w:sz w:val="20"/>
                <w:szCs w:val="20"/>
              </w:rPr>
              <w:t>Prescriber type:</w:t>
            </w:r>
            <w:r w:rsidRPr="00564C3C">
              <w:rPr>
                <w:rFonts w:ascii="Arial Narrow" w:hAnsi="Arial Narrow" w:cs="Arial"/>
                <w:sz w:val="20"/>
                <w:szCs w:val="20"/>
              </w:rPr>
              <w:t xml:space="preserve">    </w:t>
            </w:r>
            <w:r w:rsidRPr="00564C3C">
              <w:rPr>
                <w:rFonts w:ascii="Arial Narrow" w:hAnsi="Arial Narrow" w:cs="Arial"/>
                <w:sz w:val="20"/>
                <w:szCs w:val="20"/>
              </w:rPr>
              <w:fldChar w:fldCharType="begin" w:fldLock="1">
                <w:ffData>
                  <w:name w:val=""/>
                  <w:enabled/>
                  <w:calcOnExit w:val="0"/>
                  <w:checkBox>
                    <w:sizeAuto/>
                    <w:default w:val="1"/>
                  </w:checkBox>
                </w:ffData>
              </w:fldChar>
            </w:r>
            <w:r w:rsidRPr="00564C3C">
              <w:rPr>
                <w:rFonts w:ascii="Arial Narrow" w:hAnsi="Arial Narrow" w:cs="Arial"/>
                <w:sz w:val="20"/>
                <w:szCs w:val="20"/>
              </w:rPr>
              <w:instrText xml:space="preserve"> FORMCHECKBOX </w:instrText>
            </w:r>
            <w:r w:rsidR="00E53C72">
              <w:rPr>
                <w:rFonts w:ascii="Arial Narrow" w:hAnsi="Arial Narrow" w:cs="Arial"/>
                <w:sz w:val="20"/>
                <w:szCs w:val="20"/>
              </w:rPr>
            </w:r>
            <w:r w:rsidR="00E53C72">
              <w:rPr>
                <w:rFonts w:ascii="Arial Narrow" w:hAnsi="Arial Narrow" w:cs="Arial"/>
                <w:sz w:val="20"/>
                <w:szCs w:val="20"/>
              </w:rPr>
              <w:fldChar w:fldCharType="separate"/>
            </w:r>
            <w:r w:rsidRPr="00564C3C">
              <w:rPr>
                <w:rFonts w:ascii="Arial Narrow" w:hAnsi="Arial Narrow" w:cs="Arial"/>
                <w:sz w:val="20"/>
                <w:szCs w:val="20"/>
              </w:rPr>
              <w:fldChar w:fldCharType="end"/>
            </w:r>
            <w:r w:rsidRPr="00564C3C">
              <w:rPr>
                <w:rFonts w:ascii="Arial Narrow" w:hAnsi="Arial Narrow" w:cs="Arial"/>
                <w:sz w:val="20"/>
                <w:szCs w:val="20"/>
              </w:rPr>
              <w:t xml:space="preserve">Medical Practitioners </w:t>
            </w:r>
          </w:p>
        </w:tc>
      </w:tr>
      <w:tr w:rsidR="004837E1" w:rsidRPr="00564C3C" w14:paraId="0C6D7F68" w14:textId="77777777" w:rsidTr="003D4043">
        <w:tc>
          <w:tcPr>
            <w:tcW w:w="981" w:type="dxa"/>
            <w:gridSpan w:val="2"/>
            <w:vMerge/>
            <w:tcBorders>
              <w:left w:val="single" w:sz="4" w:space="0" w:color="auto"/>
              <w:bottom w:val="single" w:sz="4" w:space="0" w:color="auto"/>
              <w:right w:val="single" w:sz="4" w:space="0" w:color="auto"/>
            </w:tcBorders>
          </w:tcPr>
          <w:p w14:paraId="3C44B127" w14:textId="77777777" w:rsidR="004837E1" w:rsidRPr="00564C3C" w:rsidRDefault="004837E1" w:rsidP="003D4043">
            <w:pPr>
              <w:rPr>
                <w:rFonts w:ascii="Arial Narrow" w:hAnsi="Arial Narrow" w:cs="Arial"/>
                <w:sz w:val="20"/>
                <w:szCs w:val="20"/>
              </w:rPr>
            </w:pPr>
          </w:p>
        </w:tc>
        <w:tc>
          <w:tcPr>
            <w:tcW w:w="8086" w:type="dxa"/>
            <w:tcBorders>
              <w:top w:val="single" w:sz="4" w:space="0" w:color="auto"/>
              <w:left w:val="single" w:sz="4" w:space="0" w:color="auto"/>
              <w:bottom w:val="single" w:sz="4" w:space="0" w:color="auto"/>
              <w:right w:val="single" w:sz="4" w:space="0" w:color="auto"/>
            </w:tcBorders>
          </w:tcPr>
          <w:p w14:paraId="324D0B5F" w14:textId="77777777" w:rsidR="004837E1" w:rsidRPr="00564C3C" w:rsidRDefault="004837E1" w:rsidP="003D4043">
            <w:pPr>
              <w:rPr>
                <w:rFonts w:ascii="Arial Narrow" w:hAnsi="Arial Narrow" w:cs="Arial"/>
                <w:b/>
                <w:sz w:val="20"/>
                <w:szCs w:val="20"/>
              </w:rPr>
            </w:pPr>
            <w:r w:rsidRPr="00564C3C">
              <w:rPr>
                <w:rFonts w:ascii="Arial Narrow" w:hAnsi="Arial Narrow" w:cs="Arial"/>
                <w:b/>
                <w:sz w:val="20"/>
                <w:szCs w:val="20"/>
              </w:rPr>
              <w:t xml:space="preserve">Restriction type: </w:t>
            </w:r>
          </w:p>
          <w:p w14:paraId="50BA0C0F" w14:textId="0BB7A2C5" w:rsidR="004837E1" w:rsidRPr="00564C3C" w:rsidRDefault="004837E1" w:rsidP="003D4043">
            <w:pPr>
              <w:rPr>
                <w:rFonts w:ascii="Arial Narrow" w:eastAsia="Calibri" w:hAnsi="Arial Narrow" w:cs="Arial"/>
                <w:color w:val="FF0000"/>
                <w:sz w:val="20"/>
                <w:szCs w:val="20"/>
              </w:rPr>
            </w:pPr>
            <w:r w:rsidRPr="00564C3C">
              <w:rPr>
                <w:rFonts w:ascii="Arial Narrow" w:eastAsia="Calibri" w:hAnsi="Arial Narrow" w:cs="Arial"/>
                <w:sz w:val="20"/>
                <w:szCs w:val="20"/>
              </w:rPr>
              <w:fldChar w:fldCharType="begin" w:fldLock="1">
                <w:ffData>
                  <w:name w:val=""/>
                  <w:enabled/>
                  <w:calcOnExit w:val="0"/>
                  <w:checkBox>
                    <w:sizeAuto/>
                    <w:default w:val="1"/>
                  </w:checkBox>
                </w:ffData>
              </w:fldChar>
            </w:r>
            <w:r w:rsidRPr="00564C3C">
              <w:rPr>
                <w:rFonts w:ascii="Arial Narrow" w:eastAsia="Calibri" w:hAnsi="Arial Narrow" w:cs="Arial"/>
                <w:sz w:val="20"/>
                <w:szCs w:val="20"/>
              </w:rPr>
              <w:instrText xml:space="preserve"> FORMCHECKBOX </w:instrText>
            </w:r>
            <w:r w:rsidR="00E53C72">
              <w:rPr>
                <w:rFonts w:ascii="Arial Narrow" w:eastAsia="Calibri" w:hAnsi="Arial Narrow" w:cs="Arial"/>
                <w:sz w:val="20"/>
                <w:szCs w:val="20"/>
              </w:rPr>
            </w:r>
            <w:r w:rsidR="00E53C72">
              <w:rPr>
                <w:rFonts w:ascii="Arial Narrow" w:eastAsia="Calibri" w:hAnsi="Arial Narrow" w:cs="Arial"/>
                <w:sz w:val="20"/>
                <w:szCs w:val="20"/>
              </w:rPr>
              <w:fldChar w:fldCharType="separate"/>
            </w:r>
            <w:r w:rsidRPr="00564C3C">
              <w:rPr>
                <w:rFonts w:ascii="Arial Narrow" w:eastAsia="Calibri" w:hAnsi="Arial Narrow" w:cs="Arial"/>
                <w:sz w:val="20"/>
                <w:szCs w:val="20"/>
              </w:rPr>
              <w:fldChar w:fldCharType="end"/>
            </w:r>
            <w:r w:rsidRPr="00564C3C">
              <w:rPr>
                <w:rFonts w:ascii="Arial Narrow" w:eastAsia="Calibri" w:hAnsi="Arial Narrow" w:cs="Arial"/>
                <w:sz w:val="20"/>
                <w:szCs w:val="20"/>
              </w:rPr>
              <w:t xml:space="preserve">Authority Required </w:t>
            </w:r>
            <w:r w:rsidR="00E03E83" w:rsidRPr="00564C3C">
              <w:rPr>
                <w:rFonts w:ascii="Arial Narrow" w:eastAsia="Calibri" w:hAnsi="Arial Narrow" w:cs="Arial"/>
                <w:sz w:val="20"/>
                <w:szCs w:val="20"/>
              </w:rPr>
              <w:t>(in writing only via mail/postal service or electronic upload to Hobart)</w:t>
            </w:r>
          </w:p>
        </w:tc>
      </w:tr>
      <w:tr w:rsidR="004837E1" w:rsidRPr="00564C3C" w14:paraId="0CF368EF" w14:textId="77777777" w:rsidTr="003D4043">
        <w:trPr>
          <w:trHeight w:val="1074"/>
        </w:trPr>
        <w:tc>
          <w:tcPr>
            <w:tcW w:w="490" w:type="dxa"/>
            <w:tcBorders>
              <w:left w:val="single" w:sz="4" w:space="0" w:color="auto"/>
              <w:right w:val="single" w:sz="4" w:space="0" w:color="auto"/>
            </w:tcBorders>
            <w:textDirection w:val="btLr"/>
          </w:tcPr>
          <w:p w14:paraId="5FBD7818" w14:textId="77777777" w:rsidR="004837E1" w:rsidRPr="00564C3C" w:rsidRDefault="004837E1" w:rsidP="003D4043">
            <w:pPr>
              <w:ind w:left="113" w:right="113"/>
              <w:rPr>
                <w:rFonts w:ascii="Arial Narrow" w:hAnsi="Arial Narrow" w:cs="Arial"/>
                <w:sz w:val="20"/>
                <w:szCs w:val="20"/>
              </w:rPr>
            </w:pPr>
            <w:r w:rsidRPr="00564C3C">
              <w:rPr>
                <w:rFonts w:ascii="Arial Narrow" w:hAnsi="Arial Narrow" w:cs="Arial"/>
                <w:sz w:val="20"/>
                <w:szCs w:val="20"/>
              </w:rPr>
              <w:t>Prescribing rule level</w:t>
            </w:r>
          </w:p>
        </w:tc>
        <w:tc>
          <w:tcPr>
            <w:tcW w:w="491" w:type="dxa"/>
            <w:vAlign w:val="center"/>
          </w:tcPr>
          <w:p w14:paraId="02B51D38" w14:textId="6E185D98" w:rsidR="00E03E83" w:rsidRPr="00564C3C" w:rsidRDefault="00E03E83" w:rsidP="003D4043">
            <w:pPr>
              <w:jc w:val="center"/>
              <w:rPr>
                <w:rFonts w:ascii="Arial Narrow" w:hAnsi="Arial Narrow"/>
                <w:color w:val="333333"/>
                <w:sz w:val="20"/>
                <w:szCs w:val="20"/>
              </w:rPr>
            </w:pPr>
          </w:p>
        </w:tc>
        <w:tc>
          <w:tcPr>
            <w:tcW w:w="8086" w:type="dxa"/>
            <w:vAlign w:val="center"/>
          </w:tcPr>
          <w:p w14:paraId="75D531D4" w14:textId="77777777" w:rsidR="004837E1" w:rsidRPr="00564C3C" w:rsidRDefault="004837E1" w:rsidP="003D4043">
            <w:pPr>
              <w:rPr>
                <w:rFonts w:ascii="Arial Narrow" w:hAnsi="Arial Narrow" w:cs="Arial"/>
                <w:sz w:val="20"/>
                <w:szCs w:val="20"/>
              </w:rPr>
            </w:pPr>
            <w:r w:rsidRPr="00564C3C">
              <w:rPr>
                <w:rFonts w:ascii="Arial Narrow" w:hAnsi="Arial Narrow" w:cs="Arial"/>
                <w:b/>
                <w:bCs/>
                <w:sz w:val="20"/>
                <w:szCs w:val="20"/>
              </w:rPr>
              <w:t>Administrative Advice</w:t>
            </w:r>
            <w:r w:rsidRPr="00564C3C">
              <w:rPr>
                <w:rFonts w:ascii="Arial Narrow" w:hAnsi="Arial Narrow" w:cs="Arial"/>
                <w:bCs/>
                <w:sz w:val="20"/>
                <w:szCs w:val="20"/>
              </w:rPr>
              <w:t xml:space="preserve">: </w:t>
            </w:r>
            <w:r w:rsidRPr="00564C3C">
              <w:rPr>
                <w:rFonts w:ascii="Arial Narrow" w:hAnsi="Arial Narrow" w:cs="Arial"/>
                <w:sz w:val="20"/>
                <w:szCs w:val="20"/>
              </w:rPr>
              <w:t>Special Pricing Arrangements apply.</w:t>
            </w:r>
          </w:p>
          <w:p w14:paraId="0BAE0E92" w14:textId="77777777" w:rsidR="00E03E83" w:rsidRPr="00564C3C" w:rsidRDefault="00E03E83" w:rsidP="003D4043">
            <w:pPr>
              <w:rPr>
                <w:rFonts w:ascii="Arial Narrow" w:hAnsi="Arial Narrow" w:cs="Arial"/>
                <w:sz w:val="20"/>
                <w:szCs w:val="20"/>
              </w:rPr>
            </w:pPr>
            <w:r w:rsidRPr="00564C3C">
              <w:rPr>
                <w:rFonts w:ascii="Arial Narrow" w:hAnsi="Arial Narrow" w:cs="Arial"/>
                <w:b/>
                <w:bCs/>
                <w:sz w:val="20"/>
                <w:szCs w:val="20"/>
              </w:rPr>
              <w:t xml:space="preserve">Administrative Advice: </w:t>
            </w:r>
            <w:r w:rsidRPr="00564C3C">
              <w:rPr>
                <w:rFonts w:ascii="Arial Narrow" w:hAnsi="Arial Narrow" w:cs="Arial"/>
                <w:sz w:val="20"/>
                <w:szCs w:val="20"/>
              </w:rPr>
              <w:t>No increase in the maximum quantity or number of units may be authorised.</w:t>
            </w:r>
          </w:p>
          <w:p w14:paraId="792EA16A" w14:textId="6C10B4CF" w:rsidR="00E03E83" w:rsidRPr="00564C3C" w:rsidRDefault="00E03E83" w:rsidP="003D4043">
            <w:pPr>
              <w:rPr>
                <w:rFonts w:ascii="Arial Narrow" w:hAnsi="Arial Narrow"/>
                <w:color w:val="333333"/>
                <w:sz w:val="20"/>
                <w:szCs w:val="20"/>
              </w:rPr>
            </w:pPr>
            <w:r w:rsidRPr="00564C3C">
              <w:rPr>
                <w:rFonts w:ascii="Arial Narrow" w:hAnsi="Arial Narrow" w:cs="Arial"/>
                <w:b/>
                <w:bCs/>
                <w:sz w:val="20"/>
                <w:szCs w:val="20"/>
              </w:rPr>
              <w:t xml:space="preserve">Administrative Advice: </w:t>
            </w:r>
            <w:r w:rsidRPr="00564C3C">
              <w:rPr>
                <w:rFonts w:ascii="Arial Narrow" w:hAnsi="Arial Narrow" w:cs="Arial"/>
                <w:sz w:val="20"/>
                <w:szCs w:val="20"/>
              </w:rPr>
              <w:t>No increase in the maximum number of repeats may be authorised.</w:t>
            </w:r>
          </w:p>
        </w:tc>
      </w:tr>
      <w:tr w:rsidR="004837E1" w:rsidRPr="00564C3C" w14:paraId="2CEA1334" w14:textId="77777777" w:rsidTr="003D4043">
        <w:tc>
          <w:tcPr>
            <w:tcW w:w="981" w:type="dxa"/>
            <w:gridSpan w:val="2"/>
            <w:vMerge w:val="restart"/>
            <w:vAlign w:val="center"/>
          </w:tcPr>
          <w:p w14:paraId="275FA520" w14:textId="77777777" w:rsidR="004837E1" w:rsidRPr="00564C3C" w:rsidRDefault="004837E1" w:rsidP="003D4043">
            <w:pPr>
              <w:jc w:val="center"/>
              <w:rPr>
                <w:rFonts w:ascii="Arial Narrow" w:hAnsi="Arial Narrow"/>
                <w:color w:val="333333"/>
                <w:sz w:val="20"/>
                <w:szCs w:val="20"/>
                <w:highlight w:val="yellow"/>
              </w:rPr>
            </w:pPr>
          </w:p>
        </w:tc>
        <w:tc>
          <w:tcPr>
            <w:tcW w:w="8086" w:type="dxa"/>
            <w:vAlign w:val="center"/>
          </w:tcPr>
          <w:p w14:paraId="1B4E7BA4" w14:textId="77777777" w:rsidR="004837E1" w:rsidRPr="00564C3C" w:rsidRDefault="004837E1" w:rsidP="003D4043">
            <w:pPr>
              <w:rPr>
                <w:rFonts w:ascii="Arial Narrow" w:hAnsi="Arial Narrow"/>
                <w:bCs/>
                <w:color w:val="A6A6A6" w:themeColor="background1" w:themeShade="A6"/>
                <w:sz w:val="20"/>
                <w:szCs w:val="20"/>
              </w:rPr>
            </w:pPr>
            <w:r w:rsidRPr="00564C3C">
              <w:rPr>
                <w:rFonts w:ascii="Arial Narrow" w:hAnsi="Arial Narrow"/>
                <w:b/>
                <w:bCs/>
                <w:color w:val="A6A6A6" w:themeColor="background1" w:themeShade="A6"/>
                <w:sz w:val="20"/>
                <w:szCs w:val="20"/>
              </w:rPr>
              <w:t xml:space="preserve">Episodicity: </w:t>
            </w:r>
            <w:r w:rsidRPr="00564C3C">
              <w:rPr>
                <w:rFonts w:ascii="Arial Narrow" w:hAnsi="Arial Narrow"/>
                <w:bCs/>
                <w:color w:val="A6A6A6" w:themeColor="background1" w:themeShade="A6"/>
                <w:sz w:val="20"/>
                <w:szCs w:val="20"/>
              </w:rPr>
              <w:t>Chronic</w:t>
            </w:r>
          </w:p>
        </w:tc>
      </w:tr>
      <w:tr w:rsidR="004837E1" w:rsidRPr="00564C3C" w14:paraId="7779D8BF" w14:textId="77777777" w:rsidTr="003D4043">
        <w:tc>
          <w:tcPr>
            <w:tcW w:w="981" w:type="dxa"/>
            <w:gridSpan w:val="2"/>
            <w:vMerge/>
            <w:vAlign w:val="center"/>
          </w:tcPr>
          <w:p w14:paraId="2AEF7674" w14:textId="77777777" w:rsidR="004837E1" w:rsidRPr="00564C3C" w:rsidRDefault="004837E1" w:rsidP="003D4043">
            <w:pPr>
              <w:jc w:val="center"/>
              <w:rPr>
                <w:rFonts w:ascii="Arial Narrow" w:hAnsi="Arial Narrow"/>
                <w:color w:val="333333"/>
                <w:sz w:val="20"/>
                <w:szCs w:val="20"/>
                <w:highlight w:val="yellow"/>
              </w:rPr>
            </w:pPr>
          </w:p>
        </w:tc>
        <w:tc>
          <w:tcPr>
            <w:tcW w:w="8086" w:type="dxa"/>
            <w:vAlign w:val="center"/>
          </w:tcPr>
          <w:p w14:paraId="3F9FFB56" w14:textId="77777777" w:rsidR="004837E1" w:rsidRPr="00564C3C" w:rsidRDefault="004837E1" w:rsidP="003D4043">
            <w:pPr>
              <w:rPr>
                <w:rFonts w:ascii="Arial Narrow" w:hAnsi="Arial Narrow"/>
                <w:b/>
                <w:bCs/>
                <w:color w:val="A6A6A6" w:themeColor="background1" w:themeShade="A6"/>
                <w:sz w:val="20"/>
                <w:szCs w:val="20"/>
              </w:rPr>
            </w:pPr>
            <w:r w:rsidRPr="00564C3C">
              <w:rPr>
                <w:rFonts w:ascii="Arial Narrow" w:hAnsi="Arial Narrow"/>
                <w:b/>
                <w:bCs/>
                <w:color w:val="A6A6A6" w:themeColor="background1" w:themeShade="A6"/>
                <w:sz w:val="20"/>
                <w:szCs w:val="20"/>
              </w:rPr>
              <w:t xml:space="preserve">Severity: </w:t>
            </w:r>
            <w:r w:rsidRPr="00564C3C">
              <w:rPr>
                <w:rFonts w:ascii="Arial Narrow" w:hAnsi="Arial Narrow"/>
                <w:bCs/>
                <w:color w:val="A6A6A6" w:themeColor="background1" w:themeShade="A6"/>
                <w:sz w:val="20"/>
                <w:szCs w:val="20"/>
              </w:rPr>
              <w:t>[blank]</w:t>
            </w:r>
          </w:p>
        </w:tc>
      </w:tr>
      <w:tr w:rsidR="004837E1" w:rsidRPr="00564C3C" w14:paraId="2A656BB3" w14:textId="77777777" w:rsidTr="003D4043">
        <w:tc>
          <w:tcPr>
            <w:tcW w:w="981" w:type="dxa"/>
            <w:gridSpan w:val="2"/>
            <w:vMerge/>
            <w:vAlign w:val="center"/>
          </w:tcPr>
          <w:p w14:paraId="187D14AB" w14:textId="77777777" w:rsidR="004837E1" w:rsidRPr="00564C3C" w:rsidRDefault="004837E1" w:rsidP="003D4043">
            <w:pPr>
              <w:jc w:val="center"/>
              <w:rPr>
                <w:rFonts w:ascii="Arial Narrow" w:hAnsi="Arial Narrow"/>
                <w:color w:val="333333"/>
                <w:sz w:val="20"/>
                <w:szCs w:val="20"/>
                <w:highlight w:val="yellow"/>
              </w:rPr>
            </w:pPr>
          </w:p>
        </w:tc>
        <w:tc>
          <w:tcPr>
            <w:tcW w:w="8086" w:type="dxa"/>
            <w:vAlign w:val="center"/>
          </w:tcPr>
          <w:p w14:paraId="118EB293" w14:textId="77777777" w:rsidR="004837E1" w:rsidRPr="00564C3C" w:rsidRDefault="004837E1" w:rsidP="003D4043">
            <w:pPr>
              <w:rPr>
                <w:rFonts w:ascii="Arial Narrow" w:hAnsi="Arial Narrow"/>
                <w:b/>
                <w:bCs/>
                <w:color w:val="A6A6A6" w:themeColor="background1" w:themeShade="A6"/>
                <w:sz w:val="20"/>
                <w:szCs w:val="20"/>
              </w:rPr>
            </w:pPr>
            <w:r w:rsidRPr="00564C3C">
              <w:rPr>
                <w:rFonts w:ascii="Arial Narrow" w:hAnsi="Arial Narrow"/>
                <w:b/>
                <w:bCs/>
                <w:color w:val="A6A6A6" w:themeColor="background1" w:themeShade="A6"/>
                <w:sz w:val="20"/>
                <w:szCs w:val="20"/>
              </w:rPr>
              <w:t xml:space="preserve">Condition: </w:t>
            </w:r>
            <w:r w:rsidRPr="00564C3C">
              <w:rPr>
                <w:rFonts w:ascii="Arial Narrow" w:hAnsi="Arial Narrow"/>
                <w:bCs/>
                <w:color w:val="A6A6A6" w:themeColor="background1" w:themeShade="A6"/>
                <w:sz w:val="20"/>
                <w:szCs w:val="20"/>
              </w:rPr>
              <w:t>myeloid leukaemia</w:t>
            </w:r>
          </w:p>
        </w:tc>
      </w:tr>
      <w:tr w:rsidR="004837E1" w:rsidRPr="00564C3C" w14:paraId="26F60047" w14:textId="77777777" w:rsidTr="00075C73">
        <w:tc>
          <w:tcPr>
            <w:tcW w:w="981" w:type="dxa"/>
            <w:gridSpan w:val="2"/>
            <w:vAlign w:val="center"/>
          </w:tcPr>
          <w:p w14:paraId="087EBFF9" w14:textId="26D8705A" w:rsidR="004837E1" w:rsidRPr="00564C3C" w:rsidRDefault="004837E1" w:rsidP="003D4043">
            <w:pPr>
              <w:jc w:val="center"/>
              <w:rPr>
                <w:rFonts w:ascii="Arial Narrow" w:hAnsi="Arial Narrow"/>
                <w:color w:val="333333"/>
                <w:sz w:val="20"/>
                <w:szCs w:val="20"/>
                <w:highlight w:val="yellow"/>
              </w:rPr>
            </w:pPr>
          </w:p>
        </w:tc>
        <w:tc>
          <w:tcPr>
            <w:tcW w:w="8086" w:type="dxa"/>
            <w:vAlign w:val="center"/>
            <w:hideMark/>
          </w:tcPr>
          <w:p w14:paraId="01975DCC" w14:textId="77777777" w:rsidR="004837E1" w:rsidRPr="00564C3C" w:rsidRDefault="004837E1" w:rsidP="003D4043">
            <w:pPr>
              <w:rPr>
                <w:rFonts w:ascii="Arial Narrow" w:hAnsi="Arial Narrow"/>
                <w:color w:val="333333"/>
                <w:sz w:val="20"/>
                <w:szCs w:val="20"/>
              </w:rPr>
            </w:pPr>
            <w:r w:rsidRPr="00564C3C">
              <w:rPr>
                <w:rFonts w:ascii="Arial Narrow" w:hAnsi="Arial Narrow"/>
                <w:b/>
                <w:bCs/>
                <w:color w:val="333333"/>
                <w:sz w:val="20"/>
                <w:szCs w:val="20"/>
              </w:rPr>
              <w:t>Indication:</w:t>
            </w:r>
            <w:r w:rsidRPr="00564C3C">
              <w:rPr>
                <w:rFonts w:ascii="Arial Narrow" w:hAnsi="Arial Narrow"/>
                <w:color w:val="333333"/>
                <w:sz w:val="20"/>
                <w:szCs w:val="20"/>
              </w:rPr>
              <w:t xml:space="preserve"> Chronic myeloid leukaemia</w:t>
            </w:r>
          </w:p>
        </w:tc>
      </w:tr>
      <w:tr w:rsidR="004837E1" w:rsidRPr="00564C3C" w14:paraId="64F4D24D" w14:textId="77777777" w:rsidTr="003D4043">
        <w:tc>
          <w:tcPr>
            <w:tcW w:w="981" w:type="dxa"/>
            <w:gridSpan w:val="2"/>
            <w:vAlign w:val="center"/>
          </w:tcPr>
          <w:p w14:paraId="4A0AEFF6" w14:textId="77777777" w:rsidR="004837E1" w:rsidRPr="00564C3C" w:rsidRDefault="004837E1" w:rsidP="003D4043">
            <w:pPr>
              <w:jc w:val="center"/>
              <w:rPr>
                <w:rFonts w:ascii="Arial Narrow" w:hAnsi="Arial Narrow"/>
                <w:color w:val="333333"/>
                <w:sz w:val="20"/>
                <w:szCs w:val="20"/>
                <w:highlight w:val="yellow"/>
              </w:rPr>
            </w:pPr>
          </w:p>
        </w:tc>
        <w:tc>
          <w:tcPr>
            <w:tcW w:w="8086" w:type="dxa"/>
            <w:vAlign w:val="center"/>
          </w:tcPr>
          <w:p w14:paraId="20A49500" w14:textId="77777777" w:rsidR="004837E1" w:rsidRPr="00564C3C" w:rsidRDefault="004837E1" w:rsidP="003D4043">
            <w:pPr>
              <w:rPr>
                <w:rFonts w:ascii="Arial Narrow" w:hAnsi="Arial Narrow"/>
                <w:sz w:val="20"/>
                <w:szCs w:val="20"/>
              </w:rPr>
            </w:pPr>
            <w:r w:rsidRPr="00564C3C">
              <w:rPr>
                <w:rFonts w:ascii="Arial Narrow" w:hAnsi="Arial Narrow"/>
                <w:b/>
                <w:bCs/>
                <w:color w:val="333333"/>
                <w:sz w:val="20"/>
                <w:szCs w:val="20"/>
              </w:rPr>
              <w:t>Treatment Phase:</w:t>
            </w:r>
            <w:r w:rsidRPr="00564C3C">
              <w:rPr>
                <w:rFonts w:ascii="Arial Narrow" w:hAnsi="Arial Narrow"/>
                <w:color w:val="333333"/>
                <w:sz w:val="20"/>
                <w:szCs w:val="20"/>
              </w:rPr>
              <w:t xml:space="preserve"> Continuing Treatment for patients with T315I mutation</w:t>
            </w:r>
          </w:p>
        </w:tc>
      </w:tr>
      <w:tr w:rsidR="004837E1" w:rsidRPr="00564C3C" w14:paraId="1E6723AF" w14:textId="77777777" w:rsidTr="003D4043">
        <w:tc>
          <w:tcPr>
            <w:tcW w:w="981" w:type="dxa"/>
            <w:gridSpan w:val="2"/>
            <w:vAlign w:val="center"/>
          </w:tcPr>
          <w:p w14:paraId="09BA769A" w14:textId="77777777" w:rsidR="004837E1" w:rsidRPr="00564C3C" w:rsidRDefault="004837E1" w:rsidP="003D4043">
            <w:pPr>
              <w:jc w:val="center"/>
              <w:rPr>
                <w:rFonts w:ascii="Arial Narrow" w:hAnsi="Arial Narrow"/>
                <w:color w:val="333333"/>
                <w:sz w:val="20"/>
                <w:szCs w:val="20"/>
                <w:highlight w:val="yellow"/>
              </w:rPr>
            </w:pPr>
          </w:p>
        </w:tc>
        <w:tc>
          <w:tcPr>
            <w:tcW w:w="8086" w:type="dxa"/>
            <w:vAlign w:val="center"/>
          </w:tcPr>
          <w:p w14:paraId="5164ADAA" w14:textId="77777777" w:rsidR="004837E1" w:rsidRPr="00564C3C" w:rsidRDefault="004837E1" w:rsidP="003D4043">
            <w:pPr>
              <w:rPr>
                <w:rFonts w:ascii="Arial Narrow" w:hAnsi="Arial Narrow"/>
                <w:sz w:val="20"/>
                <w:szCs w:val="20"/>
              </w:rPr>
            </w:pPr>
            <w:r w:rsidRPr="00564C3C">
              <w:rPr>
                <w:rFonts w:ascii="Arial Narrow" w:hAnsi="Arial Narrow"/>
                <w:b/>
                <w:bCs/>
                <w:color w:val="333333"/>
                <w:sz w:val="20"/>
                <w:szCs w:val="20"/>
              </w:rPr>
              <w:t>Clinical criteria:</w:t>
            </w:r>
          </w:p>
        </w:tc>
      </w:tr>
      <w:tr w:rsidR="004837E1" w:rsidRPr="00564C3C" w14:paraId="6EAA5A9B" w14:textId="77777777" w:rsidTr="003D4043">
        <w:tc>
          <w:tcPr>
            <w:tcW w:w="981" w:type="dxa"/>
            <w:gridSpan w:val="2"/>
            <w:vAlign w:val="center"/>
          </w:tcPr>
          <w:p w14:paraId="75D0AAA4" w14:textId="585AFFA4" w:rsidR="004837E1" w:rsidRPr="00564C3C" w:rsidRDefault="004837E1" w:rsidP="003D4043">
            <w:pPr>
              <w:jc w:val="center"/>
              <w:rPr>
                <w:rFonts w:ascii="Arial Narrow" w:hAnsi="Arial Narrow"/>
                <w:color w:val="333333"/>
                <w:sz w:val="20"/>
                <w:szCs w:val="20"/>
                <w:highlight w:val="yellow"/>
              </w:rPr>
            </w:pPr>
          </w:p>
        </w:tc>
        <w:tc>
          <w:tcPr>
            <w:tcW w:w="8086" w:type="dxa"/>
            <w:vAlign w:val="center"/>
          </w:tcPr>
          <w:p w14:paraId="612F4D03" w14:textId="77777777" w:rsidR="004837E1" w:rsidRPr="00564C3C" w:rsidRDefault="004837E1" w:rsidP="003D4043">
            <w:pPr>
              <w:rPr>
                <w:rFonts w:ascii="Arial Narrow" w:hAnsi="Arial Narrow"/>
                <w:sz w:val="20"/>
                <w:szCs w:val="20"/>
              </w:rPr>
            </w:pPr>
            <w:r w:rsidRPr="00564C3C">
              <w:rPr>
                <w:rFonts w:ascii="Arial Narrow" w:hAnsi="Arial Narrow"/>
                <w:color w:val="333333"/>
                <w:sz w:val="20"/>
                <w:szCs w:val="20"/>
              </w:rPr>
              <w:t>Patient must have received initial PBS-subsidised treatment with this drug for this condition</w:t>
            </w:r>
          </w:p>
        </w:tc>
      </w:tr>
      <w:tr w:rsidR="004837E1" w:rsidRPr="00564C3C" w14:paraId="5F98C0F4" w14:textId="77777777" w:rsidTr="003D4043">
        <w:tc>
          <w:tcPr>
            <w:tcW w:w="981" w:type="dxa"/>
            <w:gridSpan w:val="2"/>
            <w:vAlign w:val="center"/>
          </w:tcPr>
          <w:p w14:paraId="1862E971" w14:textId="77777777" w:rsidR="004837E1" w:rsidRPr="00564C3C" w:rsidRDefault="004837E1" w:rsidP="003D4043">
            <w:pPr>
              <w:jc w:val="center"/>
              <w:rPr>
                <w:rFonts w:ascii="Arial Narrow" w:hAnsi="Arial Narrow"/>
                <w:color w:val="333333"/>
                <w:sz w:val="20"/>
                <w:szCs w:val="20"/>
              </w:rPr>
            </w:pPr>
          </w:p>
        </w:tc>
        <w:tc>
          <w:tcPr>
            <w:tcW w:w="8086" w:type="dxa"/>
            <w:vAlign w:val="center"/>
          </w:tcPr>
          <w:p w14:paraId="25A254B7" w14:textId="77777777" w:rsidR="004837E1" w:rsidRPr="00564C3C" w:rsidRDefault="004837E1" w:rsidP="003D4043">
            <w:pPr>
              <w:rPr>
                <w:rFonts w:ascii="Arial Narrow" w:hAnsi="Arial Narrow"/>
                <w:b/>
                <w:bCs/>
                <w:color w:val="333333"/>
                <w:sz w:val="20"/>
                <w:szCs w:val="20"/>
              </w:rPr>
            </w:pPr>
            <w:r w:rsidRPr="00564C3C">
              <w:rPr>
                <w:rFonts w:ascii="Arial Narrow" w:hAnsi="Arial Narrow"/>
                <w:b/>
                <w:bCs/>
                <w:color w:val="333333"/>
                <w:sz w:val="20"/>
                <w:szCs w:val="20"/>
              </w:rPr>
              <w:t>AND</w:t>
            </w:r>
          </w:p>
        </w:tc>
      </w:tr>
      <w:tr w:rsidR="004837E1" w:rsidRPr="00564C3C" w14:paraId="0F8C15DD" w14:textId="77777777" w:rsidTr="003D4043">
        <w:tc>
          <w:tcPr>
            <w:tcW w:w="981" w:type="dxa"/>
            <w:gridSpan w:val="2"/>
            <w:vAlign w:val="center"/>
          </w:tcPr>
          <w:p w14:paraId="022F2DA1" w14:textId="77777777" w:rsidR="004837E1" w:rsidRPr="00564C3C" w:rsidRDefault="004837E1" w:rsidP="003D4043">
            <w:pPr>
              <w:jc w:val="center"/>
              <w:rPr>
                <w:rFonts w:ascii="Arial Narrow" w:hAnsi="Arial Narrow"/>
                <w:color w:val="333333"/>
                <w:sz w:val="20"/>
                <w:szCs w:val="20"/>
              </w:rPr>
            </w:pPr>
          </w:p>
        </w:tc>
        <w:tc>
          <w:tcPr>
            <w:tcW w:w="8086" w:type="dxa"/>
            <w:vAlign w:val="center"/>
          </w:tcPr>
          <w:p w14:paraId="66F63CEC" w14:textId="77777777" w:rsidR="004837E1" w:rsidRPr="00564C3C" w:rsidRDefault="004837E1" w:rsidP="003D4043">
            <w:pPr>
              <w:rPr>
                <w:rFonts w:ascii="Arial Narrow" w:hAnsi="Arial Narrow"/>
                <w:b/>
                <w:bCs/>
                <w:color w:val="333333"/>
                <w:sz w:val="20"/>
                <w:szCs w:val="20"/>
              </w:rPr>
            </w:pPr>
            <w:r w:rsidRPr="00564C3C">
              <w:rPr>
                <w:rFonts w:ascii="Arial Narrow" w:hAnsi="Arial Narrow"/>
                <w:b/>
                <w:bCs/>
                <w:color w:val="333333"/>
                <w:sz w:val="20"/>
                <w:szCs w:val="20"/>
              </w:rPr>
              <w:t xml:space="preserve">Clinical criteria: </w:t>
            </w:r>
          </w:p>
        </w:tc>
      </w:tr>
      <w:tr w:rsidR="004837E1" w:rsidRPr="00564C3C" w14:paraId="70C4D2FE" w14:textId="77777777" w:rsidTr="00271525">
        <w:trPr>
          <w:trHeight w:val="151"/>
        </w:trPr>
        <w:tc>
          <w:tcPr>
            <w:tcW w:w="981" w:type="dxa"/>
            <w:gridSpan w:val="2"/>
            <w:vAlign w:val="center"/>
          </w:tcPr>
          <w:p w14:paraId="0C2F6786" w14:textId="360E1357" w:rsidR="004837E1" w:rsidRPr="00564C3C" w:rsidRDefault="004837E1" w:rsidP="003D4043">
            <w:pPr>
              <w:jc w:val="center"/>
              <w:rPr>
                <w:rFonts w:ascii="Arial Narrow" w:hAnsi="Arial Narrow"/>
                <w:color w:val="333333"/>
                <w:sz w:val="20"/>
                <w:szCs w:val="20"/>
              </w:rPr>
            </w:pPr>
          </w:p>
        </w:tc>
        <w:tc>
          <w:tcPr>
            <w:tcW w:w="8086" w:type="dxa"/>
            <w:vAlign w:val="center"/>
          </w:tcPr>
          <w:p w14:paraId="400A9361" w14:textId="112E9A25" w:rsidR="004837E1" w:rsidRPr="00564C3C" w:rsidRDefault="004837E1" w:rsidP="00957393">
            <w:pPr>
              <w:pStyle w:val="NormalWeb"/>
              <w:spacing w:before="0" w:beforeAutospacing="0" w:after="0" w:afterAutospacing="0"/>
              <w:rPr>
                <w:rFonts w:ascii="Arial Narrow" w:hAnsi="Arial Narrow" w:cstheme="minorHAnsi"/>
                <w:sz w:val="20"/>
                <w:szCs w:val="20"/>
              </w:rPr>
            </w:pPr>
            <w:r w:rsidRPr="00564C3C">
              <w:rPr>
                <w:rFonts w:ascii="Arial Narrow" w:hAnsi="Arial Narrow" w:cstheme="minorHAnsi"/>
                <w:sz w:val="20"/>
                <w:szCs w:val="20"/>
              </w:rPr>
              <w:t>The treatment must be the sole PBS-subsidised therapy for this condition</w:t>
            </w:r>
          </w:p>
        </w:tc>
      </w:tr>
      <w:tr w:rsidR="004837E1" w:rsidRPr="00564C3C" w14:paraId="4EDCF5FD" w14:textId="77777777" w:rsidTr="003D4043">
        <w:tc>
          <w:tcPr>
            <w:tcW w:w="981" w:type="dxa"/>
            <w:gridSpan w:val="2"/>
            <w:vAlign w:val="center"/>
          </w:tcPr>
          <w:p w14:paraId="49DF438C" w14:textId="77777777" w:rsidR="004837E1" w:rsidRPr="00564C3C" w:rsidRDefault="004837E1" w:rsidP="003D4043">
            <w:pPr>
              <w:jc w:val="center"/>
              <w:rPr>
                <w:rFonts w:ascii="Arial Narrow" w:hAnsi="Arial Narrow"/>
                <w:color w:val="333333"/>
                <w:sz w:val="20"/>
                <w:szCs w:val="20"/>
                <w:highlight w:val="yellow"/>
              </w:rPr>
            </w:pPr>
          </w:p>
        </w:tc>
        <w:tc>
          <w:tcPr>
            <w:tcW w:w="8086" w:type="dxa"/>
            <w:vAlign w:val="center"/>
          </w:tcPr>
          <w:p w14:paraId="152F33A5" w14:textId="77777777" w:rsidR="004837E1" w:rsidRPr="00564C3C" w:rsidRDefault="004837E1" w:rsidP="003D4043">
            <w:pPr>
              <w:rPr>
                <w:rFonts w:ascii="Arial Narrow" w:hAnsi="Arial Narrow"/>
                <w:b/>
                <w:bCs/>
                <w:sz w:val="20"/>
                <w:szCs w:val="20"/>
              </w:rPr>
            </w:pPr>
            <w:r w:rsidRPr="00564C3C">
              <w:rPr>
                <w:rFonts w:ascii="Arial Narrow" w:hAnsi="Arial Narrow"/>
                <w:b/>
                <w:bCs/>
                <w:color w:val="333333"/>
                <w:sz w:val="20"/>
                <w:szCs w:val="20"/>
              </w:rPr>
              <w:t>AND</w:t>
            </w:r>
          </w:p>
        </w:tc>
      </w:tr>
      <w:tr w:rsidR="004837E1" w:rsidRPr="00564C3C" w14:paraId="3CE52DF3" w14:textId="77777777" w:rsidTr="003D4043">
        <w:tc>
          <w:tcPr>
            <w:tcW w:w="981" w:type="dxa"/>
            <w:gridSpan w:val="2"/>
            <w:vAlign w:val="center"/>
          </w:tcPr>
          <w:p w14:paraId="0DD5DBD5" w14:textId="77777777" w:rsidR="004837E1" w:rsidRPr="00564C3C" w:rsidRDefault="004837E1" w:rsidP="003D4043">
            <w:pPr>
              <w:jc w:val="center"/>
              <w:rPr>
                <w:rFonts w:ascii="Arial Narrow" w:hAnsi="Arial Narrow"/>
                <w:color w:val="333333"/>
                <w:sz w:val="20"/>
                <w:szCs w:val="20"/>
                <w:highlight w:val="yellow"/>
              </w:rPr>
            </w:pPr>
          </w:p>
        </w:tc>
        <w:tc>
          <w:tcPr>
            <w:tcW w:w="8086" w:type="dxa"/>
            <w:vAlign w:val="center"/>
          </w:tcPr>
          <w:p w14:paraId="605F2396" w14:textId="77777777" w:rsidR="004837E1" w:rsidRPr="00564C3C" w:rsidRDefault="004837E1" w:rsidP="003D4043">
            <w:pPr>
              <w:rPr>
                <w:rFonts w:ascii="Arial Narrow" w:hAnsi="Arial Narrow"/>
                <w:b/>
                <w:bCs/>
                <w:color w:val="333333"/>
                <w:sz w:val="20"/>
                <w:szCs w:val="20"/>
              </w:rPr>
            </w:pPr>
            <w:r w:rsidRPr="00564C3C">
              <w:rPr>
                <w:rFonts w:ascii="Arial Narrow" w:hAnsi="Arial Narrow"/>
                <w:b/>
                <w:bCs/>
                <w:color w:val="333333"/>
                <w:sz w:val="20"/>
                <w:szCs w:val="20"/>
              </w:rPr>
              <w:t>Clinical criteria:</w:t>
            </w:r>
          </w:p>
        </w:tc>
      </w:tr>
      <w:tr w:rsidR="004837E1" w:rsidRPr="00564C3C" w14:paraId="3E4899F0" w14:textId="77777777" w:rsidTr="003D4043">
        <w:tc>
          <w:tcPr>
            <w:tcW w:w="981" w:type="dxa"/>
            <w:gridSpan w:val="2"/>
            <w:vAlign w:val="center"/>
          </w:tcPr>
          <w:p w14:paraId="3F2091CD" w14:textId="5508C580" w:rsidR="004837E1" w:rsidRPr="00564C3C" w:rsidRDefault="004837E1" w:rsidP="003D4043">
            <w:pPr>
              <w:jc w:val="center"/>
              <w:rPr>
                <w:rFonts w:ascii="Arial Narrow" w:hAnsi="Arial Narrow"/>
                <w:color w:val="333333"/>
                <w:sz w:val="20"/>
                <w:szCs w:val="20"/>
                <w:highlight w:val="yellow"/>
              </w:rPr>
            </w:pPr>
          </w:p>
        </w:tc>
        <w:tc>
          <w:tcPr>
            <w:tcW w:w="8086" w:type="dxa"/>
            <w:vAlign w:val="center"/>
          </w:tcPr>
          <w:p w14:paraId="5F864D19" w14:textId="3DA01D52" w:rsidR="004837E1" w:rsidRPr="00564C3C" w:rsidRDefault="004837E1" w:rsidP="003D4043">
            <w:pPr>
              <w:pStyle w:val="PBACtext"/>
              <w:spacing w:line="240" w:lineRule="auto"/>
              <w:rPr>
                <w:sz w:val="20"/>
                <w:szCs w:val="20"/>
                <w:lang w:eastAsia="en-AU"/>
              </w:rPr>
            </w:pPr>
            <w:bookmarkStart w:id="52" w:name="_Hlk120098503"/>
            <w:r w:rsidRPr="00564C3C">
              <w:rPr>
                <w:sz w:val="20"/>
                <w:szCs w:val="20"/>
                <w:lang w:eastAsia="en-AU"/>
              </w:rPr>
              <w:t xml:space="preserve">Patient must be undergoing first continuing treatment with this drug, demonstrating either (i) a major cytogenetic response (ii) </w:t>
            </w:r>
            <w:r w:rsidRPr="00564C3C">
              <w:rPr>
                <w:color w:val="333333"/>
                <w:sz w:val="20"/>
                <w:szCs w:val="20"/>
              </w:rPr>
              <w:t xml:space="preserve">a peripheral blood level of BCR-ABL of less than 1%; </w:t>
            </w:r>
            <w:bookmarkEnd w:id="52"/>
            <w:r w:rsidR="00835D41" w:rsidRPr="00564C3C">
              <w:rPr>
                <w:b/>
                <w:bCs/>
                <w:color w:val="333333"/>
                <w:sz w:val="20"/>
                <w:szCs w:val="20"/>
              </w:rPr>
              <w:t>OR</w:t>
            </w:r>
            <w:r w:rsidRPr="00564C3C">
              <w:rPr>
                <w:color w:val="333333"/>
                <w:sz w:val="20"/>
                <w:szCs w:val="20"/>
              </w:rPr>
              <w:t xml:space="preserve"> </w:t>
            </w:r>
          </w:p>
        </w:tc>
      </w:tr>
      <w:tr w:rsidR="004837E1" w:rsidRPr="00564C3C" w14:paraId="7601FAE8" w14:textId="77777777" w:rsidTr="003D4043">
        <w:tc>
          <w:tcPr>
            <w:tcW w:w="981" w:type="dxa"/>
            <w:gridSpan w:val="2"/>
            <w:vAlign w:val="center"/>
          </w:tcPr>
          <w:p w14:paraId="02466E93" w14:textId="4C8D919F" w:rsidR="004837E1" w:rsidRPr="00564C3C" w:rsidRDefault="004837E1" w:rsidP="003D4043">
            <w:pPr>
              <w:jc w:val="center"/>
              <w:rPr>
                <w:rFonts w:ascii="Arial Narrow" w:hAnsi="Arial Narrow"/>
                <w:color w:val="333333"/>
                <w:sz w:val="20"/>
                <w:szCs w:val="20"/>
              </w:rPr>
            </w:pPr>
          </w:p>
        </w:tc>
        <w:tc>
          <w:tcPr>
            <w:tcW w:w="8086" w:type="dxa"/>
            <w:vAlign w:val="center"/>
          </w:tcPr>
          <w:p w14:paraId="630C9D78" w14:textId="7D0A9C21" w:rsidR="004837E1" w:rsidRPr="00564C3C" w:rsidRDefault="004837E1" w:rsidP="003D4043">
            <w:pPr>
              <w:rPr>
                <w:rFonts w:ascii="Arial Narrow" w:hAnsi="Arial Narrow"/>
                <w:sz w:val="20"/>
                <w:szCs w:val="20"/>
              </w:rPr>
            </w:pPr>
            <w:bookmarkStart w:id="53" w:name="_Hlk120098604"/>
            <w:r w:rsidRPr="00564C3C">
              <w:rPr>
                <w:rFonts w:ascii="Arial Narrow" w:hAnsi="Arial Narrow"/>
                <w:color w:val="333333"/>
                <w:sz w:val="20"/>
                <w:szCs w:val="20"/>
              </w:rPr>
              <w:t xml:space="preserve">Patient must be undergoing subsequent continuing treatment with this drug, demonstrating a 12-month response of either </w:t>
            </w:r>
            <w:r w:rsidRPr="00564C3C">
              <w:rPr>
                <w:rFonts w:ascii="Arial Narrow" w:hAnsi="Arial Narrow"/>
                <w:sz w:val="20"/>
                <w:szCs w:val="20"/>
              </w:rPr>
              <w:t xml:space="preserve">(i) a major cytogenetic response (ii) </w:t>
            </w:r>
            <w:r w:rsidRPr="00564C3C">
              <w:rPr>
                <w:rFonts w:ascii="Arial Narrow" w:hAnsi="Arial Narrow"/>
                <w:color w:val="333333"/>
                <w:sz w:val="20"/>
                <w:szCs w:val="20"/>
              </w:rPr>
              <w:t>a peripheral blood level of BCR-ABL of less than 1%</w:t>
            </w:r>
            <w:r w:rsidR="00835D41" w:rsidRPr="00564C3C">
              <w:rPr>
                <w:rFonts w:ascii="Arial Narrow" w:hAnsi="Arial Narrow"/>
                <w:color w:val="333333"/>
                <w:sz w:val="20"/>
                <w:szCs w:val="20"/>
              </w:rPr>
              <w:t>.</w:t>
            </w:r>
            <w:bookmarkEnd w:id="53"/>
          </w:p>
        </w:tc>
      </w:tr>
      <w:tr w:rsidR="00912726" w:rsidRPr="00564C3C" w14:paraId="727F99E7" w14:textId="77777777" w:rsidTr="003D4043">
        <w:tc>
          <w:tcPr>
            <w:tcW w:w="981" w:type="dxa"/>
            <w:gridSpan w:val="2"/>
            <w:vAlign w:val="center"/>
          </w:tcPr>
          <w:p w14:paraId="2E495B20" w14:textId="1F96BD54" w:rsidR="00912726" w:rsidRPr="00564C3C" w:rsidRDefault="00912726" w:rsidP="00912726">
            <w:pPr>
              <w:jc w:val="center"/>
              <w:rPr>
                <w:rFonts w:ascii="Arial Narrow" w:hAnsi="Arial Narrow"/>
                <w:color w:val="333333"/>
                <w:sz w:val="20"/>
                <w:szCs w:val="20"/>
              </w:rPr>
            </w:pPr>
          </w:p>
        </w:tc>
        <w:tc>
          <w:tcPr>
            <w:tcW w:w="8086" w:type="dxa"/>
            <w:vAlign w:val="center"/>
          </w:tcPr>
          <w:p w14:paraId="4F39ABC6" w14:textId="325A334C" w:rsidR="00912726" w:rsidRPr="00564C3C" w:rsidRDefault="00912726" w:rsidP="00F21E04">
            <w:pPr>
              <w:pStyle w:val="NormalWeb"/>
              <w:spacing w:before="0" w:beforeAutospacing="0" w:after="0" w:afterAutospacing="0"/>
              <w:rPr>
                <w:rFonts w:ascii="Arial Narrow" w:hAnsi="Arial Narrow" w:cstheme="minorHAnsi"/>
                <w:sz w:val="20"/>
                <w:szCs w:val="20"/>
              </w:rPr>
            </w:pPr>
            <w:r w:rsidRPr="00564C3C">
              <w:rPr>
                <w:rFonts w:ascii="Arial Narrow" w:hAnsi="Arial Narrow" w:cstheme="minorHAnsi"/>
                <w:sz w:val="20"/>
                <w:szCs w:val="20"/>
              </w:rPr>
              <w:t>Any queries concerning the arrangements to prescribe may be directed to Services Australia on 1800 700 270 (hours of operation 8 a.m. to 5 p.m. Monday to Friday).</w:t>
            </w:r>
            <w:r w:rsidRPr="00564C3C">
              <w:rPr>
                <w:rFonts w:ascii="Arial Narrow" w:hAnsi="Arial Narrow" w:cstheme="minorHAnsi"/>
                <w:sz w:val="20"/>
                <w:szCs w:val="20"/>
              </w:rPr>
              <w:br/>
              <w:t xml:space="preserve">Prescribing information (including Authority Application forms and other relevant documentation as applicable) is available on the Services Australia website at </w:t>
            </w:r>
            <w:hyperlink r:id="rId23" w:history="1">
              <w:r w:rsidRPr="00564C3C">
                <w:rPr>
                  <w:rStyle w:val="Hyperlink"/>
                  <w:rFonts w:ascii="Arial Narrow" w:eastAsiaTheme="majorEastAsia" w:hAnsi="Arial Narrow" w:cstheme="minorHAnsi"/>
                  <w:color w:val="64B4FA"/>
                  <w:sz w:val="20"/>
                  <w:szCs w:val="20"/>
                </w:rPr>
                <w:t>www.servicesaustralia.gov.au</w:t>
              </w:r>
            </w:hyperlink>
            <w:r w:rsidRPr="00564C3C">
              <w:rPr>
                <w:rFonts w:ascii="Arial Narrow" w:hAnsi="Arial Narrow" w:cstheme="minorHAnsi"/>
                <w:sz w:val="20"/>
                <w:szCs w:val="20"/>
              </w:rPr>
              <w:br/>
              <w:t xml:space="preserve">Applications for authorisation under this restriction should be made in real time using the Online PBS Authorities system (see </w:t>
            </w:r>
            <w:hyperlink r:id="rId24" w:history="1">
              <w:r w:rsidRPr="00564C3C">
                <w:rPr>
                  <w:rStyle w:val="Hyperlink"/>
                  <w:rFonts w:ascii="Arial Narrow" w:eastAsiaTheme="majorEastAsia" w:hAnsi="Arial Narrow" w:cstheme="minorHAnsi"/>
                  <w:color w:val="64B4FA"/>
                  <w:sz w:val="20"/>
                  <w:szCs w:val="20"/>
                </w:rPr>
                <w:t>www.servicesaustralia.gov.au/hpos</w:t>
              </w:r>
            </w:hyperlink>
            <w:r w:rsidRPr="00564C3C">
              <w:rPr>
                <w:rFonts w:ascii="Arial Narrow" w:hAnsi="Arial Narrow" w:cstheme="minorHAnsi"/>
                <w:sz w:val="20"/>
                <w:szCs w:val="20"/>
              </w:rPr>
              <w:t>)</w:t>
            </w:r>
            <w:r w:rsidRPr="00564C3C">
              <w:rPr>
                <w:rFonts w:ascii="Arial Narrow" w:hAnsi="Arial Narrow" w:cstheme="minorHAnsi"/>
                <w:sz w:val="20"/>
                <w:szCs w:val="20"/>
              </w:rPr>
              <w:br/>
              <w:t xml:space="preserve">Alternatively, applications for authority to prescribe can be submitted online using the form upload facility in Health Professional Online Services (HPOS) at </w:t>
            </w:r>
            <w:hyperlink r:id="rId25" w:history="1">
              <w:r w:rsidRPr="00564C3C">
                <w:rPr>
                  <w:rStyle w:val="Hyperlink"/>
                  <w:rFonts w:ascii="Arial Narrow" w:eastAsiaTheme="majorEastAsia" w:hAnsi="Arial Narrow" w:cstheme="minorHAnsi"/>
                  <w:color w:val="64B4FA"/>
                  <w:sz w:val="20"/>
                  <w:szCs w:val="20"/>
                </w:rPr>
                <w:t>www.servicesaustralia.gov.au/hpos</w:t>
              </w:r>
            </w:hyperlink>
            <w:r w:rsidRPr="00564C3C">
              <w:rPr>
                <w:rFonts w:ascii="Arial Narrow" w:hAnsi="Arial Narrow" w:cstheme="minorHAnsi"/>
                <w:sz w:val="20"/>
                <w:szCs w:val="20"/>
              </w:rPr>
              <w:br/>
              <w:t>Or mailed to:</w:t>
            </w:r>
            <w:r w:rsidRPr="00564C3C">
              <w:rPr>
                <w:rFonts w:ascii="Arial Narrow" w:hAnsi="Arial Narrow" w:cstheme="minorHAnsi"/>
                <w:sz w:val="20"/>
                <w:szCs w:val="20"/>
              </w:rPr>
              <w:br/>
              <w:t>Services Australia</w:t>
            </w:r>
            <w:r w:rsidRPr="00564C3C">
              <w:rPr>
                <w:rFonts w:ascii="Arial Narrow" w:hAnsi="Arial Narrow" w:cstheme="minorHAnsi"/>
                <w:sz w:val="20"/>
                <w:szCs w:val="20"/>
              </w:rPr>
              <w:br/>
              <w:t>Complex Drugs</w:t>
            </w:r>
            <w:r w:rsidRPr="00564C3C">
              <w:rPr>
                <w:rFonts w:ascii="Arial Narrow" w:hAnsi="Arial Narrow" w:cstheme="minorHAnsi"/>
                <w:sz w:val="20"/>
                <w:szCs w:val="20"/>
              </w:rPr>
              <w:br/>
              <w:t>Reply Paid 9826</w:t>
            </w:r>
            <w:r w:rsidRPr="00564C3C">
              <w:rPr>
                <w:rFonts w:ascii="Arial Narrow" w:hAnsi="Arial Narrow" w:cstheme="minorHAnsi"/>
                <w:sz w:val="20"/>
                <w:szCs w:val="20"/>
              </w:rPr>
              <w:br/>
              <w:t>HOBART TAS 7001</w:t>
            </w:r>
          </w:p>
        </w:tc>
      </w:tr>
      <w:tr w:rsidR="001148C5" w:rsidRPr="00564C3C" w14:paraId="1A84DF64" w14:textId="77777777" w:rsidTr="003D4043">
        <w:tc>
          <w:tcPr>
            <w:tcW w:w="981" w:type="dxa"/>
            <w:gridSpan w:val="2"/>
            <w:vAlign w:val="center"/>
          </w:tcPr>
          <w:p w14:paraId="295FB389" w14:textId="77777777" w:rsidR="001148C5" w:rsidRPr="00564C3C" w:rsidRDefault="001148C5" w:rsidP="001148C5">
            <w:pPr>
              <w:jc w:val="center"/>
              <w:rPr>
                <w:rFonts w:ascii="Arial Narrow" w:eastAsia="Calibri" w:hAnsi="Arial Narrow"/>
                <w:sz w:val="20"/>
                <w:szCs w:val="20"/>
              </w:rPr>
            </w:pPr>
          </w:p>
        </w:tc>
        <w:tc>
          <w:tcPr>
            <w:tcW w:w="8086" w:type="dxa"/>
            <w:vAlign w:val="center"/>
          </w:tcPr>
          <w:p w14:paraId="577765AF" w14:textId="13BD4F73" w:rsidR="001148C5" w:rsidRPr="00564C3C" w:rsidRDefault="001148C5" w:rsidP="001148C5">
            <w:pPr>
              <w:pStyle w:val="NormalWeb"/>
              <w:spacing w:before="0" w:beforeAutospacing="0" w:after="0" w:afterAutospacing="0"/>
              <w:rPr>
                <w:rFonts w:ascii="Arial Narrow" w:hAnsi="Arial Narrow" w:cstheme="minorHAnsi"/>
                <w:sz w:val="20"/>
                <w:szCs w:val="20"/>
              </w:rPr>
            </w:pPr>
            <w:r w:rsidRPr="00564C3C">
              <w:rPr>
                <w:rFonts w:ascii="Arial Narrow" w:hAnsi="Arial Narrow"/>
                <w:b/>
                <w:bCs/>
                <w:sz w:val="20"/>
                <w:szCs w:val="20"/>
              </w:rPr>
              <w:t>Prescribing instruction:</w:t>
            </w:r>
          </w:p>
        </w:tc>
      </w:tr>
      <w:tr w:rsidR="001148C5" w:rsidRPr="00564C3C" w14:paraId="12A4235A" w14:textId="77777777" w:rsidTr="003D4043">
        <w:tc>
          <w:tcPr>
            <w:tcW w:w="981" w:type="dxa"/>
            <w:gridSpan w:val="2"/>
            <w:vAlign w:val="center"/>
          </w:tcPr>
          <w:p w14:paraId="12E6AABF" w14:textId="74E9EF9E" w:rsidR="001148C5" w:rsidRPr="00564C3C" w:rsidRDefault="001148C5" w:rsidP="001148C5">
            <w:pPr>
              <w:jc w:val="center"/>
              <w:rPr>
                <w:rFonts w:ascii="Arial Narrow" w:eastAsia="Calibri" w:hAnsi="Arial Narrow"/>
                <w:sz w:val="20"/>
                <w:szCs w:val="20"/>
              </w:rPr>
            </w:pPr>
          </w:p>
        </w:tc>
        <w:tc>
          <w:tcPr>
            <w:tcW w:w="8086" w:type="dxa"/>
            <w:vAlign w:val="center"/>
          </w:tcPr>
          <w:p w14:paraId="36310BF2" w14:textId="09D8C14B" w:rsidR="001148C5" w:rsidRPr="00564C3C" w:rsidRDefault="00EE5B14" w:rsidP="001148C5">
            <w:pPr>
              <w:pStyle w:val="NormalWeb"/>
              <w:spacing w:before="0" w:beforeAutospacing="0" w:after="0" w:afterAutospacing="0"/>
              <w:rPr>
                <w:rFonts w:ascii="Arial Narrow" w:hAnsi="Arial Narrow" w:cstheme="minorHAnsi"/>
                <w:sz w:val="20"/>
                <w:szCs w:val="20"/>
              </w:rPr>
            </w:pPr>
            <w:r w:rsidRPr="00564C3C">
              <w:rPr>
                <w:rFonts w:ascii="Arial Narrow" w:hAnsi="Arial Narrow" w:cs="Open Sans"/>
                <w:color w:val="222222"/>
                <w:sz w:val="20"/>
                <w:szCs w:val="20"/>
              </w:rPr>
              <w:t>A major cytogenetic response [see Note explaining requirements] or a peripheral blood level of BCR-ABL of less than 1% on the international scale [see Note explaining requirements] must be documented in the patient's medical records.</w:t>
            </w:r>
          </w:p>
        </w:tc>
      </w:tr>
      <w:tr w:rsidR="00912726" w:rsidRPr="00564C3C" w14:paraId="3CD06280" w14:textId="77777777" w:rsidTr="003D4043">
        <w:tc>
          <w:tcPr>
            <w:tcW w:w="981" w:type="dxa"/>
            <w:gridSpan w:val="2"/>
            <w:vAlign w:val="center"/>
          </w:tcPr>
          <w:p w14:paraId="7E0CBA64" w14:textId="4D9A71C4" w:rsidR="00912726" w:rsidRPr="00564C3C" w:rsidRDefault="00912726" w:rsidP="00912726">
            <w:pPr>
              <w:jc w:val="center"/>
              <w:rPr>
                <w:rFonts w:ascii="Arial Narrow" w:hAnsi="Arial Narrow"/>
                <w:color w:val="333333"/>
                <w:sz w:val="20"/>
                <w:szCs w:val="20"/>
              </w:rPr>
            </w:pPr>
          </w:p>
        </w:tc>
        <w:tc>
          <w:tcPr>
            <w:tcW w:w="8086" w:type="dxa"/>
            <w:vAlign w:val="center"/>
          </w:tcPr>
          <w:p w14:paraId="51FD16D1" w14:textId="77777777" w:rsidR="00912726" w:rsidRPr="00564C3C" w:rsidRDefault="00912726" w:rsidP="00912726">
            <w:pPr>
              <w:pStyle w:val="NormalWeb"/>
              <w:spacing w:before="0" w:beforeAutospacing="0" w:after="0" w:afterAutospacing="0"/>
              <w:rPr>
                <w:rFonts w:ascii="Arial Narrow" w:hAnsi="Arial Narrow" w:cstheme="minorHAnsi"/>
                <w:sz w:val="20"/>
                <w:szCs w:val="20"/>
              </w:rPr>
            </w:pPr>
            <w:r w:rsidRPr="00564C3C">
              <w:rPr>
                <w:rFonts w:ascii="Arial Narrow" w:hAnsi="Arial Narrow" w:cstheme="minorHAnsi"/>
                <w:b/>
                <w:bCs/>
                <w:sz w:val="20"/>
                <w:szCs w:val="20"/>
              </w:rPr>
              <w:t>Prescribing Instruction:</w:t>
            </w:r>
          </w:p>
          <w:p w14:paraId="2C68442E" w14:textId="279BDF6D" w:rsidR="00D46A06" w:rsidRPr="00564C3C" w:rsidRDefault="00D46A06" w:rsidP="0061492E">
            <w:pPr>
              <w:pStyle w:val="NormalWeb"/>
              <w:spacing w:before="0" w:beforeAutospacing="0" w:after="0" w:afterAutospacing="0"/>
              <w:rPr>
                <w:rFonts w:ascii="Arial Narrow" w:hAnsi="Arial Narrow" w:cstheme="minorHAnsi"/>
                <w:sz w:val="20"/>
                <w:szCs w:val="20"/>
              </w:rPr>
            </w:pPr>
            <w:r w:rsidRPr="00564C3C">
              <w:rPr>
                <w:rFonts w:ascii="Arial Narrow" w:hAnsi="Arial Narrow" w:cstheme="minorHAnsi"/>
                <w:sz w:val="20"/>
                <w:szCs w:val="20"/>
              </w:rPr>
              <w:t>The continuing application for authorisation must be made via the Online PBS Authorities System (real time assessment), or in writing via HPOS form upload or mail and must include:</w:t>
            </w:r>
          </w:p>
          <w:p w14:paraId="370C54BB" w14:textId="77777777" w:rsidR="00D46A06" w:rsidRPr="00564C3C" w:rsidRDefault="00D46A06" w:rsidP="0061492E">
            <w:pPr>
              <w:pStyle w:val="NormalWeb"/>
              <w:spacing w:before="0" w:beforeAutospacing="0" w:after="0" w:afterAutospacing="0"/>
              <w:rPr>
                <w:rFonts w:ascii="Arial Narrow" w:hAnsi="Arial Narrow" w:cstheme="minorHAnsi"/>
                <w:sz w:val="20"/>
                <w:szCs w:val="20"/>
              </w:rPr>
            </w:pPr>
          </w:p>
          <w:p w14:paraId="6F1B5EC0" w14:textId="77777777" w:rsidR="00D46A06" w:rsidRPr="00564C3C" w:rsidRDefault="00D46A06" w:rsidP="0061492E">
            <w:pPr>
              <w:pStyle w:val="NormalWeb"/>
              <w:spacing w:before="0" w:beforeAutospacing="0" w:after="0" w:afterAutospacing="0"/>
              <w:rPr>
                <w:rFonts w:ascii="Arial Narrow" w:hAnsi="Arial Narrow" w:cstheme="minorHAnsi"/>
                <w:sz w:val="20"/>
                <w:szCs w:val="20"/>
              </w:rPr>
            </w:pPr>
            <w:r w:rsidRPr="00564C3C">
              <w:rPr>
                <w:rFonts w:ascii="Arial Narrow" w:hAnsi="Arial Narrow" w:cstheme="minorHAnsi"/>
                <w:sz w:val="20"/>
                <w:szCs w:val="20"/>
              </w:rPr>
              <w:t>(i) details (date, unique identifying number/code or provider number) of the pathology report from an Approved Pathology Authority demonstrating a major cytogenetic response [see Note explaining definitions of response]; or</w:t>
            </w:r>
          </w:p>
          <w:p w14:paraId="080EDD45" w14:textId="77777777" w:rsidR="00D46A06" w:rsidRPr="00564C3C" w:rsidRDefault="00D46A06" w:rsidP="0061492E">
            <w:pPr>
              <w:pStyle w:val="NormalWeb"/>
              <w:spacing w:before="0" w:beforeAutospacing="0" w:after="0" w:afterAutospacing="0"/>
              <w:rPr>
                <w:rFonts w:ascii="Arial Narrow" w:hAnsi="Arial Narrow" w:cstheme="minorHAnsi"/>
                <w:sz w:val="20"/>
                <w:szCs w:val="20"/>
              </w:rPr>
            </w:pPr>
          </w:p>
          <w:p w14:paraId="3D4B5ABC" w14:textId="77777777" w:rsidR="00D46A06" w:rsidRPr="00564C3C" w:rsidRDefault="00D46A06" w:rsidP="0061492E">
            <w:pPr>
              <w:pStyle w:val="NormalWeb"/>
              <w:spacing w:before="0" w:beforeAutospacing="0" w:after="0" w:afterAutospacing="0"/>
              <w:rPr>
                <w:rFonts w:ascii="Arial Narrow" w:hAnsi="Arial Narrow" w:cstheme="minorHAnsi"/>
                <w:sz w:val="20"/>
                <w:szCs w:val="20"/>
              </w:rPr>
            </w:pPr>
            <w:r w:rsidRPr="00564C3C">
              <w:rPr>
                <w:rFonts w:ascii="Arial Narrow" w:hAnsi="Arial Narrow" w:cstheme="minorHAnsi"/>
                <w:sz w:val="20"/>
                <w:szCs w:val="20"/>
              </w:rPr>
              <w:t>(ii) details (date, unique identifying number/code or provider number) of the pathology report from an Approved Pathology Authority demonstrating a peripheral blood level of BCR-ABL of less than 1% on the international scale [see Note explaining definitions of response].</w:t>
            </w:r>
          </w:p>
          <w:p w14:paraId="0EE4C0C2" w14:textId="77777777" w:rsidR="00D46A06" w:rsidRPr="00564C3C" w:rsidRDefault="00D46A06" w:rsidP="0061492E">
            <w:pPr>
              <w:pStyle w:val="NormalWeb"/>
              <w:spacing w:before="0" w:beforeAutospacing="0" w:after="0" w:afterAutospacing="0"/>
              <w:rPr>
                <w:rFonts w:ascii="Arial Narrow" w:hAnsi="Arial Narrow" w:cstheme="minorHAnsi"/>
                <w:sz w:val="20"/>
                <w:szCs w:val="20"/>
              </w:rPr>
            </w:pPr>
          </w:p>
          <w:p w14:paraId="49577FD8" w14:textId="78C37983" w:rsidR="00912726" w:rsidRPr="00564C3C" w:rsidRDefault="00D46A06" w:rsidP="00D46A06">
            <w:pPr>
              <w:rPr>
                <w:rFonts w:ascii="Arial Narrow" w:hAnsi="Arial Narrow"/>
                <w:color w:val="333333"/>
                <w:sz w:val="20"/>
                <w:szCs w:val="20"/>
              </w:rPr>
            </w:pPr>
            <w:r w:rsidRPr="00564C3C">
              <w:rPr>
                <w:rFonts w:ascii="Arial Narrow" w:hAnsi="Arial Narrow" w:cstheme="minorHAnsi"/>
                <w:sz w:val="20"/>
                <w:szCs w:val="20"/>
              </w:rPr>
              <w:t>All reports must be documented in the patient's medical records.</w:t>
            </w:r>
          </w:p>
        </w:tc>
      </w:tr>
      <w:tr w:rsidR="00912726" w:rsidRPr="00564C3C" w14:paraId="68848C74" w14:textId="77777777" w:rsidTr="003D4043">
        <w:tc>
          <w:tcPr>
            <w:tcW w:w="981" w:type="dxa"/>
            <w:gridSpan w:val="2"/>
            <w:vAlign w:val="center"/>
          </w:tcPr>
          <w:p w14:paraId="6A35DDB3" w14:textId="390B3F4D" w:rsidR="00912726" w:rsidRPr="00564C3C" w:rsidRDefault="00912726" w:rsidP="00912726">
            <w:pPr>
              <w:jc w:val="center"/>
              <w:rPr>
                <w:rFonts w:ascii="Arial Narrow" w:hAnsi="Arial Narrow"/>
                <w:color w:val="333333"/>
                <w:sz w:val="20"/>
                <w:szCs w:val="20"/>
              </w:rPr>
            </w:pPr>
          </w:p>
        </w:tc>
        <w:tc>
          <w:tcPr>
            <w:tcW w:w="8086" w:type="dxa"/>
            <w:vAlign w:val="center"/>
          </w:tcPr>
          <w:p w14:paraId="4A0ABC67" w14:textId="77777777" w:rsidR="00912726" w:rsidRPr="00564C3C" w:rsidRDefault="00912726" w:rsidP="00912726">
            <w:pPr>
              <w:pStyle w:val="NormalWeb"/>
              <w:spacing w:before="0" w:beforeAutospacing="0" w:after="0" w:afterAutospacing="0"/>
              <w:rPr>
                <w:rFonts w:ascii="Arial Narrow" w:hAnsi="Arial Narrow" w:cstheme="minorHAnsi"/>
                <w:sz w:val="20"/>
                <w:szCs w:val="20"/>
              </w:rPr>
            </w:pPr>
            <w:r w:rsidRPr="00564C3C">
              <w:rPr>
                <w:rFonts w:ascii="Arial Narrow" w:hAnsi="Arial Narrow" w:cstheme="minorHAnsi"/>
                <w:b/>
                <w:bCs/>
                <w:sz w:val="20"/>
                <w:szCs w:val="20"/>
              </w:rPr>
              <w:t>Prescribing Instruction:</w:t>
            </w:r>
          </w:p>
          <w:p w14:paraId="18EA8779" w14:textId="77777777" w:rsidR="00912726" w:rsidRPr="00564C3C" w:rsidRDefault="00912726" w:rsidP="00912726">
            <w:pPr>
              <w:pStyle w:val="NormalWeb"/>
              <w:spacing w:before="0" w:beforeAutospacing="0" w:after="0" w:afterAutospacing="0"/>
              <w:rPr>
                <w:rFonts w:ascii="Arial Narrow" w:hAnsi="Arial Narrow" w:cstheme="minorHAnsi"/>
                <w:sz w:val="20"/>
                <w:szCs w:val="20"/>
              </w:rPr>
            </w:pPr>
            <w:r w:rsidRPr="00564C3C">
              <w:rPr>
                <w:rFonts w:ascii="Arial Narrow" w:hAnsi="Arial Narrow" w:cstheme="minorHAnsi"/>
                <w:sz w:val="20"/>
                <w:szCs w:val="20"/>
              </w:rPr>
              <w:t>Finalised</w:t>
            </w:r>
          </w:p>
          <w:p w14:paraId="785BEE71" w14:textId="77777777" w:rsidR="00912726" w:rsidRPr="00564C3C" w:rsidRDefault="00912726" w:rsidP="00912726">
            <w:pPr>
              <w:pStyle w:val="NormalWeb"/>
              <w:spacing w:before="0" w:beforeAutospacing="0" w:after="0" w:afterAutospacing="0"/>
              <w:rPr>
                <w:rFonts w:ascii="Arial Narrow" w:hAnsi="Arial Narrow" w:cstheme="minorHAnsi"/>
                <w:sz w:val="20"/>
                <w:szCs w:val="20"/>
              </w:rPr>
            </w:pPr>
            <w:r w:rsidRPr="00564C3C">
              <w:rPr>
                <w:rFonts w:ascii="Arial Narrow" w:hAnsi="Arial Narrow" w:cstheme="minorHAnsi"/>
                <w:sz w:val="20"/>
                <w:szCs w:val="20"/>
              </w:rPr>
              <w:t>If the application is submitted through HPOS form upload or mail, it must include:</w:t>
            </w:r>
          </w:p>
          <w:p w14:paraId="79D75BCF" w14:textId="77777777" w:rsidR="00912726" w:rsidRPr="00564C3C" w:rsidRDefault="00912726" w:rsidP="00912726">
            <w:pPr>
              <w:pStyle w:val="NormalWeb"/>
              <w:spacing w:before="0" w:beforeAutospacing="0" w:after="0" w:afterAutospacing="0"/>
              <w:rPr>
                <w:rFonts w:ascii="Arial Narrow" w:hAnsi="Arial Narrow" w:cstheme="minorHAnsi"/>
                <w:sz w:val="20"/>
                <w:szCs w:val="20"/>
              </w:rPr>
            </w:pPr>
          </w:p>
          <w:p w14:paraId="55EA10A7" w14:textId="77777777" w:rsidR="00912726" w:rsidRPr="00564C3C" w:rsidRDefault="00912726" w:rsidP="00912726">
            <w:pPr>
              <w:pStyle w:val="NormalWeb"/>
              <w:spacing w:before="0" w:beforeAutospacing="0" w:after="0" w:afterAutospacing="0"/>
              <w:rPr>
                <w:rFonts w:ascii="Arial Narrow" w:hAnsi="Arial Narrow" w:cstheme="minorHAnsi"/>
                <w:sz w:val="20"/>
                <w:szCs w:val="20"/>
              </w:rPr>
            </w:pPr>
            <w:r w:rsidRPr="00564C3C">
              <w:rPr>
                <w:rFonts w:ascii="Arial Narrow" w:hAnsi="Arial Narrow" w:cstheme="minorHAnsi"/>
                <w:sz w:val="20"/>
                <w:szCs w:val="20"/>
              </w:rPr>
              <w:t>(i) A completed authority prescription form; and</w:t>
            </w:r>
          </w:p>
          <w:p w14:paraId="0F8DCBA2" w14:textId="77777777" w:rsidR="00912726" w:rsidRPr="00564C3C" w:rsidRDefault="00912726" w:rsidP="00912726">
            <w:pPr>
              <w:pStyle w:val="NormalWeb"/>
              <w:spacing w:before="0" w:beforeAutospacing="0" w:after="0" w:afterAutospacing="0"/>
              <w:rPr>
                <w:rFonts w:ascii="Arial Narrow" w:hAnsi="Arial Narrow" w:cstheme="minorHAnsi"/>
                <w:sz w:val="20"/>
                <w:szCs w:val="20"/>
              </w:rPr>
            </w:pPr>
          </w:p>
          <w:p w14:paraId="2F86FC29" w14:textId="4DC9CE15" w:rsidR="00912726" w:rsidRPr="00564C3C" w:rsidRDefault="00912726" w:rsidP="00912726">
            <w:pPr>
              <w:rPr>
                <w:rFonts w:ascii="Arial Narrow" w:hAnsi="Arial Narrow"/>
                <w:color w:val="333333"/>
                <w:sz w:val="20"/>
                <w:szCs w:val="20"/>
              </w:rPr>
            </w:pPr>
            <w:r w:rsidRPr="00564C3C">
              <w:rPr>
                <w:rFonts w:ascii="Arial Narrow" w:hAnsi="Arial Narrow" w:cstheme="minorHAnsi"/>
                <w:sz w:val="20"/>
                <w:szCs w:val="20"/>
              </w:rPr>
              <w:t>(ii) A completed authority application form relevant to the indication and treatment phase (the latest version is located on the website specified in the Administrative Advice).</w:t>
            </w:r>
          </w:p>
        </w:tc>
      </w:tr>
      <w:tr w:rsidR="00912726" w:rsidRPr="00564C3C" w14:paraId="6C124BF8" w14:textId="77777777" w:rsidTr="003D4043">
        <w:tc>
          <w:tcPr>
            <w:tcW w:w="981" w:type="dxa"/>
            <w:gridSpan w:val="2"/>
            <w:vAlign w:val="center"/>
          </w:tcPr>
          <w:p w14:paraId="08D68F9F" w14:textId="7F88314E" w:rsidR="00912726" w:rsidRPr="00564C3C" w:rsidRDefault="00912726" w:rsidP="00912726">
            <w:pPr>
              <w:jc w:val="center"/>
              <w:rPr>
                <w:rFonts w:ascii="Arial Narrow" w:hAnsi="Arial Narrow"/>
                <w:color w:val="333333"/>
                <w:sz w:val="20"/>
                <w:szCs w:val="20"/>
              </w:rPr>
            </w:pPr>
          </w:p>
        </w:tc>
        <w:tc>
          <w:tcPr>
            <w:tcW w:w="8086" w:type="dxa"/>
            <w:vAlign w:val="center"/>
          </w:tcPr>
          <w:p w14:paraId="2A5077D7" w14:textId="440EFAA9" w:rsidR="00912726" w:rsidRPr="00564C3C" w:rsidRDefault="00912726" w:rsidP="00912726">
            <w:pPr>
              <w:rPr>
                <w:rFonts w:ascii="Arial Narrow" w:hAnsi="Arial Narrow"/>
                <w:color w:val="333333"/>
                <w:sz w:val="20"/>
                <w:szCs w:val="20"/>
              </w:rPr>
            </w:pPr>
            <w:r w:rsidRPr="00564C3C">
              <w:rPr>
                <w:rFonts w:ascii="Arial Narrow" w:hAnsi="Arial Narrow" w:cstheme="minorHAnsi"/>
                <w:b/>
                <w:bCs/>
                <w:sz w:val="20"/>
                <w:szCs w:val="20"/>
              </w:rPr>
              <w:t>Prescribing Instruction</w:t>
            </w:r>
            <w:r w:rsidRPr="00564C3C">
              <w:rPr>
                <w:rFonts w:ascii="Arial Narrow" w:hAnsi="Arial Narrow" w:cstheme="minorHAnsi"/>
                <w:sz w:val="20"/>
                <w:szCs w:val="20"/>
              </w:rPr>
              <w:t xml:space="preserve">: </w:t>
            </w:r>
            <w:r w:rsidRPr="00564C3C">
              <w:rPr>
                <w:rFonts w:ascii="Arial Narrow" w:hAnsi="Arial Narrow" w:cs="Segoe UI"/>
                <w:sz w:val="20"/>
                <w:szCs w:val="20"/>
              </w:rPr>
              <w:t>Patients are eligible for PBS-subsidised treatment with only one of imatinib, dasatinib, nilotinib</w:t>
            </w:r>
            <w:r w:rsidR="00CB633A" w:rsidRPr="00564C3C">
              <w:rPr>
                <w:rFonts w:ascii="Arial Narrow" w:hAnsi="Arial Narrow" w:cs="Segoe UI"/>
                <w:sz w:val="20"/>
                <w:szCs w:val="20"/>
              </w:rPr>
              <w:t>;</w:t>
            </w:r>
            <w:r w:rsidRPr="00564C3C">
              <w:rPr>
                <w:rFonts w:ascii="Arial Narrow" w:hAnsi="Arial Narrow" w:cs="Segoe UI"/>
                <w:sz w:val="20"/>
                <w:szCs w:val="20"/>
              </w:rPr>
              <w:t xml:space="preserve"> ponatinib</w:t>
            </w:r>
            <w:r w:rsidR="00CB633A" w:rsidRPr="00564C3C">
              <w:rPr>
                <w:rFonts w:ascii="Arial Narrow" w:hAnsi="Arial Narrow" w:cs="Segoe UI"/>
                <w:sz w:val="20"/>
                <w:szCs w:val="20"/>
              </w:rPr>
              <w:t xml:space="preserve"> or asciminib</w:t>
            </w:r>
            <w:r w:rsidRPr="00564C3C">
              <w:rPr>
                <w:rFonts w:ascii="Arial Narrow" w:hAnsi="Arial Narrow" w:cs="Segoe UI"/>
                <w:sz w:val="20"/>
                <w:szCs w:val="20"/>
              </w:rPr>
              <w:t xml:space="preserve"> at any one time and must not be receiving concomitant interferon alfa therapy.</w:t>
            </w:r>
          </w:p>
        </w:tc>
      </w:tr>
    </w:tbl>
    <w:p w14:paraId="6CF45EA9" w14:textId="169D180C" w:rsidR="00271525" w:rsidRPr="0061492E" w:rsidRDefault="00271525" w:rsidP="00271525">
      <w:pPr>
        <w:pStyle w:val="NormalWeb"/>
        <w:spacing w:before="0" w:beforeAutospacing="0" w:after="0" w:afterAutospacing="0"/>
        <w:rPr>
          <w:rFonts w:asciiTheme="minorHAnsi" w:hAnsiTheme="minorHAnsi" w:cstheme="minorHAnsi"/>
        </w:rPr>
      </w:pPr>
      <w:r w:rsidRPr="0061492E">
        <w:rPr>
          <w:rFonts w:asciiTheme="minorHAnsi" w:hAnsiTheme="minorHAnsi" w:cstheme="minorHAnsi"/>
        </w:rPr>
        <w:t>There may be flow</w:t>
      </w:r>
      <w:r w:rsidR="002E1567">
        <w:rPr>
          <w:rFonts w:asciiTheme="minorHAnsi" w:hAnsiTheme="minorHAnsi" w:cstheme="minorHAnsi"/>
        </w:rPr>
        <w:t>-</w:t>
      </w:r>
      <w:r w:rsidRPr="0061492E">
        <w:rPr>
          <w:rFonts w:asciiTheme="minorHAnsi" w:hAnsiTheme="minorHAnsi" w:cstheme="minorHAnsi"/>
        </w:rPr>
        <w:t>on</w:t>
      </w:r>
      <w:r w:rsidR="002E1567">
        <w:rPr>
          <w:rFonts w:asciiTheme="minorHAnsi" w:hAnsiTheme="minorHAnsi" w:cstheme="minorHAnsi"/>
        </w:rPr>
        <w:t xml:space="preserve"> changes</w:t>
      </w:r>
      <w:r w:rsidRPr="0061492E">
        <w:rPr>
          <w:rFonts w:asciiTheme="minorHAnsi" w:hAnsiTheme="minorHAnsi" w:cstheme="minorHAnsi"/>
        </w:rPr>
        <w:t xml:space="preserve"> to </w:t>
      </w:r>
      <w:r w:rsidR="002E1567">
        <w:rPr>
          <w:rFonts w:asciiTheme="minorHAnsi" w:hAnsiTheme="minorHAnsi" w:cstheme="minorHAnsi"/>
        </w:rPr>
        <w:t xml:space="preserve">restrictions for </w:t>
      </w:r>
      <w:r w:rsidRPr="0061492E">
        <w:rPr>
          <w:rFonts w:asciiTheme="minorHAnsi" w:hAnsiTheme="minorHAnsi" w:cstheme="minorHAnsi"/>
        </w:rPr>
        <w:t xml:space="preserve">imatinib, dasatinib, nilotinib and ponatinib. </w:t>
      </w:r>
    </w:p>
    <w:p w14:paraId="33E26AC8" w14:textId="77777777" w:rsidR="00271525" w:rsidRPr="0061492E" w:rsidRDefault="00271525" w:rsidP="00DF5A23">
      <w:pPr>
        <w:rPr>
          <w:rFonts w:asciiTheme="minorHAnsi" w:hAnsiTheme="minorHAnsi" w:cstheme="minorHAnsi"/>
          <w:bCs/>
          <w:snapToGrid w:val="0"/>
          <w:lang w:val="en-GB"/>
        </w:rPr>
      </w:pPr>
    </w:p>
    <w:p w14:paraId="4FC52D34" w14:textId="5A4A5F55" w:rsidR="00201FB8" w:rsidRPr="000715F6" w:rsidRDefault="00271525" w:rsidP="000715F6">
      <w:pPr>
        <w:pStyle w:val="NormalWeb"/>
        <w:spacing w:before="0" w:beforeAutospacing="0" w:after="0" w:afterAutospacing="0"/>
        <w:rPr>
          <w:rFonts w:asciiTheme="minorHAnsi" w:hAnsiTheme="minorHAnsi" w:cstheme="minorHAnsi"/>
        </w:rPr>
      </w:pPr>
      <w:r w:rsidRPr="0061492E">
        <w:rPr>
          <w:rFonts w:asciiTheme="minorHAnsi" w:hAnsiTheme="minorHAnsi" w:cstheme="minorHAnsi"/>
          <w:b/>
          <w:bCs/>
          <w:i/>
          <w:iCs/>
        </w:rPr>
        <w:t xml:space="preserve">This restriction may be subject to further review. Should there be any changes made to the restriction the </w:t>
      </w:r>
      <w:r w:rsidR="00F71600">
        <w:rPr>
          <w:rFonts w:asciiTheme="minorHAnsi" w:hAnsiTheme="minorHAnsi" w:cstheme="minorHAnsi"/>
          <w:b/>
          <w:bCs/>
          <w:i/>
          <w:iCs/>
        </w:rPr>
        <w:t>s</w:t>
      </w:r>
      <w:r w:rsidRPr="0061492E">
        <w:rPr>
          <w:rFonts w:asciiTheme="minorHAnsi" w:hAnsiTheme="minorHAnsi" w:cstheme="minorHAnsi"/>
          <w:b/>
          <w:bCs/>
          <w:i/>
          <w:iCs/>
        </w:rPr>
        <w:t>ponsor will be informed.</w:t>
      </w:r>
      <w:r w:rsidRPr="0061492E">
        <w:rPr>
          <w:rFonts w:asciiTheme="minorHAnsi" w:hAnsiTheme="minorHAnsi" w:cstheme="minorHAnsi"/>
        </w:rPr>
        <w:t xml:space="preserve"> </w:t>
      </w:r>
      <w:bookmarkEnd w:id="50"/>
    </w:p>
    <w:p w14:paraId="259C0A53" w14:textId="7BA2393E" w:rsidR="00075C73" w:rsidRPr="00075C73" w:rsidRDefault="00075C73" w:rsidP="00075C73">
      <w:pPr>
        <w:pStyle w:val="2-SectionHeading"/>
        <w:rPr>
          <w:lang w:val="en-GB"/>
        </w:rPr>
      </w:pPr>
      <w:r w:rsidRPr="00075C73">
        <w:rPr>
          <w:lang w:val="en-GB"/>
        </w:rPr>
        <w:t>Context for Decision</w:t>
      </w:r>
    </w:p>
    <w:p w14:paraId="6E44E8D8" w14:textId="77777777" w:rsidR="00075C73" w:rsidRPr="007129F2" w:rsidRDefault="00075C73" w:rsidP="00075C73">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4A58660" w14:textId="13DA8ACF" w:rsidR="00075C73" w:rsidRPr="00075C73" w:rsidRDefault="00075C73" w:rsidP="00075C73">
      <w:pPr>
        <w:pStyle w:val="2-SectionHeading"/>
        <w:rPr>
          <w:lang w:val="en-GB"/>
        </w:rPr>
      </w:pPr>
      <w:r w:rsidRPr="00075C73">
        <w:rPr>
          <w:lang w:val="en-GB"/>
        </w:rPr>
        <w:t>Sponsor’s Comment</w:t>
      </w:r>
    </w:p>
    <w:p w14:paraId="19E7E9AF" w14:textId="6F9FB3B4" w:rsidR="00075C73" w:rsidRPr="000715F6" w:rsidRDefault="00075C73" w:rsidP="000715F6">
      <w:pPr>
        <w:spacing w:after="120"/>
        <w:rPr>
          <w:rFonts w:asciiTheme="minorHAnsi" w:hAnsiTheme="minorHAnsi" w:cs="Arial"/>
          <w:bCs/>
        </w:rPr>
      </w:pPr>
      <w:bookmarkStart w:id="54" w:name="_Hlk124844243"/>
      <w:r w:rsidRPr="00C07617">
        <w:rPr>
          <w:rFonts w:asciiTheme="minorHAnsi" w:hAnsiTheme="minorHAnsi" w:cs="Arial"/>
          <w:bCs/>
        </w:rPr>
        <w:t>The sponsor had no comment.</w:t>
      </w:r>
      <w:bookmarkEnd w:id="54"/>
    </w:p>
    <w:sectPr w:rsidR="00075C73" w:rsidRPr="000715F6" w:rsidSect="0061061E">
      <w:headerReference w:type="even" r:id="rId26"/>
      <w:headerReference w:type="default" r:id="rId27"/>
      <w:footerReference w:type="even" r:id="rId28"/>
      <w:footerReference w:type="default" r:id="rId29"/>
      <w:footerReference w:type="first" r:id="rId30"/>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2656" w14:textId="77777777" w:rsidR="00AF4A28" w:rsidRDefault="00AF4A28">
      <w:r>
        <w:separator/>
      </w:r>
    </w:p>
    <w:p w14:paraId="74479B6A" w14:textId="77777777" w:rsidR="00AF4A28" w:rsidRDefault="00AF4A28"/>
    <w:p w14:paraId="7A221A2E" w14:textId="77777777" w:rsidR="00AF4A28" w:rsidRDefault="00AF4A28"/>
  </w:endnote>
  <w:endnote w:type="continuationSeparator" w:id="0">
    <w:p w14:paraId="5BCFF10C" w14:textId="77777777" w:rsidR="00AF4A28" w:rsidRDefault="00AF4A28">
      <w:r>
        <w:continuationSeparator/>
      </w:r>
    </w:p>
    <w:p w14:paraId="535F4E3F" w14:textId="77777777" w:rsidR="00AF4A28" w:rsidRDefault="00AF4A28"/>
    <w:p w14:paraId="0A49AE84" w14:textId="77777777" w:rsidR="00AF4A28" w:rsidRDefault="00AF4A28"/>
  </w:endnote>
  <w:endnote w:type="continuationNotice" w:id="1">
    <w:p w14:paraId="14AF2CCC" w14:textId="77777777" w:rsidR="00AF4A28" w:rsidRDefault="00AF4A28"/>
    <w:p w14:paraId="1F56548B" w14:textId="77777777" w:rsidR="00AF4A28" w:rsidRDefault="00AF4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CD88" w14:textId="77777777" w:rsidR="00B96A78" w:rsidRDefault="00B96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8203" w14:textId="77777777" w:rsidR="00FA0456" w:rsidRDefault="00FA0456">
    <w:pPr>
      <w:pStyle w:val="Footer"/>
    </w:pPr>
  </w:p>
  <w:sdt>
    <w:sdtPr>
      <w:id w:val="1686399939"/>
      <w:docPartObj>
        <w:docPartGallery w:val="Page Numbers (Bottom of Page)"/>
        <w:docPartUnique/>
      </w:docPartObj>
    </w:sdtPr>
    <w:sdtEndPr>
      <w:rPr>
        <w:b/>
        <w:bCs/>
        <w:noProof/>
      </w:rPr>
    </w:sdtEndPr>
    <w:sdtContent>
      <w:p w14:paraId="62039D88" w14:textId="1CD799DF" w:rsidR="0061061E" w:rsidRPr="00FC7A6F" w:rsidRDefault="00FA0456" w:rsidP="00FC7A6F">
        <w:pPr>
          <w:pStyle w:val="Footer"/>
          <w:rPr>
            <w:b/>
            <w:bCs/>
          </w:rPr>
        </w:pPr>
        <w:r w:rsidRPr="00FC7A6F">
          <w:rPr>
            <w:b/>
            <w:bCs/>
          </w:rPr>
          <w:fldChar w:fldCharType="begin"/>
        </w:r>
        <w:r w:rsidRPr="00FC7A6F">
          <w:rPr>
            <w:b/>
            <w:bCs/>
          </w:rPr>
          <w:instrText xml:space="preserve"> PAGE   \* MERGEFORMAT </w:instrText>
        </w:r>
        <w:r w:rsidRPr="00FC7A6F">
          <w:rPr>
            <w:b/>
            <w:bCs/>
          </w:rPr>
          <w:fldChar w:fldCharType="separate"/>
        </w:r>
        <w:r w:rsidRPr="00FC7A6F">
          <w:rPr>
            <w:b/>
            <w:bCs/>
            <w:noProof/>
          </w:rPr>
          <w:t>2</w:t>
        </w:r>
        <w:r w:rsidRPr="00FC7A6F">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ADCB" w14:textId="77777777" w:rsidR="00B96A78" w:rsidRDefault="00B96A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CCAA" w14:textId="77777777" w:rsidR="00B721AA" w:rsidRDefault="00B721AA">
    <w:pPr>
      <w:pStyle w:val="Footer"/>
    </w:pPr>
  </w:p>
  <w:sdt>
    <w:sdtPr>
      <w:id w:val="-958338491"/>
      <w:docPartObj>
        <w:docPartGallery w:val="Page Numbers (Bottom of Page)"/>
        <w:docPartUnique/>
      </w:docPartObj>
    </w:sdtPr>
    <w:sdtEndPr>
      <w:rPr>
        <w:noProof/>
      </w:rPr>
    </w:sdtEndPr>
    <w:sdtContent>
      <w:p w14:paraId="0B96742A" w14:textId="277F8EA9" w:rsidR="007F485B" w:rsidRDefault="00B721AA" w:rsidP="0011621E">
        <w:pPr>
          <w:pStyle w:val="Footer"/>
        </w:pPr>
        <w:r w:rsidRPr="00B721AA">
          <w:rPr>
            <w:b/>
            <w:bCs/>
          </w:rPr>
          <w:fldChar w:fldCharType="begin"/>
        </w:r>
        <w:r w:rsidRPr="00B721AA">
          <w:rPr>
            <w:b/>
            <w:bCs/>
          </w:rPr>
          <w:instrText xml:space="preserve"> PAGE   \* MERGEFORMAT </w:instrText>
        </w:r>
        <w:r w:rsidRPr="00B721AA">
          <w:rPr>
            <w:b/>
            <w:bCs/>
          </w:rPr>
          <w:fldChar w:fldCharType="separate"/>
        </w:r>
        <w:r w:rsidRPr="00B721AA">
          <w:rPr>
            <w:b/>
            <w:bCs/>
            <w:noProof/>
          </w:rPr>
          <w:t>2</w:t>
        </w:r>
        <w:r w:rsidRPr="00B721AA">
          <w:rPr>
            <w:b/>
            <w:bCs/>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7C6E" w14:textId="77777777" w:rsidR="005835DF" w:rsidRDefault="005835DF">
    <w:pPr>
      <w:pStyle w:val="Footer"/>
    </w:pPr>
  </w:p>
  <w:sdt>
    <w:sdtPr>
      <w:id w:val="908815240"/>
      <w:docPartObj>
        <w:docPartGallery w:val="Page Numbers (Bottom of Page)"/>
        <w:docPartUnique/>
      </w:docPartObj>
    </w:sdtPr>
    <w:sdtEndPr>
      <w:rPr>
        <w:noProof/>
      </w:rPr>
    </w:sdtEndPr>
    <w:sdtContent>
      <w:p w14:paraId="76686157" w14:textId="16D11A09" w:rsidR="007F485B" w:rsidRDefault="005835DF" w:rsidP="0011621E">
        <w:pPr>
          <w:pStyle w:val="Footer"/>
        </w:pPr>
        <w:r w:rsidRPr="005835DF">
          <w:rPr>
            <w:b/>
            <w:bCs/>
          </w:rPr>
          <w:fldChar w:fldCharType="begin"/>
        </w:r>
        <w:r w:rsidRPr="005835DF">
          <w:rPr>
            <w:b/>
            <w:bCs/>
          </w:rPr>
          <w:instrText xml:space="preserve"> PAGE   \* MERGEFORMAT </w:instrText>
        </w:r>
        <w:r w:rsidRPr="005835DF">
          <w:rPr>
            <w:b/>
            <w:bCs/>
          </w:rPr>
          <w:fldChar w:fldCharType="separate"/>
        </w:r>
        <w:r w:rsidRPr="005835DF">
          <w:rPr>
            <w:b/>
            <w:bCs/>
            <w:noProof/>
          </w:rPr>
          <w:t>2</w:t>
        </w:r>
        <w:r w:rsidRPr="005835DF">
          <w:rPr>
            <w:b/>
            <w:bCs/>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7FB7" w14:textId="77777777" w:rsidR="007D6388" w:rsidRDefault="007D6388">
    <w:pPr>
      <w:pStyle w:val="Footer"/>
    </w:pPr>
  </w:p>
  <w:sdt>
    <w:sdtPr>
      <w:id w:val="-37661490"/>
      <w:docPartObj>
        <w:docPartGallery w:val="Page Numbers (Bottom of Page)"/>
        <w:docPartUnique/>
      </w:docPartObj>
    </w:sdtPr>
    <w:sdtEndPr>
      <w:rPr>
        <w:noProof/>
      </w:rPr>
    </w:sdtEndPr>
    <w:sdtContent>
      <w:p w14:paraId="47C940C8" w14:textId="77777777" w:rsidR="007D6388" w:rsidRDefault="007D6388" w:rsidP="0011621E">
        <w:pPr>
          <w:pStyle w:val="Footer"/>
        </w:pPr>
        <w:r w:rsidRPr="00B721AA">
          <w:rPr>
            <w:b/>
            <w:bCs/>
          </w:rPr>
          <w:fldChar w:fldCharType="begin"/>
        </w:r>
        <w:r w:rsidRPr="00B721AA">
          <w:rPr>
            <w:b/>
            <w:bCs/>
          </w:rPr>
          <w:instrText xml:space="preserve"> PAGE   \* MERGEFORMAT </w:instrText>
        </w:r>
        <w:r w:rsidRPr="00B721AA">
          <w:rPr>
            <w:b/>
            <w:bCs/>
          </w:rPr>
          <w:fldChar w:fldCharType="separate"/>
        </w:r>
        <w:r w:rsidRPr="00B721AA">
          <w:rPr>
            <w:b/>
            <w:bCs/>
            <w:noProof/>
          </w:rPr>
          <w:t>2</w:t>
        </w:r>
        <w:r w:rsidRPr="00B721AA">
          <w:rPr>
            <w:b/>
            <w:bCs/>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C391" w14:textId="77777777" w:rsidR="00DD09F3" w:rsidRDefault="00DD09F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FC1" w14:textId="77777777" w:rsidR="005835DF" w:rsidRDefault="005835DF">
    <w:pPr>
      <w:pStyle w:val="Footer"/>
    </w:pPr>
  </w:p>
  <w:sdt>
    <w:sdtPr>
      <w:id w:val="-1547987590"/>
      <w:docPartObj>
        <w:docPartGallery w:val="Page Numbers (Bottom of Page)"/>
        <w:docPartUnique/>
      </w:docPartObj>
    </w:sdtPr>
    <w:sdtEndPr>
      <w:rPr>
        <w:noProof/>
      </w:rPr>
    </w:sdtEndPr>
    <w:sdtContent>
      <w:p w14:paraId="11863052" w14:textId="1AF07BFB" w:rsidR="00DD09F3" w:rsidRDefault="005835DF" w:rsidP="0011621E">
        <w:pPr>
          <w:pStyle w:val="Footer"/>
        </w:pPr>
        <w:r w:rsidRPr="005835DF">
          <w:rPr>
            <w:b/>
            <w:bCs/>
          </w:rPr>
          <w:fldChar w:fldCharType="begin"/>
        </w:r>
        <w:r w:rsidRPr="005835DF">
          <w:rPr>
            <w:b/>
            <w:bCs/>
          </w:rPr>
          <w:instrText xml:space="preserve"> PAGE   \* MERGEFORMAT </w:instrText>
        </w:r>
        <w:r w:rsidRPr="005835DF">
          <w:rPr>
            <w:b/>
            <w:bCs/>
          </w:rPr>
          <w:fldChar w:fldCharType="separate"/>
        </w:r>
        <w:r w:rsidRPr="005835DF">
          <w:rPr>
            <w:b/>
            <w:bCs/>
            <w:noProof/>
          </w:rPr>
          <w:t>2</w:t>
        </w:r>
        <w:r w:rsidRPr="005835DF">
          <w:rPr>
            <w:b/>
            <w:bCs/>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0878" w14:textId="77777777" w:rsidR="00DD09F3" w:rsidRDefault="00DD09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D419" w14:textId="77777777" w:rsidR="00AF4A28" w:rsidRDefault="00AF4A28">
      <w:r>
        <w:separator/>
      </w:r>
    </w:p>
    <w:p w14:paraId="48718AA3" w14:textId="77777777" w:rsidR="00AF4A28" w:rsidRDefault="00AF4A28"/>
    <w:p w14:paraId="46E07AF6" w14:textId="77777777" w:rsidR="00AF4A28" w:rsidRDefault="00AF4A28"/>
  </w:footnote>
  <w:footnote w:type="continuationSeparator" w:id="0">
    <w:p w14:paraId="44C53ABC" w14:textId="77777777" w:rsidR="00AF4A28" w:rsidRDefault="00AF4A28">
      <w:r>
        <w:continuationSeparator/>
      </w:r>
    </w:p>
    <w:p w14:paraId="5D6B1955" w14:textId="77777777" w:rsidR="00AF4A28" w:rsidRDefault="00AF4A28"/>
    <w:p w14:paraId="70B7C651" w14:textId="77777777" w:rsidR="00AF4A28" w:rsidRDefault="00AF4A28"/>
  </w:footnote>
  <w:footnote w:type="continuationNotice" w:id="1">
    <w:p w14:paraId="11BE0F9B" w14:textId="77777777" w:rsidR="00AF4A28" w:rsidRDefault="00AF4A28"/>
    <w:p w14:paraId="43696E0C" w14:textId="77777777" w:rsidR="00AF4A28" w:rsidRDefault="00AF4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083C" w14:textId="77777777" w:rsidR="00B96A78" w:rsidRDefault="00B96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1A08" w14:textId="265039F4" w:rsidR="00FA0456" w:rsidRPr="00056684" w:rsidRDefault="00075C73" w:rsidP="00FA0456">
    <w:pPr>
      <w:pStyle w:val="Header"/>
      <w:keepNext/>
      <w:ind w:left="360"/>
      <w:jc w:val="center"/>
      <w:rPr>
        <w:rFonts w:asciiTheme="minorHAnsi" w:hAnsiTheme="minorHAnsi" w:cs="Arial"/>
        <w:i/>
        <w:color w:val="808080"/>
      </w:rPr>
    </w:pPr>
    <w:r w:rsidRPr="00075C73">
      <w:rPr>
        <w:rFonts w:asciiTheme="minorHAnsi" w:hAnsiTheme="minorHAnsi" w:cstheme="minorHAnsi"/>
        <w:i/>
        <w:color w:val="808080"/>
      </w:rPr>
      <w:t xml:space="preserve">Public Summary Document </w:t>
    </w:r>
    <w:r w:rsidR="00FA0456" w:rsidRPr="00056684">
      <w:rPr>
        <w:rFonts w:asciiTheme="minorHAnsi" w:hAnsiTheme="minorHAnsi" w:cs="Arial"/>
        <w:i/>
        <w:color w:val="808080"/>
      </w:rPr>
      <w:t xml:space="preserve">– </w:t>
    </w:r>
    <w:r w:rsidR="00FA0456">
      <w:rPr>
        <w:rFonts w:asciiTheme="minorHAnsi" w:hAnsiTheme="minorHAnsi" w:cs="Arial"/>
        <w:i/>
        <w:color w:val="808080"/>
      </w:rPr>
      <w:t>November 2022</w:t>
    </w:r>
    <w:r w:rsidR="00FA0456" w:rsidRPr="00056684">
      <w:rPr>
        <w:rFonts w:asciiTheme="minorHAnsi" w:hAnsiTheme="minorHAnsi" w:cs="Arial"/>
        <w:i/>
        <w:color w:val="808080"/>
      </w:rPr>
      <w:t xml:space="preserve"> PBAC Meeting</w:t>
    </w:r>
  </w:p>
  <w:p w14:paraId="6EA432D9" w14:textId="77777777" w:rsidR="0061061E" w:rsidRPr="0061061E" w:rsidRDefault="0061061E" w:rsidP="0061061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3BB7" w14:textId="77777777" w:rsidR="00B96A78" w:rsidRDefault="00B96A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B38E" w14:textId="3B73975B" w:rsidR="00B721AA" w:rsidRPr="00056684" w:rsidRDefault="00C3609A" w:rsidP="00B721AA">
    <w:pPr>
      <w:pStyle w:val="Header"/>
      <w:keepNext/>
      <w:ind w:left="360"/>
      <w:jc w:val="center"/>
      <w:rPr>
        <w:rFonts w:asciiTheme="minorHAnsi" w:hAnsiTheme="minorHAnsi" w:cs="Arial"/>
        <w:i/>
        <w:color w:val="808080"/>
      </w:rPr>
    </w:pPr>
    <w:r w:rsidRPr="00075C73">
      <w:rPr>
        <w:rFonts w:asciiTheme="minorHAnsi" w:hAnsiTheme="minorHAnsi" w:cstheme="minorHAnsi"/>
        <w:i/>
        <w:color w:val="808080"/>
      </w:rPr>
      <w:t xml:space="preserve">Public Summary Document </w:t>
    </w:r>
    <w:r w:rsidR="00B721AA" w:rsidRPr="00056684">
      <w:rPr>
        <w:rFonts w:asciiTheme="minorHAnsi" w:hAnsiTheme="minorHAnsi" w:cs="Arial"/>
        <w:i/>
        <w:color w:val="808080"/>
      </w:rPr>
      <w:t xml:space="preserve">– </w:t>
    </w:r>
    <w:r w:rsidR="00B721AA">
      <w:rPr>
        <w:rFonts w:asciiTheme="minorHAnsi" w:hAnsiTheme="minorHAnsi" w:cs="Arial"/>
        <w:i/>
        <w:color w:val="808080"/>
      </w:rPr>
      <w:t>November 2022</w:t>
    </w:r>
    <w:r w:rsidR="00B721AA" w:rsidRPr="00056684">
      <w:rPr>
        <w:rFonts w:asciiTheme="minorHAnsi" w:hAnsiTheme="minorHAnsi" w:cs="Arial"/>
        <w:i/>
        <w:color w:val="808080"/>
      </w:rPr>
      <w:t xml:space="preserve"> PBAC Meeting</w:t>
    </w:r>
  </w:p>
  <w:p w14:paraId="593C59D7" w14:textId="77777777" w:rsidR="007F485B" w:rsidRPr="0061061E" w:rsidRDefault="007F485B" w:rsidP="0061061E">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EEBA" w14:textId="5353FB8B" w:rsidR="005835DF" w:rsidRPr="00056684" w:rsidRDefault="00C3609A" w:rsidP="005835DF">
    <w:pPr>
      <w:pStyle w:val="Header"/>
      <w:keepNext/>
      <w:ind w:left="360"/>
      <w:jc w:val="center"/>
      <w:rPr>
        <w:rFonts w:asciiTheme="minorHAnsi" w:hAnsiTheme="minorHAnsi" w:cs="Arial"/>
        <w:i/>
        <w:color w:val="808080"/>
      </w:rPr>
    </w:pPr>
    <w:r w:rsidRPr="00075C73">
      <w:rPr>
        <w:rFonts w:asciiTheme="minorHAnsi" w:hAnsiTheme="minorHAnsi" w:cstheme="minorHAnsi"/>
        <w:i/>
        <w:color w:val="808080"/>
      </w:rPr>
      <w:t xml:space="preserve">Public Summary Document </w:t>
    </w:r>
    <w:r w:rsidR="005835DF" w:rsidRPr="00056684">
      <w:rPr>
        <w:rFonts w:asciiTheme="minorHAnsi" w:hAnsiTheme="minorHAnsi" w:cs="Arial"/>
        <w:i/>
        <w:color w:val="808080"/>
      </w:rPr>
      <w:t xml:space="preserve">– </w:t>
    </w:r>
    <w:r w:rsidR="005835DF">
      <w:rPr>
        <w:rFonts w:asciiTheme="minorHAnsi" w:hAnsiTheme="minorHAnsi" w:cs="Arial"/>
        <w:i/>
        <w:color w:val="808080"/>
      </w:rPr>
      <w:t>November 2022</w:t>
    </w:r>
    <w:r w:rsidR="005835DF" w:rsidRPr="00056684">
      <w:rPr>
        <w:rFonts w:asciiTheme="minorHAnsi" w:hAnsiTheme="minorHAnsi" w:cs="Arial"/>
        <w:i/>
        <w:color w:val="808080"/>
      </w:rPr>
      <w:t xml:space="preserve"> PBAC Meeting</w:t>
    </w:r>
  </w:p>
  <w:p w14:paraId="098752AB" w14:textId="77777777" w:rsidR="007F485B" w:rsidRPr="0061061E" w:rsidRDefault="007F485B" w:rsidP="0061061E">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574F" w14:textId="37B99C17" w:rsidR="007D6388" w:rsidRPr="00056684" w:rsidRDefault="00C3609A" w:rsidP="00B721AA">
    <w:pPr>
      <w:pStyle w:val="Header"/>
      <w:keepNext/>
      <w:ind w:left="360"/>
      <w:jc w:val="center"/>
      <w:rPr>
        <w:rFonts w:asciiTheme="minorHAnsi" w:hAnsiTheme="minorHAnsi" w:cs="Arial"/>
        <w:i/>
        <w:color w:val="808080"/>
      </w:rPr>
    </w:pPr>
    <w:r w:rsidRPr="00075C73">
      <w:rPr>
        <w:rFonts w:asciiTheme="minorHAnsi" w:hAnsiTheme="minorHAnsi" w:cstheme="minorHAnsi"/>
        <w:i/>
        <w:color w:val="808080"/>
      </w:rPr>
      <w:t xml:space="preserve">Public Summary Document </w:t>
    </w:r>
    <w:r w:rsidR="007D6388" w:rsidRPr="00056684">
      <w:rPr>
        <w:rFonts w:asciiTheme="minorHAnsi" w:hAnsiTheme="minorHAnsi" w:cs="Arial"/>
        <w:i/>
        <w:color w:val="808080"/>
      </w:rPr>
      <w:t xml:space="preserve">– </w:t>
    </w:r>
    <w:r w:rsidR="007D6388">
      <w:rPr>
        <w:rFonts w:asciiTheme="minorHAnsi" w:hAnsiTheme="minorHAnsi" w:cs="Arial"/>
        <w:i/>
        <w:color w:val="808080"/>
      </w:rPr>
      <w:t>November 2022</w:t>
    </w:r>
    <w:r w:rsidR="007D6388" w:rsidRPr="00056684">
      <w:rPr>
        <w:rFonts w:asciiTheme="minorHAnsi" w:hAnsiTheme="minorHAnsi" w:cs="Arial"/>
        <w:i/>
        <w:color w:val="808080"/>
      </w:rPr>
      <w:t xml:space="preserve"> PBAC Meeting</w:t>
    </w:r>
  </w:p>
  <w:p w14:paraId="1AE3AF58" w14:textId="77777777" w:rsidR="007D6388" w:rsidRPr="0061061E" w:rsidRDefault="007D6388" w:rsidP="0061061E">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80E4" w14:textId="77777777" w:rsidR="00DD09F3" w:rsidRDefault="00DD09F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5C52" w14:textId="1AF67308" w:rsidR="005835DF" w:rsidRPr="00056684" w:rsidRDefault="00C3609A" w:rsidP="005835DF">
    <w:pPr>
      <w:pStyle w:val="Header"/>
      <w:keepNext/>
      <w:ind w:left="360"/>
      <w:jc w:val="center"/>
      <w:rPr>
        <w:rFonts w:asciiTheme="minorHAnsi" w:hAnsiTheme="minorHAnsi" w:cs="Arial"/>
        <w:i/>
        <w:color w:val="808080"/>
      </w:rPr>
    </w:pPr>
    <w:r w:rsidRPr="00075C73">
      <w:rPr>
        <w:rFonts w:asciiTheme="minorHAnsi" w:hAnsiTheme="minorHAnsi" w:cstheme="minorHAnsi"/>
        <w:i/>
        <w:color w:val="808080"/>
      </w:rPr>
      <w:t xml:space="preserve">Public Summary Document </w:t>
    </w:r>
    <w:r w:rsidR="005835DF" w:rsidRPr="00056684">
      <w:rPr>
        <w:rFonts w:asciiTheme="minorHAnsi" w:hAnsiTheme="minorHAnsi" w:cs="Arial"/>
        <w:i/>
        <w:color w:val="808080"/>
      </w:rPr>
      <w:t xml:space="preserve">– </w:t>
    </w:r>
    <w:r w:rsidR="005835DF">
      <w:rPr>
        <w:rFonts w:asciiTheme="minorHAnsi" w:hAnsiTheme="minorHAnsi" w:cs="Arial"/>
        <w:i/>
        <w:color w:val="808080"/>
      </w:rPr>
      <w:t>November 2022</w:t>
    </w:r>
    <w:r w:rsidR="005835DF" w:rsidRPr="00056684">
      <w:rPr>
        <w:rFonts w:asciiTheme="minorHAnsi" w:hAnsiTheme="minorHAnsi" w:cs="Arial"/>
        <w:i/>
        <w:color w:val="808080"/>
      </w:rPr>
      <w:t xml:space="preserve"> PBAC Meeting</w:t>
    </w:r>
  </w:p>
  <w:p w14:paraId="0D5C99BF" w14:textId="77777777" w:rsidR="00DD09F3" w:rsidRDefault="00DD09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F21B1D"/>
    <w:multiLevelType w:val="hybridMultilevel"/>
    <w:tmpl w:val="9588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EB6807"/>
    <w:multiLevelType w:val="hybridMultilevel"/>
    <w:tmpl w:val="C91A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FD1165"/>
    <w:multiLevelType w:val="hybridMultilevel"/>
    <w:tmpl w:val="0298E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61746C"/>
    <w:multiLevelType w:val="hybridMultilevel"/>
    <w:tmpl w:val="65F2566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297031"/>
    <w:multiLevelType w:val="hybridMultilevel"/>
    <w:tmpl w:val="3DC8B5AE"/>
    <w:lvl w:ilvl="0" w:tplc="0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2" w15:restartNumberingAfterBreak="0">
    <w:nsid w:val="282D0101"/>
    <w:multiLevelType w:val="multilevel"/>
    <w:tmpl w:val="71FC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65B39"/>
    <w:multiLevelType w:val="multilevel"/>
    <w:tmpl w:val="BBA2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50C33"/>
    <w:multiLevelType w:val="hybridMultilevel"/>
    <w:tmpl w:val="4914FA6A"/>
    <w:lvl w:ilvl="0" w:tplc="0C09001B">
      <w:start w:val="1"/>
      <w:numFmt w:val="lowerRoman"/>
      <w:lvlText w:val="%1."/>
      <w:lvlJc w:val="right"/>
      <w:pPr>
        <w:ind w:left="1440" w:hanging="360"/>
      </w:pPr>
      <w:rPr>
        <w:rFonts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0C0DD0"/>
    <w:multiLevelType w:val="hybridMultilevel"/>
    <w:tmpl w:val="5288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F935EF6"/>
    <w:multiLevelType w:val="hybridMultilevel"/>
    <w:tmpl w:val="AA3AE0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14E4660"/>
    <w:multiLevelType w:val="hybridMultilevel"/>
    <w:tmpl w:val="08E45B7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1901248"/>
    <w:multiLevelType w:val="hybridMultilevel"/>
    <w:tmpl w:val="34A6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FA431B"/>
    <w:multiLevelType w:val="hybridMultilevel"/>
    <w:tmpl w:val="3C4698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45F63CE"/>
    <w:multiLevelType w:val="hybridMultilevel"/>
    <w:tmpl w:val="55D8C3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4776A04"/>
    <w:multiLevelType w:val="hybridMultilevel"/>
    <w:tmpl w:val="F794A25A"/>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4D22A3A"/>
    <w:multiLevelType w:val="hybridMultilevel"/>
    <w:tmpl w:val="5EB4BB44"/>
    <w:lvl w:ilvl="0" w:tplc="FFFFFFFF">
      <w:numFmt w:val="decimal"/>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55408CC"/>
    <w:multiLevelType w:val="multilevel"/>
    <w:tmpl w:val="598A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E91C3A"/>
    <w:multiLevelType w:val="hybridMultilevel"/>
    <w:tmpl w:val="0DC8F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B3377B"/>
    <w:multiLevelType w:val="hybridMultilevel"/>
    <w:tmpl w:val="58FC2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3ACB3082"/>
    <w:multiLevelType w:val="hybridMultilevel"/>
    <w:tmpl w:val="94560CD6"/>
    <w:lvl w:ilvl="0" w:tplc="0C090005">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0" w15:restartNumberingAfterBreak="0">
    <w:nsid w:val="3CE5669C"/>
    <w:multiLevelType w:val="hybridMultilevel"/>
    <w:tmpl w:val="78083272"/>
    <w:lvl w:ilvl="0" w:tplc="0C090005">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32" w15:restartNumberingAfterBreak="0">
    <w:nsid w:val="429D3EA1"/>
    <w:multiLevelType w:val="hybridMultilevel"/>
    <w:tmpl w:val="E19CA1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8D67A6"/>
    <w:multiLevelType w:val="hybridMultilevel"/>
    <w:tmpl w:val="41A0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9F4D88"/>
    <w:multiLevelType w:val="hybridMultilevel"/>
    <w:tmpl w:val="71E84B8C"/>
    <w:lvl w:ilvl="0" w:tplc="6C9C06BE">
      <w:numFmt w:val="decimal"/>
      <w:pStyle w:val="Bull1table"/>
      <w:lvlText w:val=""/>
      <w:lvlJc w:val="left"/>
    </w:lvl>
    <w:lvl w:ilvl="1" w:tplc="F37807FE">
      <w:numFmt w:val="decimal"/>
      <w:pStyle w:val="Bull2table"/>
      <w:lvlText w:val=""/>
      <w:lvlJc w:val="left"/>
    </w:lvl>
    <w:lvl w:ilvl="2" w:tplc="97E0DE5E">
      <w:numFmt w:val="decimal"/>
      <w:pStyle w:val="Bull3table"/>
      <w:lvlText w:val=""/>
      <w:lvlJc w:val="left"/>
    </w:lvl>
    <w:lvl w:ilvl="3" w:tplc="AA18FEDC">
      <w:numFmt w:val="decimal"/>
      <w:pStyle w:val="Bull4table"/>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6" w15:restartNumberingAfterBreak="0">
    <w:nsid w:val="4A3236B7"/>
    <w:multiLevelType w:val="hybridMultilevel"/>
    <w:tmpl w:val="35A2154C"/>
    <w:lvl w:ilvl="0" w:tplc="FFFFFFFF">
      <w:numFmt w:val="decimal"/>
      <w:lvlText w:val=""/>
      <w:lvlJc w:val="left"/>
    </w:lvl>
    <w:lvl w:ilvl="1" w:tplc="94D42A8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956612"/>
    <w:multiLevelType w:val="hybridMultilevel"/>
    <w:tmpl w:val="3806C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4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4C0448"/>
    <w:multiLevelType w:val="multilevel"/>
    <w:tmpl w:val="CE86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9A25F4"/>
    <w:multiLevelType w:val="multilevel"/>
    <w:tmpl w:val="2124B9A2"/>
    <w:styleLink w:val="SectionBii"/>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9D602C"/>
    <w:multiLevelType w:val="hybridMultilevel"/>
    <w:tmpl w:val="807A4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AC5FFD"/>
    <w:multiLevelType w:val="multilevel"/>
    <w:tmpl w:val="0CAA3C6C"/>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15:restartNumberingAfterBreak="0">
    <w:nsid w:val="5E4C6415"/>
    <w:multiLevelType w:val="multilevel"/>
    <w:tmpl w:val="A59E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104424"/>
    <w:multiLevelType w:val="hybridMultilevel"/>
    <w:tmpl w:val="6884F3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6322631C"/>
    <w:multiLevelType w:val="hybridMultilevel"/>
    <w:tmpl w:val="BC9E9D2A"/>
    <w:lvl w:ilvl="0" w:tplc="94D42A88">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945511A"/>
    <w:multiLevelType w:val="hybridMultilevel"/>
    <w:tmpl w:val="FA38EBCA"/>
    <w:lvl w:ilvl="0" w:tplc="44D04F0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6B351195"/>
    <w:multiLevelType w:val="hybridMultilevel"/>
    <w:tmpl w:val="5422E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3"/>
  </w:num>
  <w:num w:numId="2">
    <w:abstractNumId w:val="0"/>
  </w:num>
  <w:num w:numId="3">
    <w:abstractNumId w:val="44"/>
  </w:num>
  <w:num w:numId="4">
    <w:abstractNumId w:val="54"/>
  </w:num>
  <w:num w:numId="5">
    <w:abstractNumId w:val="52"/>
  </w:num>
  <w:num w:numId="6">
    <w:abstractNumId w:val="37"/>
  </w:num>
  <w:num w:numId="7">
    <w:abstractNumId w:val="31"/>
  </w:num>
  <w:num w:numId="8">
    <w:abstractNumId w:val="1"/>
  </w:num>
  <w:num w:numId="9">
    <w:abstractNumId w:val="53"/>
  </w:num>
  <w:num w:numId="10">
    <w:abstractNumId w:val="49"/>
  </w:num>
  <w:num w:numId="11">
    <w:abstractNumId w:val="17"/>
  </w:num>
  <w:num w:numId="12">
    <w:abstractNumId w:val="19"/>
  </w:num>
  <w:num w:numId="13">
    <w:abstractNumId w:val="53"/>
  </w:num>
  <w:num w:numId="14">
    <w:abstractNumId w:val="53"/>
  </w:num>
  <w:num w:numId="15">
    <w:abstractNumId w:val="43"/>
  </w:num>
  <w:num w:numId="16">
    <w:abstractNumId w:val="42"/>
  </w:num>
  <w:num w:numId="17">
    <w:abstractNumId w:val="20"/>
  </w:num>
  <w:num w:numId="18">
    <w:abstractNumId w:val="14"/>
  </w:num>
  <w:num w:numId="19">
    <w:abstractNumId w:val="24"/>
  </w:num>
  <w:num w:numId="20">
    <w:abstractNumId w:val="21"/>
  </w:num>
  <w:num w:numId="21">
    <w:abstractNumId w:val="34"/>
  </w:num>
  <w:num w:numId="22">
    <w:abstractNumId w:val="18"/>
  </w:num>
  <w:num w:numId="23">
    <w:abstractNumId w:val="29"/>
  </w:num>
  <w:num w:numId="24">
    <w:abstractNumId w:val="35"/>
  </w:num>
  <w:num w:numId="25">
    <w:abstractNumId w:val="48"/>
  </w:num>
  <w:num w:numId="26">
    <w:abstractNumId w:val="36"/>
  </w:num>
  <w:num w:numId="27">
    <w:abstractNumId w:val="30"/>
  </w:num>
  <w:num w:numId="28">
    <w:abstractNumId w:val="11"/>
  </w:num>
  <w:num w:numId="29">
    <w:abstractNumId w:val="6"/>
  </w:num>
  <w:num w:numId="30">
    <w:abstractNumId w:val="25"/>
  </w:num>
  <w:num w:numId="31">
    <w:abstractNumId w:val="8"/>
  </w:num>
  <w:num w:numId="32">
    <w:abstractNumId w:val="7"/>
  </w:num>
  <w:num w:numId="33">
    <w:abstractNumId w:val="5"/>
  </w:num>
  <w:num w:numId="34">
    <w:abstractNumId w:val="50"/>
  </w:num>
  <w:num w:numId="35">
    <w:abstractNumId w:val="27"/>
  </w:num>
  <w:num w:numId="36">
    <w:abstractNumId w:val="3"/>
  </w:num>
  <w:num w:numId="37">
    <w:abstractNumId w:val="38"/>
  </w:num>
  <w:num w:numId="38">
    <w:abstractNumId w:val="39"/>
  </w:num>
  <w:num w:numId="39">
    <w:abstractNumId w:val="40"/>
  </w:num>
  <w:num w:numId="40">
    <w:abstractNumId w:val="4"/>
  </w:num>
  <w:num w:numId="41">
    <w:abstractNumId w:val="2"/>
  </w:num>
  <w:num w:numId="42">
    <w:abstractNumId w:val="10"/>
  </w:num>
  <w:num w:numId="43">
    <w:abstractNumId w:val="16"/>
  </w:num>
  <w:num w:numId="44">
    <w:abstractNumId w:val="9"/>
  </w:num>
  <w:num w:numId="4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num>
  <w:num w:numId="47">
    <w:abstractNumId w:val="22"/>
  </w:num>
  <w:num w:numId="48">
    <w:abstractNumId w:val="23"/>
  </w:num>
  <w:num w:numId="49">
    <w:abstractNumId w:val="15"/>
  </w:num>
  <w:num w:numId="50">
    <w:abstractNumId w:val="32"/>
  </w:num>
  <w:num w:numId="51">
    <w:abstractNumId w:val="28"/>
  </w:num>
  <w:num w:numId="52">
    <w:abstractNumId w:val="46"/>
  </w:num>
  <w:num w:numId="53">
    <w:abstractNumId w:val="13"/>
  </w:num>
  <w:num w:numId="54">
    <w:abstractNumId w:val="45"/>
  </w:num>
  <w:num w:numId="55">
    <w:abstractNumId w:val="26"/>
  </w:num>
  <w:num w:numId="56">
    <w:abstractNumId w:val="41"/>
  </w:num>
  <w:num w:numId="57">
    <w:abstractNumId w:val="12"/>
  </w:num>
  <w:num w:numId="58">
    <w:abstractNumId w:val="44"/>
  </w:num>
  <w:num w:numId="59">
    <w:abstractNumId w:val="44"/>
  </w:num>
  <w:num w:numId="60">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38FF"/>
    <w:rsid w:val="00007049"/>
    <w:rsid w:val="0000706A"/>
    <w:rsid w:val="00007986"/>
    <w:rsid w:val="0001064D"/>
    <w:rsid w:val="00011A59"/>
    <w:rsid w:val="00016A41"/>
    <w:rsid w:val="00017B1B"/>
    <w:rsid w:val="000214D1"/>
    <w:rsid w:val="000234CC"/>
    <w:rsid w:val="0002464A"/>
    <w:rsid w:val="00025A04"/>
    <w:rsid w:val="00026791"/>
    <w:rsid w:val="0003050E"/>
    <w:rsid w:val="0003106B"/>
    <w:rsid w:val="00033762"/>
    <w:rsid w:val="00033C1D"/>
    <w:rsid w:val="00034905"/>
    <w:rsid w:val="00040F19"/>
    <w:rsid w:val="000411B2"/>
    <w:rsid w:val="000421A1"/>
    <w:rsid w:val="0004240E"/>
    <w:rsid w:val="00043CD5"/>
    <w:rsid w:val="00044EC4"/>
    <w:rsid w:val="000454E2"/>
    <w:rsid w:val="00045E26"/>
    <w:rsid w:val="00047FA8"/>
    <w:rsid w:val="000514B5"/>
    <w:rsid w:val="0005322E"/>
    <w:rsid w:val="0005404B"/>
    <w:rsid w:val="00054E2B"/>
    <w:rsid w:val="00055416"/>
    <w:rsid w:val="00060820"/>
    <w:rsid w:val="00060E64"/>
    <w:rsid w:val="00064EB9"/>
    <w:rsid w:val="00066193"/>
    <w:rsid w:val="00066755"/>
    <w:rsid w:val="00067B6B"/>
    <w:rsid w:val="000715F6"/>
    <w:rsid w:val="00071A5B"/>
    <w:rsid w:val="0007337F"/>
    <w:rsid w:val="00075757"/>
    <w:rsid w:val="00075A79"/>
    <w:rsid w:val="00075C73"/>
    <w:rsid w:val="000763D5"/>
    <w:rsid w:val="0007670A"/>
    <w:rsid w:val="00076C38"/>
    <w:rsid w:val="00077143"/>
    <w:rsid w:val="00077DF7"/>
    <w:rsid w:val="0008050C"/>
    <w:rsid w:val="00082169"/>
    <w:rsid w:val="000834BE"/>
    <w:rsid w:val="00083F01"/>
    <w:rsid w:val="00086015"/>
    <w:rsid w:val="00087C4C"/>
    <w:rsid w:val="0009015E"/>
    <w:rsid w:val="000918CB"/>
    <w:rsid w:val="00091B06"/>
    <w:rsid w:val="00094A14"/>
    <w:rsid w:val="000951C4"/>
    <w:rsid w:val="00095ADA"/>
    <w:rsid w:val="000969AD"/>
    <w:rsid w:val="000975FB"/>
    <w:rsid w:val="00097F08"/>
    <w:rsid w:val="000A13F9"/>
    <w:rsid w:val="000A3AA2"/>
    <w:rsid w:val="000A44B2"/>
    <w:rsid w:val="000A52F6"/>
    <w:rsid w:val="000B44C3"/>
    <w:rsid w:val="000B558D"/>
    <w:rsid w:val="000B5A89"/>
    <w:rsid w:val="000B65F6"/>
    <w:rsid w:val="000B7767"/>
    <w:rsid w:val="000C566B"/>
    <w:rsid w:val="000C5CCD"/>
    <w:rsid w:val="000C5F95"/>
    <w:rsid w:val="000C6996"/>
    <w:rsid w:val="000C7C46"/>
    <w:rsid w:val="000D06A6"/>
    <w:rsid w:val="000D09E9"/>
    <w:rsid w:val="000D113F"/>
    <w:rsid w:val="000D23BA"/>
    <w:rsid w:val="000D390A"/>
    <w:rsid w:val="000D3AF3"/>
    <w:rsid w:val="000D4C9E"/>
    <w:rsid w:val="000D668E"/>
    <w:rsid w:val="000D6B23"/>
    <w:rsid w:val="000D6F8D"/>
    <w:rsid w:val="000E19B7"/>
    <w:rsid w:val="000E20FC"/>
    <w:rsid w:val="000E3DFB"/>
    <w:rsid w:val="000E5EA1"/>
    <w:rsid w:val="000E681E"/>
    <w:rsid w:val="000E6A7B"/>
    <w:rsid w:val="000E7E52"/>
    <w:rsid w:val="000F0003"/>
    <w:rsid w:val="000F199E"/>
    <w:rsid w:val="000F3384"/>
    <w:rsid w:val="000F3ACE"/>
    <w:rsid w:val="000F4E6A"/>
    <w:rsid w:val="000F51B8"/>
    <w:rsid w:val="000F6D01"/>
    <w:rsid w:val="000F7354"/>
    <w:rsid w:val="00100F00"/>
    <w:rsid w:val="001014E6"/>
    <w:rsid w:val="00101ABE"/>
    <w:rsid w:val="00102202"/>
    <w:rsid w:val="00102700"/>
    <w:rsid w:val="0010289B"/>
    <w:rsid w:val="00102A78"/>
    <w:rsid w:val="00103118"/>
    <w:rsid w:val="00104227"/>
    <w:rsid w:val="00104475"/>
    <w:rsid w:val="001107BF"/>
    <w:rsid w:val="00113649"/>
    <w:rsid w:val="00113D5C"/>
    <w:rsid w:val="001148C5"/>
    <w:rsid w:val="0011621E"/>
    <w:rsid w:val="001166A5"/>
    <w:rsid w:val="00116765"/>
    <w:rsid w:val="0011784C"/>
    <w:rsid w:val="0012237E"/>
    <w:rsid w:val="0012417C"/>
    <w:rsid w:val="00124330"/>
    <w:rsid w:val="00124BF2"/>
    <w:rsid w:val="0012597F"/>
    <w:rsid w:val="00126B45"/>
    <w:rsid w:val="0012749D"/>
    <w:rsid w:val="001306A5"/>
    <w:rsid w:val="001307F8"/>
    <w:rsid w:val="001311AE"/>
    <w:rsid w:val="00133415"/>
    <w:rsid w:val="001342E6"/>
    <w:rsid w:val="001343DA"/>
    <w:rsid w:val="00134A96"/>
    <w:rsid w:val="00137968"/>
    <w:rsid w:val="00140B74"/>
    <w:rsid w:val="00140D94"/>
    <w:rsid w:val="0014165C"/>
    <w:rsid w:val="00141703"/>
    <w:rsid w:val="00141712"/>
    <w:rsid w:val="001419D7"/>
    <w:rsid w:val="00142395"/>
    <w:rsid w:val="00142714"/>
    <w:rsid w:val="00143DCF"/>
    <w:rsid w:val="00144D09"/>
    <w:rsid w:val="001452ED"/>
    <w:rsid w:val="00147566"/>
    <w:rsid w:val="00147D84"/>
    <w:rsid w:val="001523B5"/>
    <w:rsid w:val="00152ABD"/>
    <w:rsid w:val="001549C1"/>
    <w:rsid w:val="00156C8D"/>
    <w:rsid w:val="0015717E"/>
    <w:rsid w:val="001579F9"/>
    <w:rsid w:val="00160F4D"/>
    <w:rsid w:val="001618C3"/>
    <w:rsid w:val="00162BDD"/>
    <w:rsid w:val="00162D4E"/>
    <w:rsid w:val="00163329"/>
    <w:rsid w:val="00164623"/>
    <w:rsid w:val="00164E49"/>
    <w:rsid w:val="001652DE"/>
    <w:rsid w:val="00165B64"/>
    <w:rsid w:val="0017343A"/>
    <w:rsid w:val="00175171"/>
    <w:rsid w:val="001765A6"/>
    <w:rsid w:val="00176B9D"/>
    <w:rsid w:val="00180172"/>
    <w:rsid w:val="00180713"/>
    <w:rsid w:val="00180720"/>
    <w:rsid w:val="00181366"/>
    <w:rsid w:val="001830CE"/>
    <w:rsid w:val="001836E3"/>
    <w:rsid w:val="00184C39"/>
    <w:rsid w:val="0018643B"/>
    <w:rsid w:val="001904DA"/>
    <w:rsid w:val="00191BF4"/>
    <w:rsid w:val="00192397"/>
    <w:rsid w:val="001942FB"/>
    <w:rsid w:val="00196307"/>
    <w:rsid w:val="00196FF1"/>
    <w:rsid w:val="001977E1"/>
    <w:rsid w:val="001A0D10"/>
    <w:rsid w:val="001A33EA"/>
    <w:rsid w:val="001A4413"/>
    <w:rsid w:val="001A4C4F"/>
    <w:rsid w:val="001A5A2B"/>
    <w:rsid w:val="001A7620"/>
    <w:rsid w:val="001A76FB"/>
    <w:rsid w:val="001B017F"/>
    <w:rsid w:val="001B0B79"/>
    <w:rsid w:val="001B1787"/>
    <w:rsid w:val="001B2BBC"/>
    <w:rsid w:val="001B3A40"/>
    <w:rsid w:val="001B3B69"/>
    <w:rsid w:val="001B3FFE"/>
    <w:rsid w:val="001B4F5A"/>
    <w:rsid w:val="001B5129"/>
    <w:rsid w:val="001B5C14"/>
    <w:rsid w:val="001C0B4C"/>
    <w:rsid w:val="001C0EC4"/>
    <w:rsid w:val="001C1195"/>
    <w:rsid w:val="001C12AE"/>
    <w:rsid w:val="001C1571"/>
    <w:rsid w:val="001C1E84"/>
    <w:rsid w:val="001C1F72"/>
    <w:rsid w:val="001C2778"/>
    <w:rsid w:val="001C2929"/>
    <w:rsid w:val="001C2E42"/>
    <w:rsid w:val="001C73A3"/>
    <w:rsid w:val="001C758C"/>
    <w:rsid w:val="001D1F5F"/>
    <w:rsid w:val="001D267B"/>
    <w:rsid w:val="001D37DC"/>
    <w:rsid w:val="001D3B3A"/>
    <w:rsid w:val="001D4AF4"/>
    <w:rsid w:val="001D6446"/>
    <w:rsid w:val="001E06D2"/>
    <w:rsid w:val="001E17C4"/>
    <w:rsid w:val="001E4608"/>
    <w:rsid w:val="001F005B"/>
    <w:rsid w:val="001F1850"/>
    <w:rsid w:val="001F1D9C"/>
    <w:rsid w:val="001F1FBF"/>
    <w:rsid w:val="001F2E91"/>
    <w:rsid w:val="001F2F1C"/>
    <w:rsid w:val="001F3189"/>
    <w:rsid w:val="001F520D"/>
    <w:rsid w:val="001F5C5E"/>
    <w:rsid w:val="00200656"/>
    <w:rsid w:val="00200751"/>
    <w:rsid w:val="00201FB8"/>
    <w:rsid w:val="002025D2"/>
    <w:rsid w:val="00203FAC"/>
    <w:rsid w:val="00204DCC"/>
    <w:rsid w:val="002050AD"/>
    <w:rsid w:val="00206932"/>
    <w:rsid w:val="00211A0B"/>
    <w:rsid w:val="00213CFB"/>
    <w:rsid w:val="0021553C"/>
    <w:rsid w:val="0021557B"/>
    <w:rsid w:val="0021644B"/>
    <w:rsid w:val="0021699C"/>
    <w:rsid w:val="002174FD"/>
    <w:rsid w:val="00217BE1"/>
    <w:rsid w:val="00217DAD"/>
    <w:rsid w:val="00221103"/>
    <w:rsid w:val="002214B9"/>
    <w:rsid w:val="00221690"/>
    <w:rsid w:val="00221D48"/>
    <w:rsid w:val="0022526D"/>
    <w:rsid w:val="00230F63"/>
    <w:rsid w:val="0023391E"/>
    <w:rsid w:val="00234252"/>
    <w:rsid w:val="0023466E"/>
    <w:rsid w:val="00235859"/>
    <w:rsid w:val="00237AC6"/>
    <w:rsid w:val="00240165"/>
    <w:rsid w:val="00244139"/>
    <w:rsid w:val="002441C7"/>
    <w:rsid w:val="00244490"/>
    <w:rsid w:val="00244E6C"/>
    <w:rsid w:val="00245B9C"/>
    <w:rsid w:val="00247B90"/>
    <w:rsid w:val="002508AE"/>
    <w:rsid w:val="002516EF"/>
    <w:rsid w:val="00252A3D"/>
    <w:rsid w:val="00253499"/>
    <w:rsid w:val="0025519B"/>
    <w:rsid w:val="002551A4"/>
    <w:rsid w:val="00257664"/>
    <w:rsid w:val="00260FA5"/>
    <w:rsid w:val="00263034"/>
    <w:rsid w:val="00263443"/>
    <w:rsid w:val="00265151"/>
    <w:rsid w:val="00265C2C"/>
    <w:rsid w:val="00266509"/>
    <w:rsid w:val="00271525"/>
    <w:rsid w:val="00271BA1"/>
    <w:rsid w:val="00272EE2"/>
    <w:rsid w:val="00273AC5"/>
    <w:rsid w:val="00274455"/>
    <w:rsid w:val="002762FA"/>
    <w:rsid w:val="00277505"/>
    <w:rsid w:val="0027767F"/>
    <w:rsid w:val="00280D1D"/>
    <w:rsid w:val="0028158C"/>
    <w:rsid w:val="002823B6"/>
    <w:rsid w:val="0028663C"/>
    <w:rsid w:val="00287209"/>
    <w:rsid w:val="00290C03"/>
    <w:rsid w:val="002936A6"/>
    <w:rsid w:val="00293E6F"/>
    <w:rsid w:val="00294274"/>
    <w:rsid w:val="0029458F"/>
    <w:rsid w:val="00296533"/>
    <w:rsid w:val="002972DE"/>
    <w:rsid w:val="002A018F"/>
    <w:rsid w:val="002A0E04"/>
    <w:rsid w:val="002A104C"/>
    <w:rsid w:val="002A1EF7"/>
    <w:rsid w:val="002A494D"/>
    <w:rsid w:val="002A4960"/>
    <w:rsid w:val="002A59EA"/>
    <w:rsid w:val="002A636A"/>
    <w:rsid w:val="002A7241"/>
    <w:rsid w:val="002B0AE0"/>
    <w:rsid w:val="002B1AE6"/>
    <w:rsid w:val="002B1D51"/>
    <w:rsid w:val="002B2DE8"/>
    <w:rsid w:val="002B30F8"/>
    <w:rsid w:val="002B3221"/>
    <w:rsid w:val="002B34A3"/>
    <w:rsid w:val="002B3526"/>
    <w:rsid w:val="002B388A"/>
    <w:rsid w:val="002B3F7F"/>
    <w:rsid w:val="002B46CA"/>
    <w:rsid w:val="002B5596"/>
    <w:rsid w:val="002B5BEB"/>
    <w:rsid w:val="002B628B"/>
    <w:rsid w:val="002B77D7"/>
    <w:rsid w:val="002C0790"/>
    <w:rsid w:val="002C1154"/>
    <w:rsid w:val="002C212F"/>
    <w:rsid w:val="002C2F35"/>
    <w:rsid w:val="002C4889"/>
    <w:rsid w:val="002C524F"/>
    <w:rsid w:val="002C633F"/>
    <w:rsid w:val="002C6AA9"/>
    <w:rsid w:val="002C7485"/>
    <w:rsid w:val="002D0077"/>
    <w:rsid w:val="002D094C"/>
    <w:rsid w:val="002D147F"/>
    <w:rsid w:val="002D2641"/>
    <w:rsid w:val="002D283A"/>
    <w:rsid w:val="002D4543"/>
    <w:rsid w:val="002D6A1F"/>
    <w:rsid w:val="002D759D"/>
    <w:rsid w:val="002E1567"/>
    <w:rsid w:val="002E2A65"/>
    <w:rsid w:val="002E3153"/>
    <w:rsid w:val="002E4230"/>
    <w:rsid w:val="002E4DA8"/>
    <w:rsid w:val="002E5292"/>
    <w:rsid w:val="002E72CA"/>
    <w:rsid w:val="002F1D07"/>
    <w:rsid w:val="002F3FB0"/>
    <w:rsid w:val="002F41B5"/>
    <w:rsid w:val="002F4EAD"/>
    <w:rsid w:val="002F600D"/>
    <w:rsid w:val="002F7E47"/>
    <w:rsid w:val="00300AD6"/>
    <w:rsid w:val="00300B1B"/>
    <w:rsid w:val="003019D0"/>
    <w:rsid w:val="003027CF"/>
    <w:rsid w:val="00302C53"/>
    <w:rsid w:val="003064AF"/>
    <w:rsid w:val="003104CC"/>
    <w:rsid w:val="00310A8B"/>
    <w:rsid w:val="00310B68"/>
    <w:rsid w:val="0031236D"/>
    <w:rsid w:val="003146B2"/>
    <w:rsid w:val="00314F9B"/>
    <w:rsid w:val="003160D2"/>
    <w:rsid w:val="003173FC"/>
    <w:rsid w:val="00317C6C"/>
    <w:rsid w:val="00320B80"/>
    <w:rsid w:val="00320CD3"/>
    <w:rsid w:val="00325204"/>
    <w:rsid w:val="00326E79"/>
    <w:rsid w:val="0032748A"/>
    <w:rsid w:val="00327588"/>
    <w:rsid w:val="003301B1"/>
    <w:rsid w:val="00331189"/>
    <w:rsid w:val="003321B0"/>
    <w:rsid w:val="0033263D"/>
    <w:rsid w:val="0033518A"/>
    <w:rsid w:val="00335535"/>
    <w:rsid w:val="003367EF"/>
    <w:rsid w:val="00337237"/>
    <w:rsid w:val="00341AE4"/>
    <w:rsid w:val="00343387"/>
    <w:rsid w:val="003445F7"/>
    <w:rsid w:val="003476EE"/>
    <w:rsid w:val="003541DD"/>
    <w:rsid w:val="0035437E"/>
    <w:rsid w:val="00354E61"/>
    <w:rsid w:val="00356E1D"/>
    <w:rsid w:val="00356E5B"/>
    <w:rsid w:val="00360A6D"/>
    <w:rsid w:val="00362031"/>
    <w:rsid w:val="00363D80"/>
    <w:rsid w:val="00370896"/>
    <w:rsid w:val="0037208C"/>
    <w:rsid w:val="003721A0"/>
    <w:rsid w:val="003736C9"/>
    <w:rsid w:val="00375723"/>
    <w:rsid w:val="003806EC"/>
    <w:rsid w:val="00380A51"/>
    <w:rsid w:val="0038282D"/>
    <w:rsid w:val="00383B77"/>
    <w:rsid w:val="00384988"/>
    <w:rsid w:val="0038526B"/>
    <w:rsid w:val="003872CF"/>
    <w:rsid w:val="003955F5"/>
    <w:rsid w:val="00395A02"/>
    <w:rsid w:val="00395D22"/>
    <w:rsid w:val="0039782C"/>
    <w:rsid w:val="0039787B"/>
    <w:rsid w:val="003A1129"/>
    <w:rsid w:val="003A13A6"/>
    <w:rsid w:val="003A33B6"/>
    <w:rsid w:val="003A5B4A"/>
    <w:rsid w:val="003A5D95"/>
    <w:rsid w:val="003A6BE4"/>
    <w:rsid w:val="003B09CD"/>
    <w:rsid w:val="003B0D3A"/>
    <w:rsid w:val="003B182D"/>
    <w:rsid w:val="003B2302"/>
    <w:rsid w:val="003B23C5"/>
    <w:rsid w:val="003B2A75"/>
    <w:rsid w:val="003B36F8"/>
    <w:rsid w:val="003B4606"/>
    <w:rsid w:val="003B49B2"/>
    <w:rsid w:val="003B57AF"/>
    <w:rsid w:val="003B6124"/>
    <w:rsid w:val="003B67C0"/>
    <w:rsid w:val="003B7960"/>
    <w:rsid w:val="003C093A"/>
    <w:rsid w:val="003C0F51"/>
    <w:rsid w:val="003C1ECF"/>
    <w:rsid w:val="003C205F"/>
    <w:rsid w:val="003C2745"/>
    <w:rsid w:val="003C2FB5"/>
    <w:rsid w:val="003C34B9"/>
    <w:rsid w:val="003C482B"/>
    <w:rsid w:val="003C48DB"/>
    <w:rsid w:val="003C5185"/>
    <w:rsid w:val="003D04C4"/>
    <w:rsid w:val="003D1F4E"/>
    <w:rsid w:val="003D24C5"/>
    <w:rsid w:val="003D4594"/>
    <w:rsid w:val="003D4AC4"/>
    <w:rsid w:val="003D4B0B"/>
    <w:rsid w:val="003D63B7"/>
    <w:rsid w:val="003D6834"/>
    <w:rsid w:val="003D74C5"/>
    <w:rsid w:val="003E15BF"/>
    <w:rsid w:val="003E3C10"/>
    <w:rsid w:val="003E4374"/>
    <w:rsid w:val="003E468B"/>
    <w:rsid w:val="003E5AAD"/>
    <w:rsid w:val="003E62BD"/>
    <w:rsid w:val="003E6697"/>
    <w:rsid w:val="003F044F"/>
    <w:rsid w:val="003F0C3A"/>
    <w:rsid w:val="003F15F0"/>
    <w:rsid w:val="003F2C9B"/>
    <w:rsid w:val="003F3228"/>
    <w:rsid w:val="003F3E89"/>
    <w:rsid w:val="003F59B9"/>
    <w:rsid w:val="003F5C8C"/>
    <w:rsid w:val="003F5C95"/>
    <w:rsid w:val="003F6262"/>
    <w:rsid w:val="003F63CE"/>
    <w:rsid w:val="003F775A"/>
    <w:rsid w:val="00400E55"/>
    <w:rsid w:val="0040128E"/>
    <w:rsid w:val="0040216B"/>
    <w:rsid w:val="0040559C"/>
    <w:rsid w:val="0040697E"/>
    <w:rsid w:val="00406FB5"/>
    <w:rsid w:val="00414EF9"/>
    <w:rsid w:val="00417B38"/>
    <w:rsid w:val="00420400"/>
    <w:rsid w:val="00421341"/>
    <w:rsid w:val="00421D56"/>
    <w:rsid w:val="004252EC"/>
    <w:rsid w:val="004254F4"/>
    <w:rsid w:val="00430B50"/>
    <w:rsid w:val="00430D39"/>
    <w:rsid w:val="004329B3"/>
    <w:rsid w:val="00442C91"/>
    <w:rsid w:val="004465BD"/>
    <w:rsid w:val="00446938"/>
    <w:rsid w:val="004528FA"/>
    <w:rsid w:val="00461336"/>
    <w:rsid w:val="00461A44"/>
    <w:rsid w:val="00462D26"/>
    <w:rsid w:val="004630AD"/>
    <w:rsid w:val="0046385A"/>
    <w:rsid w:val="00463FB5"/>
    <w:rsid w:val="00466ADA"/>
    <w:rsid w:val="004702BB"/>
    <w:rsid w:val="00472871"/>
    <w:rsid w:val="0047494B"/>
    <w:rsid w:val="00476245"/>
    <w:rsid w:val="0047714D"/>
    <w:rsid w:val="00477A9B"/>
    <w:rsid w:val="0048162D"/>
    <w:rsid w:val="00481E1D"/>
    <w:rsid w:val="00483035"/>
    <w:rsid w:val="004837E1"/>
    <w:rsid w:val="00484581"/>
    <w:rsid w:val="0048486B"/>
    <w:rsid w:val="004849FD"/>
    <w:rsid w:val="00484D4C"/>
    <w:rsid w:val="00485940"/>
    <w:rsid w:val="00486983"/>
    <w:rsid w:val="00486C95"/>
    <w:rsid w:val="004877C2"/>
    <w:rsid w:val="004904B9"/>
    <w:rsid w:val="00492A22"/>
    <w:rsid w:val="00494346"/>
    <w:rsid w:val="00495F61"/>
    <w:rsid w:val="00496662"/>
    <w:rsid w:val="00497662"/>
    <w:rsid w:val="004A133E"/>
    <w:rsid w:val="004A1F73"/>
    <w:rsid w:val="004A210A"/>
    <w:rsid w:val="004A2484"/>
    <w:rsid w:val="004A2AAF"/>
    <w:rsid w:val="004A5A85"/>
    <w:rsid w:val="004A6D06"/>
    <w:rsid w:val="004A71D1"/>
    <w:rsid w:val="004A7BE4"/>
    <w:rsid w:val="004A7C5B"/>
    <w:rsid w:val="004B1845"/>
    <w:rsid w:val="004B2348"/>
    <w:rsid w:val="004B2E01"/>
    <w:rsid w:val="004B2E98"/>
    <w:rsid w:val="004B3CE5"/>
    <w:rsid w:val="004B3E7F"/>
    <w:rsid w:val="004B5640"/>
    <w:rsid w:val="004B6084"/>
    <w:rsid w:val="004BCF29"/>
    <w:rsid w:val="004C03D0"/>
    <w:rsid w:val="004C1BD7"/>
    <w:rsid w:val="004C239C"/>
    <w:rsid w:val="004C2B68"/>
    <w:rsid w:val="004C30CA"/>
    <w:rsid w:val="004C31FE"/>
    <w:rsid w:val="004C3BA7"/>
    <w:rsid w:val="004C524C"/>
    <w:rsid w:val="004C5420"/>
    <w:rsid w:val="004C5FFA"/>
    <w:rsid w:val="004C691D"/>
    <w:rsid w:val="004C6C07"/>
    <w:rsid w:val="004C7E15"/>
    <w:rsid w:val="004D1BE9"/>
    <w:rsid w:val="004D2321"/>
    <w:rsid w:val="004D2CD1"/>
    <w:rsid w:val="004D4FF6"/>
    <w:rsid w:val="004D5774"/>
    <w:rsid w:val="004D5A84"/>
    <w:rsid w:val="004D5ADD"/>
    <w:rsid w:val="004D6E83"/>
    <w:rsid w:val="004E1B22"/>
    <w:rsid w:val="004E3762"/>
    <w:rsid w:val="004E62A3"/>
    <w:rsid w:val="004E64F1"/>
    <w:rsid w:val="004E66F5"/>
    <w:rsid w:val="004E692D"/>
    <w:rsid w:val="004E7230"/>
    <w:rsid w:val="004E7D87"/>
    <w:rsid w:val="004F136A"/>
    <w:rsid w:val="004F24E5"/>
    <w:rsid w:val="004F2553"/>
    <w:rsid w:val="004F306A"/>
    <w:rsid w:val="004F5C3B"/>
    <w:rsid w:val="004F6160"/>
    <w:rsid w:val="00501287"/>
    <w:rsid w:val="00501554"/>
    <w:rsid w:val="00502A23"/>
    <w:rsid w:val="00502AFE"/>
    <w:rsid w:val="00502E64"/>
    <w:rsid w:val="00502F06"/>
    <w:rsid w:val="00503AD7"/>
    <w:rsid w:val="00504E0C"/>
    <w:rsid w:val="00504E13"/>
    <w:rsid w:val="005109D4"/>
    <w:rsid w:val="00512481"/>
    <w:rsid w:val="005140ED"/>
    <w:rsid w:val="00514CD7"/>
    <w:rsid w:val="005167EC"/>
    <w:rsid w:val="005170DA"/>
    <w:rsid w:val="00517C1C"/>
    <w:rsid w:val="0052011E"/>
    <w:rsid w:val="00520D6A"/>
    <w:rsid w:val="00522220"/>
    <w:rsid w:val="00522DB6"/>
    <w:rsid w:val="005264A7"/>
    <w:rsid w:val="005270B7"/>
    <w:rsid w:val="0052792D"/>
    <w:rsid w:val="005319B2"/>
    <w:rsid w:val="00532402"/>
    <w:rsid w:val="005326A8"/>
    <w:rsid w:val="00532C74"/>
    <w:rsid w:val="00534E2E"/>
    <w:rsid w:val="00534FB3"/>
    <w:rsid w:val="00536412"/>
    <w:rsid w:val="0054064C"/>
    <w:rsid w:val="00544552"/>
    <w:rsid w:val="00545130"/>
    <w:rsid w:val="0054560B"/>
    <w:rsid w:val="005461C4"/>
    <w:rsid w:val="00552473"/>
    <w:rsid w:val="0055286A"/>
    <w:rsid w:val="00552EF2"/>
    <w:rsid w:val="005549D7"/>
    <w:rsid w:val="00555745"/>
    <w:rsid w:val="00557D4F"/>
    <w:rsid w:val="00561066"/>
    <w:rsid w:val="0056122E"/>
    <w:rsid w:val="0056273D"/>
    <w:rsid w:val="00563671"/>
    <w:rsid w:val="00563B2B"/>
    <w:rsid w:val="0056484E"/>
    <w:rsid w:val="00564C3C"/>
    <w:rsid w:val="005658AA"/>
    <w:rsid w:val="00567D8A"/>
    <w:rsid w:val="005711AD"/>
    <w:rsid w:val="00571B62"/>
    <w:rsid w:val="005764CD"/>
    <w:rsid w:val="00576C89"/>
    <w:rsid w:val="00577C4D"/>
    <w:rsid w:val="00580532"/>
    <w:rsid w:val="00581932"/>
    <w:rsid w:val="005835DF"/>
    <w:rsid w:val="0058778A"/>
    <w:rsid w:val="00587D0D"/>
    <w:rsid w:val="005950AB"/>
    <w:rsid w:val="005963BB"/>
    <w:rsid w:val="00596A8C"/>
    <w:rsid w:val="005A3173"/>
    <w:rsid w:val="005A3223"/>
    <w:rsid w:val="005A3796"/>
    <w:rsid w:val="005A3DA3"/>
    <w:rsid w:val="005A40B1"/>
    <w:rsid w:val="005A52C4"/>
    <w:rsid w:val="005A63A1"/>
    <w:rsid w:val="005B04B3"/>
    <w:rsid w:val="005B367E"/>
    <w:rsid w:val="005B609C"/>
    <w:rsid w:val="005C13C3"/>
    <w:rsid w:val="005C44ED"/>
    <w:rsid w:val="005C4F73"/>
    <w:rsid w:val="005C5B7D"/>
    <w:rsid w:val="005D03AB"/>
    <w:rsid w:val="005D3EB3"/>
    <w:rsid w:val="005D401D"/>
    <w:rsid w:val="005D47F0"/>
    <w:rsid w:val="005D5017"/>
    <w:rsid w:val="005D63FA"/>
    <w:rsid w:val="005D73C7"/>
    <w:rsid w:val="005D745F"/>
    <w:rsid w:val="005E0C2D"/>
    <w:rsid w:val="005E0D82"/>
    <w:rsid w:val="005E1333"/>
    <w:rsid w:val="005E1D80"/>
    <w:rsid w:val="005E2D2D"/>
    <w:rsid w:val="005E3136"/>
    <w:rsid w:val="005E507D"/>
    <w:rsid w:val="005E6B7A"/>
    <w:rsid w:val="005F0AD0"/>
    <w:rsid w:val="005F5586"/>
    <w:rsid w:val="005F7C4D"/>
    <w:rsid w:val="00601A91"/>
    <w:rsid w:val="00602BA3"/>
    <w:rsid w:val="0060596F"/>
    <w:rsid w:val="00605A93"/>
    <w:rsid w:val="00605B63"/>
    <w:rsid w:val="00605F9A"/>
    <w:rsid w:val="00605FD6"/>
    <w:rsid w:val="0060611A"/>
    <w:rsid w:val="00606442"/>
    <w:rsid w:val="00606EED"/>
    <w:rsid w:val="0061061E"/>
    <w:rsid w:val="00612A95"/>
    <w:rsid w:val="00612E18"/>
    <w:rsid w:val="00612E34"/>
    <w:rsid w:val="00614159"/>
    <w:rsid w:val="0061469D"/>
    <w:rsid w:val="0061492E"/>
    <w:rsid w:val="006158A3"/>
    <w:rsid w:val="00616902"/>
    <w:rsid w:val="00616C5F"/>
    <w:rsid w:val="00616DAC"/>
    <w:rsid w:val="00617154"/>
    <w:rsid w:val="00617725"/>
    <w:rsid w:val="00617C00"/>
    <w:rsid w:val="0062609B"/>
    <w:rsid w:val="006263BF"/>
    <w:rsid w:val="0062748A"/>
    <w:rsid w:val="00627B12"/>
    <w:rsid w:val="00627C7C"/>
    <w:rsid w:val="0063008A"/>
    <w:rsid w:val="00630A2C"/>
    <w:rsid w:val="00631356"/>
    <w:rsid w:val="0063682E"/>
    <w:rsid w:val="00636B96"/>
    <w:rsid w:val="0063718E"/>
    <w:rsid w:val="00640088"/>
    <w:rsid w:val="00642672"/>
    <w:rsid w:val="00642DA8"/>
    <w:rsid w:val="006436CD"/>
    <w:rsid w:val="006443E6"/>
    <w:rsid w:val="00651169"/>
    <w:rsid w:val="00651494"/>
    <w:rsid w:val="00653D69"/>
    <w:rsid w:val="006552E6"/>
    <w:rsid w:val="00655794"/>
    <w:rsid w:val="00657C63"/>
    <w:rsid w:val="00661653"/>
    <w:rsid w:val="00661CBC"/>
    <w:rsid w:val="0066212F"/>
    <w:rsid w:val="00662793"/>
    <w:rsid w:val="00662B85"/>
    <w:rsid w:val="00666C49"/>
    <w:rsid w:val="00666F78"/>
    <w:rsid w:val="006670BE"/>
    <w:rsid w:val="00670A76"/>
    <w:rsid w:val="006711AA"/>
    <w:rsid w:val="00672B57"/>
    <w:rsid w:val="00672FE6"/>
    <w:rsid w:val="00673F1F"/>
    <w:rsid w:val="00675622"/>
    <w:rsid w:val="0067747D"/>
    <w:rsid w:val="006777A8"/>
    <w:rsid w:val="006818D5"/>
    <w:rsid w:val="00681CA4"/>
    <w:rsid w:val="00684956"/>
    <w:rsid w:val="006872F8"/>
    <w:rsid w:val="0069039D"/>
    <w:rsid w:val="006906DB"/>
    <w:rsid w:val="006913F2"/>
    <w:rsid w:val="00691900"/>
    <w:rsid w:val="00691E6C"/>
    <w:rsid w:val="00692BCD"/>
    <w:rsid w:val="0069342D"/>
    <w:rsid w:val="00693DFB"/>
    <w:rsid w:val="0069501D"/>
    <w:rsid w:val="00696129"/>
    <w:rsid w:val="00697CF2"/>
    <w:rsid w:val="006A01C6"/>
    <w:rsid w:val="006A02C9"/>
    <w:rsid w:val="006A12A5"/>
    <w:rsid w:val="006A2515"/>
    <w:rsid w:val="006A2956"/>
    <w:rsid w:val="006A5E20"/>
    <w:rsid w:val="006A7426"/>
    <w:rsid w:val="006A793A"/>
    <w:rsid w:val="006B08AF"/>
    <w:rsid w:val="006B0D94"/>
    <w:rsid w:val="006B187B"/>
    <w:rsid w:val="006B485D"/>
    <w:rsid w:val="006C0C45"/>
    <w:rsid w:val="006C1A93"/>
    <w:rsid w:val="006C334C"/>
    <w:rsid w:val="006C5B33"/>
    <w:rsid w:val="006C6C10"/>
    <w:rsid w:val="006C708E"/>
    <w:rsid w:val="006C7E6F"/>
    <w:rsid w:val="006D0BC4"/>
    <w:rsid w:val="006D14E7"/>
    <w:rsid w:val="006D1DBC"/>
    <w:rsid w:val="006D254A"/>
    <w:rsid w:val="006D4099"/>
    <w:rsid w:val="006D4444"/>
    <w:rsid w:val="006D5458"/>
    <w:rsid w:val="006D6137"/>
    <w:rsid w:val="006D6493"/>
    <w:rsid w:val="006D6EC7"/>
    <w:rsid w:val="006E1BCD"/>
    <w:rsid w:val="006E21A2"/>
    <w:rsid w:val="006E2732"/>
    <w:rsid w:val="006E3ABF"/>
    <w:rsid w:val="006E59CD"/>
    <w:rsid w:val="006E7559"/>
    <w:rsid w:val="006F0A71"/>
    <w:rsid w:val="006F3F88"/>
    <w:rsid w:val="006F40C2"/>
    <w:rsid w:val="006F482C"/>
    <w:rsid w:val="006F5125"/>
    <w:rsid w:val="006F5989"/>
    <w:rsid w:val="006F733D"/>
    <w:rsid w:val="00700ECD"/>
    <w:rsid w:val="00701AB9"/>
    <w:rsid w:val="00702B6F"/>
    <w:rsid w:val="00704069"/>
    <w:rsid w:val="00706A2F"/>
    <w:rsid w:val="0070718E"/>
    <w:rsid w:val="00707E52"/>
    <w:rsid w:val="00710259"/>
    <w:rsid w:val="0071031F"/>
    <w:rsid w:val="0071340B"/>
    <w:rsid w:val="0071343F"/>
    <w:rsid w:val="0071436D"/>
    <w:rsid w:val="00715BBB"/>
    <w:rsid w:val="00716598"/>
    <w:rsid w:val="00716D0B"/>
    <w:rsid w:val="007174BB"/>
    <w:rsid w:val="0072025D"/>
    <w:rsid w:val="00721446"/>
    <w:rsid w:val="00723328"/>
    <w:rsid w:val="00724B13"/>
    <w:rsid w:val="0072742D"/>
    <w:rsid w:val="007277CD"/>
    <w:rsid w:val="00727F77"/>
    <w:rsid w:val="00730553"/>
    <w:rsid w:val="0073137C"/>
    <w:rsid w:val="00733D17"/>
    <w:rsid w:val="007340B9"/>
    <w:rsid w:val="007353D3"/>
    <w:rsid w:val="007364E9"/>
    <w:rsid w:val="00737556"/>
    <w:rsid w:val="007413BF"/>
    <w:rsid w:val="0074156B"/>
    <w:rsid w:val="00741619"/>
    <w:rsid w:val="00747092"/>
    <w:rsid w:val="007526E6"/>
    <w:rsid w:val="0075295A"/>
    <w:rsid w:val="00754DF9"/>
    <w:rsid w:val="007555E8"/>
    <w:rsid w:val="00755CC5"/>
    <w:rsid w:val="007578D0"/>
    <w:rsid w:val="00757F5F"/>
    <w:rsid w:val="00761E63"/>
    <w:rsid w:val="0076420C"/>
    <w:rsid w:val="00771D07"/>
    <w:rsid w:val="00773BE3"/>
    <w:rsid w:val="007743DD"/>
    <w:rsid w:val="00774DB1"/>
    <w:rsid w:val="00774E2C"/>
    <w:rsid w:val="0077518D"/>
    <w:rsid w:val="007753C2"/>
    <w:rsid w:val="007760E2"/>
    <w:rsid w:val="00776EEF"/>
    <w:rsid w:val="007838B8"/>
    <w:rsid w:val="0078407B"/>
    <w:rsid w:val="00785217"/>
    <w:rsid w:val="00785D70"/>
    <w:rsid w:val="007915BA"/>
    <w:rsid w:val="00791844"/>
    <w:rsid w:val="00791EB6"/>
    <w:rsid w:val="0079284D"/>
    <w:rsid w:val="0079410D"/>
    <w:rsid w:val="00794B7E"/>
    <w:rsid w:val="007950E0"/>
    <w:rsid w:val="007979BD"/>
    <w:rsid w:val="00797A66"/>
    <w:rsid w:val="007A1763"/>
    <w:rsid w:val="007A2BA6"/>
    <w:rsid w:val="007A6A2F"/>
    <w:rsid w:val="007A7BE9"/>
    <w:rsid w:val="007B024E"/>
    <w:rsid w:val="007B1122"/>
    <w:rsid w:val="007B2500"/>
    <w:rsid w:val="007B27A8"/>
    <w:rsid w:val="007B374B"/>
    <w:rsid w:val="007B3DDC"/>
    <w:rsid w:val="007B72A6"/>
    <w:rsid w:val="007C06D2"/>
    <w:rsid w:val="007C08E0"/>
    <w:rsid w:val="007C0F57"/>
    <w:rsid w:val="007C20ED"/>
    <w:rsid w:val="007C20F4"/>
    <w:rsid w:val="007C380F"/>
    <w:rsid w:val="007C3BF6"/>
    <w:rsid w:val="007C40B6"/>
    <w:rsid w:val="007C6CF3"/>
    <w:rsid w:val="007C729F"/>
    <w:rsid w:val="007C7472"/>
    <w:rsid w:val="007D01EA"/>
    <w:rsid w:val="007D503D"/>
    <w:rsid w:val="007D59E7"/>
    <w:rsid w:val="007D5F2A"/>
    <w:rsid w:val="007D6388"/>
    <w:rsid w:val="007D69E1"/>
    <w:rsid w:val="007E0DB0"/>
    <w:rsid w:val="007E1D28"/>
    <w:rsid w:val="007E3C07"/>
    <w:rsid w:val="007E5856"/>
    <w:rsid w:val="007E60DA"/>
    <w:rsid w:val="007F0021"/>
    <w:rsid w:val="007F018F"/>
    <w:rsid w:val="007F2641"/>
    <w:rsid w:val="007F3642"/>
    <w:rsid w:val="007F485B"/>
    <w:rsid w:val="007F7C36"/>
    <w:rsid w:val="00805592"/>
    <w:rsid w:val="008055AF"/>
    <w:rsid w:val="008057CD"/>
    <w:rsid w:val="00806796"/>
    <w:rsid w:val="00810167"/>
    <w:rsid w:val="00811017"/>
    <w:rsid w:val="00811CC0"/>
    <w:rsid w:val="008147AE"/>
    <w:rsid w:val="008151D6"/>
    <w:rsid w:val="00820B28"/>
    <w:rsid w:val="00821527"/>
    <w:rsid w:val="0082210C"/>
    <w:rsid w:val="00822696"/>
    <w:rsid w:val="0082590F"/>
    <w:rsid w:val="00825A6C"/>
    <w:rsid w:val="0082617E"/>
    <w:rsid w:val="008268BB"/>
    <w:rsid w:val="00826F6D"/>
    <w:rsid w:val="008306F3"/>
    <w:rsid w:val="00830E40"/>
    <w:rsid w:val="008326C1"/>
    <w:rsid w:val="00832D9A"/>
    <w:rsid w:val="00834DA9"/>
    <w:rsid w:val="00835C62"/>
    <w:rsid w:val="00835D41"/>
    <w:rsid w:val="00835D4A"/>
    <w:rsid w:val="008368A1"/>
    <w:rsid w:val="00840907"/>
    <w:rsid w:val="00840EF7"/>
    <w:rsid w:val="008436D3"/>
    <w:rsid w:val="008441B1"/>
    <w:rsid w:val="00844AB4"/>
    <w:rsid w:val="00844C0A"/>
    <w:rsid w:val="00846056"/>
    <w:rsid w:val="0084681F"/>
    <w:rsid w:val="00847EC0"/>
    <w:rsid w:val="00852446"/>
    <w:rsid w:val="008526AF"/>
    <w:rsid w:val="008544F3"/>
    <w:rsid w:val="00855DD6"/>
    <w:rsid w:val="00855E35"/>
    <w:rsid w:val="00855FD6"/>
    <w:rsid w:val="0085678A"/>
    <w:rsid w:val="00856B71"/>
    <w:rsid w:val="00856DDD"/>
    <w:rsid w:val="008623C6"/>
    <w:rsid w:val="00863E68"/>
    <w:rsid w:val="008647B5"/>
    <w:rsid w:val="0086609B"/>
    <w:rsid w:val="00867D64"/>
    <w:rsid w:val="0087090B"/>
    <w:rsid w:val="00875DCB"/>
    <w:rsid w:val="0087755A"/>
    <w:rsid w:val="00877EF1"/>
    <w:rsid w:val="00882085"/>
    <w:rsid w:val="00883188"/>
    <w:rsid w:val="00883B55"/>
    <w:rsid w:val="00884A0C"/>
    <w:rsid w:val="0088542C"/>
    <w:rsid w:val="008857C6"/>
    <w:rsid w:val="00886ACA"/>
    <w:rsid w:val="0089031E"/>
    <w:rsid w:val="0089332E"/>
    <w:rsid w:val="0089460B"/>
    <w:rsid w:val="00896BC0"/>
    <w:rsid w:val="0089763D"/>
    <w:rsid w:val="00897D58"/>
    <w:rsid w:val="00897F22"/>
    <w:rsid w:val="008A0B39"/>
    <w:rsid w:val="008A17A3"/>
    <w:rsid w:val="008A1956"/>
    <w:rsid w:val="008A1E85"/>
    <w:rsid w:val="008A2419"/>
    <w:rsid w:val="008A25A2"/>
    <w:rsid w:val="008A2AE8"/>
    <w:rsid w:val="008A3354"/>
    <w:rsid w:val="008A347B"/>
    <w:rsid w:val="008A4937"/>
    <w:rsid w:val="008A508C"/>
    <w:rsid w:val="008A50F1"/>
    <w:rsid w:val="008A59D9"/>
    <w:rsid w:val="008A5E06"/>
    <w:rsid w:val="008A643E"/>
    <w:rsid w:val="008A6819"/>
    <w:rsid w:val="008B2EC0"/>
    <w:rsid w:val="008B440C"/>
    <w:rsid w:val="008B4473"/>
    <w:rsid w:val="008B6DCF"/>
    <w:rsid w:val="008C38F1"/>
    <w:rsid w:val="008C54C0"/>
    <w:rsid w:val="008C7A9D"/>
    <w:rsid w:val="008D0945"/>
    <w:rsid w:val="008D1409"/>
    <w:rsid w:val="008D15CC"/>
    <w:rsid w:val="008D1729"/>
    <w:rsid w:val="008D1B5C"/>
    <w:rsid w:val="008D39E5"/>
    <w:rsid w:val="008D3C82"/>
    <w:rsid w:val="008D447E"/>
    <w:rsid w:val="008D4DD2"/>
    <w:rsid w:val="008D6ACF"/>
    <w:rsid w:val="008D6F51"/>
    <w:rsid w:val="008D73AA"/>
    <w:rsid w:val="008D7A41"/>
    <w:rsid w:val="008E0570"/>
    <w:rsid w:val="008E089A"/>
    <w:rsid w:val="008E2C72"/>
    <w:rsid w:val="008E3680"/>
    <w:rsid w:val="008E45EC"/>
    <w:rsid w:val="008E5870"/>
    <w:rsid w:val="008E77E4"/>
    <w:rsid w:val="008F0213"/>
    <w:rsid w:val="008F07ED"/>
    <w:rsid w:val="008F11F8"/>
    <w:rsid w:val="008F1434"/>
    <w:rsid w:val="008F2BB9"/>
    <w:rsid w:val="008F3D6A"/>
    <w:rsid w:val="008F3E30"/>
    <w:rsid w:val="008F54C3"/>
    <w:rsid w:val="008F6009"/>
    <w:rsid w:val="008F7355"/>
    <w:rsid w:val="00900361"/>
    <w:rsid w:val="00900C5B"/>
    <w:rsid w:val="009023DC"/>
    <w:rsid w:val="009027C5"/>
    <w:rsid w:val="00902E2A"/>
    <w:rsid w:val="00904332"/>
    <w:rsid w:val="00904413"/>
    <w:rsid w:val="00905BB7"/>
    <w:rsid w:val="009067B7"/>
    <w:rsid w:val="0090775A"/>
    <w:rsid w:val="00907DFD"/>
    <w:rsid w:val="00912726"/>
    <w:rsid w:val="0091487A"/>
    <w:rsid w:val="00914A97"/>
    <w:rsid w:val="00917D69"/>
    <w:rsid w:val="00920B6D"/>
    <w:rsid w:val="009221F8"/>
    <w:rsid w:val="00922488"/>
    <w:rsid w:val="00923221"/>
    <w:rsid w:val="0092467C"/>
    <w:rsid w:val="00924A25"/>
    <w:rsid w:val="00926560"/>
    <w:rsid w:val="00926B15"/>
    <w:rsid w:val="009270BE"/>
    <w:rsid w:val="00930291"/>
    <w:rsid w:val="00930937"/>
    <w:rsid w:val="00930FB7"/>
    <w:rsid w:val="009324A6"/>
    <w:rsid w:val="00933E6C"/>
    <w:rsid w:val="00935A6E"/>
    <w:rsid w:val="00935FA9"/>
    <w:rsid w:val="00937567"/>
    <w:rsid w:val="00937958"/>
    <w:rsid w:val="009406E5"/>
    <w:rsid w:val="00941602"/>
    <w:rsid w:val="00942160"/>
    <w:rsid w:val="00942739"/>
    <w:rsid w:val="00943455"/>
    <w:rsid w:val="00946921"/>
    <w:rsid w:val="0095146F"/>
    <w:rsid w:val="009530A7"/>
    <w:rsid w:val="00957393"/>
    <w:rsid w:val="00957944"/>
    <w:rsid w:val="009600A4"/>
    <w:rsid w:val="009602C5"/>
    <w:rsid w:val="00962223"/>
    <w:rsid w:val="0096252B"/>
    <w:rsid w:val="00963ACF"/>
    <w:rsid w:val="00966099"/>
    <w:rsid w:val="00966D0D"/>
    <w:rsid w:val="00967732"/>
    <w:rsid w:val="0096783C"/>
    <w:rsid w:val="009722B3"/>
    <w:rsid w:val="00973E24"/>
    <w:rsid w:val="00974C21"/>
    <w:rsid w:val="00975948"/>
    <w:rsid w:val="00976104"/>
    <w:rsid w:val="0097628E"/>
    <w:rsid w:val="00977BF3"/>
    <w:rsid w:val="00977E07"/>
    <w:rsid w:val="009802FB"/>
    <w:rsid w:val="009803E4"/>
    <w:rsid w:val="00980B0E"/>
    <w:rsid w:val="0098103C"/>
    <w:rsid w:val="009822B7"/>
    <w:rsid w:val="009836A3"/>
    <w:rsid w:val="00985350"/>
    <w:rsid w:val="009855A8"/>
    <w:rsid w:val="0098592B"/>
    <w:rsid w:val="00985D1A"/>
    <w:rsid w:val="009901ED"/>
    <w:rsid w:val="00990A7F"/>
    <w:rsid w:val="009913F4"/>
    <w:rsid w:val="00991782"/>
    <w:rsid w:val="009937F7"/>
    <w:rsid w:val="0099465B"/>
    <w:rsid w:val="00994A49"/>
    <w:rsid w:val="009951A1"/>
    <w:rsid w:val="00996E64"/>
    <w:rsid w:val="00997A44"/>
    <w:rsid w:val="00997CC1"/>
    <w:rsid w:val="009A07EA"/>
    <w:rsid w:val="009A0CDD"/>
    <w:rsid w:val="009A3168"/>
    <w:rsid w:val="009A5BD3"/>
    <w:rsid w:val="009A5D04"/>
    <w:rsid w:val="009A61CA"/>
    <w:rsid w:val="009B0C64"/>
    <w:rsid w:val="009B0F67"/>
    <w:rsid w:val="009B2138"/>
    <w:rsid w:val="009B3F8C"/>
    <w:rsid w:val="009B4CB9"/>
    <w:rsid w:val="009B750F"/>
    <w:rsid w:val="009C11F6"/>
    <w:rsid w:val="009C28F2"/>
    <w:rsid w:val="009C5B72"/>
    <w:rsid w:val="009C5CDF"/>
    <w:rsid w:val="009C66B5"/>
    <w:rsid w:val="009C703C"/>
    <w:rsid w:val="009C7E19"/>
    <w:rsid w:val="009D022D"/>
    <w:rsid w:val="009D124D"/>
    <w:rsid w:val="009D206E"/>
    <w:rsid w:val="009D3BA7"/>
    <w:rsid w:val="009D3CAA"/>
    <w:rsid w:val="009D55E2"/>
    <w:rsid w:val="009D6532"/>
    <w:rsid w:val="009D71FD"/>
    <w:rsid w:val="009E2588"/>
    <w:rsid w:val="009E2E8E"/>
    <w:rsid w:val="009E40E1"/>
    <w:rsid w:val="009F0EFA"/>
    <w:rsid w:val="009F192A"/>
    <w:rsid w:val="009F1D94"/>
    <w:rsid w:val="009F4E46"/>
    <w:rsid w:val="009F5B65"/>
    <w:rsid w:val="009F5F2E"/>
    <w:rsid w:val="00A01432"/>
    <w:rsid w:val="00A06225"/>
    <w:rsid w:val="00A0658C"/>
    <w:rsid w:val="00A0693D"/>
    <w:rsid w:val="00A070F1"/>
    <w:rsid w:val="00A07C4C"/>
    <w:rsid w:val="00A107B1"/>
    <w:rsid w:val="00A110D1"/>
    <w:rsid w:val="00A1124B"/>
    <w:rsid w:val="00A122E9"/>
    <w:rsid w:val="00A12587"/>
    <w:rsid w:val="00A128E6"/>
    <w:rsid w:val="00A12E7B"/>
    <w:rsid w:val="00A1369B"/>
    <w:rsid w:val="00A144D3"/>
    <w:rsid w:val="00A22AC3"/>
    <w:rsid w:val="00A23F3F"/>
    <w:rsid w:val="00A24067"/>
    <w:rsid w:val="00A240B8"/>
    <w:rsid w:val="00A24A4B"/>
    <w:rsid w:val="00A25900"/>
    <w:rsid w:val="00A2696D"/>
    <w:rsid w:val="00A2744D"/>
    <w:rsid w:val="00A303CD"/>
    <w:rsid w:val="00A30C13"/>
    <w:rsid w:val="00A30D16"/>
    <w:rsid w:val="00A32D9B"/>
    <w:rsid w:val="00A342BE"/>
    <w:rsid w:val="00A34E6C"/>
    <w:rsid w:val="00A34FD0"/>
    <w:rsid w:val="00A36398"/>
    <w:rsid w:val="00A37C8D"/>
    <w:rsid w:val="00A4020E"/>
    <w:rsid w:val="00A40CCC"/>
    <w:rsid w:val="00A40FB5"/>
    <w:rsid w:val="00A42826"/>
    <w:rsid w:val="00A429B3"/>
    <w:rsid w:val="00A42C8A"/>
    <w:rsid w:val="00A43A9E"/>
    <w:rsid w:val="00A44EC1"/>
    <w:rsid w:val="00A510E4"/>
    <w:rsid w:val="00A512D7"/>
    <w:rsid w:val="00A5273B"/>
    <w:rsid w:val="00A538A9"/>
    <w:rsid w:val="00A53915"/>
    <w:rsid w:val="00A53A9D"/>
    <w:rsid w:val="00A543B9"/>
    <w:rsid w:val="00A55FEE"/>
    <w:rsid w:val="00A56268"/>
    <w:rsid w:val="00A57422"/>
    <w:rsid w:val="00A60FC7"/>
    <w:rsid w:val="00A62C1A"/>
    <w:rsid w:val="00A63C17"/>
    <w:rsid w:val="00A6426D"/>
    <w:rsid w:val="00A665C1"/>
    <w:rsid w:val="00A673A4"/>
    <w:rsid w:val="00A7001A"/>
    <w:rsid w:val="00A70622"/>
    <w:rsid w:val="00A70977"/>
    <w:rsid w:val="00A70D58"/>
    <w:rsid w:val="00A744F9"/>
    <w:rsid w:val="00A74BFC"/>
    <w:rsid w:val="00A77613"/>
    <w:rsid w:val="00A77B87"/>
    <w:rsid w:val="00A81851"/>
    <w:rsid w:val="00A8390C"/>
    <w:rsid w:val="00A86AE0"/>
    <w:rsid w:val="00A90AE8"/>
    <w:rsid w:val="00A91362"/>
    <w:rsid w:val="00A9151C"/>
    <w:rsid w:val="00A919C6"/>
    <w:rsid w:val="00A928BD"/>
    <w:rsid w:val="00A940F6"/>
    <w:rsid w:val="00A9473D"/>
    <w:rsid w:val="00A97ABE"/>
    <w:rsid w:val="00A97CB0"/>
    <w:rsid w:val="00A97DE9"/>
    <w:rsid w:val="00AA12CD"/>
    <w:rsid w:val="00AA4D1C"/>
    <w:rsid w:val="00AA52FD"/>
    <w:rsid w:val="00AA7006"/>
    <w:rsid w:val="00AA7E2F"/>
    <w:rsid w:val="00AB5856"/>
    <w:rsid w:val="00AB6DEA"/>
    <w:rsid w:val="00AB71A7"/>
    <w:rsid w:val="00AB7D2D"/>
    <w:rsid w:val="00AC193C"/>
    <w:rsid w:val="00AC256F"/>
    <w:rsid w:val="00AC30C1"/>
    <w:rsid w:val="00AC4DE5"/>
    <w:rsid w:val="00AC5206"/>
    <w:rsid w:val="00AC5244"/>
    <w:rsid w:val="00AC5FB4"/>
    <w:rsid w:val="00AD1F7F"/>
    <w:rsid w:val="00AD2737"/>
    <w:rsid w:val="00AD3106"/>
    <w:rsid w:val="00AD4322"/>
    <w:rsid w:val="00AD598D"/>
    <w:rsid w:val="00AD5DF3"/>
    <w:rsid w:val="00AE102B"/>
    <w:rsid w:val="00AE11A5"/>
    <w:rsid w:val="00AE13E2"/>
    <w:rsid w:val="00AE147C"/>
    <w:rsid w:val="00AE22D3"/>
    <w:rsid w:val="00AE3D71"/>
    <w:rsid w:val="00AE5A49"/>
    <w:rsid w:val="00AE6106"/>
    <w:rsid w:val="00AE624B"/>
    <w:rsid w:val="00AF11D8"/>
    <w:rsid w:val="00AF222C"/>
    <w:rsid w:val="00AF27E8"/>
    <w:rsid w:val="00AF2BA7"/>
    <w:rsid w:val="00AF2F5D"/>
    <w:rsid w:val="00AF4029"/>
    <w:rsid w:val="00AF4A28"/>
    <w:rsid w:val="00AF5867"/>
    <w:rsid w:val="00AF5B6B"/>
    <w:rsid w:val="00AF62DF"/>
    <w:rsid w:val="00AF68CC"/>
    <w:rsid w:val="00AF70D7"/>
    <w:rsid w:val="00B00E78"/>
    <w:rsid w:val="00B01FF4"/>
    <w:rsid w:val="00B0326D"/>
    <w:rsid w:val="00B0358E"/>
    <w:rsid w:val="00B06478"/>
    <w:rsid w:val="00B07533"/>
    <w:rsid w:val="00B07CFB"/>
    <w:rsid w:val="00B100D1"/>
    <w:rsid w:val="00B1059E"/>
    <w:rsid w:val="00B10B95"/>
    <w:rsid w:val="00B12F64"/>
    <w:rsid w:val="00B14A36"/>
    <w:rsid w:val="00B16273"/>
    <w:rsid w:val="00B170A5"/>
    <w:rsid w:val="00B170C4"/>
    <w:rsid w:val="00B176C8"/>
    <w:rsid w:val="00B17EE5"/>
    <w:rsid w:val="00B205AA"/>
    <w:rsid w:val="00B22E84"/>
    <w:rsid w:val="00B233AD"/>
    <w:rsid w:val="00B23E25"/>
    <w:rsid w:val="00B25F75"/>
    <w:rsid w:val="00B25F9F"/>
    <w:rsid w:val="00B26755"/>
    <w:rsid w:val="00B26B3F"/>
    <w:rsid w:val="00B273A2"/>
    <w:rsid w:val="00B2778F"/>
    <w:rsid w:val="00B31F96"/>
    <w:rsid w:val="00B3209A"/>
    <w:rsid w:val="00B327E2"/>
    <w:rsid w:val="00B32F59"/>
    <w:rsid w:val="00B33635"/>
    <w:rsid w:val="00B3458A"/>
    <w:rsid w:val="00B35648"/>
    <w:rsid w:val="00B358D8"/>
    <w:rsid w:val="00B407A7"/>
    <w:rsid w:val="00B42AF4"/>
    <w:rsid w:val="00B43E90"/>
    <w:rsid w:val="00B44317"/>
    <w:rsid w:val="00B44453"/>
    <w:rsid w:val="00B456A3"/>
    <w:rsid w:val="00B45DCA"/>
    <w:rsid w:val="00B45FD8"/>
    <w:rsid w:val="00B467DC"/>
    <w:rsid w:val="00B46A64"/>
    <w:rsid w:val="00B47F0B"/>
    <w:rsid w:val="00B52545"/>
    <w:rsid w:val="00B5392A"/>
    <w:rsid w:val="00B55F21"/>
    <w:rsid w:val="00B56118"/>
    <w:rsid w:val="00B566E1"/>
    <w:rsid w:val="00B65397"/>
    <w:rsid w:val="00B65F18"/>
    <w:rsid w:val="00B674F5"/>
    <w:rsid w:val="00B6773F"/>
    <w:rsid w:val="00B70EB3"/>
    <w:rsid w:val="00B721AA"/>
    <w:rsid w:val="00B7286D"/>
    <w:rsid w:val="00B72906"/>
    <w:rsid w:val="00B74937"/>
    <w:rsid w:val="00B74A41"/>
    <w:rsid w:val="00B7525E"/>
    <w:rsid w:val="00B760FB"/>
    <w:rsid w:val="00B767AB"/>
    <w:rsid w:val="00B801BA"/>
    <w:rsid w:val="00B810F1"/>
    <w:rsid w:val="00B812D6"/>
    <w:rsid w:val="00B81A93"/>
    <w:rsid w:val="00B84D5C"/>
    <w:rsid w:val="00B852EE"/>
    <w:rsid w:val="00B85AF6"/>
    <w:rsid w:val="00B86E1A"/>
    <w:rsid w:val="00B920A1"/>
    <w:rsid w:val="00B928DA"/>
    <w:rsid w:val="00B956ED"/>
    <w:rsid w:val="00B96A78"/>
    <w:rsid w:val="00B96A8A"/>
    <w:rsid w:val="00BA18FC"/>
    <w:rsid w:val="00BA20C3"/>
    <w:rsid w:val="00BA2DA8"/>
    <w:rsid w:val="00BA347C"/>
    <w:rsid w:val="00BA3C51"/>
    <w:rsid w:val="00BA4108"/>
    <w:rsid w:val="00BB0B7C"/>
    <w:rsid w:val="00BB13E0"/>
    <w:rsid w:val="00BB25C4"/>
    <w:rsid w:val="00BB2F2F"/>
    <w:rsid w:val="00BB3469"/>
    <w:rsid w:val="00BB5C49"/>
    <w:rsid w:val="00BB603D"/>
    <w:rsid w:val="00BB6240"/>
    <w:rsid w:val="00BB6285"/>
    <w:rsid w:val="00BB69F5"/>
    <w:rsid w:val="00BB7EC3"/>
    <w:rsid w:val="00BC1F30"/>
    <w:rsid w:val="00BC3D62"/>
    <w:rsid w:val="00BC470E"/>
    <w:rsid w:val="00BC4B9A"/>
    <w:rsid w:val="00BC65EE"/>
    <w:rsid w:val="00BD02C3"/>
    <w:rsid w:val="00BD085F"/>
    <w:rsid w:val="00BD3E47"/>
    <w:rsid w:val="00BD6CE2"/>
    <w:rsid w:val="00BD7483"/>
    <w:rsid w:val="00BD784C"/>
    <w:rsid w:val="00BE012B"/>
    <w:rsid w:val="00BE020A"/>
    <w:rsid w:val="00BE13DF"/>
    <w:rsid w:val="00BE2478"/>
    <w:rsid w:val="00BE25D7"/>
    <w:rsid w:val="00BE447B"/>
    <w:rsid w:val="00BE6871"/>
    <w:rsid w:val="00BF092C"/>
    <w:rsid w:val="00BF26F6"/>
    <w:rsid w:val="00BF27A0"/>
    <w:rsid w:val="00BF2DFE"/>
    <w:rsid w:val="00BF4CB6"/>
    <w:rsid w:val="00BF711F"/>
    <w:rsid w:val="00C00DA7"/>
    <w:rsid w:val="00C034EF"/>
    <w:rsid w:val="00C0485A"/>
    <w:rsid w:val="00C04CDE"/>
    <w:rsid w:val="00C04E2C"/>
    <w:rsid w:val="00C0633A"/>
    <w:rsid w:val="00C068A6"/>
    <w:rsid w:val="00C10147"/>
    <w:rsid w:val="00C12768"/>
    <w:rsid w:val="00C12D70"/>
    <w:rsid w:val="00C13DDC"/>
    <w:rsid w:val="00C16724"/>
    <w:rsid w:val="00C20CD8"/>
    <w:rsid w:val="00C20E8B"/>
    <w:rsid w:val="00C21B09"/>
    <w:rsid w:val="00C22D92"/>
    <w:rsid w:val="00C2673A"/>
    <w:rsid w:val="00C275FE"/>
    <w:rsid w:val="00C2794C"/>
    <w:rsid w:val="00C27B58"/>
    <w:rsid w:val="00C30A05"/>
    <w:rsid w:val="00C33186"/>
    <w:rsid w:val="00C33BD2"/>
    <w:rsid w:val="00C34897"/>
    <w:rsid w:val="00C35996"/>
    <w:rsid w:val="00C3609A"/>
    <w:rsid w:val="00C369F6"/>
    <w:rsid w:val="00C445EB"/>
    <w:rsid w:val="00C4747E"/>
    <w:rsid w:val="00C4788B"/>
    <w:rsid w:val="00C47991"/>
    <w:rsid w:val="00C50B90"/>
    <w:rsid w:val="00C5151E"/>
    <w:rsid w:val="00C5342C"/>
    <w:rsid w:val="00C53B2B"/>
    <w:rsid w:val="00C57465"/>
    <w:rsid w:val="00C60272"/>
    <w:rsid w:val="00C603D4"/>
    <w:rsid w:val="00C61714"/>
    <w:rsid w:val="00C6256A"/>
    <w:rsid w:val="00C64091"/>
    <w:rsid w:val="00C6420F"/>
    <w:rsid w:val="00C64EBC"/>
    <w:rsid w:val="00C656E0"/>
    <w:rsid w:val="00C664D2"/>
    <w:rsid w:val="00C710E2"/>
    <w:rsid w:val="00C717EB"/>
    <w:rsid w:val="00C71C3F"/>
    <w:rsid w:val="00C726D6"/>
    <w:rsid w:val="00C72E03"/>
    <w:rsid w:val="00C73E8F"/>
    <w:rsid w:val="00C7409E"/>
    <w:rsid w:val="00C74D6D"/>
    <w:rsid w:val="00C76657"/>
    <w:rsid w:val="00C76E76"/>
    <w:rsid w:val="00C77891"/>
    <w:rsid w:val="00C808DF"/>
    <w:rsid w:val="00C829A9"/>
    <w:rsid w:val="00C85BA1"/>
    <w:rsid w:val="00C87B80"/>
    <w:rsid w:val="00C87EF0"/>
    <w:rsid w:val="00C87FC6"/>
    <w:rsid w:val="00C91449"/>
    <w:rsid w:val="00C92D10"/>
    <w:rsid w:val="00C92F53"/>
    <w:rsid w:val="00C9661C"/>
    <w:rsid w:val="00CA3DA7"/>
    <w:rsid w:val="00CA48D9"/>
    <w:rsid w:val="00CB1193"/>
    <w:rsid w:val="00CB162C"/>
    <w:rsid w:val="00CB1787"/>
    <w:rsid w:val="00CB39B1"/>
    <w:rsid w:val="00CB4397"/>
    <w:rsid w:val="00CB4767"/>
    <w:rsid w:val="00CB493D"/>
    <w:rsid w:val="00CB633A"/>
    <w:rsid w:val="00CC3B97"/>
    <w:rsid w:val="00CC3CA3"/>
    <w:rsid w:val="00CC4203"/>
    <w:rsid w:val="00CD0AC7"/>
    <w:rsid w:val="00CD0FE8"/>
    <w:rsid w:val="00CD7C0B"/>
    <w:rsid w:val="00CE10C4"/>
    <w:rsid w:val="00CE27B5"/>
    <w:rsid w:val="00CE57C1"/>
    <w:rsid w:val="00CE6DAF"/>
    <w:rsid w:val="00CF066B"/>
    <w:rsid w:val="00CF2659"/>
    <w:rsid w:val="00CF410A"/>
    <w:rsid w:val="00CF4760"/>
    <w:rsid w:val="00CF73F8"/>
    <w:rsid w:val="00CF7D84"/>
    <w:rsid w:val="00D00E6F"/>
    <w:rsid w:val="00D00EE4"/>
    <w:rsid w:val="00D02F70"/>
    <w:rsid w:val="00D0321E"/>
    <w:rsid w:val="00D042A4"/>
    <w:rsid w:val="00D069EB"/>
    <w:rsid w:val="00D07A8A"/>
    <w:rsid w:val="00D11199"/>
    <w:rsid w:val="00D1455A"/>
    <w:rsid w:val="00D14A70"/>
    <w:rsid w:val="00D16B9C"/>
    <w:rsid w:val="00D170D0"/>
    <w:rsid w:val="00D17167"/>
    <w:rsid w:val="00D17411"/>
    <w:rsid w:val="00D22093"/>
    <w:rsid w:val="00D31150"/>
    <w:rsid w:val="00D3138B"/>
    <w:rsid w:val="00D31FCE"/>
    <w:rsid w:val="00D3204F"/>
    <w:rsid w:val="00D3280C"/>
    <w:rsid w:val="00D3297F"/>
    <w:rsid w:val="00D34011"/>
    <w:rsid w:val="00D3406A"/>
    <w:rsid w:val="00D37332"/>
    <w:rsid w:val="00D40B11"/>
    <w:rsid w:val="00D429EC"/>
    <w:rsid w:val="00D42B01"/>
    <w:rsid w:val="00D42EF1"/>
    <w:rsid w:val="00D43F05"/>
    <w:rsid w:val="00D441F1"/>
    <w:rsid w:val="00D45339"/>
    <w:rsid w:val="00D4572C"/>
    <w:rsid w:val="00D469B2"/>
    <w:rsid w:val="00D46A06"/>
    <w:rsid w:val="00D527A0"/>
    <w:rsid w:val="00D54002"/>
    <w:rsid w:val="00D54B09"/>
    <w:rsid w:val="00D55773"/>
    <w:rsid w:val="00D62128"/>
    <w:rsid w:val="00D6243E"/>
    <w:rsid w:val="00D62BF6"/>
    <w:rsid w:val="00D65658"/>
    <w:rsid w:val="00D66C9C"/>
    <w:rsid w:val="00D67EB2"/>
    <w:rsid w:val="00D67FA9"/>
    <w:rsid w:val="00D70879"/>
    <w:rsid w:val="00D72516"/>
    <w:rsid w:val="00D72B6F"/>
    <w:rsid w:val="00D72D6B"/>
    <w:rsid w:val="00D73CDF"/>
    <w:rsid w:val="00D741EB"/>
    <w:rsid w:val="00D742CF"/>
    <w:rsid w:val="00D7679C"/>
    <w:rsid w:val="00D820F3"/>
    <w:rsid w:val="00D83104"/>
    <w:rsid w:val="00D83605"/>
    <w:rsid w:val="00D84934"/>
    <w:rsid w:val="00D866EB"/>
    <w:rsid w:val="00D87D1A"/>
    <w:rsid w:val="00D87E63"/>
    <w:rsid w:val="00D91271"/>
    <w:rsid w:val="00D919F5"/>
    <w:rsid w:val="00D91E19"/>
    <w:rsid w:val="00D93E33"/>
    <w:rsid w:val="00D945F6"/>
    <w:rsid w:val="00D94F03"/>
    <w:rsid w:val="00D95161"/>
    <w:rsid w:val="00D960B6"/>
    <w:rsid w:val="00D96DA7"/>
    <w:rsid w:val="00DA0A82"/>
    <w:rsid w:val="00DA0D14"/>
    <w:rsid w:val="00DA1FC9"/>
    <w:rsid w:val="00DA24D5"/>
    <w:rsid w:val="00DA2CB5"/>
    <w:rsid w:val="00DA3FEF"/>
    <w:rsid w:val="00DA4AF6"/>
    <w:rsid w:val="00DA4BAC"/>
    <w:rsid w:val="00DB0151"/>
    <w:rsid w:val="00DB281B"/>
    <w:rsid w:val="00DB50E1"/>
    <w:rsid w:val="00DC0566"/>
    <w:rsid w:val="00DC1499"/>
    <w:rsid w:val="00DC2327"/>
    <w:rsid w:val="00DC2C3E"/>
    <w:rsid w:val="00DC3137"/>
    <w:rsid w:val="00DC4880"/>
    <w:rsid w:val="00DC5A4A"/>
    <w:rsid w:val="00DC6508"/>
    <w:rsid w:val="00DC672F"/>
    <w:rsid w:val="00DD04EF"/>
    <w:rsid w:val="00DD09F3"/>
    <w:rsid w:val="00DD1C0A"/>
    <w:rsid w:val="00DD42AB"/>
    <w:rsid w:val="00DE06AF"/>
    <w:rsid w:val="00DE0B15"/>
    <w:rsid w:val="00DE17A9"/>
    <w:rsid w:val="00DE19F7"/>
    <w:rsid w:val="00DE5D1E"/>
    <w:rsid w:val="00DE6D27"/>
    <w:rsid w:val="00DF01F8"/>
    <w:rsid w:val="00DF021D"/>
    <w:rsid w:val="00DF128A"/>
    <w:rsid w:val="00DF217D"/>
    <w:rsid w:val="00DF26A7"/>
    <w:rsid w:val="00DF3277"/>
    <w:rsid w:val="00DF44DD"/>
    <w:rsid w:val="00DF4981"/>
    <w:rsid w:val="00DF5A23"/>
    <w:rsid w:val="00DF716B"/>
    <w:rsid w:val="00DF77A1"/>
    <w:rsid w:val="00DF7919"/>
    <w:rsid w:val="00DF7E8A"/>
    <w:rsid w:val="00E00D92"/>
    <w:rsid w:val="00E0207E"/>
    <w:rsid w:val="00E02139"/>
    <w:rsid w:val="00E02AE6"/>
    <w:rsid w:val="00E03912"/>
    <w:rsid w:val="00E03E83"/>
    <w:rsid w:val="00E04748"/>
    <w:rsid w:val="00E057BF"/>
    <w:rsid w:val="00E078D9"/>
    <w:rsid w:val="00E07B26"/>
    <w:rsid w:val="00E10293"/>
    <w:rsid w:val="00E103A0"/>
    <w:rsid w:val="00E13E60"/>
    <w:rsid w:val="00E155B2"/>
    <w:rsid w:val="00E15627"/>
    <w:rsid w:val="00E164B3"/>
    <w:rsid w:val="00E16910"/>
    <w:rsid w:val="00E16C00"/>
    <w:rsid w:val="00E17207"/>
    <w:rsid w:val="00E222D3"/>
    <w:rsid w:val="00E235DA"/>
    <w:rsid w:val="00E239E2"/>
    <w:rsid w:val="00E24E09"/>
    <w:rsid w:val="00E26E76"/>
    <w:rsid w:val="00E27234"/>
    <w:rsid w:val="00E2758B"/>
    <w:rsid w:val="00E32657"/>
    <w:rsid w:val="00E332A2"/>
    <w:rsid w:val="00E3347F"/>
    <w:rsid w:val="00E34761"/>
    <w:rsid w:val="00E3495C"/>
    <w:rsid w:val="00E42ABE"/>
    <w:rsid w:val="00E42BDB"/>
    <w:rsid w:val="00E45741"/>
    <w:rsid w:val="00E50A4A"/>
    <w:rsid w:val="00E521B1"/>
    <w:rsid w:val="00E53C72"/>
    <w:rsid w:val="00E55199"/>
    <w:rsid w:val="00E5674A"/>
    <w:rsid w:val="00E5726D"/>
    <w:rsid w:val="00E574D7"/>
    <w:rsid w:val="00E57EEB"/>
    <w:rsid w:val="00E613D4"/>
    <w:rsid w:val="00E61979"/>
    <w:rsid w:val="00E62D94"/>
    <w:rsid w:val="00E64F37"/>
    <w:rsid w:val="00E65091"/>
    <w:rsid w:val="00E65E54"/>
    <w:rsid w:val="00E661C7"/>
    <w:rsid w:val="00E70948"/>
    <w:rsid w:val="00E74E41"/>
    <w:rsid w:val="00E753E6"/>
    <w:rsid w:val="00E80155"/>
    <w:rsid w:val="00E8134B"/>
    <w:rsid w:val="00E81E0D"/>
    <w:rsid w:val="00E81F28"/>
    <w:rsid w:val="00E848C0"/>
    <w:rsid w:val="00E854B4"/>
    <w:rsid w:val="00E8698F"/>
    <w:rsid w:val="00E90B5E"/>
    <w:rsid w:val="00E91B96"/>
    <w:rsid w:val="00E92C7B"/>
    <w:rsid w:val="00E935DA"/>
    <w:rsid w:val="00E93D1E"/>
    <w:rsid w:val="00E941A1"/>
    <w:rsid w:val="00E95CE3"/>
    <w:rsid w:val="00E973F7"/>
    <w:rsid w:val="00EA0856"/>
    <w:rsid w:val="00EA158A"/>
    <w:rsid w:val="00EA1AF7"/>
    <w:rsid w:val="00EA23DA"/>
    <w:rsid w:val="00EA252F"/>
    <w:rsid w:val="00EA2825"/>
    <w:rsid w:val="00EA2EF9"/>
    <w:rsid w:val="00EA5994"/>
    <w:rsid w:val="00EA6518"/>
    <w:rsid w:val="00EA71A2"/>
    <w:rsid w:val="00EA7466"/>
    <w:rsid w:val="00EA787D"/>
    <w:rsid w:val="00EA7EDE"/>
    <w:rsid w:val="00EB0B63"/>
    <w:rsid w:val="00EB1936"/>
    <w:rsid w:val="00EB3545"/>
    <w:rsid w:val="00EB37BE"/>
    <w:rsid w:val="00EB443D"/>
    <w:rsid w:val="00EB5088"/>
    <w:rsid w:val="00EB6A78"/>
    <w:rsid w:val="00EC2726"/>
    <w:rsid w:val="00EC7978"/>
    <w:rsid w:val="00ED1644"/>
    <w:rsid w:val="00ED17E0"/>
    <w:rsid w:val="00ED1D14"/>
    <w:rsid w:val="00ED2593"/>
    <w:rsid w:val="00ED30BE"/>
    <w:rsid w:val="00ED7D55"/>
    <w:rsid w:val="00ED7D9C"/>
    <w:rsid w:val="00EE31A2"/>
    <w:rsid w:val="00EE589B"/>
    <w:rsid w:val="00EE5B14"/>
    <w:rsid w:val="00EF0069"/>
    <w:rsid w:val="00EF0F4F"/>
    <w:rsid w:val="00EF15C9"/>
    <w:rsid w:val="00EF2539"/>
    <w:rsid w:val="00EF44A0"/>
    <w:rsid w:val="00EF4580"/>
    <w:rsid w:val="00EF4FED"/>
    <w:rsid w:val="00EF5F45"/>
    <w:rsid w:val="00EF6843"/>
    <w:rsid w:val="00EF6FB3"/>
    <w:rsid w:val="00EF7E43"/>
    <w:rsid w:val="00F007C6"/>
    <w:rsid w:val="00F0172E"/>
    <w:rsid w:val="00F03AB0"/>
    <w:rsid w:val="00F04758"/>
    <w:rsid w:val="00F050BD"/>
    <w:rsid w:val="00F05657"/>
    <w:rsid w:val="00F05AB0"/>
    <w:rsid w:val="00F1236E"/>
    <w:rsid w:val="00F12A1F"/>
    <w:rsid w:val="00F14EDD"/>
    <w:rsid w:val="00F1559A"/>
    <w:rsid w:val="00F1796A"/>
    <w:rsid w:val="00F17ED6"/>
    <w:rsid w:val="00F20676"/>
    <w:rsid w:val="00F209E2"/>
    <w:rsid w:val="00F21E04"/>
    <w:rsid w:val="00F22858"/>
    <w:rsid w:val="00F22B24"/>
    <w:rsid w:val="00F23BE0"/>
    <w:rsid w:val="00F25578"/>
    <w:rsid w:val="00F258E5"/>
    <w:rsid w:val="00F25B9C"/>
    <w:rsid w:val="00F2675A"/>
    <w:rsid w:val="00F26CC6"/>
    <w:rsid w:val="00F26D5C"/>
    <w:rsid w:val="00F300BC"/>
    <w:rsid w:val="00F31983"/>
    <w:rsid w:val="00F3263C"/>
    <w:rsid w:val="00F3334E"/>
    <w:rsid w:val="00F34D6A"/>
    <w:rsid w:val="00F35924"/>
    <w:rsid w:val="00F36CCB"/>
    <w:rsid w:val="00F374E5"/>
    <w:rsid w:val="00F37B93"/>
    <w:rsid w:val="00F37BAD"/>
    <w:rsid w:val="00F37ECA"/>
    <w:rsid w:val="00F40A1C"/>
    <w:rsid w:val="00F43AF2"/>
    <w:rsid w:val="00F44C51"/>
    <w:rsid w:val="00F45216"/>
    <w:rsid w:val="00F5007E"/>
    <w:rsid w:val="00F50EC4"/>
    <w:rsid w:val="00F52232"/>
    <w:rsid w:val="00F52DC2"/>
    <w:rsid w:val="00F550CF"/>
    <w:rsid w:val="00F553D2"/>
    <w:rsid w:val="00F57A6D"/>
    <w:rsid w:val="00F62F19"/>
    <w:rsid w:val="00F638CC"/>
    <w:rsid w:val="00F639C3"/>
    <w:rsid w:val="00F64C9E"/>
    <w:rsid w:val="00F64CC1"/>
    <w:rsid w:val="00F6575A"/>
    <w:rsid w:val="00F66BB5"/>
    <w:rsid w:val="00F71600"/>
    <w:rsid w:val="00F72317"/>
    <w:rsid w:val="00F73DC1"/>
    <w:rsid w:val="00F744F5"/>
    <w:rsid w:val="00F7499A"/>
    <w:rsid w:val="00F7586D"/>
    <w:rsid w:val="00F75BB8"/>
    <w:rsid w:val="00F766F1"/>
    <w:rsid w:val="00F7782B"/>
    <w:rsid w:val="00F80475"/>
    <w:rsid w:val="00F81390"/>
    <w:rsid w:val="00F814FE"/>
    <w:rsid w:val="00F81F7A"/>
    <w:rsid w:val="00F8247A"/>
    <w:rsid w:val="00F82E5C"/>
    <w:rsid w:val="00F83F58"/>
    <w:rsid w:val="00F85DD0"/>
    <w:rsid w:val="00F87CEA"/>
    <w:rsid w:val="00F90937"/>
    <w:rsid w:val="00F917FC"/>
    <w:rsid w:val="00F92F97"/>
    <w:rsid w:val="00F956F9"/>
    <w:rsid w:val="00F9629A"/>
    <w:rsid w:val="00F96DAD"/>
    <w:rsid w:val="00F97E98"/>
    <w:rsid w:val="00F97EFC"/>
    <w:rsid w:val="00FA0456"/>
    <w:rsid w:val="00FA0C7C"/>
    <w:rsid w:val="00FA0F7F"/>
    <w:rsid w:val="00FA1BDD"/>
    <w:rsid w:val="00FA305C"/>
    <w:rsid w:val="00FA3625"/>
    <w:rsid w:val="00FA3C24"/>
    <w:rsid w:val="00FA462E"/>
    <w:rsid w:val="00FA4DD5"/>
    <w:rsid w:val="00FA5883"/>
    <w:rsid w:val="00FA6055"/>
    <w:rsid w:val="00FA6BB9"/>
    <w:rsid w:val="00FA6CF4"/>
    <w:rsid w:val="00FB0B39"/>
    <w:rsid w:val="00FB1108"/>
    <w:rsid w:val="00FB322F"/>
    <w:rsid w:val="00FB37E1"/>
    <w:rsid w:val="00FB442F"/>
    <w:rsid w:val="00FB4B5B"/>
    <w:rsid w:val="00FB644E"/>
    <w:rsid w:val="00FB6742"/>
    <w:rsid w:val="00FB6867"/>
    <w:rsid w:val="00FC118C"/>
    <w:rsid w:val="00FC1929"/>
    <w:rsid w:val="00FC31AA"/>
    <w:rsid w:val="00FC5B46"/>
    <w:rsid w:val="00FC64A3"/>
    <w:rsid w:val="00FC7A6F"/>
    <w:rsid w:val="00FC7C33"/>
    <w:rsid w:val="00FD1D4F"/>
    <w:rsid w:val="00FD24BF"/>
    <w:rsid w:val="00FD3B6E"/>
    <w:rsid w:val="00FD3D2F"/>
    <w:rsid w:val="00FD44F0"/>
    <w:rsid w:val="00FD57EB"/>
    <w:rsid w:val="00FD6D8E"/>
    <w:rsid w:val="00FE0663"/>
    <w:rsid w:val="00FE0E94"/>
    <w:rsid w:val="00FE291B"/>
    <w:rsid w:val="00FE341B"/>
    <w:rsid w:val="00FE369C"/>
    <w:rsid w:val="00FE3CD9"/>
    <w:rsid w:val="00FE4C22"/>
    <w:rsid w:val="00FF00BD"/>
    <w:rsid w:val="00FF0B13"/>
    <w:rsid w:val="00FF1ED4"/>
    <w:rsid w:val="00FF2718"/>
    <w:rsid w:val="00FF2801"/>
    <w:rsid w:val="00FF3281"/>
    <w:rsid w:val="00FF5DF3"/>
    <w:rsid w:val="00FF6CD8"/>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Bullet1,Section 5,Bullet 1,Bullet List,Table Legend,Styl moj,Akapit z listą11,L,Bullet Point"/>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1 Char,Section 5 Char,Bullet 1 Char,L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ellengitternetz 9pt,PBAC table,HTAtableplain,new style,Table Gridbeth,CMA Table Templat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H18,Annotationmark"/>
    <w:basedOn w:val="DefaultParagraphFont"/>
    <w:uiPriority w:val="99"/>
    <w:unhideWhenUsed/>
    <w:qFormat/>
    <w:rsid w:val="008147AE"/>
    <w:rPr>
      <w:sz w:val="16"/>
      <w:szCs w:val="16"/>
    </w:rPr>
  </w:style>
  <w:style w:type="paragraph" w:styleId="CommentText">
    <w:name w:val="annotation text"/>
    <w:aliases w:val="- H19"/>
    <w:basedOn w:val="Normal"/>
    <w:link w:val="CommentTextChar"/>
    <w:uiPriority w:val="99"/>
    <w:unhideWhenUsed/>
    <w:qFormat/>
    <w:rsid w:val="008147AE"/>
    <w:rPr>
      <w:sz w:val="20"/>
      <w:szCs w:val="20"/>
    </w:rPr>
  </w:style>
  <w:style w:type="character" w:customStyle="1" w:styleId="CommentTextChar">
    <w:name w:val="Comment Text Char"/>
    <w:aliases w:val="- H19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aliases w:val="Caption PRIMA,Caption SYNEVi,Bayer Caption,IB Caption,Medical Caption,Bayer,Bayer Caption1,IB Caption1,Medical Caption1,Bayer Caption2,IB Caption2,Medical Caption2,Bayer Caption3,IB Caption3,Medical Caption3,Bayer Caption4,IB Caption4,Bayer1"/>
    <w:basedOn w:val="Normal"/>
    <w:next w:val="Normal"/>
    <w:link w:val="CaptionChar"/>
    <w:unhideWhenUsed/>
    <w:qFormat/>
    <w:rsid w:val="00FA6BB9"/>
    <w:pPr>
      <w:spacing w:after="200"/>
    </w:pPr>
    <w:rPr>
      <w:i/>
      <w:iCs/>
      <w:color w:val="1F497D" w:themeColor="text2"/>
      <w:sz w:val="18"/>
      <w:szCs w:val="18"/>
    </w:rPr>
  </w:style>
  <w:style w:type="paragraph" w:customStyle="1" w:styleId="Tableheading">
    <w:name w:val="Table heading"/>
    <w:basedOn w:val="Normal"/>
    <w:link w:val="TableheadingChar"/>
    <w:qFormat/>
    <w:rsid w:val="005950AB"/>
    <w:pPr>
      <w:keepNext/>
      <w:spacing w:line="276" w:lineRule="auto"/>
      <w:jc w:val="center"/>
    </w:pPr>
    <w:rPr>
      <w:rFonts w:asciiTheme="minorHAnsi" w:eastAsiaTheme="minorHAnsi" w:hAnsiTheme="minorHAnsi" w:cstheme="minorBidi"/>
      <w:b/>
      <w:sz w:val="20"/>
      <w:szCs w:val="20"/>
      <w:lang w:eastAsia="en-US"/>
    </w:rPr>
  </w:style>
  <w:style w:type="paragraph" w:customStyle="1" w:styleId="Tabletext0">
    <w:name w:val="Table text"/>
    <w:basedOn w:val="Normal"/>
    <w:link w:val="TabletextChar0"/>
    <w:qFormat/>
    <w:rsid w:val="005950AB"/>
    <w:pPr>
      <w:keepNext/>
      <w:spacing w:line="276" w:lineRule="auto"/>
    </w:pPr>
    <w:rPr>
      <w:rFonts w:asciiTheme="minorHAnsi" w:eastAsiaTheme="minorHAnsi" w:hAnsiTheme="minorHAnsi" w:cstheme="minorBidi"/>
      <w:sz w:val="20"/>
      <w:szCs w:val="20"/>
      <w:lang w:eastAsia="en-US"/>
    </w:rPr>
  </w:style>
  <w:style w:type="paragraph" w:customStyle="1" w:styleId="Tablecentre">
    <w:name w:val="Table centre"/>
    <w:basedOn w:val="Tabletext0"/>
    <w:qFormat/>
    <w:rsid w:val="005950AB"/>
    <w:pPr>
      <w:jc w:val="center"/>
    </w:pPr>
  </w:style>
  <w:style w:type="character" w:customStyle="1" w:styleId="TabletextChar0">
    <w:name w:val="Table text Char"/>
    <w:basedOn w:val="DefaultParagraphFont"/>
    <w:link w:val="Tabletext0"/>
    <w:rsid w:val="005950AB"/>
    <w:rPr>
      <w:rFonts w:asciiTheme="minorHAnsi" w:eastAsiaTheme="minorHAnsi" w:hAnsiTheme="minorHAnsi" w:cstheme="minorBidi"/>
      <w:lang w:eastAsia="en-US"/>
    </w:rPr>
  </w:style>
  <w:style w:type="character" w:customStyle="1" w:styleId="TableheadingChar">
    <w:name w:val="Table heading Char"/>
    <w:link w:val="Tableheading"/>
    <w:rsid w:val="005950AB"/>
    <w:rPr>
      <w:rFonts w:asciiTheme="minorHAnsi" w:eastAsiaTheme="minorHAnsi" w:hAnsiTheme="minorHAnsi" w:cstheme="minorBidi"/>
      <w:b/>
      <w:lang w:eastAsia="en-US"/>
    </w:rPr>
  </w:style>
  <w:style w:type="numbering" w:customStyle="1" w:styleId="SectionBii">
    <w:name w:val="Section Bii"/>
    <w:uiPriority w:val="99"/>
    <w:rsid w:val="006C1A93"/>
    <w:pPr>
      <w:numPr>
        <w:numId w:val="16"/>
      </w:numPr>
    </w:pPr>
  </w:style>
  <w:style w:type="character" w:customStyle="1" w:styleId="CaptionChar">
    <w:name w:val="Caption Char"/>
    <w:aliases w:val="Caption PRIMA Char,Caption SYNEVi Char,Bayer Caption Char,IB Caption Char,Medical Caption Char,Bayer Char,Bayer Caption1 Char,IB Caption1 Char,Medical Caption1 Char,Bayer Caption2 Char,IB Caption2 Char,Medical Caption2 Char,IB Caption3 Char"/>
    <w:basedOn w:val="DefaultParagraphFont"/>
    <w:link w:val="Caption"/>
    <w:rsid w:val="006C1A93"/>
    <w:rPr>
      <w:rFonts w:ascii="Calibri" w:hAnsi="Calibri"/>
      <w:i/>
      <w:iCs/>
      <w:color w:val="1F497D" w:themeColor="text2"/>
      <w:sz w:val="18"/>
      <w:szCs w:val="18"/>
    </w:rPr>
  </w:style>
  <w:style w:type="paragraph" w:customStyle="1" w:styleId="SyneviNormal">
    <w:name w:val="Synevi Normal"/>
    <w:basedOn w:val="Normal"/>
    <w:link w:val="SyneviNormalChar"/>
    <w:qFormat/>
    <w:rsid w:val="00C92F53"/>
    <w:pPr>
      <w:spacing w:line="360" w:lineRule="auto"/>
    </w:pPr>
    <w:rPr>
      <w:rFonts w:asciiTheme="minorHAnsi" w:hAnsiTheme="minorHAnsi"/>
      <w:sz w:val="22"/>
      <w:szCs w:val="20"/>
      <w:lang w:val="en-US" w:eastAsia="en-US"/>
    </w:rPr>
  </w:style>
  <w:style w:type="character" w:customStyle="1" w:styleId="SyneviNormalChar">
    <w:name w:val="Synevi Normal Char"/>
    <w:basedOn w:val="DefaultParagraphFont"/>
    <w:link w:val="SyneviNormal"/>
    <w:rsid w:val="00C92F53"/>
    <w:rPr>
      <w:rFonts w:asciiTheme="minorHAnsi" w:hAnsiTheme="minorHAnsi"/>
      <w:sz w:val="22"/>
      <w:lang w:val="en-US" w:eastAsia="en-US"/>
    </w:rPr>
  </w:style>
  <w:style w:type="paragraph" w:customStyle="1" w:styleId="Tablefooter">
    <w:name w:val="Table footer"/>
    <w:basedOn w:val="Normal"/>
    <w:qFormat/>
    <w:rsid w:val="00C92F53"/>
    <w:rPr>
      <w:rFonts w:eastAsiaTheme="minorHAnsi" w:cstheme="minorBidi"/>
      <w:sz w:val="18"/>
      <w:szCs w:val="18"/>
      <w:lang w:eastAsia="en-US"/>
    </w:rPr>
  </w:style>
  <w:style w:type="paragraph" w:customStyle="1" w:styleId="Bull1table">
    <w:name w:val="Bull1 table"/>
    <w:basedOn w:val="Normal"/>
    <w:qFormat/>
    <w:rsid w:val="00C92F53"/>
    <w:pPr>
      <w:numPr>
        <w:numId w:val="24"/>
      </w:numPr>
      <w:spacing w:line="276" w:lineRule="auto"/>
      <w:contextualSpacing/>
    </w:pPr>
    <w:rPr>
      <w:rFonts w:asciiTheme="minorHAnsi" w:eastAsiaTheme="minorHAnsi" w:hAnsiTheme="minorHAnsi" w:cstheme="minorBidi"/>
      <w:sz w:val="20"/>
      <w:szCs w:val="20"/>
      <w:lang w:eastAsia="en-US"/>
    </w:rPr>
  </w:style>
  <w:style w:type="paragraph" w:customStyle="1" w:styleId="Bull2table">
    <w:name w:val="Bull2 table"/>
    <w:basedOn w:val="Bull1table"/>
    <w:qFormat/>
    <w:rsid w:val="00C92F53"/>
    <w:pPr>
      <w:numPr>
        <w:ilvl w:val="1"/>
      </w:numPr>
    </w:pPr>
  </w:style>
  <w:style w:type="paragraph" w:customStyle="1" w:styleId="Bull3table">
    <w:name w:val="Bull3 table"/>
    <w:basedOn w:val="Bull2table"/>
    <w:qFormat/>
    <w:rsid w:val="00C92F53"/>
    <w:pPr>
      <w:numPr>
        <w:ilvl w:val="2"/>
      </w:numPr>
    </w:pPr>
  </w:style>
  <w:style w:type="paragraph" w:customStyle="1" w:styleId="Bull4table">
    <w:name w:val="Bull4 table"/>
    <w:basedOn w:val="Bull3table"/>
    <w:qFormat/>
    <w:rsid w:val="00C92F53"/>
    <w:pPr>
      <w:numPr>
        <w:ilvl w:val="3"/>
      </w:numPr>
    </w:pPr>
  </w:style>
  <w:style w:type="paragraph" w:customStyle="1" w:styleId="Btable">
    <w:name w:val="B table"/>
    <w:basedOn w:val="Tabletext0"/>
    <w:qFormat/>
    <w:rsid w:val="00A940F6"/>
    <w:rPr>
      <w:b/>
      <w:bCs/>
    </w:rPr>
  </w:style>
  <w:style w:type="paragraph" w:customStyle="1" w:styleId="3-SubsectionHeading">
    <w:name w:val="3-Subsection Heading"/>
    <w:basedOn w:val="Heading2"/>
    <w:next w:val="Normal"/>
    <w:link w:val="3-SubsectionHeadingChar"/>
    <w:qFormat/>
    <w:rsid w:val="00DE19F7"/>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DE19F7"/>
    <w:rPr>
      <w:rFonts w:asciiTheme="minorHAnsi" w:eastAsiaTheme="majorEastAsia" w:hAnsiTheme="minorHAnsi" w:cstheme="majorBidi"/>
      <w:b/>
      <w:i/>
      <w:color w:val="365F91" w:themeColor="accent1" w:themeShade="BF"/>
      <w:spacing w:val="5"/>
      <w:kern w:val="28"/>
      <w:sz w:val="28"/>
      <w:szCs w:val="36"/>
      <w:lang w:eastAsia="en-US"/>
    </w:rPr>
  </w:style>
  <w:style w:type="paragraph" w:styleId="NoSpacing">
    <w:name w:val="No Spacing"/>
    <w:uiPriority w:val="1"/>
    <w:qFormat/>
    <w:rsid w:val="00DF5A23"/>
    <w:rPr>
      <w:sz w:val="24"/>
      <w:szCs w:val="24"/>
      <w:lang w:eastAsia="en-US"/>
    </w:rPr>
  </w:style>
  <w:style w:type="paragraph" w:customStyle="1" w:styleId="PBACtext">
    <w:name w:val="PBAC text"/>
    <w:basedOn w:val="Normal"/>
    <w:qFormat/>
    <w:rsid w:val="002B34A3"/>
    <w:pPr>
      <w:keepNext/>
      <w:spacing w:line="276" w:lineRule="auto"/>
    </w:pPr>
    <w:rPr>
      <w:rFonts w:ascii="Arial Narrow" w:eastAsiaTheme="minorHAnsi" w:hAnsi="Arial Narrow" w:cstheme="minorBidi"/>
      <w:sz w:val="18"/>
      <w:szCs w:val="18"/>
      <w:lang w:eastAsia="en-US"/>
    </w:rPr>
  </w:style>
  <w:style w:type="paragraph" w:customStyle="1" w:styleId="PBACbold">
    <w:name w:val="PBAC bold"/>
    <w:basedOn w:val="Normal"/>
    <w:qFormat/>
    <w:rsid w:val="002B34A3"/>
    <w:pPr>
      <w:jc w:val="left"/>
    </w:pPr>
    <w:rPr>
      <w:rFonts w:ascii="Arial Narrow" w:eastAsiaTheme="minorHAnsi" w:hAnsi="Arial Narrow" w:cs="Arial"/>
      <w:b/>
      <w:sz w:val="18"/>
      <w:szCs w:val="18"/>
      <w:lang w:eastAsia="en-US"/>
    </w:rPr>
  </w:style>
  <w:style w:type="paragraph" w:styleId="NormalWeb">
    <w:name w:val="Normal (Web)"/>
    <w:basedOn w:val="Normal"/>
    <w:uiPriority w:val="99"/>
    <w:unhideWhenUsed/>
    <w:rsid w:val="004837E1"/>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604771097">
      <w:bodyDiv w:val="1"/>
      <w:marLeft w:val="0"/>
      <w:marRight w:val="0"/>
      <w:marTop w:val="0"/>
      <w:marBottom w:val="0"/>
      <w:divBdr>
        <w:top w:val="none" w:sz="0" w:space="0" w:color="auto"/>
        <w:left w:val="none" w:sz="0" w:space="0" w:color="auto"/>
        <w:bottom w:val="none" w:sz="0" w:space="0" w:color="auto"/>
        <w:right w:val="none" w:sz="0" w:space="0" w:color="auto"/>
      </w:divBdr>
    </w:div>
    <w:div w:id="74187689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61639139">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31717157">
      <w:bodyDiv w:val="1"/>
      <w:marLeft w:val="0"/>
      <w:marRight w:val="0"/>
      <w:marTop w:val="0"/>
      <w:marBottom w:val="0"/>
      <w:divBdr>
        <w:top w:val="none" w:sz="0" w:space="0" w:color="auto"/>
        <w:left w:val="none" w:sz="0" w:space="0" w:color="auto"/>
        <w:bottom w:val="none" w:sz="0" w:space="0" w:color="auto"/>
        <w:right w:val="none" w:sz="0" w:space="0" w:color="auto"/>
      </w:divBdr>
    </w:div>
    <w:div w:id="1461454460">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3454814">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14708990">
      <w:bodyDiv w:val="1"/>
      <w:marLeft w:val="0"/>
      <w:marRight w:val="0"/>
      <w:marTop w:val="0"/>
      <w:marBottom w:val="0"/>
      <w:divBdr>
        <w:top w:val="none" w:sz="0" w:space="0" w:color="auto"/>
        <w:left w:val="none" w:sz="0" w:space="0" w:color="auto"/>
        <w:bottom w:val="none" w:sz="0" w:space="0" w:color="auto"/>
        <w:right w:val="none" w:sz="0" w:space="0" w:color="auto"/>
      </w:divBdr>
    </w:div>
    <w:div w:id="189211241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servicesaustralia.gov.au/hpo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servicesaustralia.gov.au/hpo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servicesaustralia.gov.au"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ervicesaustralia.gov.au/hpo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servicesaustralia.gov.au" TargetMode="Externa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servicesaustralia.gov.au/hpos" TargetMode="External"/><Relationship Id="rId27" Type="http://schemas.openxmlformats.org/officeDocument/2006/relationships/header" Target="header8.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7E21-91A4-4321-A739-A77417B5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15938</Words>
  <Characters>87672</Characters>
  <Application>Microsoft Office Word</Application>
  <DocSecurity>0</DocSecurity>
  <Lines>730</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2023-02-27T22:53:00Z</dcterms:created>
  <dcterms:modified xsi:type="dcterms:W3CDTF">2023-02-27T22:53:00Z</dcterms:modified>
</cp:coreProperties>
</file>