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1CA8" w14:textId="6D5D5B9A" w:rsidR="00BF6C94" w:rsidRPr="006A0081" w:rsidRDefault="00A3175E" w:rsidP="006A0081">
      <w:pPr>
        <w:pStyle w:val="1-MainHeading"/>
      </w:pPr>
      <w:bookmarkStart w:id="0" w:name="_Toc113903619"/>
      <w:r>
        <w:t>5.01</w:t>
      </w:r>
      <w:r w:rsidR="00163F66">
        <w:tab/>
      </w:r>
      <w:r>
        <w:t>AV</w:t>
      </w:r>
      <w:r w:rsidR="00157B0C">
        <w:t>A</w:t>
      </w:r>
      <w:r>
        <w:t>TROMBOPAG</w:t>
      </w:r>
      <w:r w:rsidR="00163F66">
        <w:t>,</w:t>
      </w:r>
      <w:r w:rsidR="00163F66">
        <w:br/>
      </w:r>
      <w:r>
        <w:t>Tablet 20</w:t>
      </w:r>
      <w:r w:rsidR="003F00CB">
        <w:t xml:space="preserve"> </w:t>
      </w:r>
      <w:r>
        <w:t>mg</w:t>
      </w:r>
      <w:r w:rsidR="00163F66">
        <w:t>,</w:t>
      </w:r>
      <w:r w:rsidR="00163F66">
        <w:br/>
      </w:r>
      <w:r>
        <w:t>Dopt</w:t>
      </w:r>
      <w:r w:rsidR="00F913DB">
        <w:t>e</w:t>
      </w:r>
      <w:r>
        <w:t>let</w:t>
      </w:r>
      <w:r w:rsidR="00B60939" w:rsidRPr="004A6040">
        <w:rPr>
          <w:vertAlign w:val="superscript"/>
        </w:rPr>
        <w:t>®</w:t>
      </w:r>
      <w:r w:rsidR="004A6040" w:rsidRPr="004A6040">
        <w:t>,</w:t>
      </w:r>
      <w:r w:rsidR="004A6040" w:rsidRPr="004A6040">
        <w:br/>
      </w:r>
      <w:r w:rsidR="00433044" w:rsidRPr="004A6040">
        <w:t>S</w:t>
      </w:r>
      <w:r>
        <w:t>wedish Orphan Biovitrum Pty Ltd</w:t>
      </w:r>
      <w:r w:rsidR="00B60939" w:rsidRPr="004A6040">
        <w:t>.</w:t>
      </w:r>
      <w:bookmarkEnd w:id="0"/>
      <w:r w:rsidR="00F73E08">
        <w:t xml:space="preserve"> </w:t>
      </w:r>
    </w:p>
    <w:p w14:paraId="11C00795" w14:textId="3DFB6D23" w:rsidR="00B50DB8" w:rsidRPr="005548AF" w:rsidRDefault="00B50DB8" w:rsidP="004A6040">
      <w:pPr>
        <w:pStyle w:val="2-SectionHeading"/>
      </w:pPr>
      <w:bookmarkStart w:id="1" w:name="_Toc113903621"/>
      <w:r w:rsidRPr="005548AF">
        <w:t xml:space="preserve">Purpose of </w:t>
      </w:r>
      <w:r w:rsidR="00CD7193" w:rsidRPr="005548AF">
        <w:t>s</w:t>
      </w:r>
      <w:r w:rsidR="00BB3A45" w:rsidRPr="005548AF">
        <w:t>ubmission</w:t>
      </w:r>
      <w:bookmarkEnd w:id="1"/>
    </w:p>
    <w:p w14:paraId="0398FA02" w14:textId="77777777" w:rsidR="00027C6E" w:rsidRDefault="00580D6B" w:rsidP="00027C6E">
      <w:pPr>
        <w:pStyle w:val="3-BodyText"/>
      </w:pPr>
      <w:r w:rsidRPr="00580D6B">
        <w:t xml:space="preserve">The Category 2 submission requested Section 100 Highly Specialised Drugs (S100 HSD) Authority Required (Written) listing for avatrombopag for the treatment of severe thrombocytopenia in patients with chronic immune (idiopathic) thrombocytopenia purpura (ITP) who have had an inadequate response or are intolerant to corticosteroids and intravenous immunoglobulin (IVIg). </w:t>
      </w:r>
    </w:p>
    <w:p w14:paraId="531323B6" w14:textId="345399B2" w:rsidR="00231710" w:rsidRDefault="00027C6E" w:rsidP="00231710">
      <w:pPr>
        <w:pStyle w:val="3-BodyText"/>
      </w:pPr>
      <w:r w:rsidRPr="005750C5">
        <w:t>Listing was requested based on a cost-minimisation</w:t>
      </w:r>
      <w:r>
        <w:t xml:space="preserve"> approach (CMA)</w:t>
      </w:r>
      <w:r w:rsidRPr="005750C5">
        <w:t xml:space="preserve"> versus</w:t>
      </w:r>
      <w:r>
        <w:t xml:space="preserve"> eltrombopag; a comparison with romiplostim was presented as a secondary comparator. </w:t>
      </w:r>
      <w:r w:rsidR="00650E9F" w:rsidRPr="00BA76D3">
        <w:rPr>
          <w:rFonts w:cstheme="minorHAnsi"/>
        </w:rPr>
        <w:fldChar w:fldCharType="begin" w:fldLock="1"/>
      </w:r>
      <w:r w:rsidR="00650E9F" w:rsidRPr="00BA76D3">
        <w:rPr>
          <w:rFonts w:cstheme="minorHAnsi"/>
        </w:rPr>
        <w:instrText xml:space="preserve"> REF _Ref113535267 \h </w:instrText>
      </w:r>
      <w:r w:rsidR="00BA76D3" w:rsidRPr="00BA76D3">
        <w:rPr>
          <w:rFonts w:cstheme="minorHAnsi"/>
        </w:rPr>
        <w:instrText xml:space="preserve"> \* MERGEFORMAT </w:instrText>
      </w:r>
      <w:r w:rsidR="00650E9F" w:rsidRPr="00BA76D3">
        <w:rPr>
          <w:rFonts w:cstheme="minorHAnsi"/>
        </w:rPr>
      </w:r>
      <w:r w:rsidR="00650E9F" w:rsidRPr="00BA76D3">
        <w:rPr>
          <w:rFonts w:cstheme="minorHAnsi"/>
        </w:rPr>
        <w:fldChar w:fldCharType="separate"/>
      </w:r>
      <w:r w:rsidR="0080246B" w:rsidRPr="0080246B">
        <w:rPr>
          <w:rFonts w:cstheme="minorHAnsi"/>
          <w:szCs w:val="20"/>
        </w:rPr>
        <w:t xml:space="preserve">Table </w:t>
      </w:r>
      <w:r w:rsidR="0080246B" w:rsidRPr="0080246B">
        <w:rPr>
          <w:rStyle w:val="TableFigureHeadingChar"/>
          <w:rFonts w:asciiTheme="minorHAnsi" w:hAnsiTheme="minorHAnsi" w:cstheme="minorHAnsi"/>
          <w:b w:val="0"/>
          <w:bCs w:val="0"/>
          <w:noProof/>
          <w:szCs w:val="20"/>
        </w:rPr>
        <w:t>1</w:t>
      </w:r>
      <w:r w:rsidR="00650E9F" w:rsidRPr="00BA76D3">
        <w:rPr>
          <w:rFonts w:cstheme="minorHAnsi"/>
        </w:rPr>
        <w:fldChar w:fldCharType="end"/>
      </w:r>
      <w:r w:rsidR="00650E9F" w:rsidRPr="00BA76D3">
        <w:rPr>
          <w:rFonts w:cstheme="minorHAnsi"/>
        </w:rPr>
        <w:t xml:space="preserve"> </w:t>
      </w:r>
      <w:r>
        <w:t>summarises the components of the overall clinical claim addressed by the submission.</w:t>
      </w:r>
    </w:p>
    <w:p w14:paraId="00DDDA4A" w14:textId="4065D44C" w:rsidR="00231710" w:rsidRPr="00DB610E" w:rsidRDefault="00231710" w:rsidP="00B21B5C">
      <w:pPr>
        <w:pStyle w:val="TableFigureHeading"/>
        <w:keepLines/>
        <w:rPr>
          <w:szCs w:val="20"/>
        </w:rPr>
      </w:pPr>
      <w:bookmarkStart w:id="2" w:name="_Ref113535267"/>
      <w:r w:rsidRPr="00DB610E">
        <w:rPr>
          <w:szCs w:val="20"/>
        </w:rPr>
        <w:t xml:space="preserve">Table </w:t>
      </w:r>
      <w:r w:rsidRPr="00371ACF">
        <w:rPr>
          <w:rStyle w:val="TableFigureHeadingChar"/>
          <w:b/>
          <w:bCs/>
          <w:szCs w:val="20"/>
        </w:rPr>
        <w:fldChar w:fldCharType="begin" w:fldLock="1"/>
      </w:r>
      <w:r w:rsidRPr="00371ACF">
        <w:rPr>
          <w:rStyle w:val="TableFigureHeadingChar"/>
          <w:b/>
          <w:bCs/>
          <w:szCs w:val="20"/>
        </w:rPr>
        <w:instrText xml:space="preserve"> SEQ Table \* ARABIC </w:instrText>
      </w:r>
      <w:r w:rsidRPr="00371ACF">
        <w:rPr>
          <w:rStyle w:val="TableFigureHeadingChar"/>
          <w:b/>
          <w:bCs/>
          <w:szCs w:val="20"/>
        </w:rPr>
        <w:fldChar w:fldCharType="separate"/>
      </w:r>
      <w:r w:rsidR="0080246B">
        <w:rPr>
          <w:rStyle w:val="TableFigureHeadingChar"/>
          <w:b/>
          <w:bCs/>
          <w:noProof/>
          <w:szCs w:val="20"/>
        </w:rPr>
        <w:t>1</w:t>
      </w:r>
      <w:r w:rsidRPr="00371ACF">
        <w:rPr>
          <w:rStyle w:val="TableFigureHeadingChar"/>
          <w:b/>
          <w:bCs/>
          <w:szCs w:val="20"/>
        </w:rPr>
        <w:fldChar w:fldCharType="end"/>
      </w:r>
      <w:bookmarkEnd w:id="2"/>
      <w:r w:rsidRPr="00DB610E">
        <w:rPr>
          <w:szCs w:val="20"/>
        </w:rPr>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231710" w:rsidRPr="00DB610E" w14:paraId="51F6B565" w14:textId="77777777" w:rsidTr="00F913DB">
        <w:trPr>
          <w:cantSplit/>
          <w:tblHeader/>
        </w:trPr>
        <w:tc>
          <w:tcPr>
            <w:tcW w:w="705" w:type="pct"/>
            <w:shd w:val="clear" w:color="auto" w:fill="auto"/>
          </w:tcPr>
          <w:p w14:paraId="5A0BF4F0" w14:textId="77777777" w:rsidR="00231710" w:rsidRPr="00A21C71" w:rsidRDefault="00231710" w:rsidP="00B21B5C">
            <w:pPr>
              <w:keepNext/>
              <w:keepLines/>
              <w:rPr>
                <w:rFonts w:ascii="Arial Narrow" w:hAnsi="Arial Narrow"/>
                <w:b/>
                <w:bCs/>
                <w:sz w:val="20"/>
                <w:szCs w:val="20"/>
              </w:rPr>
            </w:pPr>
            <w:r w:rsidRPr="00A21C71">
              <w:rPr>
                <w:rFonts w:ascii="Arial Narrow" w:hAnsi="Arial Narrow"/>
                <w:b/>
                <w:bCs/>
                <w:sz w:val="20"/>
                <w:szCs w:val="20"/>
              </w:rPr>
              <w:t>Component</w:t>
            </w:r>
          </w:p>
        </w:tc>
        <w:tc>
          <w:tcPr>
            <w:tcW w:w="4295" w:type="pct"/>
            <w:shd w:val="clear" w:color="auto" w:fill="auto"/>
          </w:tcPr>
          <w:p w14:paraId="17C093E7" w14:textId="77777777" w:rsidR="00231710" w:rsidRPr="00A21C71" w:rsidRDefault="00231710" w:rsidP="00B21B5C">
            <w:pPr>
              <w:keepNext/>
              <w:keepLines/>
              <w:rPr>
                <w:rFonts w:ascii="Arial Narrow" w:hAnsi="Arial Narrow"/>
                <w:b/>
                <w:bCs/>
                <w:sz w:val="20"/>
                <w:szCs w:val="20"/>
              </w:rPr>
            </w:pPr>
            <w:r w:rsidRPr="00A21C71">
              <w:rPr>
                <w:rFonts w:ascii="Arial Narrow" w:hAnsi="Arial Narrow"/>
                <w:b/>
                <w:bCs/>
                <w:sz w:val="20"/>
                <w:szCs w:val="20"/>
              </w:rPr>
              <w:t>Description</w:t>
            </w:r>
          </w:p>
        </w:tc>
      </w:tr>
      <w:tr w:rsidR="00231710" w:rsidRPr="00DB610E" w14:paraId="63603576" w14:textId="77777777" w:rsidTr="00F913DB">
        <w:trPr>
          <w:cantSplit/>
        </w:trPr>
        <w:tc>
          <w:tcPr>
            <w:tcW w:w="705" w:type="pct"/>
            <w:shd w:val="clear" w:color="auto" w:fill="auto"/>
          </w:tcPr>
          <w:p w14:paraId="0099D18A" w14:textId="77777777" w:rsidR="00231710" w:rsidRPr="00DB610E" w:rsidRDefault="00231710" w:rsidP="00B21B5C">
            <w:pPr>
              <w:keepNext/>
              <w:keepLines/>
              <w:rPr>
                <w:rFonts w:ascii="Arial Narrow" w:hAnsi="Arial Narrow"/>
                <w:sz w:val="20"/>
                <w:szCs w:val="20"/>
              </w:rPr>
            </w:pPr>
            <w:r w:rsidRPr="00DB610E">
              <w:rPr>
                <w:rFonts w:ascii="Arial Narrow" w:hAnsi="Arial Narrow"/>
                <w:sz w:val="20"/>
                <w:szCs w:val="20"/>
              </w:rPr>
              <w:t>Population</w:t>
            </w:r>
          </w:p>
        </w:tc>
        <w:tc>
          <w:tcPr>
            <w:tcW w:w="4295" w:type="pct"/>
            <w:shd w:val="clear" w:color="auto" w:fill="auto"/>
          </w:tcPr>
          <w:p w14:paraId="2808598D" w14:textId="32D6A9A8" w:rsidR="00231710" w:rsidRPr="00DB610E" w:rsidRDefault="00231710" w:rsidP="00B21B5C">
            <w:pPr>
              <w:keepNext/>
              <w:keepLines/>
              <w:rPr>
                <w:rFonts w:ascii="Arial Narrow" w:hAnsi="Arial Narrow"/>
                <w:sz w:val="20"/>
                <w:szCs w:val="20"/>
              </w:rPr>
            </w:pPr>
            <w:r w:rsidRPr="00DB610E">
              <w:rPr>
                <w:rFonts w:ascii="Arial Narrow" w:hAnsi="Arial Narrow"/>
                <w:sz w:val="20"/>
                <w:szCs w:val="20"/>
              </w:rPr>
              <w:t xml:space="preserve">Adult patients with chronic ITP who have had an inadequate response to or are intolerant to corticosteroids and immunoglobulins. </w:t>
            </w:r>
          </w:p>
        </w:tc>
      </w:tr>
      <w:tr w:rsidR="00231710" w:rsidRPr="00DB610E" w14:paraId="4F32023B" w14:textId="77777777" w:rsidTr="00F913DB">
        <w:trPr>
          <w:cantSplit/>
        </w:trPr>
        <w:tc>
          <w:tcPr>
            <w:tcW w:w="705" w:type="pct"/>
            <w:shd w:val="clear" w:color="auto" w:fill="auto"/>
          </w:tcPr>
          <w:p w14:paraId="7CEFE0E5" w14:textId="77777777" w:rsidR="00231710" w:rsidRPr="00DB610E" w:rsidRDefault="00231710" w:rsidP="00B21B5C">
            <w:pPr>
              <w:keepNext/>
              <w:keepLines/>
              <w:rPr>
                <w:rFonts w:ascii="Arial Narrow" w:hAnsi="Arial Narrow"/>
                <w:sz w:val="20"/>
                <w:szCs w:val="20"/>
              </w:rPr>
            </w:pPr>
            <w:r w:rsidRPr="00DB610E">
              <w:rPr>
                <w:rFonts w:ascii="Arial Narrow" w:hAnsi="Arial Narrow"/>
                <w:sz w:val="20"/>
                <w:szCs w:val="20"/>
              </w:rPr>
              <w:t>Intervention</w:t>
            </w:r>
          </w:p>
        </w:tc>
        <w:tc>
          <w:tcPr>
            <w:tcW w:w="4295" w:type="pct"/>
            <w:shd w:val="clear" w:color="auto" w:fill="auto"/>
          </w:tcPr>
          <w:p w14:paraId="19939E71" w14:textId="63A0D684" w:rsidR="00231710" w:rsidRPr="00DB610E" w:rsidRDefault="00231710" w:rsidP="00B21B5C">
            <w:pPr>
              <w:keepNext/>
              <w:keepLines/>
              <w:rPr>
                <w:rFonts w:ascii="Arial Narrow" w:hAnsi="Arial Narrow"/>
                <w:sz w:val="20"/>
                <w:szCs w:val="20"/>
              </w:rPr>
            </w:pPr>
            <w:r w:rsidRPr="00DB610E">
              <w:rPr>
                <w:rFonts w:ascii="Arial Narrow" w:hAnsi="Arial Narrow"/>
                <w:sz w:val="20"/>
                <w:szCs w:val="20"/>
              </w:rPr>
              <w:t>Avatrom</w:t>
            </w:r>
            <w:r w:rsidR="00167F3A">
              <w:rPr>
                <w:rFonts w:ascii="Arial Narrow" w:hAnsi="Arial Narrow"/>
                <w:sz w:val="20"/>
                <w:szCs w:val="20"/>
              </w:rPr>
              <w:t>b</w:t>
            </w:r>
            <w:r w:rsidRPr="00DB610E">
              <w:rPr>
                <w:rFonts w:ascii="Arial Narrow" w:hAnsi="Arial Narrow"/>
                <w:sz w:val="20"/>
                <w:szCs w:val="20"/>
              </w:rPr>
              <w:t>opag; recommended starting dose 20 mg QD orally. Dose adjustments based on platelet count response, with maintenance dose between 20 mg weekly and 40 mg daily.</w:t>
            </w:r>
          </w:p>
        </w:tc>
      </w:tr>
      <w:tr w:rsidR="00231710" w:rsidRPr="00DB610E" w14:paraId="3934EAEB" w14:textId="77777777" w:rsidTr="00F913DB">
        <w:trPr>
          <w:cantSplit/>
        </w:trPr>
        <w:tc>
          <w:tcPr>
            <w:tcW w:w="705" w:type="pct"/>
            <w:shd w:val="clear" w:color="auto" w:fill="auto"/>
          </w:tcPr>
          <w:p w14:paraId="4C8C7F94" w14:textId="77777777" w:rsidR="00231710" w:rsidRPr="00DB610E" w:rsidRDefault="00231710" w:rsidP="00B21B5C">
            <w:pPr>
              <w:keepNext/>
              <w:keepLines/>
              <w:rPr>
                <w:rFonts w:ascii="Arial Narrow" w:hAnsi="Arial Narrow"/>
                <w:sz w:val="20"/>
                <w:szCs w:val="20"/>
              </w:rPr>
            </w:pPr>
            <w:r w:rsidRPr="00DB610E">
              <w:rPr>
                <w:rFonts w:ascii="Arial Narrow" w:hAnsi="Arial Narrow"/>
                <w:sz w:val="20"/>
                <w:szCs w:val="20"/>
              </w:rPr>
              <w:t>Comparator</w:t>
            </w:r>
          </w:p>
        </w:tc>
        <w:tc>
          <w:tcPr>
            <w:tcW w:w="4295" w:type="pct"/>
            <w:shd w:val="clear" w:color="auto" w:fill="auto"/>
          </w:tcPr>
          <w:p w14:paraId="45072B0E" w14:textId="77777777" w:rsidR="00231710" w:rsidRPr="00DB610E" w:rsidRDefault="00231710" w:rsidP="00B21B5C">
            <w:pPr>
              <w:keepNext/>
              <w:keepLines/>
              <w:rPr>
                <w:rFonts w:ascii="Arial Narrow" w:hAnsi="Arial Narrow"/>
                <w:sz w:val="20"/>
                <w:szCs w:val="20"/>
              </w:rPr>
            </w:pPr>
            <w:r w:rsidRPr="00DB610E">
              <w:rPr>
                <w:rFonts w:ascii="Arial Narrow" w:hAnsi="Arial Narrow"/>
                <w:sz w:val="20"/>
                <w:szCs w:val="20"/>
              </w:rPr>
              <w:t>Primary comparator: eltrombopag; starting dose 50 mg QD orally. Dose adjustments based on platelet count response, with maximum dose 75 mg daily.</w:t>
            </w:r>
          </w:p>
          <w:p w14:paraId="3F0B8D34" w14:textId="156393E2" w:rsidR="00231710" w:rsidRPr="00DB610E" w:rsidRDefault="00231710" w:rsidP="00B21B5C">
            <w:pPr>
              <w:keepNext/>
              <w:keepLines/>
              <w:rPr>
                <w:rFonts w:ascii="Arial Narrow" w:hAnsi="Arial Narrow"/>
                <w:sz w:val="20"/>
                <w:szCs w:val="20"/>
              </w:rPr>
            </w:pPr>
            <w:r w:rsidRPr="00DB610E">
              <w:rPr>
                <w:rFonts w:ascii="Arial Narrow" w:hAnsi="Arial Narrow"/>
                <w:sz w:val="20"/>
                <w:szCs w:val="20"/>
              </w:rPr>
              <w:t>Secondary comparators: romiplostim, splenectomy</w:t>
            </w:r>
            <w:r w:rsidR="007000E3">
              <w:rPr>
                <w:rFonts w:ascii="Arial Narrow" w:hAnsi="Arial Narrow"/>
                <w:sz w:val="20"/>
                <w:szCs w:val="20"/>
              </w:rPr>
              <w:t>.</w:t>
            </w:r>
          </w:p>
        </w:tc>
      </w:tr>
      <w:tr w:rsidR="00231710" w:rsidRPr="00DB610E" w14:paraId="7E40FB72" w14:textId="77777777" w:rsidTr="00F913DB">
        <w:trPr>
          <w:cantSplit/>
        </w:trPr>
        <w:tc>
          <w:tcPr>
            <w:tcW w:w="705" w:type="pct"/>
            <w:shd w:val="clear" w:color="auto" w:fill="auto"/>
          </w:tcPr>
          <w:p w14:paraId="3E2509D8" w14:textId="77777777" w:rsidR="00231710" w:rsidRPr="00DB610E" w:rsidRDefault="00231710" w:rsidP="00B21B5C">
            <w:pPr>
              <w:keepNext/>
              <w:keepLines/>
              <w:rPr>
                <w:rFonts w:ascii="Arial Narrow" w:hAnsi="Arial Narrow"/>
                <w:sz w:val="20"/>
                <w:szCs w:val="20"/>
              </w:rPr>
            </w:pPr>
            <w:r w:rsidRPr="00DB610E">
              <w:rPr>
                <w:rFonts w:ascii="Arial Narrow" w:hAnsi="Arial Narrow"/>
                <w:sz w:val="20"/>
                <w:szCs w:val="20"/>
              </w:rPr>
              <w:t>Outcomes</w:t>
            </w:r>
          </w:p>
        </w:tc>
        <w:tc>
          <w:tcPr>
            <w:tcW w:w="4295" w:type="pct"/>
            <w:shd w:val="clear" w:color="auto" w:fill="auto"/>
          </w:tcPr>
          <w:p w14:paraId="2DF78075" w14:textId="77777777" w:rsidR="00231710" w:rsidRPr="00DB610E" w:rsidRDefault="00231710" w:rsidP="00B21B5C">
            <w:pPr>
              <w:keepNext/>
              <w:keepLines/>
              <w:rPr>
                <w:rFonts w:ascii="Arial Narrow" w:hAnsi="Arial Narrow"/>
                <w:sz w:val="20"/>
                <w:szCs w:val="20"/>
              </w:rPr>
            </w:pPr>
            <w:r w:rsidRPr="00DB610E">
              <w:rPr>
                <w:rFonts w:ascii="Arial Narrow" w:hAnsi="Arial Narrow"/>
                <w:sz w:val="20"/>
                <w:szCs w:val="20"/>
              </w:rPr>
              <w:t>Durable platelet response</w:t>
            </w:r>
          </w:p>
          <w:p w14:paraId="0B07CBF1" w14:textId="77777777" w:rsidR="00231710" w:rsidRPr="00DB610E" w:rsidRDefault="00231710" w:rsidP="00B21B5C">
            <w:pPr>
              <w:keepNext/>
              <w:keepLines/>
              <w:rPr>
                <w:rFonts w:ascii="Arial Narrow" w:hAnsi="Arial Narrow"/>
                <w:sz w:val="20"/>
                <w:szCs w:val="20"/>
              </w:rPr>
            </w:pPr>
            <w:r w:rsidRPr="00DB610E">
              <w:rPr>
                <w:rFonts w:ascii="Arial Narrow" w:hAnsi="Arial Narrow"/>
                <w:sz w:val="20"/>
                <w:szCs w:val="20"/>
              </w:rPr>
              <w:t>Reduction in concomitant ITP medication</w:t>
            </w:r>
          </w:p>
          <w:p w14:paraId="4527A24F" w14:textId="77777777" w:rsidR="00231710" w:rsidRPr="00DB610E" w:rsidRDefault="00231710" w:rsidP="00B21B5C">
            <w:pPr>
              <w:keepNext/>
              <w:keepLines/>
              <w:rPr>
                <w:rFonts w:ascii="Arial Narrow" w:hAnsi="Arial Narrow"/>
                <w:sz w:val="20"/>
                <w:szCs w:val="20"/>
              </w:rPr>
            </w:pPr>
            <w:r w:rsidRPr="00DB610E">
              <w:rPr>
                <w:rFonts w:ascii="Arial Narrow" w:hAnsi="Arial Narrow"/>
                <w:sz w:val="20"/>
                <w:szCs w:val="20"/>
              </w:rPr>
              <w:t>Bleeding events</w:t>
            </w:r>
          </w:p>
          <w:p w14:paraId="1C8A8EA9" w14:textId="77777777" w:rsidR="00231710" w:rsidRPr="00DB610E" w:rsidRDefault="00231710" w:rsidP="00B21B5C">
            <w:pPr>
              <w:keepNext/>
              <w:keepLines/>
              <w:rPr>
                <w:rFonts w:ascii="Arial Narrow" w:hAnsi="Arial Narrow"/>
                <w:sz w:val="20"/>
                <w:szCs w:val="20"/>
              </w:rPr>
            </w:pPr>
            <w:r w:rsidRPr="00DB610E">
              <w:rPr>
                <w:rFonts w:ascii="Arial Narrow" w:hAnsi="Arial Narrow"/>
                <w:sz w:val="20"/>
                <w:szCs w:val="20"/>
              </w:rPr>
              <w:t>Bleeding events WHO grade 2-4</w:t>
            </w:r>
          </w:p>
          <w:p w14:paraId="0A8FBAB2" w14:textId="77777777" w:rsidR="00231710" w:rsidRPr="00DB610E" w:rsidRDefault="00231710" w:rsidP="00B21B5C">
            <w:pPr>
              <w:keepNext/>
              <w:keepLines/>
              <w:rPr>
                <w:rFonts w:ascii="Arial Narrow" w:hAnsi="Arial Narrow"/>
                <w:sz w:val="20"/>
                <w:szCs w:val="20"/>
              </w:rPr>
            </w:pPr>
            <w:r w:rsidRPr="00DB610E">
              <w:rPr>
                <w:rFonts w:ascii="Arial Narrow" w:hAnsi="Arial Narrow"/>
                <w:sz w:val="20"/>
                <w:szCs w:val="20"/>
              </w:rPr>
              <w:t>Need for rescue therapy</w:t>
            </w:r>
            <w:r w:rsidRPr="00DB610E">
              <w:rPr>
                <w:rFonts w:ascii="Arial Narrow" w:hAnsi="Arial Narrow"/>
                <w:sz w:val="20"/>
                <w:szCs w:val="20"/>
              </w:rPr>
              <w:tab/>
            </w:r>
          </w:p>
          <w:p w14:paraId="46F9F536" w14:textId="77777777" w:rsidR="00231710" w:rsidRPr="00DB610E" w:rsidRDefault="00231710" w:rsidP="00B21B5C">
            <w:pPr>
              <w:keepNext/>
              <w:keepLines/>
              <w:rPr>
                <w:rFonts w:ascii="Arial Narrow" w:hAnsi="Arial Narrow"/>
                <w:sz w:val="20"/>
                <w:szCs w:val="20"/>
              </w:rPr>
            </w:pPr>
            <w:r w:rsidRPr="00DB610E">
              <w:rPr>
                <w:rFonts w:ascii="Arial Narrow" w:hAnsi="Arial Narrow"/>
                <w:sz w:val="20"/>
                <w:szCs w:val="20"/>
              </w:rPr>
              <w:t>Adverse events</w:t>
            </w:r>
          </w:p>
        </w:tc>
      </w:tr>
      <w:tr w:rsidR="00231710" w:rsidRPr="00DB610E" w14:paraId="6917B7F5" w14:textId="77777777" w:rsidTr="00F913DB">
        <w:trPr>
          <w:cantSplit/>
          <w:trHeight w:val="63"/>
        </w:trPr>
        <w:tc>
          <w:tcPr>
            <w:tcW w:w="705" w:type="pct"/>
            <w:shd w:val="clear" w:color="auto" w:fill="auto"/>
          </w:tcPr>
          <w:p w14:paraId="1DFB34A9" w14:textId="77777777" w:rsidR="00231710" w:rsidRPr="00DB610E" w:rsidRDefault="00231710" w:rsidP="00B21B5C">
            <w:pPr>
              <w:keepNext/>
              <w:keepLines/>
              <w:rPr>
                <w:rFonts w:ascii="Arial Narrow" w:hAnsi="Arial Narrow"/>
                <w:sz w:val="20"/>
                <w:szCs w:val="20"/>
              </w:rPr>
            </w:pPr>
            <w:r w:rsidRPr="00DB610E">
              <w:rPr>
                <w:rFonts w:ascii="Arial Narrow" w:hAnsi="Arial Narrow"/>
                <w:sz w:val="20"/>
                <w:szCs w:val="20"/>
              </w:rPr>
              <w:t>Clinical claim</w:t>
            </w:r>
          </w:p>
        </w:tc>
        <w:tc>
          <w:tcPr>
            <w:tcW w:w="4295" w:type="pct"/>
            <w:shd w:val="clear" w:color="auto" w:fill="auto"/>
          </w:tcPr>
          <w:p w14:paraId="491FEEC4" w14:textId="0FAAE1DE" w:rsidR="00231710" w:rsidRPr="00DB610E" w:rsidRDefault="00231710" w:rsidP="00B21B5C">
            <w:pPr>
              <w:keepNext/>
              <w:keepLines/>
              <w:rPr>
                <w:rFonts w:ascii="Arial Narrow" w:hAnsi="Arial Narrow"/>
                <w:sz w:val="20"/>
                <w:szCs w:val="20"/>
              </w:rPr>
            </w:pPr>
            <w:r w:rsidRPr="00DB610E">
              <w:rPr>
                <w:rFonts w:ascii="Arial Narrow" w:hAnsi="Arial Narrow"/>
                <w:sz w:val="20"/>
                <w:szCs w:val="20"/>
              </w:rPr>
              <w:t>In patients with chronic ITP, avatrom</w:t>
            </w:r>
            <w:r w:rsidR="00167F3A">
              <w:rPr>
                <w:rFonts w:ascii="Arial Narrow" w:hAnsi="Arial Narrow"/>
                <w:sz w:val="20"/>
                <w:szCs w:val="20"/>
              </w:rPr>
              <w:t>b</w:t>
            </w:r>
            <w:r w:rsidRPr="00DB610E">
              <w:rPr>
                <w:rFonts w:ascii="Arial Narrow" w:hAnsi="Arial Narrow"/>
                <w:sz w:val="20"/>
                <w:szCs w:val="20"/>
              </w:rPr>
              <w:t>opag is non-inferior to eltrom</w:t>
            </w:r>
            <w:r w:rsidR="00167F3A">
              <w:rPr>
                <w:rFonts w:ascii="Arial Narrow" w:hAnsi="Arial Narrow"/>
                <w:sz w:val="20"/>
                <w:szCs w:val="20"/>
              </w:rPr>
              <w:t>b</w:t>
            </w:r>
            <w:r w:rsidRPr="00DB610E">
              <w:rPr>
                <w:rFonts w:ascii="Arial Narrow" w:hAnsi="Arial Narrow"/>
                <w:sz w:val="20"/>
                <w:szCs w:val="20"/>
              </w:rPr>
              <w:t>opag in efficacy (durable</w:t>
            </w:r>
            <w:r w:rsidR="00BA10EE">
              <w:rPr>
                <w:rFonts w:ascii="Arial Narrow" w:hAnsi="Arial Narrow"/>
                <w:sz w:val="20"/>
                <w:szCs w:val="20"/>
              </w:rPr>
              <w:t xml:space="preserve"> platelet</w:t>
            </w:r>
            <w:r w:rsidRPr="00DB610E">
              <w:rPr>
                <w:rFonts w:ascii="Arial Narrow" w:hAnsi="Arial Narrow"/>
                <w:sz w:val="20"/>
                <w:szCs w:val="20"/>
              </w:rPr>
              <w:t xml:space="preserve"> response, reduction in concomitant ITP medication, any bleeding event, bleeding event WHO grade 2-4, need for rescue therapy) and non-inferior in safety. </w:t>
            </w:r>
          </w:p>
        </w:tc>
      </w:tr>
    </w:tbl>
    <w:p w14:paraId="4DF91B47" w14:textId="77777777" w:rsidR="00231710" w:rsidRDefault="00231710" w:rsidP="00B21B5C">
      <w:pPr>
        <w:pStyle w:val="TableFooter"/>
        <w:keepNext/>
        <w:keepLines/>
      </w:pPr>
      <w:r w:rsidRPr="009036A5">
        <w:t>Source: Table ES.1, p1 of the submission.</w:t>
      </w:r>
    </w:p>
    <w:p w14:paraId="5F257CD8" w14:textId="204DD16A" w:rsidR="00231710" w:rsidRPr="008B1757" w:rsidRDefault="00231710" w:rsidP="00B21B5C">
      <w:pPr>
        <w:pStyle w:val="TableFooter"/>
        <w:keepNext/>
        <w:keepLines/>
      </w:pPr>
      <w:r>
        <w:t xml:space="preserve">ITP = </w:t>
      </w:r>
      <w:r w:rsidRPr="00BF7A91">
        <w:t>Immune thrombocytopenic purpura</w:t>
      </w:r>
      <w:r>
        <w:t>; QD = every day.</w:t>
      </w:r>
    </w:p>
    <w:p w14:paraId="6B4AB6C2" w14:textId="7F01D731" w:rsidR="005C25FF" w:rsidRPr="00407F2D" w:rsidRDefault="005C25FF" w:rsidP="004A6040">
      <w:pPr>
        <w:pStyle w:val="2-SectionHeading"/>
      </w:pPr>
      <w:bookmarkStart w:id="3" w:name="_Toc113903622"/>
      <w:r w:rsidRPr="00407F2D">
        <w:t>Background</w:t>
      </w:r>
      <w:bookmarkEnd w:id="3"/>
    </w:p>
    <w:p w14:paraId="2C521D6D" w14:textId="78CF03EE" w:rsidR="005C25FF" w:rsidRPr="004151CF" w:rsidRDefault="005C25FF" w:rsidP="004A6040">
      <w:pPr>
        <w:pStyle w:val="4-SubsectionHeading"/>
      </w:pPr>
      <w:bookmarkStart w:id="4" w:name="_Toc22897638"/>
      <w:bookmarkStart w:id="5" w:name="_Toc113903623"/>
      <w:r w:rsidRPr="004151CF">
        <w:t>Registration status</w:t>
      </w:r>
      <w:bookmarkEnd w:id="4"/>
      <w:bookmarkEnd w:id="5"/>
    </w:p>
    <w:p w14:paraId="3E6E21BB" w14:textId="6D50DBC4" w:rsidR="009478F3" w:rsidRDefault="00F37398" w:rsidP="00F37398">
      <w:pPr>
        <w:pStyle w:val="3-BodyText"/>
      </w:pPr>
      <w:r>
        <w:t>Avatrombopag is currently being evaluated by the TGA</w:t>
      </w:r>
      <w:r w:rsidR="009478F3">
        <w:t>.</w:t>
      </w:r>
      <w:r>
        <w:t xml:space="preserve"> </w:t>
      </w:r>
      <w:r w:rsidR="00251D63">
        <w:t xml:space="preserve">The requested indication is for </w:t>
      </w:r>
      <w:r w:rsidR="005107A7">
        <w:t>‘</w:t>
      </w:r>
      <w:r w:rsidR="00251D63" w:rsidRPr="00251D63">
        <w:t xml:space="preserve">the treatment of thrombocytopenia in adult patients with chronic immune thrombocytopenia (ITP) who have had an insufficient response to a previous </w:t>
      </w:r>
      <w:r w:rsidR="00251D63" w:rsidRPr="00251D63">
        <w:lastRenderedPageBreak/>
        <w:t>treatment.</w:t>
      </w:r>
      <w:r w:rsidR="005107A7">
        <w:t>’</w:t>
      </w:r>
      <w:r w:rsidR="00251D63">
        <w:t xml:space="preserve"> A TGA indication is also being sought for </w:t>
      </w:r>
      <w:r w:rsidR="00251D63" w:rsidRPr="00251D63">
        <w:t>thrombocytopeni</w:t>
      </w:r>
      <w:r w:rsidR="00251D63">
        <w:t xml:space="preserve">c patients with </w:t>
      </w:r>
      <w:r w:rsidR="00251D63" w:rsidRPr="00251D63">
        <w:t>chronic liver disease</w:t>
      </w:r>
      <w:r w:rsidR="00251D63">
        <w:t>.</w:t>
      </w:r>
    </w:p>
    <w:p w14:paraId="5F716998" w14:textId="29A7BC18" w:rsidR="00F37398" w:rsidRPr="00BE11F7" w:rsidRDefault="00B47DE5" w:rsidP="006B7E6B">
      <w:pPr>
        <w:pStyle w:val="3-BodyText"/>
      </w:pPr>
      <w:r w:rsidRPr="00BE11F7">
        <w:t>The submission provided t</w:t>
      </w:r>
      <w:r w:rsidR="00F37398" w:rsidRPr="00BE11F7">
        <w:t>he TGA Clinical Evaluation Report</w:t>
      </w:r>
      <w:r w:rsidR="00F30ED6" w:rsidRPr="00BE11F7">
        <w:t>,</w:t>
      </w:r>
      <w:r w:rsidR="00F37398" w:rsidRPr="00BE11F7">
        <w:t xml:space="preserve"> the TGA letter setting out proposed dates for decision</w:t>
      </w:r>
      <w:r w:rsidR="00F30ED6" w:rsidRPr="00BE11F7">
        <w:t>,</w:t>
      </w:r>
      <w:r w:rsidR="00F37398" w:rsidRPr="00BE11F7">
        <w:t xml:space="preserve"> and the TGA </w:t>
      </w:r>
      <w:r w:rsidR="00F37398" w:rsidRPr="00BE11F7">
        <w:rPr>
          <w:lang w:val="en-US"/>
        </w:rPr>
        <w:t>Risk Management Plan Evaluation Report</w:t>
      </w:r>
      <w:r w:rsidRPr="00BE11F7">
        <w:t>.</w:t>
      </w:r>
      <w:r w:rsidR="00F37398" w:rsidRPr="00BE11F7">
        <w:t xml:space="preserve"> The Evaluation Report </w:t>
      </w:r>
      <w:r w:rsidRPr="00BE11F7">
        <w:t>recommended</w:t>
      </w:r>
      <w:r w:rsidR="00F37398" w:rsidRPr="00BE11F7">
        <w:t xml:space="preserve"> that avatrombopag be approved for adult patients with ITP. </w:t>
      </w:r>
      <w:r w:rsidR="006B7E6B">
        <w:t xml:space="preserve">The TGA Delegate’s Overview was available prior to the PBAC meeting, with the Delegate </w:t>
      </w:r>
      <w:r w:rsidR="00F438F8">
        <w:t>being inclined</w:t>
      </w:r>
      <w:r w:rsidR="006B7E6B">
        <w:t xml:space="preserve"> to approve the registration of avatrombopag in ITP, </w:t>
      </w:r>
      <w:r w:rsidR="00C941B8">
        <w:t xml:space="preserve">subject to specialist advice and </w:t>
      </w:r>
      <w:r w:rsidR="006B7E6B">
        <w:t>with additional caveats relating to post-market safety data reporting.</w:t>
      </w:r>
    </w:p>
    <w:p w14:paraId="5374AD55" w14:textId="4BF0C36D" w:rsidR="005C25FF" w:rsidRDefault="00F37398" w:rsidP="00351423">
      <w:pPr>
        <w:pStyle w:val="3-BodyText"/>
      </w:pPr>
      <w:bookmarkStart w:id="6" w:name="_Hlk118901026"/>
      <w:r>
        <w:t>Avatrombopag is registered in the United States and in the European Union for the treatment of ITP.</w:t>
      </w:r>
      <w:r w:rsidR="00D43D83">
        <w:t xml:space="preserve"> </w:t>
      </w:r>
    </w:p>
    <w:p w14:paraId="76E4EF3C" w14:textId="79E10C51" w:rsidR="00B60939" w:rsidRDefault="00B50DB8" w:rsidP="004E18E9">
      <w:pPr>
        <w:pStyle w:val="2-SectionHeading"/>
      </w:pPr>
      <w:bookmarkStart w:id="7" w:name="_Toc107902078"/>
      <w:bookmarkStart w:id="8" w:name="_Toc113903624"/>
      <w:bookmarkEnd w:id="6"/>
      <w:bookmarkEnd w:id="7"/>
      <w:r w:rsidRPr="00407F2D">
        <w:t>Requested listing</w:t>
      </w:r>
      <w:bookmarkEnd w:id="8"/>
    </w:p>
    <w:p w14:paraId="3242AE1F" w14:textId="33EDC9F8" w:rsidR="001418C5" w:rsidRPr="00340E3E" w:rsidRDefault="009A7E50" w:rsidP="001418C5">
      <w:pPr>
        <w:pStyle w:val="3-BodyText"/>
      </w:pPr>
      <w:r>
        <w:t>The requested</w:t>
      </w:r>
      <w:r w:rsidR="00C00010">
        <w:t xml:space="preserve"> listing is presented below</w:t>
      </w:r>
      <w:r>
        <w:t xml:space="preserve">. </w:t>
      </w:r>
      <w:r w:rsidR="001418C5" w:rsidRPr="00340E3E">
        <w:t>Suggest</w:t>
      </w:r>
      <w:r w:rsidR="00C00010">
        <w:t>ions and</w:t>
      </w:r>
      <w:r>
        <w:t xml:space="preserve"> </w:t>
      </w:r>
      <w:r w:rsidR="001418C5" w:rsidRPr="00340E3E">
        <w:t>additions</w:t>
      </w:r>
      <w:r w:rsidR="00C00010">
        <w:t xml:space="preserve"> proposed by the Secretariat</w:t>
      </w:r>
      <w:r w:rsidR="001418C5" w:rsidRPr="00340E3E">
        <w:t xml:space="preserve"> </w:t>
      </w:r>
      <w:r>
        <w:t>are in italics and</w:t>
      </w:r>
      <w:r w:rsidR="00C00010">
        <w:t xml:space="preserve"> suggested</w:t>
      </w:r>
      <w:r>
        <w:t xml:space="preserve"> </w:t>
      </w:r>
      <w:r w:rsidR="001418C5" w:rsidRPr="00340E3E">
        <w:t>deletions are</w:t>
      </w:r>
      <w:r w:rsidR="00C00010">
        <w:t xml:space="preserve"> crossed out with</w:t>
      </w:r>
      <w:r w:rsidR="001418C5" w:rsidRPr="00340E3E">
        <w:t xml:space="preserve"> strikethrough.</w:t>
      </w:r>
    </w:p>
    <w:p w14:paraId="49A27E5B" w14:textId="2BE9F486" w:rsidR="00B105DF" w:rsidRPr="00BE11F7" w:rsidRDefault="00CA5985" w:rsidP="007000E3">
      <w:pPr>
        <w:pStyle w:val="3-BodyText"/>
        <w:numPr>
          <w:ilvl w:val="0"/>
          <w:numId w:val="0"/>
        </w:numPr>
        <w:rPr>
          <w:highlight w:val="yellow"/>
        </w:rPr>
      </w:pPr>
      <w:r w:rsidRPr="00CA5985">
        <w:rPr>
          <w:rFonts w:cs="Calibri"/>
          <w:bCs/>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779"/>
        <w:gridCol w:w="812"/>
        <w:gridCol w:w="811"/>
        <w:gridCol w:w="812"/>
        <w:gridCol w:w="1831"/>
      </w:tblGrid>
      <w:tr w:rsidR="00351423" w:rsidRPr="00DB610E" w14:paraId="450A2938" w14:textId="77777777" w:rsidTr="00942547">
        <w:trPr>
          <w:cantSplit/>
          <w:trHeight w:val="20"/>
        </w:trPr>
        <w:tc>
          <w:tcPr>
            <w:tcW w:w="2971" w:type="dxa"/>
            <w:vAlign w:val="center"/>
          </w:tcPr>
          <w:p w14:paraId="05DA1905" w14:textId="77777777" w:rsidR="00351423" w:rsidRPr="00251D63" w:rsidRDefault="00351423" w:rsidP="00351423">
            <w:pPr>
              <w:rPr>
                <w:rFonts w:ascii="Arial Narrow" w:hAnsi="Arial Narrow"/>
                <w:b/>
                <w:bCs/>
                <w:sz w:val="20"/>
                <w:szCs w:val="20"/>
              </w:rPr>
            </w:pPr>
            <w:r w:rsidRPr="00251D63">
              <w:rPr>
                <w:rFonts w:ascii="Arial Narrow" w:hAnsi="Arial Narrow"/>
                <w:b/>
                <w:bCs/>
                <w:sz w:val="20"/>
                <w:szCs w:val="20"/>
              </w:rPr>
              <w:t>MEDICINAL PRODUCT</w:t>
            </w:r>
          </w:p>
          <w:p w14:paraId="1AFE878C" w14:textId="77777777" w:rsidR="00351423" w:rsidRPr="00251D63" w:rsidRDefault="00351423" w:rsidP="00351423">
            <w:pPr>
              <w:rPr>
                <w:rFonts w:ascii="Arial Narrow" w:hAnsi="Arial Narrow"/>
                <w:b/>
                <w:bCs/>
                <w:sz w:val="20"/>
                <w:szCs w:val="20"/>
              </w:rPr>
            </w:pPr>
            <w:r w:rsidRPr="00251D63">
              <w:rPr>
                <w:rFonts w:ascii="Arial Narrow" w:hAnsi="Arial Narrow"/>
                <w:b/>
                <w:bCs/>
                <w:sz w:val="20"/>
                <w:szCs w:val="20"/>
              </w:rPr>
              <w:t>medicinal product pack</w:t>
            </w:r>
          </w:p>
        </w:tc>
        <w:tc>
          <w:tcPr>
            <w:tcW w:w="1779" w:type="dxa"/>
            <w:vAlign w:val="center"/>
          </w:tcPr>
          <w:p w14:paraId="31A2B836" w14:textId="77777777" w:rsidR="00351423" w:rsidRPr="00251D63" w:rsidRDefault="00351423" w:rsidP="00351423">
            <w:pPr>
              <w:rPr>
                <w:rFonts w:ascii="Arial Narrow" w:hAnsi="Arial Narrow"/>
                <w:b/>
                <w:bCs/>
                <w:sz w:val="20"/>
                <w:szCs w:val="20"/>
              </w:rPr>
            </w:pPr>
            <w:r w:rsidRPr="00251D63">
              <w:rPr>
                <w:rFonts w:ascii="Arial Narrow" w:hAnsi="Arial Narrow"/>
                <w:b/>
                <w:bCs/>
                <w:sz w:val="20"/>
                <w:szCs w:val="20"/>
              </w:rPr>
              <w:t xml:space="preserve">Dispensed Price for Max. Qty </w:t>
            </w:r>
          </w:p>
        </w:tc>
        <w:tc>
          <w:tcPr>
            <w:tcW w:w="812" w:type="dxa"/>
            <w:vAlign w:val="center"/>
          </w:tcPr>
          <w:p w14:paraId="4A81CBDB" w14:textId="77777777" w:rsidR="00351423" w:rsidRPr="00251D63" w:rsidRDefault="00351423" w:rsidP="00351423">
            <w:pPr>
              <w:rPr>
                <w:rFonts w:ascii="Arial Narrow" w:hAnsi="Arial Narrow"/>
                <w:b/>
                <w:bCs/>
                <w:sz w:val="20"/>
                <w:szCs w:val="20"/>
              </w:rPr>
            </w:pPr>
            <w:r w:rsidRPr="00251D63">
              <w:rPr>
                <w:rFonts w:ascii="Arial Narrow" w:hAnsi="Arial Narrow"/>
                <w:b/>
                <w:bCs/>
                <w:sz w:val="20"/>
                <w:szCs w:val="20"/>
              </w:rPr>
              <w:t>Max. qty packs</w:t>
            </w:r>
          </w:p>
        </w:tc>
        <w:tc>
          <w:tcPr>
            <w:tcW w:w="811" w:type="dxa"/>
            <w:vAlign w:val="center"/>
          </w:tcPr>
          <w:p w14:paraId="70765B09" w14:textId="77777777" w:rsidR="00351423" w:rsidRPr="00251D63" w:rsidRDefault="00351423" w:rsidP="00351423">
            <w:pPr>
              <w:rPr>
                <w:rFonts w:ascii="Arial Narrow" w:hAnsi="Arial Narrow"/>
                <w:b/>
                <w:bCs/>
                <w:sz w:val="20"/>
                <w:szCs w:val="20"/>
              </w:rPr>
            </w:pPr>
            <w:r w:rsidRPr="00251D63">
              <w:rPr>
                <w:rFonts w:ascii="Arial Narrow" w:hAnsi="Arial Narrow"/>
                <w:b/>
                <w:bCs/>
                <w:sz w:val="20"/>
                <w:szCs w:val="20"/>
              </w:rPr>
              <w:t>Max. qty units</w:t>
            </w:r>
          </w:p>
        </w:tc>
        <w:tc>
          <w:tcPr>
            <w:tcW w:w="812" w:type="dxa"/>
            <w:vAlign w:val="center"/>
          </w:tcPr>
          <w:p w14:paraId="078F573E" w14:textId="77777777" w:rsidR="00351423" w:rsidRPr="00251D63" w:rsidRDefault="00351423" w:rsidP="00351423">
            <w:pPr>
              <w:rPr>
                <w:rFonts w:ascii="Arial Narrow" w:hAnsi="Arial Narrow"/>
                <w:b/>
                <w:bCs/>
                <w:sz w:val="20"/>
                <w:szCs w:val="20"/>
              </w:rPr>
            </w:pPr>
            <w:r w:rsidRPr="00251D63">
              <w:rPr>
                <w:rFonts w:ascii="Arial Narrow" w:hAnsi="Arial Narrow"/>
                <w:b/>
                <w:bCs/>
                <w:sz w:val="20"/>
                <w:szCs w:val="20"/>
              </w:rPr>
              <w:t>№.of</w:t>
            </w:r>
          </w:p>
          <w:p w14:paraId="21129973" w14:textId="77777777" w:rsidR="00351423" w:rsidRPr="00251D63" w:rsidRDefault="00351423" w:rsidP="00351423">
            <w:pPr>
              <w:rPr>
                <w:rFonts w:ascii="Arial Narrow" w:hAnsi="Arial Narrow"/>
                <w:b/>
                <w:bCs/>
                <w:sz w:val="20"/>
                <w:szCs w:val="20"/>
              </w:rPr>
            </w:pPr>
            <w:r w:rsidRPr="00251D63">
              <w:rPr>
                <w:rFonts w:ascii="Arial Narrow" w:hAnsi="Arial Narrow"/>
                <w:b/>
                <w:bCs/>
                <w:sz w:val="20"/>
                <w:szCs w:val="20"/>
              </w:rPr>
              <w:t>Rpts</w:t>
            </w:r>
          </w:p>
        </w:tc>
        <w:tc>
          <w:tcPr>
            <w:tcW w:w="1831" w:type="dxa"/>
            <w:vAlign w:val="center"/>
          </w:tcPr>
          <w:p w14:paraId="6195A5E5" w14:textId="77777777" w:rsidR="00351423" w:rsidRPr="00251D63" w:rsidRDefault="00351423" w:rsidP="00351423">
            <w:pPr>
              <w:rPr>
                <w:rFonts w:ascii="Arial Narrow" w:hAnsi="Arial Narrow"/>
                <w:b/>
                <w:bCs/>
                <w:sz w:val="20"/>
                <w:szCs w:val="20"/>
                <w:lang w:val="fr-FR"/>
              </w:rPr>
            </w:pPr>
            <w:r w:rsidRPr="00251D63">
              <w:rPr>
                <w:rFonts w:ascii="Arial Narrow" w:hAnsi="Arial Narrow"/>
                <w:b/>
                <w:bCs/>
                <w:sz w:val="20"/>
                <w:szCs w:val="20"/>
              </w:rPr>
              <w:t>Available brands</w:t>
            </w:r>
          </w:p>
        </w:tc>
      </w:tr>
      <w:tr w:rsidR="00351423" w:rsidRPr="00DB610E" w14:paraId="63D743E9" w14:textId="77777777" w:rsidTr="00942547">
        <w:trPr>
          <w:cantSplit/>
          <w:trHeight w:val="20"/>
        </w:trPr>
        <w:tc>
          <w:tcPr>
            <w:tcW w:w="9016" w:type="dxa"/>
            <w:gridSpan w:val="6"/>
            <w:vAlign w:val="center"/>
          </w:tcPr>
          <w:p w14:paraId="31DC19D1" w14:textId="2C407859" w:rsidR="00351423" w:rsidRPr="00DB610E" w:rsidRDefault="00351423" w:rsidP="00351423">
            <w:pPr>
              <w:rPr>
                <w:rFonts w:ascii="Arial Narrow" w:hAnsi="Arial Narrow"/>
                <w:sz w:val="20"/>
                <w:szCs w:val="20"/>
              </w:rPr>
            </w:pPr>
            <w:r w:rsidRPr="00DB610E">
              <w:rPr>
                <w:rFonts w:ascii="Arial Narrow" w:hAnsi="Arial Narrow"/>
                <w:sz w:val="20"/>
                <w:szCs w:val="20"/>
              </w:rPr>
              <w:t xml:space="preserve">Avatrombopag  </w:t>
            </w:r>
          </w:p>
        </w:tc>
      </w:tr>
      <w:tr w:rsidR="00351423" w:rsidRPr="00DB610E" w14:paraId="1E28E059" w14:textId="77777777" w:rsidTr="00942547">
        <w:trPr>
          <w:cantSplit/>
          <w:trHeight w:val="20"/>
        </w:trPr>
        <w:tc>
          <w:tcPr>
            <w:tcW w:w="2971" w:type="dxa"/>
            <w:vAlign w:val="center"/>
          </w:tcPr>
          <w:p w14:paraId="54552B71" w14:textId="782A322F" w:rsidR="00351423" w:rsidRPr="00DB610E" w:rsidRDefault="00351423" w:rsidP="00351423">
            <w:pPr>
              <w:rPr>
                <w:rFonts w:ascii="Arial Narrow" w:hAnsi="Arial Narrow"/>
                <w:sz w:val="20"/>
                <w:szCs w:val="20"/>
              </w:rPr>
            </w:pPr>
            <w:r w:rsidRPr="00DB610E">
              <w:rPr>
                <w:rFonts w:ascii="Arial Narrow" w:hAnsi="Arial Narrow"/>
                <w:sz w:val="20"/>
                <w:szCs w:val="20"/>
              </w:rPr>
              <w:t>Avatrombopag 20 mg capsule</w:t>
            </w:r>
            <w:r w:rsidR="00940325" w:rsidRPr="00940325">
              <w:rPr>
                <w:rFonts w:ascii="Arial Narrow" w:hAnsi="Arial Narrow"/>
                <w:sz w:val="20"/>
                <w:szCs w:val="20"/>
                <w:vertAlign w:val="superscript"/>
              </w:rPr>
              <w:t>a</w:t>
            </w:r>
            <w:r w:rsidRPr="00DB610E">
              <w:rPr>
                <w:rFonts w:ascii="Arial Narrow" w:hAnsi="Arial Narrow"/>
                <w:sz w:val="20"/>
                <w:szCs w:val="20"/>
              </w:rPr>
              <w:t xml:space="preserve"> 30</w:t>
            </w:r>
          </w:p>
          <w:p w14:paraId="62707A2C" w14:textId="77777777" w:rsidR="00351423" w:rsidRPr="00DB610E" w:rsidRDefault="00351423" w:rsidP="00351423">
            <w:pPr>
              <w:rPr>
                <w:rFonts w:ascii="Arial Narrow" w:hAnsi="Arial Narrow"/>
                <w:sz w:val="20"/>
                <w:szCs w:val="20"/>
              </w:rPr>
            </w:pPr>
            <w:r w:rsidRPr="00DB610E">
              <w:rPr>
                <w:rFonts w:ascii="Arial Narrow" w:hAnsi="Arial Narrow"/>
                <w:sz w:val="20"/>
                <w:szCs w:val="20"/>
              </w:rPr>
              <w:t xml:space="preserve"> </w:t>
            </w:r>
          </w:p>
        </w:tc>
        <w:tc>
          <w:tcPr>
            <w:tcW w:w="1779" w:type="dxa"/>
          </w:tcPr>
          <w:p w14:paraId="100BC7F3" w14:textId="1B9AED7D" w:rsidR="00351423" w:rsidRPr="00DB610E" w:rsidRDefault="00351423" w:rsidP="00351423">
            <w:pPr>
              <w:rPr>
                <w:rFonts w:ascii="Arial Narrow" w:hAnsi="Arial Narrow"/>
                <w:sz w:val="20"/>
                <w:szCs w:val="20"/>
              </w:rPr>
            </w:pPr>
            <w:r w:rsidRPr="00DB610E">
              <w:rPr>
                <w:rFonts w:ascii="Arial Narrow" w:hAnsi="Arial Narrow"/>
                <w:sz w:val="20"/>
                <w:szCs w:val="20"/>
              </w:rPr>
              <w:t>$</w:t>
            </w:r>
            <w:r w:rsidR="00CA5985" w:rsidRPr="00CA5985">
              <w:rPr>
                <w:rFonts w:ascii="Arial Narrow" w:hAnsi="Arial Narrow"/>
                <w:color w:val="000000"/>
                <w:spacing w:val="9"/>
                <w:sz w:val="20"/>
                <w:szCs w:val="20"/>
                <w:shd w:val="solid" w:color="000000" w:fill="000000"/>
                <w:fitText w:val="310" w:id="-1301117440"/>
                <w14:textFill>
                  <w14:solidFill>
                    <w14:srgbClr w14:val="000000">
                      <w14:alpha w14:val="100000"/>
                    </w14:srgbClr>
                  </w14:solidFill>
                </w14:textFill>
              </w:rPr>
              <w:t>||  |</w:t>
            </w:r>
            <w:r w:rsidR="00CA5985" w:rsidRPr="00CA5985">
              <w:rPr>
                <w:rFonts w:ascii="Arial Narrow" w:hAnsi="Arial Narrow"/>
                <w:color w:val="000000"/>
                <w:spacing w:val="4"/>
                <w:sz w:val="20"/>
                <w:szCs w:val="20"/>
                <w:shd w:val="solid" w:color="000000" w:fill="000000"/>
                <w:fitText w:val="310" w:id="-1301117440"/>
                <w14:textFill>
                  <w14:solidFill>
                    <w14:srgbClr w14:val="000000">
                      <w14:alpha w14:val="100000"/>
                    </w14:srgbClr>
                  </w14:solidFill>
                </w14:textFill>
              </w:rPr>
              <w:t>|</w:t>
            </w:r>
            <w:r w:rsidR="00C765F3" w:rsidRPr="00C765F3">
              <w:rPr>
                <w:rFonts w:ascii="Arial Narrow" w:hAnsi="Arial Narrow"/>
                <w:sz w:val="20"/>
                <w:szCs w:val="20"/>
                <w:vertAlign w:val="superscript"/>
              </w:rPr>
              <w:t>b</w:t>
            </w:r>
            <w:r w:rsidRPr="00DB610E">
              <w:rPr>
                <w:rFonts w:ascii="Arial Narrow" w:hAnsi="Arial Narrow"/>
                <w:sz w:val="20"/>
                <w:szCs w:val="20"/>
              </w:rPr>
              <w:t xml:space="preserve"> (public)</w:t>
            </w:r>
          </w:p>
          <w:p w14:paraId="2F026036" w14:textId="54C0E71D" w:rsidR="00351423" w:rsidRPr="00DB610E" w:rsidRDefault="00351423" w:rsidP="00351423">
            <w:pPr>
              <w:rPr>
                <w:rFonts w:ascii="Arial Narrow" w:hAnsi="Arial Narrow"/>
                <w:sz w:val="20"/>
                <w:szCs w:val="20"/>
              </w:rPr>
            </w:pPr>
            <w:r w:rsidRPr="00DB610E">
              <w:rPr>
                <w:rFonts w:ascii="Arial Narrow" w:hAnsi="Arial Narrow"/>
                <w:sz w:val="20"/>
                <w:szCs w:val="20"/>
              </w:rPr>
              <w:t>$</w:t>
            </w:r>
            <w:r w:rsidR="00CA5985" w:rsidRPr="00CA5985">
              <w:rPr>
                <w:rFonts w:ascii="Arial Narrow" w:hAnsi="Arial Narrow"/>
                <w:color w:val="000000"/>
                <w:spacing w:val="9"/>
                <w:sz w:val="20"/>
                <w:szCs w:val="20"/>
                <w:shd w:val="solid" w:color="000000" w:fill="000000"/>
                <w:fitText w:val="310" w:id="-1301117439"/>
                <w14:textFill>
                  <w14:solidFill>
                    <w14:srgbClr w14:val="000000">
                      <w14:alpha w14:val="100000"/>
                    </w14:srgbClr>
                  </w14:solidFill>
                </w14:textFill>
              </w:rPr>
              <w:t>||  |</w:t>
            </w:r>
            <w:r w:rsidR="00CA5985" w:rsidRPr="00CA5985">
              <w:rPr>
                <w:rFonts w:ascii="Arial Narrow" w:hAnsi="Arial Narrow"/>
                <w:color w:val="000000"/>
                <w:spacing w:val="4"/>
                <w:sz w:val="20"/>
                <w:szCs w:val="20"/>
                <w:shd w:val="solid" w:color="000000" w:fill="000000"/>
                <w:fitText w:val="310" w:id="-1301117439"/>
                <w14:textFill>
                  <w14:solidFill>
                    <w14:srgbClr w14:val="000000">
                      <w14:alpha w14:val="100000"/>
                    </w14:srgbClr>
                  </w14:solidFill>
                </w14:textFill>
              </w:rPr>
              <w:t>|</w:t>
            </w:r>
            <w:r w:rsidR="00C765F3" w:rsidRPr="00C765F3">
              <w:rPr>
                <w:rFonts w:ascii="Arial Narrow" w:hAnsi="Arial Narrow"/>
                <w:sz w:val="20"/>
                <w:szCs w:val="20"/>
                <w:vertAlign w:val="superscript"/>
              </w:rPr>
              <w:t>b</w:t>
            </w:r>
            <w:r w:rsidRPr="00DB610E">
              <w:rPr>
                <w:rFonts w:ascii="Arial Narrow" w:hAnsi="Arial Narrow"/>
                <w:sz w:val="20"/>
                <w:szCs w:val="20"/>
              </w:rPr>
              <w:t xml:space="preserve"> (private)</w:t>
            </w:r>
          </w:p>
        </w:tc>
        <w:tc>
          <w:tcPr>
            <w:tcW w:w="812" w:type="dxa"/>
            <w:vAlign w:val="center"/>
          </w:tcPr>
          <w:p w14:paraId="0931D488" w14:textId="27486498" w:rsidR="00351423" w:rsidRPr="00DB610E" w:rsidRDefault="00351423" w:rsidP="00351423">
            <w:pPr>
              <w:rPr>
                <w:rFonts w:ascii="Arial Narrow" w:hAnsi="Arial Narrow"/>
                <w:sz w:val="20"/>
                <w:szCs w:val="20"/>
              </w:rPr>
            </w:pPr>
            <w:r w:rsidRPr="00DB610E">
              <w:rPr>
                <w:rFonts w:ascii="Arial Narrow" w:hAnsi="Arial Narrow"/>
                <w:sz w:val="20"/>
                <w:szCs w:val="20"/>
              </w:rPr>
              <w:t>2</w:t>
            </w:r>
            <w:r w:rsidR="00C765F3" w:rsidRPr="00C765F3">
              <w:rPr>
                <w:rFonts w:ascii="Arial Narrow" w:hAnsi="Arial Narrow"/>
                <w:sz w:val="20"/>
                <w:szCs w:val="20"/>
                <w:vertAlign w:val="superscript"/>
              </w:rPr>
              <w:t>c</w:t>
            </w:r>
          </w:p>
        </w:tc>
        <w:tc>
          <w:tcPr>
            <w:tcW w:w="811" w:type="dxa"/>
            <w:vAlign w:val="center"/>
          </w:tcPr>
          <w:p w14:paraId="57B321DF" w14:textId="77777777" w:rsidR="00351423" w:rsidRPr="00DB610E" w:rsidRDefault="00351423" w:rsidP="00351423">
            <w:pPr>
              <w:rPr>
                <w:rFonts w:ascii="Arial Narrow" w:hAnsi="Arial Narrow"/>
                <w:sz w:val="20"/>
                <w:szCs w:val="20"/>
              </w:rPr>
            </w:pPr>
            <w:r w:rsidRPr="00DB610E">
              <w:rPr>
                <w:rFonts w:ascii="Arial Narrow" w:hAnsi="Arial Narrow"/>
                <w:sz w:val="20"/>
                <w:szCs w:val="20"/>
              </w:rPr>
              <w:t>30</w:t>
            </w:r>
          </w:p>
        </w:tc>
        <w:tc>
          <w:tcPr>
            <w:tcW w:w="812" w:type="dxa"/>
            <w:vAlign w:val="center"/>
          </w:tcPr>
          <w:p w14:paraId="0E275842" w14:textId="77777777" w:rsidR="00351423" w:rsidRPr="00DB610E" w:rsidRDefault="00351423" w:rsidP="00351423">
            <w:pPr>
              <w:rPr>
                <w:rFonts w:ascii="Arial Narrow" w:hAnsi="Arial Narrow"/>
                <w:sz w:val="20"/>
                <w:szCs w:val="20"/>
              </w:rPr>
            </w:pPr>
            <w:r w:rsidRPr="00DB610E">
              <w:rPr>
                <w:rFonts w:ascii="Arial Narrow" w:hAnsi="Arial Narrow"/>
                <w:sz w:val="20"/>
                <w:szCs w:val="20"/>
              </w:rPr>
              <w:t>5</w:t>
            </w:r>
          </w:p>
        </w:tc>
        <w:tc>
          <w:tcPr>
            <w:tcW w:w="1831" w:type="dxa"/>
            <w:vAlign w:val="center"/>
          </w:tcPr>
          <w:p w14:paraId="16719334" w14:textId="1AF8FB96" w:rsidR="00351423" w:rsidRPr="00DB610E" w:rsidRDefault="0070258F" w:rsidP="00251D63">
            <w:pPr>
              <w:jc w:val="left"/>
              <w:rPr>
                <w:rFonts w:ascii="Arial Narrow" w:hAnsi="Arial Narrow"/>
                <w:sz w:val="20"/>
                <w:szCs w:val="20"/>
              </w:rPr>
            </w:pPr>
            <w:r>
              <w:rPr>
                <w:rFonts w:ascii="Arial Narrow" w:hAnsi="Arial Narrow"/>
                <w:sz w:val="20"/>
                <w:szCs w:val="20"/>
              </w:rPr>
              <w:t>Doptelet</w:t>
            </w:r>
          </w:p>
        </w:tc>
      </w:tr>
    </w:tbl>
    <w:p w14:paraId="22BAEBD6" w14:textId="1F47E4CD" w:rsidR="00046D64" w:rsidRDefault="002C22D4" w:rsidP="002C22D4">
      <w:pPr>
        <w:rPr>
          <w:rFonts w:ascii="Arial Narrow" w:hAnsi="Arial Narrow"/>
          <w:sz w:val="18"/>
          <w:szCs w:val="18"/>
        </w:rPr>
      </w:pPr>
      <w:r w:rsidRPr="002C22D4">
        <w:rPr>
          <w:rFonts w:ascii="Arial Narrow" w:hAnsi="Arial Narrow"/>
          <w:sz w:val="18"/>
          <w:szCs w:val="18"/>
          <w:vertAlign w:val="superscript"/>
        </w:rPr>
        <w:t>a</w:t>
      </w:r>
      <w:r w:rsidR="00940325" w:rsidRPr="002C22D4">
        <w:rPr>
          <w:rFonts w:ascii="Arial Narrow" w:hAnsi="Arial Narrow"/>
          <w:sz w:val="18"/>
          <w:szCs w:val="18"/>
        </w:rPr>
        <w:t xml:space="preserve"> The submission specified capsules but the </w:t>
      </w:r>
      <w:r w:rsidRPr="002C22D4">
        <w:rPr>
          <w:rFonts w:ascii="Arial Narrow" w:hAnsi="Arial Narrow"/>
          <w:sz w:val="18"/>
          <w:szCs w:val="18"/>
        </w:rPr>
        <w:t>unit of use is a tablet.</w:t>
      </w:r>
    </w:p>
    <w:p w14:paraId="24214E30" w14:textId="3D2079A4" w:rsidR="00C765F3" w:rsidRDefault="00C765F3" w:rsidP="002C22D4">
      <w:pPr>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rPr>
        <w:t xml:space="preserve"> </w:t>
      </w:r>
      <w:r w:rsidR="00761B31" w:rsidRPr="00761B31">
        <w:rPr>
          <w:rFonts w:ascii="Arial Narrow" w:hAnsi="Arial Narrow"/>
          <w:sz w:val="18"/>
          <w:szCs w:val="18"/>
        </w:rPr>
        <w:t>The</w:t>
      </w:r>
      <w:r w:rsidR="00761B31">
        <w:rPr>
          <w:rFonts w:ascii="Arial Narrow" w:hAnsi="Arial Narrow"/>
          <w:sz w:val="18"/>
          <w:szCs w:val="18"/>
        </w:rPr>
        <w:t xml:space="preserve"> submission used an incorrect</w:t>
      </w:r>
      <w:r w:rsidR="00761B31" w:rsidRPr="00761B31">
        <w:rPr>
          <w:rFonts w:ascii="Arial Narrow" w:hAnsi="Arial Narrow"/>
          <w:sz w:val="18"/>
          <w:szCs w:val="18"/>
        </w:rPr>
        <w:t xml:space="preserve"> dispensing fee </w:t>
      </w:r>
      <w:r w:rsidR="00761B31">
        <w:rPr>
          <w:rFonts w:ascii="Arial Narrow" w:hAnsi="Arial Narrow"/>
          <w:sz w:val="18"/>
          <w:szCs w:val="18"/>
        </w:rPr>
        <w:t>of</w:t>
      </w:r>
      <w:r w:rsidR="00761B31" w:rsidRPr="00761B31">
        <w:rPr>
          <w:rFonts w:ascii="Arial Narrow" w:hAnsi="Arial Narrow"/>
          <w:sz w:val="18"/>
          <w:szCs w:val="18"/>
        </w:rPr>
        <w:t xml:space="preserve"> $7.78 </w:t>
      </w:r>
      <w:r w:rsidR="00761B31">
        <w:rPr>
          <w:rFonts w:ascii="Arial Narrow" w:hAnsi="Arial Narrow"/>
          <w:sz w:val="18"/>
          <w:szCs w:val="18"/>
        </w:rPr>
        <w:t>instead of</w:t>
      </w:r>
      <w:r w:rsidR="00761B31" w:rsidRPr="00761B31">
        <w:rPr>
          <w:rFonts w:ascii="Arial Narrow" w:hAnsi="Arial Narrow"/>
          <w:sz w:val="18"/>
          <w:szCs w:val="18"/>
        </w:rPr>
        <w:t xml:space="preserve"> $7.82.</w:t>
      </w:r>
    </w:p>
    <w:p w14:paraId="735CFADD" w14:textId="3CCE8818" w:rsidR="00C765F3" w:rsidRPr="002C22D4" w:rsidRDefault="00C765F3" w:rsidP="002C22D4">
      <w:pPr>
        <w:rPr>
          <w:rFonts w:ascii="Arial Narrow" w:hAnsi="Arial Narrow"/>
          <w:sz w:val="18"/>
          <w:szCs w:val="18"/>
        </w:rPr>
      </w:pPr>
      <w:r w:rsidRPr="00C765F3">
        <w:rPr>
          <w:rFonts w:ascii="Arial Narrow" w:hAnsi="Arial Narrow"/>
          <w:sz w:val="18"/>
          <w:szCs w:val="18"/>
          <w:vertAlign w:val="superscript"/>
        </w:rPr>
        <w:t>c</w:t>
      </w:r>
      <w:r>
        <w:rPr>
          <w:rFonts w:ascii="Arial Narrow" w:hAnsi="Arial Narrow"/>
          <w:sz w:val="18"/>
          <w:szCs w:val="18"/>
        </w:rPr>
        <w:t xml:space="preserve"> The submission requested </w:t>
      </w:r>
      <w:r w:rsidRPr="00C765F3">
        <w:rPr>
          <w:rFonts w:ascii="Arial Narrow" w:hAnsi="Arial Narrow"/>
          <w:sz w:val="18"/>
          <w:szCs w:val="18"/>
        </w:rPr>
        <w:t>2 packs as the maximum quantity whereas the financial estimates</w:t>
      </w:r>
      <w:r w:rsidR="00B47DE5">
        <w:rPr>
          <w:rFonts w:ascii="Arial Narrow" w:hAnsi="Arial Narrow"/>
          <w:sz w:val="18"/>
          <w:szCs w:val="18"/>
        </w:rPr>
        <w:t xml:space="preserve"> assumed the maximum quantity was</w:t>
      </w:r>
      <w:r w:rsidRPr="00C765F3">
        <w:rPr>
          <w:rFonts w:ascii="Arial Narrow" w:hAnsi="Arial Narrow"/>
          <w:sz w:val="18"/>
          <w:szCs w:val="18"/>
        </w:rPr>
        <w:t xml:space="preserve"> 1 pack</w:t>
      </w:r>
      <w:r>
        <w:rPr>
          <w:rFonts w:ascii="Arial Narrow" w:hAnsi="Arial Narrow"/>
          <w:sz w:val="18"/>
          <w:szCs w:val="18"/>
        </w:rPr>
        <w:t>.</w:t>
      </w:r>
    </w:p>
    <w:p w14:paraId="7FECC9AF" w14:textId="77777777" w:rsidR="002C22D4" w:rsidRPr="00DB610E" w:rsidRDefault="002C22D4" w:rsidP="004B1CB4">
      <w:pP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838"/>
        <w:gridCol w:w="7179"/>
      </w:tblGrid>
      <w:tr w:rsidR="00351423" w:rsidRPr="00DB610E" w14:paraId="36AB6E1F" w14:textId="77777777" w:rsidTr="00942547">
        <w:tc>
          <w:tcPr>
            <w:tcW w:w="1019" w:type="pct"/>
          </w:tcPr>
          <w:p w14:paraId="2471D4B5" w14:textId="77777777" w:rsidR="00351423" w:rsidRPr="00076966" w:rsidRDefault="00351423" w:rsidP="00942547">
            <w:pPr>
              <w:rPr>
                <w:rFonts w:ascii="Arial Narrow" w:hAnsi="Arial Narrow"/>
                <w:b/>
                <w:bCs/>
                <w:sz w:val="20"/>
                <w:szCs w:val="20"/>
              </w:rPr>
            </w:pPr>
            <w:r w:rsidRPr="00076966">
              <w:rPr>
                <w:rFonts w:ascii="Arial Narrow" w:hAnsi="Arial Narrow"/>
                <w:b/>
                <w:bCs/>
                <w:sz w:val="20"/>
                <w:szCs w:val="20"/>
              </w:rPr>
              <w:t>Category / Program:</w:t>
            </w:r>
          </w:p>
        </w:tc>
        <w:tc>
          <w:tcPr>
            <w:tcW w:w="3981" w:type="pct"/>
          </w:tcPr>
          <w:p w14:paraId="3DF9E3F8" w14:textId="77777777" w:rsidR="00351423" w:rsidRPr="00DB610E" w:rsidRDefault="00351423" w:rsidP="00942547">
            <w:pPr>
              <w:rPr>
                <w:rFonts w:ascii="Arial Narrow" w:hAnsi="Arial Narrow"/>
                <w:sz w:val="20"/>
                <w:szCs w:val="20"/>
              </w:rPr>
            </w:pPr>
            <w:r w:rsidRPr="00DB610E">
              <w:rPr>
                <w:rFonts w:ascii="Arial Narrow" w:hAnsi="Arial Narrow"/>
                <w:sz w:val="20"/>
                <w:szCs w:val="20"/>
              </w:rPr>
              <w:t>S100 - Highly Specialised Drugs</w:t>
            </w:r>
          </w:p>
        </w:tc>
      </w:tr>
      <w:tr w:rsidR="00351423" w:rsidRPr="00DB610E" w14:paraId="3294C799" w14:textId="77777777" w:rsidTr="00942547">
        <w:tc>
          <w:tcPr>
            <w:tcW w:w="1019" w:type="pct"/>
          </w:tcPr>
          <w:p w14:paraId="69AC6A9C" w14:textId="77777777" w:rsidR="00351423" w:rsidRPr="00076966" w:rsidRDefault="00351423" w:rsidP="00942547">
            <w:pPr>
              <w:rPr>
                <w:rFonts w:ascii="Arial Narrow" w:hAnsi="Arial Narrow"/>
                <w:b/>
                <w:bCs/>
                <w:sz w:val="20"/>
                <w:szCs w:val="20"/>
              </w:rPr>
            </w:pPr>
            <w:r w:rsidRPr="00076966">
              <w:rPr>
                <w:rFonts w:ascii="Arial Narrow" w:hAnsi="Arial Narrow"/>
                <w:b/>
                <w:bCs/>
                <w:sz w:val="20"/>
                <w:szCs w:val="20"/>
              </w:rPr>
              <w:t>Prescriber type:</w:t>
            </w:r>
          </w:p>
        </w:tc>
        <w:tc>
          <w:tcPr>
            <w:tcW w:w="3981" w:type="pct"/>
          </w:tcPr>
          <w:p w14:paraId="1682CA3A" w14:textId="77777777" w:rsidR="00351423" w:rsidRPr="00DB610E" w:rsidRDefault="00351423" w:rsidP="00942547">
            <w:pPr>
              <w:rPr>
                <w:rFonts w:ascii="Arial Narrow" w:hAnsi="Arial Narrow"/>
                <w:sz w:val="20"/>
                <w:szCs w:val="20"/>
              </w:rPr>
            </w:pPr>
            <w:r w:rsidRPr="00DB610E">
              <w:rPr>
                <w:rFonts w:ascii="Arial Narrow" w:hAnsi="Arial Narrow"/>
                <w:sz w:val="20"/>
                <w:szCs w:val="20"/>
              </w:rPr>
              <w:fldChar w:fldCharType="begin" w:fldLock="1">
                <w:ffData>
                  <w:name w:val=""/>
                  <w:enabled/>
                  <w:calcOnExit w:val="0"/>
                  <w:checkBox>
                    <w:sizeAuto/>
                    <w:default w:val="0"/>
                  </w:checkBox>
                </w:ffData>
              </w:fldChar>
            </w:r>
            <w:r w:rsidRPr="00DB610E">
              <w:rPr>
                <w:rFonts w:ascii="Arial Narrow" w:hAnsi="Arial Narrow"/>
                <w:sz w:val="20"/>
                <w:szCs w:val="20"/>
              </w:rPr>
              <w:instrText xml:space="preserve"> FORMCHECKBOX </w:instrText>
            </w:r>
            <w:r w:rsidR="0026219D">
              <w:rPr>
                <w:rFonts w:ascii="Arial Narrow" w:hAnsi="Arial Narrow"/>
                <w:sz w:val="20"/>
                <w:szCs w:val="20"/>
              </w:rPr>
            </w:r>
            <w:r w:rsidR="0026219D">
              <w:rPr>
                <w:rFonts w:ascii="Arial Narrow" w:hAnsi="Arial Narrow"/>
                <w:sz w:val="20"/>
                <w:szCs w:val="20"/>
              </w:rPr>
              <w:fldChar w:fldCharType="separate"/>
            </w:r>
            <w:r w:rsidRPr="00DB610E">
              <w:rPr>
                <w:rFonts w:ascii="Arial Narrow" w:hAnsi="Arial Narrow"/>
                <w:sz w:val="20"/>
                <w:szCs w:val="20"/>
              </w:rPr>
              <w:fldChar w:fldCharType="end"/>
            </w:r>
            <w:r w:rsidRPr="00DB610E">
              <w:rPr>
                <w:rFonts w:ascii="Arial Narrow" w:hAnsi="Arial Narrow"/>
                <w:sz w:val="20"/>
                <w:szCs w:val="20"/>
              </w:rPr>
              <w:t xml:space="preserve">Medical Practitioners </w:t>
            </w:r>
          </w:p>
        </w:tc>
      </w:tr>
      <w:tr w:rsidR="00351423" w:rsidRPr="00DB610E" w14:paraId="71C2DF2C" w14:textId="77777777" w:rsidTr="00942547">
        <w:tc>
          <w:tcPr>
            <w:tcW w:w="1019" w:type="pct"/>
          </w:tcPr>
          <w:p w14:paraId="10B9F8B9" w14:textId="77777777" w:rsidR="00351423" w:rsidRPr="00076966" w:rsidRDefault="00351423" w:rsidP="00942547">
            <w:pPr>
              <w:rPr>
                <w:rFonts w:ascii="Arial Narrow" w:hAnsi="Arial Narrow"/>
                <w:b/>
                <w:bCs/>
                <w:sz w:val="20"/>
                <w:szCs w:val="20"/>
              </w:rPr>
            </w:pPr>
            <w:r w:rsidRPr="00076966">
              <w:rPr>
                <w:rFonts w:ascii="Arial Narrow" w:hAnsi="Arial Narrow"/>
                <w:b/>
                <w:bCs/>
                <w:sz w:val="20"/>
                <w:szCs w:val="20"/>
              </w:rPr>
              <w:t xml:space="preserve">Restriction type:  </w:t>
            </w:r>
          </w:p>
        </w:tc>
        <w:tc>
          <w:tcPr>
            <w:tcW w:w="3981" w:type="pct"/>
          </w:tcPr>
          <w:p w14:paraId="49879744" w14:textId="77777777" w:rsidR="00351423" w:rsidRPr="00DB610E" w:rsidRDefault="00351423" w:rsidP="00942547">
            <w:pPr>
              <w:rPr>
                <w:rFonts w:ascii="Arial Narrow" w:hAnsi="Arial Narrow"/>
                <w:sz w:val="20"/>
                <w:szCs w:val="20"/>
              </w:rPr>
            </w:pPr>
            <w:r w:rsidRPr="00DB610E">
              <w:rPr>
                <w:rFonts w:ascii="Arial Narrow" w:hAnsi="Arial Narrow"/>
                <w:sz w:val="20"/>
                <w:szCs w:val="20"/>
              </w:rPr>
              <w:fldChar w:fldCharType="begin" w:fldLock="1">
                <w:ffData>
                  <w:name w:val=""/>
                  <w:enabled/>
                  <w:calcOnExit w:val="0"/>
                  <w:checkBox>
                    <w:sizeAuto/>
                    <w:default w:val="0"/>
                  </w:checkBox>
                </w:ffData>
              </w:fldChar>
            </w:r>
            <w:r w:rsidRPr="00DB610E">
              <w:rPr>
                <w:rFonts w:ascii="Arial Narrow" w:hAnsi="Arial Narrow"/>
                <w:sz w:val="20"/>
                <w:szCs w:val="20"/>
              </w:rPr>
              <w:instrText xml:space="preserve"> FORMCHECKBOX </w:instrText>
            </w:r>
            <w:r w:rsidR="0026219D">
              <w:rPr>
                <w:rFonts w:ascii="Arial Narrow" w:hAnsi="Arial Narrow"/>
                <w:sz w:val="20"/>
                <w:szCs w:val="20"/>
              </w:rPr>
            </w:r>
            <w:r w:rsidR="0026219D">
              <w:rPr>
                <w:rFonts w:ascii="Arial Narrow" w:hAnsi="Arial Narrow"/>
                <w:sz w:val="20"/>
                <w:szCs w:val="20"/>
              </w:rPr>
              <w:fldChar w:fldCharType="separate"/>
            </w:r>
            <w:r w:rsidRPr="00DB610E">
              <w:rPr>
                <w:rFonts w:ascii="Arial Narrow" w:hAnsi="Arial Narrow"/>
                <w:sz w:val="20"/>
                <w:szCs w:val="20"/>
              </w:rPr>
              <w:fldChar w:fldCharType="end"/>
            </w:r>
            <w:r w:rsidRPr="00DB610E">
              <w:rPr>
                <w:rFonts w:ascii="Arial Narrow" w:hAnsi="Arial Narrow"/>
                <w:sz w:val="20"/>
                <w:szCs w:val="20"/>
              </w:rPr>
              <w:t xml:space="preserve">Authority Required (in writing only via post/HPOS upload)  </w:t>
            </w:r>
          </w:p>
        </w:tc>
      </w:tr>
      <w:tr w:rsidR="00351423" w:rsidRPr="00DB610E" w14:paraId="6F8D8DF3" w14:textId="77777777" w:rsidTr="00942547">
        <w:tc>
          <w:tcPr>
            <w:tcW w:w="1019" w:type="pct"/>
          </w:tcPr>
          <w:p w14:paraId="22539BDB" w14:textId="77777777" w:rsidR="00351423" w:rsidRDefault="00351423" w:rsidP="00942547">
            <w:pPr>
              <w:rPr>
                <w:rFonts w:ascii="Arial Narrow" w:hAnsi="Arial Narrow"/>
                <w:b/>
                <w:bCs/>
                <w:strike/>
                <w:sz w:val="20"/>
                <w:szCs w:val="20"/>
              </w:rPr>
            </w:pPr>
            <w:r w:rsidRPr="00B67C93">
              <w:rPr>
                <w:rFonts w:ascii="Arial Narrow" w:hAnsi="Arial Narrow"/>
                <w:b/>
                <w:bCs/>
                <w:strike/>
                <w:sz w:val="20"/>
                <w:szCs w:val="20"/>
              </w:rPr>
              <w:t>Administrative Advice:</w:t>
            </w:r>
            <w:r w:rsidR="00B67C93">
              <w:rPr>
                <w:rFonts w:ascii="Arial Narrow" w:hAnsi="Arial Narrow"/>
                <w:b/>
                <w:bCs/>
                <w:strike/>
                <w:sz w:val="20"/>
                <w:szCs w:val="20"/>
              </w:rPr>
              <w:t xml:space="preserve"> </w:t>
            </w:r>
          </w:p>
          <w:p w14:paraId="5BF88229" w14:textId="5D56BD55" w:rsidR="00B67C93" w:rsidRPr="00B67C93" w:rsidRDefault="00B67C93" w:rsidP="00942547">
            <w:pPr>
              <w:rPr>
                <w:rFonts w:ascii="Arial Narrow" w:hAnsi="Arial Narrow"/>
                <w:b/>
                <w:bCs/>
                <w:i/>
                <w:iCs/>
                <w:sz w:val="20"/>
                <w:szCs w:val="20"/>
              </w:rPr>
            </w:pPr>
            <w:r w:rsidRPr="00B67C93">
              <w:rPr>
                <w:rFonts w:ascii="Arial Narrow" w:hAnsi="Arial Narrow"/>
                <w:b/>
                <w:bCs/>
                <w:i/>
                <w:iCs/>
                <w:sz w:val="20"/>
                <w:szCs w:val="20"/>
              </w:rPr>
              <w:t>Prescribing Instructions:</w:t>
            </w:r>
          </w:p>
        </w:tc>
        <w:tc>
          <w:tcPr>
            <w:tcW w:w="3981" w:type="pct"/>
            <w:vAlign w:val="center"/>
          </w:tcPr>
          <w:p w14:paraId="5D32F0E4" w14:textId="77777777" w:rsidR="00351423" w:rsidRDefault="00351423" w:rsidP="00942547">
            <w:pPr>
              <w:rPr>
                <w:rFonts w:ascii="Arial Narrow" w:hAnsi="Arial Narrow"/>
                <w:sz w:val="20"/>
                <w:szCs w:val="20"/>
              </w:rPr>
            </w:pPr>
            <w:r w:rsidRPr="00B67C93">
              <w:rPr>
                <w:rFonts w:ascii="Arial Narrow" w:hAnsi="Arial Narrow"/>
                <w:strike/>
                <w:sz w:val="20"/>
                <w:szCs w:val="20"/>
              </w:rPr>
              <w:t xml:space="preserve">The authority application must be made in writing and must include: </w:t>
            </w:r>
            <w:r w:rsidRPr="00B67C93">
              <w:rPr>
                <w:rFonts w:ascii="Arial Narrow" w:hAnsi="Arial Narrow"/>
                <w:strike/>
                <w:sz w:val="20"/>
                <w:szCs w:val="20"/>
                <w:lang w:val="de-DE"/>
              </w:rPr>
              <w:t xml:space="preserve">a completed authority prescription form, a completed Idiopathic Thrombocytopenic Purpura Initial PBS Authority Application - Supporting Information Form, and a platelet count supporting the diagnosis of ITP. </w:t>
            </w:r>
            <w:r w:rsidRPr="00B67C93">
              <w:rPr>
                <w:rFonts w:ascii="Arial Narrow" w:hAnsi="Arial Narrow"/>
                <w:strike/>
                <w:sz w:val="20"/>
                <w:szCs w:val="20"/>
              </w:rPr>
              <w:t>The platelet count must be no more than 4 weeks old at the time of application.</w:t>
            </w:r>
            <w:r w:rsidR="00B67C93">
              <w:rPr>
                <w:rFonts w:ascii="Arial Narrow" w:hAnsi="Arial Narrow"/>
                <w:strike/>
                <w:sz w:val="20"/>
                <w:szCs w:val="20"/>
              </w:rPr>
              <w:t xml:space="preserve"> </w:t>
            </w:r>
          </w:p>
          <w:p w14:paraId="25E3C1BE" w14:textId="77777777" w:rsidR="00B67C93" w:rsidRDefault="00B67C93" w:rsidP="00942547">
            <w:pPr>
              <w:rPr>
                <w:rFonts w:ascii="Arial Narrow" w:hAnsi="Arial Narrow"/>
                <w:sz w:val="20"/>
                <w:szCs w:val="20"/>
              </w:rPr>
            </w:pPr>
          </w:p>
          <w:p w14:paraId="2D8C4A40" w14:textId="77777777" w:rsidR="00B67C93" w:rsidRPr="001F62E1" w:rsidRDefault="00B67C93" w:rsidP="00B67C93">
            <w:pPr>
              <w:rPr>
                <w:rFonts w:ascii="Arial Narrow" w:hAnsi="Arial Narrow"/>
                <w:i/>
                <w:iCs/>
                <w:color w:val="333333"/>
                <w:sz w:val="20"/>
                <w:szCs w:val="20"/>
              </w:rPr>
            </w:pPr>
            <w:r w:rsidRPr="001F62E1">
              <w:rPr>
                <w:rFonts w:ascii="Arial Narrow" w:hAnsi="Arial Narrow"/>
                <w:i/>
                <w:iCs/>
                <w:color w:val="333333"/>
                <w:sz w:val="20"/>
                <w:szCs w:val="20"/>
              </w:rPr>
              <w:t xml:space="preserve">The authority application must be made via the Online PBS Authorities System (real time assessment), or in writing via HPOS form upload or mail and must include: </w:t>
            </w:r>
          </w:p>
          <w:p w14:paraId="7A0943E0" w14:textId="77777777" w:rsidR="00B67C93" w:rsidRPr="001F62E1" w:rsidRDefault="00B67C93" w:rsidP="00B67C93">
            <w:pPr>
              <w:rPr>
                <w:rFonts w:ascii="Arial Narrow" w:hAnsi="Arial Narrow"/>
                <w:i/>
                <w:iCs/>
                <w:color w:val="333333"/>
                <w:sz w:val="20"/>
                <w:szCs w:val="20"/>
              </w:rPr>
            </w:pPr>
            <w:r w:rsidRPr="001F62E1">
              <w:rPr>
                <w:rFonts w:ascii="Arial Narrow" w:hAnsi="Arial Narrow"/>
                <w:i/>
                <w:iCs/>
                <w:color w:val="333333"/>
                <w:sz w:val="20"/>
                <w:szCs w:val="20"/>
              </w:rPr>
              <w:t>(a) details (date, unique identifying number/code or provider number) of the pathology report supporting the diagnosis of ITP</w:t>
            </w:r>
          </w:p>
          <w:p w14:paraId="507DE548" w14:textId="77777777" w:rsidR="00B67C93" w:rsidRPr="001F62E1" w:rsidRDefault="00B67C93" w:rsidP="00B67C93">
            <w:pPr>
              <w:rPr>
                <w:rFonts w:ascii="Arial Narrow" w:hAnsi="Arial Narrow"/>
                <w:i/>
                <w:iCs/>
                <w:sz w:val="20"/>
                <w:szCs w:val="20"/>
              </w:rPr>
            </w:pPr>
            <w:r w:rsidRPr="001F62E1">
              <w:rPr>
                <w:rFonts w:ascii="Arial Narrow" w:hAnsi="Arial Narrow"/>
                <w:i/>
                <w:iCs/>
                <w:sz w:val="20"/>
                <w:szCs w:val="20"/>
              </w:rPr>
              <w:t>(b) current platelet count</w:t>
            </w:r>
          </w:p>
          <w:p w14:paraId="08D1CD35" w14:textId="77777777" w:rsidR="00B67C93" w:rsidRPr="001F62E1" w:rsidRDefault="00B67C93" w:rsidP="00B67C93">
            <w:pPr>
              <w:rPr>
                <w:rFonts w:ascii="Arial Narrow" w:hAnsi="Arial Narrow"/>
                <w:i/>
                <w:iCs/>
                <w:sz w:val="20"/>
                <w:szCs w:val="20"/>
              </w:rPr>
            </w:pPr>
          </w:p>
          <w:p w14:paraId="67A63D61" w14:textId="73BA19C1" w:rsidR="00B67C93" w:rsidRPr="00B67C93" w:rsidRDefault="00B67C93" w:rsidP="00B67C93">
            <w:pPr>
              <w:rPr>
                <w:rFonts w:ascii="Arial Narrow" w:hAnsi="Arial Narrow"/>
                <w:sz w:val="20"/>
                <w:szCs w:val="20"/>
              </w:rPr>
            </w:pPr>
            <w:r w:rsidRPr="001F62E1">
              <w:rPr>
                <w:rFonts w:ascii="Arial Narrow" w:hAnsi="Arial Narrow"/>
                <w:i/>
                <w:iCs/>
                <w:color w:val="333333"/>
                <w:sz w:val="20"/>
                <w:szCs w:val="20"/>
              </w:rPr>
              <w:t>All reports must be documented in the patient’s medical records.</w:t>
            </w:r>
          </w:p>
        </w:tc>
      </w:tr>
      <w:tr w:rsidR="00351423" w:rsidRPr="00DB610E" w14:paraId="50534CEE" w14:textId="77777777" w:rsidTr="00942547">
        <w:tc>
          <w:tcPr>
            <w:tcW w:w="1019" w:type="pct"/>
          </w:tcPr>
          <w:p w14:paraId="248B89B5" w14:textId="77777777" w:rsidR="00351423" w:rsidRPr="00076966" w:rsidRDefault="00351423" w:rsidP="00942547">
            <w:pPr>
              <w:rPr>
                <w:rFonts w:ascii="Arial Narrow" w:hAnsi="Arial Narrow"/>
                <w:b/>
                <w:bCs/>
                <w:sz w:val="20"/>
                <w:szCs w:val="20"/>
              </w:rPr>
            </w:pPr>
            <w:r w:rsidRPr="00076966">
              <w:rPr>
                <w:rFonts w:ascii="Arial Narrow" w:hAnsi="Arial Narrow"/>
                <w:b/>
                <w:bCs/>
                <w:sz w:val="20"/>
                <w:szCs w:val="20"/>
              </w:rPr>
              <w:t>Condition:</w:t>
            </w:r>
          </w:p>
        </w:tc>
        <w:tc>
          <w:tcPr>
            <w:tcW w:w="3981" w:type="pct"/>
            <w:vAlign w:val="center"/>
          </w:tcPr>
          <w:p w14:paraId="182EA3EC" w14:textId="77777777" w:rsidR="00351423" w:rsidRPr="00DB610E" w:rsidRDefault="00351423" w:rsidP="00942547">
            <w:pPr>
              <w:rPr>
                <w:rFonts w:ascii="Arial Narrow" w:hAnsi="Arial Narrow"/>
                <w:sz w:val="20"/>
                <w:szCs w:val="20"/>
              </w:rPr>
            </w:pPr>
            <w:r w:rsidRPr="00DB610E">
              <w:rPr>
                <w:rFonts w:ascii="Arial Narrow" w:hAnsi="Arial Narrow"/>
                <w:sz w:val="20"/>
                <w:szCs w:val="20"/>
              </w:rPr>
              <w:t>Severe thrombocytopenia in patients with chronic ITP</w:t>
            </w:r>
          </w:p>
        </w:tc>
      </w:tr>
      <w:tr w:rsidR="00351423" w:rsidRPr="00DB610E" w14:paraId="5481916E" w14:textId="77777777" w:rsidTr="00942547">
        <w:tc>
          <w:tcPr>
            <w:tcW w:w="1019" w:type="pct"/>
          </w:tcPr>
          <w:p w14:paraId="26BB2925" w14:textId="77777777" w:rsidR="00351423" w:rsidRPr="0080246B" w:rsidRDefault="00351423" w:rsidP="00942547">
            <w:pPr>
              <w:rPr>
                <w:rFonts w:ascii="Arial Narrow" w:hAnsi="Arial Narrow"/>
                <w:b/>
                <w:bCs/>
                <w:strike/>
                <w:sz w:val="20"/>
                <w:szCs w:val="20"/>
              </w:rPr>
            </w:pPr>
            <w:r w:rsidRPr="0080246B">
              <w:rPr>
                <w:rFonts w:ascii="Arial Narrow" w:hAnsi="Arial Narrow"/>
                <w:b/>
                <w:bCs/>
                <w:strike/>
                <w:sz w:val="20"/>
                <w:szCs w:val="20"/>
              </w:rPr>
              <w:t>Population criteria:</w:t>
            </w:r>
          </w:p>
        </w:tc>
        <w:tc>
          <w:tcPr>
            <w:tcW w:w="3981" w:type="pct"/>
            <w:vAlign w:val="center"/>
          </w:tcPr>
          <w:p w14:paraId="75262C62" w14:textId="77777777" w:rsidR="00351423" w:rsidRPr="0080246B" w:rsidRDefault="00351423" w:rsidP="00942547">
            <w:pPr>
              <w:rPr>
                <w:rFonts w:ascii="Arial Narrow" w:hAnsi="Arial Narrow"/>
                <w:strike/>
                <w:sz w:val="20"/>
                <w:szCs w:val="20"/>
              </w:rPr>
            </w:pPr>
            <w:r w:rsidRPr="0080246B">
              <w:rPr>
                <w:rFonts w:ascii="Arial Narrow" w:hAnsi="Arial Narrow"/>
                <w:strike/>
                <w:sz w:val="20"/>
                <w:szCs w:val="20"/>
              </w:rPr>
              <w:t>Patient must be aged 18 years or older</w:t>
            </w:r>
          </w:p>
        </w:tc>
      </w:tr>
      <w:tr w:rsidR="00351423" w:rsidRPr="00DB610E" w14:paraId="7310A923" w14:textId="77777777" w:rsidTr="00942547">
        <w:tc>
          <w:tcPr>
            <w:tcW w:w="1019" w:type="pct"/>
          </w:tcPr>
          <w:p w14:paraId="09B4FD1C" w14:textId="77777777" w:rsidR="00351423" w:rsidRPr="00076966" w:rsidRDefault="00351423" w:rsidP="00942547">
            <w:pPr>
              <w:rPr>
                <w:rFonts w:ascii="Arial Narrow" w:hAnsi="Arial Narrow"/>
                <w:b/>
                <w:bCs/>
                <w:sz w:val="20"/>
                <w:szCs w:val="20"/>
              </w:rPr>
            </w:pPr>
          </w:p>
        </w:tc>
        <w:tc>
          <w:tcPr>
            <w:tcW w:w="3981" w:type="pct"/>
            <w:vAlign w:val="center"/>
          </w:tcPr>
          <w:p w14:paraId="7F5ECDF8" w14:textId="77777777" w:rsidR="00351423" w:rsidRPr="00DB610E" w:rsidRDefault="00351423" w:rsidP="00942547">
            <w:pPr>
              <w:rPr>
                <w:rFonts w:ascii="Arial Narrow" w:hAnsi="Arial Narrow"/>
                <w:sz w:val="20"/>
                <w:szCs w:val="20"/>
              </w:rPr>
            </w:pPr>
          </w:p>
        </w:tc>
      </w:tr>
      <w:tr w:rsidR="00351423" w:rsidRPr="00DB610E" w14:paraId="2C4185AA" w14:textId="77777777" w:rsidTr="00942547">
        <w:tc>
          <w:tcPr>
            <w:tcW w:w="1019" w:type="pct"/>
          </w:tcPr>
          <w:p w14:paraId="6135A244" w14:textId="77777777" w:rsidR="00351423" w:rsidRPr="00076966" w:rsidRDefault="00351423" w:rsidP="00942547">
            <w:pPr>
              <w:rPr>
                <w:rFonts w:ascii="Arial Narrow" w:hAnsi="Arial Narrow"/>
                <w:b/>
                <w:bCs/>
                <w:sz w:val="20"/>
                <w:szCs w:val="20"/>
              </w:rPr>
            </w:pPr>
            <w:r w:rsidRPr="00076966">
              <w:rPr>
                <w:rFonts w:ascii="Arial Narrow" w:hAnsi="Arial Narrow"/>
                <w:b/>
                <w:bCs/>
                <w:sz w:val="20"/>
                <w:szCs w:val="20"/>
              </w:rPr>
              <w:t>Treatment Phase:</w:t>
            </w:r>
          </w:p>
        </w:tc>
        <w:tc>
          <w:tcPr>
            <w:tcW w:w="3981" w:type="pct"/>
            <w:vAlign w:val="center"/>
            <w:hideMark/>
          </w:tcPr>
          <w:p w14:paraId="619F02F6" w14:textId="77777777" w:rsidR="00351423" w:rsidRPr="00DB610E" w:rsidRDefault="00351423" w:rsidP="00942547">
            <w:pPr>
              <w:rPr>
                <w:rFonts w:ascii="Arial Narrow" w:hAnsi="Arial Narrow"/>
                <w:sz w:val="20"/>
                <w:szCs w:val="20"/>
              </w:rPr>
            </w:pPr>
            <w:r w:rsidRPr="00DB610E">
              <w:rPr>
                <w:rFonts w:ascii="Arial Narrow" w:hAnsi="Arial Narrow"/>
                <w:color w:val="000000" w:themeColor="text1"/>
                <w:sz w:val="20"/>
                <w:szCs w:val="20"/>
              </w:rPr>
              <w:t>Initial Treatment</w:t>
            </w:r>
          </w:p>
        </w:tc>
      </w:tr>
      <w:tr w:rsidR="00351423" w:rsidRPr="00DB610E" w14:paraId="66227A7A" w14:textId="77777777" w:rsidTr="00942547">
        <w:tc>
          <w:tcPr>
            <w:tcW w:w="1019" w:type="pct"/>
          </w:tcPr>
          <w:p w14:paraId="68B18C9E" w14:textId="77777777" w:rsidR="00351423" w:rsidRPr="00B67C93" w:rsidRDefault="00351423" w:rsidP="00942547">
            <w:pPr>
              <w:rPr>
                <w:rFonts w:ascii="Arial Narrow" w:hAnsi="Arial Narrow"/>
                <w:b/>
                <w:bCs/>
                <w:strike/>
                <w:sz w:val="20"/>
                <w:szCs w:val="20"/>
              </w:rPr>
            </w:pPr>
            <w:r w:rsidRPr="00B67C93">
              <w:rPr>
                <w:rFonts w:ascii="Arial Narrow" w:hAnsi="Arial Narrow"/>
                <w:b/>
                <w:bCs/>
                <w:strike/>
                <w:sz w:val="20"/>
                <w:szCs w:val="20"/>
              </w:rPr>
              <w:lastRenderedPageBreak/>
              <w:t>Clinical criteria:</w:t>
            </w:r>
          </w:p>
        </w:tc>
        <w:tc>
          <w:tcPr>
            <w:tcW w:w="3981" w:type="pct"/>
            <w:vAlign w:val="center"/>
            <w:hideMark/>
          </w:tcPr>
          <w:p w14:paraId="7E6C7CA2" w14:textId="77777777" w:rsidR="00351423" w:rsidRPr="00B67C93" w:rsidRDefault="00351423" w:rsidP="00942547">
            <w:pPr>
              <w:rPr>
                <w:rFonts w:ascii="Arial Narrow" w:hAnsi="Arial Narrow"/>
                <w:strike/>
                <w:sz w:val="20"/>
                <w:szCs w:val="20"/>
                <w:lang w:val="de-DE"/>
              </w:rPr>
            </w:pPr>
            <w:r w:rsidRPr="00B67C93">
              <w:rPr>
                <w:rFonts w:ascii="Arial Narrow" w:hAnsi="Arial Narrow"/>
                <w:strike/>
                <w:sz w:val="20"/>
                <w:szCs w:val="20"/>
                <w:lang w:val="de-DE"/>
              </w:rPr>
              <w:t xml:space="preserve">Patient must have failed to achieve an adequate response to both corticosteroid therapy and immunoglobulin therapy (inadequate response = platelet count </w:t>
            </w:r>
            <w:r w:rsidRPr="00B67C93">
              <w:rPr>
                <w:rFonts w:ascii="Arial Narrow" w:hAnsi="Arial Narrow"/>
                <w:strike/>
                <w:sz w:val="20"/>
                <w:szCs w:val="20"/>
                <w:lang w:val="de-DE"/>
              </w:rPr>
              <w:sym w:font="Symbol" w:char="F0A3"/>
            </w:r>
            <w:r w:rsidRPr="00B67C93">
              <w:rPr>
                <w:rFonts w:ascii="Arial Narrow" w:hAnsi="Arial Narrow"/>
                <w:strike/>
                <w:sz w:val="20"/>
                <w:szCs w:val="20"/>
                <w:lang w:val="de-DE"/>
              </w:rPr>
              <w:t xml:space="preserve"> 20 x 10</w:t>
            </w:r>
            <w:r w:rsidRPr="00B67C93">
              <w:rPr>
                <w:rFonts w:ascii="Arial Narrow" w:hAnsi="Arial Narrow"/>
                <w:strike/>
                <w:sz w:val="20"/>
                <w:szCs w:val="20"/>
                <w:vertAlign w:val="superscript"/>
                <w:lang w:val="de-DE"/>
              </w:rPr>
              <w:t>9</w:t>
            </w:r>
            <w:r w:rsidRPr="00B67C93">
              <w:rPr>
                <w:rFonts w:ascii="Arial Narrow" w:hAnsi="Arial Narrow"/>
                <w:strike/>
                <w:sz w:val="20"/>
                <w:szCs w:val="20"/>
                <w:lang w:val="de-DE"/>
              </w:rPr>
              <w:t>/L, or 20-30 x 10</w:t>
            </w:r>
            <w:r w:rsidRPr="00B67C93">
              <w:rPr>
                <w:rFonts w:ascii="Arial Narrow" w:hAnsi="Arial Narrow"/>
                <w:strike/>
                <w:sz w:val="20"/>
                <w:szCs w:val="20"/>
                <w:vertAlign w:val="superscript"/>
                <w:lang w:val="de-DE"/>
              </w:rPr>
              <w:t>9</w:t>
            </w:r>
            <w:r w:rsidRPr="00B67C93">
              <w:rPr>
                <w:rFonts w:ascii="Arial Narrow" w:hAnsi="Arial Narrow"/>
                <w:strike/>
                <w:sz w:val="20"/>
                <w:szCs w:val="20"/>
                <w:lang w:val="de-DE"/>
              </w:rPr>
              <w:t xml:space="preserve">/L </w:t>
            </w:r>
          </w:p>
          <w:p w14:paraId="22F660FE" w14:textId="1557255E" w:rsidR="00351423" w:rsidRPr="00B67C93" w:rsidRDefault="00351423" w:rsidP="00942547">
            <w:pPr>
              <w:rPr>
                <w:rFonts w:ascii="Arial Narrow" w:hAnsi="Arial Narrow"/>
                <w:strike/>
                <w:sz w:val="20"/>
                <w:szCs w:val="20"/>
                <w:lang w:val="de-DE"/>
              </w:rPr>
            </w:pPr>
            <w:r w:rsidRPr="00B67C93">
              <w:rPr>
                <w:rFonts w:ascii="Arial Narrow" w:hAnsi="Arial Narrow"/>
                <w:strike/>
                <w:sz w:val="20"/>
                <w:szCs w:val="20"/>
                <w:lang w:val="de-DE"/>
              </w:rPr>
              <w:t>and clinically significant bleeing or a history of clinically significant bleeding with platelet counts in this range)</w:t>
            </w:r>
            <w:r w:rsidR="00B67C93">
              <w:rPr>
                <w:rFonts w:ascii="Arial Narrow" w:hAnsi="Arial Narrow"/>
                <w:strike/>
                <w:sz w:val="20"/>
                <w:szCs w:val="20"/>
                <w:lang w:val="de-DE"/>
              </w:rPr>
              <w:t xml:space="preserve"> </w:t>
            </w:r>
            <w:r w:rsidR="00B67C93" w:rsidRPr="00B67C93">
              <w:rPr>
                <w:rFonts w:ascii="Arial Narrow" w:hAnsi="Arial Narrow"/>
                <w:sz w:val="20"/>
                <w:szCs w:val="20"/>
                <w:lang w:val="de-DE"/>
              </w:rPr>
              <w:t xml:space="preserve">Patient must have failed to achieve an adequate response to, </w:t>
            </w:r>
            <w:r w:rsidR="00B67C93" w:rsidRPr="00B67C93">
              <w:rPr>
                <w:rFonts w:ascii="Arial Narrow" w:hAnsi="Arial Narrow"/>
                <w:i/>
                <w:iCs/>
                <w:sz w:val="20"/>
                <w:szCs w:val="20"/>
                <w:lang w:val="de-DE"/>
              </w:rPr>
              <w:t>or be intolerant to</w:t>
            </w:r>
            <w:r w:rsidR="00B67C93" w:rsidRPr="00B67C93">
              <w:rPr>
                <w:rFonts w:ascii="Arial Narrow" w:hAnsi="Arial Narrow"/>
                <w:sz w:val="20"/>
                <w:szCs w:val="20"/>
                <w:lang w:val="de-DE"/>
              </w:rPr>
              <w:t>, immunoglobulin therapy</w:t>
            </w:r>
          </w:p>
          <w:p w14:paraId="60F3B9C7" w14:textId="43FA8A54" w:rsidR="00351423" w:rsidRDefault="00351423" w:rsidP="00942547">
            <w:pPr>
              <w:rPr>
                <w:rFonts w:ascii="Arial Narrow" w:hAnsi="Arial Narrow"/>
                <w:sz w:val="20"/>
                <w:szCs w:val="20"/>
                <w:lang w:val="de-DE"/>
              </w:rPr>
            </w:pPr>
            <w:r w:rsidRPr="00B67C93">
              <w:rPr>
                <w:rFonts w:ascii="Arial Narrow" w:hAnsi="Arial Narrow"/>
                <w:sz w:val="20"/>
                <w:szCs w:val="20"/>
                <w:lang w:val="de-DE"/>
              </w:rPr>
              <w:t>AND</w:t>
            </w:r>
          </w:p>
          <w:p w14:paraId="7D9988E9" w14:textId="05D9F34B" w:rsidR="00B67C93" w:rsidRDefault="00B67C93" w:rsidP="00942547">
            <w:pPr>
              <w:rPr>
                <w:rFonts w:ascii="Arial Narrow" w:hAnsi="Arial Narrow"/>
                <w:sz w:val="20"/>
                <w:szCs w:val="20"/>
                <w:lang w:val="de-DE"/>
              </w:rPr>
            </w:pPr>
            <w:r w:rsidRPr="00B67C93">
              <w:rPr>
                <w:rFonts w:ascii="Arial Narrow" w:hAnsi="Arial Narrow"/>
                <w:sz w:val="20"/>
                <w:szCs w:val="20"/>
                <w:lang w:val="de-DE"/>
              </w:rPr>
              <w:t xml:space="preserve">Patient must have failed to achieve an adequate response to, </w:t>
            </w:r>
            <w:r w:rsidRPr="00B67C93">
              <w:rPr>
                <w:rFonts w:ascii="Arial Narrow" w:hAnsi="Arial Narrow"/>
                <w:i/>
                <w:iCs/>
                <w:sz w:val="20"/>
                <w:szCs w:val="20"/>
                <w:lang w:val="de-DE"/>
              </w:rPr>
              <w:t>or be intolerant to</w:t>
            </w:r>
            <w:r w:rsidRPr="00B67C93">
              <w:rPr>
                <w:rFonts w:ascii="Arial Narrow" w:hAnsi="Arial Narrow"/>
                <w:sz w:val="20"/>
                <w:szCs w:val="20"/>
                <w:lang w:val="de-DE"/>
              </w:rPr>
              <w:t xml:space="preserve">, corticosteroid therapy </w:t>
            </w:r>
            <w:r w:rsidRPr="00B67C93">
              <w:rPr>
                <w:rFonts w:ascii="Arial Narrow" w:hAnsi="Arial Narrow"/>
                <w:i/>
                <w:iCs/>
                <w:sz w:val="20"/>
                <w:szCs w:val="20"/>
                <w:lang w:val="de-DE"/>
              </w:rPr>
              <w:t>for at least 4 weeks</w:t>
            </w:r>
          </w:p>
          <w:p w14:paraId="06B2871A" w14:textId="5E88590A" w:rsidR="00B67C93" w:rsidRPr="00B67C93" w:rsidRDefault="00B67C93" w:rsidP="00942547">
            <w:pPr>
              <w:rPr>
                <w:rFonts w:ascii="Arial Narrow" w:hAnsi="Arial Narrow"/>
                <w:sz w:val="20"/>
                <w:szCs w:val="20"/>
                <w:lang w:val="de-DE"/>
              </w:rPr>
            </w:pPr>
            <w:r>
              <w:rPr>
                <w:rFonts w:ascii="Arial Narrow" w:hAnsi="Arial Narrow"/>
                <w:sz w:val="20"/>
                <w:szCs w:val="20"/>
                <w:lang w:val="de-DE"/>
              </w:rPr>
              <w:t>AND</w:t>
            </w:r>
          </w:p>
          <w:p w14:paraId="012AE867" w14:textId="33E772FD" w:rsidR="00351423" w:rsidRPr="00B67C93" w:rsidRDefault="00351423" w:rsidP="00942547">
            <w:pPr>
              <w:rPr>
                <w:rFonts w:ascii="Arial Narrow" w:hAnsi="Arial Narrow"/>
                <w:sz w:val="20"/>
                <w:szCs w:val="20"/>
                <w:lang w:val="de-DE"/>
              </w:rPr>
            </w:pPr>
            <w:r w:rsidRPr="00B67C93">
              <w:rPr>
                <w:rFonts w:ascii="Arial Narrow" w:hAnsi="Arial Narrow"/>
                <w:sz w:val="20"/>
                <w:szCs w:val="20"/>
              </w:rPr>
              <w:t>The treatment must be the sole PBS-subsidised thrombopoietin receptor agonist</w:t>
            </w:r>
            <w:r w:rsidR="00B67C93">
              <w:rPr>
                <w:rFonts w:ascii="Arial Narrow" w:hAnsi="Arial Narrow"/>
                <w:sz w:val="20"/>
                <w:szCs w:val="20"/>
              </w:rPr>
              <w:t xml:space="preserve"> </w:t>
            </w:r>
            <w:r w:rsidR="00B67C93">
              <w:rPr>
                <w:rFonts w:ascii="Arial Narrow" w:hAnsi="Arial Narrow"/>
                <w:i/>
                <w:iCs/>
                <w:sz w:val="20"/>
                <w:szCs w:val="20"/>
              </w:rPr>
              <w:t>(TRA)</w:t>
            </w:r>
            <w:r w:rsidRPr="00B67C93">
              <w:rPr>
                <w:rFonts w:ascii="Arial Narrow" w:hAnsi="Arial Narrow"/>
                <w:sz w:val="20"/>
                <w:szCs w:val="20"/>
              </w:rPr>
              <w:t xml:space="preserve"> for this condition.</w:t>
            </w:r>
          </w:p>
        </w:tc>
      </w:tr>
      <w:tr w:rsidR="00351423" w:rsidRPr="00DB610E" w14:paraId="3ED43076" w14:textId="77777777" w:rsidTr="00942547">
        <w:tc>
          <w:tcPr>
            <w:tcW w:w="1019" w:type="pct"/>
          </w:tcPr>
          <w:p w14:paraId="53C189F7" w14:textId="707A8AA2" w:rsidR="00351423" w:rsidRPr="00DB610E" w:rsidRDefault="00CA5985" w:rsidP="00942547">
            <w:pPr>
              <w:rPr>
                <w:rFonts w:ascii="Arial Narrow" w:hAnsi="Arial Narrow"/>
                <w:sz w:val="20"/>
                <w:szCs w:val="20"/>
              </w:rPr>
            </w:pPr>
            <w:r>
              <w:rPr>
                <w:rFonts w:ascii="Arial Narrow" w:hAnsi="Arial Narrow"/>
                <w:sz w:val="20"/>
                <w:szCs w:val="20"/>
              </w:rPr>
              <w:t>s</w:t>
            </w:r>
          </w:p>
        </w:tc>
        <w:tc>
          <w:tcPr>
            <w:tcW w:w="3981" w:type="pct"/>
            <w:vAlign w:val="center"/>
          </w:tcPr>
          <w:p w14:paraId="42D6A066" w14:textId="77777777" w:rsidR="00351423" w:rsidRPr="00DB610E" w:rsidRDefault="00351423" w:rsidP="00942547">
            <w:pPr>
              <w:rPr>
                <w:rFonts w:ascii="Arial Narrow" w:hAnsi="Arial Narrow"/>
                <w:sz w:val="20"/>
                <w:szCs w:val="20"/>
              </w:rPr>
            </w:pPr>
          </w:p>
        </w:tc>
      </w:tr>
      <w:tr w:rsidR="00351423" w:rsidRPr="00DB610E" w14:paraId="17FF6045" w14:textId="77777777" w:rsidTr="00942547">
        <w:tc>
          <w:tcPr>
            <w:tcW w:w="1019" w:type="pct"/>
          </w:tcPr>
          <w:p w14:paraId="6D53FCAD" w14:textId="77777777" w:rsidR="00351423" w:rsidRPr="00076966" w:rsidRDefault="00351423" w:rsidP="00942547">
            <w:pPr>
              <w:rPr>
                <w:rFonts w:ascii="Arial Narrow" w:hAnsi="Arial Narrow"/>
                <w:b/>
                <w:bCs/>
                <w:sz w:val="20"/>
                <w:szCs w:val="20"/>
              </w:rPr>
            </w:pPr>
            <w:r w:rsidRPr="00076966">
              <w:rPr>
                <w:rFonts w:ascii="Arial Narrow" w:hAnsi="Arial Narrow"/>
                <w:b/>
                <w:bCs/>
                <w:sz w:val="20"/>
                <w:szCs w:val="20"/>
              </w:rPr>
              <w:t>Treatment Phase:</w:t>
            </w:r>
          </w:p>
        </w:tc>
        <w:tc>
          <w:tcPr>
            <w:tcW w:w="3981" w:type="pct"/>
            <w:vAlign w:val="center"/>
            <w:hideMark/>
          </w:tcPr>
          <w:p w14:paraId="4A116292" w14:textId="77777777" w:rsidR="00351423" w:rsidRPr="00DB610E" w:rsidRDefault="00351423" w:rsidP="00942547">
            <w:pPr>
              <w:rPr>
                <w:rFonts w:ascii="Arial Narrow" w:hAnsi="Arial Narrow"/>
                <w:sz w:val="20"/>
                <w:szCs w:val="20"/>
              </w:rPr>
            </w:pPr>
            <w:r w:rsidRPr="00DB610E">
              <w:rPr>
                <w:rFonts w:ascii="Arial Narrow" w:hAnsi="Arial Narrow"/>
                <w:color w:val="000000" w:themeColor="text1"/>
                <w:sz w:val="20"/>
                <w:szCs w:val="20"/>
              </w:rPr>
              <w:t>First Continuing treatment or Re-initiation of interrupted continuing treatment</w:t>
            </w:r>
          </w:p>
        </w:tc>
      </w:tr>
      <w:tr w:rsidR="00351423" w:rsidRPr="00DB610E" w14:paraId="321CC6CD" w14:textId="77777777" w:rsidTr="00942547">
        <w:tc>
          <w:tcPr>
            <w:tcW w:w="1019" w:type="pct"/>
          </w:tcPr>
          <w:p w14:paraId="3B1CF9C1" w14:textId="77777777" w:rsidR="00351423" w:rsidRPr="00076966" w:rsidRDefault="00351423" w:rsidP="00942547">
            <w:pPr>
              <w:rPr>
                <w:rFonts w:ascii="Arial Narrow" w:hAnsi="Arial Narrow"/>
                <w:b/>
                <w:bCs/>
                <w:sz w:val="20"/>
                <w:szCs w:val="20"/>
              </w:rPr>
            </w:pPr>
            <w:r w:rsidRPr="00076966">
              <w:rPr>
                <w:rFonts w:ascii="Arial Narrow" w:hAnsi="Arial Narrow"/>
                <w:b/>
                <w:bCs/>
                <w:sz w:val="20"/>
                <w:szCs w:val="20"/>
              </w:rPr>
              <w:t>Clinical criteria:</w:t>
            </w:r>
          </w:p>
        </w:tc>
        <w:tc>
          <w:tcPr>
            <w:tcW w:w="3981" w:type="pct"/>
            <w:vAlign w:val="center"/>
            <w:hideMark/>
          </w:tcPr>
          <w:p w14:paraId="61A62DEA" w14:textId="4220364D" w:rsidR="00351423" w:rsidRPr="00DB610E" w:rsidRDefault="00351423" w:rsidP="00B012B1">
            <w:pPr>
              <w:rPr>
                <w:rFonts w:ascii="Arial Narrow" w:hAnsi="Arial Narrow"/>
                <w:sz w:val="20"/>
                <w:szCs w:val="20"/>
              </w:rPr>
            </w:pPr>
            <w:r w:rsidRPr="00DB610E">
              <w:rPr>
                <w:rFonts w:ascii="Arial Narrow" w:hAnsi="Arial Narrow"/>
                <w:sz w:val="20"/>
                <w:szCs w:val="20"/>
                <w:lang w:val="de-DE"/>
              </w:rPr>
              <w:t xml:space="preserve">Patient must have demonstrated a sustained platelet response </w:t>
            </w:r>
            <w:r w:rsidRPr="00B67C93">
              <w:rPr>
                <w:rFonts w:ascii="Arial Narrow" w:hAnsi="Arial Narrow"/>
                <w:strike/>
                <w:sz w:val="20"/>
                <w:szCs w:val="20"/>
                <w:lang w:val="de-DE"/>
              </w:rPr>
              <w:t>(= u</w:t>
            </w:r>
            <w:r w:rsidRPr="00B67C93">
              <w:rPr>
                <w:rFonts w:ascii="Arial Narrow" w:hAnsi="Arial Narrow"/>
                <w:strike/>
                <w:sz w:val="20"/>
                <w:szCs w:val="20"/>
              </w:rPr>
              <w:t xml:space="preserve">se of rescue medication (corticosteroids or immunoglobulins) on no more than one occasion during the initial period of </w:t>
            </w:r>
            <w:r w:rsidRPr="00DB610E">
              <w:rPr>
                <w:rFonts w:ascii="Arial Narrow" w:hAnsi="Arial Narrow"/>
                <w:sz w:val="20"/>
                <w:szCs w:val="20"/>
              </w:rPr>
              <w:t xml:space="preserve">PBS-subsidised treatment with this drug </w:t>
            </w:r>
            <w:r w:rsidR="00B67C93" w:rsidRPr="00B67C93">
              <w:rPr>
                <w:rFonts w:ascii="Arial Narrow" w:hAnsi="Arial Narrow"/>
                <w:i/>
                <w:iCs/>
                <w:sz w:val="20"/>
                <w:szCs w:val="20"/>
              </w:rPr>
              <w:t>for this condition under the Initial treatment restriction if the patient has not had a treatment break, confirmed through a pathology report from an Approved Pathology Authority</w:t>
            </w:r>
            <w:r w:rsidR="00B67C93" w:rsidRPr="00B67C93">
              <w:rPr>
                <w:rFonts w:ascii="Arial Narrow" w:hAnsi="Arial Narrow"/>
                <w:sz w:val="20"/>
                <w:szCs w:val="20"/>
              </w:rPr>
              <w:t xml:space="preserve">; </w:t>
            </w:r>
          </w:p>
          <w:p w14:paraId="2A853E3E" w14:textId="77777777" w:rsidR="00B012B1" w:rsidRDefault="00B012B1" w:rsidP="00942547">
            <w:pPr>
              <w:rPr>
                <w:rFonts w:ascii="Arial Narrow" w:hAnsi="Arial Narrow"/>
                <w:sz w:val="20"/>
                <w:szCs w:val="20"/>
                <w:lang w:val="de-DE"/>
              </w:rPr>
            </w:pPr>
            <w:r>
              <w:rPr>
                <w:rFonts w:ascii="Arial Narrow" w:hAnsi="Arial Narrow"/>
                <w:sz w:val="20"/>
                <w:szCs w:val="20"/>
                <w:lang w:val="de-DE"/>
              </w:rPr>
              <w:t>AND</w:t>
            </w:r>
          </w:p>
          <w:p w14:paraId="3C4F4113" w14:textId="5C509F5B" w:rsidR="00B012B1" w:rsidRPr="00B012B1" w:rsidRDefault="00B012B1" w:rsidP="00942547">
            <w:pPr>
              <w:rPr>
                <w:rFonts w:ascii="Arial Narrow" w:hAnsi="Arial Narrow"/>
                <w:i/>
                <w:iCs/>
                <w:sz w:val="20"/>
                <w:szCs w:val="20"/>
                <w:lang w:val="de-DE"/>
              </w:rPr>
            </w:pPr>
            <w:r w:rsidRPr="00B012B1">
              <w:rPr>
                <w:rFonts w:ascii="Arial Narrow" w:hAnsi="Arial Narrow"/>
                <w:i/>
                <w:iCs/>
                <w:sz w:val="20"/>
                <w:szCs w:val="20"/>
                <w:lang w:val="de-DE"/>
              </w:rPr>
              <w:t>Patient must have swapped treatment from romiplostim or eltrombopag under the Balance of Supply/Change of Therapy and demonstrated a sustained response, confirmed through a pathology report from and Approved Pathology Authority; or</w:t>
            </w:r>
          </w:p>
          <w:p w14:paraId="3F3C4AD1" w14:textId="052B2821" w:rsidR="00351423" w:rsidRPr="00DB610E" w:rsidRDefault="00B012B1" w:rsidP="00942547">
            <w:pPr>
              <w:rPr>
                <w:rFonts w:ascii="Arial Narrow" w:hAnsi="Arial Narrow"/>
                <w:sz w:val="20"/>
                <w:szCs w:val="20"/>
                <w:lang w:val="de-DE"/>
              </w:rPr>
            </w:pPr>
            <w:r>
              <w:rPr>
                <w:rFonts w:ascii="Arial Narrow" w:hAnsi="Arial Narrow"/>
                <w:sz w:val="20"/>
                <w:szCs w:val="20"/>
                <w:lang w:val="de-DE"/>
              </w:rPr>
              <w:t>AND</w:t>
            </w:r>
            <w:r w:rsidR="00351423" w:rsidRPr="00DB610E">
              <w:rPr>
                <w:rFonts w:ascii="Arial Narrow" w:hAnsi="Arial Narrow"/>
                <w:sz w:val="20"/>
                <w:szCs w:val="20"/>
                <w:lang w:val="de-DE"/>
              </w:rPr>
              <w:t xml:space="preserve"> </w:t>
            </w:r>
          </w:p>
          <w:p w14:paraId="070F017B" w14:textId="77777777" w:rsidR="00351423" w:rsidRPr="00DB610E" w:rsidRDefault="00351423" w:rsidP="00942547">
            <w:pPr>
              <w:rPr>
                <w:rFonts w:ascii="Arial Narrow" w:hAnsi="Arial Narrow"/>
                <w:sz w:val="20"/>
                <w:szCs w:val="20"/>
                <w:lang w:val="de-DE"/>
              </w:rPr>
            </w:pPr>
            <w:r w:rsidRPr="00DB610E">
              <w:rPr>
                <w:rFonts w:ascii="Arial Narrow" w:hAnsi="Arial Narrow"/>
                <w:sz w:val="20"/>
                <w:szCs w:val="20"/>
                <w:lang w:val="de-DE"/>
              </w:rPr>
              <w:t xml:space="preserve">Patient must have demonstrated a sustained platelet response to the most recent PBS-subsidised treatment with this drug for this condition prior to interrupted treatment, </w:t>
            </w:r>
          </w:p>
          <w:p w14:paraId="65B87F15" w14:textId="77777777" w:rsidR="00351423" w:rsidRPr="00DB610E" w:rsidRDefault="00351423" w:rsidP="00942547">
            <w:pPr>
              <w:rPr>
                <w:rFonts w:ascii="Arial Narrow" w:hAnsi="Arial Narrow"/>
                <w:sz w:val="20"/>
                <w:szCs w:val="20"/>
                <w:lang w:val="de-DE"/>
              </w:rPr>
            </w:pPr>
            <w:r w:rsidRPr="00DB610E">
              <w:rPr>
                <w:rFonts w:ascii="Arial Narrow" w:hAnsi="Arial Narrow"/>
                <w:sz w:val="20"/>
                <w:szCs w:val="20"/>
                <w:lang w:val="de-DE"/>
              </w:rPr>
              <w:t xml:space="preserve">AND </w:t>
            </w:r>
          </w:p>
          <w:p w14:paraId="71F039B1" w14:textId="77777777" w:rsidR="00351423" w:rsidRPr="00B67C93" w:rsidRDefault="00351423" w:rsidP="00942547">
            <w:pPr>
              <w:rPr>
                <w:rFonts w:ascii="Arial Narrow" w:hAnsi="Arial Narrow"/>
                <w:strike/>
                <w:sz w:val="20"/>
                <w:szCs w:val="20"/>
                <w:lang w:val="de-DE"/>
              </w:rPr>
            </w:pPr>
            <w:r w:rsidRPr="00B67C93">
              <w:rPr>
                <w:rFonts w:ascii="Arial Narrow" w:hAnsi="Arial Narrow"/>
                <w:strike/>
                <w:sz w:val="20"/>
                <w:szCs w:val="20"/>
                <w:lang w:val="de-DE"/>
              </w:rPr>
              <w:t xml:space="preserve">Patient must not have previously received PBS-subsidised continuing treatment with romiplostim for this condition, </w:t>
            </w:r>
          </w:p>
          <w:p w14:paraId="27E23F2D" w14:textId="77777777" w:rsidR="00351423" w:rsidRPr="00DB610E" w:rsidRDefault="00351423" w:rsidP="00942547">
            <w:pPr>
              <w:rPr>
                <w:rFonts w:ascii="Arial Narrow" w:hAnsi="Arial Narrow"/>
                <w:sz w:val="20"/>
                <w:szCs w:val="20"/>
                <w:lang w:val="de-DE"/>
              </w:rPr>
            </w:pPr>
            <w:r w:rsidRPr="00DB610E">
              <w:rPr>
                <w:rFonts w:ascii="Arial Narrow" w:hAnsi="Arial Narrow"/>
                <w:sz w:val="20"/>
                <w:szCs w:val="20"/>
                <w:lang w:val="de-DE"/>
              </w:rPr>
              <w:t xml:space="preserve">AND </w:t>
            </w:r>
          </w:p>
          <w:p w14:paraId="2D9E6F33" w14:textId="77777777" w:rsidR="00351423" w:rsidRPr="00DB610E" w:rsidRDefault="00351423" w:rsidP="00942547">
            <w:pPr>
              <w:rPr>
                <w:rFonts w:ascii="Arial Narrow" w:hAnsi="Arial Narrow"/>
                <w:sz w:val="20"/>
                <w:szCs w:val="20"/>
              </w:rPr>
            </w:pPr>
            <w:r w:rsidRPr="00DB610E">
              <w:rPr>
                <w:rFonts w:ascii="Arial Narrow" w:hAnsi="Arial Narrow"/>
                <w:sz w:val="20"/>
                <w:szCs w:val="20"/>
              </w:rPr>
              <w:t>The treatment must be the sole PBS-subsidised thrombopoietin receptor agonist for this condition.</w:t>
            </w:r>
          </w:p>
        </w:tc>
      </w:tr>
      <w:tr w:rsidR="00351423" w:rsidRPr="00DB610E" w14:paraId="7BC095D8" w14:textId="77777777" w:rsidTr="00942547">
        <w:tc>
          <w:tcPr>
            <w:tcW w:w="1019" w:type="pct"/>
          </w:tcPr>
          <w:p w14:paraId="1503870F" w14:textId="32BC9B6F" w:rsidR="00351423" w:rsidRPr="00076966" w:rsidRDefault="00B67C93" w:rsidP="00942547">
            <w:pPr>
              <w:rPr>
                <w:rFonts w:ascii="Arial Narrow" w:hAnsi="Arial Narrow"/>
                <w:b/>
                <w:bCs/>
                <w:sz w:val="20"/>
                <w:szCs w:val="20"/>
              </w:rPr>
            </w:pPr>
            <w:r w:rsidRPr="001F62E1">
              <w:rPr>
                <w:rFonts w:ascii="Arial Narrow" w:hAnsi="Arial Narrow"/>
                <w:b/>
                <w:bCs/>
                <w:i/>
                <w:iCs/>
                <w:color w:val="333333"/>
                <w:sz w:val="20"/>
                <w:szCs w:val="20"/>
              </w:rPr>
              <w:t>Prescribing Instructions:</w:t>
            </w:r>
          </w:p>
        </w:tc>
        <w:tc>
          <w:tcPr>
            <w:tcW w:w="3981" w:type="pct"/>
            <w:vAlign w:val="center"/>
            <w:hideMark/>
          </w:tcPr>
          <w:p w14:paraId="2C6DBE55" w14:textId="77777777" w:rsidR="00351423" w:rsidRDefault="00B67C93" w:rsidP="00942547">
            <w:pPr>
              <w:rPr>
                <w:rFonts w:ascii="Arial Narrow" w:hAnsi="Arial Narrow"/>
                <w:i/>
                <w:iCs/>
                <w:sz w:val="20"/>
                <w:szCs w:val="20"/>
              </w:rPr>
            </w:pPr>
            <w:r w:rsidRPr="00B012B1">
              <w:rPr>
                <w:rFonts w:ascii="Arial Narrow" w:hAnsi="Arial Narrow"/>
                <w:i/>
                <w:iCs/>
                <w:strike/>
                <w:sz w:val="20"/>
                <w:szCs w:val="20"/>
              </w:rPr>
              <w:t>The following criteria indicate failure to achieve an adequate response to corticosteroid and/or immunoglobulin therapy and must be demonstrated at the time of initial application;, (a)</w:t>
            </w:r>
            <w:r w:rsidRPr="00B012B1">
              <w:rPr>
                <w:rFonts w:ascii="Arial Narrow" w:hAnsi="Arial Narrow"/>
                <w:strike/>
                <w:sz w:val="20"/>
                <w:szCs w:val="20"/>
                <w:vertAlign w:val="superscript"/>
              </w:rPr>
              <w:t xml:space="preserve"> </w:t>
            </w:r>
            <w:r w:rsidRPr="00B012B1">
              <w:rPr>
                <w:rFonts w:ascii="Arial Narrow" w:hAnsi="Arial Narrow"/>
                <w:i/>
                <w:iCs/>
                <w:strike/>
                <w:sz w:val="20"/>
                <w:szCs w:val="20"/>
              </w:rPr>
              <w:t>a platelet count of less than or equal to 20,000 million per L; OR, (b) a platelet count of 20,000 million to 30,000 million per L, where the patient is experiencing significant bleeding or has a history of significant bleeding in this platelet range.</w:t>
            </w:r>
            <w:r w:rsidR="00B012B1">
              <w:rPr>
                <w:rFonts w:ascii="Arial Narrow" w:hAnsi="Arial Narrow"/>
                <w:i/>
                <w:iCs/>
                <w:strike/>
                <w:sz w:val="20"/>
                <w:szCs w:val="20"/>
              </w:rPr>
              <w:t xml:space="preserve"> </w:t>
            </w:r>
          </w:p>
          <w:p w14:paraId="691F87E8" w14:textId="77777777" w:rsidR="00B012B1" w:rsidRDefault="00B012B1" w:rsidP="00942547">
            <w:pPr>
              <w:rPr>
                <w:rFonts w:ascii="Arial Narrow" w:hAnsi="Arial Narrow"/>
                <w:i/>
                <w:iCs/>
                <w:sz w:val="20"/>
                <w:szCs w:val="20"/>
              </w:rPr>
            </w:pPr>
          </w:p>
          <w:p w14:paraId="43610318" w14:textId="098F6AA0" w:rsidR="00B012B1" w:rsidRPr="00B012B1" w:rsidRDefault="00B012B1" w:rsidP="00942547">
            <w:pPr>
              <w:rPr>
                <w:rFonts w:ascii="Arial Narrow" w:hAnsi="Arial Narrow"/>
                <w:i/>
                <w:iCs/>
                <w:sz w:val="20"/>
                <w:szCs w:val="20"/>
              </w:rPr>
            </w:pPr>
            <w:r w:rsidRPr="00B012B1">
              <w:rPr>
                <w:rFonts w:ascii="Arial Narrow" w:hAnsi="Arial Narrow"/>
                <w:i/>
                <w:iCs/>
                <w:sz w:val="20"/>
                <w:szCs w:val="20"/>
              </w:rPr>
              <w:t>For the purposes of this restriction, a sustained response is defined as the patient having the ability to maintain a platelet count sufficient to prevent clinically significant bleeding based on clinical assessment.</w:t>
            </w:r>
          </w:p>
        </w:tc>
      </w:tr>
      <w:tr w:rsidR="00B67C93" w:rsidRPr="00DB610E" w14:paraId="467D38B6" w14:textId="77777777" w:rsidTr="00942547">
        <w:tc>
          <w:tcPr>
            <w:tcW w:w="1019" w:type="pct"/>
          </w:tcPr>
          <w:p w14:paraId="5608C8BA" w14:textId="77777777" w:rsidR="00B67C93" w:rsidRPr="00076966" w:rsidRDefault="00B67C93" w:rsidP="00942547">
            <w:pPr>
              <w:rPr>
                <w:rFonts w:ascii="Arial Narrow" w:hAnsi="Arial Narrow"/>
                <w:b/>
                <w:bCs/>
                <w:sz w:val="20"/>
                <w:szCs w:val="20"/>
              </w:rPr>
            </w:pPr>
          </w:p>
        </w:tc>
        <w:tc>
          <w:tcPr>
            <w:tcW w:w="3981" w:type="pct"/>
            <w:vAlign w:val="center"/>
          </w:tcPr>
          <w:p w14:paraId="2A096BE7" w14:textId="77777777" w:rsidR="00B67C93" w:rsidRPr="00DB610E" w:rsidRDefault="00B67C93" w:rsidP="00942547">
            <w:pPr>
              <w:rPr>
                <w:rFonts w:ascii="Arial Narrow" w:hAnsi="Arial Narrow"/>
                <w:sz w:val="20"/>
                <w:szCs w:val="20"/>
              </w:rPr>
            </w:pPr>
          </w:p>
        </w:tc>
      </w:tr>
      <w:tr w:rsidR="00351423" w:rsidRPr="00DB610E" w14:paraId="5E2DC463" w14:textId="77777777" w:rsidTr="00942547">
        <w:tc>
          <w:tcPr>
            <w:tcW w:w="1019" w:type="pct"/>
          </w:tcPr>
          <w:p w14:paraId="26416F6A" w14:textId="77777777" w:rsidR="00351423" w:rsidRPr="00076966" w:rsidRDefault="00351423" w:rsidP="00942547">
            <w:pPr>
              <w:rPr>
                <w:rFonts w:ascii="Arial Narrow" w:hAnsi="Arial Narrow"/>
                <w:b/>
                <w:bCs/>
                <w:sz w:val="20"/>
                <w:szCs w:val="20"/>
              </w:rPr>
            </w:pPr>
            <w:r w:rsidRPr="00076966">
              <w:rPr>
                <w:rFonts w:ascii="Arial Narrow" w:hAnsi="Arial Narrow"/>
                <w:b/>
                <w:bCs/>
                <w:sz w:val="20"/>
                <w:szCs w:val="20"/>
              </w:rPr>
              <w:t>Treatment Phase:</w:t>
            </w:r>
          </w:p>
        </w:tc>
        <w:tc>
          <w:tcPr>
            <w:tcW w:w="3981" w:type="pct"/>
            <w:vAlign w:val="center"/>
          </w:tcPr>
          <w:p w14:paraId="375BF75F" w14:textId="77777777" w:rsidR="00351423" w:rsidRPr="00DB610E" w:rsidRDefault="00351423" w:rsidP="00942547">
            <w:pPr>
              <w:rPr>
                <w:rFonts w:ascii="Arial Narrow" w:hAnsi="Arial Narrow"/>
                <w:sz w:val="20"/>
                <w:szCs w:val="20"/>
              </w:rPr>
            </w:pPr>
            <w:r w:rsidRPr="00DB610E">
              <w:rPr>
                <w:rFonts w:ascii="Arial Narrow" w:hAnsi="Arial Narrow"/>
                <w:sz w:val="20"/>
                <w:szCs w:val="20"/>
              </w:rPr>
              <w:t>Second or subsequent c</w:t>
            </w:r>
            <w:r w:rsidRPr="00DB610E">
              <w:rPr>
                <w:rFonts w:ascii="Arial Narrow" w:hAnsi="Arial Narrow"/>
                <w:color w:val="000000" w:themeColor="text1"/>
                <w:sz w:val="20"/>
                <w:szCs w:val="20"/>
              </w:rPr>
              <w:t>ontinuing treatment</w:t>
            </w:r>
          </w:p>
        </w:tc>
      </w:tr>
      <w:tr w:rsidR="00351423" w:rsidRPr="00DB610E" w14:paraId="4775EF4E" w14:textId="77777777" w:rsidTr="00942547">
        <w:tc>
          <w:tcPr>
            <w:tcW w:w="1019" w:type="pct"/>
          </w:tcPr>
          <w:p w14:paraId="1CD3F1BE" w14:textId="77777777" w:rsidR="00351423" w:rsidRPr="00076966" w:rsidRDefault="00351423" w:rsidP="00942547">
            <w:pPr>
              <w:rPr>
                <w:rFonts w:ascii="Arial Narrow" w:hAnsi="Arial Narrow"/>
                <w:b/>
                <w:bCs/>
                <w:sz w:val="20"/>
                <w:szCs w:val="20"/>
              </w:rPr>
            </w:pPr>
            <w:r w:rsidRPr="00076966">
              <w:rPr>
                <w:rFonts w:ascii="Arial Narrow" w:hAnsi="Arial Narrow"/>
                <w:b/>
                <w:bCs/>
                <w:sz w:val="20"/>
                <w:szCs w:val="20"/>
              </w:rPr>
              <w:t>Clinical criteria:</w:t>
            </w:r>
          </w:p>
        </w:tc>
        <w:tc>
          <w:tcPr>
            <w:tcW w:w="3981" w:type="pct"/>
            <w:vAlign w:val="center"/>
          </w:tcPr>
          <w:p w14:paraId="09EDCF75" w14:textId="77777777" w:rsidR="00351423" w:rsidRPr="00DB610E" w:rsidRDefault="00351423" w:rsidP="00942547">
            <w:pPr>
              <w:rPr>
                <w:rFonts w:ascii="Arial Narrow" w:hAnsi="Arial Narrow" w:cs="Times New Roman"/>
                <w:sz w:val="20"/>
                <w:szCs w:val="20"/>
              </w:rPr>
            </w:pPr>
            <w:r w:rsidRPr="00DB610E">
              <w:rPr>
                <w:rFonts w:ascii="Arial Narrow" w:hAnsi="Arial Narrow" w:cs="Times New Roman"/>
                <w:sz w:val="20"/>
                <w:szCs w:val="20"/>
              </w:rPr>
              <w:t xml:space="preserve">Patient must have previously received PBS-subsidised treatment with this drug for this condition under first continuing or re-initiation of interrupted continuing treatment restriction, </w:t>
            </w:r>
          </w:p>
          <w:p w14:paraId="033C6F49" w14:textId="77777777" w:rsidR="00351423" w:rsidRPr="00DB610E" w:rsidRDefault="00351423" w:rsidP="00942547">
            <w:pPr>
              <w:rPr>
                <w:rFonts w:ascii="Arial Narrow" w:hAnsi="Arial Narrow" w:cs="Times New Roman"/>
                <w:sz w:val="20"/>
                <w:szCs w:val="20"/>
              </w:rPr>
            </w:pPr>
            <w:r w:rsidRPr="00DB610E">
              <w:rPr>
                <w:rFonts w:ascii="Arial Narrow" w:hAnsi="Arial Narrow" w:cs="Times New Roman"/>
                <w:sz w:val="20"/>
                <w:szCs w:val="20"/>
              </w:rPr>
              <w:t xml:space="preserve">AND </w:t>
            </w:r>
          </w:p>
          <w:p w14:paraId="4085E457" w14:textId="77777777" w:rsidR="00351423" w:rsidRPr="00DB610E" w:rsidRDefault="00351423" w:rsidP="00942547">
            <w:pPr>
              <w:rPr>
                <w:rFonts w:ascii="Arial Narrow" w:hAnsi="Arial Narrow" w:cs="Times New Roman"/>
                <w:sz w:val="20"/>
                <w:szCs w:val="20"/>
              </w:rPr>
            </w:pPr>
            <w:r w:rsidRPr="00DB610E">
              <w:rPr>
                <w:rFonts w:ascii="Arial Narrow" w:hAnsi="Arial Narrow" w:cs="Times New Roman"/>
                <w:sz w:val="20"/>
                <w:szCs w:val="20"/>
              </w:rPr>
              <w:t xml:space="preserve">Patient must have demonstrated a continuing response (same definition as “sustained response” for first continuing treatment authority) to PBS-subsidised treatment with this drug, </w:t>
            </w:r>
          </w:p>
          <w:p w14:paraId="6B95A683" w14:textId="77777777" w:rsidR="00351423" w:rsidRPr="00DB610E" w:rsidRDefault="00351423" w:rsidP="00942547">
            <w:pPr>
              <w:rPr>
                <w:rFonts w:ascii="Arial Narrow" w:hAnsi="Arial Narrow" w:cs="Times New Roman"/>
                <w:sz w:val="20"/>
                <w:szCs w:val="20"/>
              </w:rPr>
            </w:pPr>
            <w:r w:rsidRPr="00DB610E">
              <w:rPr>
                <w:rFonts w:ascii="Arial Narrow" w:hAnsi="Arial Narrow" w:cs="Times New Roman"/>
                <w:sz w:val="20"/>
                <w:szCs w:val="20"/>
              </w:rPr>
              <w:t xml:space="preserve">AND </w:t>
            </w:r>
          </w:p>
          <w:p w14:paraId="1827BC77" w14:textId="24A76F0C" w:rsidR="00351423" w:rsidRPr="006B7E6B" w:rsidRDefault="00351423" w:rsidP="00942547">
            <w:pPr>
              <w:rPr>
                <w:rFonts w:ascii="Arial Narrow" w:hAnsi="Arial Narrow" w:cs="Times New Roman"/>
                <w:sz w:val="20"/>
                <w:szCs w:val="20"/>
              </w:rPr>
            </w:pPr>
            <w:r w:rsidRPr="00DB610E">
              <w:rPr>
                <w:rFonts w:ascii="Arial Narrow" w:hAnsi="Arial Narrow" w:cs="Times New Roman"/>
                <w:sz w:val="20"/>
                <w:szCs w:val="20"/>
              </w:rPr>
              <w:t xml:space="preserve">The treatment must be the sole PBS-subsidised thrombopoietin receptor agonist for this condition. </w:t>
            </w:r>
          </w:p>
        </w:tc>
      </w:tr>
    </w:tbl>
    <w:p w14:paraId="202772F5" w14:textId="77777777" w:rsidR="00351423" w:rsidRPr="00882085" w:rsidRDefault="00351423" w:rsidP="004B1CB4"/>
    <w:p w14:paraId="63CD7E51" w14:textId="6E85FCB2" w:rsidR="00D13B7B" w:rsidRPr="00D13B7B" w:rsidRDefault="00351423" w:rsidP="00C6030E">
      <w:pPr>
        <w:pStyle w:val="3-BodyText"/>
      </w:pPr>
      <w:r w:rsidRPr="001D67AF">
        <w:t>The proposed listing was for treatment of adult patients with</w:t>
      </w:r>
      <w:r w:rsidR="00170F46" w:rsidRPr="001D67AF">
        <w:t xml:space="preserve"> severe</w:t>
      </w:r>
      <w:r w:rsidRPr="001D67AF">
        <w:t xml:space="preserve"> chronic ITP who have had an inadequate response to corticosteroids and immunoglobulins. </w:t>
      </w:r>
      <w:r w:rsidR="00C6030E" w:rsidRPr="001D67AF">
        <w:rPr>
          <w:rFonts w:cstheme="minorHAnsi"/>
        </w:rPr>
        <w:t xml:space="preserve">The </w:t>
      </w:r>
      <w:r w:rsidR="00C6030E" w:rsidRPr="001D67AF">
        <w:rPr>
          <w:rFonts w:cstheme="minorHAnsi"/>
        </w:rPr>
        <w:lastRenderedPageBreak/>
        <w:t xml:space="preserve">requested TGA indication in the draft PI is for the treatment of </w:t>
      </w:r>
      <w:r w:rsidR="005107A7">
        <w:rPr>
          <w:rFonts w:cstheme="minorHAnsi"/>
        </w:rPr>
        <w:t>‘</w:t>
      </w:r>
      <w:r w:rsidR="00C6030E" w:rsidRPr="001D67AF">
        <w:rPr>
          <w:rFonts w:cstheme="minorHAnsi"/>
        </w:rPr>
        <w:t>thrombocytopenia in adult patients with chronic immune thrombocytopenia who have had an insufficient response to a previous treatment</w:t>
      </w:r>
      <w:r w:rsidR="005107A7">
        <w:rPr>
          <w:rFonts w:cstheme="minorHAnsi"/>
        </w:rPr>
        <w:t>’</w:t>
      </w:r>
      <w:r w:rsidR="00C6030E" w:rsidRPr="001D67AF">
        <w:rPr>
          <w:rFonts w:cstheme="minorHAnsi"/>
        </w:rPr>
        <w:t xml:space="preserve">. </w:t>
      </w:r>
      <w:r w:rsidR="00170F46" w:rsidRPr="001D67AF">
        <w:rPr>
          <w:rFonts w:cstheme="minorHAnsi"/>
        </w:rPr>
        <w:t xml:space="preserve">The </w:t>
      </w:r>
      <w:r w:rsidR="006B7E6B">
        <w:rPr>
          <w:rFonts w:cstheme="minorHAnsi"/>
        </w:rPr>
        <w:t>proposed</w:t>
      </w:r>
      <w:r w:rsidR="00170F46" w:rsidRPr="001D67AF">
        <w:rPr>
          <w:rFonts w:cstheme="minorHAnsi"/>
        </w:rPr>
        <w:t xml:space="preserve"> TGA indication </w:t>
      </w:r>
      <w:r w:rsidR="006B7E6B">
        <w:rPr>
          <w:rFonts w:cstheme="minorHAnsi"/>
        </w:rPr>
        <w:t>was</w:t>
      </w:r>
      <w:r w:rsidR="00170F46" w:rsidRPr="001D67AF">
        <w:rPr>
          <w:rFonts w:cstheme="minorHAnsi"/>
        </w:rPr>
        <w:t xml:space="preserve"> </w:t>
      </w:r>
      <w:r w:rsidR="00C6030E" w:rsidRPr="001D67AF">
        <w:rPr>
          <w:rFonts w:cstheme="minorHAnsi"/>
        </w:rPr>
        <w:t>broader than the requested PBS population, which is for severe thrombocytopenia in patients with chronic ITP who have had an inadequate response to corticosteroids and to immunoglobulins</w:t>
      </w:r>
      <w:r w:rsidR="00503F04" w:rsidRPr="001D67AF">
        <w:rPr>
          <w:rFonts w:cstheme="minorHAnsi"/>
        </w:rPr>
        <w:t xml:space="preserve">, in terms of the TGA indication referring to </w:t>
      </w:r>
      <w:r w:rsidR="00480F86">
        <w:rPr>
          <w:rFonts w:cstheme="minorHAnsi"/>
        </w:rPr>
        <w:t>‘</w:t>
      </w:r>
      <w:r w:rsidR="00503F04" w:rsidRPr="001D67AF">
        <w:rPr>
          <w:rFonts w:cstheme="minorHAnsi"/>
        </w:rPr>
        <w:t>previous treatment</w:t>
      </w:r>
      <w:r w:rsidR="00480F86">
        <w:rPr>
          <w:rFonts w:cstheme="minorHAnsi"/>
        </w:rPr>
        <w:t>’</w:t>
      </w:r>
      <w:r w:rsidR="00503F04" w:rsidRPr="001D67AF">
        <w:rPr>
          <w:rFonts w:cstheme="minorHAnsi"/>
        </w:rPr>
        <w:t xml:space="preserve"> rather than specific </w:t>
      </w:r>
      <w:r w:rsidR="00FF5B7F">
        <w:rPr>
          <w:rFonts w:cstheme="minorHAnsi"/>
        </w:rPr>
        <w:t>drug classes</w:t>
      </w:r>
      <w:r w:rsidR="00C6030E" w:rsidRPr="001D67AF">
        <w:rPr>
          <w:rFonts w:cstheme="minorHAnsi"/>
        </w:rPr>
        <w:t xml:space="preserve">. </w:t>
      </w:r>
    </w:p>
    <w:p w14:paraId="248ADB4B" w14:textId="322B7C99" w:rsidR="00AC1B58" w:rsidRPr="00BE11F7" w:rsidRDefault="00C6030E" w:rsidP="00C6030E">
      <w:pPr>
        <w:pStyle w:val="3-BodyText"/>
      </w:pPr>
      <w:bookmarkStart w:id="9" w:name="_Ref116455860"/>
      <w:r w:rsidRPr="001D67AF">
        <w:rPr>
          <w:rFonts w:cstheme="minorHAnsi"/>
        </w:rPr>
        <w:t xml:space="preserve">The submission stated that the requested PBS listing was also for patients who are </w:t>
      </w:r>
      <w:r w:rsidRPr="001D67AF">
        <w:rPr>
          <w:rFonts w:cstheme="minorHAnsi"/>
          <w:u w:val="single"/>
        </w:rPr>
        <w:t>intolerant</w:t>
      </w:r>
      <w:r w:rsidRPr="001D67AF">
        <w:rPr>
          <w:rFonts w:cstheme="minorHAnsi"/>
        </w:rPr>
        <w:t xml:space="preserve"> to corticosteroids and to immunoglobulins. However, this was not reflected in the clinical criteria</w:t>
      </w:r>
      <w:r w:rsidR="00D13B7B">
        <w:rPr>
          <w:rFonts w:cstheme="minorHAnsi"/>
        </w:rPr>
        <w:t xml:space="preserve"> </w:t>
      </w:r>
      <w:r w:rsidR="00D13B7B" w:rsidRPr="00BE11F7">
        <w:rPr>
          <w:rFonts w:cstheme="minorHAnsi"/>
        </w:rPr>
        <w:t>for the restriction</w:t>
      </w:r>
      <w:r w:rsidRPr="00BE11F7">
        <w:rPr>
          <w:rFonts w:cstheme="minorHAnsi"/>
        </w:rPr>
        <w:t xml:space="preserve"> </w:t>
      </w:r>
      <w:r w:rsidR="00D13B7B" w:rsidRPr="00BE11F7">
        <w:rPr>
          <w:rFonts w:cstheme="minorHAnsi"/>
        </w:rPr>
        <w:t>requested</w:t>
      </w:r>
      <w:r w:rsidR="00D13B7B" w:rsidRPr="001D67AF">
        <w:rPr>
          <w:rFonts w:cstheme="minorHAnsi"/>
        </w:rPr>
        <w:t xml:space="preserve"> </w:t>
      </w:r>
      <w:r w:rsidRPr="001D67AF">
        <w:rPr>
          <w:rFonts w:cstheme="minorHAnsi"/>
        </w:rPr>
        <w:t>in the submission</w:t>
      </w:r>
      <w:r w:rsidR="00FF5B7F">
        <w:rPr>
          <w:rFonts w:cstheme="minorHAnsi"/>
        </w:rPr>
        <w:t xml:space="preserve"> or in the requested TGA indication</w:t>
      </w:r>
      <w:r w:rsidRPr="001D67AF">
        <w:rPr>
          <w:rFonts w:cstheme="minorHAnsi"/>
        </w:rPr>
        <w:t>. Intolerance to corticosteroids and to immunoglobulins is included in the restrictions (clinical criteria) for</w:t>
      </w:r>
      <w:r w:rsidR="00BA76D3" w:rsidRPr="001D67AF">
        <w:rPr>
          <w:rFonts w:cstheme="minorHAnsi"/>
        </w:rPr>
        <w:t xml:space="preserve"> both</w:t>
      </w:r>
      <w:r w:rsidRPr="001D67AF">
        <w:rPr>
          <w:rFonts w:cstheme="minorHAnsi"/>
        </w:rPr>
        <w:t xml:space="preserve"> eltrombopag and romiplostim, and in the approved</w:t>
      </w:r>
      <w:r w:rsidR="00FF5B7F">
        <w:rPr>
          <w:rFonts w:cstheme="minorHAnsi"/>
        </w:rPr>
        <w:t xml:space="preserve"> TGA</w:t>
      </w:r>
      <w:r w:rsidRPr="001D67AF">
        <w:rPr>
          <w:rFonts w:cstheme="minorHAnsi"/>
        </w:rPr>
        <w:t xml:space="preserve"> indications for these drugs.</w:t>
      </w:r>
      <w:bookmarkEnd w:id="9"/>
      <w:r w:rsidR="003A75A0">
        <w:rPr>
          <w:rFonts w:cstheme="minorHAnsi"/>
        </w:rPr>
        <w:t xml:space="preserve"> </w:t>
      </w:r>
      <w:r w:rsidR="003A75A0" w:rsidRPr="00A31536">
        <w:rPr>
          <w:rFonts w:cstheme="minorHAnsi"/>
        </w:rPr>
        <w:t xml:space="preserve">The PBAC considered it would be appropriate for the restriction to </w:t>
      </w:r>
      <w:r w:rsidR="00F97EDA" w:rsidRPr="00A31536">
        <w:rPr>
          <w:rFonts w:cstheme="minorHAnsi"/>
        </w:rPr>
        <w:t>include</w:t>
      </w:r>
      <w:r w:rsidR="0038353C" w:rsidRPr="00A31536">
        <w:rPr>
          <w:rFonts w:cstheme="minorHAnsi"/>
        </w:rPr>
        <w:t xml:space="preserve"> access for patients who are</w:t>
      </w:r>
      <w:r w:rsidR="00F97EDA" w:rsidRPr="00A31536">
        <w:rPr>
          <w:rFonts w:cstheme="minorHAnsi"/>
        </w:rPr>
        <w:t xml:space="preserve"> </w:t>
      </w:r>
      <w:r w:rsidR="005107A7" w:rsidRPr="00A31536">
        <w:rPr>
          <w:rFonts w:cstheme="minorHAnsi"/>
        </w:rPr>
        <w:t>‘</w:t>
      </w:r>
      <w:r w:rsidR="00F97EDA" w:rsidRPr="00A31536">
        <w:rPr>
          <w:rFonts w:cstheme="minorHAnsi"/>
        </w:rPr>
        <w:t>intolerant to corticosteroids and to immunoglobulins</w:t>
      </w:r>
      <w:r w:rsidR="005107A7" w:rsidRPr="00A31536">
        <w:rPr>
          <w:rFonts w:cstheme="minorHAnsi"/>
        </w:rPr>
        <w:t>’</w:t>
      </w:r>
      <w:r w:rsidR="00F97EDA" w:rsidRPr="00A31536">
        <w:rPr>
          <w:rFonts w:cstheme="minorHAnsi"/>
        </w:rPr>
        <w:t>, to align the listing with that for eltrombopag.</w:t>
      </w:r>
    </w:p>
    <w:p w14:paraId="7769533F" w14:textId="4E7A1117" w:rsidR="00351423" w:rsidRPr="001D67AF" w:rsidRDefault="00351423" w:rsidP="00351423">
      <w:pPr>
        <w:pStyle w:val="3-BodyText"/>
      </w:pPr>
      <w:bookmarkStart w:id="10" w:name="_Ref113271962"/>
      <w:r w:rsidRPr="001D67AF">
        <w:t>At the May 2022 Intracycle meeting of the PBAC, the Committee recommended the following changes to the current restrictions for eltrombopag and romiplostim</w:t>
      </w:r>
      <w:r w:rsidRPr="001D67AF">
        <w:rPr>
          <w:vertAlign w:val="superscript"/>
        </w:rPr>
        <w:footnoteReference w:id="1"/>
      </w:r>
      <w:r w:rsidRPr="001D67AF">
        <w:t>:</w:t>
      </w:r>
      <w:bookmarkEnd w:id="10"/>
      <w:r w:rsidRPr="001D67AF">
        <w:t xml:space="preserve"> </w:t>
      </w:r>
    </w:p>
    <w:p w14:paraId="1EAB9CA9" w14:textId="77777777" w:rsidR="00351423" w:rsidRPr="001D67AF" w:rsidRDefault="00351423" w:rsidP="000B52F2">
      <w:pPr>
        <w:numPr>
          <w:ilvl w:val="0"/>
          <w:numId w:val="9"/>
        </w:numPr>
        <w:tabs>
          <w:tab w:val="clear" w:pos="1440"/>
          <w:tab w:val="num" w:pos="1134"/>
        </w:tabs>
        <w:spacing w:before="120" w:after="120"/>
        <w:ind w:left="1134" w:hanging="414"/>
      </w:pPr>
      <w:r w:rsidRPr="001D67AF">
        <w:t>switching between eltrombopag and romiplostim be allowed at any time and wording in the restriction about switching within 24 weeks be removed to mitigate any confusion among prescribers;</w:t>
      </w:r>
    </w:p>
    <w:p w14:paraId="38A5D424" w14:textId="77777777" w:rsidR="00351423" w:rsidRPr="001D67AF" w:rsidRDefault="00351423" w:rsidP="000B52F2">
      <w:pPr>
        <w:numPr>
          <w:ilvl w:val="0"/>
          <w:numId w:val="9"/>
        </w:numPr>
        <w:tabs>
          <w:tab w:val="clear" w:pos="1440"/>
          <w:tab w:val="num" w:pos="1134"/>
        </w:tabs>
        <w:spacing w:after="120"/>
        <w:ind w:left="1134" w:hanging="414"/>
      </w:pPr>
      <w:r w:rsidRPr="001D67AF">
        <w:t>the wording in the restriction regarding prior splenectomy or contraindication to splenectomy be removed;</w:t>
      </w:r>
    </w:p>
    <w:p w14:paraId="4CC82D43" w14:textId="77777777" w:rsidR="00351423" w:rsidRPr="001D67AF" w:rsidRDefault="00351423" w:rsidP="000B52F2">
      <w:pPr>
        <w:numPr>
          <w:ilvl w:val="0"/>
          <w:numId w:val="9"/>
        </w:numPr>
        <w:tabs>
          <w:tab w:val="clear" w:pos="1440"/>
          <w:tab w:val="num" w:pos="1134"/>
        </w:tabs>
        <w:spacing w:after="120"/>
        <w:ind w:left="1134" w:hanging="414"/>
      </w:pPr>
      <w:r w:rsidRPr="001D67AF">
        <w:t>children be included in the updated restrictions by removing age limits;</w:t>
      </w:r>
    </w:p>
    <w:p w14:paraId="367D486B" w14:textId="77777777" w:rsidR="00351423" w:rsidRPr="001D67AF" w:rsidRDefault="00351423" w:rsidP="000B52F2">
      <w:pPr>
        <w:numPr>
          <w:ilvl w:val="0"/>
          <w:numId w:val="9"/>
        </w:numPr>
        <w:tabs>
          <w:tab w:val="clear" w:pos="1440"/>
          <w:tab w:val="num" w:pos="1134"/>
        </w:tabs>
        <w:spacing w:after="120"/>
        <w:ind w:left="1134" w:hanging="414"/>
      </w:pPr>
      <w:r w:rsidRPr="001D67AF">
        <w:t>restrictions on platelet count specified in continuing treatment be removed, and treatment be allowed to continue if the patient can maintain platelet count sufficient to prevent clinically significant bleeding;</w:t>
      </w:r>
    </w:p>
    <w:p w14:paraId="190B9CA0" w14:textId="2620B1A7" w:rsidR="00D95C44" w:rsidRPr="001D67AF" w:rsidRDefault="00351423" w:rsidP="000B52F2">
      <w:pPr>
        <w:numPr>
          <w:ilvl w:val="0"/>
          <w:numId w:val="9"/>
        </w:numPr>
        <w:tabs>
          <w:tab w:val="clear" w:pos="1440"/>
          <w:tab w:val="num" w:pos="1134"/>
        </w:tabs>
        <w:spacing w:after="120"/>
        <w:ind w:left="1134" w:hanging="414"/>
        <w:rPr>
          <w:rFonts w:eastAsia="Calibri"/>
        </w:rPr>
      </w:pPr>
      <w:r w:rsidRPr="001D67AF">
        <w:t xml:space="preserve">the requirement to stipulate toxicity to corticosteroid and immunoglobulin be removed. </w:t>
      </w:r>
    </w:p>
    <w:p w14:paraId="037178DA" w14:textId="0D9E8507" w:rsidR="000835A8" w:rsidRPr="00F402C2" w:rsidRDefault="000835A8" w:rsidP="00157BE3">
      <w:pPr>
        <w:pStyle w:val="3-BodyText"/>
      </w:pPr>
      <w:r w:rsidRPr="00BE11F7">
        <w:t>The</w:t>
      </w:r>
      <w:r w:rsidR="00F432B3">
        <w:t xml:space="preserve"> Pre-Sub-Committee Response</w:t>
      </w:r>
      <w:r w:rsidRPr="00BE11F7">
        <w:t xml:space="preserve"> </w:t>
      </w:r>
      <w:r w:rsidR="00F432B3">
        <w:t>(</w:t>
      </w:r>
      <w:r w:rsidRPr="00BE11F7">
        <w:t>PSCR</w:t>
      </w:r>
      <w:r w:rsidR="006E4282">
        <w:t xml:space="preserve">) </w:t>
      </w:r>
      <w:r w:rsidRPr="00BE11F7">
        <w:t xml:space="preserve">stated that </w:t>
      </w:r>
      <w:r w:rsidR="007B4FF2" w:rsidRPr="00BE11F7">
        <w:t>the Sponsor agrees with the proposed changes made by the Secretariat to align the avatrombopag restriction criteria to the proposed criteria for eltrombopag at the May 2022 PBAC intracycle meeting</w:t>
      </w:r>
      <w:r w:rsidR="007B4FF2" w:rsidRPr="00F402C2">
        <w:t>.</w:t>
      </w:r>
      <w:r w:rsidR="00876313" w:rsidRPr="00F402C2">
        <w:t xml:space="preserve"> </w:t>
      </w:r>
      <w:r w:rsidR="002F23CD" w:rsidRPr="00F402C2">
        <w:t>Th</w:t>
      </w:r>
      <w:r w:rsidR="001D5674" w:rsidRPr="00F402C2">
        <w:t>is</w:t>
      </w:r>
      <w:r w:rsidR="002F23CD" w:rsidRPr="00F402C2">
        <w:t xml:space="preserve"> involve</w:t>
      </w:r>
      <w:r w:rsidR="00A452F2" w:rsidRPr="00F402C2">
        <w:t>s</w:t>
      </w:r>
      <w:r w:rsidR="002F23CD" w:rsidRPr="00F402C2">
        <w:t xml:space="preserve"> the following</w:t>
      </w:r>
      <w:r w:rsidR="00876313" w:rsidRPr="00F402C2">
        <w:t>:</w:t>
      </w:r>
    </w:p>
    <w:p w14:paraId="5BAFDBCF" w14:textId="77777777" w:rsidR="00F402C2" w:rsidRPr="00F402C2" w:rsidRDefault="000835A8" w:rsidP="00F913DB">
      <w:pPr>
        <w:pStyle w:val="3-BodyText"/>
        <w:numPr>
          <w:ilvl w:val="0"/>
          <w:numId w:val="13"/>
        </w:numPr>
        <w:ind w:left="1077" w:hanging="357"/>
      </w:pPr>
      <w:r w:rsidRPr="00F402C2">
        <w:t>The Secretariat proposed an amendment to the assessment of response proposed in the submission to align the clinical criteria</w:t>
      </w:r>
      <w:r w:rsidR="00876313" w:rsidRPr="00F402C2">
        <w:t xml:space="preserve"> (</w:t>
      </w:r>
      <w:r w:rsidR="005107A7" w:rsidRPr="00F402C2">
        <w:t>‘</w:t>
      </w:r>
      <w:r w:rsidR="00876313" w:rsidRPr="00F402C2">
        <w:t>patient must have failed to achieve an adequate response to</w:t>
      </w:r>
      <w:r w:rsidR="002F23CD" w:rsidRPr="00F402C2">
        <w:t xml:space="preserve"> both</w:t>
      </w:r>
      <w:r w:rsidR="00876313" w:rsidRPr="00F402C2">
        <w:t xml:space="preserve"> corticosteroid</w:t>
      </w:r>
      <w:r w:rsidR="002F23CD" w:rsidRPr="00F402C2">
        <w:t xml:space="preserve"> therapy and immunoglobulin</w:t>
      </w:r>
      <w:r w:rsidR="00876313" w:rsidRPr="00F402C2">
        <w:t xml:space="preserve"> </w:t>
      </w:r>
      <w:r w:rsidR="00876313" w:rsidRPr="00F402C2">
        <w:lastRenderedPageBreak/>
        <w:t>therapy</w:t>
      </w:r>
      <w:r w:rsidR="005107A7" w:rsidRPr="00F402C2">
        <w:t>’</w:t>
      </w:r>
      <w:r w:rsidR="00876313" w:rsidRPr="00F402C2">
        <w:t>)</w:t>
      </w:r>
      <w:r w:rsidRPr="00F402C2">
        <w:t xml:space="preserve"> with that recommended for eltrombopag at the May 2022 PBAC intracycle meeting. The amendment stipulate</w:t>
      </w:r>
      <w:r w:rsidR="001D5674" w:rsidRPr="00F402C2">
        <w:t>d</w:t>
      </w:r>
      <w:r w:rsidRPr="00F402C2">
        <w:t xml:space="preserve"> that inadequate response to corticosteroid therapy should be defined as inadequate response, or intolerance, to corticosteroid therapy for at least 4 weeks</w:t>
      </w:r>
      <w:r w:rsidR="00F17852" w:rsidRPr="00F402C2">
        <w:t xml:space="preserve"> (</w:t>
      </w:r>
      <w:r w:rsidR="003D2551" w:rsidRPr="00F402C2">
        <w:t>s</w:t>
      </w:r>
      <w:r w:rsidR="00F17852" w:rsidRPr="00F402C2">
        <w:t xml:space="preserve">ection 6 – recommended listing, </w:t>
      </w:r>
      <w:r w:rsidR="003D2551" w:rsidRPr="00F402C2">
        <w:t>eltrombopag and romiplostim Public Summary Document [PSD], May 2022)</w:t>
      </w:r>
      <w:r w:rsidRPr="00F402C2">
        <w:t xml:space="preserve">. The PBAC </w:t>
      </w:r>
      <w:r w:rsidR="00F1084F" w:rsidRPr="00F402C2">
        <w:t>noted</w:t>
      </w:r>
      <w:r w:rsidR="00876313" w:rsidRPr="00F402C2">
        <w:t xml:space="preserve"> that </w:t>
      </w:r>
      <w:r w:rsidR="00876313" w:rsidRPr="00F402C2">
        <w:rPr>
          <w:rFonts w:cstheme="minorHAnsi"/>
          <w:u w:val="single"/>
        </w:rPr>
        <w:t>intolerance</w:t>
      </w:r>
      <w:r w:rsidR="00876313" w:rsidRPr="00F402C2">
        <w:rPr>
          <w:rFonts w:cstheme="minorHAnsi"/>
        </w:rPr>
        <w:t xml:space="preserve"> to </w:t>
      </w:r>
      <w:r w:rsidR="00876313" w:rsidRPr="00F402C2">
        <w:t>corticosteroids and immunoglobulins</w:t>
      </w:r>
      <w:r w:rsidR="00876313" w:rsidRPr="00F402C2">
        <w:rPr>
          <w:rFonts w:cstheme="minorHAnsi"/>
        </w:rPr>
        <w:t xml:space="preserve"> was not included in the requested TGA indication for avatrombopag (</w:t>
      </w:r>
      <w:r w:rsidR="00876313" w:rsidRPr="00A31536">
        <w:rPr>
          <w:rFonts w:cstheme="minorHAnsi"/>
        </w:rPr>
        <w:t xml:space="preserve">paragraph </w:t>
      </w:r>
      <w:r w:rsidR="00876313" w:rsidRPr="00A31536">
        <w:rPr>
          <w:rFonts w:cstheme="minorHAnsi"/>
        </w:rPr>
        <w:fldChar w:fldCharType="begin" w:fldLock="1"/>
      </w:r>
      <w:r w:rsidR="00876313" w:rsidRPr="00A31536">
        <w:rPr>
          <w:rFonts w:cstheme="minorHAnsi"/>
        </w:rPr>
        <w:instrText xml:space="preserve"> REF _Ref116455860 \r \h  \* MERGEFORMAT </w:instrText>
      </w:r>
      <w:r w:rsidR="00876313" w:rsidRPr="00A31536">
        <w:rPr>
          <w:rFonts w:cstheme="minorHAnsi"/>
        </w:rPr>
      </w:r>
      <w:r w:rsidR="00876313" w:rsidRPr="00A31536">
        <w:rPr>
          <w:rFonts w:cstheme="minorHAnsi"/>
        </w:rPr>
        <w:fldChar w:fldCharType="separate"/>
      </w:r>
      <w:r w:rsidR="0080246B" w:rsidRPr="00A31536">
        <w:rPr>
          <w:rFonts w:cstheme="minorHAnsi"/>
        </w:rPr>
        <w:t>3.3</w:t>
      </w:r>
      <w:r w:rsidR="00876313" w:rsidRPr="00A31536">
        <w:rPr>
          <w:rFonts w:cstheme="minorHAnsi"/>
        </w:rPr>
        <w:fldChar w:fldCharType="end"/>
      </w:r>
      <w:r w:rsidR="00876313" w:rsidRPr="00F402C2">
        <w:rPr>
          <w:rFonts w:cstheme="minorHAnsi"/>
        </w:rPr>
        <w:t>)</w:t>
      </w:r>
      <w:r w:rsidR="00F1084F" w:rsidRPr="00F402C2">
        <w:rPr>
          <w:rFonts w:cstheme="minorHAnsi"/>
        </w:rPr>
        <w:t>, but considered this request was reasonable</w:t>
      </w:r>
      <w:r w:rsidRPr="00F402C2">
        <w:t>.</w:t>
      </w:r>
      <w:r w:rsidR="00F402C2" w:rsidRPr="00F402C2">
        <w:t xml:space="preserve"> </w:t>
      </w:r>
    </w:p>
    <w:p w14:paraId="166C9584" w14:textId="45AEBDB0" w:rsidR="000835A8" w:rsidRPr="00F402C2" w:rsidRDefault="000835A8" w:rsidP="00F913DB">
      <w:pPr>
        <w:pStyle w:val="3-BodyText"/>
        <w:numPr>
          <w:ilvl w:val="0"/>
          <w:numId w:val="13"/>
        </w:numPr>
        <w:ind w:left="1077" w:hanging="357"/>
      </w:pPr>
      <w:r w:rsidRPr="00F402C2">
        <w:t>At the May 2022 PBAC intracycle meeting, the PBAC recommended the requirement for written assessment</w:t>
      </w:r>
      <w:r w:rsidR="002B2533" w:rsidRPr="00F402C2">
        <w:t xml:space="preserve"> for eltrombopag and romiplostim</w:t>
      </w:r>
      <w:r w:rsidRPr="00F402C2">
        <w:t xml:space="preserve"> be changed to telephone/electronic assessment for First Continuing treatment or Re-initiation of interrupted continuing treatment</w:t>
      </w:r>
      <w:r w:rsidR="002B2533" w:rsidRPr="00F402C2">
        <w:t xml:space="preserve"> (section 6 – recommended listing, eltrombopag and romiplostim PSD, May 2022)</w:t>
      </w:r>
      <w:r w:rsidRPr="00F402C2">
        <w:t xml:space="preserve">. The Secretariat proposed flowing on these changes to avatrombopag, requiring written assessment for the Initial treatment and Grandfather treatment restrictions, and telephone/electronic assessment for First Continuing treatment or Re-initiation of interrupted continuing treatment. </w:t>
      </w:r>
      <w:r w:rsidR="005242C9" w:rsidRPr="00F402C2">
        <w:t>The PBAC considered the listing of avatrombopag should reflect its recommendations for changes to the TPO-RA listings recommended at its May 2022 intracycle meeting.</w:t>
      </w:r>
    </w:p>
    <w:p w14:paraId="08D8C159" w14:textId="33E5EC1C" w:rsidR="00D95C44" w:rsidRPr="001D67AF" w:rsidRDefault="00D95C44" w:rsidP="00157BE3">
      <w:pPr>
        <w:pStyle w:val="3-BodyText"/>
      </w:pPr>
      <w:r w:rsidRPr="001D67AF">
        <w:t>T</w:t>
      </w:r>
      <w:r w:rsidR="007F5468">
        <w:t xml:space="preserve">he </w:t>
      </w:r>
      <w:r w:rsidR="007F5468" w:rsidRPr="00BE11F7">
        <w:t>evaluation noted that</w:t>
      </w:r>
      <w:r w:rsidR="007F5468">
        <w:t xml:space="preserve"> t</w:t>
      </w:r>
      <w:r w:rsidRPr="001D67AF">
        <w:t>here was inconsistency in the number of packs proposed for listing; the submission show</w:t>
      </w:r>
      <w:r w:rsidR="0052226A">
        <w:t>ed</w:t>
      </w:r>
      <w:r w:rsidRPr="001D67AF">
        <w:t xml:space="preserve"> 2 packs as the maximum quantity whereas the financial estimates use</w:t>
      </w:r>
      <w:r w:rsidR="0052226A">
        <w:t>d</w:t>
      </w:r>
      <w:r w:rsidRPr="001D67AF">
        <w:t xml:space="preserve"> 1 pack.</w:t>
      </w:r>
      <w:r w:rsidR="00BC6897">
        <w:t xml:space="preserve"> </w:t>
      </w:r>
      <w:r w:rsidR="00BC6897" w:rsidRPr="00BE11F7">
        <w:rPr>
          <w:iCs/>
        </w:rPr>
        <w:t>The PSCR did not clarify this inconsistency.</w:t>
      </w:r>
      <w:r w:rsidR="00256EE8">
        <w:rPr>
          <w:iCs/>
        </w:rPr>
        <w:t xml:space="preserve"> The PBAC considered that a maximum quantity of 1 pack was appropriate, with an allowance for prescribers to apply for an additional pack.</w:t>
      </w:r>
    </w:p>
    <w:p w14:paraId="6A9F222A" w14:textId="185C5322" w:rsidR="00157BE3" w:rsidRPr="001D67AF" w:rsidRDefault="00157BE3" w:rsidP="00157BE3">
      <w:pPr>
        <w:pStyle w:val="3-BodyText"/>
      </w:pPr>
      <w:r w:rsidRPr="001D67AF">
        <w:t xml:space="preserve">The submission proposed a Special Pricing Arrangement: </w:t>
      </w:r>
      <w:r w:rsidR="005107A7">
        <w:t>‘</w:t>
      </w:r>
      <w:r w:rsidRPr="001D67AF">
        <w:t>should avatrombopag be recommended by the PBAC, the sponsor is willing, in principle, to be listed with a confidential special pricing arrangement (SPA) which includes a rebate on the published AEMP such that the cost-minimisation claim is realised once the confidential eltrombopag price in chronic ITP is incorporated</w:t>
      </w:r>
      <w:r w:rsidR="005107A7">
        <w:t>’</w:t>
      </w:r>
      <w:r w:rsidRPr="001D67AF">
        <w:t>.</w:t>
      </w:r>
    </w:p>
    <w:p w14:paraId="7DFA06B6" w14:textId="0EB91085" w:rsidR="00157BE3" w:rsidRPr="00BE11F7" w:rsidRDefault="00157BE3" w:rsidP="00157BE3">
      <w:pPr>
        <w:pStyle w:val="3-BodyText"/>
      </w:pPr>
      <w:r w:rsidRPr="001D67AF">
        <w:t xml:space="preserve">The definition of </w:t>
      </w:r>
      <w:r w:rsidR="005107A7">
        <w:t>‘</w:t>
      </w:r>
      <w:r w:rsidRPr="001D67AF">
        <w:t>sustained response</w:t>
      </w:r>
      <w:r w:rsidR="005107A7">
        <w:t>’</w:t>
      </w:r>
      <w:r w:rsidRPr="001D67AF">
        <w:t xml:space="preserve"> (and </w:t>
      </w:r>
      <w:r w:rsidR="005107A7">
        <w:t>‘</w:t>
      </w:r>
      <w:r w:rsidRPr="001D67AF">
        <w:t>continuing response</w:t>
      </w:r>
      <w:r w:rsidR="005107A7">
        <w:t>’</w:t>
      </w:r>
      <w:r w:rsidRPr="001D67AF">
        <w:t>) is different to that defined in the current PBS Authority restrictions for eltrombopag,</w:t>
      </w:r>
      <w:r w:rsidRPr="001D67AF">
        <w:rPr>
          <w:vertAlign w:val="superscript"/>
        </w:rPr>
        <w:footnoteReference w:id="2"/>
      </w:r>
      <w:r w:rsidRPr="001D67AF">
        <w:rPr>
          <w:vertAlign w:val="superscript"/>
        </w:rPr>
        <w:t xml:space="preserve"> </w:t>
      </w:r>
      <w:r w:rsidRPr="001D67AF">
        <w:t xml:space="preserve"> but consistent with the recommendation at the May 2022 intracycle meeting that restrictions on platelet count specified in continuing treatment be removed, and treatment be allowed to continue if the patient can maintain platelet count sufficient to prevent clinically significant bleeding</w:t>
      </w:r>
      <w:r w:rsidR="00F40C47" w:rsidRPr="001D67AF">
        <w:t xml:space="preserve"> </w:t>
      </w:r>
      <w:r w:rsidR="00F40C47" w:rsidRPr="00E0005C">
        <w:t>(</w:t>
      </w:r>
      <w:r w:rsidR="00F40C47" w:rsidRPr="00A31536">
        <w:t xml:space="preserve">paragraph </w:t>
      </w:r>
      <w:r w:rsidR="00F40C47" w:rsidRPr="00A31536">
        <w:fldChar w:fldCharType="begin" w:fldLock="1"/>
      </w:r>
      <w:r w:rsidR="00F40C47" w:rsidRPr="00A31536">
        <w:instrText xml:space="preserve"> REF _Ref113271962 \r \h </w:instrText>
      </w:r>
      <w:r w:rsidR="001D67AF" w:rsidRPr="00A31536">
        <w:instrText xml:space="preserve"> \* MERGEFORMAT </w:instrText>
      </w:r>
      <w:r w:rsidR="00F40C47" w:rsidRPr="00A31536">
        <w:fldChar w:fldCharType="separate"/>
      </w:r>
      <w:r w:rsidR="0080246B" w:rsidRPr="00A31536">
        <w:t>3.4</w:t>
      </w:r>
      <w:r w:rsidR="00F40C47" w:rsidRPr="00A31536">
        <w:fldChar w:fldCharType="end"/>
      </w:r>
      <w:r w:rsidR="00F40C47" w:rsidRPr="001D67AF">
        <w:t>)</w:t>
      </w:r>
      <w:r w:rsidRPr="001D67AF">
        <w:t xml:space="preserve">. </w:t>
      </w:r>
      <w:r w:rsidR="007F5468" w:rsidRPr="00BE11F7">
        <w:t>The</w:t>
      </w:r>
      <w:r w:rsidR="00382F9E">
        <w:t xml:space="preserve"> PBAC agreed with the</w:t>
      </w:r>
      <w:r w:rsidR="007F5468" w:rsidRPr="00BE11F7">
        <w:t xml:space="preserve"> ESC</w:t>
      </w:r>
      <w:r w:rsidR="00382F9E">
        <w:t xml:space="preserve"> that</w:t>
      </w:r>
      <w:r w:rsidR="007F5468" w:rsidRPr="00BE11F7">
        <w:t xml:space="preserve"> consistency with the May 2022 intracycle meeting </w:t>
      </w:r>
      <w:r w:rsidR="00382F9E">
        <w:t>is</w:t>
      </w:r>
      <w:r w:rsidR="007F5468" w:rsidRPr="00BE11F7">
        <w:t xml:space="preserve"> appropriate</w:t>
      </w:r>
      <w:r w:rsidR="00A452F2" w:rsidRPr="00BE11F7">
        <w:t xml:space="preserve"> in this regard</w:t>
      </w:r>
      <w:r w:rsidR="007F5468" w:rsidRPr="00BE11F7">
        <w:t>.</w:t>
      </w:r>
    </w:p>
    <w:p w14:paraId="04502C89" w14:textId="79F801AD" w:rsidR="00550A6E" w:rsidRPr="005F7971" w:rsidRDefault="005307B6" w:rsidP="005307B6">
      <w:pPr>
        <w:pStyle w:val="3-BodyText"/>
        <w:numPr>
          <w:ilvl w:val="0"/>
          <w:numId w:val="0"/>
        </w:numPr>
        <w:ind w:left="720"/>
      </w:pPr>
      <w:r w:rsidRPr="00C33D30">
        <w:rPr>
          <w:i/>
        </w:rPr>
        <w:lastRenderedPageBreak/>
        <w:t>For more detail on PBAC’s view, see section 7 PBAC outcome.</w:t>
      </w:r>
      <w:r w:rsidR="00550A6E">
        <w:t xml:space="preserve"> </w:t>
      </w:r>
    </w:p>
    <w:p w14:paraId="7075B85C" w14:textId="161DC238" w:rsidR="00B50DB8" w:rsidRPr="00407F2D" w:rsidDel="00195452" w:rsidRDefault="00203181" w:rsidP="004E18E9">
      <w:pPr>
        <w:pStyle w:val="2-SectionHeading"/>
      </w:pPr>
      <w:bookmarkStart w:id="11" w:name="_Toc113903625"/>
      <w:r w:rsidDel="00195452">
        <w:t xml:space="preserve">Population and </w:t>
      </w:r>
      <w:r w:rsidR="008E0D3C" w:rsidDel="00195452">
        <w:t>d</w:t>
      </w:r>
      <w:r w:rsidDel="00195452">
        <w:t>isease</w:t>
      </w:r>
      <w:bookmarkEnd w:id="11"/>
    </w:p>
    <w:p w14:paraId="4F3B43F2" w14:textId="1562216E" w:rsidR="00D3351D" w:rsidRDefault="00D3351D" w:rsidP="00D3351D">
      <w:pPr>
        <w:pStyle w:val="3-BodyText"/>
      </w:pPr>
      <w:r w:rsidRPr="005411DE">
        <w:t xml:space="preserve">Immune thrombocytopenia (ITP, also called idiopathic thrombocytopenic purpura, immune thrombocytopenic purpura) is caused by autoantibodies against platelet antigens, most often platelet membrane glycoproteins. Antibody-coated platelets are removed by the spleen, but also in other tissues. </w:t>
      </w:r>
      <w:r>
        <w:t xml:space="preserve">Inadequate platelet numbers </w:t>
      </w:r>
      <w:r w:rsidR="00AE24D0">
        <w:t>lead</w:t>
      </w:r>
      <w:r>
        <w:t xml:space="preserve"> to bleeding in many but not all patients; bleeding can be severe or fatal. </w:t>
      </w:r>
      <w:r w:rsidRPr="005411DE">
        <w:t>The incidence of ITP is of the order of 3/100,000 person</w:t>
      </w:r>
      <w:r>
        <w:t>-</w:t>
      </w:r>
      <w:r w:rsidRPr="005411DE">
        <w:t xml:space="preserve">years; the prevalence is several times greater. </w:t>
      </w:r>
      <w:r>
        <w:t xml:space="preserve">ITP is customarily divided into primary ITP, in which there is no apparent underlying cause, and secondary, in which there is an identified inciting factor (such as </w:t>
      </w:r>
      <w:r w:rsidRPr="0060446C">
        <w:rPr>
          <w:i/>
        </w:rPr>
        <w:t>H</w:t>
      </w:r>
      <w:r w:rsidR="000C537F">
        <w:rPr>
          <w:i/>
        </w:rPr>
        <w:t>.</w:t>
      </w:r>
      <w:r w:rsidRPr="0060446C">
        <w:rPr>
          <w:i/>
        </w:rPr>
        <w:t xml:space="preserve"> pylori</w:t>
      </w:r>
      <w:r>
        <w:t xml:space="preserve"> infection, systemic lupus erythematosus, etc)</w:t>
      </w:r>
      <w:r w:rsidR="003D17C7">
        <w:t>, but th</w:t>
      </w:r>
      <w:r w:rsidR="00760649">
        <w:t xml:space="preserve">e proportion of primary cases </w:t>
      </w:r>
      <w:r w:rsidR="003D17C7">
        <w:t>depends on the state of medical knowledge and the diligence with which secondary causes are sought.</w:t>
      </w:r>
      <w:r>
        <w:t xml:space="preserve"> Secondary ITP</w:t>
      </w:r>
      <w:r w:rsidR="00760649">
        <w:t xml:space="preserve">, defined by the investigators’ routine practice, </w:t>
      </w:r>
      <w:r>
        <w:t xml:space="preserve">was an exclusion criterion in the studies considered in the submission. </w:t>
      </w:r>
    </w:p>
    <w:p w14:paraId="2FAA70B5" w14:textId="6FE0CF14" w:rsidR="00D3351D" w:rsidRPr="005411DE" w:rsidRDefault="00D3351D" w:rsidP="00D3351D">
      <w:pPr>
        <w:pStyle w:val="3-BodyText"/>
      </w:pPr>
      <w:r w:rsidRPr="005411DE">
        <w:t>A review of experience from a single Australian teaching hospital identified 54 new cases of primary ITP over 5 years; median age was 56</w:t>
      </w:r>
      <w:r>
        <w:t xml:space="preserve"> years</w:t>
      </w:r>
      <w:r w:rsidRPr="005411DE">
        <w:t xml:space="preserve"> and 56% were female. </w:t>
      </w:r>
      <w:r>
        <w:t>There were 72 cases of secondary ITP in the same period. About half the new primary ITP patients required treatment</w:t>
      </w:r>
      <w:r w:rsidRPr="005411DE">
        <w:t xml:space="preserve"> at presentation (28/54), in most cases steroids were used (23/28); about half the patients later required non-steroid treatment.</w:t>
      </w:r>
      <w:r w:rsidR="00BC24B2">
        <w:t xml:space="preserve"> T</w:t>
      </w:r>
      <w:r w:rsidR="00BC24B2" w:rsidRPr="00250C98">
        <w:t>hrombopoietin-receptor agonist</w:t>
      </w:r>
      <w:r w:rsidR="00BC24B2">
        <w:t>s</w:t>
      </w:r>
      <w:r w:rsidRPr="005411DE">
        <w:t xml:space="preserve"> </w:t>
      </w:r>
      <w:r w:rsidR="00BC24B2">
        <w:t>(</w:t>
      </w:r>
      <w:r w:rsidRPr="005411DE">
        <w:t>TPO-R</w:t>
      </w:r>
      <w:r w:rsidR="00BC24B2">
        <w:t>A</w:t>
      </w:r>
      <w:r w:rsidRPr="005411DE">
        <w:t>s</w:t>
      </w:r>
      <w:r w:rsidR="00BC24B2">
        <w:t>)</w:t>
      </w:r>
      <w:r w:rsidRPr="005411DE">
        <w:t xml:space="preserve"> were used only in clinical trials.</w:t>
      </w:r>
      <w:r w:rsidRPr="00D3351D">
        <w:rPr>
          <w:vertAlign w:val="superscript"/>
        </w:rPr>
        <w:footnoteReference w:id="3"/>
      </w:r>
      <w:r w:rsidRPr="00D3351D">
        <w:rPr>
          <w:vertAlign w:val="superscript"/>
        </w:rPr>
        <w:t xml:space="preserve"> </w:t>
      </w:r>
    </w:p>
    <w:p w14:paraId="188987CE" w14:textId="61391E49" w:rsidR="00D3351D" w:rsidRDefault="00D3351D" w:rsidP="00D3351D">
      <w:pPr>
        <w:pStyle w:val="3-BodyText"/>
      </w:pPr>
      <w:r w:rsidRPr="005411DE">
        <w:t xml:space="preserve">Most treatment decisions in ITP are based on limited evidence; recent Australian consensus guidelines noted that </w:t>
      </w:r>
      <w:r w:rsidR="005107A7">
        <w:t>‘</w:t>
      </w:r>
      <w:r w:rsidRPr="005411DE">
        <w:t>Most recommendations are made with low Levels of Evidence</w:t>
      </w:r>
      <w:r w:rsidR="005107A7">
        <w:t>’</w:t>
      </w:r>
      <w:r w:rsidR="00760649">
        <w:t>.</w:t>
      </w:r>
      <w:r w:rsidRPr="00D3351D">
        <w:rPr>
          <w:vertAlign w:val="superscript"/>
        </w:rPr>
        <w:footnoteReference w:id="4"/>
      </w:r>
      <w:r>
        <w:t xml:space="preserve"> </w:t>
      </w:r>
    </w:p>
    <w:p w14:paraId="6D30E376" w14:textId="4A4B58F8" w:rsidR="00382F9E" w:rsidRDefault="00382F9E" w:rsidP="00382F9E">
      <w:pPr>
        <w:pStyle w:val="3-BodyText"/>
      </w:pPr>
      <w:r w:rsidRPr="00250C98">
        <w:t>Avatrombopag is</w:t>
      </w:r>
      <w:r w:rsidR="00BC24B2">
        <w:t xml:space="preserve"> a</w:t>
      </w:r>
      <w:r w:rsidRPr="00250C98">
        <w:t xml:space="preserve"> small-molecule TPO-RA.</w:t>
      </w:r>
      <w:r w:rsidRPr="00CB69A8">
        <w:rPr>
          <w:b/>
          <w:sz w:val="32"/>
          <w:szCs w:val="32"/>
        </w:rPr>
        <w:t xml:space="preserve"> </w:t>
      </w:r>
      <w:r w:rsidRPr="005F7971">
        <w:t>The submission stated that i</w:t>
      </w:r>
      <w:r>
        <w:t>t does not require dietary restrictions or routine monitoring.</w:t>
      </w:r>
    </w:p>
    <w:p w14:paraId="418D1BDE" w14:textId="5B539B07" w:rsidR="005307B6" w:rsidRPr="00D3351D" w:rsidDel="00195452" w:rsidRDefault="005307B6" w:rsidP="005307B6">
      <w:pPr>
        <w:pStyle w:val="3-BodyText"/>
        <w:numPr>
          <w:ilvl w:val="0"/>
          <w:numId w:val="0"/>
        </w:numPr>
        <w:ind w:left="720"/>
      </w:pPr>
      <w:r w:rsidRPr="00C33D30">
        <w:rPr>
          <w:i/>
        </w:rPr>
        <w:t>For more detail on PBAC’s view, see section 7 PBAC outcome.</w:t>
      </w:r>
    </w:p>
    <w:p w14:paraId="51E5AE96" w14:textId="136A63B1" w:rsidR="00B50DB8" w:rsidRPr="00407F2D" w:rsidRDefault="00B50DB8" w:rsidP="004E18E9">
      <w:pPr>
        <w:pStyle w:val="2-SectionHeading"/>
      </w:pPr>
      <w:bookmarkStart w:id="12" w:name="_Toc113903626"/>
      <w:r w:rsidRPr="00407F2D">
        <w:t>Comparator</w:t>
      </w:r>
      <w:bookmarkEnd w:id="12"/>
    </w:p>
    <w:p w14:paraId="747A75CC" w14:textId="30131F63" w:rsidR="00A05472" w:rsidRPr="00BE11F7" w:rsidRDefault="00915E90" w:rsidP="00882E3C">
      <w:pPr>
        <w:pStyle w:val="3-BodyText"/>
        <w:rPr>
          <w:snapToGrid/>
          <w:lang w:val="en-US"/>
        </w:rPr>
      </w:pPr>
      <w:r w:rsidRPr="001D67AF">
        <w:t>The submission nominated eltrombopag as the main comparator and romiplostim as a secondary comparator; both are PBS-listed for treatment of ITP. The submission also presented an evaluation of splenectomy.</w:t>
      </w:r>
      <w:r w:rsidR="008347CF">
        <w:t xml:space="preserve"> </w:t>
      </w:r>
      <w:r w:rsidR="008347CF" w:rsidRPr="00BE11F7">
        <w:t xml:space="preserve">The ESC </w:t>
      </w:r>
      <w:r w:rsidR="0052226A">
        <w:t xml:space="preserve">and the PBAC </w:t>
      </w:r>
      <w:r w:rsidR="008347CF" w:rsidRPr="00BE11F7">
        <w:t>considered that overall, the choice of comparator was reasonable.</w:t>
      </w:r>
    </w:p>
    <w:p w14:paraId="5FFD486D" w14:textId="70A9422A" w:rsidR="00DA3D1B" w:rsidRDefault="00915E90" w:rsidP="00DA3D1B">
      <w:pPr>
        <w:pStyle w:val="3-BodyText"/>
        <w:rPr>
          <w:lang w:val="en-US"/>
        </w:rPr>
      </w:pPr>
      <w:r w:rsidRPr="001D67AF">
        <w:lastRenderedPageBreak/>
        <w:t xml:space="preserve">Eltrombopag is administered orally, while romiplostim is given as weekly subcutaneous injections. The submission suggested that avatrombopag </w:t>
      </w:r>
      <w:r w:rsidR="005107A7">
        <w:t>‘</w:t>
      </w:r>
      <w:r w:rsidRPr="001D67AF">
        <w:t>is likely to mostly replace [eltrombopag] in clinical practice</w:t>
      </w:r>
      <w:r w:rsidR="005107A7">
        <w:t>’</w:t>
      </w:r>
      <w:r w:rsidRPr="001D67AF">
        <w:t xml:space="preserve">, while </w:t>
      </w:r>
      <w:r w:rsidR="005107A7">
        <w:t>‘</w:t>
      </w:r>
      <w:r w:rsidRPr="001D67AF">
        <w:t>low substitution from romiplostim is expected</w:t>
      </w:r>
      <w:r w:rsidR="005107A7">
        <w:t>’</w:t>
      </w:r>
      <w:r w:rsidRPr="001D67AF">
        <w:t xml:space="preserve">. </w:t>
      </w:r>
      <w:r w:rsidR="008347CF" w:rsidRPr="00BE11F7">
        <w:t xml:space="preserve">The evaluation considered it </w:t>
      </w:r>
      <w:r w:rsidRPr="00BE11F7">
        <w:t>reasonable</w:t>
      </w:r>
      <w:r w:rsidR="008347CF" w:rsidRPr="00BE11F7">
        <w:t xml:space="preserve"> to</w:t>
      </w:r>
      <w:r w:rsidRPr="00BE11F7">
        <w:t xml:space="preserve"> claim that eltrombopag will be the main </w:t>
      </w:r>
      <w:r w:rsidR="00F229F3">
        <w:t>therapy</w:t>
      </w:r>
      <w:r w:rsidR="00F229F3" w:rsidRPr="00BE11F7">
        <w:t xml:space="preserve"> </w:t>
      </w:r>
      <w:r w:rsidRPr="00BE11F7">
        <w:t>for which avatrombopag will be substituted</w:t>
      </w:r>
      <w:r w:rsidR="008347CF" w:rsidRPr="00BE11F7">
        <w:t>, and that</w:t>
      </w:r>
      <w:r w:rsidRPr="00BE11F7">
        <w:t xml:space="preserve"> </w:t>
      </w:r>
      <w:r w:rsidR="008347CF" w:rsidRPr="00BE11F7">
        <w:t>r</w:t>
      </w:r>
      <w:r w:rsidRPr="00BE11F7">
        <w:t xml:space="preserve">omiplostim could be significantly impacted if the number of patients unable to use eltrombopag because of hepatotoxicity or unwillingness to adhere to dietary restrictions </w:t>
      </w:r>
      <w:r w:rsidR="008347CF" w:rsidRPr="00BE11F7">
        <w:t>(</w:t>
      </w:r>
      <w:r w:rsidRPr="00BE11F7">
        <w:t xml:space="preserve">which the submission states to be </w:t>
      </w:r>
      <w:r w:rsidR="005107A7">
        <w:t>‘</w:t>
      </w:r>
      <w:r w:rsidRPr="00BE11F7">
        <w:t>small</w:t>
      </w:r>
      <w:r w:rsidR="005107A7">
        <w:t>’</w:t>
      </w:r>
      <w:r w:rsidR="008347CF" w:rsidRPr="00BE11F7">
        <w:t>)</w:t>
      </w:r>
      <w:r w:rsidRPr="00BE11F7">
        <w:t xml:space="preserve"> is greater than estimated, or if clinicians switch between TPO-RAs for other reasons. </w:t>
      </w:r>
      <w:r w:rsidR="008347CF" w:rsidRPr="00BE11F7">
        <w:t>The</w:t>
      </w:r>
      <w:r w:rsidR="00F229F3">
        <w:t xml:space="preserve"> PBAC </w:t>
      </w:r>
      <w:r w:rsidR="00B90D01">
        <w:t>n</w:t>
      </w:r>
      <w:r w:rsidR="008C010B">
        <w:t xml:space="preserve">oted the advice from the sponsor hearing and considered </w:t>
      </w:r>
      <w:r w:rsidR="008347CF" w:rsidRPr="00BE11F7">
        <w:t>that dietary restriction</w:t>
      </w:r>
      <w:r w:rsidR="00E76491" w:rsidRPr="00BE11F7">
        <w:t>s</w:t>
      </w:r>
      <w:r w:rsidR="008347CF" w:rsidRPr="00BE11F7">
        <w:t xml:space="preserve"> </w:t>
      </w:r>
      <w:r w:rsidR="008101CD" w:rsidRPr="00BE11F7">
        <w:t>would be</w:t>
      </w:r>
      <w:r w:rsidR="008347CF" w:rsidRPr="00BE11F7">
        <w:t xml:space="preserve"> the most likely reason to switch from eltrombopag to avatrombopag</w:t>
      </w:r>
      <w:r w:rsidR="00E76491" w:rsidRPr="00BE11F7">
        <w:t>, and that patients may switch from romiplostim to avatrombopag (over eltrombopag)</w:t>
      </w:r>
      <w:r w:rsidR="008347CF" w:rsidRPr="00BE11F7">
        <w:t xml:space="preserve"> if</w:t>
      </w:r>
      <w:r w:rsidR="008101CD" w:rsidRPr="00BE11F7">
        <w:t xml:space="preserve"> they have</w:t>
      </w:r>
      <w:r w:rsidR="008347CF" w:rsidRPr="00BE11F7">
        <w:t xml:space="preserve"> liver issues</w:t>
      </w:r>
      <w:r w:rsidR="00F229F3">
        <w:t xml:space="preserve"> or require assistance with romiplostim injections</w:t>
      </w:r>
      <w:r w:rsidR="008347CF" w:rsidRPr="00BE11F7">
        <w:t xml:space="preserve">. </w:t>
      </w:r>
      <w:r w:rsidR="00DA3D1B" w:rsidRPr="00DA3D1B">
        <w:t xml:space="preserve">For the requested population, splenectomy may be considered an alternative therapy when the requirement for patients to have undergone splenectomy for access to TPO-RAs is removed (paragraph 3.4). This is implied by the treatment algorithm presented in the submission. There have been no randomised controlled trials of splenectomy for ITP, and it was stated in the submission that for this reason </w:t>
      </w:r>
      <w:r w:rsidR="005107A7">
        <w:t>’a</w:t>
      </w:r>
      <w:r w:rsidR="00DA3D1B" w:rsidRPr="00DA3D1B">
        <w:t>n indirect treatment comparison with avatrombopag was unable to be performed</w:t>
      </w:r>
      <w:r w:rsidR="005107A7">
        <w:t>’</w:t>
      </w:r>
      <w:r w:rsidR="00DA3D1B" w:rsidRPr="00DA3D1B">
        <w:t>.</w:t>
      </w:r>
    </w:p>
    <w:p w14:paraId="011F68EC" w14:textId="13B693C8" w:rsidR="00C47671" w:rsidRDefault="00DA3D1B" w:rsidP="00230921">
      <w:pPr>
        <w:pStyle w:val="3-BodyText"/>
        <w:rPr>
          <w:lang w:val="en-US"/>
        </w:rPr>
      </w:pPr>
      <w:r w:rsidRPr="00DA3D1B">
        <w:rPr>
          <w:lang w:val="en-US"/>
        </w:rPr>
        <w:t>If treatment with avatrombopag is substantially more costly than any of the alternative therapies (eltrombopag and romiplostim), the PBAC could only recommend listing avatrombopag if it is satisfied that it provides, for some patients, a significant improvement in efficacy or reduction of toxicity over the alternative therapies (</w:t>
      </w:r>
      <w:r w:rsidRPr="00AE24D0">
        <w:rPr>
          <w:i/>
          <w:iCs/>
          <w:lang w:val="en-US"/>
        </w:rPr>
        <w:t>National Health Act 1953</w:t>
      </w:r>
      <w:r w:rsidRPr="00DA3D1B">
        <w:rPr>
          <w:lang w:val="en-US"/>
        </w:rPr>
        <w:t>, Section 101(3B)). The PBAC advised that the cost minimisation should be performed against the least costly comparator, eltrombopag, so that it is not more costly than any of the alternative therapies.</w:t>
      </w:r>
    </w:p>
    <w:p w14:paraId="2F1D6D30" w14:textId="113E57B7" w:rsidR="005307B6" w:rsidRPr="001D67AF" w:rsidRDefault="005307B6" w:rsidP="005307B6">
      <w:pPr>
        <w:pStyle w:val="3-BodyText"/>
        <w:numPr>
          <w:ilvl w:val="0"/>
          <w:numId w:val="0"/>
        </w:numPr>
        <w:ind w:left="720"/>
        <w:rPr>
          <w:lang w:val="en-US"/>
        </w:rPr>
      </w:pPr>
      <w:r w:rsidRPr="00C33D30">
        <w:rPr>
          <w:i/>
        </w:rPr>
        <w:t>For more detail on PBAC’s view, see section 7 PBAC outcome.</w:t>
      </w:r>
    </w:p>
    <w:p w14:paraId="7F9C27C8" w14:textId="32CC0828" w:rsidR="00223D5A" w:rsidRDefault="00223D5A" w:rsidP="00223D5A">
      <w:pPr>
        <w:pStyle w:val="2-SectionHeading"/>
        <w:numPr>
          <w:ilvl w:val="0"/>
          <w:numId w:val="1"/>
        </w:numPr>
      </w:pPr>
      <w:bookmarkStart w:id="13" w:name="_Toc113903627"/>
      <w:bookmarkStart w:id="14" w:name="_Toc22897640"/>
      <w:r>
        <w:t>C</w:t>
      </w:r>
      <w:r w:rsidRPr="00407F2D">
        <w:t>onsideration of the evidence</w:t>
      </w:r>
      <w:bookmarkEnd w:id="13"/>
    </w:p>
    <w:p w14:paraId="2D8FF404" w14:textId="77777777" w:rsidR="00AB7B62" w:rsidRPr="006E1229" w:rsidRDefault="00AB7B62" w:rsidP="004F290F">
      <w:pPr>
        <w:pStyle w:val="4-SubsectionHeading"/>
      </w:pPr>
      <w:bookmarkStart w:id="15" w:name="_Hlk76375935"/>
      <w:r w:rsidRPr="006E1229">
        <w:t>Sponsor hearing</w:t>
      </w:r>
    </w:p>
    <w:p w14:paraId="0690F607" w14:textId="285C30DB" w:rsidR="00AB7B62" w:rsidRPr="00836F75" w:rsidRDefault="00AB7B62" w:rsidP="00AB7B62">
      <w:pPr>
        <w:widowControl w:val="0"/>
        <w:numPr>
          <w:ilvl w:val="1"/>
          <w:numId w:val="1"/>
        </w:numPr>
        <w:spacing w:after="120"/>
        <w:rPr>
          <w:rFonts w:asciiTheme="minorHAnsi" w:hAnsiTheme="minorHAnsi"/>
          <w:bCs/>
          <w:snapToGrid w:val="0"/>
        </w:rPr>
      </w:pPr>
      <w:bookmarkStart w:id="16" w:name="_Hlk76382586"/>
      <w:r w:rsidRPr="00836F75">
        <w:rPr>
          <w:rFonts w:asciiTheme="minorHAnsi" w:hAnsiTheme="minorHAnsi"/>
          <w:bCs/>
          <w:snapToGrid w:val="0"/>
        </w:rPr>
        <w:t xml:space="preserve">The sponsor requested a hearing for this item. The clinician </w:t>
      </w:r>
      <w:r w:rsidR="00E2486F">
        <w:rPr>
          <w:rFonts w:asciiTheme="minorHAnsi" w:hAnsiTheme="minorHAnsi"/>
          <w:bCs/>
          <w:snapToGrid w:val="0"/>
        </w:rPr>
        <w:t xml:space="preserve">discussed the risk factors and manifestations of severe thrombocytopenia due to chronic ITP and outlined that treatment goals in practice are patient centred, i.e., to reduce the risk of bleeding events while minimising treatment related toxicities. </w:t>
      </w:r>
      <w:r w:rsidR="0052226A">
        <w:rPr>
          <w:rFonts w:asciiTheme="minorHAnsi" w:hAnsiTheme="minorHAnsi"/>
          <w:bCs/>
          <w:snapToGrid w:val="0"/>
        </w:rPr>
        <w:t>C</w:t>
      </w:r>
      <w:r w:rsidR="00E2486F">
        <w:rPr>
          <w:rFonts w:asciiTheme="minorHAnsi" w:hAnsiTheme="minorHAnsi"/>
          <w:bCs/>
          <w:snapToGrid w:val="0"/>
        </w:rPr>
        <w:t>urrent TPO-RA therapies, romiplostim and eltrombopag</w:t>
      </w:r>
      <w:r w:rsidR="0052226A">
        <w:rPr>
          <w:rFonts w:asciiTheme="minorHAnsi" w:hAnsiTheme="minorHAnsi"/>
          <w:bCs/>
          <w:snapToGrid w:val="0"/>
        </w:rPr>
        <w:t xml:space="preserve"> were discussed. The clinician</w:t>
      </w:r>
      <w:r w:rsidR="00E2486F">
        <w:rPr>
          <w:rFonts w:asciiTheme="minorHAnsi" w:hAnsiTheme="minorHAnsi"/>
          <w:bCs/>
          <w:snapToGrid w:val="0"/>
        </w:rPr>
        <w:t xml:space="preserve"> characterised the treatment challenges with each of these agents, including the dexterity required to self-administer romiplostim</w:t>
      </w:r>
      <w:r w:rsidR="0052226A">
        <w:rPr>
          <w:rFonts w:asciiTheme="minorHAnsi" w:hAnsiTheme="minorHAnsi"/>
          <w:bCs/>
          <w:snapToGrid w:val="0"/>
        </w:rPr>
        <w:t>,</w:t>
      </w:r>
      <w:r w:rsidR="00E2486F">
        <w:rPr>
          <w:rFonts w:asciiTheme="minorHAnsi" w:hAnsiTheme="minorHAnsi"/>
          <w:bCs/>
          <w:snapToGrid w:val="0"/>
        </w:rPr>
        <w:t xml:space="preserve"> and the severe dietary and mealtime restrictions associated with use of daily oral eltrombopag</w:t>
      </w:r>
      <w:r w:rsidR="0052226A">
        <w:rPr>
          <w:rFonts w:asciiTheme="minorHAnsi" w:hAnsiTheme="minorHAnsi"/>
          <w:bCs/>
          <w:snapToGrid w:val="0"/>
        </w:rPr>
        <w:t xml:space="preserve">. </w:t>
      </w:r>
      <w:r w:rsidR="00E2486F">
        <w:rPr>
          <w:rFonts w:asciiTheme="minorHAnsi" w:hAnsiTheme="minorHAnsi"/>
          <w:bCs/>
          <w:snapToGrid w:val="0"/>
        </w:rPr>
        <w:t xml:space="preserve">The clinician noted avatrombopag has simple administration requirements without dietary restrictions and was of the view </w:t>
      </w:r>
      <w:r w:rsidR="0052226A">
        <w:rPr>
          <w:rFonts w:asciiTheme="minorHAnsi" w:hAnsiTheme="minorHAnsi"/>
          <w:bCs/>
          <w:snapToGrid w:val="0"/>
        </w:rPr>
        <w:t xml:space="preserve">that </w:t>
      </w:r>
      <w:r w:rsidR="00E2486F">
        <w:rPr>
          <w:rFonts w:asciiTheme="minorHAnsi" w:hAnsiTheme="minorHAnsi"/>
          <w:bCs/>
          <w:snapToGrid w:val="0"/>
        </w:rPr>
        <w:t>some patients may switch to avatrombopag because of t</w:t>
      </w:r>
      <w:r w:rsidR="00BC7B77">
        <w:rPr>
          <w:rFonts w:asciiTheme="minorHAnsi" w:hAnsiTheme="minorHAnsi"/>
          <w:bCs/>
          <w:snapToGrid w:val="0"/>
        </w:rPr>
        <w:t xml:space="preserve">he more convenient dosing and administration </w:t>
      </w:r>
      <w:r w:rsidR="006B7E6B">
        <w:rPr>
          <w:rFonts w:asciiTheme="minorHAnsi" w:hAnsiTheme="minorHAnsi"/>
          <w:bCs/>
          <w:snapToGrid w:val="0"/>
        </w:rPr>
        <w:t>requirements</w:t>
      </w:r>
      <w:r w:rsidR="0052226A">
        <w:rPr>
          <w:rFonts w:asciiTheme="minorHAnsi" w:hAnsiTheme="minorHAnsi"/>
          <w:bCs/>
          <w:snapToGrid w:val="0"/>
        </w:rPr>
        <w:t>.</w:t>
      </w:r>
      <w:r w:rsidR="008C010B">
        <w:rPr>
          <w:rFonts w:asciiTheme="minorHAnsi" w:hAnsiTheme="minorHAnsi"/>
          <w:bCs/>
          <w:snapToGrid w:val="0"/>
        </w:rPr>
        <w:t xml:space="preserve"> </w:t>
      </w:r>
    </w:p>
    <w:bookmarkEnd w:id="16"/>
    <w:p w14:paraId="4FAB2E0A" w14:textId="77777777" w:rsidR="00AB7B62" w:rsidRPr="006E1229" w:rsidRDefault="00AB7B62" w:rsidP="004F290F">
      <w:pPr>
        <w:pStyle w:val="4-SubsectionHeading"/>
      </w:pPr>
      <w:r w:rsidRPr="006E1229">
        <w:lastRenderedPageBreak/>
        <w:t>Consumer comments</w:t>
      </w:r>
    </w:p>
    <w:p w14:paraId="75120F18" w14:textId="2C94B21A" w:rsidR="00AB7B62" w:rsidRPr="00836F75" w:rsidRDefault="00AB7B62" w:rsidP="00AB7B62">
      <w:pPr>
        <w:widowControl w:val="0"/>
        <w:numPr>
          <w:ilvl w:val="1"/>
          <w:numId w:val="1"/>
        </w:numPr>
        <w:spacing w:after="120"/>
        <w:rPr>
          <w:rFonts w:asciiTheme="minorHAnsi" w:hAnsiTheme="minorHAnsi"/>
          <w:bCs/>
          <w:snapToGrid w:val="0"/>
        </w:rPr>
      </w:pPr>
      <w:bookmarkStart w:id="17" w:name="_Hlk76382618"/>
      <w:r w:rsidRPr="00836F75">
        <w:rPr>
          <w:rFonts w:asciiTheme="minorHAnsi" w:hAnsiTheme="minorHAnsi"/>
          <w:bCs/>
          <w:snapToGrid w:val="0"/>
        </w:rPr>
        <w:t>The PBAC noted and welcomed the input from individuals (</w:t>
      </w:r>
      <w:r w:rsidR="00D43D6E">
        <w:rPr>
          <w:rFonts w:asciiTheme="minorHAnsi" w:hAnsiTheme="minorHAnsi"/>
          <w:bCs/>
          <w:snapToGrid w:val="0"/>
        </w:rPr>
        <w:t>8</w:t>
      </w:r>
      <w:r w:rsidRPr="00836F75">
        <w:rPr>
          <w:rFonts w:asciiTheme="minorHAnsi" w:hAnsiTheme="minorHAnsi"/>
          <w:bCs/>
          <w:snapToGrid w:val="0"/>
        </w:rPr>
        <w:t>)</w:t>
      </w:r>
      <w:r w:rsidR="00D43D6E">
        <w:rPr>
          <w:rFonts w:asciiTheme="minorHAnsi" w:hAnsiTheme="minorHAnsi"/>
          <w:bCs/>
          <w:snapToGrid w:val="0"/>
        </w:rPr>
        <w:t xml:space="preserve"> and</w:t>
      </w:r>
      <w:r w:rsidRPr="00836F75">
        <w:rPr>
          <w:rFonts w:asciiTheme="minorHAnsi" w:hAnsiTheme="minorHAnsi"/>
          <w:bCs/>
          <w:snapToGrid w:val="0"/>
        </w:rPr>
        <w:t xml:space="preserve"> healthcare professionals (</w:t>
      </w:r>
      <w:r w:rsidR="00D43D6E">
        <w:rPr>
          <w:rFonts w:asciiTheme="minorHAnsi" w:hAnsiTheme="minorHAnsi"/>
          <w:bCs/>
          <w:snapToGrid w:val="0"/>
        </w:rPr>
        <w:t>1</w:t>
      </w:r>
      <w:r w:rsidRPr="00836F75">
        <w:rPr>
          <w:rFonts w:asciiTheme="minorHAnsi" w:hAnsiTheme="minorHAnsi"/>
          <w:bCs/>
          <w:snapToGrid w:val="0"/>
        </w:rPr>
        <w:t>) via the Consumer Comments facility on the PBS website. The comments</w:t>
      </w:r>
      <w:r w:rsidR="00D43D6E">
        <w:rPr>
          <w:rFonts w:asciiTheme="minorHAnsi" w:hAnsiTheme="minorHAnsi"/>
          <w:bCs/>
          <w:snapToGrid w:val="0"/>
        </w:rPr>
        <w:t xml:space="preserve"> from individuals described the impact of living with ITP and treatment regimens, including risk of bleeding, side effects and administration challenges of currently available TPO-RA therapies and the impact of splenectomy. The input from</w:t>
      </w:r>
      <w:r w:rsidR="006A2373">
        <w:rPr>
          <w:rFonts w:asciiTheme="minorHAnsi" w:hAnsiTheme="minorHAnsi"/>
          <w:bCs/>
          <w:snapToGrid w:val="0"/>
        </w:rPr>
        <w:t xml:space="preserve"> the</w:t>
      </w:r>
      <w:r w:rsidR="00D43D6E">
        <w:rPr>
          <w:rFonts w:asciiTheme="minorHAnsi" w:hAnsiTheme="minorHAnsi"/>
          <w:bCs/>
          <w:snapToGrid w:val="0"/>
        </w:rPr>
        <w:t xml:space="preserve"> health professional highlighted the need for early access to TPO-RAs and the need for additional therapeutic options, as non-response to one agent is not typically predictive of response to other therapies. The health professional described avatrombopag as being the least likely </w:t>
      </w:r>
      <w:r w:rsidR="0052226A">
        <w:rPr>
          <w:rFonts w:asciiTheme="minorHAnsi" w:hAnsiTheme="minorHAnsi"/>
          <w:bCs/>
          <w:snapToGrid w:val="0"/>
        </w:rPr>
        <w:t xml:space="preserve">of the three TPO-RAs </w:t>
      </w:r>
      <w:r w:rsidR="00D43D6E">
        <w:rPr>
          <w:rFonts w:asciiTheme="minorHAnsi" w:hAnsiTheme="minorHAnsi"/>
          <w:bCs/>
          <w:snapToGrid w:val="0"/>
        </w:rPr>
        <w:t>to impact adversely on lifestyle due to tolerability concerns</w:t>
      </w:r>
      <w:r w:rsidR="001E70F6">
        <w:rPr>
          <w:rFonts w:asciiTheme="minorHAnsi" w:hAnsiTheme="minorHAnsi"/>
          <w:bCs/>
          <w:snapToGrid w:val="0"/>
        </w:rPr>
        <w:t>,</w:t>
      </w:r>
      <w:r w:rsidR="00D43D6E">
        <w:rPr>
          <w:rFonts w:asciiTheme="minorHAnsi" w:hAnsiTheme="minorHAnsi"/>
          <w:bCs/>
          <w:snapToGrid w:val="0"/>
        </w:rPr>
        <w:t xml:space="preserve"> administration challenges of romiplostim (as an injected therapy)</w:t>
      </w:r>
      <w:r w:rsidR="001E70F6">
        <w:rPr>
          <w:rFonts w:asciiTheme="minorHAnsi" w:hAnsiTheme="minorHAnsi"/>
          <w:bCs/>
          <w:snapToGrid w:val="0"/>
        </w:rPr>
        <w:t>,</w:t>
      </w:r>
      <w:r w:rsidR="00D43D6E">
        <w:rPr>
          <w:rFonts w:asciiTheme="minorHAnsi" w:hAnsiTheme="minorHAnsi"/>
          <w:bCs/>
          <w:snapToGrid w:val="0"/>
        </w:rPr>
        <w:t xml:space="preserve"> and dietary and mealtime restrictions associated with treatment with eltrombopag. </w:t>
      </w:r>
      <w:r w:rsidR="006A2373">
        <w:rPr>
          <w:rFonts w:asciiTheme="minorHAnsi" w:hAnsiTheme="minorHAnsi"/>
          <w:bCs/>
          <w:snapToGrid w:val="0"/>
        </w:rPr>
        <w:t xml:space="preserve">The health professional also considered that definition of response to treatment is broader than just platelet counts and stated the patient experience and actual purpose of treatment was important to consider when determining appropriate PBS criteria for the TPO-RAs. </w:t>
      </w:r>
    </w:p>
    <w:p w14:paraId="609C0765" w14:textId="31F97F24" w:rsidR="00B60939" w:rsidRPr="00C9624D" w:rsidRDefault="00B60939" w:rsidP="002E4F02">
      <w:pPr>
        <w:pStyle w:val="4-SubsectionHeading"/>
      </w:pPr>
      <w:bookmarkStart w:id="18" w:name="_Toc113903628"/>
      <w:bookmarkEnd w:id="15"/>
      <w:bookmarkEnd w:id="17"/>
      <w:r w:rsidRPr="00C9624D">
        <w:t>Clinical trials</w:t>
      </w:r>
      <w:bookmarkEnd w:id="14"/>
      <w:bookmarkEnd w:id="18"/>
    </w:p>
    <w:p w14:paraId="35A6A6BA" w14:textId="62CF0EA7" w:rsidR="00B874D6" w:rsidRPr="001D67AF" w:rsidRDefault="00B874D6" w:rsidP="00B874D6">
      <w:pPr>
        <w:pStyle w:val="3-BodyText"/>
        <w:rPr>
          <w:color w:val="0066FF"/>
        </w:rPr>
      </w:pPr>
      <w:r w:rsidRPr="001D67AF">
        <w:rPr>
          <w:lang w:val="en-US"/>
        </w:rPr>
        <w:t>The</w:t>
      </w:r>
      <w:r w:rsidR="00E6399C" w:rsidRPr="001D67AF">
        <w:rPr>
          <w:lang w:val="en-US"/>
        </w:rPr>
        <w:t xml:space="preserve"> primary analysis in the</w:t>
      </w:r>
      <w:r w:rsidRPr="001D67AF">
        <w:rPr>
          <w:lang w:val="en-US"/>
        </w:rPr>
        <w:t xml:space="preserve"> submission was based on an indirect treatment comparison using one trial of avatrombopag vs placebo</w:t>
      </w:r>
      <w:r w:rsidR="00D26BBC" w:rsidRPr="001D67AF">
        <w:rPr>
          <w:lang w:val="en-US"/>
        </w:rPr>
        <w:t xml:space="preserve"> (Study 302)</w:t>
      </w:r>
      <w:r w:rsidRPr="001D67AF">
        <w:rPr>
          <w:lang w:val="en-US"/>
        </w:rPr>
        <w:t xml:space="preserve"> and one trial of eltrombopag vs placebo</w:t>
      </w:r>
      <w:r w:rsidR="00D26BBC" w:rsidRPr="001D67AF">
        <w:rPr>
          <w:lang w:val="en-US"/>
        </w:rPr>
        <w:t xml:space="preserve"> (RAISE)</w:t>
      </w:r>
      <w:r w:rsidRPr="001D67AF">
        <w:rPr>
          <w:lang w:val="en-US"/>
        </w:rPr>
        <w:t xml:space="preserve">. </w:t>
      </w:r>
      <w:r w:rsidR="00D26BBC" w:rsidRPr="001D67AF">
        <w:rPr>
          <w:lang w:val="en-US"/>
        </w:rPr>
        <w:t xml:space="preserve">A </w:t>
      </w:r>
      <w:r w:rsidRPr="001D67AF">
        <w:rPr>
          <w:lang w:val="en-US"/>
        </w:rPr>
        <w:t>secondary indirect comparison</w:t>
      </w:r>
      <w:r w:rsidR="00D26BBC" w:rsidRPr="001D67AF">
        <w:rPr>
          <w:lang w:val="en-US"/>
        </w:rPr>
        <w:t xml:space="preserve"> was presented of avatrombopag vs placebo (Study 302) and romiplostim vs placebo (Kuter 2008)</w:t>
      </w:r>
      <w:r w:rsidRPr="001D67AF">
        <w:rPr>
          <w:lang w:val="en-US"/>
        </w:rPr>
        <w:t xml:space="preserve">. </w:t>
      </w:r>
    </w:p>
    <w:p w14:paraId="4D273532" w14:textId="73CB151A" w:rsidR="005D5F11" w:rsidRPr="00D96E64" w:rsidRDefault="000016CE" w:rsidP="00DA3D1B">
      <w:pPr>
        <w:pStyle w:val="3-BodyText"/>
      </w:pPr>
      <w:r w:rsidRPr="001D67AF">
        <w:rPr>
          <w:lang w:val="en-US"/>
        </w:rPr>
        <w:t>The literature search presented in the submission was a standard literature search of appropriate databases. However, the</w:t>
      </w:r>
      <w:r w:rsidR="009B5528">
        <w:rPr>
          <w:lang w:val="en-US"/>
        </w:rPr>
        <w:t xml:space="preserve"> evaluation considered that the</w:t>
      </w:r>
      <w:r w:rsidRPr="001D67AF">
        <w:rPr>
          <w:lang w:val="en-US"/>
        </w:rPr>
        <w:t xml:space="preserve"> decision to exclude some studies that contain potentially relevant data was not adequately justified, either for the comparison with eltrombopag or for the secondary comparison with romiplostim. </w:t>
      </w:r>
      <w:r w:rsidR="00C76115" w:rsidRPr="00BE11F7">
        <w:rPr>
          <w:lang w:val="en-US"/>
        </w:rPr>
        <w:t>The PSCR maintained that Study 302, RAISE and Kuter 2008 inform the pivotal and most applicable Phase III evidence for avatrombopag, eltrombopag and romiplostim, respectively.</w:t>
      </w:r>
      <w:r w:rsidR="00D743D6" w:rsidRPr="00BE11F7">
        <w:rPr>
          <w:lang w:val="en-US"/>
        </w:rPr>
        <w:t xml:space="preserve"> The PSCR stated that the ongoing NICE evaluation of avatrombopag concluded that additional data do not meaningfully alter the effect estimates with new data. However, a principal reason given by the evaluation for finding the exclusions unsatisfactory related to the estimation of equi-</w:t>
      </w:r>
      <w:r w:rsidR="008C010B">
        <w:rPr>
          <w:lang w:val="en-US"/>
        </w:rPr>
        <w:t>effective doses.</w:t>
      </w:r>
      <w:r w:rsidR="00D96E64">
        <w:rPr>
          <w:lang w:val="en-US"/>
        </w:rPr>
        <w:t xml:space="preserve"> </w:t>
      </w:r>
    </w:p>
    <w:p w14:paraId="3C298F34" w14:textId="533A4E9B" w:rsidR="00D96E64" w:rsidRPr="001D67AF" w:rsidRDefault="00D96E64" w:rsidP="005D5F11">
      <w:pPr>
        <w:pStyle w:val="3-BodyText"/>
      </w:pPr>
      <w:r>
        <w:rPr>
          <w:lang w:val="en-GB"/>
        </w:rPr>
        <w:t xml:space="preserve">The PBAC noted the submission did not perform any further clinical analysis of avatrombopag and splenectomy as no randomised trials of splenectomy in ITP have been undertaken and this was </w:t>
      </w:r>
      <w:r w:rsidR="008C010B">
        <w:rPr>
          <w:lang w:val="en-GB"/>
        </w:rPr>
        <w:t xml:space="preserve">considered </w:t>
      </w:r>
      <w:r>
        <w:rPr>
          <w:lang w:val="en-GB"/>
        </w:rPr>
        <w:t>reasonable.</w:t>
      </w:r>
    </w:p>
    <w:p w14:paraId="5CBA94A6" w14:textId="73869F4B" w:rsidR="005D5F11" w:rsidRPr="00BE11F7" w:rsidRDefault="0061509C" w:rsidP="005D5F11">
      <w:pPr>
        <w:pStyle w:val="3-BodyText"/>
      </w:pPr>
      <w:r w:rsidRPr="00BE11F7">
        <w:t>The evaluation noted that</w:t>
      </w:r>
      <w:r>
        <w:t xml:space="preserve"> t</w:t>
      </w:r>
      <w:r w:rsidR="005D5F11" w:rsidRPr="001D67AF">
        <w:t xml:space="preserve">he most important omission was </w:t>
      </w:r>
      <w:r w:rsidR="005D5F11" w:rsidRPr="001D67AF">
        <w:rPr>
          <w:lang w:val="en-US"/>
        </w:rPr>
        <w:t xml:space="preserve">NCT01433978 (also referred to as Study 305), a head-to-head randomised comparison of avatrombopag with eltrombopag; the study was terminated by the sponsor after 23 patients were randomised, and only one patient completed the trial, but relevant results are </w:t>
      </w:r>
      <w:r w:rsidR="00F913DB" w:rsidRPr="001D67AF">
        <w:rPr>
          <w:lang w:val="en-US"/>
        </w:rPr>
        <w:t>available,</w:t>
      </w:r>
      <w:r w:rsidR="005D5F11" w:rsidRPr="001D67AF">
        <w:rPr>
          <w:lang w:val="en-US"/>
        </w:rPr>
        <w:t xml:space="preserve"> and the trial was included in the TGA dossier. This study was listed twice in Table 2-4 of the submission</w:t>
      </w:r>
      <w:r w:rsidR="00837E4E">
        <w:rPr>
          <w:lang w:val="en-US"/>
        </w:rPr>
        <w:t>,</w:t>
      </w:r>
      <w:r w:rsidR="005D5F11" w:rsidRPr="001D67AF">
        <w:rPr>
          <w:lang w:val="en-US"/>
        </w:rPr>
        <w:t xml:space="preserve"> under </w:t>
      </w:r>
      <w:r w:rsidR="005107A7">
        <w:rPr>
          <w:lang w:val="en-US"/>
        </w:rPr>
        <w:t>‘</w:t>
      </w:r>
      <w:r w:rsidR="005D5F11" w:rsidRPr="001D67AF">
        <w:rPr>
          <w:lang w:val="en-US"/>
        </w:rPr>
        <w:t>Applicability Issues</w:t>
      </w:r>
      <w:r w:rsidR="005107A7">
        <w:rPr>
          <w:lang w:val="en-US"/>
        </w:rPr>
        <w:t>’</w:t>
      </w:r>
      <w:r w:rsidR="005D5F11" w:rsidRPr="001D67AF">
        <w:rPr>
          <w:lang w:val="en-US"/>
        </w:rPr>
        <w:t xml:space="preserve"> and also as </w:t>
      </w:r>
      <w:r w:rsidR="005107A7">
        <w:rPr>
          <w:lang w:val="en-US"/>
        </w:rPr>
        <w:t>‘</w:t>
      </w:r>
      <w:r w:rsidR="005D5F11" w:rsidRPr="001D67AF">
        <w:rPr>
          <w:lang w:val="en-US"/>
        </w:rPr>
        <w:t xml:space="preserve">No published data </w:t>
      </w:r>
      <w:r w:rsidR="005D5F11" w:rsidRPr="001D67AF">
        <w:rPr>
          <w:lang w:val="en-US"/>
        </w:rPr>
        <w:lastRenderedPageBreak/>
        <w:t>available</w:t>
      </w:r>
      <w:r w:rsidR="005107A7">
        <w:rPr>
          <w:lang w:val="en-US"/>
        </w:rPr>
        <w:t>’</w:t>
      </w:r>
      <w:r w:rsidR="005D5F11" w:rsidRPr="001D67AF">
        <w:rPr>
          <w:lang w:val="en-US"/>
        </w:rPr>
        <w:t xml:space="preserve">. The submission stated that this study </w:t>
      </w:r>
      <w:r w:rsidR="005107A7">
        <w:rPr>
          <w:lang w:val="en-US"/>
        </w:rPr>
        <w:t>‘</w:t>
      </w:r>
      <w:r w:rsidR="005D5F11" w:rsidRPr="001D67AF">
        <w:rPr>
          <w:lang w:val="en-US"/>
        </w:rPr>
        <w:t xml:space="preserve">was </w:t>
      </w:r>
      <w:r w:rsidR="005D5F11" w:rsidRPr="001D67AF">
        <w:t>discontinued due to significant enrolment challenges owing to a preclinical finding in rodents which indicated a protocol change to include an endoscopy procedure which likely discouraged patient enrolment. The preclinical finding was later found not to affect humans. Therefore, this study was excluded from the analysis due to the lack of published data available</w:t>
      </w:r>
      <w:r w:rsidR="001A793C">
        <w:t>’</w:t>
      </w:r>
      <w:r w:rsidR="005D5F11" w:rsidRPr="001D67AF">
        <w:t>.</w:t>
      </w:r>
      <w:r>
        <w:t xml:space="preserve"> D</w:t>
      </w:r>
      <w:r w:rsidR="005D5F11" w:rsidRPr="001D67AF">
        <w:t xml:space="preserve">ata relevant to the submission </w:t>
      </w:r>
      <w:r w:rsidR="00BD2FDD">
        <w:t>are</w:t>
      </w:r>
      <w:r w:rsidR="005D5F11" w:rsidRPr="001D67AF">
        <w:t xml:space="preserve"> provided in the Clinicaltrials.gov listing</w:t>
      </w:r>
      <w:r>
        <w:t xml:space="preserve">; </w:t>
      </w:r>
      <w:r w:rsidRPr="00BE11F7">
        <w:t xml:space="preserve">however, </w:t>
      </w:r>
      <w:r w:rsidR="00473D67" w:rsidRPr="00BE11F7">
        <w:t>t</w:t>
      </w:r>
      <w:r w:rsidRPr="00BE11F7">
        <w:t>he PSCR clarified that</w:t>
      </w:r>
      <w:r w:rsidR="00473D67" w:rsidRPr="00BE11F7">
        <w:t xml:space="preserve"> o</w:t>
      </w:r>
      <w:r w:rsidRPr="00BE11F7">
        <w:t>nly limited safety data is available with no efficacy results reported</w:t>
      </w:r>
      <w:r w:rsidR="00473D67" w:rsidRPr="00BE11F7">
        <w:t>.</w:t>
      </w:r>
    </w:p>
    <w:p w14:paraId="263F01BD" w14:textId="0E99E34E" w:rsidR="005D5F11" w:rsidRPr="00473D67" w:rsidRDefault="005D5F11" w:rsidP="00473D67">
      <w:pPr>
        <w:pStyle w:val="3-BodyText"/>
        <w:rPr>
          <w:b/>
        </w:rPr>
      </w:pPr>
      <w:bookmarkStart w:id="19" w:name="_Ref116485566"/>
      <w:r w:rsidRPr="001D67AF">
        <w:t>In addition, three randomised controlled trials comparing eltrombopag and placebo and one comparing romiplostim and placebo were excluded. One reason given for this exclusion was that the patients in the excluded trials were Japanese or Chinese, which raise</w:t>
      </w:r>
      <w:r w:rsidR="00250D04">
        <w:t>d</w:t>
      </w:r>
      <w:r w:rsidRPr="001D67AF">
        <w:t xml:space="preserve"> applicability issues. The eltrombopag PI states that for a given dose</w:t>
      </w:r>
      <w:r w:rsidR="00473D67">
        <w:t>,</w:t>
      </w:r>
      <w:r w:rsidRPr="001D67AF">
        <w:t xml:space="preserve"> East Asian patients have higher</w:t>
      </w:r>
      <w:r w:rsidR="00104F4C" w:rsidRPr="001D67AF">
        <w:t xml:space="preserve"> area-under-the-curve</w:t>
      </w:r>
      <w:r w:rsidRPr="001D67AF">
        <w:t xml:space="preserve"> </w:t>
      </w:r>
      <w:r w:rsidR="00104F4C" w:rsidRPr="001D67AF">
        <w:t>(</w:t>
      </w:r>
      <w:r w:rsidRPr="001D67AF">
        <w:t>AUC</w:t>
      </w:r>
      <w:r w:rsidR="00104F4C" w:rsidRPr="001D67AF">
        <w:t>)</w:t>
      </w:r>
      <w:r w:rsidRPr="001D67AF">
        <w:t xml:space="preserve"> than non-East Asian patients. This effect is clinically important</w:t>
      </w:r>
      <w:r w:rsidR="00BD2FDD">
        <w:t xml:space="preserve"> since</w:t>
      </w:r>
      <w:r w:rsidRPr="001D67AF">
        <w:t xml:space="preserve"> the recommended starting dose of eltrombopag is halved for East Asian patients. </w:t>
      </w:r>
      <w:r w:rsidR="00473D67" w:rsidRPr="001D67AF">
        <w:t>Because doses of eltrombopag are likely to be lower in East Asian patients, the</w:t>
      </w:r>
      <w:r w:rsidR="00FA2AB2">
        <w:t xml:space="preserve"> </w:t>
      </w:r>
      <w:r w:rsidR="00FA2AB2" w:rsidRPr="00BE11F7">
        <w:t>ESC noted that</w:t>
      </w:r>
      <w:r w:rsidR="00473D67" w:rsidRPr="00BE11F7">
        <w:t xml:space="preserve"> exclusion of data from those patients results in</w:t>
      </w:r>
      <w:r w:rsidR="00EA1F06" w:rsidRPr="00BE11F7">
        <w:t xml:space="preserve"> a higher relative eltrombopag dose, and therefore</w:t>
      </w:r>
      <w:r w:rsidR="00473D67" w:rsidRPr="00BE11F7">
        <w:t xml:space="preserve"> the estimated equi-effective dose</w:t>
      </w:r>
      <w:r w:rsidR="00EA1F06" w:rsidRPr="00BE11F7">
        <w:t xml:space="preserve"> and cost-minimised price</w:t>
      </w:r>
      <w:r w:rsidR="00473D67" w:rsidRPr="00BE11F7">
        <w:t xml:space="preserve"> of avatrombopag </w:t>
      </w:r>
      <w:r w:rsidR="00EA1F06" w:rsidRPr="00BE11F7">
        <w:t xml:space="preserve">may be </w:t>
      </w:r>
      <w:r w:rsidR="00473D67" w:rsidRPr="00BE11F7">
        <w:t>higher</w:t>
      </w:r>
      <w:r w:rsidR="00EA1F06" w:rsidRPr="00BE11F7">
        <w:t xml:space="preserve"> than if the data were included</w:t>
      </w:r>
      <w:r w:rsidR="00473D67" w:rsidRPr="00BE11F7">
        <w:t>. In</w:t>
      </w:r>
      <w:r w:rsidR="00473D67" w:rsidRPr="001D67AF">
        <w:t xml:space="preserve"> the 2021 Australian Census, 5.5% of respondents reported that they had Chinese ancestry</w:t>
      </w:r>
      <w:r w:rsidR="00473D67" w:rsidRPr="001D67AF">
        <w:rPr>
          <w:vertAlign w:val="superscript"/>
        </w:rPr>
        <w:footnoteReference w:id="5"/>
      </w:r>
      <w:bookmarkEnd w:id="19"/>
      <w:r w:rsidR="00E36A03">
        <w:t xml:space="preserve">. The Pre-PBAC Response argued the exclusion of the studies in East Asian patients was justified as only a small proportion of Australian residents identify as having Chinese or Japanese ancestry and stated the mean dose in those trials was unlikely to be reflective of Australian practice. </w:t>
      </w:r>
    </w:p>
    <w:p w14:paraId="210686EB" w14:textId="7507AF20" w:rsidR="00942547" w:rsidRPr="001D67AF" w:rsidRDefault="00FA2AB2" w:rsidP="00942547">
      <w:pPr>
        <w:pStyle w:val="3-BodyText"/>
      </w:pPr>
      <w:r w:rsidRPr="00BE11F7">
        <w:t xml:space="preserve">The ESC </w:t>
      </w:r>
      <w:r w:rsidR="00BD2FDD">
        <w:t>considered</w:t>
      </w:r>
      <w:r w:rsidR="00BD2FDD" w:rsidRPr="00BE11F7">
        <w:t xml:space="preserve"> </w:t>
      </w:r>
      <w:r w:rsidRPr="00BE11F7">
        <w:t>that there was unjustified exclusion of trials that could add data to a very small evidence base.</w:t>
      </w:r>
      <w:r>
        <w:t xml:space="preserve"> </w:t>
      </w:r>
      <w:r w:rsidR="00824441">
        <w:t>The PBAC considered it was appropriate to exclude Study 305</w:t>
      </w:r>
      <w:r w:rsidR="00250D04">
        <w:t xml:space="preserve"> due to the very limited results available and</w:t>
      </w:r>
      <w:r w:rsidR="00BD2FDD">
        <w:t xml:space="preserve"> since the reason for exclusion did not indicate a problem with avatrombopag</w:t>
      </w:r>
      <w:r w:rsidR="00824441">
        <w:t>.</w:t>
      </w:r>
      <w:r w:rsidR="00250D04">
        <w:t xml:space="preserve"> Further, the PBAC did not consider the exclusion of trials conducted in exclusively East Asian patients to be inappropriate.</w:t>
      </w:r>
      <w:r w:rsidR="00824441">
        <w:t xml:space="preserve"> </w:t>
      </w:r>
    </w:p>
    <w:p w14:paraId="1F704BC8" w14:textId="404E32D0" w:rsidR="00942547" w:rsidRDefault="00942547" w:rsidP="00942547">
      <w:pPr>
        <w:pStyle w:val="3-BodyText"/>
      </w:pPr>
      <w:r w:rsidRPr="0069671F">
        <w:t xml:space="preserve">Details of the trials presented in the submission are provided in </w:t>
      </w:r>
      <w:r w:rsidR="001A123C">
        <w:fldChar w:fldCharType="begin" w:fldLock="1"/>
      </w:r>
      <w:r w:rsidR="001A123C">
        <w:instrText xml:space="preserve"> REF _Ref113903919 \h </w:instrText>
      </w:r>
      <w:r w:rsidR="001A123C">
        <w:fldChar w:fldCharType="separate"/>
      </w:r>
      <w:r w:rsidR="0080246B" w:rsidRPr="00DB610E">
        <w:rPr>
          <w:szCs w:val="20"/>
        </w:rPr>
        <w:t xml:space="preserve">Table </w:t>
      </w:r>
      <w:r w:rsidR="0080246B">
        <w:rPr>
          <w:noProof/>
          <w:szCs w:val="20"/>
        </w:rPr>
        <w:t>2</w:t>
      </w:r>
      <w:r w:rsidR="001A123C">
        <w:fldChar w:fldCharType="end"/>
      </w:r>
      <w:r w:rsidRPr="0069671F">
        <w:t>.</w:t>
      </w:r>
    </w:p>
    <w:p w14:paraId="63C64506" w14:textId="40B1DFE8" w:rsidR="00942547" w:rsidRPr="00DB610E" w:rsidRDefault="00942547" w:rsidP="003A7360">
      <w:pPr>
        <w:pStyle w:val="TableFigureHeading"/>
        <w:keepLines/>
        <w:rPr>
          <w:szCs w:val="20"/>
        </w:rPr>
      </w:pPr>
      <w:bookmarkStart w:id="20" w:name="_Ref113903919"/>
      <w:r w:rsidRPr="00DB610E">
        <w:rPr>
          <w:szCs w:val="20"/>
        </w:rPr>
        <w:lastRenderedPageBreak/>
        <w:t xml:space="preserve">Table </w:t>
      </w:r>
      <w:r w:rsidRPr="00DB610E">
        <w:rPr>
          <w:szCs w:val="20"/>
        </w:rPr>
        <w:fldChar w:fldCharType="begin" w:fldLock="1"/>
      </w:r>
      <w:r w:rsidRPr="00DB610E">
        <w:rPr>
          <w:szCs w:val="20"/>
        </w:rPr>
        <w:instrText xml:space="preserve"> SEQ Table \* ARABIC </w:instrText>
      </w:r>
      <w:r w:rsidRPr="00DB610E">
        <w:rPr>
          <w:szCs w:val="20"/>
        </w:rPr>
        <w:fldChar w:fldCharType="separate"/>
      </w:r>
      <w:r w:rsidR="0080246B">
        <w:rPr>
          <w:noProof/>
          <w:szCs w:val="20"/>
        </w:rPr>
        <w:t>2</w:t>
      </w:r>
      <w:r w:rsidRPr="00DB610E">
        <w:rPr>
          <w:noProof/>
          <w:szCs w:val="20"/>
        </w:rPr>
        <w:fldChar w:fldCharType="end"/>
      </w:r>
      <w:bookmarkEnd w:id="20"/>
      <w:r w:rsidRPr="00DB610E">
        <w:rPr>
          <w:szCs w:val="20"/>
        </w:rPr>
        <w:t>: Trials of avatrombopag</w:t>
      </w:r>
      <w:r w:rsidR="00682A4E">
        <w:rPr>
          <w:szCs w:val="20"/>
        </w:rPr>
        <w:t>,</w:t>
      </w:r>
      <w:r w:rsidRPr="00DB610E">
        <w:rPr>
          <w:szCs w:val="20"/>
        </w:rPr>
        <w:t xml:space="preserve"> eltrombopag</w:t>
      </w:r>
      <w:r w:rsidR="00682A4E">
        <w:rPr>
          <w:szCs w:val="20"/>
        </w:rPr>
        <w:t xml:space="preserve"> and romiplostim</w:t>
      </w:r>
      <w:r w:rsidRPr="00DB610E">
        <w:rPr>
          <w:szCs w:val="20"/>
        </w:rPr>
        <w:t xml:space="preserve"> versus placebo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942547" w:rsidRPr="00DB610E" w14:paraId="6F4726F7" w14:textId="77777777" w:rsidTr="00FF5CBC">
        <w:trPr>
          <w:tblHeader/>
        </w:trPr>
        <w:tc>
          <w:tcPr>
            <w:tcW w:w="796" w:type="pct"/>
            <w:vAlign w:val="center"/>
          </w:tcPr>
          <w:p w14:paraId="4852EDF1" w14:textId="77777777" w:rsidR="00942547" w:rsidRPr="00A21C71" w:rsidRDefault="00942547" w:rsidP="003A7360">
            <w:pPr>
              <w:keepNext/>
              <w:keepLines/>
              <w:rPr>
                <w:rFonts w:ascii="Arial Narrow" w:hAnsi="Arial Narrow"/>
                <w:b/>
                <w:bCs/>
                <w:sz w:val="20"/>
                <w:szCs w:val="20"/>
              </w:rPr>
            </w:pPr>
            <w:r w:rsidRPr="00A21C71">
              <w:rPr>
                <w:rFonts w:ascii="Arial Narrow" w:hAnsi="Arial Narrow"/>
                <w:b/>
                <w:bCs/>
                <w:sz w:val="20"/>
                <w:szCs w:val="20"/>
              </w:rPr>
              <w:t>Trial ID</w:t>
            </w:r>
          </w:p>
        </w:tc>
        <w:tc>
          <w:tcPr>
            <w:tcW w:w="3027" w:type="pct"/>
            <w:vAlign w:val="center"/>
          </w:tcPr>
          <w:p w14:paraId="307F0C92" w14:textId="77777777" w:rsidR="00942547" w:rsidRPr="00A21C71" w:rsidRDefault="00942547" w:rsidP="003A7360">
            <w:pPr>
              <w:keepNext/>
              <w:keepLines/>
              <w:rPr>
                <w:rFonts w:ascii="Arial Narrow" w:hAnsi="Arial Narrow"/>
                <w:b/>
                <w:bCs/>
                <w:sz w:val="20"/>
                <w:szCs w:val="20"/>
              </w:rPr>
            </w:pPr>
            <w:r w:rsidRPr="00A21C71">
              <w:rPr>
                <w:rFonts w:ascii="Arial Narrow" w:hAnsi="Arial Narrow"/>
                <w:b/>
                <w:bCs/>
                <w:sz w:val="20"/>
                <w:szCs w:val="20"/>
              </w:rPr>
              <w:t>Protocol title/ Publication title</w:t>
            </w:r>
          </w:p>
        </w:tc>
        <w:tc>
          <w:tcPr>
            <w:tcW w:w="1177" w:type="pct"/>
            <w:vAlign w:val="center"/>
          </w:tcPr>
          <w:p w14:paraId="15120499" w14:textId="77777777" w:rsidR="00942547" w:rsidRPr="00A21C71" w:rsidRDefault="00942547" w:rsidP="003A7360">
            <w:pPr>
              <w:keepNext/>
              <w:keepLines/>
              <w:rPr>
                <w:rFonts w:ascii="Arial Narrow" w:hAnsi="Arial Narrow"/>
                <w:b/>
                <w:bCs/>
                <w:sz w:val="20"/>
                <w:szCs w:val="20"/>
              </w:rPr>
            </w:pPr>
            <w:r w:rsidRPr="00A21C71">
              <w:rPr>
                <w:rFonts w:ascii="Arial Narrow" w:hAnsi="Arial Narrow"/>
                <w:b/>
                <w:bCs/>
                <w:sz w:val="20"/>
                <w:szCs w:val="20"/>
              </w:rPr>
              <w:t>Publication citation</w:t>
            </w:r>
          </w:p>
        </w:tc>
      </w:tr>
      <w:tr w:rsidR="00942547" w:rsidRPr="00DB610E" w14:paraId="4F983EBC" w14:textId="77777777" w:rsidTr="00FF5CBC">
        <w:tc>
          <w:tcPr>
            <w:tcW w:w="796" w:type="pct"/>
            <w:tcBorders>
              <w:bottom w:val="nil"/>
            </w:tcBorders>
            <w:vAlign w:val="center"/>
          </w:tcPr>
          <w:p w14:paraId="17AEB337" w14:textId="77777777" w:rsidR="00942547" w:rsidRPr="00DB610E" w:rsidRDefault="00942547" w:rsidP="003A7360">
            <w:pPr>
              <w:keepNext/>
              <w:keepLines/>
              <w:rPr>
                <w:rFonts w:ascii="Arial Narrow" w:hAnsi="Arial Narrow"/>
                <w:sz w:val="20"/>
                <w:szCs w:val="20"/>
              </w:rPr>
            </w:pPr>
          </w:p>
        </w:tc>
        <w:tc>
          <w:tcPr>
            <w:tcW w:w="3027" w:type="pct"/>
            <w:vMerge w:val="restart"/>
          </w:tcPr>
          <w:p w14:paraId="241E0499" w14:textId="4F9D0D1A" w:rsidR="00942547" w:rsidRPr="00DB610E" w:rsidRDefault="00942547" w:rsidP="003A7360">
            <w:pPr>
              <w:keepNext/>
              <w:keepLines/>
              <w:rPr>
                <w:rFonts w:ascii="Arial Narrow" w:hAnsi="Arial Narrow"/>
                <w:sz w:val="20"/>
                <w:szCs w:val="20"/>
              </w:rPr>
            </w:pPr>
            <w:r w:rsidRPr="00DB610E">
              <w:rPr>
                <w:rFonts w:ascii="Arial Narrow" w:hAnsi="Arial Narrow" w:cs="Times New Roman"/>
                <w:sz w:val="20"/>
                <w:szCs w:val="20"/>
                <w:lang w:val="en-US"/>
              </w:rPr>
              <w:t>A Phase 3, Multicenter, Randomized, Double-Blind, Placebo-Controlled, Parallel-Group</w:t>
            </w:r>
            <w:r w:rsidRPr="00DB610E">
              <w:rPr>
                <w:rFonts w:ascii="Arial Narrow" w:hAnsi="Arial Narrow"/>
                <w:sz w:val="20"/>
                <w:szCs w:val="20"/>
                <w:lang w:val="en-US"/>
              </w:rPr>
              <w:t xml:space="preserve"> </w:t>
            </w:r>
            <w:r w:rsidRPr="00DB610E">
              <w:rPr>
                <w:rFonts w:ascii="Arial Narrow" w:hAnsi="Arial Narrow" w:cs="Times New Roman"/>
                <w:sz w:val="20"/>
                <w:szCs w:val="20"/>
                <w:lang w:val="en-US"/>
              </w:rPr>
              <w:t>Trial with an Open-label Extension Phase to Evaluate the Efficacy and Safety of Oral</w:t>
            </w:r>
            <w:r w:rsidRPr="00DB610E">
              <w:rPr>
                <w:rFonts w:ascii="Arial Narrow" w:hAnsi="Arial Narrow"/>
                <w:sz w:val="20"/>
                <w:szCs w:val="20"/>
                <w:lang w:val="en-US"/>
              </w:rPr>
              <w:t xml:space="preserve"> </w:t>
            </w:r>
            <w:r w:rsidRPr="00DB610E">
              <w:rPr>
                <w:rFonts w:ascii="Arial Narrow" w:hAnsi="Arial Narrow" w:cs="Times New Roman"/>
                <w:sz w:val="20"/>
                <w:szCs w:val="20"/>
                <w:lang w:val="en-US"/>
              </w:rPr>
              <w:t>E5501 Plus Standard Care for the Treatment of Thrombocytopenia in Adults with Chronic Immune Thrombocytopenia</w:t>
            </w:r>
            <w:r w:rsidR="009B55AB">
              <w:rPr>
                <w:rFonts w:ascii="Arial Narrow" w:hAnsi="Arial Narrow" w:cs="Times New Roman"/>
                <w:sz w:val="20"/>
                <w:szCs w:val="20"/>
                <w:lang w:val="en-US"/>
              </w:rPr>
              <w:t>.</w:t>
            </w:r>
          </w:p>
        </w:tc>
        <w:tc>
          <w:tcPr>
            <w:tcW w:w="1177" w:type="pct"/>
            <w:vMerge w:val="restart"/>
            <w:vAlign w:val="center"/>
          </w:tcPr>
          <w:p w14:paraId="2EA31D3A" w14:textId="77777777" w:rsidR="00942547" w:rsidRPr="00DB610E" w:rsidRDefault="00942547" w:rsidP="003A7360">
            <w:pPr>
              <w:keepNext/>
              <w:keepLines/>
              <w:jc w:val="left"/>
              <w:rPr>
                <w:rFonts w:ascii="Arial Narrow" w:hAnsi="Arial Narrow"/>
                <w:sz w:val="20"/>
                <w:szCs w:val="20"/>
              </w:rPr>
            </w:pPr>
            <w:r w:rsidRPr="00DB610E">
              <w:rPr>
                <w:rFonts w:ascii="Arial Narrow" w:hAnsi="Arial Narrow"/>
                <w:sz w:val="20"/>
                <w:szCs w:val="20"/>
              </w:rPr>
              <w:t>2018</w:t>
            </w:r>
          </w:p>
          <w:p w14:paraId="42A50406" w14:textId="77777777" w:rsidR="00942547" w:rsidRPr="00DB610E" w:rsidRDefault="00942547" w:rsidP="003A7360">
            <w:pPr>
              <w:keepNext/>
              <w:keepLines/>
              <w:jc w:val="left"/>
              <w:rPr>
                <w:rFonts w:ascii="Arial Narrow" w:hAnsi="Arial Narrow"/>
                <w:sz w:val="20"/>
                <w:szCs w:val="20"/>
              </w:rPr>
            </w:pPr>
            <w:r w:rsidRPr="00DB610E">
              <w:rPr>
                <w:rFonts w:ascii="Arial Narrow" w:hAnsi="Arial Narrow"/>
                <w:sz w:val="20"/>
                <w:szCs w:val="20"/>
              </w:rPr>
              <w:t>Br J Haematol.183(3):479-490</w:t>
            </w:r>
          </w:p>
        </w:tc>
      </w:tr>
      <w:tr w:rsidR="00942547" w:rsidRPr="00DB610E" w14:paraId="5F2482D2" w14:textId="77777777" w:rsidTr="00FF5CBC">
        <w:tc>
          <w:tcPr>
            <w:tcW w:w="796" w:type="pct"/>
            <w:tcBorders>
              <w:top w:val="nil"/>
              <w:bottom w:val="nil"/>
            </w:tcBorders>
            <w:vAlign w:val="center"/>
          </w:tcPr>
          <w:p w14:paraId="1EAB82FF" w14:textId="77777777" w:rsidR="00942547" w:rsidRPr="00DB610E" w:rsidRDefault="00942547" w:rsidP="003A7360">
            <w:pPr>
              <w:keepNext/>
              <w:keepLines/>
              <w:rPr>
                <w:rFonts w:ascii="Arial Narrow" w:hAnsi="Arial Narrow" w:cs="Times New Roman"/>
                <w:sz w:val="20"/>
                <w:szCs w:val="20"/>
                <w:lang w:val="en-US"/>
              </w:rPr>
            </w:pPr>
            <w:r w:rsidRPr="00DB610E">
              <w:rPr>
                <w:rFonts w:ascii="Arial Narrow" w:hAnsi="Arial Narrow" w:cs="Times New Roman"/>
                <w:sz w:val="20"/>
                <w:szCs w:val="20"/>
                <w:lang w:val="en-US"/>
              </w:rPr>
              <w:t>E5501-G000-302</w:t>
            </w:r>
          </w:p>
          <w:p w14:paraId="34CD3C2A" w14:textId="22D3DD09" w:rsidR="00942547" w:rsidRDefault="00942547" w:rsidP="003A7360">
            <w:pPr>
              <w:keepNext/>
              <w:keepLines/>
              <w:rPr>
                <w:rFonts w:ascii="Arial Narrow" w:hAnsi="Arial Narrow"/>
                <w:sz w:val="20"/>
                <w:szCs w:val="20"/>
              </w:rPr>
            </w:pPr>
            <w:r w:rsidRPr="00DB610E">
              <w:rPr>
                <w:rFonts w:ascii="Arial Narrow" w:hAnsi="Arial Narrow"/>
                <w:sz w:val="20"/>
                <w:szCs w:val="20"/>
              </w:rPr>
              <w:t>NCT01438840</w:t>
            </w:r>
          </w:p>
          <w:p w14:paraId="34D361F6" w14:textId="5F872A5E" w:rsidR="003A7360" w:rsidRPr="00DB610E" w:rsidRDefault="003A7360" w:rsidP="003A7360">
            <w:pPr>
              <w:keepNext/>
              <w:keepLines/>
              <w:rPr>
                <w:rFonts w:ascii="Arial Narrow" w:hAnsi="Arial Narrow" w:cs="Times New Roman"/>
                <w:sz w:val="20"/>
                <w:szCs w:val="20"/>
              </w:rPr>
            </w:pPr>
            <w:r>
              <w:rPr>
                <w:rFonts w:ascii="Arial Narrow" w:hAnsi="Arial Narrow"/>
                <w:sz w:val="20"/>
                <w:szCs w:val="20"/>
              </w:rPr>
              <w:t>(Study 302)</w:t>
            </w:r>
          </w:p>
          <w:p w14:paraId="4089F4B2" w14:textId="77777777" w:rsidR="00942547" w:rsidRPr="00DB610E" w:rsidRDefault="00942547" w:rsidP="003A7360">
            <w:pPr>
              <w:keepNext/>
              <w:keepLines/>
              <w:rPr>
                <w:rFonts w:ascii="Arial Narrow" w:hAnsi="Arial Narrow"/>
                <w:sz w:val="20"/>
                <w:szCs w:val="20"/>
              </w:rPr>
            </w:pPr>
          </w:p>
        </w:tc>
        <w:tc>
          <w:tcPr>
            <w:tcW w:w="3027" w:type="pct"/>
            <w:vMerge/>
          </w:tcPr>
          <w:p w14:paraId="077D178D" w14:textId="77777777" w:rsidR="00942547" w:rsidRPr="00DB610E" w:rsidRDefault="00942547" w:rsidP="003A7360">
            <w:pPr>
              <w:keepNext/>
              <w:keepLines/>
              <w:rPr>
                <w:rFonts w:ascii="Arial Narrow" w:hAnsi="Arial Narrow"/>
                <w:sz w:val="20"/>
                <w:szCs w:val="20"/>
              </w:rPr>
            </w:pPr>
          </w:p>
        </w:tc>
        <w:tc>
          <w:tcPr>
            <w:tcW w:w="1177" w:type="pct"/>
            <w:vMerge/>
            <w:vAlign w:val="center"/>
          </w:tcPr>
          <w:p w14:paraId="64FD2941" w14:textId="77777777" w:rsidR="00942547" w:rsidRPr="00DB610E" w:rsidRDefault="00942547" w:rsidP="003A7360">
            <w:pPr>
              <w:keepNext/>
              <w:keepLines/>
              <w:jc w:val="left"/>
              <w:rPr>
                <w:rFonts w:ascii="Arial Narrow" w:hAnsi="Arial Narrow"/>
                <w:sz w:val="20"/>
                <w:szCs w:val="20"/>
              </w:rPr>
            </w:pPr>
          </w:p>
        </w:tc>
      </w:tr>
      <w:tr w:rsidR="00942547" w:rsidRPr="00DB610E" w14:paraId="571817C4" w14:textId="77777777" w:rsidTr="00FF5CBC">
        <w:tc>
          <w:tcPr>
            <w:tcW w:w="796" w:type="pct"/>
            <w:tcBorders>
              <w:top w:val="nil"/>
              <w:bottom w:val="nil"/>
            </w:tcBorders>
            <w:vAlign w:val="center"/>
          </w:tcPr>
          <w:p w14:paraId="16BB94D3" w14:textId="77777777" w:rsidR="00942547" w:rsidRPr="00DB610E" w:rsidRDefault="00942547" w:rsidP="003A7360">
            <w:pPr>
              <w:keepNext/>
              <w:keepLines/>
              <w:rPr>
                <w:rFonts w:ascii="Arial Narrow" w:hAnsi="Arial Narrow"/>
                <w:sz w:val="20"/>
                <w:szCs w:val="20"/>
              </w:rPr>
            </w:pPr>
          </w:p>
        </w:tc>
        <w:tc>
          <w:tcPr>
            <w:tcW w:w="3027" w:type="pct"/>
            <w:vMerge/>
            <w:tcBorders>
              <w:bottom w:val="nil"/>
            </w:tcBorders>
          </w:tcPr>
          <w:p w14:paraId="354910A9" w14:textId="77777777" w:rsidR="00942547" w:rsidRPr="00DB610E" w:rsidRDefault="00942547" w:rsidP="003A7360">
            <w:pPr>
              <w:keepNext/>
              <w:keepLines/>
              <w:rPr>
                <w:rFonts w:ascii="Arial Narrow" w:hAnsi="Arial Narrow"/>
                <w:sz w:val="20"/>
                <w:szCs w:val="20"/>
                <w:lang w:val="en-US"/>
              </w:rPr>
            </w:pPr>
          </w:p>
        </w:tc>
        <w:tc>
          <w:tcPr>
            <w:tcW w:w="1177" w:type="pct"/>
            <w:vMerge/>
            <w:tcBorders>
              <w:bottom w:val="nil"/>
            </w:tcBorders>
            <w:vAlign w:val="center"/>
          </w:tcPr>
          <w:p w14:paraId="4F10EB1A" w14:textId="77777777" w:rsidR="00942547" w:rsidRPr="00DB610E" w:rsidRDefault="00942547" w:rsidP="003A7360">
            <w:pPr>
              <w:keepNext/>
              <w:keepLines/>
              <w:jc w:val="left"/>
              <w:rPr>
                <w:rFonts w:ascii="Arial Narrow" w:hAnsi="Arial Narrow"/>
                <w:sz w:val="20"/>
                <w:szCs w:val="20"/>
                <w:lang w:val="en-US"/>
              </w:rPr>
            </w:pPr>
          </w:p>
        </w:tc>
      </w:tr>
      <w:tr w:rsidR="00942547" w:rsidRPr="00DB610E" w14:paraId="38CADDBA" w14:textId="77777777" w:rsidTr="00FF5CBC">
        <w:trPr>
          <w:trHeight w:val="469"/>
        </w:trPr>
        <w:tc>
          <w:tcPr>
            <w:tcW w:w="796" w:type="pct"/>
            <w:vAlign w:val="center"/>
          </w:tcPr>
          <w:p w14:paraId="52549371" w14:textId="77777777" w:rsidR="00942547" w:rsidRPr="00DB610E" w:rsidRDefault="00942547" w:rsidP="003A7360">
            <w:pPr>
              <w:keepNext/>
              <w:keepLines/>
              <w:rPr>
                <w:rFonts w:ascii="Arial Narrow" w:hAnsi="Arial Narrow"/>
                <w:sz w:val="20"/>
                <w:szCs w:val="20"/>
              </w:rPr>
            </w:pPr>
            <w:r w:rsidRPr="00DB610E">
              <w:rPr>
                <w:rFonts w:ascii="Arial Narrow" w:hAnsi="Arial Narrow"/>
                <w:sz w:val="20"/>
                <w:szCs w:val="20"/>
              </w:rPr>
              <w:t>RAISE</w:t>
            </w:r>
          </w:p>
        </w:tc>
        <w:tc>
          <w:tcPr>
            <w:tcW w:w="3027" w:type="pct"/>
            <w:tcBorders>
              <w:bottom w:val="single" w:sz="4" w:space="0" w:color="auto"/>
            </w:tcBorders>
          </w:tcPr>
          <w:p w14:paraId="11A93CB5" w14:textId="77777777" w:rsidR="00942547" w:rsidRPr="00DB610E" w:rsidRDefault="00942547" w:rsidP="003A7360">
            <w:pPr>
              <w:keepNext/>
              <w:keepLines/>
              <w:rPr>
                <w:rFonts w:ascii="Arial Narrow" w:hAnsi="Arial Narrow"/>
                <w:sz w:val="20"/>
                <w:szCs w:val="20"/>
              </w:rPr>
            </w:pPr>
            <w:r w:rsidRPr="00DB610E">
              <w:rPr>
                <w:rFonts w:ascii="Arial Narrow" w:hAnsi="Arial Narrow"/>
                <w:sz w:val="20"/>
                <w:szCs w:val="20"/>
                <w:lang w:val="en-US"/>
              </w:rPr>
              <w:t>Eltrombopag for management of chronic immune thrombocytopenia (RAISE): a 6-month, randomised, phase 3 study.</w:t>
            </w:r>
          </w:p>
        </w:tc>
        <w:tc>
          <w:tcPr>
            <w:tcW w:w="1177" w:type="pct"/>
            <w:tcBorders>
              <w:bottom w:val="single" w:sz="4" w:space="0" w:color="auto"/>
            </w:tcBorders>
          </w:tcPr>
          <w:p w14:paraId="248A9963" w14:textId="77777777" w:rsidR="00942547" w:rsidRPr="00DB610E" w:rsidRDefault="00942547" w:rsidP="003A7360">
            <w:pPr>
              <w:keepNext/>
              <w:keepLines/>
              <w:jc w:val="left"/>
              <w:rPr>
                <w:rFonts w:ascii="Arial Narrow" w:hAnsi="Arial Narrow"/>
                <w:sz w:val="20"/>
                <w:szCs w:val="20"/>
                <w:lang w:val="en-US"/>
              </w:rPr>
            </w:pPr>
            <w:r w:rsidRPr="00DB610E">
              <w:rPr>
                <w:rFonts w:ascii="Arial Narrow" w:hAnsi="Arial Narrow"/>
                <w:sz w:val="20"/>
                <w:szCs w:val="20"/>
                <w:lang w:val="en-US"/>
              </w:rPr>
              <w:t>2011</w:t>
            </w:r>
          </w:p>
          <w:p w14:paraId="742B3631" w14:textId="5FB2825B" w:rsidR="00942547" w:rsidRPr="00DB610E" w:rsidRDefault="00942547" w:rsidP="003A7360">
            <w:pPr>
              <w:keepNext/>
              <w:keepLines/>
              <w:jc w:val="left"/>
              <w:rPr>
                <w:rFonts w:ascii="Arial Narrow" w:hAnsi="Arial Narrow"/>
                <w:sz w:val="20"/>
                <w:szCs w:val="20"/>
              </w:rPr>
            </w:pPr>
            <w:r w:rsidRPr="00DB610E">
              <w:rPr>
                <w:rFonts w:ascii="Arial Narrow" w:hAnsi="Arial Narrow"/>
                <w:sz w:val="20"/>
                <w:szCs w:val="20"/>
                <w:lang w:val="en-US"/>
              </w:rPr>
              <w:t xml:space="preserve">Lancet 377: 393–402 </w:t>
            </w:r>
          </w:p>
        </w:tc>
      </w:tr>
      <w:tr w:rsidR="00682A4E" w:rsidRPr="00DB610E" w14:paraId="0E294B73" w14:textId="77777777" w:rsidTr="00682A4E">
        <w:trPr>
          <w:trHeight w:val="469"/>
        </w:trPr>
        <w:tc>
          <w:tcPr>
            <w:tcW w:w="796" w:type="pct"/>
            <w:tcBorders>
              <w:top w:val="single" w:sz="4" w:space="0" w:color="auto"/>
              <w:left w:val="single" w:sz="4" w:space="0" w:color="auto"/>
              <w:bottom w:val="single" w:sz="4" w:space="0" w:color="auto"/>
              <w:right w:val="single" w:sz="4" w:space="0" w:color="auto"/>
            </w:tcBorders>
            <w:vAlign w:val="center"/>
          </w:tcPr>
          <w:p w14:paraId="1353AC0C" w14:textId="54FBECA6" w:rsidR="00682A4E" w:rsidRPr="00DB610E" w:rsidRDefault="00682A4E" w:rsidP="00682A4E">
            <w:pPr>
              <w:keepNext/>
              <w:keepLines/>
              <w:rPr>
                <w:rFonts w:ascii="Arial Narrow" w:hAnsi="Arial Narrow"/>
                <w:sz w:val="20"/>
                <w:szCs w:val="20"/>
              </w:rPr>
            </w:pPr>
            <w:r w:rsidRPr="00682A4E">
              <w:rPr>
                <w:rFonts w:ascii="Arial Narrow" w:hAnsi="Arial Narrow"/>
                <w:sz w:val="20"/>
                <w:szCs w:val="20"/>
              </w:rPr>
              <w:t>NCT00102323 and NCT00102336</w:t>
            </w:r>
          </w:p>
        </w:tc>
        <w:tc>
          <w:tcPr>
            <w:tcW w:w="3027" w:type="pct"/>
            <w:tcBorders>
              <w:top w:val="single" w:sz="4" w:space="0" w:color="auto"/>
              <w:left w:val="single" w:sz="4" w:space="0" w:color="auto"/>
              <w:bottom w:val="single" w:sz="4" w:space="0" w:color="auto"/>
              <w:right w:val="single" w:sz="4" w:space="0" w:color="auto"/>
            </w:tcBorders>
          </w:tcPr>
          <w:p w14:paraId="0BFBF9D1" w14:textId="77777777" w:rsidR="00682A4E" w:rsidRPr="00682A4E" w:rsidRDefault="00682A4E" w:rsidP="00682A4E">
            <w:pPr>
              <w:keepNext/>
              <w:keepLines/>
              <w:rPr>
                <w:rFonts w:ascii="Arial Narrow" w:hAnsi="Arial Narrow"/>
                <w:sz w:val="20"/>
                <w:szCs w:val="20"/>
                <w:lang w:val="en-US"/>
              </w:rPr>
            </w:pPr>
            <w:r w:rsidRPr="00682A4E">
              <w:rPr>
                <w:rFonts w:ascii="Arial Narrow" w:hAnsi="Arial Narrow"/>
                <w:sz w:val="20"/>
                <w:szCs w:val="20"/>
                <w:lang w:val="en-US"/>
              </w:rPr>
              <w:t>Efficacy of romiplostim in patients with chronic immune thrombocytopenic purpura: a double-blind randomised controlled trial.</w:t>
            </w:r>
          </w:p>
        </w:tc>
        <w:tc>
          <w:tcPr>
            <w:tcW w:w="1177" w:type="pct"/>
            <w:tcBorders>
              <w:top w:val="single" w:sz="4" w:space="0" w:color="auto"/>
              <w:left w:val="single" w:sz="4" w:space="0" w:color="auto"/>
              <w:bottom w:val="single" w:sz="4" w:space="0" w:color="auto"/>
              <w:right w:val="single" w:sz="4" w:space="0" w:color="auto"/>
            </w:tcBorders>
          </w:tcPr>
          <w:p w14:paraId="5CAB75E8" w14:textId="77777777" w:rsidR="00682A4E" w:rsidRDefault="00682A4E" w:rsidP="00682A4E">
            <w:pPr>
              <w:keepNext/>
              <w:keepLines/>
              <w:jc w:val="left"/>
              <w:rPr>
                <w:rFonts w:ascii="Arial Narrow" w:hAnsi="Arial Narrow"/>
                <w:sz w:val="20"/>
                <w:szCs w:val="20"/>
                <w:lang w:val="en-US"/>
              </w:rPr>
            </w:pPr>
            <w:r>
              <w:rPr>
                <w:rFonts w:ascii="Arial Narrow" w:hAnsi="Arial Narrow"/>
                <w:sz w:val="20"/>
                <w:szCs w:val="20"/>
                <w:lang w:val="en-US"/>
              </w:rPr>
              <w:t>Kuter et al.</w:t>
            </w:r>
          </w:p>
          <w:p w14:paraId="38D71ADA" w14:textId="77777777" w:rsidR="00682A4E" w:rsidRPr="00DB610E" w:rsidRDefault="00682A4E" w:rsidP="00682A4E">
            <w:pPr>
              <w:keepNext/>
              <w:keepLines/>
              <w:jc w:val="left"/>
              <w:rPr>
                <w:rFonts w:ascii="Arial Narrow" w:hAnsi="Arial Narrow"/>
                <w:sz w:val="20"/>
                <w:szCs w:val="20"/>
                <w:lang w:val="en-US"/>
              </w:rPr>
            </w:pPr>
            <w:r w:rsidRPr="00DB610E">
              <w:rPr>
                <w:rFonts w:ascii="Arial Narrow" w:hAnsi="Arial Narrow"/>
                <w:sz w:val="20"/>
                <w:szCs w:val="20"/>
                <w:lang w:val="en-US"/>
              </w:rPr>
              <w:t>2008</w:t>
            </w:r>
          </w:p>
          <w:p w14:paraId="2F2DE14E" w14:textId="5E3FC608" w:rsidR="00682A4E" w:rsidRPr="00682A4E" w:rsidRDefault="00682A4E" w:rsidP="00682A4E">
            <w:pPr>
              <w:keepNext/>
              <w:keepLines/>
              <w:jc w:val="left"/>
              <w:rPr>
                <w:rFonts w:ascii="Arial Narrow" w:hAnsi="Arial Narrow"/>
                <w:sz w:val="20"/>
                <w:szCs w:val="20"/>
                <w:lang w:val="en-US"/>
              </w:rPr>
            </w:pPr>
            <w:r w:rsidRPr="00DB610E">
              <w:rPr>
                <w:rFonts w:ascii="Arial Narrow" w:hAnsi="Arial Narrow"/>
                <w:sz w:val="20"/>
                <w:szCs w:val="20"/>
                <w:lang w:val="en-US"/>
              </w:rPr>
              <w:t xml:space="preserve">Lancet </w:t>
            </w:r>
            <w:r w:rsidRPr="00682A4E">
              <w:rPr>
                <w:rFonts w:ascii="Arial Narrow" w:hAnsi="Arial Narrow"/>
                <w:sz w:val="20"/>
                <w:szCs w:val="20"/>
                <w:lang w:val="en-US"/>
              </w:rPr>
              <w:t>371:395-403</w:t>
            </w:r>
          </w:p>
        </w:tc>
      </w:tr>
    </w:tbl>
    <w:p w14:paraId="6709C98E" w14:textId="4B3DCA42" w:rsidR="00942547" w:rsidRPr="00A73609" w:rsidRDefault="00942547" w:rsidP="003A7360">
      <w:pPr>
        <w:pStyle w:val="TableFooter"/>
        <w:keepNext/>
        <w:keepLines/>
        <w:rPr>
          <w:szCs w:val="18"/>
        </w:rPr>
      </w:pPr>
      <w:r w:rsidRPr="00A73609">
        <w:rPr>
          <w:szCs w:val="18"/>
        </w:rPr>
        <w:t>Source: generated during the evaluation from Table 2,3, pp36-38 of the submission.</w:t>
      </w:r>
    </w:p>
    <w:p w14:paraId="212ED63C" w14:textId="1C8534F3" w:rsidR="00942547" w:rsidRPr="00DB610E" w:rsidRDefault="00942547" w:rsidP="00942547">
      <w:pPr>
        <w:pStyle w:val="3-BodyText"/>
        <w:numPr>
          <w:ilvl w:val="0"/>
          <w:numId w:val="0"/>
        </w:numPr>
        <w:ind w:left="720"/>
        <w:rPr>
          <w:rFonts w:ascii="Arial Narrow" w:hAnsi="Arial Narrow"/>
          <w:sz w:val="20"/>
          <w:szCs w:val="20"/>
        </w:rPr>
      </w:pPr>
    </w:p>
    <w:p w14:paraId="3D4D0221" w14:textId="46EA582F" w:rsidR="0048341D" w:rsidRDefault="00B012B1" w:rsidP="00B012B1">
      <w:pPr>
        <w:pStyle w:val="3-BodyText"/>
      </w:pPr>
      <w:r>
        <w:t>Key features of the indirect comparison of avatrom</w:t>
      </w:r>
      <w:r w:rsidR="002B582E">
        <w:t>bo</w:t>
      </w:r>
      <w:r>
        <w:t>pag and romiplostim are presented in the section entitled ‘</w:t>
      </w:r>
      <w:r w:rsidRPr="00B012B1">
        <w:t>Indirect comparison of avatrombopag and romiplostim – comparative effectiveness and comparative harms</w:t>
      </w:r>
      <w:r>
        <w:t>’.</w:t>
      </w:r>
    </w:p>
    <w:p w14:paraId="59AD84E6" w14:textId="6C867424" w:rsidR="0048341D" w:rsidRPr="00C47840" w:rsidRDefault="0048341D" w:rsidP="00B012B1">
      <w:pPr>
        <w:pStyle w:val="4-SubsectionHeading"/>
        <w:jc w:val="left"/>
        <w:rPr>
          <w:b w:val="0"/>
          <w:bCs/>
          <w:i w:val="0"/>
          <w:iCs/>
        </w:rPr>
      </w:pPr>
      <w:r w:rsidRPr="00B012B1">
        <w:rPr>
          <w:lang w:val="en-US"/>
        </w:rPr>
        <w:t>Indirect</w:t>
      </w:r>
      <w:r w:rsidRPr="00C47840">
        <w:rPr>
          <w:bCs/>
          <w:iCs/>
        </w:rPr>
        <w:t xml:space="preserve"> comparison</w:t>
      </w:r>
      <w:r w:rsidR="00437373" w:rsidRPr="00C47840">
        <w:rPr>
          <w:bCs/>
          <w:iCs/>
        </w:rPr>
        <w:t xml:space="preserve"> of avatrombopag</w:t>
      </w:r>
      <w:r w:rsidRPr="00C47840">
        <w:rPr>
          <w:bCs/>
          <w:iCs/>
        </w:rPr>
        <w:t xml:space="preserve"> with eltrombopag</w:t>
      </w:r>
    </w:p>
    <w:p w14:paraId="3EBDDEF3" w14:textId="47D63C36" w:rsidR="00FB7156" w:rsidRDefault="0048341D" w:rsidP="00FB7156">
      <w:pPr>
        <w:pStyle w:val="3-BodyText"/>
      </w:pPr>
      <w:r w:rsidRPr="0048341D">
        <w:fldChar w:fldCharType="begin" w:fldLock="1"/>
      </w:r>
      <w:r w:rsidRPr="0048341D">
        <w:instrText xml:space="preserve"> REF _Ref112499213 \h </w:instrText>
      </w:r>
      <w:r w:rsidRPr="0048341D">
        <w:fldChar w:fldCharType="separate"/>
      </w:r>
      <w:r w:rsidR="0080246B" w:rsidRPr="00DB610E">
        <w:rPr>
          <w:szCs w:val="20"/>
        </w:rPr>
        <w:t xml:space="preserve">Table </w:t>
      </w:r>
      <w:r w:rsidR="0080246B">
        <w:rPr>
          <w:noProof/>
          <w:szCs w:val="20"/>
        </w:rPr>
        <w:t>3</w:t>
      </w:r>
      <w:r w:rsidRPr="0048341D">
        <w:fldChar w:fldCharType="end"/>
      </w:r>
      <w:r w:rsidRPr="0048341D">
        <w:t xml:space="preserve"> presents the key features of</w:t>
      </w:r>
      <w:r w:rsidR="009D3F79">
        <w:t xml:space="preserve"> the included</w:t>
      </w:r>
      <w:r w:rsidRPr="0048341D">
        <w:t xml:space="preserve"> trials</w:t>
      </w:r>
      <w:r w:rsidR="00437373">
        <w:t xml:space="preserve"> for the a</w:t>
      </w:r>
      <w:r w:rsidR="00437373" w:rsidRPr="00437373">
        <w:t>vatrombopag</w:t>
      </w:r>
      <w:r w:rsidR="00437373">
        <w:t xml:space="preserve"> versus eltrombopag comparison</w:t>
      </w:r>
      <w:r w:rsidRPr="0048341D">
        <w:t>.</w:t>
      </w:r>
    </w:p>
    <w:p w14:paraId="2AF403C7" w14:textId="0161FD67" w:rsidR="00FB7156" w:rsidRPr="00DB610E" w:rsidRDefault="00FB7156" w:rsidP="00522A82">
      <w:pPr>
        <w:pStyle w:val="TableFigureHeading"/>
        <w:keepLines/>
        <w:rPr>
          <w:szCs w:val="20"/>
        </w:rPr>
      </w:pPr>
      <w:bookmarkStart w:id="21" w:name="_Ref112499213"/>
      <w:r w:rsidRPr="00DB610E">
        <w:rPr>
          <w:szCs w:val="20"/>
        </w:rPr>
        <w:lastRenderedPageBreak/>
        <w:t xml:space="preserve">Table </w:t>
      </w:r>
      <w:r w:rsidRPr="00DB610E">
        <w:rPr>
          <w:szCs w:val="20"/>
        </w:rPr>
        <w:fldChar w:fldCharType="begin" w:fldLock="1"/>
      </w:r>
      <w:r w:rsidRPr="00DB610E">
        <w:rPr>
          <w:szCs w:val="20"/>
        </w:rPr>
        <w:instrText xml:space="preserve"> SEQ Table \* ARABIC </w:instrText>
      </w:r>
      <w:r w:rsidRPr="00DB610E">
        <w:rPr>
          <w:szCs w:val="20"/>
        </w:rPr>
        <w:fldChar w:fldCharType="separate"/>
      </w:r>
      <w:r w:rsidR="0080246B">
        <w:rPr>
          <w:noProof/>
          <w:szCs w:val="20"/>
        </w:rPr>
        <w:t>3</w:t>
      </w:r>
      <w:r w:rsidRPr="00DB610E">
        <w:rPr>
          <w:szCs w:val="20"/>
        </w:rPr>
        <w:fldChar w:fldCharType="end"/>
      </w:r>
      <w:bookmarkEnd w:id="21"/>
      <w:r w:rsidR="00575CE5">
        <w:rPr>
          <w:szCs w:val="20"/>
        </w:rPr>
        <w:t>:</w:t>
      </w:r>
      <w:r w:rsidRPr="00DB610E">
        <w:rPr>
          <w:szCs w:val="20"/>
        </w:rPr>
        <w:t xml:space="preserve"> </w:t>
      </w:r>
      <w:r w:rsidR="00F913DB" w:rsidRPr="00DB610E">
        <w:rPr>
          <w:szCs w:val="20"/>
        </w:rPr>
        <w:t>Key</w:t>
      </w:r>
      <w:r w:rsidRPr="00DB610E">
        <w:rPr>
          <w:szCs w:val="20"/>
        </w:rPr>
        <w:t xml:space="preserve"> features of the included evidence – indirect comparison</w:t>
      </w:r>
      <w:r w:rsidR="001D11DA">
        <w:rPr>
          <w:szCs w:val="20"/>
        </w:rPr>
        <w:t xml:space="preserve"> </w:t>
      </w:r>
      <w:r w:rsidR="001D11DA" w:rsidRPr="00437373">
        <w:rPr>
          <w:rStyle w:val="TableFigureHeadingChar"/>
          <w:b/>
          <w:bCs/>
        </w:rPr>
        <w:t xml:space="preserve">avatrombopag vs </w:t>
      </w:r>
      <w:r w:rsidR="001D11DA">
        <w:rPr>
          <w:rStyle w:val="TableFigureHeadingChar"/>
          <w:b/>
          <w:bCs/>
        </w:rPr>
        <w:t>eltrombopag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0"/>
        <w:gridCol w:w="703"/>
        <w:gridCol w:w="1268"/>
        <w:gridCol w:w="986"/>
        <w:gridCol w:w="1977"/>
        <w:gridCol w:w="2397"/>
        <w:gridCol w:w="986"/>
      </w:tblGrid>
      <w:tr w:rsidR="00FB7156" w:rsidRPr="00DB610E" w14:paraId="7EBF311C" w14:textId="77777777" w:rsidTr="00FF5CBC">
        <w:trPr>
          <w:tblHeader/>
        </w:trPr>
        <w:tc>
          <w:tcPr>
            <w:tcW w:w="388" w:type="pct"/>
            <w:shd w:val="clear" w:color="auto" w:fill="auto"/>
            <w:vAlign w:val="center"/>
          </w:tcPr>
          <w:p w14:paraId="6E41AC20" w14:textId="77777777" w:rsidR="00FB7156" w:rsidRPr="009D3F79" w:rsidRDefault="00FB7156" w:rsidP="00522A82">
            <w:pPr>
              <w:pStyle w:val="Tabletext"/>
              <w:keepNext/>
              <w:keepLines/>
              <w:rPr>
                <w:b/>
                <w:bCs/>
                <w:szCs w:val="20"/>
              </w:rPr>
            </w:pPr>
            <w:r w:rsidRPr="009D3F79">
              <w:rPr>
                <w:b/>
                <w:bCs/>
                <w:szCs w:val="20"/>
              </w:rPr>
              <w:t>Trial</w:t>
            </w:r>
          </w:p>
        </w:tc>
        <w:tc>
          <w:tcPr>
            <w:tcW w:w="390" w:type="pct"/>
            <w:shd w:val="clear" w:color="auto" w:fill="auto"/>
            <w:vAlign w:val="center"/>
          </w:tcPr>
          <w:p w14:paraId="687548B9" w14:textId="77777777" w:rsidR="00FB7156" w:rsidRPr="009D3F79" w:rsidRDefault="00FB7156" w:rsidP="00522A82">
            <w:pPr>
              <w:pStyle w:val="Tabletext"/>
              <w:keepNext/>
              <w:keepLines/>
              <w:jc w:val="center"/>
              <w:rPr>
                <w:b/>
                <w:bCs/>
                <w:szCs w:val="20"/>
              </w:rPr>
            </w:pPr>
            <w:r w:rsidRPr="009D3F79">
              <w:rPr>
                <w:b/>
                <w:bCs/>
                <w:szCs w:val="20"/>
              </w:rPr>
              <w:t>N</w:t>
            </w:r>
          </w:p>
        </w:tc>
        <w:tc>
          <w:tcPr>
            <w:tcW w:w="703" w:type="pct"/>
            <w:shd w:val="clear" w:color="auto" w:fill="auto"/>
            <w:vAlign w:val="center"/>
          </w:tcPr>
          <w:p w14:paraId="7673E035" w14:textId="77777777" w:rsidR="00FB7156" w:rsidRPr="009D3F79" w:rsidRDefault="00FB7156" w:rsidP="00522A82">
            <w:pPr>
              <w:pStyle w:val="Tabletext"/>
              <w:keepNext/>
              <w:keepLines/>
              <w:jc w:val="center"/>
              <w:rPr>
                <w:b/>
                <w:bCs/>
                <w:szCs w:val="20"/>
              </w:rPr>
            </w:pPr>
            <w:r w:rsidRPr="009D3F79">
              <w:rPr>
                <w:b/>
                <w:bCs/>
                <w:szCs w:val="20"/>
              </w:rPr>
              <w:t>Design/ duration</w:t>
            </w:r>
          </w:p>
        </w:tc>
        <w:tc>
          <w:tcPr>
            <w:tcW w:w="547" w:type="pct"/>
            <w:shd w:val="clear" w:color="auto" w:fill="auto"/>
            <w:vAlign w:val="center"/>
          </w:tcPr>
          <w:p w14:paraId="566D4CE2" w14:textId="77777777" w:rsidR="00FB7156" w:rsidRPr="009D3F79" w:rsidRDefault="00FB7156" w:rsidP="00522A82">
            <w:pPr>
              <w:pStyle w:val="Tabletext"/>
              <w:keepNext/>
              <w:keepLines/>
              <w:jc w:val="center"/>
              <w:rPr>
                <w:b/>
                <w:bCs/>
                <w:szCs w:val="20"/>
              </w:rPr>
            </w:pPr>
            <w:r w:rsidRPr="009D3F79">
              <w:rPr>
                <w:b/>
                <w:bCs/>
                <w:szCs w:val="20"/>
              </w:rPr>
              <w:t>Risk of bias</w:t>
            </w:r>
          </w:p>
        </w:tc>
        <w:tc>
          <w:tcPr>
            <w:tcW w:w="1096" w:type="pct"/>
            <w:shd w:val="clear" w:color="auto" w:fill="auto"/>
            <w:vAlign w:val="center"/>
          </w:tcPr>
          <w:p w14:paraId="3A2B6F37" w14:textId="77777777" w:rsidR="00FB7156" w:rsidRPr="009D3F79" w:rsidRDefault="00FB7156" w:rsidP="00522A82">
            <w:pPr>
              <w:pStyle w:val="Tabletext"/>
              <w:keepNext/>
              <w:keepLines/>
              <w:jc w:val="center"/>
              <w:rPr>
                <w:b/>
                <w:bCs/>
                <w:szCs w:val="20"/>
              </w:rPr>
            </w:pPr>
            <w:r w:rsidRPr="009D3F79">
              <w:rPr>
                <w:b/>
                <w:bCs/>
                <w:szCs w:val="20"/>
              </w:rPr>
              <w:t>Patient population</w:t>
            </w:r>
          </w:p>
        </w:tc>
        <w:tc>
          <w:tcPr>
            <w:tcW w:w="1329" w:type="pct"/>
            <w:shd w:val="clear" w:color="auto" w:fill="auto"/>
            <w:vAlign w:val="center"/>
          </w:tcPr>
          <w:p w14:paraId="2F566726" w14:textId="77777777" w:rsidR="00FB7156" w:rsidRPr="009D3F79" w:rsidRDefault="00FB7156" w:rsidP="00522A82">
            <w:pPr>
              <w:pStyle w:val="Tabletext"/>
              <w:keepNext/>
              <w:keepLines/>
              <w:jc w:val="center"/>
              <w:rPr>
                <w:b/>
                <w:bCs/>
                <w:szCs w:val="20"/>
              </w:rPr>
            </w:pPr>
            <w:r w:rsidRPr="009D3F79">
              <w:rPr>
                <w:b/>
                <w:bCs/>
                <w:szCs w:val="20"/>
              </w:rPr>
              <w:t>Outcome(s)</w:t>
            </w:r>
          </w:p>
        </w:tc>
        <w:tc>
          <w:tcPr>
            <w:tcW w:w="547" w:type="pct"/>
            <w:shd w:val="clear" w:color="auto" w:fill="auto"/>
            <w:vAlign w:val="center"/>
          </w:tcPr>
          <w:p w14:paraId="20BFF24D" w14:textId="77777777" w:rsidR="00FB7156" w:rsidRPr="009D3F79" w:rsidRDefault="00FB7156" w:rsidP="00522A82">
            <w:pPr>
              <w:pStyle w:val="Tabletext"/>
              <w:keepNext/>
              <w:keepLines/>
              <w:jc w:val="center"/>
              <w:rPr>
                <w:b/>
                <w:bCs/>
                <w:szCs w:val="20"/>
              </w:rPr>
            </w:pPr>
            <w:r w:rsidRPr="009D3F79">
              <w:rPr>
                <w:b/>
                <w:bCs/>
                <w:szCs w:val="20"/>
              </w:rPr>
              <w:t>Use in economic evaluation</w:t>
            </w:r>
          </w:p>
        </w:tc>
      </w:tr>
      <w:tr w:rsidR="00FB7156" w:rsidRPr="00DB610E" w14:paraId="3952C923" w14:textId="77777777" w:rsidTr="00FF5CBC">
        <w:tc>
          <w:tcPr>
            <w:tcW w:w="5000" w:type="pct"/>
            <w:gridSpan w:val="7"/>
            <w:shd w:val="clear" w:color="auto" w:fill="auto"/>
            <w:vAlign w:val="center"/>
          </w:tcPr>
          <w:p w14:paraId="07CC07C5" w14:textId="77777777" w:rsidR="00FB7156" w:rsidRPr="009D3F79" w:rsidRDefault="00FB7156" w:rsidP="00522A82">
            <w:pPr>
              <w:pStyle w:val="Tabletext"/>
              <w:keepNext/>
              <w:keepLines/>
              <w:rPr>
                <w:b/>
                <w:bCs/>
                <w:szCs w:val="20"/>
              </w:rPr>
            </w:pPr>
            <w:r w:rsidRPr="009D3F79">
              <w:rPr>
                <w:b/>
                <w:bCs/>
                <w:szCs w:val="20"/>
              </w:rPr>
              <w:t>Avatrombopag vs placebo</w:t>
            </w:r>
          </w:p>
        </w:tc>
      </w:tr>
      <w:tr w:rsidR="00FB7156" w:rsidRPr="00DB610E" w14:paraId="2C505044" w14:textId="77777777" w:rsidTr="00FF5CBC">
        <w:tc>
          <w:tcPr>
            <w:tcW w:w="388" w:type="pct"/>
            <w:shd w:val="clear" w:color="auto" w:fill="auto"/>
            <w:vAlign w:val="center"/>
          </w:tcPr>
          <w:p w14:paraId="37FB22E0" w14:textId="202B8342" w:rsidR="00FB7156" w:rsidRPr="00DB610E" w:rsidRDefault="00B8740C" w:rsidP="00522A82">
            <w:pPr>
              <w:pStyle w:val="Tabletext"/>
              <w:keepNext/>
              <w:keepLines/>
              <w:jc w:val="center"/>
              <w:rPr>
                <w:szCs w:val="20"/>
                <w:lang w:val="en-US"/>
              </w:rPr>
            </w:pPr>
            <w:r>
              <w:rPr>
                <w:szCs w:val="20"/>
                <w:lang w:val="en-US"/>
              </w:rPr>
              <w:t xml:space="preserve">Study </w:t>
            </w:r>
            <w:r w:rsidR="00FB7156" w:rsidRPr="00DB610E">
              <w:rPr>
                <w:szCs w:val="20"/>
                <w:lang w:val="en-US"/>
              </w:rPr>
              <w:t>302</w:t>
            </w:r>
          </w:p>
        </w:tc>
        <w:tc>
          <w:tcPr>
            <w:tcW w:w="390" w:type="pct"/>
            <w:shd w:val="clear" w:color="auto" w:fill="auto"/>
            <w:vAlign w:val="center"/>
          </w:tcPr>
          <w:p w14:paraId="3875B914" w14:textId="77777777" w:rsidR="00FB7156" w:rsidRPr="00DB610E" w:rsidRDefault="00FB7156" w:rsidP="00522A82">
            <w:pPr>
              <w:pStyle w:val="Tabletext"/>
              <w:keepNext/>
              <w:keepLines/>
              <w:jc w:val="center"/>
              <w:rPr>
                <w:szCs w:val="20"/>
                <w:lang w:val="en-US"/>
              </w:rPr>
            </w:pPr>
            <w:r w:rsidRPr="00DB610E">
              <w:rPr>
                <w:szCs w:val="20"/>
                <w:lang w:val="en-US"/>
              </w:rPr>
              <w:t>49</w:t>
            </w:r>
          </w:p>
        </w:tc>
        <w:tc>
          <w:tcPr>
            <w:tcW w:w="703" w:type="pct"/>
            <w:shd w:val="clear" w:color="auto" w:fill="auto"/>
            <w:vAlign w:val="center"/>
          </w:tcPr>
          <w:p w14:paraId="1749F59B" w14:textId="77777777" w:rsidR="00FB7156" w:rsidRPr="00DB610E" w:rsidRDefault="00FB7156" w:rsidP="00522A82">
            <w:pPr>
              <w:pStyle w:val="Tabletext"/>
              <w:keepNext/>
              <w:keepLines/>
              <w:jc w:val="center"/>
              <w:rPr>
                <w:szCs w:val="20"/>
                <w:lang w:val="en-US"/>
              </w:rPr>
            </w:pPr>
            <w:r w:rsidRPr="00DB610E">
              <w:rPr>
                <w:szCs w:val="20"/>
                <w:lang w:val="en-US"/>
              </w:rPr>
              <w:t>R, DB</w:t>
            </w:r>
          </w:p>
          <w:p w14:paraId="0B5FFDC6" w14:textId="357B4D57" w:rsidR="00FB7156" w:rsidRPr="00DB610E" w:rsidRDefault="00FB7156" w:rsidP="00522A82">
            <w:pPr>
              <w:pStyle w:val="Tabletext"/>
              <w:keepNext/>
              <w:keepLines/>
              <w:jc w:val="center"/>
              <w:rPr>
                <w:szCs w:val="20"/>
                <w:lang w:val="en-US"/>
              </w:rPr>
            </w:pPr>
            <w:r w:rsidRPr="00DB610E">
              <w:rPr>
                <w:szCs w:val="20"/>
                <w:lang w:val="en-US"/>
              </w:rPr>
              <w:t xml:space="preserve">6 </w:t>
            </w:r>
            <w:r w:rsidR="00A730CA">
              <w:rPr>
                <w:szCs w:val="20"/>
                <w:lang w:val="en-US"/>
              </w:rPr>
              <w:t>months</w:t>
            </w:r>
            <w:r w:rsidRPr="00DB610E">
              <w:rPr>
                <w:szCs w:val="20"/>
                <w:lang w:val="en-US"/>
              </w:rPr>
              <w:t>, OL extension up to 24 months</w:t>
            </w:r>
          </w:p>
        </w:tc>
        <w:tc>
          <w:tcPr>
            <w:tcW w:w="547" w:type="pct"/>
            <w:shd w:val="clear" w:color="auto" w:fill="auto"/>
            <w:vAlign w:val="center"/>
          </w:tcPr>
          <w:p w14:paraId="7C974CD3" w14:textId="77777777" w:rsidR="00FB7156" w:rsidRPr="00DB610E" w:rsidRDefault="00FB7156" w:rsidP="00522A82">
            <w:pPr>
              <w:pStyle w:val="Tabletext"/>
              <w:keepNext/>
              <w:keepLines/>
              <w:jc w:val="center"/>
              <w:rPr>
                <w:szCs w:val="20"/>
                <w:lang w:val="en-US"/>
              </w:rPr>
            </w:pPr>
            <w:r w:rsidRPr="00DB610E">
              <w:rPr>
                <w:szCs w:val="20"/>
                <w:lang w:val="en-US"/>
              </w:rPr>
              <w:t>High</w:t>
            </w:r>
          </w:p>
        </w:tc>
        <w:tc>
          <w:tcPr>
            <w:tcW w:w="1096" w:type="pct"/>
            <w:shd w:val="clear" w:color="auto" w:fill="auto"/>
            <w:vAlign w:val="center"/>
          </w:tcPr>
          <w:p w14:paraId="536B27D2" w14:textId="015C30CB" w:rsidR="00FB7156" w:rsidRPr="00DB610E" w:rsidRDefault="00FB7156" w:rsidP="00522A82">
            <w:pPr>
              <w:pStyle w:val="Tabletext"/>
              <w:keepNext/>
              <w:keepLines/>
              <w:rPr>
                <w:szCs w:val="20"/>
                <w:lang w:val="en-US"/>
              </w:rPr>
            </w:pPr>
            <w:r w:rsidRPr="00DB610E">
              <w:rPr>
                <w:szCs w:val="20"/>
                <w:lang w:val="en-US"/>
              </w:rPr>
              <w:t>Adults with ITP &gt;12 mo, average of two platelet counts &lt;30 x 10</w:t>
            </w:r>
            <w:r w:rsidRPr="00DB610E">
              <w:rPr>
                <w:szCs w:val="20"/>
                <w:vertAlign w:val="superscript"/>
                <w:lang w:val="en-US"/>
              </w:rPr>
              <w:t>9</w:t>
            </w:r>
            <w:r w:rsidRPr="00DB610E">
              <w:rPr>
                <w:szCs w:val="20"/>
                <w:lang w:val="en-US"/>
              </w:rPr>
              <w:t>/L and no count &gt;35 x 10</w:t>
            </w:r>
            <w:r w:rsidRPr="00DB610E">
              <w:rPr>
                <w:szCs w:val="20"/>
                <w:vertAlign w:val="superscript"/>
                <w:lang w:val="en-US"/>
              </w:rPr>
              <w:t>9</w:t>
            </w:r>
            <w:r w:rsidRPr="00DB610E">
              <w:rPr>
                <w:szCs w:val="20"/>
                <w:lang w:val="en-US"/>
              </w:rPr>
              <w:t>/L, at least one successful previous treatment; normal prothrombin time and APTT and no history of thrombo-embolic disease; no history of atrophic gastritis or elevated gastrin.</w:t>
            </w:r>
          </w:p>
        </w:tc>
        <w:tc>
          <w:tcPr>
            <w:tcW w:w="1329" w:type="pct"/>
            <w:shd w:val="clear" w:color="auto" w:fill="auto"/>
            <w:vAlign w:val="center"/>
          </w:tcPr>
          <w:p w14:paraId="50E39627" w14:textId="48C88B2D" w:rsidR="00FB7156" w:rsidRPr="00DB610E" w:rsidRDefault="00FB7156" w:rsidP="00522A82">
            <w:pPr>
              <w:pStyle w:val="Tabletext"/>
              <w:keepNext/>
              <w:keepLines/>
              <w:rPr>
                <w:szCs w:val="20"/>
                <w:lang w:val="en-US"/>
              </w:rPr>
            </w:pPr>
            <w:r w:rsidRPr="00DB610E">
              <w:rPr>
                <w:szCs w:val="20"/>
              </w:rPr>
              <w:t>The proportion of subjects who have at least 6 out of 8 weekly platelet counts ≥50 × 10</w:t>
            </w:r>
            <w:r w:rsidRPr="00DB610E">
              <w:rPr>
                <w:szCs w:val="20"/>
                <w:vertAlign w:val="superscript"/>
              </w:rPr>
              <w:t>9</w:t>
            </w:r>
            <w:r w:rsidRPr="00DB610E">
              <w:rPr>
                <w:szCs w:val="20"/>
              </w:rPr>
              <w:t>/L during the last 8 weeks of treatment in the absence of rescue therapy; mean cumulative number of weeks with platelet count ≥50 x 10</w:t>
            </w:r>
            <w:r w:rsidRPr="00DB610E">
              <w:rPr>
                <w:szCs w:val="20"/>
                <w:vertAlign w:val="superscript"/>
              </w:rPr>
              <w:t>9</w:t>
            </w:r>
            <w:r w:rsidRPr="00DB610E">
              <w:rPr>
                <w:szCs w:val="20"/>
              </w:rPr>
              <w:t xml:space="preserve">/L during the 6-month treatment period; reduction in concomitant medication for ITP, rescue therapy, bleeding events. </w:t>
            </w:r>
          </w:p>
        </w:tc>
        <w:tc>
          <w:tcPr>
            <w:tcW w:w="547" w:type="pct"/>
            <w:shd w:val="clear" w:color="auto" w:fill="auto"/>
            <w:vAlign w:val="center"/>
          </w:tcPr>
          <w:p w14:paraId="46044177" w14:textId="77777777" w:rsidR="00FB7156" w:rsidRPr="00DB610E" w:rsidRDefault="00FB7156" w:rsidP="00522A82">
            <w:pPr>
              <w:pStyle w:val="Tabletext"/>
              <w:keepNext/>
              <w:keepLines/>
              <w:jc w:val="center"/>
              <w:rPr>
                <w:szCs w:val="20"/>
                <w:lang w:val="en-US"/>
              </w:rPr>
            </w:pPr>
            <w:r w:rsidRPr="00DB610E">
              <w:rPr>
                <w:szCs w:val="20"/>
                <w:lang w:val="en-US"/>
              </w:rPr>
              <w:t>Used</w:t>
            </w:r>
          </w:p>
        </w:tc>
      </w:tr>
      <w:tr w:rsidR="00FB7156" w:rsidRPr="00DB610E" w14:paraId="23DEBAE3" w14:textId="77777777" w:rsidTr="00FF5CBC">
        <w:tc>
          <w:tcPr>
            <w:tcW w:w="5000" w:type="pct"/>
            <w:gridSpan w:val="7"/>
            <w:shd w:val="clear" w:color="auto" w:fill="auto"/>
            <w:vAlign w:val="center"/>
          </w:tcPr>
          <w:p w14:paraId="202418F9" w14:textId="77777777" w:rsidR="00FB7156" w:rsidRPr="009D3F79" w:rsidRDefault="00FB7156" w:rsidP="00522A82">
            <w:pPr>
              <w:pStyle w:val="Tabletext"/>
              <w:keepNext/>
              <w:keepLines/>
              <w:rPr>
                <w:b/>
                <w:bCs/>
                <w:szCs w:val="20"/>
              </w:rPr>
            </w:pPr>
            <w:r w:rsidRPr="009D3F79">
              <w:rPr>
                <w:b/>
                <w:bCs/>
                <w:szCs w:val="20"/>
              </w:rPr>
              <w:t>Eltrombopag vs placebo</w:t>
            </w:r>
          </w:p>
        </w:tc>
      </w:tr>
      <w:tr w:rsidR="00FB7156" w:rsidRPr="00DB610E" w14:paraId="3F96B497" w14:textId="77777777" w:rsidTr="00FF5CBC">
        <w:tc>
          <w:tcPr>
            <w:tcW w:w="388" w:type="pct"/>
            <w:shd w:val="clear" w:color="auto" w:fill="auto"/>
            <w:vAlign w:val="center"/>
          </w:tcPr>
          <w:p w14:paraId="32B4534F" w14:textId="77777777" w:rsidR="00FB7156" w:rsidRPr="00DB610E" w:rsidRDefault="00FB7156" w:rsidP="00522A82">
            <w:pPr>
              <w:pStyle w:val="Tabletext"/>
              <w:keepNext/>
              <w:keepLines/>
              <w:jc w:val="center"/>
              <w:rPr>
                <w:szCs w:val="20"/>
                <w:lang w:val="en-US"/>
              </w:rPr>
            </w:pPr>
            <w:r w:rsidRPr="00DB610E">
              <w:rPr>
                <w:szCs w:val="20"/>
                <w:lang w:val="en-US"/>
              </w:rPr>
              <w:t>RAISE</w:t>
            </w:r>
          </w:p>
        </w:tc>
        <w:tc>
          <w:tcPr>
            <w:tcW w:w="390" w:type="pct"/>
            <w:shd w:val="clear" w:color="auto" w:fill="auto"/>
            <w:vAlign w:val="center"/>
          </w:tcPr>
          <w:p w14:paraId="4AECC40E" w14:textId="77777777" w:rsidR="00FB7156" w:rsidRPr="00DB610E" w:rsidRDefault="00FB7156" w:rsidP="00522A82">
            <w:pPr>
              <w:pStyle w:val="Tabletext"/>
              <w:keepNext/>
              <w:keepLines/>
              <w:jc w:val="center"/>
              <w:rPr>
                <w:szCs w:val="20"/>
                <w:lang w:val="en-US"/>
              </w:rPr>
            </w:pPr>
            <w:r w:rsidRPr="00DB610E">
              <w:rPr>
                <w:szCs w:val="20"/>
                <w:lang w:val="en-US"/>
              </w:rPr>
              <w:t>197</w:t>
            </w:r>
          </w:p>
        </w:tc>
        <w:tc>
          <w:tcPr>
            <w:tcW w:w="703" w:type="pct"/>
            <w:shd w:val="clear" w:color="auto" w:fill="auto"/>
            <w:vAlign w:val="center"/>
          </w:tcPr>
          <w:p w14:paraId="782A3C6D" w14:textId="77777777" w:rsidR="00FB7156" w:rsidRPr="00DB610E" w:rsidRDefault="00FB7156" w:rsidP="00522A82">
            <w:pPr>
              <w:pStyle w:val="Tabletext"/>
              <w:keepNext/>
              <w:keepLines/>
              <w:jc w:val="center"/>
              <w:rPr>
                <w:szCs w:val="20"/>
                <w:lang w:val="en-US"/>
              </w:rPr>
            </w:pPr>
            <w:r w:rsidRPr="00DB610E">
              <w:rPr>
                <w:szCs w:val="20"/>
                <w:lang w:val="en-US"/>
              </w:rPr>
              <w:t>R, DB</w:t>
            </w:r>
          </w:p>
          <w:p w14:paraId="075D1EA8" w14:textId="6373BA66" w:rsidR="00FB7156" w:rsidRPr="00DB610E" w:rsidRDefault="00FB7156" w:rsidP="00522A82">
            <w:pPr>
              <w:pStyle w:val="Tabletext"/>
              <w:keepNext/>
              <w:keepLines/>
              <w:jc w:val="center"/>
              <w:rPr>
                <w:szCs w:val="20"/>
                <w:lang w:val="en-US"/>
              </w:rPr>
            </w:pPr>
            <w:r w:rsidRPr="00DB610E">
              <w:rPr>
                <w:szCs w:val="20"/>
                <w:lang w:val="en-US"/>
              </w:rPr>
              <w:t xml:space="preserve">6 </w:t>
            </w:r>
            <w:r w:rsidR="00A730CA">
              <w:rPr>
                <w:szCs w:val="20"/>
                <w:lang w:val="en-US"/>
              </w:rPr>
              <w:t>months</w:t>
            </w:r>
          </w:p>
        </w:tc>
        <w:tc>
          <w:tcPr>
            <w:tcW w:w="547" w:type="pct"/>
            <w:shd w:val="clear" w:color="auto" w:fill="auto"/>
            <w:vAlign w:val="center"/>
          </w:tcPr>
          <w:p w14:paraId="1A6DCCA7" w14:textId="77777777" w:rsidR="00FB7156" w:rsidRPr="00DB610E" w:rsidRDefault="00FB7156" w:rsidP="00522A82">
            <w:pPr>
              <w:pStyle w:val="Tabletext"/>
              <w:keepNext/>
              <w:keepLines/>
              <w:jc w:val="center"/>
              <w:rPr>
                <w:szCs w:val="20"/>
                <w:lang w:val="en-US"/>
              </w:rPr>
            </w:pPr>
            <w:r w:rsidRPr="00DB610E">
              <w:rPr>
                <w:szCs w:val="20"/>
                <w:lang w:val="en-US"/>
              </w:rPr>
              <w:t>Low</w:t>
            </w:r>
          </w:p>
        </w:tc>
        <w:tc>
          <w:tcPr>
            <w:tcW w:w="1096" w:type="pct"/>
            <w:shd w:val="clear" w:color="auto" w:fill="auto"/>
            <w:vAlign w:val="center"/>
          </w:tcPr>
          <w:p w14:paraId="0150F04C" w14:textId="5090165D" w:rsidR="00FB7156" w:rsidRPr="00DB610E" w:rsidRDefault="00FB7156" w:rsidP="00522A82">
            <w:pPr>
              <w:pStyle w:val="Tabletext"/>
              <w:keepNext/>
              <w:keepLines/>
              <w:rPr>
                <w:szCs w:val="20"/>
                <w:lang w:val="en-US"/>
              </w:rPr>
            </w:pPr>
            <w:r w:rsidRPr="00DB610E">
              <w:rPr>
                <w:szCs w:val="20"/>
                <w:lang w:val="en-US"/>
              </w:rPr>
              <w:t xml:space="preserve">Adults with ITP </w:t>
            </w:r>
            <w:r w:rsidRPr="00DB610E">
              <w:rPr>
                <w:szCs w:val="20"/>
                <w:lang w:val="en-US"/>
              </w:rPr>
              <w:sym w:font="Symbol" w:char="F0B3"/>
            </w:r>
            <w:r w:rsidRPr="00DB610E">
              <w:rPr>
                <w:szCs w:val="20"/>
                <w:lang w:val="en-US"/>
              </w:rPr>
              <w:t>6 mo, baseline platelet count &lt; 30 x 10</w:t>
            </w:r>
            <w:r w:rsidRPr="00DB610E">
              <w:rPr>
                <w:szCs w:val="20"/>
                <w:vertAlign w:val="superscript"/>
                <w:lang w:val="en-US"/>
              </w:rPr>
              <w:t>9</w:t>
            </w:r>
            <w:r w:rsidRPr="00DB610E">
              <w:rPr>
                <w:szCs w:val="20"/>
                <w:lang w:val="en-US"/>
              </w:rPr>
              <w:t xml:space="preserve">/L, at least one successful previous treatment; exclusion for history of thrombo-embolism only if also two or more of </w:t>
            </w:r>
            <w:r w:rsidRPr="00DB610E">
              <w:rPr>
                <w:szCs w:val="20"/>
              </w:rPr>
              <w:t>smoking, diabetes, hypercholesterolaemia, or hereditary thrombophilic disorders</w:t>
            </w:r>
            <w:r w:rsidRPr="00DB610E">
              <w:rPr>
                <w:szCs w:val="20"/>
                <w:lang w:val="en-US"/>
              </w:rPr>
              <w:t xml:space="preserve"> </w:t>
            </w:r>
          </w:p>
        </w:tc>
        <w:tc>
          <w:tcPr>
            <w:tcW w:w="1329" w:type="pct"/>
            <w:shd w:val="clear" w:color="auto" w:fill="auto"/>
            <w:vAlign w:val="center"/>
          </w:tcPr>
          <w:p w14:paraId="191F4DFB" w14:textId="77777777" w:rsidR="00FB7156" w:rsidRPr="00DB610E" w:rsidRDefault="00FB7156" w:rsidP="00522A82">
            <w:pPr>
              <w:pStyle w:val="Tabletext"/>
              <w:keepNext/>
              <w:keepLines/>
              <w:rPr>
                <w:szCs w:val="20"/>
                <w:lang w:val="en-US"/>
              </w:rPr>
            </w:pPr>
            <w:r w:rsidRPr="00DB610E">
              <w:rPr>
                <w:szCs w:val="20"/>
                <w:lang w:val="en-US"/>
              </w:rPr>
              <w:t xml:space="preserve">Comparable, although designation as primary and secondary outcomes differed. </w:t>
            </w:r>
          </w:p>
        </w:tc>
        <w:tc>
          <w:tcPr>
            <w:tcW w:w="547" w:type="pct"/>
            <w:shd w:val="clear" w:color="auto" w:fill="auto"/>
            <w:vAlign w:val="center"/>
          </w:tcPr>
          <w:p w14:paraId="60FF5CC4" w14:textId="77777777" w:rsidR="00FB7156" w:rsidRPr="00DB610E" w:rsidRDefault="00FB7156" w:rsidP="00522A82">
            <w:pPr>
              <w:pStyle w:val="Tabletext"/>
              <w:keepNext/>
              <w:keepLines/>
              <w:jc w:val="center"/>
              <w:rPr>
                <w:szCs w:val="20"/>
                <w:lang w:val="en-US"/>
              </w:rPr>
            </w:pPr>
            <w:r w:rsidRPr="00DB610E">
              <w:rPr>
                <w:szCs w:val="20"/>
                <w:lang w:val="en-US"/>
              </w:rPr>
              <w:t>Used</w:t>
            </w:r>
          </w:p>
        </w:tc>
      </w:tr>
    </w:tbl>
    <w:p w14:paraId="139ADDE0" w14:textId="77777777" w:rsidR="00FB7156" w:rsidRDefault="00FB7156" w:rsidP="00522A82">
      <w:pPr>
        <w:pStyle w:val="TableFooter"/>
        <w:keepNext/>
        <w:keepLines/>
      </w:pPr>
      <w:r>
        <w:t xml:space="preserve">Source: Table 2-13, pp56-7 </w:t>
      </w:r>
      <w:r w:rsidRPr="00D13A3E">
        <w:t xml:space="preserve">of the </w:t>
      </w:r>
      <w:r>
        <w:t>submission.</w:t>
      </w:r>
    </w:p>
    <w:p w14:paraId="19C26FB1" w14:textId="59BDF3F3" w:rsidR="00FB7156" w:rsidRPr="006C67BA" w:rsidRDefault="00891C74" w:rsidP="00522A82">
      <w:pPr>
        <w:pStyle w:val="TableFooter"/>
        <w:keepNext/>
        <w:keepLines/>
      </w:pPr>
      <w:r>
        <w:t xml:space="preserve">APTT = activated </w:t>
      </w:r>
      <w:r w:rsidRPr="00891C74">
        <w:t>partial thromboplastin time</w:t>
      </w:r>
      <w:r>
        <w:t xml:space="preserve">; </w:t>
      </w:r>
      <w:r w:rsidR="00FB7156" w:rsidRPr="0072416F">
        <w:t>DB</w:t>
      </w:r>
      <w:r w:rsidR="00FB7156">
        <w:t xml:space="preserve"> </w:t>
      </w:r>
      <w:r w:rsidR="00FB7156" w:rsidRPr="0072416F">
        <w:t>=</w:t>
      </w:r>
      <w:r w:rsidR="00FB7156">
        <w:t xml:space="preserve"> </w:t>
      </w:r>
      <w:r w:rsidR="00FB7156" w:rsidRPr="0072416F">
        <w:t>double blind</w:t>
      </w:r>
      <w:r w:rsidR="00FB7156" w:rsidRPr="006C67BA">
        <w:t xml:space="preserve">; </w:t>
      </w:r>
      <w:r>
        <w:t xml:space="preserve">ITP = </w:t>
      </w:r>
      <w:r w:rsidRPr="00580D6B">
        <w:t>immune thrombocytopenia purpura</w:t>
      </w:r>
      <w:r>
        <w:t xml:space="preserve">; </w:t>
      </w:r>
      <w:r w:rsidR="00A730CA" w:rsidRPr="006C67BA">
        <w:t xml:space="preserve">mo = months; </w:t>
      </w:r>
      <w:r w:rsidR="00FB7156" w:rsidRPr="006C67BA">
        <w:t xml:space="preserve">R = randomised. </w:t>
      </w:r>
    </w:p>
    <w:p w14:paraId="66284A2A" w14:textId="77777777" w:rsidR="00FB7156" w:rsidRPr="006C67BA" w:rsidRDefault="00FB7156" w:rsidP="00FB7156"/>
    <w:p w14:paraId="5DDE209D" w14:textId="71708A6F" w:rsidR="00FB7156" w:rsidRPr="001D67AF" w:rsidRDefault="00FB7156" w:rsidP="00FB7156">
      <w:pPr>
        <w:pStyle w:val="3-BodyText"/>
      </w:pPr>
      <w:r w:rsidRPr="001D67AF">
        <w:t>Patients were eligible to enter the open-label phase</w:t>
      </w:r>
      <w:r w:rsidR="00760649" w:rsidRPr="001D67AF">
        <w:t xml:space="preserve"> of Study 302</w:t>
      </w:r>
      <w:r w:rsidRPr="001D67AF">
        <w:t xml:space="preserve"> if they had completed the double-blind phase, or had been withdrawn for inadequate </w:t>
      </w:r>
      <w:r w:rsidR="00DE0F81" w:rsidRPr="001D67AF">
        <w:t>therapeutic</w:t>
      </w:r>
      <w:r w:rsidRPr="001D67AF">
        <w:t xml:space="preserve"> effect; they were ineligible if there were safety or tolerability concerns, as judged by the investigator, or if they required rituximab, splenectomy or another TPO-RA. The submission d</w:t>
      </w:r>
      <w:r w:rsidR="00F41833" w:rsidRPr="001D67AF">
        <w:t>id</w:t>
      </w:r>
      <w:r w:rsidRPr="001D67AF">
        <w:t xml:space="preserve"> not make use of data from the open-label phase of Study 302 in the comparisons with eltrombopag </w:t>
      </w:r>
      <w:r w:rsidR="000B05E0">
        <w:t>[or</w:t>
      </w:r>
      <w:r w:rsidR="000B05E0" w:rsidRPr="001D67AF">
        <w:t xml:space="preserve"> </w:t>
      </w:r>
      <w:r w:rsidRPr="001D67AF">
        <w:t>romiplostim</w:t>
      </w:r>
      <w:r w:rsidR="000B05E0">
        <w:t>]</w:t>
      </w:r>
      <w:r w:rsidRPr="001D67AF">
        <w:t xml:space="preserve">. </w:t>
      </w:r>
    </w:p>
    <w:p w14:paraId="2A8A4C75" w14:textId="25146642" w:rsidR="00DE0F81" w:rsidRPr="001D67AF" w:rsidRDefault="00DE0F81" w:rsidP="00DE0F81">
      <w:pPr>
        <w:pStyle w:val="3-BodyText"/>
      </w:pPr>
      <w:r w:rsidRPr="001D67AF">
        <w:t xml:space="preserve">The risk of bias for Study 302 was assessed as </w:t>
      </w:r>
      <w:r w:rsidR="001A793C">
        <w:t>‘</w:t>
      </w:r>
      <w:r w:rsidRPr="001D67AF">
        <w:t>high</w:t>
      </w:r>
      <w:r w:rsidR="001A793C">
        <w:t>’</w:t>
      </w:r>
      <w:r w:rsidRPr="001D67AF">
        <w:t>, because of the very high rate of early withdrawal of placebo-treated patients (16/17), raising the possibility of effective unblinding of the investigators. Inadequate therapeutic effect was the reason for withdrawal in 15/16 patients; one subject withdrew consent. Subjects could be withdrawn at the discretion of investigators for inadequate therapeutic effect, defined as platelet count &lt;30 x 10</w:t>
      </w:r>
      <w:r w:rsidRPr="001D67AF">
        <w:rPr>
          <w:vertAlign w:val="superscript"/>
        </w:rPr>
        <w:t>9</w:t>
      </w:r>
      <w:r w:rsidRPr="001D67AF">
        <w:t xml:space="preserve">/L for three weeks or for one week if judged clinically hazardous. All 15 placebo-treated patients who withdrew for inadequate therapeutic effect proceeded immediately to the open-label phase. This suggests that withdrawal may have been an alternative to rescue therapy for placebo-treated patients, and this is supported by the high rate of discontinuation for lack of effect but </w:t>
      </w:r>
      <w:r w:rsidRPr="001D67AF">
        <w:lastRenderedPageBreak/>
        <w:t xml:space="preserve">the low rate of use of rescue therapy (15/17 and 2/17, respectively) in the placebo-treated group of Study 302 compared to placebo-treated patients in RAISE, of whom 55/62 completed 26 weeks treatment but 25/62 received rescue therapy. </w:t>
      </w:r>
    </w:p>
    <w:p w14:paraId="4C2CF719" w14:textId="02E7A672" w:rsidR="00990A46" w:rsidRPr="00733F8A" w:rsidRDefault="00794237" w:rsidP="00990A46">
      <w:pPr>
        <w:pStyle w:val="3-BodyText"/>
      </w:pPr>
      <w:r w:rsidRPr="001D67AF">
        <w:t>Clearly, n</w:t>
      </w:r>
      <w:r w:rsidR="00990A46" w:rsidRPr="001D67AF">
        <w:t>early all placebo-treated patients who could have been withdrawn for inadequate therapeutic effect were withdrawn. While 7/32 avatrombopag-treated patients were withdrawn for inadequate therapeutic effect, it was not possible to determine from the data provided how many avatrombopag-treated patients</w:t>
      </w:r>
      <w:r w:rsidR="00733F8A">
        <w:t xml:space="preserve"> </w:t>
      </w:r>
      <w:r w:rsidR="00733F8A" w:rsidRPr="00BE11F7">
        <w:t>actually</w:t>
      </w:r>
      <w:r w:rsidR="00990A46" w:rsidRPr="001D67AF">
        <w:t xml:space="preserve"> met the criteria for withdrawal for inadequate therapeutic effect. There was, however, at least one </w:t>
      </w:r>
      <w:r w:rsidR="00990A46" w:rsidRPr="00733F8A">
        <w:t>avatrombopag-treated patient who met the criteria for withdrawal for inadequate therapeutic effect but remained in the study. It is stated also that eight patients treated with avatrombopag in the double-blind</w:t>
      </w:r>
      <w:r w:rsidR="00990A46" w:rsidRPr="001D67AF">
        <w:t xml:space="preserve"> phase did not continue to the open-label phase, of whom three were the patients who discontinued study drug in the double-blind phase for adverse events and were, therefore, ineligible. It is not possible to determine from the data provided whether the five avatrombopag-treated patients who could have continued to the open-label phase, but did not, were among the seven withdrawn for inadequate therapeutic effect, but no alternative explanation is offered for their not continuing. The difference between withdrawal for inadequate therapeutic effect </w:t>
      </w:r>
      <w:r w:rsidR="00990A46" w:rsidRPr="00733F8A">
        <w:t>being followed by entry to the open-label phase in 15/15 placebo-treated patients but 2/7 avatrombopag-treated patients would support the hypothesis of effective unblinding, unless there is an alternative explanation.</w:t>
      </w:r>
    </w:p>
    <w:p w14:paraId="3B905A50" w14:textId="6FCDEF5B" w:rsidR="00045FF2" w:rsidRPr="001D67AF" w:rsidRDefault="00045FF2" w:rsidP="00045FF2">
      <w:pPr>
        <w:pStyle w:val="3-BodyText"/>
      </w:pPr>
      <w:r w:rsidRPr="00733F8A">
        <w:t xml:space="preserve">An important issue in the </w:t>
      </w:r>
      <w:r w:rsidR="00794237" w:rsidRPr="00733F8A">
        <w:t>reporting</w:t>
      </w:r>
      <w:r w:rsidRPr="00733F8A">
        <w:t xml:space="preserve"> of Study 302 is the grading of bleeding events. The WHO Grading Scale was used in both Study 302 and RAISE. The WHO Grading Scale, as set out in the WHO Handbook for Reporting Results of Cancer Treatment, is Grade 0 = no bleeding</w:t>
      </w:r>
      <w:r w:rsidRPr="001D67AF">
        <w:t>, Grade 1 = petechiae, Grade 2 = mild blood loss, Grade 3 = gross blood loss and Grade 4</w:t>
      </w:r>
      <w:r w:rsidR="00125E9E">
        <w:t xml:space="preserve"> </w:t>
      </w:r>
      <w:r w:rsidRPr="001D67AF">
        <w:t>= debilitating blood loss.</w:t>
      </w:r>
      <w:r w:rsidRPr="001D67AF">
        <w:rPr>
          <w:vertAlign w:val="superscript"/>
        </w:rPr>
        <w:footnoteReference w:id="6"/>
      </w:r>
      <w:r w:rsidRPr="001D67AF">
        <w:t xml:space="preserve"> The WHO Grading Scale explicitly discourages the use of supplementary descriptors such as </w:t>
      </w:r>
      <w:r w:rsidR="001A793C">
        <w:t>‘</w:t>
      </w:r>
      <w:r w:rsidRPr="001D67AF">
        <w:t>clinically significant</w:t>
      </w:r>
      <w:r w:rsidR="001A793C">
        <w:t>’</w:t>
      </w:r>
      <w:r w:rsidRPr="001D67AF">
        <w:t xml:space="preserve">. In the submission, for reporting efficacy, any bleeding </w:t>
      </w:r>
      <w:r w:rsidR="00733F8A">
        <w:t>(</w:t>
      </w:r>
      <w:r w:rsidRPr="001D67AF">
        <w:t>i</w:t>
      </w:r>
      <w:r w:rsidR="00125E9E">
        <w:t>.</w:t>
      </w:r>
      <w:r w:rsidRPr="001D67AF">
        <w:t>e</w:t>
      </w:r>
      <w:r w:rsidR="00125E9E">
        <w:t>.</w:t>
      </w:r>
      <w:r w:rsidRPr="001D67AF">
        <w:t>, Grades 1-4</w:t>
      </w:r>
      <w:r w:rsidR="00733F8A">
        <w:t>)</w:t>
      </w:r>
      <w:r w:rsidRPr="001D67AF">
        <w:t xml:space="preserve"> is distinguished from bleeding Grades 2-4. Grade 2-4 bleeding is referred to as </w:t>
      </w:r>
      <w:r w:rsidR="001A793C">
        <w:t>‘</w:t>
      </w:r>
      <w:r w:rsidRPr="001D67AF">
        <w:t>clinically significant</w:t>
      </w:r>
      <w:r w:rsidR="001A793C">
        <w:t>’</w:t>
      </w:r>
      <w:r w:rsidR="00DA3D1B">
        <w:t xml:space="preserve"> </w:t>
      </w:r>
      <w:r w:rsidRPr="001D67AF">
        <w:t xml:space="preserve">for which no criteria are given. For reporting bleeding as an adverse event, bleeding Grades 1-2 are distinguished from bleeding Grades 3-4, so that numbers for bleeding under efficacy and adverse events need not be the same. </w:t>
      </w:r>
    </w:p>
    <w:p w14:paraId="2AC6620A" w14:textId="064E4F75" w:rsidR="00E6002C" w:rsidRPr="007C2DC2" w:rsidRDefault="00E6002C" w:rsidP="00E6002C">
      <w:pPr>
        <w:pStyle w:val="3-BodyText"/>
        <w:rPr>
          <w:lang w:val="en-US"/>
        </w:rPr>
      </w:pPr>
      <w:r w:rsidRPr="007C2DC2">
        <w:t>The dosing procedures for avatrombopag during the study were unclear. Avatrombopag is produced as a 20</w:t>
      </w:r>
      <w:r>
        <w:t xml:space="preserve"> </w:t>
      </w:r>
      <w:r w:rsidRPr="007C2DC2">
        <w:t xml:space="preserve">mg film-coated tablet. To allow for titration of doses the draft PI provides a scale of dosing intervals, between </w:t>
      </w:r>
      <w:r w:rsidR="00E85EDD" w:rsidRPr="007C2DC2">
        <w:t>20</w:t>
      </w:r>
      <w:r w:rsidR="00E85EDD">
        <w:t> </w:t>
      </w:r>
      <w:r w:rsidRPr="007C2DC2">
        <w:t>mg weekly and 40</w:t>
      </w:r>
      <w:r w:rsidR="00F432B3">
        <w:t> </w:t>
      </w:r>
      <w:r w:rsidRPr="007C2DC2">
        <w:t xml:space="preserve">mg daily. However, in Study 302 there were </w:t>
      </w:r>
      <w:r w:rsidR="001A793C">
        <w:t>‘</w:t>
      </w:r>
      <w:r w:rsidRPr="007C2DC2">
        <w:rPr>
          <w:lang w:val="en-US"/>
        </w:rPr>
        <w:t>5, 10, 20, 30, or 40-mg doses</w:t>
      </w:r>
      <w:r w:rsidR="001A793C">
        <w:rPr>
          <w:lang w:val="en-US"/>
        </w:rPr>
        <w:t>’</w:t>
      </w:r>
      <w:r w:rsidRPr="007C2DC2">
        <w:rPr>
          <w:lang w:val="en-US"/>
        </w:rPr>
        <w:t xml:space="preserve">, and all patients took a dose of study drug every day. This suggests that several dosage forms may have been provided for the trial additional to the </w:t>
      </w:r>
      <w:r w:rsidR="00E85EDD" w:rsidRPr="007C2DC2">
        <w:rPr>
          <w:lang w:val="en-US"/>
        </w:rPr>
        <w:t>20</w:t>
      </w:r>
      <w:r w:rsidR="00E85EDD">
        <w:rPr>
          <w:lang w:val="en-US"/>
        </w:rPr>
        <w:t> </w:t>
      </w:r>
      <w:r w:rsidRPr="007C2DC2">
        <w:rPr>
          <w:lang w:val="en-US"/>
        </w:rPr>
        <w:t xml:space="preserve">mg form approved for marketing. </w:t>
      </w:r>
    </w:p>
    <w:p w14:paraId="7F853D4F" w14:textId="647C259A" w:rsidR="00E6002C" w:rsidRDefault="00E6002C" w:rsidP="00E6002C">
      <w:pPr>
        <w:pStyle w:val="3-BodyText"/>
      </w:pPr>
      <w:r>
        <w:lastRenderedPageBreak/>
        <w:t>The baseline characteristics of patients in the trials used for the indirect comparison were similar (</w:t>
      </w:r>
      <w:r>
        <w:fldChar w:fldCharType="begin" w:fldLock="1"/>
      </w:r>
      <w:r>
        <w:instrText xml:space="preserve"> REF _Ref111735031 \h </w:instrText>
      </w:r>
      <w:r>
        <w:fldChar w:fldCharType="separate"/>
      </w:r>
      <w:r w:rsidR="0080246B" w:rsidRPr="00DB610E">
        <w:rPr>
          <w:szCs w:val="20"/>
        </w:rPr>
        <w:t xml:space="preserve">Table </w:t>
      </w:r>
      <w:r w:rsidR="0080246B">
        <w:rPr>
          <w:noProof/>
          <w:szCs w:val="20"/>
        </w:rPr>
        <w:t>4</w:t>
      </w:r>
      <w:r>
        <w:fldChar w:fldCharType="end"/>
      </w:r>
      <w:r>
        <w:t xml:space="preserve">). </w:t>
      </w:r>
    </w:p>
    <w:p w14:paraId="46DD021C" w14:textId="054AEE99" w:rsidR="00E6002C" w:rsidRPr="00DB610E" w:rsidRDefault="00E6002C" w:rsidP="00FA6CED">
      <w:pPr>
        <w:pStyle w:val="TableFigureHeading"/>
        <w:keepLines/>
        <w:rPr>
          <w:szCs w:val="20"/>
        </w:rPr>
      </w:pPr>
      <w:bookmarkStart w:id="22" w:name="_Ref111735031"/>
      <w:r w:rsidRPr="00FA6CED">
        <w:rPr>
          <w:szCs w:val="20"/>
        </w:rPr>
        <w:t xml:space="preserve">Table </w:t>
      </w:r>
      <w:r w:rsidRPr="00FA6CED">
        <w:rPr>
          <w:szCs w:val="20"/>
        </w:rPr>
        <w:fldChar w:fldCharType="begin" w:fldLock="1"/>
      </w:r>
      <w:r w:rsidRPr="00FA6CED">
        <w:rPr>
          <w:szCs w:val="20"/>
        </w:rPr>
        <w:instrText xml:space="preserve"> SEQ Table \* ARABIC </w:instrText>
      </w:r>
      <w:r w:rsidRPr="00FA6CED">
        <w:rPr>
          <w:szCs w:val="20"/>
        </w:rPr>
        <w:fldChar w:fldCharType="separate"/>
      </w:r>
      <w:r w:rsidR="0080246B" w:rsidRPr="00FA6CED">
        <w:rPr>
          <w:szCs w:val="20"/>
        </w:rPr>
        <w:t>4</w:t>
      </w:r>
      <w:r w:rsidRPr="00FA6CED">
        <w:rPr>
          <w:szCs w:val="20"/>
        </w:rPr>
        <w:fldChar w:fldCharType="end"/>
      </w:r>
      <w:bookmarkEnd w:id="22"/>
      <w:r w:rsidRPr="00FA6CED">
        <w:rPr>
          <w:szCs w:val="20"/>
        </w:rPr>
        <w:t>:</w:t>
      </w:r>
      <w:r w:rsidRPr="00DB610E">
        <w:rPr>
          <w:szCs w:val="20"/>
        </w:rPr>
        <w:t xml:space="preserve"> Baseline characteristics of patients in the trials</w:t>
      </w:r>
    </w:p>
    <w:tbl>
      <w:tblPr>
        <w:tblStyle w:val="TableGrid"/>
        <w:tblW w:w="5000" w:type="pct"/>
        <w:tblLook w:val="04A0" w:firstRow="1" w:lastRow="0" w:firstColumn="1" w:lastColumn="0" w:noHBand="0" w:noVBand="1"/>
      </w:tblPr>
      <w:tblGrid>
        <w:gridCol w:w="2877"/>
        <w:gridCol w:w="1535"/>
        <w:gridCol w:w="1535"/>
        <w:gridCol w:w="1535"/>
        <w:gridCol w:w="1535"/>
      </w:tblGrid>
      <w:tr w:rsidR="00F913DB" w:rsidRPr="00DB610E" w14:paraId="2537F00A" w14:textId="77777777" w:rsidTr="00F913DB">
        <w:tc>
          <w:tcPr>
            <w:tcW w:w="1595" w:type="pct"/>
            <w:vMerge w:val="restart"/>
          </w:tcPr>
          <w:p w14:paraId="27A6C56A" w14:textId="77777777" w:rsidR="00F913DB" w:rsidRPr="00DB610E" w:rsidRDefault="00F913DB" w:rsidP="00E6002C">
            <w:pPr>
              <w:pStyle w:val="TableText0"/>
              <w:rPr>
                <w:szCs w:val="20"/>
              </w:rPr>
            </w:pPr>
          </w:p>
        </w:tc>
        <w:tc>
          <w:tcPr>
            <w:tcW w:w="1702" w:type="pct"/>
            <w:gridSpan w:val="2"/>
          </w:tcPr>
          <w:p w14:paraId="43F033CC" w14:textId="77777777" w:rsidR="00F913DB" w:rsidRPr="00DB610E" w:rsidRDefault="00F913DB" w:rsidP="00144CF0">
            <w:pPr>
              <w:pStyle w:val="TableText0"/>
              <w:jc w:val="center"/>
              <w:rPr>
                <w:b/>
                <w:szCs w:val="20"/>
              </w:rPr>
            </w:pPr>
            <w:r w:rsidRPr="00DB610E">
              <w:rPr>
                <w:b/>
                <w:szCs w:val="20"/>
              </w:rPr>
              <w:t>Study 302</w:t>
            </w:r>
          </w:p>
        </w:tc>
        <w:tc>
          <w:tcPr>
            <w:tcW w:w="1702" w:type="pct"/>
            <w:gridSpan w:val="2"/>
          </w:tcPr>
          <w:p w14:paraId="70FFED1A" w14:textId="77777777" w:rsidR="00F913DB" w:rsidRPr="00DB610E" w:rsidRDefault="00F913DB" w:rsidP="00144CF0">
            <w:pPr>
              <w:pStyle w:val="TableText0"/>
              <w:jc w:val="center"/>
              <w:rPr>
                <w:b/>
                <w:szCs w:val="20"/>
              </w:rPr>
            </w:pPr>
            <w:r w:rsidRPr="00DB610E">
              <w:rPr>
                <w:b/>
                <w:szCs w:val="20"/>
              </w:rPr>
              <w:t>RAISE</w:t>
            </w:r>
          </w:p>
        </w:tc>
      </w:tr>
      <w:tr w:rsidR="00F913DB" w:rsidRPr="00DB610E" w14:paraId="6EB16262" w14:textId="77777777" w:rsidTr="00F913DB">
        <w:tc>
          <w:tcPr>
            <w:tcW w:w="1595" w:type="pct"/>
            <w:vMerge/>
          </w:tcPr>
          <w:p w14:paraId="6E007131" w14:textId="77777777" w:rsidR="00F913DB" w:rsidRPr="00DB610E" w:rsidRDefault="00F913DB" w:rsidP="00E6002C">
            <w:pPr>
              <w:pStyle w:val="TableText0"/>
              <w:rPr>
                <w:szCs w:val="20"/>
              </w:rPr>
            </w:pPr>
          </w:p>
        </w:tc>
        <w:tc>
          <w:tcPr>
            <w:tcW w:w="851" w:type="pct"/>
          </w:tcPr>
          <w:p w14:paraId="22036288" w14:textId="77777777" w:rsidR="00F913DB" w:rsidRPr="00DB610E" w:rsidRDefault="00F913DB" w:rsidP="00144CF0">
            <w:pPr>
              <w:pStyle w:val="TableText0"/>
              <w:jc w:val="center"/>
              <w:rPr>
                <w:b/>
                <w:szCs w:val="20"/>
              </w:rPr>
            </w:pPr>
            <w:r w:rsidRPr="00DB610E">
              <w:rPr>
                <w:b/>
                <w:szCs w:val="20"/>
              </w:rPr>
              <w:t>Avatrombopag</w:t>
            </w:r>
          </w:p>
          <w:p w14:paraId="76E7CD73" w14:textId="77777777" w:rsidR="00F913DB" w:rsidRPr="00DB610E" w:rsidRDefault="00F913DB" w:rsidP="00144CF0">
            <w:pPr>
              <w:pStyle w:val="TableText0"/>
              <w:jc w:val="center"/>
              <w:rPr>
                <w:b/>
                <w:szCs w:val="20"/>
              </w:rPr>
            </w:pPr>
            <w:r w:rsidRPr="00DB610E">
              <w:rPr>
                <w:b/>
                <w:szCs w:val="20"/>
              </w:rPr>
              <w:t>N = 32</w:t>
            </w:r>
          </w:p>
        </w:tc>
        <w:tc>
          <w:tcPr>
            <w:tcW w:w="851" w:type="pct"/>
          </w:tcPr>
          <w:p w14:paraId="35C1B102" w14:textId="77777777" w:rsidR="00F913DB" w:rsidRPr="00DB610E" w:rsidRDefault="00F913DB" w:rsidP="00144CF0">
            <w:pPr>
              <w:pStyle w:val="TableText0"/>
              <w:jc w:val="center"/>
              <w:rPr>
                <w:b/>
                <w:szCs w:val="20"/>
              </w:rPr>
            </w:pPr>
            <w:r w:rsidRPr="00DB610E">
              <w:rPr>
                <w:b/>
                <w:szCs w:val="20"/>
              </w:rPr>
              <w:t>Placebo</w:t>
            </w:r>
          </w:p>
          <w:p w14:paraId="62B079DC" w14:textId="77777777" w:rsidR="00F913DB" w:rsidRPr="00DB610E" w:rsidRDefault="00F913DB" w:rsidP="00144CF0">
            <w:pPr>
              <w:pStyle w:val="TableText0"/>
              <w:jc w:val="center"/>
              <w:rPr>
                <w:b/>
                <w:szCs w:val="20"/>
              </w:rPr>
            </w:pPr>
            <w:r w:rsidRPr="00DB610E">
              <w:rPr>
                <w:b/>
                <w:szCs w:val="20"/>
              </w:rPr>
              <w:t>N = 17</w:t>
            </w:r>
          </w:p>
        </w:tc>
        <w:tc>
          <w:tcPr>
            <w:tcW w:w="851" w:type="pct"/>
          </w:tcPr>
          <w:p w14:paraId="273FC87C" w14:textId="77777777" w:rsidR="00F913DB" w:rsidRPr="00DB610E" w:rsidRDefault="00F913DB" w:rsidP="00144CF0">
            <w:pPr>
              <w:pStyle w:val="TableText0"/>
              <w:jc w:val="center"/>
              <w:rPr>
                <w:b/>
                <w:szCs w:val="20"/>
              </w:rPr>
            </w:pPr>
            <w:r w:rsidRPr="00DB610E">
              <w:rPr>
                <w:b/>
                <w:szCs w:val="20"/>
              </w:rPr>
              <w:t>Eltrombopag</w:t>
            </w:r>
          </w:p>
          <w:p w14:paraId="54FB1589" w14:textId="77777777" w:rsidR="00F913DB" w:rsidRPr="00DB610E" w:rsidRDefault="00F913DB" w:rsidP="00144CF0">
            <w:pPr>
              <w:pStyle w:val="TableText0"/>
              <w:jc w:val="center"/>
              <w:rPr>
                <w:b/>
                <w:szCs w:val="20"/>
              </w:rPr>
            </w:pPr>
            <w:r w:rsidRPr="00DB610E">
              <w:rPr>
                <w:b/>
                <w:szCs w:val="20"/>
              </w:rPr>
              <w:t>N = 135</w:t>
            </w:r>
          </w:p>
        </w:tc>
        <w:tc>
          <w:tcPr>
            <w:tcW w:w="851" w:type="pct"/>
          </w:tcPr>
          <w:p w14:paraId="3F761677" w14:textId="77777777" w:rsidR="00F913DB" w:rsidRPr="00DB610E" w:rsidRDefault="00F913DB" w:rsidP="00144CF0">
            <w:pPr>
              <w:pStyle w:val="TableText0"/>
              <w:jc w:val="center"/>
              <w:rPr>
                <w:b/>
                <w:szCs w:val="20"/>
              </w:rPr>
            </w:pPr>
            <w:r w:rsidRPr="00DB610E">
              <w:rPr>
                <w:b/>
                <w:szCs w:val="20"/>
              </w:rPr>
              <w:t>Placebo</w:t>
            </w:r>
          </w:p>
          <w:p w14:paraId="3048AA13" w14:textId="77777777" w:rsidR="00F913DB" w:rsidRPr="00DB610E" w:rsidRDefault="00F913DB" w:rsidP="00144CF0">
            <w:pPr>
              <w:pStyle w:val="TableText0"/>
              <w:jc w:val="center"/>
              <w:rPr>
                <w:b/>
                <w:szCs w:val="20"/>
              </w:rPr>
            </w:pPr>
            <w:r w:rsidRPr="00DB610E">
              <w:rPr>
                <w:b/>
                <w:szCs w:val="20"/>
              </w:rPr>
              <w:t>N = 62</w:t>
            </w:r>
          </w:p>
        </w:tc>
      </w:tr>
      <w:tr w:rsidR="00E6002C" w:rsidRPr="00DB610E" w14:paraId="7C5F7DA1" w14:textId="77777777" w:rsidTr="00F913DB">
        <w:tc>
          <w:tcPr>
            <w:tcW w:w="1595" w:type="pct"/>
          </w:tcPr>
          <w:p w14:paraId="26182E62" w14:textId="77777777" w:rsidR="00E6002C" w:rsidRPr="00144CF0" w:rsidRDefault="00E6002C" w:rsidP="00E6002C">
            <w:pPr>
              <w:pStyle w:val="TableText0"/>
              <w:rPr>
                <w:b/>
                <w:bCs w:val="0"/>
                <w:szCs w:val="20"/>
              </w:rPr>
            </w:pPr>
            <w:r w:rsidRPr="00144CF0">
              <w:rPr>
                <w:b/>
                <w:bCs w:val="0"/>
                <w:szCs w:val="20"/>
              </w:rPr>
              <w:t>Age, years</w:t>
            </w:r>
          </w:p>
          <w:p w14:paraId="08B824EB" w14:textId="77777777" w:rsidR="00E6002C" w:rsidRPr="00144CF0" w:rsidRDefault="00E6002C" w:rsidP="00E6002C">
            <w:pPr>
              <w:pStyle w:val="TableText0"/>
              <w:rPr>
                <w:b/>
                <w:bCs w:val="0"/>
                <w:szCs w:val="20"/>
              </w:rPr>
            </w:pPr>
            <w:r w:rsidRPr="00144CF0">
              <w:rPr>
                <w:b/>
                <w:bCs w:val="0"/>
                <w:szCs w:val="20"/>
              </w:rPr>
              <w:t>Mean (SD)</w:t>
            </w:r>
          </w:p>
          <w:p w14:paraId="1B6D1182" w14:textId="77777777" w:rsidR="00E6002C" w:rsidRPr="00144CF0" w:rsidRDefault="00E6002C" w:rsidP="00E6002C">
            <w:pPr>
              <w:pStyle w:val="TableText0"/>
              <w:rPr>
                <w:b/>
                <w:bCs w:val="0"/>
                <w:szCs w:val="20"/>
              </w:rPr>
            </w:pPr>
            <w:r w:rsidRPr="00144CF0">
              <w:rPr>
                <w:b/>
                <w:bCs w:val="0"/>
                <w:szCs w:val="20"/>
              </w:rPr>
              <w:t>Median (range)</w:t>
            </w:r>
          </w:p>
        </w:tc>
        <w:tc>
          <w:tcPr>
            <w:tcW w:w="851" w:type="pct"/>
          </w:tcPr>
          <w:p w14:paraId="42455C4D" w14:textId="77777777" w:rsidR="00E6002C" w:rsidRPr="00DB610E" w:rsidRDefault="00E6002C" w:rsidP="00F15E73">
            <w:pPr>
              <w:pStyle w:val="TableText0"/>
              <w:jc w:val="center"/>
              <w:rPr>
                <w:szCs w:val="20"/>
              </w:rPr>
            </w:pPr>
          </w:p>
          <w:p w14:paraId="79F2D906" w14:textId="77777777" w:rsidR="00E6002C" w:rsidRPr="00DB610E" w:rsidRDefault="00E6002C" w:rsidP="00F15E73">
            <w:pPr>
              <w:pStyle w:val="TableText0"/>
              <w:jc w:val="center"/>
              <w:rPr>
                <w:szCs w:val="20"/>
              </w:rPr>
            </w:pPr>
            <w:r w:rsidRPr="00DB610E">
              <w:rPr>
                <w:szCs w:val="20"/>
              </w:rPr>
              <w:t>46.6 (14.2)</w:t>
            </w:r>
          </w:p>
          <w:p w14:paraId="747CC053" w14:textId="77777777" w:rsidR="00E6002C" w:rsidRPr="00DB610E" w:rsidRDefault="00E6002C" w:rsidP="00F15E73">
            <w:pPr>
              <w:pStyle w:val="TableText0"/>
              <w:jc w:val="center"/>
              <w:rPr>
                <w:szCs w:val="20"/>
                <w:lang w:val="el-GR"/>
              </w:rPr>
            </w:pPr>
            <w:r w:rsidRPr="00DB610E">
              <w:rPr>
                <w:szCs w:val="20"/>
              </w:rPr>
              <w:t xml:space="preserve">45 </w:t>
            </w:r>
            <w:r w:rsidRPr="00DB610E">
              <w:rPr>
                <w:szCs w:val="20"/>
                <w:lang w:val="el-GR"/>
              </w:rPr>
              <w:t>(20</w:t>
            </w:r>
            <w:r w:rsidRPr="00DB610E">
              <w:rPr>
                <w:szCs w:val="20"/>
              </w:rPr>
              <w:t>-</w:t>
            </w:r>
            <w:r w:rsidRPr="00DB610E">
              <w:rPr>
                <w:szCs w:val="20"/>
                <w:lang w:val="el-GR"/>
              </w:rPr>
              <w:t>69)</w:t>
            </w:r>
          </w:p>
        </w:tc>
        <w:tc>
          <w:tcPr>
            <w:tcW w:w="851" w:type="pct"/>
          </w:tcPr>
          <w:p w14:paraId="70EB27CF" w14:textId="77777777" w:rsidR="00E6002C" w:rsidRPr="00DB610E" w:rsidRDefault="00E6002C" w:rsidP="00F15E73">
            <w:pPr>
              <w:pStyle w:val="TableText0"/>
              <w:jc w:val="center"/>
              <w:rPr>
                <w:szCs w:val="20"/>
              </w:rPr>
            </w:pPr>
          </w:p>
          <w:p w14:paraId="0863338D" w14:textId="77777777" w:rsidR="00E6002C" w:rsidRPr="00DB610E" w:rsidRDefault="00E6002C" w:rsidP="00F15E73">
            <w:pPr>
              <w:pStyle w:val="TableText0"/>
              <w:jc w:val="center"/>
              <w:rPr>
                <w:szCs w:val="20"/>
              </w:rPr>
            </w:pPr>
            <w:r w:rsidRPr="00DB610E">
              <w:rPr>
                <w:szCs w:val="20"/>
              </w:rPr>
              <w:t>41.2 (14.7)</w:t>
            </w:r>
          </w:p>
          <w:p w14:paraId="60BD6BBB" w14:textId="77777777" w:rsidR="00E6002C" w:rsidRPr="00DB610E" w:rsidRDefault="00E6002C" w:rsidP="00F15E73">
            <w:pPr>
              <w:pStyle w:val="TableText0"/>
              <w:jc w:val="center"/>
              <w:rPr>
                <w:szCs w:val="20"/>
              </w:rPr>
            </w:pPr>
            <w:r w:rsidRPr="00DB610E">
              <w:rPr>
                <w:szCs w:val="20"/>
              </w:rPr>
              <w:t>43.0 (18-65)</w:t>
            </w:r>
          </w:p>
        </w:tc>
        <w:tc>
          <w:tcPr>
            <w:tcW w:w="851" w:type="pct"/>
          </w:tcPr>
          <w:p w14:paraId="5DDAD806" w14:textId="77777777" w:rsidR="00E6002C" w:rsidRPr="00DB610E" w:rsidRDefault="00E6002C" w:rsidP="00F15E73">
            <w:pPr>
              <w:pStyle w:val="TableText0"/>
              <w:jc w:val="center"/>
              <w:rPr>
                <w:szCs w:val="20"/>
              </w:rPr>
            </w:pPr>
          </w:p>
          <w:p w14:paraId="2F9E3805" w14:textId="77777777" w:rsidR="00E6002C" w:rsidRPr="00DB610E" w:rsidRDefault="00E6002C" w:rsidP="00F15E73">
            <w:pPr>
              <w:pStyle w:val="TableText0"/>
              <w:jc w:val="center"/>
              <w:rPr>
                <w:szCs w:val="20"/>
              </w:rPr>
            </w:pPr>
            <w:r w:rsidRPr="00DB610E">
              <w:rPr>
                <w:szCs w:val="20"/>
              </w:rPr>
              <w:t>NR</w:t>
            </w:r>
          </w:p>
          <w:p w14:paraId="63D7E97D" w14:textId="77777777" w:rsidR="00E6002C" w:rsidRPr="00DB610E" w:rsidRDefault="00E6002C" w:rsidP="00F15E73">
            <w:pPr>
              <w:pStyle w:val="TableText0"/>
              <w:jc w:val="center"/>
              <w:rPr>
                <w:szCs w:val="20"/>
              </w:rPr>
            </w:pPr>
            <w:r w:rsidRPr="00DB610E">
              <w:rPr>
                <w:szCs w:val="20"/>
              </w:rPr>
              <w:t>47.0 (34-56)</w:t>
            </w:r>
          </w:p>
        </w:tc>
        <w:tc>
          <w:tcPr>
            <w:tcW w:w="851" w:type="pct"/>
          </w:tcPr>
          <w:p w14:paraId="6D2539CC" w14:textId="77777777" w:rsidR="00E6002C" w:rsidRPr="00DB610E" w:rsidRDefault="00E6002C" w:rsidP="00F15E73">
            <w:pPr>
              <w:pStyle w:val="TableText0"/>
              <w:jc w:val="center"/>
              <w:rPr>
                <w:szCs w:val="20"/>
              </w:rPr>
            </w:pPr>
          </w:p>
          <w:p w14:paraId="48273BB3" w14:textId="77777777" w:rsidR="00E6002C" w:rsidRPr="00DB610E" w:rsidRDefault="00E6002C" w:rsidP="00F15E73">
            <w:pPr>
              <w:pStyle w:val="TableText0"/>
              <w:jc w:val="center"/>
              <w:rPr>
                <w:szCs w:val="20"/>
              </w:rPr>
            </w:pPr>
            <w:r w:rsidRPr="00DB610E">
              <w:rPr>
                <w:szCs w:val="20"/>
              </w:rPr>
              <w:t>NR</w:t>
            </w:r>
          </w:p>
          <w:p w14:paraId="242A0DC8" w14:textId="77777777" w:rsidR="00E6002C" w:rsidRPr="00DB610E" w:rsidRDefault="00E6002C" w:rsidP="00F15E73">
            <w:pPr>
              <w:pStyle w:val="TableText0"/>
              <w:jc w:val="center"/>
              <w:rPr>
                <w:szCs w:val="20"/>
              </w:rPr>
            </w:pPr>
            <w:r w:rsidRPr="00DB610E">
              <w:rPr>
                <w:szCs w:val="20"/>
              </w:rPr>
              <w:t>52.2 (43-63)</w:t>
            </w:r>
          </w:p>
        </w:tc>
      </w:tr>
      <w:tr w:rsidR="00E6002C" w:rsidRPr="00DB610E" w14:paraId="376822A5" w14:textId="77777777" w:rsidTr="00F913DB">
        <w:tc>
          <w:tcPr>
            <w:tcW w:w="1595" w:type="pct"/>
          </w:tcPr>
          <w:p w14:paraId="766390BB" w14:textId="77777777" w:rsidR="00E6002C" w:rsidRPr="00144CF0" w:rsidRDefault="00E6002C" w:rsidP="00E6002C">
            <w:pPr>
              <w:pStyle w:val="TableText0"/>
              <w:rPr>
                <w:b/>
                <w:bCs w:val="0"/>
                <w:szCs w:val="20"/>
              </w:rPr>
            </w:pPr>
            <w:r w:rsidRPr="00144CF0">
              <w:rPr>
                <w:b/>
                <w:bCs w:val="0"/>
                <w:szCs w:val="20"/>
              </w:rPr>
              <w:t>Female, n (%)</w:t>
            </w:r>
          </w:p>
        </w:tc>
        <w:tc>
          <w:tcPr>
            <w:tcW w:w="851" w:type="pct"/>
          </w:tcPr>
          <w:p w14:paraId="64B450E4" w14:textId="77777777" w:rsidR="00E6002C" w:rsidRPr="00DB610E" w:rsidRDefault="00E6002C" w:rsidP="00F15E73">
            <w:pPr>
              <w:pStyle w:val="TableText0"/>
              <w:jc w:val="center"/>
              <w:rPr>
                <w:szCs w:val="20"/>
              </w:rPr>
            </w:pPr>
            <w:r w:rsidRPr="00DB610E">
              <w:rPr>
                <w:szCs w:val="20"/>
              </w:rPr>
              <w:t>23 (71.9%)</w:t>
            </w:r>
          </w:p>
        </w:tc>
        <w:tc>
          <w:tcPr>
            <w:tcW w:w="851" w:type="pct"/>
          </w:tcPr>
          <w:p w14:paraId="74901783" w14:textId="77777777" w:rsidR="00E6002C" w:rsidRPr="00DB610E" w:rsidRDefault="00E6002C" w:rsidP="00F15E73">
            <w:pPr>
              <w:pStyle w:val="TableText0"/>
              <w:jc w:val="center"/>
              <w:rPr>
                <w:szCs w:val="20"/>
              </w:rPr>
            </w:pPr>
            <w:r w:rsidRPr="00DB610E">
              <w:rPr>
                <w:szCs w:val="20"/>
              </w:rPr>
              <w:t>8 (47.1%)</w:t>
            </w:r>
          </w:p>
        </w:tc>
        <w:tc>
          <w:tcPr>
            <w:tcW w:w="851" w:type="pct"/>
          </w:tcPr>
          <w:p w14:paraId="56E2F0E1" w14:textId="77777777" w:rsidR="00E6002C" w:rsidRPr="00DB610E" w:rsidRDefault="00E6002C" w:rsidP="00F15E73">
            <w:pPr>
              <w:pStyle w:val="TableText0"/>
              <w:jc w:val="center"/>
              <w:rPr>
                <w:szCs w:val="20"/>
              </w:rPr>
            </w:pPr>
            <w:r w:rsidRPr="00DB610E">
              <w:rPr>
                <w:szCs w:val="20"/>
              </w:rPr>
              <w:t>93 (69%)</w:t>
            </w:r>
          </w:p>
        </w:tc>
        <w:tc>
          <w:tcPr>
            <w:tcW w:w="851" w:type="pct"/>
          </w:tcPr>
          <w:p w14:paraId="5B3FBDFB" w14:textId="77777777" w:rsidR="00E6002C" w:rsidRPr="00DB610E" w:rsidRDefault="00E6002C" w:rsidP="00F15E73">
            <w:pPr>
              <w:pStyle w:val="TableText0"/>
              <w:jc w:val="center"/>
              <w:rPr>
                <w:szCs w:val="20"/>
              </w:rPr>
            </w:pPr>
            <w:r w:rsidRPr="00DB610E">
              <w:rPr>
                <w:szCs w:val="20"/>
              </w:rPr>
              <w:t>43 (69%)</w:t>
            </w:r>
          </w:p>
        </w:tc>
      </w:tr>
      <w:tr w:rsidR="00E6002C" w:rsidRPr="00DB610E" w14:paraId="0ADC621B" w14:textId="77777777" w:rsidTr="00F913DB">
        <w:tc>
          <w:tcPr>
            <w:tcW w:w="1595" w:type="pct"/>
          </w:tcPr>
          <w:p w14:paraId="3105F354" w14:textId="77777777" w:rsidR="00E6002C" w:rsidRPr="00144CF0" w:rsidRDefault="00E6002C" w:rsidP="00E6002C">
            <w:pPr>
              <w:pStyle w:val="TableText0"/>
              <w:rPr>
                <w:b/>
                <w:bCs w:val="0"/>
                <w:szCs w:val="20"/>
              </w:rPr>
            </w:pPr>
            <w:r w:rsidRPr="00144CF0">
              <w:rPr>
                <w:b/>
                <w:bCs w:val="0"/>
                <w:szCs w:val="20"/>
              </w:rPr>
              <w:t>BMI, kg/m</w:t>
            </w:r>
            <w:r w:rsidRPr="00144CF0">
              <w:rPr>
                <w:b/>
                <w:bCs w:val="0"/>
                <w:szCs w:val="20"/>
                <w:vertAlign w:val="superscript"/>
              </w:rPr>
              <w:t>2</w:t>
            </w:r>
          </w:p>
          <w:p w14:paraId="4C5499C2" w14:textId="77777777" w:rsidR="00E6002C" w:rsidRPr="00144CF0" w:rsidRDefault="00E6002C" w:rsidP="00E6002C">
            <w:pPr>
              <w:pStyle w:val="TableText0"/>
              <w:rPr>
                <w:b/>
                <w:bCs w:val="0"/>
                <w:szCs w:val="20"/>
              </w:rPr>
            </w:pPr>
            <w:r w:rsidRPr="00144CF0">
              <w:rPr>
                <w:b/>
                <w:bCs w:val="0"/>
                <w:szCs w:val="20"/>
              </w:rPr>
              <w:t>Mean (SD)</w:t>
            </w:r>
          </w:p>
          <w:p w14:paraId="649B82D0" w14:textId="77777777" w:rsidR="00E6002C" w:rsidRPr="00144CF0" w:rsidRDefault="00E6002C" w:rsidP="00E6002C">
            <w:pPr>
              <w:pStyle w:val="TableText0"/>
              <w:rPr>
                <w:b/>
                <w:bCs w:val="0"/>
                <w:szCs w:val="20"/>
              </w:rPr>
            </w:pPr>
            <w:r w:rsidRPr="00144CF0">
              <w:rPr>
                <w:b/>
                <w:bCs w:val="0"/>
                <w:szCs w:val="20"/>
              </w:rPr>
              <w:t>Median (range)</w:t>
            </w:r>
          </w:p>
        </w:tc>
        <w:tc>
          <w:tcPr>
            <w:tcW w:w="851" w:type="pct"/>
          </w:tcPr>
          <w:p w14:paraId="3CF64F83" w14:textId="77777777" w:rsidR="00E6002C" w:rsidRPr="00DB610E" w:rsidRDefault="00E6002C" w:rsidP="00F15E73">
            <w:pPr>
              <w:pStyle w:val="TableText0"/>
              <w:jc w:val="center"/>
              <w:rPr>
                <w:szCs w:val="20"/>
              </w:rPr>
            </w:pPr>
          </w:p>
          <w:p w14:paraId="50552849" w14:textId="77777777" w:rsidR="00E6002C" w:rsidRPr="00DB610E" w:rsidRDefault="00E6002C" w:rsidP="00F15E73">
            <w:pPr>
              <w:pStyle w:val="TableText0"/>
              <w:jc w:val="center"/>
              <w:rPr>
                <w:szCs w:val="20"/>
              </w:rPr>
            </w:pPr>
            <w:r w:rsidRPr="00DB610E">
              <w:rPr>
                <w:szCs w:val="20"/>
              </w:rPr>
              <w:t>29 (7.32)</w:t>
            </w:r>
          </w:p>
          <w:p w14:paraId="6DF74E3C" w14:textId="77777777" w:rsidR="00E6002C" w:rsidRPr="00DB610E" w:rsidRDefault="00E6002C" w:rsidP="00F15E73">
            <w:pPr>
              <w:pStyle w:val="TableText0"/>
              <w:jc w:val="center"/>
              <w:rPr>
                <w:szCs w:val="20"/>
              </w:rPr>
            </w:pPr>
            <w:r w:rsidRPr="00DB610E">
              <w:rPr>
                <w:szCs w:val="20"/>
              </w:rPr>
              <w:t>28 (19-52)</w:t>
            </w:r>
          </w:p>
        </w:tc>
        <w:tc>
          <w:tcPr>
            <w:tcW w:w="851" w:type="pct"/>
          </w:tcPr>
          <w:p w14:paraId="43814C35" w14:textId="77777777" w:rsidR="00E6002C" w:rsidRPr="00DB610E" w:rsidRDefault="00E6002C" w:rsidP="00F15E73">
            <w:pPr>
              <w:pStyle w:val="TableText0"/>
              <w:jc w:val="center"/>
              <w:rPr>
                <w:szCs w:val="20"/>
              </w:rPr>
            </w:pPr>
          </w:p>
          <w:p w14:paraId="52556332" w14:textId="77777777" w:rsidR="00E6002C" w:rsidRPr="00DB610E" w:rsidRDefault="00E6002C" w:rsidP="00F15E73">
            <w:pPr>
              <w:pStyle w:val="TableText0"/>
              <w:jc w:val="center"/>
              <w:rPr>
                <w:szCs w:val="20"/>
              </w:rPr>
            </w:pPr>
            <w:r w:rsidRPr="00DB610E">
              <w:rPr>
                <w:szCs w:val="20"/>
              </w:rPr>
              <w:t>29 (6.44)</w:t>
            </w:r>
          </w:p>
          <w:p w14:paraId="30CB5C1E" w14:textId="77777777" w:rsidR="00E6002C" w:rsidRPr="00DB610E" w:rsidRDefault="00E6002C" w:rsidP="00F15E73">
            <w:pPr>
              <w:pStyle w:val="TableText0"/>
              <w:jc w:val="center"/>
              <w:rPr>
                <w:szCs w:val="20"/>
              </w:rPr>
            </w:pPr>
            <w:r w:rsidRPr="00DB610E">
              <w:rPr>
                <w:szCs w:val="20"/>
              </w:rPr>
              <w:t>27 (19-46)</w:t>
            </w:r>
          </w:p>
        </w:tc>
        <w:tc>
          <w:tcPr>
            <w:tcW w:w="851" w:type="pct"/>
          </w:tcPr>
          <w:p w14:paraId="0499B468" w14:textId="77777777" w:rsidR="00E6002C" w:rsidRPr="00DB610E" w:rsidRDefault="00E6002C" w:rsidP="00F15E73">
            <w:pPr>
              <w:pStyle w:val="TableText0"/>
              <w:jc w:val="center"/>
              <w:rPr>
                <w:szCs w:val="20"/>
              </w:rPr>
            </w:pPr>
            <w:r w:rsidRPr="00DB610E">
              <w:rPr>
                <w:szCs w:val="20"/>
              </w:rPr>
              <w:t>NR</w:t>
            </w:r>
          </w:p>
        </w:tc>
        <w:tc>
          <w:tcPr>
            <w:tcW w:w="851" w:type="pct"/>
          </w:tcPr>
          <w:p w14:paraId="17AAB487" w14:textId="77777777" w:rsidR="00E6002C" w:rsidRPr="00DB610E" w:rsidRDefault="00E6002C" w:rsidP="00F15E73">
            <w:pPr>
              <w:pStyle w:val="TableText0"/>
              <w:jc w:val="center"/>
              <w:rPr>
                <w:szCs w:val="20"/>
              </w:rPr>
            </w:pPr>
            <w:r w:rsidRPr="00DB610E">
              <w:rPr>
                <w:szCs w:val="20"/>
              </w:rPr>
              <w:t>NR</w:t>
            </w:r>
          </w:p>
        </w:tc>
      </w:tr>
      <w:tr w:rsidR="00E6002C" w:rsidRPr="00DB610E" w14:paraId="1A58475D" w14:textId="77777777" w:rsidTr="00F913DB">
        <w:tc>
          <w:tcPr>
            <w:tcW w:w="1595" w:type="pct"/>
          </w:tcPr>
          <w:p w14:paraId="43AC6F17" w14:textId="77777777" w:rsidR="00E6002C" w:rsidRPr="00144CF0" w:rsidRDefault="00E6002C" w:rsidP="00E6002C">
            <w:pPr>
              <w:pStyle w:val="TableText0"/>
              <w:rPr>
                <w:b/>
                <w:bCs w:val="0"/>
                <w:szCs w:val="20"/>
              </w:rPr>
            </w:pPr>
            <w:r w:rsidRPr="00144CF0">
              <w:rPr>
                <w:b/>
                <w:bCs w:val="0"/>
                <w:szCs w:val="20"/>
              </w:rPr>
              <w:t>Splenectomy, n (%)</w:t>
            </w:r>
          </w:p>
        </w:tc>
        <w:tc>
          <w:tcPr>
            <w:tcW w:w="851" w:type="pct"/>
          </w:tcPr>
          <w:p w14:paraId="492E918F" w14:textId="77777777" w:rsidR="00E6002C" w:rsidRPr="00DB610E" w:rsidRDefault="00E6002C" w:rsidP="00F15E73">
            <w:pPr>
              <w:pStyle w:val="TableText0"/>
              <w:jc w:val="center"/>
              <w:rPr>
                <w:szCs w:val="20"/>
              </w:rPr>
            </w:pPr>
            <w:r w:rsidRPr="00DB610E">
              <w:rPr>
                <w:szCs w:val="20"/>
              </w:rPr>
              <w:t>11 (34.4%)</w:t>
            </w:r>
          </w:p>
        </w:tc>
        <w:tc>
          <w:tcPr>
            <w:tcW w:w="851" w:type="pct"/>
          </w:tcPr>
          <w:p w14:paraId="1A92EA60" w14:textId="77777777" w:rsidR="00E6002C" w:rsidRPr="00DB610E" w:rsidRDefault="00E6002C" w:rsidP="00F15E73">
            <w:pPr>
              <w:pStyle w:val="TableText0"/>
              <w:jc w:val="center"/>
              <w:rPr>
                <w:szCs w:val="20"/>
              </w:rPr>
            </w:pPr>
            <w:r w:rsidRPr="00DB610E">
              <w:rPr>
                <w:szCs w:val="20"/>
              </w:rPr>
              <w:t>5 (29.4%)</w:t>
            </w:r>
          </w:p>
        </w:tc>
        <w:tc>
          <w:tcPr>
            <w:tcW w:w="851" w:type="pct"/>
          </w:tcPr>
          <w:p w14:paraId="11362D09" w14:textId="77777777" w:rsidR="00E6002C" w:rsidRPr="00DB610E" w:rsidRDefault="00E6002C" w:rsidP="00F15E73">
            <w:pPr>
              <w:pStyle w:val="TableText0"/>
              <w:jc w:val="center"/>
              <w:rPr>
                <w:szCs w:val="20"/>
              </w:rPr>
            </w:pPr>
            <w:r w:rsidRPr="00DB610E">
              <w:rPr>
                <w:szCs w:val="20"/>
              </w:rPr>
              <w:t>50 (37.0%)</w:t>
            </w:r>
          </w:p>
        </w:tc>
        <w:tc>
          <w:tcPr>
            <w:tcW w:w="851" w:type="pct"/>
          </w:tcPr>
          <w:p w14:paraId="666A62AC" w14:textId="77777777" w:rsidR="00E6002C" w:rsidRPr="00DB610E" w:rsidRDefault="00E6002C" w:rsidP="00F15E73">
            <w:pPr>
              <w:pStyle w:val="TableText0"/>
              <w:jc w:val="center"/>
              <w:rPr>
                <w:szCs w:val="20"/>
              </w:rPr>
            </w:pPr>
            <w:r w:rsidRPr="00DB610E">
              <w:rPr>
                <w:szCs w:val="20"/>
              </w:rPr>
              <w:t>21 (34%)</w:t>
            </w:r>
          </w:p>
        </w:tc>
      </w:tr>
      <w:tr w:rsidR="00E6002C" w:rsidRPr="00DB610E" w14:paraId="0710A51A" w14:textId="77777777" w:rsidTr="00F913DB">
        <w:tc>
          <w:tcPr>
            <w:tcW w:w="1595" w:type="pct"/>
          </w:tcPr>
          <w:p w14:paraId="47B67D52" w14:textId="51742AA5" w:rsidR="00E6002C" w:rsidRPr="00144CF0" w:rsidRDefault="00E6002C" w:rsidP="00E6002C">
            <w:pPr>
              <w:pStyle w:val="TableText0"/>
              <w:rPr>
                <w:b/>
                <w:bCs w:val="0"/>
                <w:szCs w:val="20"/>
              </w:rPr>
            </w:pPr>
            <w:r w:rsidRPr="00144CF0">
              <w:rPr>
                <w:b/>
                <w:bCs w:val="0"/>
                <w:szCs w:val="20"/>
              </w:rPr>
              <w:t xml:space="preserve">Use of </w:t>
            </w:r>
            <w:r w:rsidR="00144CF0" w:rsidRPr="00144CF0">
              <w:rPr>
                <w:b/>
                <w:bCs w:val="0"/>
                <w:szCs w:val="20"/>
              </w:rPr>
              <w:t>c</w:t>
            </w:r>
            <w:r w:rsidRPr="00144CF0">
              <w:rPr>
                <w:b/>
                <w:bCs w:val="0"/>
                <w:szCs w:val="20"/>
              </w:rPr>
              <w:t xml:space="preserve">oncomitant ITP </w:t>
            </w:r>
            <w:r w:rsidR="00144CF0" w:rsidRPr="00144CF0">
              <w:rPr>
                <w:b/>
                <w:bCs w:val="0"/>
                <w:szCs w:val="20"/>
              </w:rPr>
              <w:t>t</w:t>
            </w:r>
            <w:r w:rsidRPr="00144CF0">
              <w:rPr>
                <w:b/>
                <w:bCs w:val="0"/>
                <w:szCs w:val="20"/>
              </w:rPr>
              <w:t xml:space="preserve">reatment at </w:t>
            </w:r>
            <w:r w:rsidR="00144CF0" w:rsidRPr="00144CF0">
              <w:rPr>
                <w:b/>
                <w:bCs w:val="0"/>
                <w:szCs w:val="20"/>
              </w:rPr>
              <w:t>b</w:t>
            </w:r>
            <w:r w:rsidRPr="00144CF0">
              <w:rPr>
                <w:b/>
                <w:bCs w:val="0"/>
                <w:szCs w:val="20"/>
              </w:rPr>
              <w:t>aseline</w:t>
            </w:r>
          </w:p>
        </w:tc>
        <w:tc>
          <w:tcPr>
            <w:tcW w:w="851" w:type="pct"/>
          </w:tcPr>
          <w:p w14:paraId="3EF29804" w14:textId="77777777" w:rsidR="00E6002C" w:rsidRPr="00DB610E" w:rsidRDefault="00E6002C" w:rsidP="00F15E73">
            <w:pPr>
              <w:pStyle w:val="TableText0"/>
              <w:jc w:val="center"/>
              <w:rPr>
                <w:szCs w:val="20"/>
              </w:rPr>
            </w:pPr>
            <w:r w:rsidRPr="00DB610E">
              <w:rPr>
                <w:szCs w:val="20"/>
              </w:rPr>
              <w:t>15 (47%)</w:t>
            </w:r>
          </w:p>
        </w:tc>
        <w:tc>
          <w:tcPr>
            <w:tcW w:w="851" w:type="pct"/>
          </w:tcPr>
          <w:p w14:paraId="7BBEBA80" w14:textId="77777777" w:rsidR="00E6002C" w:rsidRPr="00DB610E" w:rsidRDefault="00E6002C" w:rsidP="00F15E73">
            <w:pPr>
              <w:pStyle w:val="TableText0"/>
              <w:jc w:val="center"/>
              <w:rPr>
                <w:szCs w:val="20"/>
              </w:rPr>
            </w:pPr>
            <w:r w:rsidRPr="00DB610E">
              <w:rPr>
                <w:szCs w:val="20"/>
              </w:rPr>
              <w:t>7 (41%)</w:t>
            </w:r>
          </w:p>
        </w:tc>
        <w:tc>
          <w:tcPr>
            <w:tcW w:w="851" w:type="pct"/>
          </w:tcPr>
          <w:p w14:paraId="5F05B3AA" w14:textId="77777777" w:rsidR="00E6002C" w:rsidRPr="00DB610E" w:rsidRDefault="00E6002C" w:rsidP="00F15E73">
            <w:pPr>
              <w:pStyle w:val="TableText0"/>
              <w:jc w:val="center"/>
              <w:rPr>
                <w:szCs w:val="20"/>
              </w:rPr>
            </w:pPr>
            <w:r w:rsidRPr="00DB610E">
              <w:rPr>
                <w:szCs w:val="20"/>
              </w:rPr>
              <w:t>63 (47%)</w:t>
            </w:r>
          </w:p>
        </w:tc>
        <w:tc>
          <w:tcPr>
            <w:tcW w:w="851" w:type="pct"/>
          </w:tcPr>
          <w:p w14:paraId="78CA61A3" w14:textId="77777777" w:rsidR="00E6002C" w:rsidRPr="00DB610E" w:rsidRDefault="00E6002C" w:rsidP="00F15E73">
            <w:pPr>
              <w:pStyle w:val="TableText0"/>
              <w:jc w:val="center"/>
              <w:rPr>
                <w:szCs w:val="20"/>
              </w:rPr>
            </w:pPr>
            <w:r w:rsidRPr="00DB610E">
              <w:rPr>
                <w:szCs w:val="20"/>
              </w:rPr>
              <w:t>31 (50%)</w:t>
            </w:r>
          </w:p>
        </w:tc>
      </w:tr>
      <w:tr w:rsidR="00E6002C" w:rsidRPr="00DB610E" w14:paraId="2A98234B" w14:textId="77777777" w:rsidTr="00F913DB">
        <w:tc>
          <w:tcPr>
            <w:tcW w:w="1595" w:type="pct"/>
          </w:tcPr>
          <w:p w14:paraId="249A85BA" w14:textId="2132D3C1" w:rsidR="00E6002C" w:rsidRPr="00144CF0" w:rsidRDefault="00E6002C" w:rsidP="00E6002C">
            <w:pPr>
              <w:pStyle w:val="TableText0"/>
              <w:rPr>
                <w:b/>
                <w:bCs w:val="0"/>
                <w:szCs w:val="20"/>
              </w:rPr>
            </w:pPr>
            <w:r w:rsidRPr="00144CF0">
              <w:rPr>
                <w:b/>
                <w:bCs w:val="0"/>
                <w:szCs w:val="20"/>
              </w:rPr>
              <w:t xml:space="preserve">Baseline </w:t>
            </w:r>
            <w:r w:rsidR="00144CF0" w:rsidRPr="00144CF0">
              <w:rPr>
                <w:b/>
                <w:bCs w:val="0"/>
                <w:szCs w:val="20"/>
              </w:rPr>
              <w:t>p</w:t>
            </w:r>
            <w:r w:rsidRPr="00144CF0">
              <w:rPr>
                <w:b/>
                <w:bCs w:val="0"/>
                <w:szCs w:val="20"/>
              </w:rPr>
              <w:t xml:space="preserve">latelet </w:t>
            </w:r>
            <w:r w:rsidR="00144CF0" w:rsidRPr="00144CF0">
              <w:rPr>
                <w:b/>
                <w:bCs w:val="0"/>
                <w:szCs w:val="20"/>
              </w:rPr>
              <w:t>c</w:t>
            </w:r>
            <w:r w:rsidRPr="00144CF0">
              <w:rPr>
                <w:b/>
                <w:bCs w:val="0"/>
                <w:szCs w:val="20"/>
              </w:rPr>
              <w:t>ount (x 10</w:t>
            </w:r>
            <w:r w:rsidRPr="00144CF0">
              <w:rPr>
                <w:b/>
                <w:bCs w:val="0"/>
                <w:szCs w:val="20"/>
                <w:vertAlign w:val="superscript"/>
              </w:rPr>
              <w:t>9</w:t>
            </w:r>
            <w:r w:rsidRPr="00144CF0">
              <w:rPr>
                <w:b/>
                <w:bCs w:val="0"/>
                <w:szCs w:val="20"/>
              </w:rPr>
              <w:t>/L)</w:t>
            </w:r>
          </w:p>
          <w:p w14:paraId="5708FBA6" w14:textId="77777777" w:rsidR="00E6002C" w:rsidRPr="00144CF0" w:rsidRDefault="00E6002C" w:rsidP="00E6002C">
            <w:pPr>
              <w:pStyle w:val="TableText0"/>
              <w:rPr>
                <w:b/>
                <w:bCs w:val="0"/>
                <w:szCs w:val="20"/>
              </w:rPr>
            </w:pPr>
            <w:r w:rsidRPr="00144CF0">
              <w:rPr>
                <w:b/>
                <w:bCs w:val="0"/>
                <w:szCs w:val="20"/>
              </w:rPr>
              <w:t>Mean (SD)</w:t>
            </w:r>
          </w:p>
          <w:p w14:paraId="0EAAE94C" w14:textId="26B02985" w:rsidR="00E6002C" w:rsidRPr="00144CF0" w:rsidRDefault="00E6002C" w:rsidP="00E6002C">
            <w:pPr>
              <w:pStyle w:val="TableText0"/>
              <w:rPr>
                <w:b/>
                <w:bCs w:val="0"/>
                <w:szCs w:val="20"/>
              </w:rPr>
            </w:pPr>
            <w:r w:rsidRPr="00144CF0">
              <w:rPr>
                <w:b/>
                <w:bCs w:val="0"/>
                <w:szCs w:val="20"/>
              </w:rPr>
              <w:t>Median, Range (302) or IQR (RAISE)</w:t>
            </w:r>
          </w:p>
        </w:tc>
        <w:tc>
          <w:tcPr>
            <w:tcW w:w="851" w:type="pct"/>
          </w:tcPr>
          <w:p w14:paraId="4DC4C1DB" w14:textId="77777777" w:rsidR="00E6002C" w:rsidRPr="00DB610E" w:rsidRDefault="00E6002C" w:rsidP="00F15E73">
            <w:pPr>
              <w:pStyle w:val="TableText0"/>
              <w:jc w:val="center"/>
              <w:rPr>
                <w:szCs w:val="20"/>
              </w:rPr>
            </w:pPr>
          </w:p>
          <w:p w14:paraId="104DBFB6" w14:textId="77777777" w:rsidR="00E6002C" w:rsidRPr="00DB610E" w:rsidRDefault="00E6002C" w:rsidP="00F15E73">
            <w:pPr>
              <w:pStyle w:val="TableText0"/>
              <w:jc w:val="center"/>
              <w:rPr>
                <w:szCs w:val="20"/>
              </w:rPr>
            </w:pPr>
            <w:r w:rsidRPr="00DB610E">
              <w:rPr>
                <w:szCs w:val="20"/>
              </w:rPr>
              <w:t>14.06 (8.64)</w:t>
            </w:r>
          </w:p>
          <w:p w14:paraId="11C051BB" w14:textId="77777777" w:rsidR="00E6002C" w:rsidRPr="00DB610E" w:rsidRDefault="00E6002C" w:rsidP="00F15E73">
            <w:pPr>
              <w:pStyle w:val="TableText0"/>
              <w:jc w:val="center"/>
              <w:rPr>
                <w:szCs w:val="20"/>
              </w:rPr>
            </w:pPr>
            <w:r w:rsidRPr="00DB610E">
              <w:rPr>
                <w:szCs w:val="20"/>
              </w:rPr>
              <w:t>12.5 (1.0-31.5)</w:t>
            </w:r>
          </w:p>
        </w:tc>
        <w:tc>
          <w:tcPr>
            <w:tcW w:w="851" w:type="pct"/>
          </w:tcPr>
          <w:p w14:paraId="1A0C37A5" w14:textId="77777777" w:rsidR="00E6002C" w:rsidRPr="00DB610E" w:rsidRDefault="00E6002C" w:rsidP="00F15E73">
            <w:pPr>
              <w:pStyle w:val="TableText0"/>
              <w:jc w:val="center"/>
              <w:rPr>
                <w:szCs w:val="20"/>
              </w:rPr>
            </w:pPr>
          </w:p>
          <w:p w14:paraId="61BF7E12" w14:textId="77777777" w:rsidR="00E6002C" w:rsidRPr="00DB610E" w:rsidRDefault="00E6002C" w:rsidP="00F15E73">
            <w:pPr>
              <w:pStyle w:val="TableText0"/>
              <w:jc w:val="center"/>
              <w:rPr>
                <w:szCs w:val="20"/>
              </w:rPr>
            </w:pPr>
            <w:r w:rsidRPr="00DB610E">
              <w:rPr>
                <w:szCs w:val="20"/>
              </w:rPr>
              <w:t>12.71 (7.84)</w:t>
            </w:r>
          </w:p>
          <w:p w14:paraId="0A545D2C" w14:textId="77777777" w:rsidR="00E6002C" w:rsidRPr="00DB610E" w:rsidRDefault="00E6002C" w:rsidP="00F15E73">
            <w:pPr>
              <w:pStyle w:val="TableText0"/>
              <w:jc w:val="center"/>
              <w:rPr>
                <w:szCs w:val="20"/>
              </w:rPr>
            </w:pPr>
            <w:r w:rsidRPr="00DB610E">
              <w:rPr>
                <w:szCs w:val="20"/>
              </w:rPr>
              <w:t>9.5 (4.0-27.0)</w:t>
            </w:r>
          </w:p>
        </w:tc>
        <w:tc>
          <w:tcPr>
            <w:tcW w:w="851" w:type="pct"/>
          </w:tcPr>
          <w:p w14:paraId="61871249" w14:textId="77777777" w:rsidR="00E6002C" w:rsidRPr="00DB610E" w:rsidRDefault="00E6002C" w:rsidP="00F15E73">
            <w:pPr>
              <w:pStyle w:val="TableText0"/>
              <w:jc w:val="center"/>
              <w:rPr>
                <w:szCs w:val="20"/>
              </w:rPr>
            </w:pPr>
          </w:p>
          <w:p w14:paraId="15D5684B" w14:textId="77777777" w:rsidR="00E6002C" w:rsidRPr="00DB610E" w:rsidRDefault="00E6002C" w:rsidP="00F15E73">
            <w:pPr>
              <w:pStyle w:val="TableText0"/>
              <w:jc w:val="center"/>
              <w:rPr>
                <w:szCs w:val="20"/>
              </w:rPr>
            </w:pPr>
            <w:r w:rsidRPr="00DB610E">
              <w:rPr>
                <w:szCs w:val="20"/>
              </w:rPr>
              <w:t>NR</w:t>
            </w:r>
          </w:p>
          <w:p w14:paraId="370EBCB2" w14:textId="77777777" w:rsidR="00E6002C" w:rsidRPr="00DB610E" w:rsidRDefault="00E6002C" w:rsidP="00F15E73">
            <w:pPr>
              <w:pStyle w:val="TableText0"/>
              <w:jc w:val="center"/>
              <w:rPr>
                <w:szCs w:val="20"/>
              </w:rPr>
            </w:pPr>
            <w:r w:rsidRPr="00DB610E">
              <w:rPr>
                <w:szCs w:val="20"/>
              </w:rPr>
              <w:t>16.0 (9.0-24.0)</w:t>
            </w:r>
          </w:p>
        </w:tc>
        <w:tc>
          <w:tcPr>
            <w:tcW w:w="851" w:type="pct"/>
          </w:tcPr>
          <w:p w14:paraId="4B69BC06" w14:textId="77777777" w:rsidR="00E6002C" w:rsidRPr="00DB610E" w:rsidRDefault="00E6002C" w:rsidP="00F15E73">
            <w:pPr>
              <w:pStyle w:val="TableText0"/>
              <w:jc w:val="center"/>
              <w:rPr>
                <w:szCs w:val="20"/>
              </w:rPr>
            </w:pPr>
          </w:p>
          <w:p w14:paraId="325F1756" w14:textId="77777777" w:rsidR="00E6002C" w:rsidRPr="00DB610E" w:rsidRDefault="00E6002C" w:rsidP="00F15E73">
            <w:pPr>
              <w:pStyle w:val="TableText0"/>
              <w:jc w:val="center"/>
              <w:rPr>
                <w:szCs w:val="20"/>
              </w:rPr>
            </w:pPr>
            <w:r w:rsidRPr="00DB610E">
              <w:rPr>
                <w:szCs w:val="20"/>
              </w:rPr>
              <w:t>NR</w:t>
            </w:r>
          </w:p>
          <w:p w14:paraId="050EF9F7" w14:textId="77777777" w:rsidR="00E6002C" w:rsidRPr="00DB610E" w:rsidRDefault="00E6002C" w:rsidP="00F15E73">
            <w:pPr>
              <w:pStyle w:val="TableText0"/>
              <w:jc w:val="center"/>
              <w:rPr>
                <w:szCs w:val="20"/>
              </w:rPr>
            </w:pPr>
            <w:r w:rsidRPr="00DB610E">
              <w:rPr>
                <w:szCs w:val="20"/>
              </w:rPr>
              <w:t>16.0 (8.0-22.0)</w:t>
            </w:r>
          </w:p>
        </w:tc>
      </w:tr>
      <w:tr w:rsidR="00E6002C" w:rsidRPr="00DB610E" w14:paraId="0146C6E9" w14:textId="77777777" w:rsidTr="00F913DB">
        <w:tc>
          <w:tcPr>
            <w:tcW w:w="1595" w:type="pct"/>
          </w:tcPr>
          <w:p w14:paraId="298EAE51" w14:textId="77777777" w:rsidR="00E6002C" w:rsidRPr="00144CF0" w:rsidRDefault="00E6002C" w:rsidP="00E6002C">
            <w:pPr>
              <w:pStyle w:val="TableText0"/>
              <w:rPr>
                <w:b/>
                <w:bCs w:val="0"/>
                <w:szCs w:val="20"/>
              </w:rPr>
            </w:pPr>
            <w:r w:rsidRPr="00144CF0">
              <w:rPr>
                <w:b/>
                <w:bCs w:val="0"/>
                <w:szCs w:val="20"/>
              </w:rPr>
              <w:t>Baseline Platelet Count</w:t>
            </w:r>
          </w:p>
          <w:p w14:paraId="61C22A7F" w14:textId="77777777" w:rsidR="00E6002C" w:rsidRPr="00144CF0" w:rsidRDefault="00E6002C" w:rsidP="00E6002C">
            <w:pPr>
              <w:pStyle w:val="TableText0"/>
              <w:rPr>
                <w:b/>
                <w:bCs w:val="0"/>
                <w:szCs w:val="20"/>
              </w:rPr>
            </w:pPr>
            <w:r w:rsidRPr="00144CF0">
              <w:rPr>
                <w:b/>
                <w:bCs w:val="0"/>
                <w:szCs w:val="20"/>
              </w:rPr>
              <w:sym w:font="Symbol" w:char="F0A3"/>
            </w:r>
            <w:r w:rsidRPr="00144CF0">
              <w:rPr>
                <w:b/>
                <w:bCs w:val="0"/>
                <w:szCs w:val="20"/>
              </w:rPr>
              <w:t xml:space="preserve"> 15 x 10</w:t>
            </w:r>
            <w:r w:rsidRPr="00144CF0">
              <w:rPr>
                <w:b/>
                <w:bCs w:val="0"/>
                <w:szCs w:val="20"/>
                <w:vertAlign w:val="superscript"/>
              </w:rPr>
              <w:t>9</w:t>
            </w:r>
            <w:r w:rsidRPr="00144CF0">
              <w:rPr>
                <w:b/>
                <w:bCs w:val="0"/>
                <w:szCs w:val="20"/>
              </w:rPr>
              <w:t>/L</w:t>
            </w:r>
          </w:p>
        </w:tc>
        <w:tc>
          <w:tcPr>
            <w:tcW w:w="851" w:type="pct"/>
          </w:tcPr>
          <w:p w14:paraId="70E53881" w14:textId="77777777" w:rsidR="00E6002C" w:rsidRPr="00DB610E" w:rsidRDefault="00E6002C" w:rsidP="00F15E73">
            <w:pPr>
              <w:pStyle w:val="TableText0"/>
              <w:jc w:val="center"/>
              <w:rPr>
                <w:szCs w:val="20"/>
              </w:rPr>
            </w:pPr>
            <w:r w:rsidRPr="00DB610E">
              <w:rPr>
                <w:szCs w:val="20"/>
              </w:rPr>
              <w:t>18 (56%)</w:t>
            </w:r>
          </w:p>
        </w:tc>
        <w:tc>
          <w:tcPr>
            <w:tcW w:w="851" w:type="pct"/>
          </w:tcPr>
          <w:p w14:paraId="24B59C0F" w14:textId="77777777" w:rsidR="00E6002C" w:rsidRPr="00DB610E" w:rsidRDefault="00E6002C" w:rsidP="00F15E73">
            <w:pPr>
              <w:pStyle w:val="TableText0"/>
              <w:jc w:val="center"/>
              <w:rPr>
                <w:szCs w:val="20"/>
              </w:rPr>
            </w:pPr>
            <w:r w:rsidRPr="00DB610E">
              <w:rPr>
                <w:szCs w:val="20"/>
              </w:rPr>
              <w:t>10 (59%)</w:t>
            </w:r>
          </w:p>
        </w:tc>
        <w:tc>
          <w:tcPr>
            <w:tcW w:w="851" w:type="pct"/>
          </w:tcPr>
          <w:p w14:paraId="6630B434" w14:textId="77777777" w:rsidR="00E6002C" w:rsidRPr="00DB610E" w:rsidRDefault="00E6002C" w:rsidP="00F15E73">
            <w:pPr>
              <w:pStyle w:val="TableText0"/>
              <w:jc w:val="center"/>
              <w:rPr>
                <w:szCs w:val="20"/>
              </w:rPr>
            </w:pPr>
            <w:r w:rsidRPr="00DB610E">
              <w:rPr>
                <w:szCs w:val="20"/>
              </w:rPr>
              <w:t>67 (50%)</w:t>
            </w:r>
          </w:p>
        </w:tc>
        <w:tc>
          <w:tcPr>
            <w:tcW w:w="851" w:type="pct"/>
          </w:tcPr>
          <w:p w14:paraId="757E170A" w14:textId="77777777" w:rsidR="00E6002C" w:rsidRPr="00DB610E" w:rsidRDefault="00E6002C" w:rsidP="00F15E73">
            <w:pPr>
              <w:pStyle w:val="TableText0"/>
              <w:jc w:val="center"/>
              <w:rPr>
                <w:szCs w:val="20"/>
              </w:rPr>
            </w:pPr>
            <w:r w:rsidRPr="00DB610E">
              <w:rPr>
                <w:szCs w:val="20"/>
              </w:rPr>
              <w:t>30 (49%)</w:t>
            </w:r>
          </w:p>
        </w:tc>
      </w:tr>
      <w:tr w:rsidR="00E6002C" w:rsidRPr="00DB610E" w14:paraId="798460B5" w14:textId="77777777" w:rsidTr="00F913DB">
        <w:tc>
          <w:tcPr>
            <w:tcW w:w="1595" w:type="pct"/>
          </w:tcPr>
          <w:p w14:paraId="134977E5" w14:textId="77777777" w:rsidR="00E6002C" w:rsidRPr="00144CF0" w:rsidRDefault="00E6002C" w:rsidP="00E6002C">
            <w:pPr>
              <w:pStyle w:val="TableText0"/>
              <w:rPr>
                <w:b/>
                <w:bCs w:val="0"/>
                <w:szCs w:val="20"/>
              </w:rPr>
            </w:pPr>
            <w:r w:rsidRPr="00144CF0">
              <w:rPr>
                <w:b/>
                <w:bCs w:val="0"/>
                <w:szCs w:val="20"/>
              </w:rPr>
              <w:t xml:space="preserve">Baseline Platelet Count </w:t>
            </w:r>
          </w:p>
          <w:p w14:paraId="048935DB" w14:textId="5F27B08B" w:rsidR="00E6002C" w:rsidRPr="00144CF0" w:rsidRDefault="00E6002C" w:rsidP="00E6002C">
            <w:pPr>
              <w:pStyle w:val="TableText0"/>
              <w:rPr>
                <w:b/>
                <w:bCs w:val="0"/>
                <w:szCs w:val="20"/>
              </w:rPr>
            </w:pPr>
            <w:r w:rsidRPr="00144CF0">
              <w:rPr>
                <w:b/>
                <w:bCs w:val="0"/>
                <w:szCs w:val="20"/>
              </w:rPr>
              <w:t>15-30 x 10</w:t>
            </w:r>
            <w:r w:rsidRPr="00144CF0">
              <w:rPr>
                <w:b/>
                <w:bCs w:val="0"/>
                <w:szCs w:val="20"/>
                <w:vertAlign w:val="superscript"/>
              </w:rPr>
              <w:t>9</w:t>
            </w:r>
            <w:r w:rsidRPr="00144CF0">
              <w:rPr>
                <w:b/>
                <w:bCs w:val="0"/>
                <w:szCs w:val="20"/>
              </w:rPr>
              <w:t>/L</w:t>
            </w:r>
            <w:r w:rsidR="00144CF0" w:rsidRPr="00144CF0">
              <w:rPr>
                <w:b/>
                <w:bCs w:val="0"/>
                <w:szCs w:val="20"/>
                <w:vertAlign w:val="superscript"/>
              </w:rPr>
              <w:t>a</w:t>
            </w:r>
          </w:p>
        </w:tc>
        <w:tc>
          <w:tcPr>
            <w:tcW w:w="851" w:type="pct"/>
          </w:tcPr>
          <w:p w14:paraId="1EE3D13D" w14:textId="77777777" w:rsidR="00E6002C" w:rsidRPr="00DB610E" w:rsidRDefault="00E6002C" w:rsidP="00F15E73">
            <w:pPr>
              <w:pStyle w:val="TableText0"/>
              <w:jc w:val="center"/>
              <w:rPr>
                <w:szCs w:val="20"/>
              </w:rPr>
            </w:pPr>
            <w:r w:rsidRPr="00DB610E">
              <w:rPr>
                <w:szCs w:val="20"/>
              </w:rPr>
              <w:t>13 (41%)</w:t>
            </w:r>
          </w:p>
        </w:tc>
        <w:tc>
          <w:tcPr>
            <w:tcW w:w="851" w:type="pct"/>
          </w:tcPr>
          <w:p w14:paraId="24DED59C" w14:textId="77777777" w:rsidR="00E6002C" w:rsidRPr="00DB610E" w:rsidRDefault="00E6002C" w:rsidP="00F15E73">
            <w:pPr>
              <w:pStyle w:val="TableText0"/>
              <w:jc w:val="center"/>
              <w:rPr>
                <w:szCs w:val="20"/>
              </w:rPr>
            </w:pPr>
            <w:r w:rsidRPr="00DB610E">
              <w:rPr>
                <w:szCs w:val="20"/>
              </w:rPr>
              <w:t>7 (41%)</w:t>
            </w:r>
          </w:p>
        </w:tc>
        <w:tc>
          <w:tcPr>
            <w:tcW w:w="851" w:type="pct"/>
          </w:tcPr>
          <w:p w14:paraId="13B58599" w14:textId="77777777" w:rsidR="00E6002C" w:rsidRPr="00DB610E" w:rsidRDefault="00E6002C" w:rsidP="00F15E73">
            <w:pPr>
              <w:pStyle w:val="TableText0"/>
              <w:jc w:val="center"/>
              <w:rPr>
                <w:szCs w:val="20"/>
              </w:rPr>
            </w:pPr>
            <w:r w:rsidRPr="00DB610E">
              <w:rPr>
                <w:szCs w:val="20"/>
              </w:rPr>
              <w:t>68 (50%)</w:t>
            </w:r>
          </w:p>
        </w:tc>
        <w:tc>
          <w:tcPr>
            <w:tcW w:w="851" w:type="pct"/>
          </w:tcPr>
          <w:p w14:paraId="35D2F817" w14:textId="77777777" w:rsidR="00E6002C" w:rsidRPr="00DB610E" w:rsidRDefault="00E6002C" w:rsidP="00F15E73">
            <w:pPr>
              <w:pStyle w:val="TableText0"/>
              <w:jc w:val="center"/>
              <w:rPr>
                <w:szCs w:val="20"/>
              </w:rPr>
            </w:pPr>
            <w:r w:rsidRPr="00DB610E">
              <w:rPr>
                <w:szCs w:val="20"/>
              </w:rPr>
              <w:t>32 (51%)</w:t>
            </w:r>
          </w:p>
        </w:tc>
      </w:tr>
    </w:tbl>
    <w:p w14:paraId="667EF9E3" w14:textId="77777777" w:rsidR="00E6002C" w:rsidRPr="00144CF0" w:rsidRDefault="00E6002C" w:rsidP="00E6002C">
      <w:pPr>
        <w:pStyle w:val="TableFooter"/>
        <w:rPr>
          <w:szCs w:val="18"/>
          <w:lang w:val="en-US"/>
        </w:rPr>
      </w:pPr>
      <w:r w:rsidRPr="00144CF0">
        <w:rPr>
          <w:szCs w:val="18"/>
        </w:rPr>
        <w:t xml:space="preserve">Source: Study 305 CSR Table 14.1.2.1.1; Cheng G, et al. </w:t>
      </w:r>
      <w:r w:rsidRPr="00144CF0">
        <w:rPr>
          <w:szCs w:val="18"/>
          <w:lang w:val="en-US"/>
        </w:rPr>
        <w:t>Eltrombopag for management of chronic immune thrombocytopenia (RAISE): a 6-month, randomised, phase 3 study.</w:t>
      </w:r>
      <w:r w:rsidRPr="00144CF0">
        <w:rPr>
          <w:szCs w:val="18"/>
        </w:rPr>
        <w:t xml:space="preserve"> </w:t>
      </w:r>
      <w:r w:rsidRPr="00144CF0">
        <w:rPr>
          <w:i/>
          <w:szCs w:val="18"/>
          <w:lang w:val="en-US"/>
        </w:rPr>
        <w:t>Lancet</w:t>
      </w:r>
      <w:r w:rsidRPr="00144CF0">
        <w:rPr>
          <w:szCs w:val="18"/>
          <w:lang w:val="en-US"/>
        </w:rPr>
        <w:t xml:space="preserve"> 2011; 377:393–402.</w:t>
      </w:r>
    </w:p>
    <w:p w14:paraId="3045564D" w14:textId="4D6AAB10" w:rsidR="00E6002C" w:rsidRPr="00144CF0" w:rsidRDefault="00144CF0" w:rsidP="00E6002C">
      <w:pPr>
        <w:pStyle w:val="TableFooter"/>
        <w:rPr>
          <w:szCs w:val="18"/>
        </w:rPr>
      </w:pPr>
      <w:r w:rsidRPr="00144CF0">
        <w:rPr>
          <w:szCs w:val="18"/>
          <w:vertAlign w:val="superscript"/>
        </w:rPr>
        <w:t>a</w:t>
      </w:r>
      <w:r w:rsidR="00E6002C" w:rsidRPr="00144CF0">
        <w:rPr>
          <w:szCs w:val="18"/>
        </w:rPr>
        <w:t xml:space="preserve"> One patient in the avatrombopag group had a baseline platelet count &gt; 30 x 10</w:t>
      </w:r>
      <w:r w:rsidR="00E6002C" w:rsidRPr="00144CF0">
        <w:rPr>
          <w:szCs w:val="18"/>
          <w:vertAlign w:val="superscript"/>
        </w:rPr>
        <w:t>9</w:t>
      </w:r>
      <w:r w:rsidR="00E6002C" w:rsidRPr="00144CF0">
        <w:rPr>
          <w:szCs w:val="18"/>
        </w:rPr>
        <w:t xml:space="preserve">/L. </w:t>
      </w:r>
    </w:p>
    <w:p w14:paraId="6F0CA3D5" w14:textId="3D017211" w:rsidR="00E6002C" w:rsidRDefault="00144CF0" w:rsidP="00E6002C">
      <w:pPr>
        <w:pStyle w:val="TableFooter"/>
        <w:rPr>
          <w:szCs w:val="18"/>
        </w:rPr>
      </w:pPr>
      <w:r w:rsidRPr="00144CF0">
        <w:rPr>
          <w:szCs w:val="18"/>
        </w:rPr>
        <w:t xml:space="preserve">BMI = Body Mass Index; </w:t>
      </w:r>
      <w:r w:rsidR="00E6002C" w:rsidRPr="00144CF0">
        <w:rPr>
          <w:szCs w:val="18"/>
        </w:rPr>
        <w:t xml:space="preserve">IQR = Inter-quartile range; </w:t>
      </w:r>
      <w:r>
        <w:rPr>
          <w:szCs w:val="18"/>
        </w:rPr>
        <w:t xml:space="preserve">ITP = </w:t>
      </w:r>
      <w:r w:rsidR="00CF56D3">
        <w:rPr>
          <w:szCs w:val="18"/>
        </w:rPr>
        <w:t>i</w:t>
      </w:r>
      <w:r w:rsidR="00CF56D3" w:rsidRPr="00CF56D3">
        <w:rPr>
          <w:szCs w:val="18"/>
        </w:rPr>
        <w:t>mmune thrombocytopenia</w:t>
      </w:r>
      <w:r w:rsidR="00CF56D3">
        <w:rPr>
          <w:szCs w:val="18"/>
        </w:rPr>
        <w:t xml:space="preserve">; </w:t>
      </w:r>
      <w:r w:rsidR="00E6002C" w:rsidRPr="00144CF0">
        <w:rPr>
          <w:szCs w:val="18"/>
        </w:rPr>
        <w:t>NR = not reported</w:t>
      </w:r>
      <w:r>
        <w:rPr>
          <w:szCs w:val="18"/>
        </w:rPr>
        <w:t>; SD = standard deviation</w:t>
      </w:r>
      <w:r w:rsidR="00E6002C" w:rsidRPr="00144CF0">
        <w:rPr>
          <w:szCs w:val="18"/>
        </w:rPr>
        <w:t>.</w:t>
      </w:r>
    </w:p>
    <w:p w14:paraId="7B81BB7B" w14:textId="77777777" w:rsidR="00F913DB" w:rsidRPr="00144CF0" w:rsidRDefault="00F913DB" w:rsidP="00E6002C">
      <w:pPr>
        <w:pStyle w:val="TableFooter"/>
        <w:rPr>
          <w:b/>
          <w:szCs w:val="18"/>
        </w:rPr>
      </w:pPr>
    </w:p>
    <w:p w14:paraId="67DC8044" w14:textId="468FB2B1" w:rsidR="001F6264" w:rsidRPr="001D67AF" w:rsidRDefault="001F6264" w:rsidP="001F6264">
      <w:pPr>
        <w:pStyle w:val="3-BodyText"/>
      </w:pPr>
      <w:r w:rsidRPr="001D67AF">
        <w:t>The durations of treatment with avatrombopag and placebo</w:t>
      </w:r>
      <w:r w:rsidR="00917B6F">
        <w:t xml:space="preserve"> </w:t>
      </w:r>
      <w:r w:rsidR="00917B6F" w:rsidRPr="00BE11F7">
        <w:t>in Study 302</w:t>
      </w:r>
      <w:r w:rsidR="00917B6F">
        <w:t xml:space="preserve"> </w:t>
      </w:r>
      <w:r w:rsidRPr="001D67AF">
        <w:t>were markedly different, and although the duration of the double-blind phase was 26 weeks, only a minority of placebo-treated patients had 8 or more weeks on treatment, and only a little more than half the avatrombopag-treated patients completed 26 weeks treatment in the double-blind phase (</w:t>
      </w:r>
      <w:r w:rsidR="00032021" w:rsidRPr="001D67AF">
        <w:fldChar w:fldCharType="begin" w:fldLock="1"/>
      </w:r>
      <w:r w:rsidR="00032021" w:rsidRPr="001D67AF">
        <w:instrText xml:space="preserve"> REF _Ref111735618 \h </w:instrText>
      </w:r>
      <w:r w:rsidR="001D67AF" w:rsidRPr="001D67AF">
        <w:instrText xml:space="preserve"> \* MERGEFORMAT </w:instrText>
      </w:r>
      <w:r w:rsidR="00032021" w:rsidRPr="001D67AF">
        <w:fldChar w:fldCharType="separate"/>
      </w:r>
      <w:r w:rsidR="0080246B" w:rsidRPr="00DB610E">
        <w:rPr>
          <w:szCs w:val="20"/>
        </w:rPr>
        <w:t xml:space="preserve">Table </w:t>
      </w:r>
      <w:r w:rsidR="0080246B">
        <w:rPr>
          <w:noProof/>
          <w:szCs w:val="20"/>
        </w:rPr>
        <w:t>5</w:t>
      </w:r>
      <w:r w:rsidR="00032021" w:rsidRPr="001D67AF">
        <w:fldChar w:fldCharType="end"/>
      </w:r>
      <w:r w:rsidRPr="001D67AF">
        <w:t xml:space="preserve">). Although the open-label extension phase could extend to 24 months, the median duration of exposure in the combined double-blind and open-label phases was 44 weeks and the maximum duration of exposure was 75 weeks. </w:t>
      </w:r>
    </w:p>
    <w:p w14:paraId="2D425C52" w14:textId="0E5F38B4" w:rsidR="004D430D" w:rsidRPr="001D67AF" w:rsidRDefault="001F6264" w:rsidP="004D430D">
      <w:pPr>
        <w:pStyle w:val="3-BodyText"/>
      </w:pPr>
      <w:r w:rsidRPr="001D67AF">
        <w:t xml:space="preserve">The submission suggested that the shorter duration of placebo treatment </w:t>
      </w:r>
      <w:r w:rsidR="001A793C">
        <w:t>‘</w:t>
      </w:r>
      <w:r w:rsidRPr="001D67AF">
        <w:t>likely influenced the results by decreasing the chance of events to occur in the placebo group […] such as need for rescue treatment, bleeding events or AEs</w:t>
      </w:r>
      <w:r w:rsidR="001A793C">
        <w:t>’</w:t>
      </w:r>
      <w:r w:rsidRPr="001D67AF">
        <w:t xml:space="preserve">. </w:t>
      </w:r>
    </w:p>
    <w:p w14:paraId="65DC8EE0" w14:textId="4F35A042" w:rsidR="004D430D" w:rsidRPr="00BE11F7" w:rsidRDefault="004D430D" w:rsidP="004D430D">
      <w:pPr>
        <w:pStyle w:val="3-BodyText"/>
      </w:pPr>
      <w:r w:rsidRPr="001D67AF">
        <w:t xml:space="preserve">The submission also suggested that because </w:t>
      </w:r>
      <w:r w:rsidR="001A793C">
        <w:t>‘</w:t>
      </w:r>
      <w:r w:rsidRPr="001D67AF">
        <w:t>observed percentages of patients […] may underestimate the true risk of events in the placebo groups</w:t>
      </w:r>
      <w:r w:rsidR="00917B6F">
        <w:t>,</w:t>
      </w:r>
      <w:r w:rsidR="001A793C">
        <w:t>’</w:t>
      </w:r>
      <w:r w:rsidRPr="001D67AF">
        <w:t xml:space="preserve"> analysis should be </w:t>
      </w:r>
      <w:r w:rsidR="001A793C">
        <w:t>‘</w:t>
      </w:r>
      <w:r w:rsidRPr="001D67AF">
        <w:t>based on the comparison of event rates rather than comparison of crude proportions</w:t>
      </w:r>
      <w:r w:rsidR="001A793C">
        <w:t>’</w:t>
      </w:r>
      <w:r w:rsidRPr="001D67AF">
        <w:t xml:space="preserve">. However, withdrawal censors exposure and therefore risk of adverse events in every trial, but comparison is based on observed events. For this reason, the </w:t>
      </w:r>
      <w:r w:rsidR="005A5F64">
        <w:t>evaluation</w:t>
      </w:r>
      <w:r w:rsidR="005A5F64" w:rsidRPr="001D67AF">
        <w:t xml:space="preserve"> </w:t>
      </w:r>
      <w:r w:rsidRPr="001D67AF">
        <w:t>present</w:t>
      </w:r>
      <w:r w:rsidR="00917B6F">
        <w:t>ed</w:t>
      </w:r>
      <w:r w:rsidRPr="001D67AF">
        <w:t xml:space="preserve"> data based on observed events.</w:t>
      </w:r>
      <w:r w:rsidR="00D450B0">
        <w:t xml:space="preserve"> </w:t>
      </w:r>
      <w:r w:rsidR="00D450B0" w:rsidRPr="00BE11F7">
        <w:t xml:space="preserve">The PSCR disagreed with this assessment, stating that incidence rate ratios (IRR) do account for all observed events, </w:t>
      </w:r>
      <w:r w:rsidR="00D450B0" w:rsidRPr="00BE11F7">
        <w:lastRenderedPageBreak/>
        <w:t xml:space="preserve">and that therefore, the submission appropriately included an IRR analysis to account for early and </w:t>
      </w:r>
      <w:r w:rsidR="00F432B3">
        <w:t>un</w:t>
      </w:r>
      <w:r w:rsidR="00D450B0" w:rsidRPr="00BE11F7">
        <w:t>balanced discontinuation.</w:t>
      </w:r>
    </w:p>
    <w:p w14:paraId="45E27614" w14:textId="0F52AB17" w:rsidR="004D430D" w:rsidRPr="00DB610E" w:rsidRDefault="004D430D" w:rsidP="00FA6CED">
      <w:pPr>
        <w:pStyle w:val="TableFigureHeading"/>
        <w:keepLines/>
        <w:rPr>
          <w:szCs w:val="20"/>
        </w:rPr>
      </w:pPr>
      <w:bookmarkStart w:id="23" w:name="_Ref111735618"/>
      <w:r w:rsidRPr="00FA6CED">
        <w:rPr>
          <w:szCs w:val="20"/>
        </w:rPr>
        <w:t xml:space="preserve">Table </w:t>
      </w:r>
      <w:r w:rsidRPr="00FA6CED">
        <w:rPr>
          <w:szCs w:val="20"/>
        </w:rPr>
        <w:fldChar w:fldCharType="begin" w:fldLock="1"/>
      </w:r>
      <w:r w:rsidRPr="00FA6CED">
        <w:rPr>
          <w:szCs w:val="20"/>
        </w:rPr>
        <w:instrText xml:space="preserve"> SEQ Table \* ARABIC </w:instrText>
      </w:r>
      <w:r w:rsidRPr="00FA6CED">
        <w:rPr>
          <w:szCs w:val="20"/>
        </w:rPr>
        <w:fldChar w:fldCharType="separate"/>
      </w:r>
      <w:r w:rsidR="0080246B" w:rsidRPr="00FA6CED">
        <w:rPr>
          <w:szCs w:val="20"/>
        </w:rPr>
        <w:t>5</w:t>
      </w:r>
      <w:r w:rsidRPr="00FA6CED">
        <w:rPr>
          <w:szCs w:val="20"/>
        </w:rPr>
        <w:fldChar w:fldCharType="end"/>
      </w:r>
      <w:bookmarkEnd w:id="23"/>
      <w:r w:rsidRPr="00FA6CED">
        <w:rPr>
          <w:szCs w:val="20"/>
        </w:rPr>
        <w:t>:</w:t>
      </w:r>
      <w:r w:rsidRPr="00DB610E">
        <w:rPr>
          <w:szCs w:val="20"/>
        </w:rPr>
        <w:t xml:space="preserve"> Progress of patients through the double-blind phase of Study 302</w:t>
      </w:r>
    </w:p>
    <w:tbl>
      <w:tblPr>
        <w:tblStyle w:val="TableGrid"/>
        <w:tblW w:w="5000" w:type="pct"/>
        <w:tblLook w:val="04A0" w:firstRow="1" w:lastRow="0" w:firstColumn="1" w:lastColumn="0" w:noHBand="0" w:noVBand="1"/>
      </w:tblPr>
      <w:tblGrid>
        <w:gridCol w:w="3260"/>
        <w:gridCol w:w="3257"/>
        <w:gridCol w:w="2500"/>
      </w:tblGrid>
      <w:tr w:rsidR="004D430D" w:rsidRPr="00DB610E" w14:paraId="0EEF3086" w14:textId="77777777" w:rsidTr="00FF5CBC">
        <w:tc>
          <w:tcPr>
            <w:tcW w:w="1807" w:type="pct"/>
          </w:tcPr>
          <w:p w14:paraId="1BD8A5E0" w14:textId="77777777" w:rsidR="004D430D" w:rsidRPr="00DB610E" w:rsidRDefault="004D430D" w:rsidP="004D430D">
            <w:pPr>
              <w:pStyle w:val="TableText0"/>
              <w:rPr>
                <w:szCs w:val="20"/>
              </w:rPr>
            </w:pPr>
          </w:p>
        </w:tc>
        <w:tc>
          <w:tcPr>
            <w:tcW w:w="1806" w:type="pct"/>
          </w:tcPr>
          <w:p w14:paraId="61603639" w14:textId="77777777" w:rsidR="004D430D" w:rsidRPr="00DB610E" w:rsidRDefault="004D430D" w:rsidP="00F15E73">
            <w:pPr>
              <w:pStyle w:val="TableText0"/>
              <w:jc w:val="center"/>
              <w:rPr>
                <w:b/>
                <w:szCs w:val="20"/>
              </w:rPr>
            </w:pPr>
            <w:r w:rsidRPr="00DB610E">
              <w:rPr>
                <w:b/>
                <w:szCs w:val="20"/>
              </w:rPr>
              <w:t>Avatrombopag</w:t>
            </w:r>
          </w:p>
          <w:p w14:paraId="430D1D38" w14:textId="77777777" w:rsidR="004D430D" w:rsidRPr="00DB610E" w:rsidRDefault="004D430D" w:rsidP="00F15E73">
            <w:pPr>
              <w:pStyle w:val="TableText0"/>
              <w:jc w:val="center"/>
              <w:rPr>
                <w:b/>
                <w:szCs w:val="20"/>
              </w:rPr>
            </w:pPr>
            <w:r w:rsidRPr="00DB610E">
              <w:rPr>
                <w:b/>
                <w:szCs w:val="20"/>
              </w:rPr>
              <w:t>N = 32</w:t>
            </w:r>
          </w:p>
        </w:tc>
        <w:tc>
          <w:tcPr>
            <w:tcW w:w="1386" w:type="pct"/>
          </w:tcPr>
          <w:p w14:paraId="6926D87D" w14:textId="77777777" w:rsidR="004D430D" w:rsidRPr="00DB610E" w:rsidRDefault="004D430D" w:rsidP="00F15E73">
            <w:pPr>
              <w:pStyle w:val="TableText0"/>
              <w:jc w:val="center"/>
              <w:rPr>
                <w:b/>
                <w:szCs w:val="20"/>
              </w:rPr>
            </w:pPr>
            <w:r w:rsidRPr="00DB610E">
              <w:rPr>
                <w:b/>
                <w:szCs w:val="20"/>
              </w:rPr>
              <w:t>Placebo</w:t>
            </w:r>
          </w:p>
          <w:p w14:paraId="124C29E0" w14:textId="77777777" w:rsidR="004D430D" w:rsidRPr="00DB610E" w:rsidRDefault="004D430D" w:rsidP="00F15E73">
            <w:pPr>
              <w:pStyle w:val="TableText0"/>
              <w:jc w:val="center"/>
              <w:rPr>
                <w:b/>
                <w:szCs w:val="20"/>
              </w:rPr>
            </w:pPr>
            <w:r w:rsidRPr="00DB610E">
              <w:rPr>
                <w:b/>
                <w:szCs w:val="20"/>
              </w:rPr>
              <w:t>N = 17</w:t>
            </w:r>
          </w:p>
        </w:tc>
      </w:tr>
      <w:tr w:rsidR="004D430D" w:rsidRPr="00DB610E" w14:paraId="0B537203" w14:textId="77777777" w:rsidTr="00FF5CBC">
        <w:tc>
          <w:tcPr>
            <w:tcW w:w="1807" w:type="pct"/>
          </w:tcPr>
          <w:p w14:paraId="0925365C" w14:textId="77777777" w:rsidR="004D430D" w:rsidRPr="00144CF0" w:rsidRDefault="004D430D" w:rsidP="004D430D">
            <w:pPr>
              <w:pStyle w:val="TableText0"/>
              <w:rPr>
                <w:b/>
                <w:bCs w:val="0"/>
                <w:szCs w:val="20"/>
              </w:rPr>
            </w:pPr>
            <w:r w:rsidRPr="00144CF0">
              <w:rPr>
                <w:b/>
                <w:bCs w:val="0"/>
                <w:szCs w:val="20"/>
              </w:rPr>
              <w:t>Exposure, n (%)</w:t>
            </w:r>
          </w:p>
          <w:p w14:paraId="73A32B4E" w14:textId="77777777" w:rsidR="004D430D" w:rsidRPr="00144CF0" w:rsidRDefault="004D430D" w:rsidP="00144CF0">
            <w:pPr>
              <w:pStyle w:val="TableText0"/>
              <w:ind w:left="175"/>
              <w:rPr>
                <w:b/>
                <w:bCs w:val="0"/>
                <w:szCs w:val="20"/>
              </w:rPr>
            </w:pPr>
            <w:r w:rsidRPr="00144CF0">
              <w:rPr>
                <w:b/>
                <w:bCs w:val="0"/>
                <w:szCs w:val="20"/>
              </w:rPr>
              <w:t>Any</w:t>
            </w:r>
          </w:p>
          <w:p w14:paraId="55C13EE7" w14:textId="77777777" w:rsidR="004D430D" w:rsidRPr="00144CF0" w:rsidRDefault="004D430D" w:rsidP="00144CF0">
            <w:pPr>
              <w:pStyle w:val="TableText0"/>
              <w:ind w:left="175"/>
              <w:rPr>
                <w:b/>
                <w:bCs w:val="0"/>
                <w:szCs w:val="20"/>
              </w:rPr>
            </w:pPr>
            <w:r w:rsidRPr="00144CF0">
              <w:rPr>
                <w:b/>
                <w:bCs w:val="0"/>
                <w:sz w:val="18"/>
                <w:szCs w:val="18"/>
              </w:rPr>
              <w:sym w:font="Symbol" w:char="F0B3"/>
            </w:r>
            <w:r w:rsidRPr="00144CF0">
              <w:rPr>
                <w:b/>
                <w:bCs w:val="0"/>
                <w:szCs w:val="20"/>
              </w:rPr>
              <w:t xml:space="preserve"> 6 weeks</w:t>
            </w:r>
          </w:p>
          <w:p w14:paraId="71970F96" w14:textId="77777777" w:rsidR="004D430D" w:rsidRPr="00144CF0" w:rsidRDefault="004D430D" w:rsidP="00144CF0">
            <w:pPr>
              <w:pStyle w:val="TableText0"/>
              <w:ind w:left="175"/>
              <w:rPr>
                <w:b/>
                <w:bCs w:val="0"/>
                <w:szCs w:val="20"/>
              </w:rPr>
            </w:pPr>
            <w:r w:rsidRPr="00144CF0">
              <w:rPr>
                <w:b/>
                <w:bCs w:val="0"/>
                <w:sz w:val="18"/>
                <w:szCs w:val="18"/>
              </w:rPr>
              <w:sym w:font="Symbol" w:char="F0B3"/>
            </w:r>
            <w:r w:rsidRPr="00144CF0">
              <w:rPr>
                <w:b/>
                <w:bCs w:val="0"/>
                <w:szCs w:val="20"/>
              </w:rPr>
              <w:t xml:space="preserve"> 8 weeks</w:t>
            </w:r>
          </w:p>
          <w:p w14:paraId="4B3DEE5E" w14:textId="77777777" w:rsidR="004D430D" w:rsidRPr="00144CF0" w:rsidRDefault="004D430D" w:rsidP="00144CF0">
            <w:pPr>
              <w:pStyle w:val="TableText0"/>
              <w:ind w:left="175"/>
              <w:rPr>
                <w:b/>
                <w:bCs w:val="0"/>
                <w:szCs w:val="20"/>
              </w:rPr>
            </w:pPr>
            <w:r w:rsidRPr="00144CF0">
              <w:rPr>
                <w:b/>
                <w:bCs w:val="0"/>
                <w:sz w:val="18"/>
                <w:szCs w:val="18"/>
              </w:rPr>
              <w:sym w:font="Symbol" w:char="F0B3"/>
            </w:r>
            <w:r w:rsidRPr="00144CF0">
              <w:rPr>
                <w:b/>
                <w:bCs w:val="0"/>
                <w:szCs w:val="20"/>
              </w:rPr>
              <w:t xml:space="preserve"> 12 weeks</w:t>
            </w:r>
          </w:p>
          <w:p w14:paraId="21EE762D" w14:textId="77777777" w:rsidR="004D430D" w:rsidRPr="00144CF0" w:rsidRDefault="004D430D" w:rsidP="00144CF0">
            <w:pPr>
              <w:pStyle w:val="TableText0"/>
              <w:ind w:left="175"/>
              <w:rPr>
                <w:b/>
                <w:bCs w:val="0"/>
                <w:szCs w:val="20"/>
              </w:rPr>
            </w:pPr>
            <w:r w:rsidRPr="00144CF0">
              <w:rPr>
                <w:b/>
                <w:bCs w:val="0"/>
                <w:sz w:val="18"/>
                <w:szCs w:val="18"/>
              </w:rPr>
              <w:sym w:font="Symbol" w:char="F0B3"/>
            </w:r>
            <w:r w:rsidRPr="00144CF0">
              <w:rPr>
                <w:b/>
                <w:bCs w:val="0"/>
                <w:szCs w:val="20"/>
              </w:rPr>
              <w:t xml:space="preserve"> 18 weeks</w:t>
            </w:r>
          </w:p>
          <w:p w14:paraId="543850A6" w14:textId="77777777" w:rsidR="004D430D" w:rsidRPr="00144CF0" w:rsidRDefault="004D430D" w:rsidP="00144CF0">
            <w:pPr>
              <w:pStyle w:val="TableText0"/>
              <w:ind w:left="175"/>
              <w:rPr>
                <w:b/>
                <w:bCs w:val="0"/>
                <w:szCs w:val="20"/>
              </w:rPr>
            </w:pPr>
            <w:r w:rsidRPr="00144CF0">
              <w:rPr>
                <w:b/>
                <w:bCs w:val="0"/>
                <w:sz w:val="18"/>
                <w:szCs w:val="18"/>
              </w:rPr>
              <w:sym w:font="Symbol" w:char="F0B3"/>
            </w:r>
            <w:r w:rsidRPr="00144CF0">
              <w:rPr>
                <w:b/>
                <w:bCs w:val="0"/>
                <w:szCs w:val="20"/>
              </w:rPr>
              <w:t xml:space="preserve"> 26 weeks</w:t>
            </w:r>
          </w:p>
        </w:tc>
        <w:tc>
          <w:tcPr>
            <w:tcW w:w="1806" w:type="pct"/>
          </w:tcPr>
          <w:p w14:paraId="526D6E4D" w14:textId="77777777" w:rsidR="00144CF0" w:rsidRPr="00DB610E" w:rsidRDefault="00144CF0" w:rsidP="00144CF0">
            <w:pPr>
              <w:pStyle w:val="TableText0"/>
              <w:rPr>
                <w:szCs w:val="20"/>
              </w:rPr>
            </w:pPr>
          </w:p>
          <w:p w14:paraId="736D8D56" w14:textId="77777777" w:rsidR="004D430D" w:rsidRPr="00DB610E" w:rsidRDefault="004D430D" w:rsidP="00F15E73">
            <w:pPr>
              <w:pStyle w:val="TableText0"/>
              <w:jc w:val="center"/>
              <w:rPr>
                <w:szCs w:val="20"/>
              </w:rPr>
            </w:pPr>
            <w:r w:rsidRPr="00DB610E">
              <w:rPr>
                <w:szCs w:val="20"/>
              </w:rPr>
              <w:t>32 (100%)</w:t>
            </w:r>
          </w:p>
          <w:p w14:paraId="4CD414F4" w14:textId="77777777" w:rsidR="004D430D" w:rsidRPr="00DB610E" w:rsidRDefault="004D430D" w:rsidP="00F15E73">
            <w:pPr>
              <w:pStyle w:val="TableText0"/>
              <w:jc w:val="center"/>
              <w:rPr>
                <w:szCs w:val="20"/>
              </w:rPr>
            </w:pPr>
            <w:r w:rsidRPr="00DB610E">
              <w:rPr>
                <w:szCs w:val="20"/>
              </w:rPr>
              <w:t>30 (94%)</w:t>
            </w:r>
          </w:p>
          <w:p w14:paraId="7F34A017" w14:textId="77777777" w:rsidR="004D430D" w:rsidRPr="00DB610E" w:rsidRDefault="004D430D" w:rsidP="00F15E73">
            <w:pPr>
              <w:pStyle w:val="TableText0"/>
              <w:jc w:val="center"/>
              <w:rPr>
                <w:szCs w:val="20"/>
              </w:rPr>
            </w:pPr>
            <w:r w:rsidRPr="00DB610E">
              <w:rPr>
                <w:szCs w:val="20"/>
              </w:rPr>
              <w:t>30 (94%)</w:t>
            </w:r>
          </w:p>
          <w:p w14:paraId="20EE8F30" w14:textId="77777777" w:rsidR="004D430D" w:rsidRPr="00DB610E" w:rsidRDefault="004D430D" w:rsidP="00F15E73">
            <w:pPr>
              <w:pStyle w:val="TableText0"/>
              <w:jc w:val="center"/>
              <w:rPr>
                <w:szCs w:val="20"/>
              </w:rPr>
            </w:pPr>
            <w:r w:rsidRPr="00DB610E">
              <w:rPr>
                <w:szCs w:val="20"/>
              </w:rPr>
              <w:t>28 (88%)</w:t>
            </w:r>
          </w:p>
          <w:p w14:paraId="7AF7EF96" w14:textId="77777777" w:rsidR="004D430D" w:rsidRPr="00DB610E" w:rsidRDefault="004D430D" w:rsidP="00F15E73">
            <w:pPr>
              <w:pStyle w:val="TableText0"/>
              <w:jc w:val="center"/>
              <w:rPr>
                <w:szCs w:val="20"/>
              </w:rPr>
            </w:pPr>
            <w:r w:rsidRPr="00DB610E">
              <w:rPr>
                <w:szCs w:val="20"/>
              </w:rPr>
              <w:t>26 (81%)</w:t>
            </w:r>
          </w:p>
          <w:p w14:paraId="14AF54D1" w14:textId="77777777" w:rsidR="004D430D" w:rsidRPr="00DB610E" w:rsidRDefault="004D430D" w:rsidP="00F15E73">
            <w:pPr>
              <w:pStyle w:val="TableText0"/>
              <w:jc w:val="center"/>
              <w:rPr>
                <w:szCs w:val="20"/>
              </w:rPr>
            </w:pPr>
            <w:r w:rsidRPr="00DB610E">
              <w:rPr>
                <w:szCs w:val="20"/>
              </w:rPr>
              <w:t>17 (53%)</w:t>
            </w:r>
          </w:p>
        </w:tc>
        <w:tc>
          <w:tcPr>
            <w:tcW w:w="1386" w:type="pct"/>
          </w:tcPr>
          <w:p w14:paraId="25558B34" w14:textId="77777777" w:rsidR="004D430D" w:rsidRPr="00DB610E" w:rsidRDefault="004D430D" w:rsidP="00F15E73">
            <w:pPr>
              <w:pStyle w:val="TableText0"/>
              <w:jc w:val="center"/>
              <w:rPr>
                <w:szCs w:val="20"/>
              </w:rPr>
            </w:pPr>
          </w:p>
          <w:p w14:paraId="5DCA02FC" w14:textId="77777777" w:rsidR="004D430D" w:rsidRPr="00DB610E" w:rsidRDefault="004D430D" w:rsidP="00F15E73">
            <w:pPr>
              <w:pStyle w:val="TableText0"/>
              <w:jc w:val="center"/>
              <w:rPr>
                <w:szCs w:val="20"/>
              </w:rPr>
            </w:pPr>
            <w:r w:rsidRPr="00DB610E">
              <w:rPr>
                <w:szCs w:val="20"/>
              </w:rPr>
              <w:t>17 (100%)</w:t>
            </w:r>
          </w:p>
          <w:p w14:paraId="29E1671F" w14:textId="77777777" w:rsidR="004D430D" w:rsidRPr="00DB610E" w:rsidRDefault="004D430D" w:rsidP="00F15E73">
            <w:pPr>
              <w:pStyle w:val="TableText0"/>
              <w:jc w:val="center"/>
              <w:rPr>
                <w:szCs w:val="20"/>
              </w:rPr>
            </w:pPr>
            <w:r w:rsidRPr="00DB610E">
              <w:rPr>
                <w:szCs w:val="20"/>
              </w:rPr>
              <w:t>10 (59%)</w:t>
            </w:r>
          </w:p>
          <w:p w14:paraId="473DE77A" w14:textId="77777777" w:rsidR="004D430D" w:rsidRPr="00DB610E" w:rsidRDefault="004D430D" w:rsidP="00F15E73">
            <w:pPr>
              <w:pStyle w:val="TableText0"/>
              <w:jc w:val="center"/>
              <w:rPr>
                <w:szCs w:val="20"/>
              </w:rPr>
            </w:pPr>
            <w:r w:rsidRPr="00DB610E">
              <w:rPr>
                <w:szCs w:val="20"/>
              </w:rPr>
              <w:t>7 (42%)</w:t>
            </w:r>
          </w:p>
          <w:p w14:paraId="2CE61DA5" w14:textId="77777777" w:rsidR="004D430D" w:rsidRPr="00DB610E" w:rsidRDefault="004D430D" w:rsidP="00F15E73">
            <w:pPr>
              <w:pStyle w:val="TableText0"/>
              <w:jc w:val="center"/>
              <w:rPr>
                <w:szCs w:val="20"/>
              </w:rPr>
            </w:pPr>
            <w:r w:rsidRPr="00DB610E">
              <w:rPr>
                <w:szCs w:val="20"/>
              </w:rPr>
              <w:t>3 (18%)</w:t>
            </w:r>
          </w:p>
          <w:p w14:paraId="130C131E" w14:textId="77777777" w:rsidR="004D430D" w:rsidRPr="00DB610E" w:rsidRDefault="004D430D" w:rsidP="00F15E73">
            <w:pPr>
              <w:pStyle w:val="TableText0"/>
              <w:jc w:val="center"/>
              <w:rPr>
                <w:szCs w:val="20"/>
              </w:rPr>
            </w:pPr>
            <w:r w:rsidRPr="00DB610E">
              <w:rPr>
                <w:szCs w:val="20"/>
              </w:rPr>
              <w:t>3 (18%)</w:t>
            </w:r>
          </w:p>
          <w:p w14:paraId="51462703" w14:textId="77777777" w:rsidR="004D430D" w:rsidRPr="00DB610E" w:rsidRDefault="004D430D" w:rsidP="00F15E73">
            <w:pPr>
              <w:pStyle w:val="TableText0"/>
              <w:jc w:val="center"/>
              <w:rPr>
                <w:szCs w:val="20"/>
              </w:rPr>
            </w:pPr>
            <w:r w:rsidRPr="00DB610E">
              <w:rPr>
                <w:szCs w:val="20"/>
              </w:rPr>
              <w:t>1 (6%)</w:t>
            </w:r>
          </w:p>
        </w:tc>
      </w:tr>
      <w:tr w:rsidR="004D430D" w:rsidRPr="00DB610E" w14:paraId="79B5266B" w14:textId="77777777" w:rsidTr="00FF5CBC">
        <w:tc>
          <w:tcPr>
            <w:tcW w:w="1807" w:type="pct"/>
          </w:tcPr>
          <w:p w14:paraId="1B49A15A" w14:textId="77777777" w:rsidR="004D430D" w:rsidRPr="00144CF0" w:rsidRDefault="004D430D" w:rsidP="004D430D">
            <w:pPr>
              <w:pStyle w:val="TableText0"/>
              <w:rPr>
                <w:b/>
                <w:bCs w:val="0"/>
                <w:szCs w:val="20"/>
              </w:rPr>
            </w:pPr>
            <w:r w:rsidRPr="00144CF0">
              <w:rPr>
                <w:b/>
                <w:bCs w:val="0"/>
                <w:szCs w:val="20"/>
              </w:rPr>
              <w:t>Duration of exposure, weeks</w:t>
            </w:r>
          </w:p>
          <w:p w14:paraId="72BFBF60" w14:textId="77777777" w:rsidR="004D430D" w:rsidRPr="00144CF0" w:rsidRDefault="004D430D" w:rsidP="00144CF0">
            <w:pPr>
              <w:pStyle w:val="TableText0"/>
              <w:ind w:firstLine="175"/>
              <w:rPr>
                <w:b/>
                <w:bCs w:val="0"/>
                <w:szCs w:val="20"/>
              </w:rPr>
            </w:pPr>
            <w:r w:rsidRPr="00144CF0">
              <w:rPr>
                <w:b/>
                <w:bCs w:val="0"/>
                <w:szCs w:val="20"/>
              </w:rPr>
              <w:t>Mean (SD)</w:t>
            </w:r>
          </w:p>
          <w:p w14:paraId="411DC33B" w14:textId="77777777" w:rsidR="004D430D" w:rsidRPr="00144CF0" w:rsidRDefault="004D430D" w:rsidP="00144CF0">
            <w:pPr>
              <w:pStyle w:val="TableText0"/>
              <w:ind w:firstLine="175"/>
              <w:rPr>
                <w:b/>
                <w:bCs w:val="0"/>
                <w:szCs w:val="20"/>
              </w:rPr>
            </w:pPr>
            <w:r w:rsidRPr="00144CF0">
              <w:rPr>
                <w:b/>
                <w:bCs w:val="0"/>
                <w:szCs w:val="20"/>
              </w:rPr>
              <w:t>Median (range)</w:t>
            </w:r>
          </w:p>
        </w:tc>
        <w:tc>
          <w:tcPr>
            <w:tcW w:w="1806" w:type="pct"/>
          </w:tcPr>
          <w:p w14:paraId="2DD783EE" w14:textId="77777777" w:rsidR="004D430D" w:rsidRPr="00DB610E" w:rsidRDefault="004D430D" w:rsidP="00F15E73">
            <w:pPr>
              <w:pStyle w:val="TableText0"/>
              <w:jc w:val="center"/>
              <w:rPr>
                <w:szCs w:val="20"/>
              </w:rPr>
            </w:pPr>
          </w:p>
          <w:p w14:paraId="3FECFE9A" w14:textId="77777777" w:rsidR="004D430D" w:rsidRPr="00DB610E" w:rsidRDefault="004D430D" w:rsidP="00F15E73">
            <w:pPr>
              <w:pStyle w:val="TableText0"/>
              <w:jc w:val="center"/>
              <w:rPr>
                <w:szCs w:val="20"/>
              </w:rPr>
            </w:pPr>
            <w:r w:rsidRPr="00DB610E">
              <w:rPr>
                <w:szCs w:val="20"/>
              </w:rPr>
              <w:t>22.8 (7.44)</w:t>
            </w:r>
          </w:p>
          <w:p w14:paraId="01F03C2E" w14:textId="77777777" w:rsidR="004D430D" w:rsidRPr="00DB610E" w:rsidRDefault="004D430D" w:rsidP="00F15E73">
            <w:pPr>
              <w:pStyle w:val="TableText0"/>
              <w:jc w:val="center"/>
              <w:rPr>
                <w:szCs w:val="20"/>
              </w:rPr>
            </w:pPr>
            <w:r w:rsidRPr="00DB610E">
              <w:rPr>
                <w:szCs w:val="20"/>
              </w:rPr>
              <w:t>26.0 (3.7-31.1)</w:t>
            </w:r>
          </w:p>
        </w:tc>
        <w:tc>
          <w:tcPr>
            <w:tcW w:w="1386" w:type="pct"/>
          </w:tcPr>
          <w:p w14:paraId="78416934" w14:textId="77777777" w:rsidR="004D430D" w:rsidRPr="00DB610E" w:rsidRDefault="004D430D" w:rsidP="00F15E73">
            <w:pPr>
              <w:pStyle w:val="TableText0"/>
              <w:jc w:val="center"/>
              <w:rPr>
                <w:szCs w:val="20"/>
              </w:rPr>
            </w:pPr>
          </w:p>
          <w:p w14:paraId="006DEE73" w14:textId="77777777" w:rsidR="004D430D" w:rsidRPr="00DB610E" w:rsidRDefault="004D430D" w:rsidP="00F15E73">
            <w:pPr>
              <w:pStyle w:val="TableText0"/>
              <w:jc w:val="center"/>
              <w:rPr>
                <w:szCs w:val="20"/>
              </w:rPr>
            </w:pPr>
            <w:r w:rsidRPr="00DB610E">
              <w:rPr>
                <w:szCs w:val="20"/>
              </w:rPr>
              <w:t>8.9 (7.36)</w:t>
            </w:r>
          </w:p>
          <w:p w14:paraId="1461743E" w14:textId="77777777" w:rsidR="004D430D" w:rsidRPr="00DB610E" w:rsidRDefault="004D430D" w:rsidP="00F15E73">
            <w:pPr>
              <w:pStyle w:val="TableText0"/>
              <w:jc w:val="center"/>
              <w:rPr>
                <w:szCs w:val="20"/>
              </w:rPr>
            </w:pPr>
            <w:r w:rsidRPr="00DB610E">
              <w:rPr>
                <w:szCs w:val="20"/>
              </w:rPr>
              <w:t>6.0 (2.1-29.9)</w:t>
            </w:r>
          </w:p>
        </w:tc>
      </w:tr>
    </w:tbl>
    <w:p w14:paraId="256A0C61" w14:textId="22FC1611" w:rsidR="004D430D" w:rsidRDefault="004D430D" w:rsidP="004D430D">
      <w:pPr>
        <w:pStyle w:val="TableFooter"/>
      </w:pPr>
      <w:r w:rsidRPr="00283CD3">
        <w:t>Source: Study 302 CSR, Table 15, p109/2180</w:t>
      </w:r>
      <w:r>
        <w:t xml:space="preserve"> and Figure 3, p102/2180.</w:t>
      </w:r>
      <w:r w:rsidRPr="00283CD3">
        <w:t xml:space="preserve"> </w:t>
      </w:r>
    </w:p>
    <w:p w14:paraId="3BE73D81" w14:textId="77777777" w:rsidR="004D430D" w:rsidRPr="004D430D" w:rsidRDefault="004D430D" w:rsidP="004D430D">
      <w:pPr>
        <w:pStyle w:val="TableFooter"/>
      </w:pPr>
    </w:p>
    <w:p w14:paraId="48E2F706" w14:textId="29D1921A" w:rsidR="00F432B3" w:rsidRDefault="00F432B3" w:rsidP="00E85EDD">
      <w:pPr>
        <w:pStyle w:val="3-BodyText"/>
        <w:numPr>
          <w:ilvl w:val="0"/>
          <w:numId w:val="0"/>
        </w:numPr>
        <w:ind w:left="720" w:hanging="720"/>
      </w:pPr>
      <w:bookmarkStart w:id="24" w:name="_Ref118795017"/>
      <w:r>
        <w:rPr>
          <w:b/>
          <w:bCs/>
          <w:i/>
          <w:iCs/>
        </w:rPr>
        <w:t>Additional evidence</w:t>
      </w:r>
    </w:p>
    <w:p w14:paraId="21BEDE19" w14:textId="7D79E8C0" w:rsidR="00186C47" w:rsidRPr="00BE11F7" w:rsidRDefault="00186C47" w:rsidP="000C5CFE">
      <w:pPr>
        <w:pStyle w:val="3-BodyText"/>
        <w:spacing w:before="120"/>
      </w:pPr>
      <w:bookmarkStart w:id="25" w:name="_Ref119311036"/>
      <w:r w:rsidRPr="00BE11F7">
        <w:t>Besides the pivotal RCT for marketing approval (</w:t>
      </w:r>
      <w:r w:rsidR="000E1608" w:rsidRPr="00BE11F7">
        <w:t>S</w:t>
      </w:r>
      <w:r w:rsidRPr="00BE11F7">
        <w:t xml:space="preserve">tudy 302), the ESC noted other published evidence on the efficacy and safety of avatrombopag was not provided in the submission and considered that given the paucity of evidence in Study 302, any additional evidence may be informative. </w:t>
      </w:r>
      <w:r w:rsidR="009723AE" w:rsidRPr="00BE11F7">
        <w:t>Other published evidence on the efficacy and safety of avatrombopag includes:</w:t>
      </w:r>
      <w:bookmarkEnd w:id="24"/>
      <w:bookmarkEnd w:id="25"/>
    </w:p>
    <w:p w14:paraId="325B1736" w14:textId="6D4E84A4" w:rsidR="00186C47" w:rsidRPr="00BE11F7" w:rsidRDefault="00186C47" w:rsidP="00F913DB">
      <w:pPr>
        <w:pStyle w:val="ListBullet"/>
        <w:spacing w:after="120"/>
        <w:ind w:left="1077" w:hanging="357"/>
        <w:contextualSpacing w:val="0"/>
      </w:pPr>
      <w:r w:rsidRPr="00BE11F7">
        <w:t xml:space="preserve"> </w:t>
      </w:r>
      <w:r w:rsidR="00D450B0" w:rsidRPr="00BE11F7">
        <w:t>A</w:t>
      </w:r>
      <w:r w:rsidRPr="00BE11F7">
        <w:t xml:space="preserve"> meta-analysis versus placebo (that included earlier phase studies with short follow-up that used response rates—platelets &gt; 50/10</w:t>
      </w:r>
      <w:r w:rsidRPr="00BE11F7">
        <w:rPr>
          <w:vertAlign w:val="superscript"/>
        </w:rPr>
        <w:t>9</w:t>
      </w:r>
      <w:r w:rsidRPr="00BE11F7">
        <w:t>—as the primary endpoint) (Li et al, 2019</w:t>
      </w:r>
      <w:r w:rsidRPr="00BE11F7">
        <w:rPr>
          <w:rStyle w:val="FootnoteReference"/>
        </w:rPr>
        <w:footnoteReference w:id="7"/>
      </w:r>
      <w:r w:rsidRPr="00BE11F7">
        <w:t>)</w:t>
      </w:r>
    </w:p>
    <w:p w14:paraId="6B9639F2" w14:textId="78437366" w:rsidR="00186C47" w:rsidRPr="00BE11F7" w:rsidRDefault="00D450B0" w:rsidP="00F913DB">
      <w:pPr>
        <w:pStyle w:val="ListBullet"/>
        <w:spacing w:after="120"/>
        <w:ind w:left="1077" w:hanging="357"/>
        <w:contextualSpacing w:val="0"/>
      </w:pPr>
      <w:r w:rsidRPr="00BE11F7">
        <w:t>N</w:t>
      </w:r>
      <w:r w:rsidR="00186C47" w:rsidRPr="00BE11F7">
        <w:t>etwork meta-analyses comparing TPO-RAs (Wojciechowski et al, 2021</w:t>
      </w:r>
      <w:r w:rsidR="00186C47" w:rsidRPr="00BE11F7">
        <w:rPr>
          <w:rStyle w:val="FootnoteReference"/>
        </w:rPr>
        <w:footnoteReference w:id="8"/>
      </w:r>
      <w:r w:rsidR="00186C47" w:rsidRPr="00BE11F7">
        <w:t>; Deng et al, 2021</w:t>
      </w:r>
      <w:r w:rsidR="00186C47" w:rsidRPr="00BE11F7">
        <w:rPr>
          <w:rStyle w:val="FootnoteReference"/>
        </w:rPr>
        <w:footnoteReference w:id="9"/>
      </w:r>
      <w:r w:rsidR="00186C47" w:rsidRPr="00BE11F7">
        <w:t>; and Yang et al 2019</w:t>
      </w:r>
      <w:r w:rsidR="00186C47" w:rsidRPr="00BE11F7">
        <w:rPr>
          <w:rStyle w:val="FootnoteReference"/>
        </w:rPr>
        <w:footnoteReference w:id="10"/>
      </w:r>
      <w:r w:rsidR="00186C47" w:rsidRPr="00BE11F7">
        <w:t>)</w:t>
      </w:r>
    </w:p>
    <w:p w14:paraId="7D39F61E" w14:textId="457E2685" w:rsidR="00186C47" w:rsidRPr="00BE11F7" w:rsidRDefault="00C52F98" w:rsidP="00F913DB">
      <w:pPr>
        <w:pStyle w:val="ListBullet"/>
        <w:spacing w:after="120"/>
        <w:ind w:left="1077" w:hanging="357"/>
        <w:contextualSpacing w:val="0"/>
      </w:pPr>
      <w:r>
        <w:t>Real-world</w:t>
      </w:r>
      <w:r w:rsidR="00186C47" w:rsidRPr="00BE11F7">
        <w:t xml:space="preserve"> data on the efficacy and safety of avatrombopag after switching from romiplostim or eltrombopag (Al-Samkari et al 2022</w:t>
      </w:r>
      <w:r w:rsidR="00186C47" w:rsidRPr="00BE11F7">
        <w:rPr>
          <w:rStyle w:val="FootnoteReference"/>
        </w:rPr>
        <w:footnoteReference w:id="11"/>
      </w:r>
      <w:r w:rsidR="00186C47" w:rsidRPr="00BE11F7">
        <w:t>)</w:t>
      </w:r>
      <w:r w:rsidR="0059431B" w:rsidRPr="00BE11F7">
        <w:t>.</w:t>
      </w:r>
    </w:p>
    <w:p w14:paraId="2E276D3E" w14:textId="13989A0E" w:rsidR="00186C47" w:rsidRPr="00BE11F7" w:rsidRDefault="00186C47" w:rsidP="00F447B6">
      <w:pPr>
        <w:pStyle w:val="ListBullet"/>
        <w:numPr>
          <w:ilvl w:val="0"/>
          <w:numId w:val="0"/>
        </w:numPr>
        <w:ind w:left="709"/>
      </w:pPr>
      <w:r w:rsidRPr="00BE11F7">
        <w:lastRenderedPageBreak/>
        <w:t xml:space="preserve">The ESC </w:t>
      </w:r>
      <w:r w:rsidR="00824441">
        <w:t xml:space="preserve">and the PBAC </w:t>
      </w:r>
      <w:r w:rsidRPr="00BE11F7">
        <w:t>noted that although these meta-</w:t>
      </w:r>
      <w:r w:rsidR="004B1D9A" w:rsidRPr="00BE11F7">
        <w:t xml:space="preserve">analyses and </w:t>
      </w:r>
      <w:r w:rsidR="00C52F98">
        <w:t>real-world</w:t>
      </w:r>
      <w:r w:rsidR="004B1D9A" w:rsidRPr="00BE11F7">
        <w:t xml:space="preserve"> data</w:t>
      </w:r>
      <w:r w:rsidRPr="00BE11F7">
        <w:t xml:space="preserve"> did not provide definitive evidence that avatrombopag was non-inferior to eltrombopag, </w:t>
      </w:r>
      <w:r w:rsidR="004B1D9A" w:rsidRPr="00BE11F7">
        <w:t xml:space="preserve">it </w:t>
      </w:r>
      <w:r w:rsidRPr="00BE11F7">
        <w:t>also considered there was no definitive signal of any difference in efficacy between the two oral TPO-RAs.</w:t>
      </w:r>
      <w:r w:rsidR="00D96E64">
        <w:t xml:space="preserve"> </w:t>
      </w:r>
    </w:p>
    <w:p w14:paraId="4A4FE085" w14:textId="0DAC1F0E" w:rsidR="00B60939" w:rsidRDefault="00B60939" w:rsidP="00EC5836">
      <w:pPr>
        <w:pStyle w:val="4-SubsectionHeading"/>
      </w:pPr>
      <w:bookmarkStart w:id="26" w:name="_Toc22897641"/>
      <w:bookmarkStart w:id="27" w:name="_Toc113903629"/>
      <w:r w:rsidRPr="00C9624D">
        <w:t>Comparative effectiveness</w:t>
      </w:r>
      <w:bookmarkEnd w:id="26"/>
      <w:bookmarkEnd w:id="27"/>
    </w:p>
    <w:p w14:paraId="1F30231F" w14:textId="6EC3CE55" w:rsidR="00C47840" w:rsidRPr="00C47840" w:rsidRDefault="00C47840" w:rsidP="00C47840">
      <w:pPr>
        <w:pStyle w:val="3-BodyText"/>
        <w:numPr>
          <w:ilvl w:val="0"/>
          <w:numId w:val="0"/>
        </w:numPr>
        <w:ind w:left="720" w:hanging="720"/>
      </w:pPr>
      <w:r w:rsidRPr="00C47840">
        <w:rPr>
          <w:b/>
          <w:bCs/>
          <w:i/>
          <w:iCs/>
        </w:rPr>
        <w:t>Indirect comparison of avatrombopag with eltrombopag</w:t>
      </w:r>
    </w:p>
    <w:p w14:paraId="2416BCB0" w14:textId="3717750C" w:rsidR="007D4BFA" w:rsidRDefault="007D4BFA" w:rsidP="007D4BFA">
      <w:pPr>
        <w:pStyle w:val="3-BodyText"/>
      </w:pPr>
      <w:bookmarkStart w:id="28" w:name="_Ref119940852"/>
      <w:r w:rsidRPr="00243D54">
        <w:rPr>
          <w:lang w:val="en-US"/>
        </w:rPr>
        <w:t>The results of the indirect comparison</w:t>
      </w:r>
      <w:r>
        <w:rPr>
          <w:lang w:val="en-US"/>
        </w:rPr>
        <w:t xml:space="preserve"> for the efficacy</w:t>
      </w:r>
      <w:r w:rsidRPr="00243D54">
        <w:rPr>
          <w:lang w:val="en-US"/>
        </w:rPr>
        <w:t xml:space="preserve"> of avatrombopag and eltrombopag</w:t>
      </w:r>
      <w:r>
        <w:rPr>
          <w:lang w:val="en-US"/>
        </w:rPr>
        <w:t>,</w:t>
      </w:r>
      <w:r w:rsidRPr="00243D54">
        <w:rPr>
          <w:lang w:val="en-US"/>
        </w:rPr>
        <w:t xml:space="preserve"> as presented in the submission</w:t>
      </w:r>
      <w:r>
        <w:rPr>
          <w:lang w:val="en-US"/>
        </w:rPr>
        <w:t>,</w:t>
      </w:r>
      <w:r w:rsidRPr="00243D54">
        <w:rPr>
          <w:lang w:val="en-US"/>
        </w:rPr>
        <w:t xml:space="preserve"> are shown </w:t>
      </w:r>
      <w:r w:rsidRPr="00FD4B6A">
        <w:rPr>
          <w:rFonts w:cstheme="minorHAnsi"/>
          <w:lang w:val="en-US"/>
        </w:rPr>
        <w:t>in</w:t>
      </w:r>
      <w:r w:rsidR="00032021">
        <w:rPr>
          <w:rFonts w:cstheme="minorHAnsi"/>
          <w:lang w:val="en-US"/>
        </w:rPr>
        <w:t xml:space="preserve"> </w:t>
      </w:r>
      <w:r w:rsidR="00032021">
        <w:rPr>
          <w:rFonts w:cstheme="minorHAnsi"/>
          <w:lang w:val="en-US"/>
        </w:rPr>
        <w:fldChar w:fldCharType="begin" w:fldLock="1"/>
      </w:r>
      <w:r w:rsidR="00032021">
        <w:rPr>
          <w:rFonts w:cstheme="minorHAnsi"/>
          <w:lang w:val="en-US"/>
        </w:rPr>
        <w:instrText xml:space="preserve"> REF _Ref112585806 \h </w:instrText>
      </w:r>
      <w:r w:rsidR="00032021">
        <w:rPr>
          <w:rFonts w:cstheme="minorHAnsi"/>
          <w:lang w:val="en-US"/>
        </w:rPr>
      </w:r>
      <w:r w:rsidR="00032021">
        <w:rPr>
          <w:rFonts w:cstheme="minorHAnsi"/>
          <w:lang w:val="en-US"/>
        </w:rPr>
        <w:fldChar w:fldCharType="separate"/>
      </w:r>
      <w:r w:rsidR="0080246B">
        <w:t xml:space="preserve">Table </w:t>
      </w:r>
      <w:r w:rsidR="0080246B">
        <w:rPr>
          <w:noProof/>
        </w:rPr>
        <w:t>6</w:t>
      </w:r>
      <w:r w:rsidR="00032021">
        <w:rPr>
          <w:rFonts w:cstheme="minorHAnsi"/>
          <w:lang w:val="en-US"/>
        </w:rPr>
        <w:fldChar w:fldCharType="end"/>
      </w:r>
      <w:r w:rsidRPr="00243D54">
        <w:rPr>
          <w:lang w:val="en-US"/>
        </w:rPr>
        <w:t>.</w:t>
      </w:r>
      <w:bookmarkEnd w:id="28"/>
    </w:p>
    <w:p w14:paraId="40E58CD6" w14:textId="230D11BE" w:rsidR="007D4BFA" w:rsidRPr="00DB610E" w:rsidRDefault="00032021" w:rsidP="00032021">
      <w:pPr>
        <w:pStyle w:val="Caption"/>
        <w:rPr>
          <w:szCs w:val="20"/>
        </w:rPr>
      </w:pPr>
      <w:bookmarkStart w:id="29" w:name="_Ref112585806"/>
      <w:bookmarkStart w:id="30" w:name="_Ref118799406"/>
      <w:r>
        <w:t xml:space="preserve">Table </w:t>
      </w:r>
      <w:fldSimple w:instr=" SEQ Table \* ARABIC " w:fldLock="1">
        <w:r w:rsidR="0080246B">
          <w:rPr>
            <w:noProof/>
          </w:rPr>
          <w:t>6</w:t>
        </w:r>
      </w:fldSimple>
      <w:bookmarkEnd w:id="29"/>
      <w:r w:rsidR="007D4BFA" w:rsidRPr="00DB610E">
        <w:rPr>
          <w:szCs w:val="20"/>
        </w:rPr>
        <w:t>: Efficacy outcomes vs placebo and</w:t>
      </w:r>
      <w:r w:rsidR="002756AC">
        <w:rPr>
          <w:szCs w:val="20"/>
        </w:rPr>
        <w:t xml:space="preserve"> indirect comparison of</w:t>
      </w:r>
      <w:r w:rsidR="007D4BFA" w:rsidRPr="00DB610E">
        <w:rPr>
          <w:szCs w:val="20"/>
        </w:rPr>
        <w:t xml:space="preserve"> avatrombopag vs eltrombopag</w:t>
      </w:r>
      <w:bookmarkEnd w:id="30"/>
      <w:r w:rsidR="007D4BFA" w:rsidRPr="00DB610E">
        <w:rPr>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774"/>
        <w:gridCol w:w="1582"/>
        <w:gridCol w:w="1710"/>
        <w:gridCol w:w="1625"/>
        <w:gridCol w:w="1690"/>
      </w:tblGrid>
      <w:tr w:rsidR="00A1240A" w:rsidRPr="00DB610E" w14:paraId="34E11090" w14:textId="77777777" w:rsidTr="00FF5CBC">
        <w:trPr>
          <w:cantSplit/>
          <w:tblHeader/>
        </w:trPr>
        <w:tc>
          <w:tcPr>
            <w:tcW w:w="353" w:type="pct"/>
          </w:tcPr>
          <w:p w14:paraId="4158BAFE" w14:textId="77777777" w:rsidR="007D4BFA" w:rsidRPr="00DB610E" w:rsidRDefault="007D4BFA" w:rsidP="001149A9">
            <w:pPr>
              <w:pStyle w:val="TableText0"/>
              <w:rPr>
                <w:szCs w:val="20"/>
              </w:rPr>
            </w:pPr>
          </w:p>
        </w:tc>
        <w:tc>
          <w:tcPr>
            <w:tcW w:w="984" w:type="pct"/>
            <w:vAlign w:val="center"/>
          </w:tcPr>
          <w:p w14:paraId="040A8688" w14:textId="2015130C" w:rsidR="007D4BFA" w:rsidRPr="00F15E73" w:rsidRDefault="007D4BFA" w:rsidP="00F15E73">
            <w:pPr>
              <w:pStyle w:val="TableText0"/>
              <w:jc w:val="center"/>
              <w:rPr>
                <w:b/>
                <w:bCs w:val="0"/>
                <w:szCs w:val="20"/>
              </w:rPr>
            </w:pPr>
            <w:r w:rsidRPr="00F15E73">
              <w:rPr>
                <w:b/>
                <w:bCs w:val="0"/>
                <w:szCs w:val="20"/>
              </w:rPr>
              <w:t>Patients with platelet count &gt; 50 x10</w:t>
            </w:r>
            <w:r w:rsidRPr="00F15E73">
              <w:rPr>
                <w:b/>
                <w:bCs w:val="0"/>
                <w:szCs w:val="20"/>
                <w:vertAlign w:val="superscript"/>
              </w:rPr>
              <w:t>9</w:t>
            </w:r>
            <w:r w:rsidRPr="00F15E73">
              <w:rPr>
                <w:b/>
                <w:bCs w:val="0"/>
                <w:szCs w:val="20"/>
              </w:rPr>
              <w:t>/L for 6 of the last 8 weeks treatment, n/N (%)</w:t>
            </w:r>
          </w:p>
        </w:tc>
        <w:tc>
          <w:tcPr>
            <w:tcW w:w="877" w:type="pct"/>
            <w:vAlign w:val="center"/>
          </w:tcPr>
          <w:p w14:paraId="22D7C43C" w14:textId="77777777" w:rsidR="007D4BFA" w:rsidRPr="00F15E73" w:rsidRDefault="007D4BFA" w:rsidP="00F15E73">
            <w:pPr>
              <w:pStyle w:val="TableText0"/>
              <w:jc w:val="center"/>
              <w:rPr>
                <w:b/>
                <w:bCs w:val="0"/>
                <w:szCs w:val="20"/>
              </w:rPr>
            </w:pPr>
            <w:r w:rsidRPr="00F15E73">
              <w:rPr>
                <w:b/>
                <w:bCs w:val="0"/>
                <w:szCs w:val="20"/>
              </w:rPr>
              <w:t>Reduction in concomitant ITP treatments in use at baseline, n/N (%)</w:t>
            </w:r>
          </w:p>
        </w:tc>
        <w:tc>
          <w:tcPr>
            <w:tcW w:w="948" w:type="pct"/>
            <w:vAlign w:val="center"/>
          </w:tcPr>
          <w:p w14:paraId="4A8FE772" w14:textId="77777777" w:rsidR="007D4BFA" w:rsidRPr="00F15E73" w:rsidRDefault="007D4BFA" w:rsidP="00F15E73">
            <w:pPr>
              <w:pStyle w:val="TableText0"/>
              <w:jc w:val="center"/>
              <w:rPr>
                <w:b/>
                <w:bCs w:val="0"/>
                <w:szCs w:val="20"/>
              </w:rPr>
            </w:pPr>
            <w:r w:rsidRPr="00F15E73">
              <w:rPr>
                <w:b/>
                <w:bCs w:val="0"/>
                <w:szCs w:val="20"/>
              </w:rPr>
              <w:t>Any bleeding event</w:t>
            </w:r>
          </w:p>
          <w:p w14:paraId="0DAEDC5B" w14:textId="77777777" w:rsidR="007D4BFA" w:rsidRPr="00F15E73" w:rsidRDefault="007D4BFA" w:rsidP="00F15E73">
            <w:pPr>
              <w:pStyle w:val="TableText0"/>
              <w:jc w:val="center"/>
              <w:rPr>
                <w:b/>
                <w:bCs w:val="0"/>
                <w:szCs w:val="20"/>
              </w:rPr>
            </w:pPr>
            <w:r w:rsidRPr="00F15E73">
              <w:rPr>
                <w:b/>
                <w:bCs w:val="0"/>
                <w:szCs w:val="20"/>
              </w:rPr>
              <w:t>n/N (%)</w:t>
            </w:r>
          </w:p>
        </w:tc>
        <w:tc>
          <w:tcPr>
            <w:tcW w:w="901" w:type="pct"/>
            <w:vAlign w:val="center"/>
          </w:tcPr>
          <w:p w14:paraId="08483DAB" w14:textId="77777777" w:rsidR="007D4BFA" w:rsidRPr="00F15E73" w:rsidRDefault="007D4BFA" w:rsidP="00F15E73">
            <w:pPr>
              <w:pStyle w:val="TableText0"/>
              <w:jc w:val="center"/>
              <w:rPr>
                <w:b/>
                <w:bCs w:val="0"/>
                <w:szCs w:val="20"/>
              </w:rPr>
            </w:pPr>
            <w:r w:rsidRPr="00F15E73">
              <w:rPr>
                <w:b/>
                <w:bCs w:val="0"/>
                <w:szCs w:val="20"/>
              </w:rPr>
              <w:t>Bleeding events WHO Grade 2-4</w:t>
            </w:r>
          </w:p>
          <w:p w14:paraId="56727BD9" w14:textId="77777777" w:rsidR="007D4BFA" w:rsidRPr="00F15E73" w:rsidRDefault="007D4BFA" w:rsidP="00F15E73">
            <w:pPr>
              <w:pStyle w:val="TableText0"/>
              <w:jc w:val="center"/>
              <w:rPr>
                <w:b/>
                <w:bCs w:val="0"/>
                <w:szCs w:val="20"/>
              </w:rPr>
            </w:pPr>
            <w:r w:rsidRPr="00F15E73">
              <w:rPr>
                <w:b/>
                <w:bCs w:val="0"/>
                <w:szCs w:val="20"/>
              </w:rPr>
              <w:t>n/N (%)</w:t>
            </w:r>
          </w:p>
        </w:tc>
        <w:tc>
          <w:tcPr>
            <w:tcW w:w="937" w:type="pct"/>
            <w:vAlign w:val="center"/>
          </w:tcPr>
          <w:p w14:paraId="01060C8D" w14:textId="77777777" w:rsidR="007D4BFA" w:rsidRPr="00F15E73" w:rsidRDefault="007D4BFA" w:rsidP="00F15E73">
            <w:pPr>
              <w:pStyle w:val="TableText0"/>
              <w:jc w:val="center"/>
              <w:rPr>
                <w:b/>
                <w:bCs w:val="0"/>
                <w:szCs w:val="20"/>
              </w:rPr>
            </w:pPr>
            <w:r w:rsidRPr="00F15E73">
              <w:rPr>
                <w:b/>
                <w:bCs w:val="0"/>
                <w:szCs w:val="20"/>
              </w:rPr>
              <w:t>Need for rescue therapy</w:t>
            </w:r>
          </w:p>
          <w:p w14:paraId="601C3318" w14:textId="77777777" w:rsidR="007D4BFA" w:rsidRPr="00F15E73" w:rsidRDefault="007D4BFA" w:rsidP="00F15E73">
            <w:pPr>
              <w:pStyle w:val="TableText0"/>
              <w:jc w:val="center"/>
              <w:rPr>
                <w:b/>
                <w:bCs w:val="0"/>
                <w:szCs w:val="20"/>
              </w:rPr>
            </w:pPr>
            <w:r w:rsidRPr="00F15E73">
              <w:rPr>
                <w:b/>
                <w:bCs w:val="0"/>
                <w:szCs w:val="20"/>
              </w:rPr>
              <w:t>n/N (%)</w:t>
            </w:r>
          </w:p>
        </w:tc>
      </w:tr>
      <w:tr w:rsidR="007D4BFA" w:rsidRPr="00DB610E" w14:paraId="2F90D9CD" w14:textId="77777777" w:rsidTr="00FF5CBC">
        <w:trPr>
          <w:cantSplit/>
        </w:trPr>
        <w:tc>
          <w:tcPr>
            <w:tcW w:w="5000" w:type="pct"/>
            <w:gridSpan w:val="6"/>
          </w:tcPr>
          <w:p w14:paraId="39453862" w14:textId="77777777" w:rsidR="007D4BFA" w:rsidRPr="00DB610E" w:rsidRDefault="007D4BFA" w:rsidP="001149A9">
            <w:pPr>
              <w:pStyle w:val="TableText0"/>
              <w:rPr>
                <w:b/>
                <w:szCs w:val="20"/>
              </w:rPr>
            </w:pPr>
            <w:r w:rsidRPr="00DB610E">
              <w:rPr>
                <w:b/>
                <w:szCs w:val="20"/>
              </w:rPr>
              <w:t>Avatrombopag vs placebo (Study 302); RR or RD (95% CI)</w:t>
            </w:r>
          </w:p>
        </w:tc>
      </w:tr>
      <w:tr w:rsidR="00A1240A" w:rsidRPr="00DB610E" w14:paraId="5FA5A484" w14:textId="77777777" w:rsidTr="00FF5CBC">
        <w:trPr>
          <w:cantSplit/>
        </w:trPr>
        <w:tc>
          <w:tcPr>
            <w:tcW w:w="353" w:type="pct"/>
          </w:tcPr>
          <w:p w14:paraId="63004AE9" w14:textId="24902DC3" w:rsidR="007D4BFA" w:rsidRPr="008D6721" w:rsidRDefault="007D4BFA" w:rsidP="001149A9">
            <w:pPr>
              <w:pStyle w:val="TableText0"/>
              <w:rPr>
                <w:b/>
                <w:bCs w:val="0"/>
                <w:szCs w:val="20"/>
              </w:rPr>
            </w:pPr>
            <w:r w:rsidRPr="008D6721">
              <w:rPr>
                <w:rFonts w:eastAsia="Calibri"/>
                <w:b/>
                <w:bCs w:val="0"/>
                <w:szCs w:val="20"/>
              </w:rPr>
              <w:t>Ava.</w:t>
            </w:r>
          </w:p>
        </w:tc>
        <w:tc>
          <w:tcPr>
            <w:tcW w:w="984" w:type="pct"/>
            <w:vAlign w:val="center"/>
          </w:tcPr>
          <w:p w14:paraId="1D46CAC0" w14:textId="42A02E47" w:rsidR="007D4BFA" w:rsidRPr="004B20D4" w:rsidRDefault="007D4BFA" w:rsidP="008D6721">
            <w:pPr>
              <w:pStyle w:val="TableText0"/>
              <w:jc w:val="center"/>
              <w:rPr>
                <w:szCs w:val="20"/>
              </w:rPr>
            </w:pPr>
            <w:r w:rsidRPr="004B20D4">
              <w:rPr>
                <w:szCs w:val="20"/>
              </w:rPr>
              <w:t>11/32 (34</w:t>
            </w:r>
            <w:r w:rsidR="00B61141" w:rsidRPr="004B20D4">
              <w:rPr>
                <w:szCs w:val="20"/>
              </w:rPr>
              <w:t>.38</w:t>
            </w:r>
            <w:r w:rsidRPr="004B20D4">
              <w:rPr>
                <w:szCs w:val="20"/>
              </w:rPr>
              <w:t>%)</w:t>
            </w:r>
          </w:p>
        </w:tc>
        <w:tc>
          <w:tcPr>
            <w:tcW w:w="877" w:type="pct"/>
            <w:vAlign w:val="center"/>
          </w:tcPr>
          <w:p w14:paraId="3FDCF620" w14:textId="556A99AF" w:rsidR="007D4BFA" w:rsidRPr="00EA77EA" w:rsidRDefault="007D4BFA" w:rsidP="008D6721">
            <w:pPr>
              <w:pStyle w:val="TableText0"/>
              <w:jc w:val="center"/>
              <w:rPr>
                <w:szCs w:val="20"/>
              </w:rPr>
            </w:pPr>
            <w:r w:rsidRPr="00EA77EA">
              <w:rPr>
                <w:szCs w:val="20"/>
              </w:rPr>
              <w:t>5/15 (33</w:t>
            </w:r>
            <w:r w:rsidR="00B61141" w:rsidRPr="00EA77EA">
              <w:rPr>
                <w:szCs w:val="20"/>
              </w:rPr>
              <w:t>.33</w:t>
            </w:r>
            <w:r w:rsidRPr="00EA77EA">
              <w:rPr>
                <w:szCs w:val="20"/>
              </w:rPr>
              <w:t>%)</w:t>
            </w:r>
          </w:p>
        </w:tc>
        <w:tc>
          <w:tcPr>
            <w:tcW w:w="948" w:type="pct"/>
            <w:vAlign w:val="center"/>
          </w:tcPr>
          <w:p w14:paraId="1ADB0351" w14:textId="3E870738" w:rsidR="007D4BFA" w:rsidRPr="00EA77EA" w:rsidRDefault="007D4BFA" w:rsidP="008D6721">
            <w:pPr>
              <w:pStyle w:val="TableText0"/>
              <w:jc w:val="center"/>
              <w:rPr>
                <w:szCs w:val="20"/>
              </w:rPr>
            </w:pPr>
            <w:r w:rsidRPr="00EA77EA">
              <w:rPr>
                <w:szCs w:val="20"/>
              </w:rPr>
              <w:t>14/32 (4</w:t>
            </w:r>
            <w:r w:rsidR="004D5EE6" w:rsidRPr="00EA77EA">
              <w:rPr>
                <w:szCs w:val="20"/>
              </w:rPr>
              <w:t>3.75</w:t>
            </w:r>
            <w:r w:rsidRPr="00EA77EA">
              <w:rPr>
                <w:szCs w:val="20"/>
              </w:rPr>
              <w:t>%)</w:t>
            </w:r>
          </w:p>
        </w:tc>
        <w:tc>
          <w:tcPr>
            <w:tcW w:w="901" w:type="pct"/>
            <w:vAlign w:val="center"/>
          </w:tcPr>
          <w:p w14:paraId="5F1AFE29" w14:textId="22C2DAB9" w:rsidR="007D4BFA" w:rsidRPr="00EA77EA" w:rsidRDefault="007D4BFA" w:rsidP="008D6721">
            <w:pPr>
              <w:pStyle w:val="TableText0"/>
              <w:jc w:val="center"/>
              <w:rPr>
                <w:szCs w:val="20"/>
              </w:rPr>
            </w:pPr>
            <w:r w:rsidRPr="00EA77EA">
              <w:rPr>
                <w:szCs w:val="20"/>
              </w:rPr>
              <w:t>3/32 (9</w:t>
            </w:r>
            <w:r w:rsidR="004D5EE6" w:rsidRPr="00EA77EA">
              <w:rPr>
                <w:szCs w:val="20"/>
              </w:rPr>
              <w:t>.38</w:t>
            </w:r>
            <w:r w:rsidRPr="00EA77EA">
              <w:rPr>
                <w:szCs w:val="20"/>
              </w:rPr>
              <w:t>%)</w:t>
            </w:r>
          </w:p>
        </w:tc>
        <w:tc>
          <w:tcPr>
            <w:tcW w:w="937" w:type="pct"/>
            <w:vAlign w:val="center"/>
          </w:tcPr>
          <w:p w14:paraId="29954C87" w14:textId="42523C16" w:rsidR="007D4BFA" w:rsidRPr="004B20D4" w:rsidRDefault="007D4BFA" w:rsidP="008D6721">
            <w:pPr>
              <w:pStyle w:val="TableText0"/>
              <w:jc w:val="center"/>
              <w:rPr>
                <w:szCs w:val="20"/>
                <w:highlight w:val="lightGray"/>
              </w:rPr>
            </w:pPr>
            <w:r w:rsidRPr="004B20D4">
              <w:rPr>
                <w:szCs w:val="20"/>
              </w:rPr>
              <w:t>7/32 (2</w:t>
            </w:r>
            <w:r w:rsidR="00B501FF" w:rsidRPr="004B20D4">
              <w:rPr>
                <w:szCs w:val="20"/>
              </w:rPr>
              <w:t>1.</w:t>
            </w:r>
            <w:r w:rsidR="0049311A">
              <w:rPr>
                <w:szCs w:val="20"/>
              </w:rPr>
              <w:t>88</w:t>
            </w:r>
            <w:r w:rsidRPr="004B20D4">
              <w:rPr>
                <w:szCs w:val="20"/>
              </w:rPr>
              <w:t>%)</w:t>
            </w:r>
          </w:p>
        </w:tc>
      </w:tr>
      <w:tr w:rsidR="00A1240A" w:rsidRPr="00DB610E" w14:paraId="1602F9A3" w14:textId="77777777" w:rsidTr="00FF5CBC">
        <w:trPr>
          <w:cantSplit/>
        </w:trPr>
        <w:tc>
          <w:tcPr>
            <w:tcW w:w="353" w:type="pct"/>
          </w:tcPr>
          <w:p w14:paraId="70A5551C" w14:textId="77777777" w:rsidR="007D4BFA" w:rsidRPr="008D6721" w:rsidRDefault="007D4BFA" w:rsidP="001149A9">
            <w:pPr>
              <w:pStyle w:val="TableText0"/>
              <w:rPr>
                <w:b/>
                <w:bCs w:val="0"/>
                <w:szCs w:val="20"/>
              </w:rPr>
            </w:pPr>
            <w:r w:rsidRPr="008D6721">
              <w:rPr>
                <w:b/>
                <w:bCs w:val="0"/>
                <w:szCs w:val="20"/>
              </w:rPr>
              <w:t>Plac.</w:t>
            </w:r>
          </w:p>
        </w:tc>
        <w:tc>
          <w:tcPr>
            <w:tcW w:w="984" w:type="pct"/>
            <w:vAlign w:val="center"/>
          </w:tcPr>
          <w:p w14:paraId="11BF085D" w14:textId="27B8DE1C" w:rsidR="007D4BFA" w:rsidRPr="004B20D4" w:rsidRDefault="007D4BFA" w:rsidP="008D6721">
            <w:pPr>
              <w:pStyle w:val="TableText0"/>
              <w:jc w:val="center"/>
              <w:rPr>
                <w:szCs w:val="20"/>
                <w:highlight w:val="lightGray"/>
              </w:rPr>
            </w:pPr>
            <w:r w:rsidRPr="004B20D4">
              <w:rPr>
                <w:szCs w:val="20"/>
              </w:rPr>
              <w:t>0/17 (0</w:t>
            </w:r>
            <w:r w:rsidR="00B61141" w:rsidRPr="004B20D4">
              <w:rPr>
                <w:szCs w:val="20"/>
              </w:rPr>
              <w:t>.00</w:t>
            </w:r>
            <w:r w:rsidRPr="004B20D4">
              <w:rPr>
                <w:szCs w:val="20"/>
              </w:rPr>
              <w:t>%)</w:t>
            </w:r>
          </w:p>
        </w:tc>
        <w:tc>
          <w:tcPr>
            <w:tcW w:w="877" w:type="pct"/>
            <w:vAlign w:val="center"/>
          </w:tcPr>
          <w:p w14:paraId="68B08E8E" w14:textId="1F8F600C" w:rsidR="007D4BFA" w:rsidRPr="00EA77EA" w:rsidRDefault="007D4BFA" w:rsidP="008D6721">
            <w:pPr>
              <w:pStyle w:val="TableText0"/>
              <w:jc w:val="center"/>
              <w:rPr>
                <w:szCs w:val="20"/>
              </w:rPr>
            </w:pPr>
            <w:r w:rsidRPr="00EA77EA">
              <w:rPr>
                <w:szCs w:val="20"/>
              </w:rPr>
              <w:t>0/7 (0</w:t>
            </w:r>
            <w:r w:rsidR="00B61141" w:rsidRPr="00EA77EA">
              <w:rPr>
                <w:szCs w:val="20"/>
              </w:rPr>
              <w:t>.00</w:t>
            </w:r>
            <w:r w:rsidRPr="00EA77EA">
              <w:rPr>
                <w:szCs w:val="20"/>
              </w:rPr>
              <w:t>%)</w:t>
            </w:r>
          </w:p>
        </w:tc>
        <w:tc>
          <w:tcPr>
            <w:tcW w:w="948" w:type="pct"/>
            <w:vAlign w:val="center"/>
          </w:tcPr>
          <w:p w14:paraId="5859D552" w14:textId="184BF77A" w:rsidR="007D4BFA" w:rsidRPr="00EA77EA" w:rsidRDefault="007D4BFA" w:rsidP="008D6721">
            <w:pPr>
              <w:pStyle w:val="TableText0"/>
              <w:jc w:val="center"/>
              <w:rPr>
                <w:szCs w:val="20"/>
              </w:rPr>
            </w:pPr>
            <w:r w:rsidRPr="00EA77EA">
              <w:rPr>
                <w:szCs w:val="20"/>
              </w:rPr>
              <w:t>9/17 (5</w:t>
            </w:r>
            <w:r w:rsidR="004D5EE6" w:rsidRPr="00EA77EA">
              <w:rPr>
                <w:szCs w:val="20"/>
              </w:rPr>
              <w:t>2.94</w:t>
            </w:r>
            <w:r w:rsidRPr="00EA77EA">
              <w:rPr>
                <w:szCs w:val="20"/>
              </w:rPr>
              <w:t>%)</w:t>
            </w:r>
          </w:p>
        </w:tc>
        <w:tc>
          <w:tcPr>
            <w:tcW w:w="901" w:type="pct"/>
            <w:vAlign w:val="center"/>
          </w:tcPr>
          <w:p w14:paraId="09598EAC" w14:textId="2EEFC63F" w:rsidR="007D4BFA" w:rsidRPr="00EA77EA" w:rsidRDefault="007D4BFA" w:rsidP="008D6721">
            <w:pPr>
              <w:pStyle w:val="TableText0"/>
              <w:jc w:val="center"/>
              <w:rPr>
                <w:szCs w:val="20"/>
              </w:rPr>
            </w:pPr>
            <w:r w:rsidRPr="00EA77EA">
              <w:rPr>
                <w:szCs w:val="20"/>
              </w:rPr>
              <w:t>0/17 (0</w:t>
            </w:r>
            <w:r w:rsidR="004D5EE6" w:rsidRPr="00EA77EA">
              <w:rPr>
                <w:szCs w:val="20"/>
              </w:rPr>
              <w:t>.00</w:t>
            </w:r>
            <w:r w:rsidRPr="00EA77EA">
              <w:rPr>
                <w:szCs w:val="20"/>
              </w:rPr>
              <w:t>%)</w:t>
            </w:r>
          </w:p>
        </w:tc>
        <w:tc>
          <w:tcPr>
            <w:tcW w:w="937" w:type="pct"/>
            <w:vAlign w:val="center"/>
          </w:tcPr>
          <w:p w14:paraId="4BC314D4" w14:textId="1860C7C3" w:rsidR="007D4BFA" w:rsidRPr="004B20D4" w:rsidRDefault="007D4BFA" w:rsidP="008D6721">
            <w:pPr>
              <w:pStyle w:val="TableText0"/>
              <w:jc w:val="center"/>
              <w:rPr>
                <w:szCs w:val="20"/>
              </w:rPr>
            </w:pPr>
            <w:r w:rsidRPr="004B20D4">
              <w:rPr>
                <w:szCs w:val="20"/>
              </w:rPr>
              <w:t>2/17 (1</w:t>
            </w:r>
            <w:r w:rsidR="00B501FF" w:rsidRPr="004B20D4">
              <w:rPr>
                <w:szCs w:val="20"/>
              </w:rPr>
              <w:t>1.</w:t>
            </w:r>
            <w:r w:rsidR="0049311A">
              <w:rPr>
                <w:szCs w:val="20"/>
              </w:rPr>
              <w:t>76</w:t>
            </w:r>
            <w:r w:rsidRPr="004B20D4">
              <w:rPr>
                <w:szCs w:val="20"/>
              </w:rPr>
              <w:t>%)</w:t>
            </w:r>
          </w:p>
        </w:tc>
      </w:tr>
      <w:tr w:rsidR="00A1240A" w:rsidRPr="00DB610E" w14:paraId="2F5176BD" w14:textId="77777777" w:rsidTr="00FF5CBC">
        <w:trPr>
          <w:cantSplit/>
        </w:trPr>
        <w:tc>
          <w:tcPr>
            <w:tcW w:w="353" w:type="pct"/>
          </w:tcPr>
          <w:p w14:paraId="0B2F95EB" w14:textId="77777777" w:rsidR="007D4BFA" w:rsidRPr="008D6721" w:rsidRDefault="007D4BFA" w:rsidP="001149A9">
            <w:pPr>
              <w:pStyle w:val="TableText0"/>
              <w:rPr>
                <w:b/>
                <w:bCs w:val="0"/>
                <w:szCs w:val="20"/>
              </w:rPr>
            </w:pPr>
            <w:r w:rsidRPr="008D6721">
              <w:rPr>
                <w:b/>
                <w:bCs w:val="0"/>
                <w:szCs w:val="20"/>
              </w:rPr>
              <w:t>RR</w:t>
            </w:r>
          </w:p>
        </w:tc>
        <w:tc>
          <w:tcPr>
            <w:tcW w:w="984" w:type="pct"/>
            <w:vAlign w:val="center"/>
          </w:tcPr>
          <w:p w14:paraId="3B971896" w14:textId="19F76EC4" w:rsidR="007D4BFA" w:rsidRPr="004B20D4" w:rsidRDefault="007D4BFA" w:rsidP="008D6721">
            <w:pPr>
              <w:pStyle w:val="TableText0"/>
              <w:jc w:val="center"/>
              <w:rPr>
                <w:szCs w:val="20"/>
                <w:highlight w:val="lightGray"/>
              </w:rPr>
            </w:pPr>
            <w:r w:rsidRPr="004B20D4">
              <w:rPr>
                <w:szCs w:val="20"/>
              </w:rPr>
              <w:t>12.6 (0.</w:t>
            </w:r>
            <w:r w:rsidR="00B61141" w:rsidRPr="004B20D4">
              <w:rPr>
                <w:szCs w:val="20"/>
              </w:rPr>
              <w:t>7</w:t>
            </w:r>
            <w:r w:rsidRPr="004B20D4">
              <w:rPr>
                <w:szCs w:val="20"/>
              </w:rPr>
              <w:t>8, 200.7</w:t>
            </w:r>
            <w:r w:rsidR="00B61141" w:rsidRPr="004B20D4">
              <w:rPr>
                <w:szCs w:val="20"/>
              </w:rPr>
              <w:t>2</w:t>
            </w:r>
            <w:r w:rsidRPr="004B20D4">
              <w:rPr>
                <w:szCs w:val="20"/>
              </w:rPr>
              <w:t>)</w:t>
            </w:r>
          </w:p>
        </w:tc>
        <w:tc>
          <w:tcPr>
            <w:tcW w:w="877" w:type="pct"/>
            <w:vAlign w:val="center"/>
          </w:tcPr>
          <w:p w14:paraId="2E96FF85" w14:textId="02A92115" w:rsidR="007D4BFA" w:rsidRPr="00EA77EA" w:rsidRDefault="007D4BFA" w:rsidP="008D6721">
            <w:pPr>
              <w:pStyle w:val="TableText0"/>
              <w:jc w:val="center"/>
              <w:rPr>
                <w:szCs w:val="20"/>
              </w:rPr>
            </w:pPr>
            <w:r w:rsidRPr="00EA77EA">
              <w:rPr>
                <w:szCs w:val="20"/>
              </w:rPr>
              <w:t>5.</w:t>
            </w:r>
            <w:r w:rsidR="004D5EE6" w:rsidRPr="00EA77EA">
              <w:rPr>
                <w:szCs w:val="20"/>
              </w:rPr>
              <w:t>50</w:t>
            </w:r>
            <w:r w:rsidRPr="00EA77EA">
              <w:rPr>
                <w:szCs w:val="20"/>
              </w:rPr>
              <w:t xml:space="preserve"> (0.35, 87.</w:t>
            </w:r>
            <w:r w:rsidR="004D5EE6" w:rsidRPr="00EA77EA">
              <w:rPr>
                <w:szCs w:val="20"/>
              </w:rPr>
              <w:t>59</w:t>
            </w:r>
            <w:r w:rsidRPr="00EA77EA">
              <w:rPr>
                <w:szCs w:val="20"/>
              </w:rPr>
              <w:t>)</w:t>
            </w:r>
          </w:p>
        </w:tc>
        <w:tc>
          <w:tcPr>
            <w:tcW w:w="948" w:type="pct"/>
            <w:vAlign w:val="center"/>
          </w:tcPr>
          <w:p w14:paraId="71D560AA" w14:textId="77777777" w:rsidR="007D4BFA" w:rsidRPr="00EA77EA" w:rsidRDefault="007D4BFA" w:rsidP="008D6721">
            <w:pPr>
              <w:pStyle w:val="TableText0"/>
              <w:jc w:val="center"/>
              <w:rPr>
                <w:szCs w:val="20"/>
              </w:rPr>
            </w:pPr>
            <w:r w:rsidRPr="00EA77EA">
              <w:rPr>
                <w:szCs w:val="20"/>
              </w:rPr>
              <w:t>0.83 (0.46, 1.50)</w:t>
            </w:r>
          </w:p>
        </w:tc>
        <w:tc>
          <w:tcPr>
            <w:tcW w:w="901" w:type="pct"/>
            <w:vAlign w:val="center"/>
          </w:tcPr>
          <w:p w14:paraId="21EA4150" w14:textId="77777777" w:rsidR="007D4BFA" w:rsidRPr="00EA77EA" w:rsidRDefault="007D4BFA" w:rsidP="008D6721">
            <w:pPr>
              <w:pStyle w:val="TableText0"/>
              <w:jc w:val="center"/>
              <w:rPr>
                <w:szCs w:val="20"/>
              </w:rPr>
            </w:pPr>
            <w:r w:rsidRPr="00EA77EA">
              <w:rPr>
                <w:szCs w:val="20"/>
              </w:rPr>
              <w:t>3.82 (0.21, 69.9)</w:t>
            </w:r>
          </w:p>
        </w:tc>
        <w:tc>
          <w:tcPr>
            <w:tcW w:w="937" w:type="pct"/>
            <w:vAlign w:val="center"/>
          </w:tcPr>
          <w:p w14:paraId="32D84EBD" w14:textId="2EA1D954" w:rsidR="007D4BFA" w:rsidRPr="004B20D4" w:rsidRDefault="007D4BFA" w:rsidP="008D6721">
            <w:pPr>
              <w:pStyle w:val="TableText0"/>
              <w:jc w:val="center"/>
              <w:rPr>
                <w:szCs w:val="20"/>
                <w:highlight w:val="lightGray"/>
              </w:rPr>
            </w:pPr>
            <w:r w:rsidRPr="004B20D4">
              <w:rPr>
                <w:szCs w:val="20"/>
              </w:rPr>
              <w:t xml:space="preserve">1.86 (0.43, </w:t>
            </w:r>
            <w:r w:rsidR="00B501FF" w:rsidRPr="004B20D4">
              <w:rPr>
                <w:szCs w:val="20"/>
              </w:rPr>
              <w:t>7.98</w:t>
            </w:r>
            <w:r w:rsidRPr="004B20D4">
              <w:rPr>
                <w:szCs w:val="20"/>
              </w:rPr>
              <w:t>)</w:t>
            </w:r>
          </w:p>
        </w:tc>
      </w:tr>
      <w:tr w:rsidR="00A1240A" w:rsidRPr="00DB610E" w14:paraId="76D528C2" w14:textId="77777777" w:rsidTr="00FF5CBC">
        <w:trPr>
          <w:cantSplit/>
        </w:trPr>
        <w:tc>
          <w:tcPr>
            <w:tcW w:w="353" w:type="pct"/>
          </w:tcPr>
          <w:p w14:paraId="6344EE79" w14:textId="77777777" w:rsidR="007D4BFA" w:rsidRPr="008D6721" w:rsidRDefault="007D4BFA" w:rsidP="001149A9">
            <w:pPr>
              <w:pStyle w:val="TableText0"/>
              <w:rPr>
                <w:b/>
                <w:bCs w:val="0"/>
                <w:szCs w:val="20"/>
              </w:rPr>
            </w:pPr>
            <w:r w:rsidRPr="008D6721">
              <w:rPr>
                <w:b/>
                <w:bCs w:val="0"/>
                <w:szCs w:val="20"/>
              </w:rPr>
              <w:t>RD</w:t>
            </w:r>
          </w:p>
        </w:tc>
        <w:tc>
          <w:tcPr>
            <w:tcW w:w="984" w:type="pct"/>
            <w:vAlign w:val="center"/>
          </w:tcPr>
          <w:p w14:paraId="667D928A" w14:textId="77777777" w:rsidR="007D4BFA" w:rsidRPr="004B20D4" w:rsidRDefault="007D4BFA" w:rsidP="008D6721">
            <w:pPr>
              <w:pStyle w:val="TableText0"/>
              <w:jc w:val="center"/>
              <w:rPr>
                <w:b/>
                <w:bCs w:val="0"/>
                <w:szCs w:val="20"/>
                <w:highlight w:val="lightGray"/>
              </w:rPr>
            </w:pPr>
            <w:r w:rsidRPr="004B20D4">
              <w:rPr>
                <w:b/>
                <w:bCs w:val="0"/>
                <w:szCs w:val="20"/>
              </w:rPr>
              <w:t>0.34 (0.16, 0.52)</w:t>
            </w:r>
          </w:p>
        </w:tc>
        <w:tc>
          <w:tcPr>
            <w:tcW w:w="877" w:type="pct"/>
            <w:vAlign w:val="center"/>
          </w:tcPr>
          <w:p w14:paraId="7A6B9843" w14:textId="77777777" w:rsidR="007D4BFA" w:rsidRPr="00EA77EA" w:rsidRDefault="007D4BFA" w:rsidP="008D6721">
            <w:pPr>
              <w:pStyle w:val="TableText0"/>
              <w:jc w:val="center"/>
              <w:rPr>
                <w:b/>
                <w:bCs w:val="0"/>
                <w:szCs w:val="20"/>
              </w:rPr>
            </w:pPr>
            <w:r w:rsidRPr="00EA77EA">
              <w:rPr>
                <w:b/>
                <w:bCs w:val="0"/>
                <w:szCs w:val="20"/>
              </w:rPr>
              <w:t>0.33 (0.05, 0.62)</w:t>
            </w:r>
          </w:p>
        </w:tc>
        <w:tc>
          <w:tcPr>
            <w:tcW w:w="948" w:type="pct"/>
            <w:vAlign w:val="center"/>
          </w:tcPr>
          <w:p w14:paraId="0CBD4445" w14:textId="77777777" w:rsidR="007D4BFA" w:rsidRPr="00EA77EA" w:rsidRDefault="007D4BFA" w:rsidP="008D6721">
            <w:pPr>
              <w:pStyle w:val="TableText0"/>
              <w:jc w:val="center"/>
              <w:rPr>
                <w:szCs w:val="20"/>
              </w:rPr>
            </w:pPr>
            <w:r w:rsidRPr="00EA77EA">
              <w:rPr>
                <w:szCs w:val="20"/>
              </w:rPr>
              <w:t>-0.09 (-0.38, 0.20)</w:t>
            </w:r>
          </w:p>
        </w:tc>
        <w:tc>
          <w:tcPr>
            <w:tcW w:w="901" w:type="pct"/>
            <w:vAlign w:val="center"/>
          </w:tcPr>
          <w:p w14:paraId="53F0BD58" w14:textId="77777777" w:rsidR="007D4BFA" w:rsidRPr="00EA77EA" w:rsidRDefault="007D4BFA" w:rsidP="008D6721">
            <w:pPr>
              <w:pStyle w:val="TableText0"/>
              <w:jc w:val="center"/>
              <w:rPr>
                <w:szCs w:val="20"/>
              </w:rPr>
            </w:pPr>
            <w:r w:rsidRPr="00EA77EA">
              <w:rPr>
                <w:szCs w:val="20"/>
              </w:rPr>
              <w:t>0.09 (-0.04, 0.22)</w:t>
            </w:r>
          </w:p>
        </w:tc>
        <w:tc>
          <w:tcPr>
            <w:tcW w:w="937" w:type="pct"/>
            <w:vAlign w:val="center"/>
          </w:tcPr>
          <w:p w14:paraId="559CAE3C" w14:textId="77777777" w:rsidR="007D4BFA" w:rsidRPr="004B20D4" w:rsidRDefault="007D4BFA" w:rsidP="008D6721">
            <w:pPr>
              <w:pStyle w:val="TableText0"/>
              <w:jc w:val="center"/>
              <w:rPr>
                <w:szCs w:val="20"/>
                <w:highlight w:val="lightGray"/>
              </w:rPr>
            </w:pPr>
            <w:r w:rsidRPr="004B20D4">
              <w:rPr>
                <w:szCs w:val="20"/>
              </w:rPr>
              <w:t>0.10 (-0.1, 0.31)</w:t>
            </w:r>
          </w:p>
        </w:tc>
      </w:tr>
      <w:tr w:rsidR="007D4BFA" w:rsidRPr="00DB610E" w14:paraId="395C5546" w14:textId="77777777" w:rsidTr="00FF5CBC">
        <w:trPr>
          <w:cantSplit/>
        </w:trPr>
        <w:tc>
          <w:tcPr>
            <w:tcW w:w="5000" w:type="pct"/>
            <w:gridSpan w:val="6"/>
          </w:tcPr>
          <w:p w14:paraId="6A898912" w14:textId="77777777" w:rsidR="007D4BFA" w:rsidRPr="00DB610E" w:rsidRDefault="007D4BFA" w:rsidP="001149A9">
            <w:pPr>
              <w:pStyle w:val="TableText0"/>
              <w:rPr>
                <w:b/>
                <w:szCs w:val="20"/>
              </w:rPr>
            </w:pPr>
            <w:r w:rsidRPr="00DB610E">
              <w:rPr>
                <w:b/>
                <w:szCs w:val="20"/>
              </w:rPr>
              <w:t>Eltrombopag vs placebo (RAISE); RR or RD (95% CI)</w:t>
            </w:r>
          </w:p>
        </w:tc>
      </w:tr>
      <w:tr w:rsidR="00A1240A" w:rsidRPr="00DB610E" w14:paraId="044EE95E" w14:textId="77777777" w:rsidTr="00FF5CBC">
        <w:trPr>
          <w:cantSplit/>
        </w:trPr>
        <w:tc>
          <w:tcPr>
            <w:tcW w:w="353" w:type="pct"/>
          </w:tcPr>
          <w:p w14:paraId="26404130" w14:textId="77777777" w:rsidR="007D4BFA" w:rsidRPr="008D6721" w:rsidRDefault="007D4BFA" w:rsidP="001149A9">
            <w:pPr>
              <w:pStyle w:val="TableText0"/>
              <w:rPr>
                <w:b/>
                <w:bCs w:val="0"/>
                <w:szCs w:val="20"/>
              </w:rPr>
            </w:pPr>
            <w:r w:rsidRPr="008D6721">
              <w:rPr>
                <w:b/>
                <w:bCs w:val="0"/>
                <w:szCs w:val="20"/>
              </w:rPr>
              <w:t>Eltro.</w:t>
            </w:r>
          </w:p>
        </w:tc>
        <w:tc>
          <w:tcPr>
            <w:tcW w:w="984" w:type="pct"/>
            <w:vAlign w:val="center"/>
          </w:tcPr>
          <w:p w14:paraId="0A11915A" w14:textId="23325658" w:rsidR="007D4BFA" w:rsidRPr="00F913DB" w:rsidRDefault="007D4BFA" w:rsidP="008D6721">
            <w:pPr>
              <w:pStyle w:val="TableText0"/>
              <w:jc w:val="center"/>
              <w:rPr>
                <w:szCs w:val="20"/>
              </w:rPr>
            </w:pPr>
            <w:r w:rsidRPr="00F913DB">
              <w:rPr>
                <w:szCs w:val="20"/>
              </w:rPr>
              <w:t>57/95 (60</w:t>
            </w:r>
            <w:r w:rsidR="00B61141" w:rsidRPr="00F913DB">
              <w:rPr>
                <w:szCs w:val="20"/>
              </w:rPr>
              <w:t>.00</w:t>
            </w:r>
            <w:r w:rsidRPr="00F913DB">
              <w:rPr>
                <w:szCs w:val="20"/>
              </w:rPr>
              <w:t>%)</w:t>
            </w:r>
          </w:p>
        </w:tc>
        <w:tc>
          <w:tcPr>
            <w:tcW w:w="877" w:type="pct"/>
            <w:vAlign w:val="center"/>
          </w:tcPr>
          <w:p w14:paraId="5F01E509" w14:textId="43D50926" w:rsidR="007D4BFA" w:rsidRPr="00F913DB" w:rsidRDefault="007D4BFA" w:rsidP="008D6721">
            <w:pPr>
              <w:pStyle w:val="TableText0"/>
              <w:jc w:val="center"/>
              <w:rPr>
                <w:szCs w:val="20"/>
              </w:rPr>
            </w:pPr>
            <w:r w:rsidRPr="00F913DB">
              <w:rPr>
                <w:szCs w:val="20"/>
              </w:rPr>
              <w:t>37/63 (54</w:t>
            </w:r>
            <w:r w:rsidR="004D5EE6" w:rsidRPr="00F913DB">
              <w:rPr>
                <w:szCs w:val="20"/>
              </w:rPr>
              <w:t>.41</w:t>
            </w:r>
            <w:r w:rsidRPr="00F913DB">
              <w:rPr>
                <w:szCs w:val="20"/>
              </w:rPr>
              <w:t>%)</w:t>
            </w:r>
          </w:p>
        </w:tc>
        <w:tc>
          <w:tcPr>
            <w:tcW w:w="948" w:type="pct"/>
            <w:vAlign w:val="center"/>
          </w:tcPr>
          <w:p w14:paraId="66BC8513" w14:textId="71722420" w:rsidR="007D4BFA" w:rsidRPr="00F913DB" w:rsidRDefault="007D4BFA" w:rsidP="008D6721">
            <w:pPr>
              <w:pStyle w:val="TableText0"/>
              <w:jc w:val="center"/>
              <w:rPr>
                <w:szCs w:val="20"/>
              </w:rPr>
            </w:pPr>
            <w:r w:rsidRPr="00F913DB">
              <w:rPr>
                <w:szCs w:val="20"/>
              </w:rPr>
              <w:t>106/135 (78.5</w:t>
            </w:r>
            <w:r w:rsidR="004D5EE6" w:rsidRPr="00F913DB">
              <w:rPr>
                <w:szCs w:val="20"/>
              </w:rPr>
              <w:t>2</w:t>
            </w:r>
            <w:r w:rsidRPr="00F913DB">
              <w:rPr>
                <w:szCs w:val="20"/>
              </w:rPr>
              <w:t>%)</w:t>
            </w:r>
          </w:p>
        </w:tc>
        <w:tc>
          <w:tcPr>
            <w:tcW w:w="901" w:type="pct"/>
            <w:vAlign w:val="center"/>
          </w:tcPr>
          <w:p w14:paraId="694A1EF0" w14:textId="4A260F4E" w:rsidR="007D4BFA" w:rsidRPr="00F913DB" w:rsidRDefault="007D4BFA" w:rsidP="008D6721">
            <w:pPr>
              <w:pStyle w:val="TableText0"/>
              <w:jc w:val="center"/>
              <w:rPr>
                <w:szCs w:val="20"/>
              </w:rPr>
            </w:pPr>
            <w:r w:rsidRPr="00F913DB">
              <w:rPr>
                <w:szCs w:val="20"/>
              </w:rPr>
              <w:t>44/135 (32.5</w:t>
            </w:r>
            <w:r w:rsidR="00B501FF" w:rsidRPr="00F913DB">
              <w:rPr>
                <w:szCs w:val="20"/>
              </w:rPr>
              <w:t>9</w:t>
            </w:r>
            <w:r w:rsidRPr="00F913DB">
              <w:rPr>
                <w:szCs w:val="20"/>
              </w:rPr>
              <w:t>%)</w:t>
            </w:r>
          </w:p>
        </w:tc>
        <w:tc>
          <w:tcPr>
            <w:tcW w:w="937" w:type="pct"/>
            <w:vAlign w:val="center"/>
          </w:tcPr>
          <w:p w14:paraId="5B91D2C0" w14:textId="53DC549D" w:rsidR="007D4BFA" w:rsidRPr="00EA77EA" w:rsidRDefault="007D4BFA" w:rsidP="008D6721">
            <w:pPr>
              <w:pStyle w:val="TableText0"/>
              <w:jc w:val="center"/>
              <w:rPr>
                <w:szCs w:val="20"/>
              </w:rPr>
            </w:pPr>
            <w:r w:rsidRPr="00EA77EA">
              <w:rPr>
                <w:szCs w:val="20"/>
              </w:rPr>
              <w:t>24/135 (1</w:t>
            </w:r>
            <w:r w:rsidR="00B501FF" w:rsidRPr="00EA77EA">
              <w:rPr>
                <w:szCs w:val="20"/>
              </w:rPr>
              <w:t>7.</w:t>
            </w:r>
            <w:r w:rsidR="0049311A">
              <w:rPr>
                <w:szCs w:val="20"/>
              </w:rPr>
              <w:t>7</w:t>
            </w:r>
            <w:r w:rsidR="00B501FF" w:rsidRPr="00EA77EA">
              <w:rPr>
                <w:szCs w:val="20"/>
              </w:rPr>
              <w:t>8</w:t>
            </w:r>
            <w:r w:rsidRPr="00EA77EA">
              <w:rPr>
                <w:szCs w:val="20"/>
              </w:rPr>
              <w:t>%)</w:t>
            </w:r>
          </w:p>
        </w:tc>
      </w:tr>
      <w:tr w:rsidR="00A1240A" w:rsidRPr="00DB610E" w14:paraId="27D2C8E5" w14:textId="77777777" w:rsidTr="00FF5CBC">
        <w:trPr>
          <w:cantSplit/>
        </w:trPr>
        <w:tc>
          <w:tcPr>
            <w:tcW w:w="353" w:type="pct"/>
          </w:tcPr>
          <w:p w14:paraId="625B77EA" w14:textId="77777777" w:rsidR="007D4BFA" w:rsidRPr="008D6721" w:rsidRDefault="007D4BFA" w:rsidP="001149A9">
            <w:pPr>
              <w:pStyle w:val="TableText0"/>
              <w:rPr>
                <w:b/>
                <w:bCs w:val="0"/>
                <w:szCs w:val="20"/>
              </w:rPr>
            </w:pPr>
            <w:r w:rsidRPr="008D6721">
              <w:rPr>
                <w:b/>
                <w:bCs w:val="0"/>
                <w:szCs w:val="20"/>
              </w:rPr>
              <w:t>Plac.</w:t>
            </w:r>
          </w:p>
        </w:tc>
        <w:tc>
          <w:tcPr>
            <w:tcW w:w="984" w:type="pct"/>
            <w:vAlign w:val="center"/>
          </w:tcPr>
          <w:p w14:paraId="6A1431C2" w14:textId="48C4AC15" w:rsidR="007D4BFA" w:rsidRPr="00F913DB" w:rsidRDefault="007D4BFA" w:rsidP="008D6721">
            <w:pPr>
              <w:pStyle w:val="TableText0"/>
              <w:jc w:val="center"/>
              <w:rPr>
                <w:szCs w:val="20"/>
              </w:rPr>
            </w:pPr>
            <w:r w:rsidRPr="00F913DB">
              <w:rPr>
                <w:szCs w:val="20"/>
              </w:rPr>
              <w:t>4/39 (10</w:t>
            </w:r>
            <w:r w:rsidR="00B61141" w:rsidRPr="00F913DB">
              <w:rPr>
                <w:szCs w:val="20"/>
              </w:rPr>
              <w:t>.26</w:t>
            </w:r>
            <w:r w:rsidRPr="00F913DB">
              <w:rPr>
                <w:szCs w:val="20"/>
              </w:rPr>
              <w:t>%)</w:t>
            </w:r>
          </w:p>
        </w:tc>
        <w:tc>
          <w:tcPr>
            <w:tcW w:w="877" w:type="pct"/>
            <w:vAlign w:val="center"/>
          </w:tcPr>
          <w:p w14:paraId="23C5D2F1" w14:textId="502E701C" w:rsidR="007D4BFA" w:rsidRPr="00F913DB" w:rsidRDefault="007D4BFA" w:rsidP="008D6721">
            <w:pPr>
              <w:pStyle w:val="TableText0"/>
              <w:jc w:val="center"/>
              <w:rPr>
                <w:szCs w:val="20"/>
              </w:rPr>
            </w:pPr>
            <w:r w:rsidRPr="00F913DB">
              <w:rPr>
                <w:szCs w:val="20"/>
              </w:rPr>
              <w:t>10/31 (32</w:t>
            </w:r>
            <w:r w:rsidR="004D5EE6" w:rsidRPr="00F913DB">
              <w:rPr>
                <w:szCs w:val="20"/>
              </w:rPr>
              <w:t>.26</w:t>
            </w:r>
            <w:r w:rsidRPr="00F913DB">
              <w:rPr>
                <w:szCs w:val="20"/>
              </w:rPr>
              <w:t>%)</w:t>
            </w:r>
          </w:p>
        </w:tc>
        <w:tc>
          <w:tcPr>
            <w:tcW w:w="948" w:type="pct"/>
            <w:vAlign w:val="center"/>
          </w:tcPr>
          <w:p w14:paraId="773A3DDD" w14:textId="3749D362" w:rsidR="007D4BFA" w:rsidRPr="00F913DB" w:rsidRDefault="007D4BFA" w:rsidP="008D6721">
            <w:pPr>
              <w:pStyle w:val="TableText0"/>
              <w:jc w:val="center"/>
              <w:rPr>
                <w:szCs w:val="20"/>
              </w:rPr>
            </w:pPr>
            <w:r w:rsidRPr="00F913DB">
              <w:rPr>
                <w:szCs w:val="20"/>
              </w:rPr>
              <w:t>56/61 (9</w:t>
            </w:r>
            <w:r w:rsidR="004D5EE6" w:rsidRPr="00F913DB">
              <w:rPr>
                <w:szCs w:val="20"/>
              </w:rPr>
              <w:t>1.80</w:t>
            </w:r>
            <w:r w:rsidRPr="00F913DB">
              <w:rPr>
                <w:szCs w:val="20"/>
              </w:rPr>
              <w:t>%)</w:t>
            </w:r>
          </w:p>
        </w:tc>
        <w:tc>
          <w:tcPr>
            <w:tcW w:w="901" w:type="pct"/>
            <w:vAlign w:val="center"/>
          </w:tcPr>
          <w:p w14:paraId="10645115" w14:textId="263F2CEC" w:rsidR="007D4BFA" w:rsidRPr="00F913DB" w:rsidRDefault="007D4BFA" w:rsidP="008D6721">
            <w:pPr>
              <w:pStyle w:val="TableText0"/>
              <w:jc w:val="center"/>
              <w:rPr>
                <w:szCs w:val="20"/>
              </w:rPr>
            </w:pPr>
            <w:r w:rsidRPr="00F913DB">
              <w:rPr>
                <w:szCs w:val="20"/>
              </w:rPr>
              <w:t>32/61 (52.</w:t>
            </w:r>
            <w:r w:rsidR="00B501FF" w:rsidRPr="00F913DB">
              <w:rPr>
                <w:szCs w:val="20"/>
              </w:rPr>
              <w:t>46</w:t>
            </w:r>
            <w:r w:rsidRPr="00F913DB">
              <w:rPr>
                <w:szCs w:val="20"/>
              </w:rPr>
              <w:t>%)</w:t>
            </w:r>
          </w:p>
        </w:tc>
        <w:tc>
          <w:tcPr>
            <w:tcW w:w="937" w:type="pct"/>
            <w:vAlign w:val="center"/>
          </w:tcPr>
          <w:p w14:paraId="7387479A" w14:textId="46A6DD88" w:rsidR="007D4BFA" w:rsidRPr="00EA77EA" w:rsidRDefault="007D4BFA" w:rsidP="008D6721">
            <w:pPr>
              <w:pStyle w:val="TableText0"/>
              <w:jc w:val="center"/>
              <w:rPr>
                <w:szCs w:val="20"/>
              </w:rPr>
            </w:pPr>
            <w:r w:rsidRPr="00EA77EA">
              <w:rPr>
                <w:szCs w:val="20"/>
              </w:rPr>
              <w:t>25/62 (40</w:t>
            </w:r>
            <w:r w:rsidR="00B501FF" w:rsidRPr="00EA77EA">
              <w:rPr>
                <w:szCs w:val="20"/>
              </w:rPr>
              <w:t>.3</w:t>
            </w:r>
            <w:r w:rsidR="0049311A">
              <w:rPr>
                <w:szCs w:val="20"/>
              </w:rPr>
              <w:t>2</w:t>
            </w:r>
            <w:r w:rsidRPr="00EA77EA">
              <w:rPr>
                <w:szCs w:val="20"/>
              </w:rPr>
              <w:t>%)</w:t>
            </w:r>
          </w:p>
        </w:tc>
      </w:tr>
      <w:tr w:rsidR="00A1240A" w:rsidRPr="00DB610E" w14:paraId="3B1317D2" w14:textId="77777777" w:rsidTr="00FF5CBC">
        <w:trPr>
          <w:cantSplit/>
        </w:trPr>
        <w:tc>
          <w:tcPr>
            <w:tcW w:w="353" w:type="pct"/>
          </w:tcPr>
          <w:p w14:paraId="5C71CD09" w14:textId="77777777" w:rsidR="007D4BFA" w:rsidRPr="008D6721" w:rsidRDefault="007D4BFA" w:rsidP="001149A9">
            <w:pPr>
              <w:pStyle w:val="TableText0"/>
              <w:rPr>
                <w:b/>
                <w:bCs w:val="0"/>
                <w:szCs w:val="20"/>
              </w:rPr>
            </w:pPr>
            <w:r w:rsidRPr="008D6721">
              <w:rPr>
                <w:b/>
                <w:bCs w:val="0"/>
                <w:szCs w:val="20"/>
              </w:rPr>
              <w:t>RR</w:t>
            </w:r>
          </w:p>
        </w:tc>
        <w:tc>
          <w:tcPr>
            <w:tcW w:w="984" w:type="pct"/>
            <w:vAlign w:val="center"/>
          </w:tcPr>
          <w:p w14:paraId="14D3B5ED" w14:textId="5EE7BCC3" w:rsidR="007D4BFA" w:rsidRPr="00F913DB" w:rsidRDefault="004B20D4" w:rsidP="008D6721">
            <w:pPr>
              <w:pStyle w:val="TableText0"/>
              <w:jc w:val="center"/>
              <w:rPr>
                <w:b/>
                <w:bCs w:val="0"/>
                <w:szCs w:val="20"/>
              </w:rPr>
            </w:pPr>
            <w:r w:rsidRPr="00F913DB">
              <w:rPr>
                <w:b/>
              </w:rPr>
              <w:t>5.85 (2.28, 15.02)</w:t>
            </w:r>
            <w:r w:rsidRPr="00F913DB">
              <w:rPr>
                <w:b/>
                <w:vertAlign w:val="superscript"/>
              </w:rPr>
              <w:t>a</w:t>
            </w:r>
          </w:p>
        </w:tc>
        <w:tc>
          <w:tcPr>
            <w:tcW w:w="877" w:type="pct"/>
            <w:vAlign w:val="center"/>
          </w:tcPr>
          <w:p w14:paraId="18F70EE8" w14:textId="77777777" w:rsidR="007D4BFA" w:rsidRPr="00F913DB" w:rsidRDefault="007D4BFA" w:rsidP="008D6721">
            <w:pPr>
              <w:pStyle w:val="TableText0"/>
              <w:jc w:val="center"/>
              <w:rPr>
                <w:b/>
                <w:bCs w:val="0"/>
                <w:szCs w:val="20"/>
              </w:rPr>
            </w:pPr>
            <w:r w:rsidRPr="00F913DB">
              <w:rPr>
                <w:b/>
                <w:bCs w:val="0"/>
                <w:szCs w:val="20"/>
              </w:rPr>
              <w:t>1.82 (1.05, 3.16)</w:t>
            </w:r>
          </w:p>
        </w:tc>
        <w:tc>
          <w:tcPr>
            <w:tcW w:w="948" w:type="pct"/>
            <w:vAlign w:val="center"/>
          </w:tcPr>
          <w:p w14:paraId="59038A89" w14:textId="77777777" w:rsidR="007D4BFA" w:rsidRPr="00F913DB" w:rsidRDefault="007D4BFA" w:rsidP="008D6721">
            <w:pPr>
              <w:pStyle w:val="TableText0"/>
              <w:jc w:val="center"/>
              <w:rPr>
                <w:b/>
                <w:bCs w:val="0"/>
                <w:szCs w:val="20"/>
              </w:rPr>
            </w:pPr>
            <w:r w:rsidRPr="00F913DB">
              <w:rPr>
                <w:b/>
                <w:bCs w:val="0"/>
                <w:szCs w:val="20"/>
              </w:rPr>
              <w:t>0.86 (0.76, 0.96)</w:t>
            </w:r>
          </w:p>
        </w:tc>
        <w:tc>
          <w:tcPr>
            <w:tcW w:w="901" w:type="pct"/>
            <w:vAlign w:val="center"/>
          </w:tcPr>
          <w:p w14:paraId="77E682B5" w14:textId="77777777" w:rsidR="007D4BFA" w:rsidRPr="00F913DB" w:rsidRDefault="007D4BFA" w:rsidP="008D6721">
            <w:pPr>
              <w:pStyle w:val="TableText0"/>
              <w:jc w:val="center"/>
              <w:rPr>
                <w:b/>
                <w:bCs w:val="0"/>
                <w:szCs w:val="20"/>
              </w:rPr>
            </w:pPr>
            <w:r w:rsidRPr="00F913DB">
              <w:rPr>
                <w:b/>
                <w:bCs w:val="0"/>
                <w:szCs w:val="20"/>
              </w:rPr>
              <w:t>0.62 (0.44, 0.87)</w:t>
            </w:r>
          </w:p>
        </w:tc>
        <w:tc>
          <w:tcPr>
            <w:tcW w:w="937" w:type="pct"/>
            <w:vAlign w:val="center"/>
          </w:tcPr>
          <w:p w14:paraId="61314AE5" w14:textId="77777777" w:rsidR="007D4BFA" w:rsidRPr="00EA77EA" w:rsidRDefault="007D4BFA" w:rsidP="008D6721">
            <w:pPr>
              <w:pStyle w:val="TableText0"/>
              <w:jc w:val="center"/>
              <w:rPr>
                <w:b/>
                <w:bCs w:val="0"/>
                <w:szCs w:val="20"/>
              </w:rPr>
            </w:pPr>
            <w:r w:rsidRPr="00EA77EA">
              <w:rPr>
                <w:b/>
                <w:bCs w:val="0"/>
                <w:szCs w:val="20"/>
              </w:rPr>
              <w:t>0.44 (0.27, 0.71)</w:t>
            </w:r>
          </w:p>
        </w:tc>
      </w:tr>
      <w:tr w:rsidR="00A1240A" w:rsidRPr="00DB610E" w14:paraId="1856FBFE" w14:textId="77777777" w:rsidTr="00FF5CBC">
        <w:trPr>
          <w:cantSplit/>
        </w:trPr>
        <w:tc>
          <w:tcPr>
            <w:tcW w:w="353" w:type="pct"/>
          </w:tcPr>
          <w:p w14:paraId="6685AAF4" w14:textId="77777777" w:rsidR="007D4BFA" w:rsidRPr="008D6721" w:rsidRDefault="007D4BFA" w:rsidP="001149A9">
            <w:pPr>
              <w:pStyle w:val="TableText0"/>
              <w:rPr>
                <w:b/>
                <w:bCs w:val="0"/>
                <w:szCs w:val="20"/>
              </w:rPr>
            </w:pPr>
            <w:r w:rsidRPr="008D6721">
              <w:rPr>
                <w:b/>
                <w:bCs w:val="0"/>
                <w:szCs w:val="20"/>
              </w:rPr>
              <w:t>RD</w:t>
            </w:r>
          </w:p>
        </w:tc>
        <w:tc>
          <w:tcPr>
            <w:tcW w:w="984" w:type="pct"/>
            <w:vAlign w:val="center"/>
          </w:tcPr>
          <w:p w14:paraId="30FC4069" w14:textId="7B41760E" w:rsidR="007D4BFA" w:rsidRPr="00F913DB" w:rsidRDefault="004B20D4" w:rsidP="008D6721">
            <w:pPr>
              <w:pStyle w:val="TableText0"/>
              <w:jc w:val="center"/>
              <w:rPr>
                <w:b/>
                <w:bCs w:val="0"/>
                <w:szCs w:val="20"/>
              </w:rPr>
            </w:pPr>
            <w:r w:rsidRPr="00F913DB">
              <w:rPr>
                <w:b/>
              </w:rPr>
              <w:t>0.50 (0.36, 0.63)</w:t>
            </w:r>
            <w:r w:rsidRPr="00F913DB">
              <w:rPr>
                <w:b/>
                <w:vertAlign w:val="superscript"/>
              </w:rPr>
              <w:t>a</w:t>
            </w:r>
          </w:p>
        </w:tc>
        <w:tc>
          <w:tcPr>
            <w:tcW w:w="877" w:type="pct"/>
            <w:vAlign w:val="center"/>
          </w:tcPr>
          <w:p w14:paraId="583FD9F4" w14:textId="77777777" w:rsidR="007D4BFA" w:rsidRPr="00F913DB" w:rsidRDefault="007D4BFA" w:rsidP="008D6721">
            <w:pPr>
              <w:pStyle w:val="TableText0"/>
              <w:jc w:val="center"/>
              <w:rPr>
                <w:b/>
                <w:bCs w:val="0"/>
                <w:szCs w:val="20"/>
              </w:rPr>
            </w:pPr>
            <w:r w:rsidRPr="00F913DB">
              <w:rPr>
                <w:b/>
                <w:bCs w:val="0"/>
                <w:szCs w:val="20"/>
              </w:rPr>
              <w:t>0.26 (0.06, 0.47)</w:t>
            </w:r>
          </w:p>
        </w:tc>
        <w:tc>
          <w:tcPr>
            <w:tcW w:w="948" w:type="pct"/>
            <w:vAlign w:val="center"/>
          </w:tcPr>
          <w:p w14:paraId="24994F5E" w14:textId="77777777" w:rsidR="007D4BFA" w:rsidRPr="00F913DB" w:rsidRDefault="007D4BFA" w:rsidP="008D6721">
            <w:pPr>
              <w:pStyle w:val="TableText0"/>
              <w:jc w:val="center"/>
              <w:rPr>
                <w:b/>
                <w:bCs w:val="0"/>
                <w:szCs w:val="20"/>
              </w:rPr>
            </w:pPr>
            <w:r w:rsidRPr="00F913DB">
              <w:rPr>
                <w:b/>
                <w:bCs w:val="0"/>
                <w:szCs w:val="20"/>
              </w:rPr>
              <w:t>-0.13 (-0.23, -0.04)</w:t>
            </w:r>
          </w:p>
        </w:tc>
        <w:tc>
          <w:tcPr>
            <w:tcW w:w="901" w:type="pct"/>
            <w:vAlign w:val="center"/>
          </w:tcPr>
          <w:p w14:paraId="288687F1" w14:textId="77777777" w:rsidR="007D4BFA" w:rsidRPr="00F913DB" w:rsidRDefault="007D4BFA" w:rsidP="008D6721">
            <w:pPr>
              <w:pStyle w:val="TableText0"/>
              <w:jc w:val="center"/>
              <w:rPr>
                <w:b/>
                <w:bCs w:val="0"/>
                <w:szCs w:val="20"/>
              </w:rPr>
            </w:pPr>
            <w:r w:rsidRPr="00F913DB">
              <w:rPr>
                <w:b/>
                <w:bCs w:val="0"/>
                <w:szCs w:val="20"/>
              </w:rPr>
              <w:t>-0.20 (-0.35, -0.05)</w:t>
            </w:r>
          </w:p>
        </w:tc>
        <w:tc>
          <w:tcPr>
            <w:tcW w:w="937" w:type="pct"/>
            <w:vAlign w:val="center"/>
          </w:tcPr>
          <w:p w14:paraId="4C19E445" w14:textId="77777777" w:rsidR="007D4BFA" w:rsidRPr="00EA77EA" w:rsidRDefault="007D4BFA" w:rsidP="008D6721">
            <w:pPr>
              <w:pStyle w:val="TableText0"/>
              <w:jc w:val="center"/>
              <w:rPr>
                <w:b/>
                <w:bCs w:val="0"/>
                <w:szCs w:val="20"/>
              </w:rPr>
            </w:pPr>
            <w:r w:rsidRPr="00EA77EA">
              <w:rPr>
                <w:b/>
                <w:bCs w:val="0"/>
                <w:szCs w:val="20"/>
              </w:rPr>
              <w:t>-0.23 (-0.36, -0.09)</w:t>
            </w:r>
          </w:p>
        </w:tc>
      </w:tr>
      <w:tr w:rsidR="007D4BFA" w:rsidRPr="00DB610E" w14:paraId="1F23760B" w14:textId="77777777" w:rsidTr="00FF5CBC">
        <w:trPr>
          <w:cantSplit/>
        </w:trPr>
        <w:tc>
          <w:tcPr>
            <w:tcW w:w="5000" w:type="pct"/>
            <w:gridSpan w:val="6"/>
            <w:vAlign w:val="center"/>
          </w:tcPr>
          <w:p w14:paraId="5C0DF957" w14:textId="77777777" w:rsidR="007D4BFA" w:rsidRPr="00655A7B" w:rsidRDefault="007D4BFA" w:rsidP="001149A9">
            <w:pPr>
              <w:pStyle w:val="TableText0"/>
              <w:rPr>
                <w:b/>
                <w:szCs w:val="20"/>
              </w:rPr>
            </w:pPr>
            <w:r w:rsidRPr="00655A7B">
              <w:rPr>
                <w:b/>
                <w:szCs w:val="20"/>
              </w:rPr>
              <w:t>Indirect treatment comparison: avatrombopag vs eltrombopag; RR or RD (95% CI)</w:t>
            </w:r>
          </w:p>
        </w:tc>
      </w:tr>
      <w:tr w:rsidR="00A1240A" w:rsidRPr="00DB610E" w14:paraId="1C544D55" w14:textId="77777777" w:rsidTr="00FF5CBC">
        <w:trPr>
          <w:cantSplit/>
        </w:trPr>
        <w:tc>
          <w:tcPr>
            <w:tcW w:w="353" w:type="pct"/>
          </w:tcPr>
          <w:p w14:paraId="2E744C01" w14:textId="77777777" w:rsidR="007D4BFA" w:rsidRPr="008D6721" w:rsidRDefault="007D4BFA" w:rsidP="001149A9">
            <w:pPr>
              <w:pStyle w:val="TableText0"/>
              <w:rPr>
                <w:b/>
                <w:bCs w:val="0"/>
                <w:szCs w:val="20"/>
              </w:rPr>
            </w:pPr>
            <w:r w:rsidRPr="008D6721">
              <w:rPr>
                <w:b/>
                <w:bCs w:val="0"/>
                <w:szCs w:val="20"/>
              </w:rPr>
              <w:t>RR</w:t>
            </w:r>
          </w:p>
        </w:tc>
        <w:tc>
          <w:tcPr>
            <w:tcW w:w="984" w:type="pct"/>
            <w:vAlign w:val="center"/>
          </w:tcPr>
          <w:p w14:paraId="4AD30744" w14:textId="77777777" w:rsidR="004B20D4" w:rsidRPr="00CA51C6" w:rsidRDefault="004B20D4" w:rsidP="008D6721">
            <w:pPr>
              <w:pStyle w:val="TableText0"/>
              <w:jc w:val="center"/>
              <w:rPr>
                <w:bCs w:val="0"/>
              </w:rPr>
            </w:pPr>
            <w:r w:rsidRPr="00CA51C6">
              <w:rPr>
                <w:bCs w:val="0"/>
              </w:rPr>
              <w:t xml:space="preserve">2.145 </w:t>
            </w:r>
          </w:p>
          <w:p w14:paraId="3E948B32" w14:textId="493B6DD0" w:rsidR="007D4BFA" w:rsidRPr="00CA51C6" w:rsidRDefault="004B20D4" w:rsidP="008D6721">
            <w:pPr>
              <w:pStyle w:val="TableText0"/>
              <w:jc w:val="center"/>
              <w:rPr>
                <w:bCs w:val="0"/>
                <w:szCs w:val="20"/>
              </w:rPr>
            </w:pPr>
            <w:r w:rsidRPr="00CA51C6">
              <w:rPr>
                <w:bCs w:val="0"/>
              </w:rPr>
              <w:t>(0.114, 40.212)</w:t>
            </w:r>
            <w:r w:rsidRPr="00CA51C6">
              <w:rPr>
                <w:bCs w:val="0"/>
                <w:vertAlign w:val="superscript"/>
              </w:rPr>
              <w:t>a</w:t>
            </w:r>
          </w:p>
        </w:tc>
        <w:tc>
          <w:tcPr>
            <w:tcW w:w="877" w:type="pct"/>
            <w:vAlign w:val="center"/>
          </w:tcPr>
          <w:p w14:paraId="0B8197A5" w14:textId="77777777" w:rsidR="00371ACF" w:rsidRPr="00EA77EA" w:rsidRDefault="007D4BFA" w:rsidP="008D6721">
            <w:pPr>
              <w:pStyle w:val="TableText0"/>
              <w:jc w:val="center"/>
              <w:rPr>
                <w:szCs w:val="20"/>
              </w:rPr>
            </w:pPr>
            <w:r w:rsidRPr="00EA77EA">
              <w:rPr>
                <w:szCs w:val="20"/>
              </w:rPr>
              <w:t>3.02</w:t>
            </w:r>
            <w:r w:rsidR="002811CB" w:rsidRPr="00EA77EA">
              <w:rPr>
                <w:szCs w:val="20"/>
              </w:rPr>
              <w:t>2</w:t>
            </w:r>
            <w:r w:rsidRPr="00EA77EA">
              <w:rPr>
                <w:szCs w:val="20"/>
              </w:rPr>
              <w:t xml:space="preserve"> </w:t>
            </w:r>
          </w:p>
          <w:p w14:paraId="63ACC5EB" w14:textId="3C2250C6" w:rsidR="007D4BFA" w:rsidRPr="00EA77EA" w:rsidRDefault="007D4BFA" w:rsidP="008D6721">
            <w:pPr>
              <w:pStyle w:val="TableText0"/>
              <w:jc w:val="center"/>
              <w:rPr>
                <w:szCs w:val="20"/>
              </w:rPr>
            </w:pPr>
            <w:r w:rsidRPr="00EA77EA">
              <w:rPr>
                <w:szCs w:val="20"/>
              </w:rPr>
              <w:t>(0.18</w:t>
            </w:r>
            <w:r w:rsidR="002811CB" w:rsidRPr="00EA77EA">
              <w:rPr>
                <w:szCs w:val="20"/>
              </w:rPr>
              <w:t>1</w:t>
            </w:r>
            <w:r w:rsidRPr="00EA77EA">
              <w:rPr>
                <w:szCs w:val="20"/>
              </w:rPr>
              <w:t>, 50.</w:t>
            </w:r>
            <w:r w:rsidR="002811CB" w:rsidRPr="00EA77EA">
              <w:rPr>
                <w:szCs w:val="20"/>
              </w:rPr>
              <w:t>48</w:t>
            </w:r>
            <w:r w:rsidRPr="00EA77EA">
              <w:rPr>
                <w:szCs w:val="20"/>
              </w:rPr>
              <w:t>)</w:t>
            </w:r>
          </w:p>
        </w:tc>
        <w:tc>
          <w:tcPr>
            <w:tcW w:w="948" w:type="pct"/>
            <w:vAlign w:val="center"/>
          </w:tcPr>
          <w:p w14:paraId="6600ECD0" w14:textId="77777777" w:rsidR="00371ACF" w:rsidRPr="00EA77EA" w:rsidRDefault="007D4BFA" w:rsidP="008D6721">
            <w:pPr>
              <w:pStyle w:val="TableText0"/>
              <w:jc w:val="center"/>
              <w:rPr>
                <w:szCs w:val="20"/>
              </w:rPr>
            </w:pPr>
            <w:r w:rsidRPr="00EA77EA">
              <w:rPr>
                <w:szCs w:val="20"/>
              </w:rPr>
              <w:t>0.96</w:t>
            </w:r>
            <w:r w:rsidR="002811CB" w:rsidRPr="00EA77EA">
              <w:rPr>
                <w:szCs w:val="20"/>
              </w:rPr>
              <w:t>5</w:t>
            </w:r>
            <w:r w:rsidRPr="00EA77EA">
              <w:rPr>
                <w:szCs w:val="20"/>
              </w:rPr>
              <w:t xml:space="preserve"> </w:t>
            </w:r>
          </w:p>
          <w:p w14:paraId="7631B085" w14:textId="05A35502" w:rsidR="007D4BFA" w:rsidRPr="00EA77EA" w:rsidRDefault="007D4BFA" w:rsidP="008D6721">
            <w:pPr>
              <w:pStyle w:val="TableText0"/>
              <w:jc w:val="center"/>
              <w:rPr>
                <w:szCs w:val="20"/>
              </w:rPr>
            </w:pPr>
            <w:r w:rsidRPr="00EA77EA">
              <w:rPr>
                <w:szCs w:val="20"/>
              </w:rPr>
              <w:t>(0.5</w:t>
            </w:r>
            <w:r w:rsidR="002811CB" w:rsidRPr="00EA77EA">
              <w:rPr>
                <w:szCs w:val="20"/>
              </w:rPr>
              <w:t>28</w:t>
            </w:r>
            <w:r w:rsidRPr="00EA77EA">
              <w:rPr>
                <w:szCs w:val="20"/>
              </w:rPr>
              <w:t>, 1.76</w:t>
            </w:r>
            <w:r w:rsidR="002811CB" w:rsidRPr="00EA77EA">
              <w:rPr>
                <w:szCs w:val="20"/>
              </w:rPr>
              <w:t>3</w:t>
            </w:r>
            <w:r w:rsidRPr="00EA77EA">
              <w:rPr>
                <w:szCs w:val="20"/>
              </w:rPr>
              <w:t>)</w:t>
            </w:r>
          </w:p>
        </w:tc>
        <w:tc>
          <w:tcPr>
            <w:tcW w:w="901" w:type="pct"/>
            <w:vAlign w:val="center"/>
          </w:tcPr>
          <w:p w14:paraId="6136DFC1" w14:textId="77777777" w:rsidR="00371ACF" w:rsidRPr="00EA77EA" w:rsidRDefault="007D4BFA" w:rsidP="008D6721">
            <w:pPr>
              <w:pStyle w:val="TableText0"/>
              <w:jc w:val="center"/>
              <w:rPr>
                <w:szCs w:val="20"/>
              </w:rPr>
            </w:pPr>
            <w:r w:rsidRPr="00EA77EA">
              <w:rPr>
                <w:szCs w:val="20"/>
              </w:rPr>
              <w:t>6.16</w:t>
            </w:r>
            <w:r w:rsidR="002811CB" w:rsidRPr="00EA77EA">
              <w:rPr>
                <w:szCs w:val="20"/>
              </w:rPr>
              <w:t>1</w:t>
            </w:r>
            <w:r w:rsidRPr="00EA77EA">
              <w:rPr>
                <w:szCs w:val="20"/>
              </w:rPr>
              <w:t xml:space="preserve"> </w:t>
            </w:r>
          </w:p>
          <w:p w14:paraId="6B4DCA96" w14:textId="4C89E584" w:rsidR="007D4BFA" w:rsidRPr="00EA77EA" w:rsidRDefault="007D4BFA" w:rsidP="008D6721">
            <w:pPr>
              <w:pStyle w:val="TableText0"/>
              <w:jc w:val="center"/>
              <w:rPr>
                <w:szCs w:val="20"/>
              </w:rPr>
            </w:pPr>
            <w:r w:rsidRPr="00EA77EA">
              <w:rPr>
                <w:szCs w:val="20"/>
              </w:rPr>
              <w:t>(0.33</w:t>
            </w:r>
            <w:r w:rsidR="002811CB" w:rsidRPr="00EA77EA">
              <w:rPr>
                <w:szCs w:val="20"/>
              </w:rPr>
              <w:t>1</w:t>
            </w:r>
            <w:r w:rsidRPr="00EA77EA">
              <w:rPr>
                <w:szCs w:val="20"/>
              </w:rPr>
              <w:t>, 114.</w:t>
            </w:r>
            <w:r w:rsidR="00474958" w:rsidRPr="00EA77EA">
              <w:rPr>
                <w:szCs w:val="20"/>
              </w:rPr>
              <w:t>655</w:t>
            </w:r>
            <w:r w:rsidRPr="00EA77EA">
              <w:rPr>
                <w:szCs w:val="20"/>
              </w:rPr>
              <w:t>)</w:t>
            </w:r>
          </w:p>
        </w:tc>
        <w:tc>
          <w:tcPr>
            <w:tcW w:w="937" w:type="pct"/>
            <w:vAlign w:val="center"/>
          </w:tcPr>
          <w:p w14:paraId="658A7C58" w14:textId="77777777" w:rsidR="00371ACF" w:rsidRPr="00EA77EA" w:rsidRDefault="007D4BFA" w:rsidP="008D6721">
            <w:pPr>
              <w:pStyle w:val="TableText0"/>
              <w:jc w:val="center"/>
              <w:rPr>
                <w:szCs w:val="20"/>
              </w:rPr>
            </w:pPr>
            <w:r w:rsidRPr="00EA77EA">
              <w:rPr>
                <w:szCs w:val="20"/>
              </w:rPr>
              <w:t>4.2</w:t>
            </w:r>
            <w:r w:rsidR="00474958" w:rsidRPr="00EA77EA">
              <w:rPr>
                <w:szCs w:val="20"/>
              </w:rPr>
              <w:t>27</w:t>
            </w:r>
            <w:r w:rsidRPr="00EA77EA">
              <w:rPr>
                <w:szCs w:val="20"/>
              </w:rPr>
              <w:t xml:space="preserve"> </w:t>
            </w:r>
          </w:p>
          <w:p w14:paraId="2261C877" w14:textId="1132D10C" w:rsidR="007D4BFA" w:rsidRPr="00EA77EA" w:rsidRDefault="007D4BFA" w:rsidP="008D6721">
            <w:pPr>
              <w:pStyle w:val="TableText0"/>
              <w:jc w:val="center"/>
              <w:rPr>
                <w:szCs w:val="20"/>
              </w:rPr>
            </w:pPr>
            <w:r w:rsidRPr="00EA77EA">
              <w:rPr>
                <w:szCs w:val="20"/>
              </w:rPr>
              <w:t>(0.9</w:t>
            </w:r>
            <w:r w:rsidR="00474958" w:rsidRPr="00EA77EA">
              <w:rPr>
                <w:szCs w:val="20"/>
              </w:rPr>
              <w:t>08</w:t>
            </w:r>
            <w:r w:rsidRPr="00EA77EA">
              <w:rPr>
                <w:szCs w:val="20"/>
              </w:rPr>
              <w:t>, 19.</w:t>
            </w:r>
            <w:r w:rsidR="00474958" w:rsidRPr="00EA77EA">
              <w:rPr>
                <w:szCs w:val="20"/>
              </w:rPr>
              <w:t>687</w:t>
            </w:r>
            <w:r w:rsidRPr="00EA77EA">
              <w:rPr>
                <w:szCs w:val="20"/>
              </w:rPr>
              <w:t>)</w:t>
            </w:r>
          </w:p>
        </w:tc>
      </w:tr>
      <w:tr w:rsidR="00A1240A" w:rsidRPr="00DB610E" w14:paraId="00C40FE2" w14:textId="77777777" w:rsidTr="00FF5CBC">
        <w:trPr>
          <w:cantSplit/>
        </w:trPr>
        <w:tc>
          <w:tcPr>
            <w:tcW w:w="353" w:type="pct"/>
          </w:tcPr>
          <w:p w14:paraId="69277005" w14:textId="77777777" w:rsidR="007D4BFA" w:rsidRPr="008D6721" w:rsidRDefault="007D4BFA" w:rsidP="001149A9">
            <w:pPr>
              <w:pStyle w:val="TableText0"/>
              <w:rPr>
                <w:b/>
                <w:bCs w:val="0"/>
                <w:szCs w:val="20"/>
              </w:rPr>
            </w:pPr>
            <w:r w:rsidRPr="008D6721">
              <w:rPr>
                <w:b/>
                <w:bCs w:val="0"/>
                <w:szCs w:val="20"/>
              </w:rPr>
              <w:t>RD</w:t>
            </w:r>
          </w:p>
        </w:tc>
        <w:tc>
          <w:tcPr>
            <w:tcW w:w="984" w:type="pct"/>
            <w:vAlign w:val="center"/>
          </w:tcPr>
          <w:p w14:paraId="7B42FB12" w14:textId="77777777" w:rsidR="00EA77EA" w:rsidRPr="00CA51C6" w:rsidRDefault="00EA77EA" w:rsidP="008D6721">
            <w:pPr>
              <w:pStyle w:val="TableText0"/>
              <w:jc w:val="center"/>
              <w:rPr>
                <w:bCs w:val="0"/>
              </w:rPr>
            </w:pPr>
            <w:r w:rsidRPr="00CA51C6">
              <w:rPr>
                <w:bCs w:val="0"/>
              </w:rPr>
              <w:t xml:space="preserve">-0.16 </w:t>
            </w:r>
          </w:p>
          <w:p w14:paraId="29016E39" w14:textId="16A61209" w:rsidR="007D4BFA" w:rsidRPr="00CA51C6" w:rsidRDefault="00EA77EA" w:rsidP="008D6721">
            <w:pPr>
              <w:pStyle w:val="TableText0"/>
              <w:jc w:val="center"/>
              <w:rPr>
                <w:szCs w:val="20"/>
              </w:rPr>
            </w:pPr>
            <w:r w:rsidRPr="00CA51C6">
              <w:rPr>
                <w:bCs w:val="0"/>
              </w:rPr>
              <w:t>(-0.385, 0.065)</w:t>
            </w:r>
            <w:r w:rsidRPr="00CA51C6">
              <w:rPr>
                <w:bCs w:val="0"/>
                <w:vertAlign w:val="superscript"/>
              </w:rPr>
              <w:t>a</w:t>
            </w:r>
          </w:p>
        </w:tc>
        <w:tc>
          <w:tcPr>
            <w:tcW w:w="877" w:type="pct"/>
            <w:vAlign w:val="center"/>
          </w:tcPr>
          <w:p w14:paraId="29EF68CB" w14:textId="77777777" w:rsidR="00371ACF" w:rsidRPr="00EA77EA" w:rsidRDefault="007D4BFA" w:rsidP="008D6721">
            <w:pPr>
              <w:pStyle w:val="TableText0"/>
              <w:jc w:val="center"/>
              <w:rPr>
                <w:szCs w:val="20"/>
              </w:rPr>
            </w:pPr>
            <w:r w:rsidRPr="00EA77EA">
              <w:rPr>
                <w:szCs w:val="20"/>
              </w:rPr>
              <w:t xml:space="preserve">0.07 </w:t>
            </w:r>
          </w:p>
          <w:p w14:paraId="36EE4498" w14:textId="5DFF65C0" w:rsidR="007D4BFA" w:rsidRPr="00EA77EA" w:rsidRDefault="007D4BFA" w:rsidP="008D6721">
            <w:pPr>
              <w:pStyle w:val="TableText0"/>
              <w:jc w:val="center"/>
              <w:rPr>
                <w:szCs w:val="20"/>
              </w:rPr>
            </w:pPr>
            <w:r w:rsidRPr="00EA77EA">
              <w:rPr>
                <w:szCs w:val="20"/>
              </w:rPr>
              <w:t>(-0.28</w:t>
            </w:r>
            <w:r w:rsidR="002811CB" w:rsidRPr="00EA77EA">
              <w:rPr>
                <w:szCs w:val="20"/>
              </w:rPr>
              <w:t>1</w:t>
            </w:r>
            <w:r w:rsidRPr="00EA77EA">
              <w:rPr>
                <w:szCs w:val="20"/>
              </w:rPr>
              <w:t>, 0.42</w:t>
            </w:r>
            <w:r w:rsidR="002811CB" w:rsidRPr="00EA77EA">
              <w:rPr>
                <w:szCs w:val="20"/>
              </w:rPr>
              <w:t>1</w:t>
            </w:r>
            <w:r w:rsidRPr="00EA77EA">
              <w:rPr>
                <w:szCs w:val="20"/>
              </w:rPr>
              <w:t>)</w:t>
            </w:r>
          </w:p>
        </w:tc>
        <w:tc>
          <w:tcPr>
            <w:tcW w:w="948" w:type="pct"/>
            <w:vAlign w:val="center"/>
          </w:tcPr>
          <w:p w14:paraId="27BAE91E" w14:textId="77777777" w:rsidR="00371ACF" w:rsidRPr="00EA77EA" w:rsidRDefault="007D4BFA" w:rsidP="008D6721">
            <w:pPr>
              <w:pStyle w:val="TableText0"/>
              <w:jc w:val="center"/>
              <w:rPr>
                <w:szCs w:val="20"/>
              </w:rPr>
            </w:pPr>
            <w:r w:rsidRPr="00EA77EA">
              <w:rPr>
                <w:szCs w:val="20"/>
              </w:rPr>
              <w:t xml:space="preserve">0.04 </w:t>
            </w:r>
          </w:p>
          <w:p w14:paraId="6DCA446C" w14:textId="6093F8C1" w:rsidR="007D4BFA" w:rsidRPr="00EA77EA" w:rsidRDefault="007D4BFA" w:rsidP="008D6721">
            <w:pPr>
              <w:pStyle w:val="TableText0"/>
              <w:jc w:val="center"/>
              <w:rPr>
                <w:szCs w:val="20"/>
              </w:rPr>
            </w:pPr>
            <w:r w:rsidRPr="00EA77EA">
              <w:rPr>
                <w:szCs w:val="20"/>
              </w:rPr>
              <w:t>(-0.26</w:t>
            </w:r>
            <w:r w:rsidR="002811CB" w:rsidRPr="00EA77EA">
              <w:rPr>
                <w:szCs w:val="20"/>
              </w:rPr>
              <w:t>5</w:t>
            </w:r>
            <w:r w:rsidRPr="00EA77EA">
              <w:rPr>
                <w:szCs w:val="20"/>
              </w:rPr>
              <w:t>, 0.34</w:t>
            </w:r>
            <w:r w:rsidR="002811CB" w:rsidRPr="00EA77EA">
              <w:rPr>
                <w:szCs w:val="20"/>
              </w:rPr>
              <w:t>5</w:t>
            </w:r>
            <w:r w:rsidRPr="00EA77EA">
              <w:rPr>
                <w:szCs w:val="20"/>
              </w:rPr>
              <w:t>)</w:t>
            </w:r>
          </w:p>
        </w:tc>
        <w:tc>
          <w:tcPr>
            <w:tcW w:w="901" w:type="pct"/>
            <w:vAlign w:val="center"/>
          </w:tcPr>
          <w:p w14:paraId="0971972A" w14:textId="77777777" w:rsidR="00371ACF" w:rsidRPr="00EA77EA" w:rsidRDefault="007D4BFA" w:rsidP="008D6721">
            <w:pPr>
              <w:pStyle w:val="TableText0"/>
              <w:jc w:val="center"/>
              <w:rPr>
                <w:b/>
                <w:bCs w:val="0"/>
                <w:szCs w:val="20"/>
              </w:rPr>
            </w:pPr>
            <w:r w:rsidRPr="00EA77EA">
              <w:rPr>
                <w:b/>
                <w:bCs w:val="0"/>
                <w:szCs w:val="20"/>
              </w:rPr>
              <w:t xml:space="preserve">0.29 </w:t>
            </w:r>
          </w:p>
          <w:p w14:paraId="03AFCED6" w14:textId="488DF80B" w:rsidR="007D4BFA" w:rsidRPr="00EA77EA" w:rsidRDefault="007D4BFA" w:rsidP="008D6721">
            <w:pPr>
              <w:pStyle w:val="TableText0"/>
              <w:jc w:val="center"/>
              <w:rPr>
                <w:b/>
                <w:bCs w:val="0"/>
                <w:szCs w:val="20"/>
              </w:rPr>
            </w:pPr>
            <w:r w:rsidRPr="00EA77EA">
              <w:rPr>
                <w:b/>
                <w:bCs w:val="0"/>
                <w:szCs w:val="20"/>
              </w:rPr>
              <w:t>(0.09</w:t>
            </w:r>
            <w:r w:rsidR="00474958" w:rsidRPr="00EA77EA">
              <w:rPr>
                <w:b/>
                <w:bCs w:val="0"/>
                <w:szCs w:val="20"/>
              </w:rPr>
              <w:t>2</w:t>
            </w:r>
            <w:r w:rsidRPr="00EA77EA">
              <w:rPr>
                <w:b/>
                <w:bCs w:val="0"/>
                <w:szCs w:val="20"/>
              </w:rPr>
              <w:t>, 0.4</w:t>
            </w:r>
            <w:r w:rsidR="00474958" w:rsidRPr="00EA77EA">
              <w:rPr>
                <w:b/>
                <w:bCs w:val="0"/>
                <w:szCs w:val="20"/>
              </w:rPr>
              <w:t>88</w:t>
            </w:r>
            <w:r w:rsidRPr="00EA77EA">
              <w:rPr>
                <w:b/>
                <w:bCs w:val="0"/>
                <w:szCs w:val="20"/>
              </w:rPr>
              <w:t>)</w:t>
            </w:r>
          </w:p>
        </w:tc>
        <w:tc>
          <w:tcPr>
            <w:tcW w:w="937" w:type="pct"/>
            <w:vAlign w:val="center"/>
          </w:tcPr>
          <w:p w14:paraId="334E08E2" w14:textId="77777777" w:rsidR="00371ACF" w:rsidRPr="00EA77EA" w:rsidRDefault="007D4BFA" w:rsidP="008D6721">
            <w:pPr>
              <w:pStyle w:val="TableText0"/>
              <w:jc w:val="center"/>
              <w:rPr>
                <w:b/>
                <w:bCs w:val="0"/>
                <w:szCs w:val="20"/>
              </w:rPr>
            </w:pPr>
            <w:r w:rsidRPr="00EA77EA">
              <w:rPr>
                <w:b/>
                <w:bCs w:val="0"/>
                <w:szCs w:val="20"/>
              </w:rPr>
              <w:t xml:space="preserve">0.33 </w:t>
            </w:r>
          </w:p>
          <w:p w14:paraId="0A9E94ED" w14:textId="65C0DF93" w:rsidR="007D4BFA" w:rsidRPr="00EA77EA" w:rsidRDefault="007D4BFA" w:rsidP="008D6721">
            <w:pPr>
              <w:pStyle w:val="TableText0"/>
              <w:jc w:val="center"/>
              <w:rPr>
                <w:b/>
                <w:bCs w:val="0"/>
                <w:szCs w:val="20"/>
              </w:rPr>
            </w:pPr>
            <w:r w:rsidRPr="00EA77EA">
              <w:rPr>
                <w:b/>
                <w:bCs w:val="0"/>
                <w:szCs w:val="20"/>
              </w:rPr>
              <w:t>(0.08, 0.58)</w:t>
            </w:r>
          </w:p>
        </w:tc>
      </w:tr>
    </w:tbl>
    <w:p w14:paraId="7CA20506" w14:textId="77777777" w:rsidR="007D4BFA" w:rsidRPr="00B1011F" w:rsidRDefault="007D4BFA" w:rsidP="001149A9">
      <w:pPr>
        <w:pStyle w:val="TableFooter"/>
        <w:rPr>
          <w:sz w:val="20"/>
        </w:rPr>
      </w:pPr>
      <w:r>
        <w:t xml:space="preserve">Source: Tables 2-14 to 2-29, pp60-66, and Tables 2-42 to 2-46, pp74-81 </w:t>
      </w:r>
      <w:r w:rsidRPr="00D13A3E">
        <w:t xml:space="preserve">of the </w:t>
      </w:r>
      <w:r>
        <w:t xml:space="preserve">submission. </w:t>
      </w:r>
    </w:p>
    <w:p w14:paraId="2B897AD1" w14:textId="73AA1A1A" w:rsidR="00AE6B5D" w:rsidRDefault="007D4BFA" w:rsidP="001149A9">
      <w:pPr>
        <w:pStyle w:val="TableFooter"/>
        <w:rPr>
          <w:rFonts w:eastAsia="Calibri"/>
          <w:b/>
          <w:bCs/>
        </w:rPr>
      </w:pPr>
      <w:r>
        <w:rPr>
          <w:rFonts w:eastAsia="Calibri"/>
        </w:rPr>
        <w:t xml:space="preserve">Ava. = avatrombopag; Eltro. = eltrombopag; </w:t>
      </w:r>
      <w:r w:rsidRPr="00B40358">
        <w:rPr>
          <w:rFonts w:eastAsia="Calibri"/>
        </w:rPr>
        <w:t>CI = confidence interval; n = number of participants with event; N = total participants in group</w:t>
      </w:r>
      <w:r>
        <w:rPr>
          <w:rFonts w:eastAsia="Calibri"/>
        </w:rPr>
        <w:t>; Plac. = placebo; RD = risk difference; RR = relative risk.</w:t>
      </w:r>
      <w:r w:rsidRPr="00157B0C">
        <w:rPr>
          <w:rFonts w:eastAsia="Calibri"/>
          <w:b/>
          <w:bCs/>
        </w:rPr>
        <w:t xml:space="preserve"> </w:t>
      </w:r>
      <w:r w:rsidR="00157B0C" w:rsidRPr="00157B0C">
        <w:rPr>
          <w:rFonts w:eastAsia="Calibri"/>
          <w:b/>
          <w:bCs/>
        </w:rPr>
        <w:t>Bold = statistically significant</w:t>
      </w:r>
      <w:r w:rsidR="00DD1665">
        <w:rPr>
          <w:rFonts w:eastAsia="Calibri"/>
          <w:b/>
          <w:bCs/>
        </w:rPr>
        <w:t>.</w:t>
      </w:r>
      <w:r w:rsidR="00387316">
        <w:rPr>
          <w:rFonts w:eastAsia="Calibri"/>
          <w:b/>
          <w:bCs/>
        </w:rPr>
        <w:t xml:space="preserve"> </w:t>
      </w:r>
    </w:p>
    <w:p w14:paraId="5BB461D9" w14:textId="139710D7" w:rsidR="007D4BFA" w:rsidRPr="00CA51C6" w:rsidRDefault="004B20D4" w:rsidP="001149A9">
      <w:pPr>
        <w:pStyle w:val="TableFooter"/>
        <w:rPr>
          <w:rFonts w:eastAsia="Calibri"/>
        </w:rPr>
      </w:pPr>
      <w:r w:rsidRPr="00CA51C6">
        <w:rPr>
          <w:rFonts w:eastAsia="Calibri"/>
          <w:vertAlign w:val="superscript"/>
        </w:rPr>
        <w:t>a</w:t>
      </w:r>
      <w:r w:rsidRPr="00CA51C6">
        <w:rPr>
          <w:rFonts w:eastAsia="Calibri"/>
        </w:rPr>
        <w:t xml:space="preserve"> Corrected in the PSCR.</w:t>
      </w:r>
    </w:p>
    <w:p w14:paraId="23F94E93" w14:textId="77777777" w:rsidR="001149A9" w:rsidRPr="001149A9" w:rsidRDefault="001149A9" w:rsidP="001149A9">
      <w:pPr>
        <w:pStyle w:val="TableFooter"/>
        <w:rPr>
          <w:rFonts w:eastAsia="Calibri"/>
        </w:rPr>
      </w:pPr>
    </w:p>
    <w:p w14:paraId="2FB5F467" w14:textId="5751E379" w:rsidR="005643F6" w:rsidRPr="00CA51C6" w:rsidRDefault="005643F6" w:rsidP="005643F6">
      <w:pPr>
        <w:pStyle w:val="3-BodyText"/>
      </w:pPr>
      <w:r w:rsidRPr="001D67AF">
        <w:t>During the evaluation it was noted that there appeared to be some typographical errors in the estimates of relative risk and risk differences calculated by the submission, and in the indirect treatment comparisons. Without access to the raw data</w:t>
      </w:r>
      <w:r w:rsidR="00DD632F" w:rsidRPr="001D67AF">
        <w:t>,</w:t>
      </w:r>
      <w:r w:rsidRPr="001D67AF">
        <w:t xml:space="preserve"> it was not possible to correct these during the evaluation. However</w:t>
      </w:r>
      <w:r w:rsidR="00300859" w:rsidRPr="001D67AF">
        <w:t>,</w:t>
      </w:r>
      <w:r w:rsidRPr="001D67AF">
        <w:t xml:space="preserve"> given the width of the confidence intervals, the overall conclusions from the analysis would unlikely be altered. </w:t>
      </w:r>
      <w:r w:rsidR="0059431B" w:rsidRPr="00CA51C6">
        <w:t>The PSCR provided corrected values.</w:t>
      </w:r>
    </w:p>
    <w:p w14:paraId="4C6B8A8D" w14:textId="7B9072DE" w:rsidR="001149A9" w:rsidRPr="001D67AF" w:rsidRDefault="001149A9" w:rsidP="001149A9">
      <w:pPr>
        <w:pStyle w:val="3-BodyText"/>
      </w:pPr>
      <w:r w:rsidRPr="001D67AF">
        <w:rPr>
          <w:lang w:val="en-US"/>
        </w:rPr>
        <w:t xml:space="preserve">The submission did not nominate a minimum clinically important difference in (outcome) as the basis for assessing comparative effectiveness. The submission stated: </w:t>
      </w:r>
    </w:p>
    <w:p w14:paraId="54AF2980" w14:textId="49D7B231" w:rsidR="001149A9" w:rsidRPr="001D67AF" w:rsidRDefault="00480F86" w:rsidP="001149A9">
      <w:pPr>
        <w:ind w:left="1440"/>
        <w:rPr>
          <w:lang w:val="en-US"/>
        </w:rPr>
      </w:pPr>
      <w:r>
        <w:t>‘</w:t>
      </w:r>
      <w:r w:rsidR="001149A9" w:rsidRPr="001D67AF">
        <w:t xml:space="preserve">the minimal clinically important difference (MCID) is difficult to define as there is no generally accepted level of clinically important difference for any of the </w:t>
      </w:r>
      <w:r w:rsidR="001149A9" w:rsidRPr="001D67AF">
        <w:lastRenderedPageBreak/>
        <w:t>efficacy outcome measures for ITP patients. Thus, this submission does not nominate an MCID. Notably, the PBAC has previously accepted durable platelet count as the key outcome in the assessment of the effectiveness of TPO-RAs in treating ITP without a defined MCID which resulted in a successful listing for both romiplostim (</w:t>
      </w:r>
      <w:hyperlink r:id="rId8" w:history="1">
        <w:r w:rsidR="001149A9" w:rsidRPr="001D67AF">
          <w:t>Romiplostim PSD, March 2010</w:t>
        </w:r>
      </w:hyperlink>
      <w:r w:rsidR="001149A9" w:rsidRPr="001D67AF">
        <w:t>) and eltrombopag (</w:t>
      </w:r>
      <w:hyperlink r:id="rId9" w:history="1">
        <w:r w:rsidR="001149A9" w:rsidRPr="001D67AF">
          <w:t>Eltrombopag PSD, March 2011</w:t>
        </w:r>
      </w:hyperlink>
      <w:r w:rsidR="001149A9" w:rsidRPr="001D67AF">
        <w:t xml:space="preserve"> ).</w:t>
      </w:r>
      <w:r>
        <w:t>’</w:t>
      </w:r>
    </w:p>
    <w:p w14:paraId="3AB6D186" w14:textId="77777777" w:rsidR="00DB610E" w:rsidRPr="001D67AF" w:rsidRDefault="00DB610E" w:rsidP="001149A9">
      <w:pPr>
        <w:ind w:left="1440"/>
        <w:rPr>
          <w:lang w:val="en-US"/>
        </w:rPr>
      </w:pPr>
    </w:p>
    <w:p w14:paraId="4B8727CE" w14:textId="0F79B504" w:rsidR="00A165B6" w:rsidRPr="00CA51C6" w:rsidRDefault="00782F63" w:rsidP="0065011D">
      <w:pPr>
        <w:pStyle w:val="3-BodyText"/>
      </w:pPr>
      <w:r w:rsidRPr="00CA51C6">
        <w:t>T</w:t>
      </w:r>
      <w:r w:rsidR="00A556E4" w:rsidRPr="00CA51C6">
        <w:t>he evaluation considered that</w:t>
      </w:r>
      <w:r w:rsidR="00A556E4">
        <w:t xml:space="preserve"> t</w:t>
      </w:r>
      <w:r w:rsidRPr="001D67AF">
        <w:t>his statement is not correct. In considering romiplostim, the PBAC stated that the clinically relevant endpoint was bleeding, and that platelet counts were a surrogate outcome with, as the submission notes, an uncertain relationship to bleeding. It would be inappropriate to nominate a MCID for a surrogate marker with no clear relationship to a clinically relevant outcome. Although the PBAC acknowledged that the totality of the evidence suggests it is reasonable to conclude that romiplostim reduces severe bleeding events, in patients at high risk for bleeding” based on the increase in platelet counts</w:t>
      </w:r>
      <w:r w:rsidR="005D2D9C" w:rsidRPr="001D67AF">
        <w:t>,</w:t>
      </w:r>
      <w:r w:rsidRPr="001D67AF">
        <w:t xml:space="preserve"> it did not define the term “durable platelet response” (section 12, romiplostim, PSD, March 2010 PBAC meeting). </w:t>
      </w:r>
      <w:r w:rsidR="00480F86">
        <w:t>‘</w:t>
      </w:r>
      <w:r w:rsidRPr="001D67AF">
        <w:t>Durable platelet response</w:t>
      </w:r>
      <w:r w:rsidR="00480F86">
        <w:t>’</w:t>
      </w:r>
      <w:r w:rsidRPr="001D67AF">
        <w:t xml:space="preserve"> is a term used in the submission as</w:t>
      </w:r>
      <w:r w:rsidR="00480F86">
        <w:t xml:space="preserve"> ‘</w:t>
      </w:r>
      <w:r w:rsidRPr="001D67AF">
        <w:t>the key outcome</w:t>
      </w:r>
      <w:r w:rsidR="00480F86">
        <w:t>’</w:t>
      </w:r>
      <w:r w:rsidRPr="001D67AF">
        <w:t>.</w:t>
      </w:r>
      <w:r w:rsidR="00A165B6" w:rsidRPr="001D67AF">
        <w:t xml:space="preserve"> </w:t>
      </w:r>
      <w:r w:rsidR="00A556E4" w:rsidRPr="00CA51C6">
        <w:t>The PSCR quoted a number of studies to support claims that low platelet counts are associated with worse outcomes; this has been accepted by the PBAC.</w:t>
      </w:r>
    </w:p>
    <w:p w14:paraId="38AD9835" w14:textId="4BDC03FD" w:rsidR="00A165B6" w:rsidRPr="001D67AF" w:rsidRDefault="00A165B6" w:rsidP="00A165B6">
      <w:pPr>
        <w:pStyle w:val="3-BodyText"/>
      </w:pPr>
      <w:bookmarkStart w:id="31" w:name="_Ref119941181"/>
      <w:r w:rsidRPr="001D67AF">
        <w:t>The statistical comparisons presented by the avatrombopag submission showed no significant difference between treatments on any metric but the confidence intervals were wide because of the very small sample sizes of the trials.</w:t>
      </w:r>
      <w:bookmarkEnd w:id="31"/>
    </w:p>
    <w:p w14:paraId="0AF31F38" w14:textId="42D667D2" w:rsidR="00A165B6" w:rsidRPr="001D67AF" w:rsidRDefault="00A165B6" w:rsidP="00A165B6">
      <w:pPr>
        <w:pStyle w:val="3-BodyText"/>
      </w:pPr>
      <w:r w:rsidRPr="001D67AF">
        <w:t>Overall, interpretation of the comparison with eltrombopag is limited by:</w:t>
      </w:r>
    </w:p>
    <w:p w14:paraId="2C0156DA" w14:textId="77777777" w:rsidR="00A165B6" w:rsidRPr="001D67AF" w:rsidRDefault="00A165B6" w:rsidP="00F913DB">
      <w:pPr>
        <w:numPr>
          <w:ilvl w:val="2"/>
          <w:numId w:val="10"/>
        </w:numPr>
        <w:tabs>
          <w:tab w:val="clear" w:pos="2880"/>
        </w:tabs>
        <w:spacing w:after="40"/>
        <w:ind w:left="1077" w:hanging="357"/>
        <w:jc w:val="left"/>
      </w:pPr>
      <w:r w:rsidRPr="001D67AF">
        <w:t>The inadequate justification of exclusion of potentially relevant studies;</w:t>
      </w:r>
    </w:p>
    <w:p w14:paraId="4A6DA2D1" w14:textId="77777777" w:rsidR="00A165B6" w:rsidRPr="001D67AF" w:rsidRDefault="00A165B6" w:rsidP="00F913DB">
      <w:pPr>
        <w:numPr>
          <w:ilvl w:val="2"/>
          <w:numId w:val="10"/>
        </w:numPr>
        <w:tabs>
          <w:tab w:val="clear" w:pos="2880"/>
        </w:tabs>
        <w:spacing w:after="40"/>
        <w:ind w:left="1077" w:hanging="357"/>
        <w:jc w:val="left"/>
      </w:pPr>
      <w:r w:rsidRPr="001D67AF">
        <w:t>The small number of patients included in the selected trials;</w:t>
      </w:r>
    </w:p>
    <w:p w14:paraId="6B0BF98D" w14:textId="78F405D5" w:rsidR="00A165B6" w:rsidRPr="001D67AF" w:rsidRDefault="00A165B6" w:rsidP="00F913DB">
      <w:pPr>
        <w:numPr>
          <w:ilvl w:val="2"/>
          <w:numId w:val="10"/>
        </w:numPr>
        <w:tabs>
          <w:tab w:val="clear" w:pos="2880"/>
        </w:tabs>
        <w:spacing w:after="40"/>
        <w:ind w:left="1077" w:hanging="357"/>
        <w:jc w:val="left"/>
      </w:pPr>
      <w:r w:rsidRPr="001D67AF">
        <w:t>The likely introduction of bias due to early switching of placebo-treated patients to open label active treatment</w:t>
      </w:r>
      <w:r w:rsidR="00F15E73" w:rsidRPr="001D67AF">
        <w:t>;</w:t>
      </w:r>
    </w:p>
    <w:p w14:paraId="457176F5" w14:textId="77777777" w:rsidR="00A165B6" w:rsidRPr="001D67AF" w:rsidRDefault="00A165B6" w:rsidP="00F913DB">
      <w:pPr>
        <w:numPr>
          <w:ilvl w:val="2"/>
          <w:numId w:val="10"/>
        </w:numPr>
        <w:tabs>
          <w:tab w:val="clear" w:pos="2880"/>
        </w:tabs>
        <w:spacing w:after="40"/>
        <w:ind w:left="1077" w:hanging="357"/>
        <w:jc w:val="left"/>
        <w:rPr>
          <w:lang w:val="en-US"/>
        </w:rPr>
      </w:pPr>
      <w:r w:rsidRPr="001D67AF">
        <w:t>The uncertainty about the dosing regimen of avatrombopag used in the trial compared to the proposed dosing regimen in the PI</w:t>
      </w:r>
      <w:r w:rsidRPr="001D67AF">
        <w:rPr>
          <w:lang w:val="en-US"/>
        </w:rPr>
        <w:t>.</w:t>
      </w:r>
    </w:p>
    <w:p w14:paraId="0A2FC303" w14:textId="4B2209BC" w:rsidR="00B95430" w:rsidRDefault="00B95430" w:rsidP="00A165B6">
      <w:pPr>
        <w:pStyle w:val="3-BodyText"/>
      </w:pPr>
      <w:r>
        <w:t xml:space="preserve">The Pre-PBAC Response acknowledged the limitations associated with Study 302, however made a number of additional statements regarding </w:t>
      </w:r>
      <w:r w:rsidR="00824441">
        <w:t>the s</w:t>
      </w:r>
      <w:r>
        <w:t xml:space="preserve">tudy, including: </w:t>
      </w:r>
    </w:p>
    <w:p w14:paraId="60BBFA82" w14:textId="60F06AC4" w:rsidR="00B95430" w:rsidRDefault="00B95430" w:rsidP="00F913DB">
      <w:pPr>
        <w:pStyle w:val="3-BodyText"/>
        <w:numPr>
          <w:ilvl w:val="0"/>
          <w:numId w:val="25"/>
        </w:numPr>
        <w:spacing w:after="40"/>
        <w:ind w:left="1077" w:hanging="357"/>
        <w:rPr>
          <w:rStyle w:val="CommentReference"/>
          <w:rFonts w:asciiTheme="minorHAnsi" w:hAnsiTheme="minorHAnsi"/>
          <w:b w:val="0"/>
          <w:sz w:val="24"/>
          <w:szCs w:val="24"/>
        </w:rPr>
      </w:pPr>
      <w:r>
        <w:rPr>
          <w:rStyle w:val="CommentReference"/>
          <w:rFonts w:asciiTheme="minorHAnsi" w:hAnsiTheme="minorHAnsi"/>
          <w:b w:val="0"/>
          <w:sz w:val="24"/>
          <w:szCs w:val="24"/>
        </w:rPr>
        <w:t xml:space="preserve">Early withdrawal in the placebo arm decreases the chance of events (bleeding events or adverse events) being observed in the placebo arm; </w:t>
      </w:r>
    </w:p>
    <w:p w14:paraId="023CD545" w14:textId="7BD9EF2B" w:rsidR="00B95430" w:rsidRDefault="00B95430" w:rsidP="00F913DB">
      <w:pPr>
        <w:pStyle w:val="3-BodyText"/>
        <w:numPr>
          <w:ilvl w:val="0"/>
          <w:numId w:val="25"/>
        </w:numPr>
        <w:spacing w:after="40"/>
        <w:ind w:left="1077" w:hanging="357"/>
        <w:rPr>
          <w:rStyle w:val="CommentReference"/>
          <w:rFonts w:asciiTheme="minorHAnsi" w:hAnsiTheme="minorHAnsi"/>
          <w:b w:val="0"/>
          <w:sz w:val="24"/>
          <w:szCs w:val="24"/>
        </w:rPr>
      </w:pPr>
      <w:r>
        <w:rPr>
          <w:rStyle w:val="CommentReference"/>
          <w:rFonts w:asciiTheme="minorHAnsi" w:hAnsiTheme="minorHAnsi"/>
          <w:b w:val="0"/>
          <w:sz w:val="24"/>
          <w:szCs w:val="24"/>
        </w:rPr>
        <w:t>Low event rates in the placebo arm of Study 302 bias</w:t>
      </w:r>
      <w:r w:rsidR="00DF2C4F">
        <w:rPr>
          <w:rStyle w:val="CommentReference"/>
          <w:rFonts w:asciiTheme="minorHAnsi" w:hAnsiTheme="minorHAnsi"/>
          <w:b w:val="0"/>
          <w:sz w:val="24"/>
          <w:szCs w:val="24"/>
        </w:rPr>
        <w:t>es</w:t>
      </w:r>
      <w:r>
        <w:rPr>
          <w:rStyle w:val="CommentReference"/>
          <w:rFonts w:asciiTheme="minorHAnsi" w:hAnsiTheme="minorHAnsi"/>
          <w:b w:val="0"/>
          <w:sz w:val="24"/>
          <w:szCs w:val="24"/>
        </w:rPr>
        <w:t xml:space="preserve"> the estimates towards </w:t>
      </w:r>
      <w:r w:rsidR="00DF2C4F">
        <w:rPr>
          <w:rStyle w:val="CommentReference"/>
          <w:rFonts w:asciiTheme="minorHAnsi" w:hAnsiTheme="minorHAnsi"/>
          <w:b w:val="0"/>
          <w:sz w:val="24"/>
          <w:szCs w:val="24"/>
        </w:rPr>
        <w:t>equivalence</w:t>
      </w:r>
      <w:r>
        <w:rPr>
          <w:rStyle w:val="CommentReference"/>
          <w:rFonts w:asciiTheme="minorHAnsi" w:hAnsiTheme="minorHAnsi"/>
          <w:b w:val="0"/>
          <w:sz w:val="24"/>
          <w:szCs w:val="24"/>
        </w:rPr>
        <w:t xml:space="preserve"> and overestimates variances between study arms; </w:t>
      </w:r>
    </w:p>
    <w:p w14:paraId="34F6635D" w14:textId="7B27EC08" w:rsidR="00B95430" w:rsidRPr="00B95430" w:rsidRDefault="00B95430" w:rsidP="00F913DB">
      <w:pPr>
        <w:pStyle w:val="3-BodyText"/>
        <w:numPr>
          <w:ilvl w:val="0"/>
          <w:numId w:val="25"/>
        </w:numPr>
        <w:spacing w:after="40"/>
        <w:ind w:left="1077" w:hanging="357"/>
        <w:rPr>
          <w:rStyle w:val="CommentReference"/>
          <w:rFonts w:asciiTheme="minorHAnsi" w:hAnsiTheme="minorHAnsi"/>
          <w:b w:val="0"/>
          <w:sz w:val="24"/>
          <w:szCs w:val="24"/>
        </w:rPr>
      </w:pPr>
      <w:r>
        <w:rPr>
          <w:rStyle w:val="CommentReference"/>
          <w:rFonts w:asciiTheme="minorHAnsi" w:hAnsiTheme="minorHAnsi"/>
          <w:b w:val="0"/>
          <w:sz w:val="24"/>
          <w:szCs w:val="24"/>
        </w:rPr>
        <w:lastRenderedPageBreak/>
        <w:t>Study 302 had more stringent inclusion criteria in terms of ITP definition than RAISE (eltrombopag) (</w:t>
      </w:r>
      <w:r>
        <w:rPr>
          <w:rStyle w:val="CommentReference"/>
          <w:rFonts w:asciiTheme="minorHAnsi" w:hAnsiTheme="minorHAnsi" w:cstheme="minorHAnsi"/>
          <w:b w:val="0"/>
          <w:sz w:val="24"/>
          <w:szCs w:val="24"/>
        </w:rPr>
        <w:t>≥</w:t>
      </w:r>
      <w:r>
        <w:rPr>
          <w:rStyle w:val="CommentReference"/>
          <w:rFonts w:asciiTheme="minorHAnsi" w:hAnsiTheme="minorHAnsi"/>
          <w:b w:val="0"/>
          <w:sz w:val="24"/>
          <w:szCs w:val="24"/>
        </w:rPr>
        <w:t xml:space="preserve">12 months duration for Study 302 and </w:t>
      </w:r>
      <w:r>
        <w:rPr>
          <w:rStyle w:val="CommentReference"/>
          <w:rFonts w:asciiTheme="minorHAnsi" w:hAnsiTheme="minorHAnsi" w:cstheme="minorHAnsi"/>
          <w:b w:val="0"/>
          <w:sz w:val="24"/>
          <w:szCs w:val="24"/>
        </w:rPr>
        <w:t>≥6 months duration for RAISE), which likely contributed to the Study 302 population having a lower response rate; and</w:t>
      </w:r>
    </w:p>
    <w:p w14:paraId="4596F999" w14:textId="127F98C7" w:rsidR="00B95430" w:rsidRDefault="00B95430" w:rsidP="00F913DB">
      <w:pPr>
        <w:pStyle w:val="3-BodyText"/>
        <w:numPr>
          <w:ilvl w:val="0"/>
          <w:numId w:val="25"/>
        </w:numPr>
        <w:ind w:left="1077" w:hanging="357"/>
        <w:rPr>
          <w:rStyle w:val="CommentReference"/>
          <w:rFonts w:asciiTheme="minorHAnsi" w:hAnsiTheme="minorHAnsi"/>
          <w:b w:val="0"/>
          <w:sz w:val="24"/>
          <w:szCs w:val="24"/>
        </w:rPr>
      </w:pPr>
      <w:r>
        <w:rPr>
          <w:rStyle w:val="CommentReference"/>
          <w:rFonts w:asciiTheme="minorHAnsi" w:hAnsiTheme="minorHAnsi"/>
          <w:b w:val="0"/>
          <w:sz w:val="24"/>
          <w:szCs w:val="24"/>
        </w:rPr>
        <w:t>The availability of eltrombopag likely lowered the incentive for responding patients to enrol in Study 302.</w:t>
      </w:r>
    </w:p>
    <w:p w14:paraId="6B761817" w14:textId="30C0CF66" w:rsidR="00B95430" w:rsidRDefault="00B95430" w:rsidP="00B95430">
      <w:pPr>
        <w:pStyle w:val="3-BodyText"/>
      </w:pPr>
      <w:r>
        <w:t xml:space="preserve">Further, the Pre-PBAC Response also noted the meta-analyses and </w:t>
      </w:r>
      <w:r w:rsidR="00C52F98">
        <w:t>real-world</w:t>
      </w:r>
      <w:r w:rsidR="00E36A03">
        <w:t xml:space="preserve"> evidence (outlined in </w:t>
      </w:r>
      <w:r w:rsidR="00E36A03" w:rsidRPr="009B55AB">
        <w:t>paragraph</w:t>
      </w:r>
      <w:r w:rsidR="009B55AB">
        <w:t xml:space="preserve"> </w:t>
      </w:r>
      <w:r w:rsidR="009B55AB">
        <w:fldChar w:fldCharType="begin" w:fldLock="1"/>
      </w:r>
      <w:r w:rsidR="009B55AB">
        <w:instrText xml:space="preserve"> REF _Ref119311036 \r \h </w:instrText>
      </w:r>
      <w:r w:rsidR="009B55AB">
        <w:fldChar w:fldCharType="separate"/>
      </w:r>
      <w:r w:rsidR="009B55AB">
        <w:t>6.21</w:t>
      </w:r>
      <w:r w:rsidR="009B55AB">
        <w:fldChar w:fldCharType="end"/>
      </w:r>
      <w:r w:rsidR="00E36A03">
        <w:t xml:space="preserve">) demonstrated a high proportion of patients switching to avatrombopag (from eltrombopag) achieved both a platelet response and complete platelet response (10/11 patients from Al-Samkari et al 2022). </w:t>
      </w:r>
    </w:p>
    <w:p w14:paraId="1452C351" w14:textId="0D19F1B0" w:rsidR="00B60939" w:rsidRPr="00C9624D" w:rsidRDefault="00B60939" w:rsidP="00D86231">
      <w:pPr>
        <w:pStyle w:val="4-SubsectionHeading"/>
      </w:pPr>
      <w:bookmarkStart w:id="32" w:name="_Toc22897642"/>
      <w:bookmarkStart w:id="33" w:name="_Toc113903630"/>
      <w:r w:rsidRPr="00C9624D">
        <w:t>Comparative harms</w:t>
      </w:r>
      <w:bookmarkEnd w:id="32"/>
      <w:bookmarkEnd w:id="33"/>
    </w:p>
    <w:p w14:paraId="44A7B9DA" w14:textId="7191BBE8" w:rsidR="00C47840" w:rsidRPr="00C47840" w:rsidRDefault="00C47840" w:rsidP="00C47840">
      <w:pPr>
        <w:pStyle w:val="3-BodyText"/>
        <w:numPr>
          <w:ilvl w:val="0"/>
          <w:numId w:val="0"/>
        </w:numPr>
        <w:ind w:left="720" w:hanging="720"/>
        <w:rPr>
          <w:sz w:val="20"/>
          <w:szCs w:val="20"/>
        </w:rPr>
      </w:pPr>
      <w:r w:rsidRPr="00C47840">
        <w:rPr>
          <w:b/>
          <w:bCs/>
          <w:i/>
          <w:iCs/>
        </w:rPr>
        <w:t>Indirect comparison of avatrombopag with eltrombopag</w:t>
      </w:r>
    </w:p>
    <w:p w14:paraId="7EF2AC9A" w14:textId="73DC3C5F" w:rsidR="00A165B6" w:rsidRPr="00DB610E" w:rsidRDefault="00A165B6" w:rsidP="00A165B6">
      <w:pPr>
        <w:pStyle w:val="3-BodyText"/>
        <w:rPr>
          <w:sz w:val="20"/>
          <w:szCs w:val="20"/>
        </w:rPr>
      </w:pPr>
      <w:r>
        <w:t>An overview of</w:t>
      </w:r>
      <w:r w:rsidRPr="00224AE0">
        <w:t xml:space="preserve"> adverse events reported in the trials </w:t>
      </w:r>
      <w:r>
        <w:t>is</w:t>
      </w:r>
      <w:r w:rsidRPr="00224AE0">
        <w:t xml:space="preserve"> shown</w:t>
      </w:r>
      <w:r w:rsidR="00BC1F2E">
        <w:t xml:space="preserve"> in </w:t>
      </w:r>
      <w:r w:rsidR="00BC1F2E">
        <w:fldChar w:fldCharType="begin" w:fldLock="1"/>
      </w:r>
      <w:r w:rsidR="00BC1F2E">
        <w:instrText xml:space="preserve"> REF _Ref112586343 \h </w:instrText>
      </w:r>
      <w:r w:rsidR="00BC1F2E">
        <w:fldChar w:fldCharType="separate"/>
      </w:r>
      <w:r w:rsidR="0080246B" w:rsidRPr="00DB610E">
        <w:rPr>
          <w:szCs w:val="20"/>
        </w:rPr>
        <w:t xml:space="preserve">Table </w:t>
      </w:r>
      <w:r w:rsidR="0080246B">
        <w:rPr>
          <w:noProof/>
          <w:szCs w:val="20"/>
        </w:rPr>
        <w:t>7</w:t>
      </w:r>
      <w:r w:rsidR="00BC1F2E">
        <w:fldChar w:fldCharType="end"/>
      </w:r>
      <w:r w:rsidRPr="00224AE0">
        <w:t>. The submission also provided safety data from the open label follow-up study</w:t>
      </w:r>
      <w:r w:rsidR="006673E4">
        <w:t>,</w:t>
      </w:r>
      <w:r>
        <w:t xml:space="preserve"> but these were not included in the indirect comparison</w:t>
      </w:r>
      <w:r w:rsidRPr="00224AE0">
        <w:t xml:space="preserve">. </w:t>
      </w:r>
      <w:r>
        <w:t>The most commonly reported adverse events in the double-blind phase were headache: avatrombopag 8/32 (25%) vs placebo 0/17; and nausea and vomiting: avatrombopag 7/32 (22%) vs placebo 1/17 (6%). There were two episodes of venous thrombosis associated with avatrombopag treatment, one deep vein thrombosis during the double-blind phase and one jugular vein thrombosis during the open-label extension</w:t>
      </w:r>
      <w:r w:rsidRPr="00DB610E">
        <w:rPr>
          <w:sz w:val="20"/>
          <w:szCs w:val="20"/>
        </w:rPr>
        <w:t>.</w:t>
      </w:r>
    </w:p>
    <w:p w14:paraId="7384237F" w14:textId="555AF39D" w:rsidR="00255E08" w:rsidRPr="00DB610E" w:rsidRDefault="00255E08" w:rsidP="00F913DB">
      <w:pPr>
        <w:pStyle w:val="TableHeading"/>
        <w:spacing w:after="0"/>
        <w:rPr>
          <w:szCs w:val="20"/>
        </w:rPr>
      </w:pPr>
      <w:bookmarkStart w:id="34" w:name="_Ref112586343"/>
      <w:r w:rsidRPr="00DB610E">
        <w:rPr>
          <w:szCs w:val="20"/>
        </w:rPr>
        <w:t xml:space="preserve">Table </w:t>
      </w:r>
      <w:r w:rsidRPr="00DB610E">
        <w:rPr>
          <w:szCs w:val="20"/>
        </w:rPr>
        <w:fldChar w:fldCharType="begin" w:fldLock="1"/>
      </w:r>
      <w:r w:rsidRPr="00DB610E">
        <w:rPr>
          <w:szCs w:val="20"/>
        </w:rPr>
        <w:instrText xml:space="preserve"> SEQ Table \* ARABIC </w:instrText>
      </w:r>
      <w:r w:rsidRPr="00DB610E">
        <w:rPr>
          <w:szCs w:val="20"/>
        </w:rPr>
        <w:fldChar w:fldCharType="separate"/>
      </w:r>
      <w:r w:rsidR="0080246B">
        <w:rPr>
          <w:noProof/>
          <w:szCs w:val="20"/>
        </w:rPr>
        <w:t>7</w:t>
      </w:r>
      <w:r w:rsidRPr="00DB610E">
        <w:rPr>
          <w:noProof/>
          <w:szCs w:val="20"/>
        </w:rPr>
        <w:fldChar w:fldCharType="end"/>
      </w:r>
      <w:bookmarkEnd w:id="34"/>
      <w:r w:rsidRPr="00DB610E">
        <w:rPr>
          <w:szCs w:val="20"/>
        </w:rPr>
        <w:t xml:space="preserve">: </w:t>
      </w:r>
      <w:r w:rsidR="002756AC">
        <w:rPr>
          <w:szCs w:val="20"/>
        </w:rPr>
        <w:t>Safety</w:t>
      </w:r>
      <w:r w:rsidR="002756AC" w:rsidRPr="00DB610E">
        <w:rPr>
          <w:szCs w:val="20"/>
        </w:rPr>
        <w:t xml:space="preserve"> outcomes vs placebo and</w:t>
      </w:r>
      <w:r w:rsidR="002756AC">
        <w:rPr>
          <w:szCs w:val="20"/>
        </w:rPr>
        <w:t xml:space="preserve"> indirect comparison of</w:t>
      </w:r>
      <w:r w:rsidR="002756AC" w:rsidRPr="00DB610E">
        <w:rPr>
          <w:szCs w:val="20"/>
        </w:rPr>
        <w:t xml:space="preserve"> avatrombopag vs eltrombopag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041"/>
        <w:gridCol w:w="2110"/>
        <w:gridCol w:w="2409"/>
      </w:tblGrid>
      <w:tr w:rsidR="00255E08" w:rsidRPr="00DB610E" w14:paraId="76C6D6ED" w14:textId="77777777" w:rsidTr="00FF5CBC">
        <w:trPr>
          <w:cantSplit/>
          <w:tblHeader/>
        </w:trPr>
        <w:tc>
          <w:tcPr>
            <w:tcW w:w="1362" w:type="pct"/>
            <w:vAlign w:val="center"/>
          </w:tcPr>
          <w:p w14:paraId="2F52B5E6" w14:textId="77777777" w:rsidR="00255E08" w:rsidRPr="00DB610E" w:rsidRDefault="00255E08" w:rsidP="00255E08">
            <w:pPr>
              <w:pStyle w:val="TableText0"/>
              <w:rPr>
                <w:szCs w:val="20"/>
              </w:rPr>
            </w:pPr>
          </w:p>
        </w:tc>
        <w:tc>
          <w:tcPr>
            <w:tcW w:w="1132" w:type="pct"/>
            <w:vAlign w:val="center"/>
          </w:tcPr>
          <w:p w14:paraId="13190EA6" w14:textId="77777777" w:rsidR="00255E08" w:rsidRPr="00F15E73" w:rsidRDefault="00255E08" w:rsidP="00F15E73">
            <w:pPr>
              <w:pStyle w:val="TableText0"/>
              <w:jc w:val="center"/>
              <w:rPr>
                <w:b/>
                <w:bCs w:val="0"/>
                <w:szCs w:val="20"/>
              </w:rPr>
            </w:pPr>
            <w:r w:rsidRPr="00F15E73">
              <w:rPr>
                <w:b/>
                <w:bCs w:val="0"/>
                <w:szCs w:val="20"/>
              </w:rPr>
              <w:t>Treatment-related AEs</w:t>
            </w:r>
          </w:p>
          <w:p w14:paraId="4353C4D4" w14:textId="77777777" w:rsidR="00255E08" w:rsidRPr="00F15E73" w:rsidRDefault="00255E08" w:rsidP="00F15E73">
            <w:pPr>
              <w:pStyle w:val="TableText0"/>
              <w:jc w:val="center"/>
              <w:rPr>
                <w:b/>
                <w:bCs w:val="0"/>
                <w:szCs w:val="20"/>
              </w:rPr>
            </w:pPr>
            <w:r w:rsidRPr="00F15E73">
              <w:rPr>
                <w:b/>
                <w:bCs w:val="0"/>
                <w:szCs w:val="20"/>
              </w:rPr>
              <w:t>n/N (%)</w:t>
            </w:r>
          </w:p>
        </w:tc>
        <w:tc>
          <w:tcPr>
            <w:tcW w:w="1170" w:type="pct"/>
            <w:vAlign w:val="center"/>
          </w:tcPr>
          <w:p w14:paraId="7FB2E0A3" w14:textId="77777777" w:rsidR="00255E08" w:rsidRPr="00F15E73" w:rsidRDefault="00255E08" w:rsidP="00F15E73">
            <w:pPr>
              <w:pStyle w:val="TableText0"/>
              <w:jc w:val="center"/>
              <w:rPr>
                <w:b/>
                <w:bCs w:val="0"/>
                <w:szCs w:val="20"/>
              </w:rPr>
            </w:pPr>
            <w:r w:rsidRPr="00F15E73">
              <w:rPr>
                <w:b/>
                <w:bCs w:val="0"/>
                <w:szCs w:val="20"/>
              </w:rPr>
              <w:t>AEs leading to study discontinuation</w:t>
            </w:r>
          </w:p>
          <w:p w14:paraId="0C60D570" w14:textId="77777777" w:rsidR="00255E08" w:rsidRPr="00F15E73" w:rsidRDefault="00255E08" w:rsidP="00F15E73">
            <w:pPr>
              <w:pStyle w:val="TableText0"/>
              <w:jc w:val="center"/>
              <w:rPr>
                <w:b/>
                <w:bCs w:val="0"/>
                <w:szCs w:val="20"/>
              </w:rPr>
            </w:pPr>
            <w:r w:rsidRPr="00F15E73">
              <w:rPr>
                <w:b/>
                <w:bCs w:val="0"/>
                <w:szCs w:val="20"/>
              </w:rPr>
              <w:t>n/N (%)</w:t>
            </w:r>
          </w:p>
        </w:tc>
        <w:tc>
          <w:tcPr>
            <w:tcW w:w="1336" w:type="pct"/>
            <w:vAlign w:val="center"/>
          </w:tcPr>
          <w:p w14:paraId="79E8E5DA" w14:textId="77777777" w:rsidR="00255E08" w:rsidRPr="00F15E73" w:rsidRDefault="00255E08" w:rsidP="00F15E73">
            <w:pPr>
              <w:pStyle w:val="TableText0"/>
              <w:jc w:val="center"/>
              <w:rPr>
                <w:b/>
                <w:bCs w:val="0"/>
                <w:szCs w:val="20"/>
              </w:rPr>
            </w:pPr>
            <w:r w:rsidRPr="00F15E73">
              <w:rPr>
                <w:b/>
                <w:bCs w:val="0"/>
                <w:szCs w:val="20"/>
              </w:rPr>
              <w:t xml:space="preserve">Treatment-related adverse events </w:t>
            </w:r>
            <w:r w:rsidRPr="00F15E73">
              <w:rPr>
                <w:b/>
                <w:bCs w:val="0"/>
                <w:szCs w:val="20"/>
              </w:rPr>
              <w:sym w:font="Symbol" w:char="F0B3"/>
            </w:r>
            <w:r w:rsidRPr="00F15E73">
              <w:rPr>
                <w:b/>
                <w:bCs w:val="0"/>
                <w:szCs w:val="20"/>
              </w:rPr>
              <w:t xml:space="preserve"> Grade 3</w:t>
            </w:r>
          </w:p>
        </w:tc>
      </w:tr>
      <w:tr w:rsidR="00255E08" w:rsidRPr="00DB610E" w14:paraId="64BA74C1" w14:textId="77777777" w:rsidTr="00FF5CBC">
        <w:trPr>
          <w:cantSplit/>
        </w:trPr>
        <w:tc>
          <w:tcPr>
            <w:tcW w:w="5000" w:type="pct"/>
            <w:gridSpan w:val="4"/>
            <w:vAlign w:val="center"/>
          </w:tcPr>
          <w:p w14:paraId="45303051" w14:textId="77777777" w:rsidR="00255E08" w:rsidRPr="00DB610E" w:rsidRDefault="00255E08" w:rsidP="00255E08">
            <w:pPr>
              <w:pStyle w:val="TableText0"/>
              <w:rPr>
                <w:szCs w:val="20"/>
              </w:rPr>
            </w:pPr>
            <w:r w:rsidRPr="00DB610E">
              <w:rPr>
                <w:b/>
                <w:szCs w:val="20"/>
              </w:rPr>
              <w:t>Avatrombopag vs placebo (Study 302)</w:t>
            </w:r>
          </w:p>
        </w:tc>
      </w:tr>
      <w:tr w:rsidR="00255E08" w:rsidRPr="00DB610E" w14:paraId="565B2FAD" w14:textId="77777777" w:rsidTr="00FF5CBC">
        <w:trPr>
          <w:cantSplit/>
        </w:trPr>
        <w:tc>
          <w:tcPr>
            <w:tcW w:w="1362" w:type="pct"/>
            <w:vAlign w:val="center"/>
          </w:tcPr>
          <w:p w14:paraId="601E0E71" w14:textId="77777777" w:rsidR="00255E08" w:rsidRPr="008D6721" w:rsidRDefault="00255E08" w:rsidP="00255E08">
            <w:pPr>
              <w:pStyle w:val="TableText0"/>
              <w:rPr>
                <w:b/>
                <w:bCs w:val="0"/>
                <w:szCs w:val="20"/>
              </w:rPr>
            </w:pPr>
            <w:r w:rsidRPr="008D6721">
              <w:rPr>
                <w:b/>
                <w:bCs w:val="0"/>
                <w:szCs w:val="20"/>
              </w:rPr>
              <w:t>Avatrombopag</w:t>
            </w:r>
          </w:p>
        </w:tc>
        <w:tc>
          <w:tcPr>
            <w:tcW w:w="1132" w:type="pct"/>
            <w:vAlign w:val="center"/>
          </w:tcPr>
          <w:p w14:paraId="7C1CE854" w14:textId="7C0D03D0" w:rsidR="00255E08" w:rsidRPr="00DB610E" w:rsidRDefault="00255E08" w:rsidP="008D6721">
            <w:pPr>
              <w:pStyle w:val="TableText0"/>
              <w:jc w:val="center"/>
              <w:rPr>
                <w:szCs w:val="20"/>
              </w:rPr>
            </w:pPr>
            <w:r w:rsidRPr="00DB610E">
              <w:rPr>
                <w:szCs w:val="20"/>
              </w:rPr>
              <w:t>31/32 (9</w:t>
            </w:r>
            <w:r w:rsidR="00B501FF">
              <w:rPr>
                <w:szCs w:val="20"/>
              </w:rPr>
              <w:t>6.9</w:t>
            </w:r>
            <w:r w:rsidRPr="00DB610E">
              <w:rPr>
                <w:szCs w:val="20"/>
              </w:rPr>
              <w:t>%)</w:t>
            </w:r>
          </w:p>
        </w:tc>
        <w:tc>
          <w:tcPr>
            <w:tcW w:w="1170" w:type="pct"/>
            <w:vAlign w:val="center"/>
          </w:tcPr>
          <w:p w14:paraId="7C09D234" w14:textId="279DF52D" w:rsidR="00255E08" w:rsidRPr="00DB610E" w:rsidRDefault="00255E08" w:rsidP="008D6721">
            <w:pPr>
              <w:pStyle w:val="TableText0"/>
              <w:jc w:val="center"/>
              <w:rPr>
                <w:szCs w:val="20"/>
              </w:rPr>
            </w:pPr>
            <w:r w:rsidRPr="00DB610E">
              <w:rPr>
                <w:szCs w:val="20"/>
              </w:rPr>
              <w:t>3/32 (9</w:t>
            </w:r>
            <w:r w:rsidR="00B501FF">
              <w:rPr>
                <w:szCs w:val="20"/>
              </w:rPr>
              <w:t>.4</w:t>
            </w:r>
            <w:r w:rsidRPr="00DB610E">
              <w:rPr>
                <w:szCs w:val="20"/>
              </w:rPr>
              <w:t>%)</w:t>
            </w:r>
          </w:p>
        </w:tc>
        <w:tc>
          <w:tcPr>
            <w:tcW w:w="1336" w:type="pct"/>
            <w:vAlign w:val="center"/>
          </w:tcPr>
          <w:p w14:paraId="1FD2001E" w14:textId="1A5831AF" w:rsidR="00255E08" w:rsidRPr="00DB610E" w:rsidRDefault="00255E08" w:rsidP="008D6721">
            <w:pPr>
              <w:pStyle w:val="TableText0"/>
              <w:jc w:val="center"/>
              <w:rPr>
                <w:szCs w:val="20"/>
              </w:rPr>
            </w:pPr>
            <w:r w:rsidRPr="00DB610E">
              <w:rPr>
                <w:szCs w:val="20"/>
              </w:rPr>
              <w:t>6/32 (1</w:t>
            </w:r>
            <w:r w:rsidR="002811CB">
              <w:rPr>
                <w:szCs w:val="20"/>
              </w:rPr>
              <w:t>8.75</w:t>
            </w:r>
            <w:r w:rsidRPr="00DB610E">
              <w:rPr>
                <w:szCs w:val="20"/>
              </w:rPr>
              <w:t>%)</w:t>
            </w:r>
          </w:p>
        </w:tc>
      </w:tr>
      <w:tr w:rsidR="00255E08" w:rsidRPr="00DB610E" w14:paraId="3B1C076B" w14:textId="77777777" w:rsidTr="00FF5CBC">
        <w:trPr>
          <w:cantSplit/>
        </w:trPr>
        <w:tc>
          <w:tcPr>
            <w:tcW w:w="1362" w:type="pct"/>
            <w:vAlign w:val="center"/>
          </w:tcPr>
          <w:p w14:paraId="0340E335" w14:textId="77777777" w:rsidR="00255E08" w:rsidRPr="008D6721" w:rsidRDefault="00255E08" w:rsidP="00255E08">
            <w:pPr>
              <w:pStyle w:val="TableText0"/>
              <w:rPr>
                <w:b/>
                <w:bCs w:val="0"/>
                <w:szCs w:val="20"/>
              </w:rPr>
            </w:pPr>
            <w:r w:rsidRPr="008D6721">
              <w:rPr>
                <w:b/>
                <w:bCs w:val="0"/>
                <w:szCs w:val="20"/>
              </w:rPr>
              <w:t>Placebo</w:t>
            </w:r>
          </w:p>
        </w:tc>
        <w:tc>
          <w:tcPr>
            <w:tcW w:w="1132" w:type="pct"/>
            <w:vAlign w:val="center"/>
          </w:tcPr>
          <w:p w14:paraId="6B59162F" w14:textId="4476C870" w:rsidR="00255E08" w:rsidRPr="00DB610E" w:rsidRDefault="00255E08" w:rsidP="008D6721">
            <w:pPr>
              <w:pStyle w:val="TableText0"/>
              <w:jc w:val="center"/>
              <w:rPr>
                <w:szCs w:val="20"/>
              </w:rPr>
            </w:pPr>
            <w:r w:rsidRPr="00DB610E">
              <w:rPr>
                <w:szCs w:val="20"/>
              </w:rPr>
              <w:t>10/17 (5</w:t>
            </w:r>
            <w:r w:rsidR="00B501FF">
              <w:rPr>
                <w:szCs w:val="20"/>
              </w:rPr>
              <w:t>8.8</w:t>
            </w:r>
            <w:r w:rsidRPr="00DB610E">
              <w:rPr>
                <w:szCs w:val="20"/>
              </w:rPr>
              <w:t>%)</w:t>
            </w:r>
          </w:p>
        </w:tc>
        <w:tc>
          <w:tcPr>
            <w:tcW w:w="1170" w:type="pct"/>
            <w:vAlign w:val="center"/>
          </w:tcPr>
          <w:p w14:paraId="53B4F02D" w14:textId="77777777" w:rsidR="00255E08" w:rsidRPr="00DB610E" w:rsidRDefault="00255E08" w:rsidP="008D6721">
            <w:pPr>
              <w:pStyle w:val="TableText0"/>
              <w:jc w:val="center"/>
              <w:rPr>
                <w:szCs w:val="20"/>
              </w:rPr>
            </w:pPr>
            <w:r w:rsidRPr="00DB610E">
              <w:rPr>
                <w:szCs w:val="20"/>
              </w:rPr>
              <w:t>0/17 (0%)</w:t>
            </w:r>
          </w:p>
        </w:tc>
        <w:tc>
          <w:tcPr>
            <w:tcW w:w="1336" w:type="pct"/>
            <w:vAlign w:val="center"/>
          </w:tcPr>
          <w:p w14:paraId="5F6EDCDE" w14:textId="44352C08" w:rsidR="00255E08" w:rsidRPr="00DB610E" w:rsidRDefault="00255E08" w:rsidP="008D6721">
            <w:pPr>
              <w:pStyle w:val="TableText0"/>
              <w:jc w:val="center"/>
              <w:rPr>
                <w:szCs w:val="20"/>
              </w:rPr>
            </w:pPr>
            <w:r w:rsidRPr="00DB610E">
              <w:rPr>
                <w:szCs w:val="20"/>
              </w:rPr>
              <w:t>0/17 (0</w:t>
            </w:r>
            <w:r w:rsidR="002811CB">
              <w:rPr>
                <w:szCs w:val="20"/>
              </w:rPr>
              <w:t>.00</w:t>
            </w:r>
            <w:r w:rsidRPr="00DB610E">
              <w:rPr>
                <w:szCs w:val="20"/>
              </w:rPr>
              <w:t>%)</w:t>
            </w:r>
          </w:p>
        </w:tc>
      </w:tr>
      <w:tr w:rsidR="00255E08" w:rsidRPr="00DB610E" w14:paraId="739ABF8F" w14:textId="77777777" w:rsidTr="00FF5CBC">
        <w:trPr>
          <w:cantSplit/>
        </w:trPr>
        <w:tc>
          <w:tcPr>
            <w:tcW w:w="1362" w:type="pct"/>
            <w:vAlign w:val="center"/>
          </w:tcPr>
          <w:p w14:paraId="3D555463" w14:textId="77777777" w:rsidR="00255E08" w:rsidRPr="008D6721" w:rsidRDefault="00255E08" w:rsidP="00255E08">
            <w:pPr>
              <w:pStyle w:val="TableText0"/>
              <w:rPr>
                <w:b/>
                <w:bCs w:val="0"/>
                <w:szCs w:val="20"/>
              </w:rPr>
            </w:pPr>
            <w:r w:rsidRPr="008D6721">
              <w:rPr>
                <w:b/>
                <w:bCs w:val="0"/>
                <w:szCs w:val="20"/>
              </w:rPr>
              <w:t>RR (95% CI)</w:t>
            </w:r>
          </w:p>
        </w:tc>
        <w:tc>
          <w:tcPr>
            <w:tcW w:w="1132" w:type="pct"/>
            <w:vAlign w:val="center"/>
          </w:tcPr>
          <w:p w14:paraId="0D931C81" w14:textId="77777777" w:rsidR="00255E08" w:rsidRPr="00DB610E" w:rsidRDefault="00255E08" w:rsidP="008D6721">
            <w:pPr>
              <w:pStyle w:val="TableText0"/>
              <w:jc w:val="center"/>
              <w:rPr>
                <w:b/>
                <w:szCs w:val="20"/>
              </w:rPr>
            </w:pPr>
            <w:r w:rsidRPr="00DB610E">
              <w:rPr>
                <w:b/>
                <w:szCs w:val="20"/>
              </w:rPr>
              <w:t>1.65 (1.10, 2.46)</w:t>
            </w:r>
          </w:p>
        </w:tc>
        <w:tc>
          <w:tcPr>
            <w:tcW w:w="1170" w:type="pct"/>
            <w:vAlign w:val="center"/>
          </w:tcPr>
          <w:p w14:paraId="5FB93FBA" w14:textId="1BF43D91" w:rsidR="00255E08" w:rsidRPr="00157B0C" w:rsidRDefault="00255E08" w:rsidP="008D6721">
            <w:pPr>
              <w:pStyle w:val="TableText0"/>
              <w:jc w:val="center"/>
              <w:rPr>
                <w:szCs w:val="20"/>
              </w:rPr>
            </w:pPr>
            <w:r w:rsidRPr="00157B0C">
              <w:rPr>
                <w:szCs w:val="20"/>
              </w:rPr>
              <w:t>3.82 (0.21, 69.</w:t>
            </w:r>
            <w:r w:rsidR="00B501FF">
              <w:rPr>
                <w:szCs w:val="20"/>
              </w:rPr>
              <w:t>88</w:t>
            </w:r>
            <w:r w:rsidRPr="00157B0C">
              <w:rPr>
                <w:szCs w:val="20"/>
              </w:rPr>
              <w:t>)</w:t>
            </w:r>
          </w:p>
        </w:tc>
        <w:tc>
          <w:tcPr>
            <w:tcW w:w="1336" w:type="pct"/>
            <w:vAlign w:val="center"/>
          </w:tcPr>
          <w:p w14:paraId="60CEAB9E" w14:textId="5BCC2CC9" w:rsidR="00255E08" w:rsidRPr="00157B0C" w:rsidRDefault="00255E08" w:rsidP="008D6721">
            <w:pPr>
              <w:pStyle w:val="TableText0"/>
              <w:jc w:val="center"/>
              <w:rPr>
                <w:szCs w:val="20"/>
              </w:rPr>
            </w:pPr>
            <w:r w:rsidRPr="00157B0C">
              <w:rPr>
                <w:szCs w:val="20"/>
              </w:rPr>
              <w:t>7.</w:t>
            </w:r>
            <w:r w:rsidR="002811CB">
              <w:rPr>
                <w:szCs w:val="20"/>
              </w:rPr>
              <w:t>09</w:t>
            </w:r>
            <w:r w:rsidRPr="00157B0C">
              <w:rPr>
                <w:szCs w:val="20"/>
              </w:rPr>
              <w:t xml:space="preserve"> (0.42, 118.</w:t>
            </w:r>
            <w:r w:rsidR="002811CB">
              <w:rPr>
                <w:szCs w:val="20"/>
              </w:rPr>
              <w:t>79</w:t>
            </w:r>
            <w:r w:rsidRPr="00157B0C">
              <w:rPr>
                <w:szCs w:val="20"/>
              </w:rPr>
              <w:t>)</w:t>
            </w:r>
          </w:p>
        </w:tc>
      </w:tr>
      <w:tr w:rsidR="00255E08" w:rsidRPr="00DB610E" w14:paraId="0716FDDC" w14:textId="77777777" w:rsidTr="00FF5CBC">
        <w:trPr>
          <w:cantSplit/>
        </w:trPr>
        <w:tc>
          <w:tcPr>
            <w:tcW w:w="1362" w:type="pct"/>
            <w:vAlign w:val="center"/>
          </w:tcPr>
          <w:p w14:paraId="12B3D81F" w14:textId="77777777" w:rsidR="00255E08" w:rsidRPr="008D6721" w:rsidRDefault="00255E08" w:rsidP="00255E08">
            <w:pPr>
              <w:pStyle w:val="TableText0"/>
              <w:rPr>
                <w:b/>
                <w:bCs w:val="0"/>
                <w:szCs w:val="20"/>
              </w:rPr>
            </w:pPr>
            <w:r w:rsidRPr="008D6721">
              <w:rPr>
                <w:b/>
                <w:bCs w:val="0"/>
                <w:szCs w:val="20"/>
              </w:rPr>
              <w:t>RD (95% CI)</w:t>
            </w:r>
          </w:p>
        </w:tc>
        <w:tc>
          <w:tcPr>
            <w:tcW w:w="1132" w:type="pct"/>
            <w:vAlign w:val="center"/>
          </w:tcPr>
          <w:p w14:paraId="1876EAD1" w14:textId="77777777" w:rsidR="00255E08" w:rsidRPr="00DB610E" w:rsidRDefault="00255E08" w:rsidP="008D6721">
            <w:pPr>
              <w:pStyle w:val="TableText0"/>
              <w:jc w:val="center"/>
              <w:rPr>
                <w:b/>
                <w:szCs w:val="20"/>
              </w:rPr>
            </w:pPr>
            <w:r w:rsidRPr="00DB610E">
              <w:rPr>
                <w:b/>
                <w:szCs w:val="20"/>
              </w:rPr>
              <w:t>0.38 (0.14, 0.62)</w:t>
            </w:r>
          </w:p>
        </w:tc>
        <w:tc>
          <w:tcPr>
            <w:tcW w:w="1170" w:type="pct"/>
            <w:vAlign w:val="center"/>
          </w:tcPr>
          <w:p w14:paraId="251B0754" w14:textId="77777777" w:rsidR="00255E08" w:rsidRPr="00157B0C" w:rsidRDefault="00255E08" w:rsidP="008D6721">
            <w:pPr>
              <w:pStyle w:val="TableText0"/>
              <w:jc w:val="center"/>
              <w:rPr>
                <w:szCs w:val="20"/>
              </w:rPr>
            </w:pPr>
            <w:r w:rsidRPr="00157B0C">
              <w:rPr>
                <w:szCs w:val="20"/>
              </w:rPr>
              <w:t>0.09 (-0.04, 0.22)</w:t>
            </w:r>
          </w:p>
        </w:tc>
        <w:tc>
          <w:tcPr>
            <w:tcW w:w="1336" w:type="pct"/>
            <w:vAlign w:val="center"/>
          </w:tcPr>
          <w:p w14:paraId="18F4EC39" w14:textId="69094FB9" w:rsidR="00255E08" w:rsidRPr="00157B0C" w:rsidRDefault="00255E08" w:rsidP="008D6721">
            <w:pPr>
              <w:pStyle w:val="TableText0"/>
              <w:jc w:val="center"/>
              <w:rPr>
                <w:b/>
                <w:szCs w:val="20"/>
              </w:rPr>
            </w:pPr>
            <w:r w:rsidRPr="00157B0C">
              <w:rPr>
                <w:b/>
                <w:szCs w:val="20"/>
              </w:rPr>
              <w:t>0.19 (0.03, 0.34</w:t>
            </w:r>
            <w:r w:rsidR="00DF051A">
              <w:rPr>
                <w:b/>
                <w:szCs w:val="20"/>
              </w:rPr>
              <w:t>)</w:t>
            </w:r>
          </w:p>
        </w:tc>
      </w:tr>
      <w:tr w:rsidR="00255E08" w:rsidRPr="00DB610E" w14:paraId="0D1EF36C" w14:textId="77777777" w:rsidTr="00FF5CBC">
        <w:trPr>
          <w:cantSplit/>
        </w:trPr>
        <w:tc>
          <w:tcPr>
            <w:tcW w:w="5000" w:type="pct"/>
            <w:gridSpan w:val="4"/>
            <w:vAlign w:val="center"/>
          </w:tcPr>
          <w:p w14:paraId="18158869" w14:textId="77777777" w:rsidR="00255E08" w:rsidRPr="00DB610E" w:rsidRDefault="00255E08" w:rsidP="00255E08">
            <w:pPr>
              <w:pStyle w:val="TableText0"/>
              <w:rPr>
                <w:szCs w:val="20"/>
              </w:rPr>
            </w:pPr>
            <w:r w:rsidRPr="00DB610E">
              <w:rPr>
                <w:b/>
                <w:szCs w:val="20"/>
              </w:rPr>
              <w:t>Eltrombopag vs placebo (RAISE)</w:t>
            </w:r>
          </w:p>
        </w:tc>
      </w:tr>
      <w:tr w:rsidR="00255E08" w:rsidRPr="00DB610E" w14:paraId="02874D7F" w14:textId="77777777" w:rsidTr="00FF5CBC">
        <w:trPr>
          <w:cantSplit/>
        </w:trPr>
        <w:tc>
          <w:tcPr>
            <w:tcW w:w="1362" w:type="pct"/>
            <w:vAlign w:val="center"/>
          </w:tcPr>
          <w:p w14:paraId="776D3073" w14:textId="77777777" w:rsidR="00255E08" w:rsidRPr="008D6721" w:rsidRDefault="00255E08" w:rsidP="00255E08">
            <w:pPr>
              <w:pStyle w:val="TableText0"/>
              <w:rPr>
                <w:b/>
                <w:bCs w:val="0"/>
                <w:szCs w:val="20"/>
              </w:rPr>
            </w:pPr>
            <w:r w:rsidRPr="008D6721">
              <w:rPr>
                <w:b/>
                <w:bCs w:val="0"/>
                <w:szCs w:val="20"/>
              </w:rPr>
              <w:t>Eltrombopag</w:t>
            </w:r>
          </w:p>
        </w:tc>
        <w:tc>
          <w:tcPr>
            <w:tcW w:w="1132" w:type="pct"/>
            <w:vAlign w:val="center"/>
          </w:tcPr>
          <w:p w14:paraId="32E8B127" w14:textId="02CA34FD" w:rsidR="00255E08" w:rsidRPr="008D6721" w:rsidRDefault="00255E08" w:rsidP="008D6721">
            <w:pPr>
              <w:pStyle w:val="TableText0"/>
              <w:jc w:val="center"/>
              <w:rPr>
                <w:szCs w:val="20"/>
              </w:rPr>
            </w:pPr>
            <w:r w:rsidRPr="008D6721">
              <w:rPr>
                <w:szCs w:val="20"/>
              </w:rPr>
              <w:t>118/135 (87</w:t>
            </w:r>
            <w:r w:rsidR="00B501FF">
              <w:rPr>
                <w:szCs w:val="20"/>
              </w:rPr>
              <w:t>.4</w:t>
            </w:r>
            <w:r w:rsidRPr="008D6721">
              <w:rPr>
                <w:szCs w:val="20"/>
              </w:rPr>
              <w:t>%)</w:t>
            </w:r>
          </w:p>
        </w:tc>
        <w:tc>
          <w:tcPr>
            <w:tcW w:w="1170" w:type="pct"/>
            <w:vAlign w:val="center"/>
          </w:tcPr>
          <w:p w14:paraId="23E0E4EF" w14:textId="42DEF529" w:rsidR="00255E08" w:rsidRPr="008D6721" w:rsidRDefault="00255E08" w:rsidP="008D6721">
            <w:pPr>
              <w:pStyle w:val="TableText0"/>
              <w:jc w:val="center"/>
              <w:rPr>
                <w:szCs w:val="20"/>
              </w:rPr>
            </w:pPr>
            <w:r w:rsidRPr="008D6721">
              <w:rPr>
                <w:szCs w:val="20"/>
              </w:rPr>
              <w:t>13/135 (</w:t>
            </w:r>
            <w:r w:rsidR="00B501FF">
              <w:rPr>
                <w:szCs w:val="20"/>
              </w:rPr>
              <w:t>9.6</w:t>
            </w:r>
            <w:r w:rsidRPr="008D6721">
              <w:rPr>
                <w:szCs w:val="20"/>
              </w:rPr>
              <w:t>%)</w:t>
            </w:r>
          </w:p>
        </w:tc>
        <w:tc>
          <w:tcPr>
            <w:tcW w:w="1336" w:type="pct"/>
            <w:vAlign w:val="center"/>
          </w:tcPr>
          <w:p w14:paraId="05BB6E68" w14:textId="7E6FED13" w:rsidR="00255E08" w:rsidRPr="008D6721" w:rsidRDefault="00255E08" w:rsidP="008D6721">
            <w:pPr>
              <w:pStyle w:val="TableText0"/>
              <w:jc w:val="center"/>
              <w:rPr>
                <w:szCs w:val="20"/>
              </w:rPr>
            </w:pPr>
            <w:r w:rsidRPr="008D6721">
              <w:rPr>
                <w:szCs w:val="20"/>
              </w:rPr>
              <w:t>20/135 (1</w:t>
            </w:r>
            <w:r w:rsidR="002811CB">
              <w:rPr>
                <w:szCs w:val="20"/>
              </w:rPr>
              <w:t>4.81</w:t>
            </w:r>
            <w:r w:rsidRPr="008D6721">
              <w:rPr>
                <w:szCs w:val="20"/>
              </w:rPr>
              <w:t>%)</w:t>
            </w:r>
          </w:p>
        </w:tc>
      </w:tr>
      <w:tr w:rsidR="00255E08" w:rsidRPr="00DB610E" w14:paraId="4238B026" w14:textId="77777777" w:rsidTr="00FF5CBC">
        <w:trPr>
          <w:cantSplit/>
        </w:trPr>
        <w:tc>
          <w:tcPr>
            <w:tcW w:w="1362" w:type="pct"/>
            <w:vAlign w:val="center"/>
          </w:tcPr>
          <w:p w14:paraId="1BB4C014" w14:textId="77777777" w:rsidR="00255E08" w:rsidRPr="008D6721" w:rsidRDefault="00255E08" w:rsidP="00255E08">
            <w:pPr>
              <w:pStyle w:val="TableText0"/>
              <w:rPr>
                <w:b/>
                <w:bCs w:val="0"/>
                <w:szCs w:val="20"/>
              </w:rPr>
            </w:pPr>
            <w:r w:rsidRPr="008D6721">
              <w:rPr>
                <w:b/>
                <w:bCs w:val="0"/>
                <w:szCs w:val="20"/>
              </w:rPr>
              <w:t>Placebo</w:t>
            </w:r>
          </w:p>
        </w:tc>
        <w:tc>
          <w:tcPr>
            <w:tcW w:w="1132" w:type="pct"/>
            <w:vAlign w:val="center"/>
          </w:tcPr>
          <w:p w14:paraId="003988ED" w14:textId="26E6E12C" w:rsidR="00255E08" w:rsidRPr="008D6721" w:rsidRDefault="00255E08" w:rsidP="008D6721">
            <w:pPr>
              <w:pStyle w:val="TableText0"/>
              <w:jc w:val="center"/>
              <w:rPr>
                <w:szCs w:val="20"/>
              </w:rPr>
            </w:pPr>
            <w:r w:rsidRPr="008D6721">
              <w:rPr>
                <w:szCs w:val="20"/>
              </w:rPr>
              <w:t>56/61 (9</w:t>
            </w:r>
            <w:r w:rsidR="00B501FF">
              <w:rPr>
                <w:szCs w:val="20"/>
              </w:rPr>
              <w:t>1.8</w:t>
            </w:r>
            <w:r w:rsidRPr="008D6721">
              <w:rPr>
                <w:szCs w:val="20"/>
              </w:rPr>
              <w:t>%)</w:t>
            </w:r>
          </w:p>
        </w:tc>
        <w:tc>
          <w:tcPr>
            <w:tcW w:w="1170" w:type="pct"/>
            <w:vAlign w:val="center"/>
          </w:tcPr>
          <w:p w14:paraId="3A46A56B" w14:textId="025924C9" w:rsidR="00255E08" w:rsidRPr="008D6721" w:rsidRDefault="00255E08" w:rsidP="008D6721">
            <w:pPr>
              <w:pStyle w:val="TableText0"/>
              <w:jc w:val="center"/>
              <w:rPr>
                <w:szCs w:val="20"/>
              </w:rPr>
            </w:pPr>
            <w:r w:rsidRPr="008D6721">
              <w:rPr>
                <w:szCs w:val="20"/>
              </w:rPr>
              <w:t>4/61 (</w:t>
            </w:r>
            <w:r w:rsidR="00B501FF">
              <w:rPr>
                <w:szCs w:val="20"/>
              </w:rPr>
              <w:t>6.6</w:t>
            </w:r>
            <w:r w:rsidRPr="008D6721">
              <w:rPr>
                <w:szCs w:val="20"/>
              </w:rPr>
              <w:t>%)</w:t>
            </w:r>
          </w:p>
        </w:tc>
        <w:tc>
          <w:tcPr>
            <w:tcW w:w="1336" w:type="pct"/>
            <w:vAlign w:val="center"/>
          </w:tcPr>
          <w:p w14:paraId="4344D1FD" w14:textId="30E4F7A8" w:rsidR="00255E08" w:rsidRPr="008D6721" w:rsidRDefault="00255E08" w:rsidP="008D6721">
            <w:pPr>
              <w:pStyle w:val="TableText0"/>
              <w:jc w:val="center"/>
              <w:rPr>
                <w:szCs w:val="20"/>
              </w:rPr>
            </w:pPr>
            <w:r w:rsidRPr="008D6721">
              <w:rPr>
                <w:szCs w:val="20"/>
              </w:rPr>
              <w:t>7/61 (11.</w:t>
            </w:r>
            <w:r w:rsidR="002811CB">
              <w:rPr>
                <w:szCs w:val="20"/>
              </w:rPr>
              <w:t>48</w:t>
            </w:r>
            <w:r w:rsidRPr="008D6721">
              <w:rPr>
                <w:szCs w:val="20"/>
              </w:rPr>
              <w:t>%)</w:t>
            </w:r>
          </w:p>
        </w:tc>
      </w:tr>
      <w:tr w:rsidR="00255E08" w:rsidRPr="00DB610E" w14:paraId="6CF27F93" w14:textId="77777777" w:rsidTr="00FF5CBC">
        <w:trPr>
          <w:cantSplit/>
        </w:trPr>
        <w:tc>
          <w:tcPr>
            <w:tcW w:w="1362" w:type="pct"/>
            <w:vAlign w:val="center"/>
          </w:tcPr>
          <w:p w14:paraId="13CA8876" w14:textId="77777777" w:rsidR="00255E08" w:rsidRPr="008D6721" w:rsidRDefault="00255E08" w:rsidP="00255E08">
            <w:pPr>
              <w:pStyle w:val="TableText0"/>
              <w:rPr>
                <w:b/>
                <w:bCs w:val="0"/>
                <w:szCs w:val="20"/>
              </w:rPr>
            </w:pPr>
            <w:r w:rsidRPr="008D6721">
              <w:rPr>
                <w:b/>
                <w:bCs w:val="0"/>
                <w:szCs w:val="20"/>
              </w:rPr>
              <w:t>RR (95%CI)</w:t>
            </w:r>
          </w:p>
        </w:tc>
        <w:tc>
          <w:tcPr>
            <w:tcW w:w="1132" w:type="pct"/>
            <w:vAlign w:val="center"/>
          </w:tcPr>
          <w:p w14:paraId="5BE1C47F" w14:textId="77777777" w:rsidR="00255E08" w:rsidRPr="008D6721" w:rsidRDefault="00255E08" w:rsidP="008D6721">
            <w:pPr>
              <w:pStyle w:val="TableText0"/>
              <w:jc w:val="center"/>
              <w:rPr>
                <w:szCs w:val="20"/>
              </w:rPr>
            </w:pPr>
            <w:r w:rsidRPr="008D6721">
              <w:rPr>
                <w:szCs w:val="20"/>
              </w:rPr>
              <w:t>0.95 (0.86, 1.05)</w:t>
            </w:r>
          </w:p>
        </w:tc>
        <w:tc>
          <w:tcPr>
            <w:tcW w:w="1170" w:type="pct"/>
            <w:vAlign w:val="center"/>
          </w:tcPr>
          <w:p w14:paraId="7F3C2DB9" w14:textId="77777777" w:rsidR="00255E08" w:rsidRPr="008D6721" w:rsidRDefault="00255E08" w:rsidP="008D6721">
            <w:pPr>
              <w:pStyle w:val="TableText0"/>
              <w:jc w:val="center"/>
              <w:rPr>
                <w:szCs w:val="20"/>
              </w:rPr>
            </w:pPr>
            <w:r w:rsidRPr="008D6721">
              <w:rPr>
                <w:szCs w:val="20"/>
              </w:rPr>
              <w:t>1.47 (0.50, 4.32)</w:t>
            </w:r>
          </w:p>
        </w:tc>
        <w:tc>
          <w:tcPr>
            <w:tcW w:w="1336" w:type="pct"/>
            <w:vAlign w:val="center"/>
          </w:tcPr>
          <w:p w14:paraId="42B3207F" w14:textId="77777777" w:rsidR="00255E08" w:rsidRPr="008D6721" w:rsidRDefault="00255E08" w:rsidP="008D6721">
            <w:pPr>
              <w:pStyle w:val="TableText0"/>
              <w:jc w:val="center"/>
              <w:rPr>
                <w:szCs w:val="20"/>
              </w:rPr>
            </w:pPr>
            <w:r w:rsidRPr="008D6721">
              <w:rPr>
                <w:szCs w:val="20"/>
              </w:rPr>
              <w:t>1.29 (0.58, 2.89))</w:t>
            </w:r>
          </w:p>
        </w:tc>
      </w:tr>
      <w:tr w:rsidR="00255E08" w:rsidRPr="00DB610E" w14:paraId="1D13E498" w14:textId="77777777" w:rsidTr="00FF5CBC">
        <w:trPr>
          <w:cantSplit/>
        </w:trPr>
        <w:tc>
          <w:tcPr>
            <w:tcW w:w="1362" w:type="pct"/>
            <w:vAlign w:val="center"/>
          </w:tcPr>
          <w:p w14:paraId="2E1529A2" w14:textId="77777777" w:rsidR="00255E08" w:rsidRPr="008D6721" w:rsidRDefault="00255E08" w:rsidP="00255E08">
            <w:pPr>
              <w:pStyle w:val="TableText0"/>
              <w:rPr>
                <w:b/>
                <w:bCs w:val="0"/>
                <w:szCs w:val="20"/>
              </w:rPr>
            </w:pPr>
            <w:r w:rsidRPr="008D6721">
              <w:rPr>
                <w:b/>
                <w:bCs w:val="0"/>
                <w:szCs w:val="20"/>
              </w:rPr>
              <w:t>RD (95% CI)</w:t>
            </w:r>
          </w:p>
        </w:tc>
        <w:tc>
          <w:tcPr>
            <w:tcW w:w="1132" w:type="pct"/>
            <w:vAlign w:val="center"/>
          </w:tcPr>
          <w:p w14:paraId="7CEAEFCF" w14:textId="77777777" w:rsidR="00255E08" w:rsidRPr="008D6721" w:rsidRDefault="00255E08" w:rsidP="008D6721">
            <w:pPr>
              <w:pStyle w:val="TableText0"/>
              <w:jc w:val="center"/>
              <w:rPr>
                <w:szCs w:val="20"/>
              </w:rPr>
            </w:pPr>
            <w:r w:rsidRPr="008D6721">
              <w:rPr>
                <w:szCs w:val="20"/>
              </w:rPr>
              <w:t>-0.04 (-0.13, 0.04)</w:t>
            </w:r>
          </w:p>
        </w:tc>
        <w:tc>
          <w:tcPr>
            <w:tcW w:w="1170" w:type="pct"/>
            <w:vAlign w:val="center"/>
          </w:tcPr>
          <w:p w14:paraId="5BFECEBC" w14:textId="77777777" w:rsidR="00255E08" w:rsidRPr="008D6721" w:rsidRDefault="00255E08" w:rsidP="008D6721">
            <w:pPr>
              <w:pStyle w:val="TableText0"/>
              <w:jc w:val="center"/>
              <w:rPr>
                <w:szCs w:val="20"/>
              </w:rPr>
            </w:pPr>
            <w:r w:rsidRPr="008D6721">
              <w:rPr>
                <w:szCs w:val="20"/>
              </w:rPr>
              <w:t>0.03 (-0.05, 0.11)</w:t>
            </w:r>
          </w:p>
        </w:tc>
        <w:tc>
          <w:tcPr>
            <w:tcW w:w="1336" w:type="pct"/>
            <w:vAlign w:val="center"/>
          </w:tcPr>
          <w:p w14:paraId="594DE9EC" w14:textId="77777777" w:rsidR="00255E08" w:rsidRPr="008D6721" w:rsidRDefault="00255E08" w:rsidP="008D6721">
            <w:pPr>
              <w:pStyle w:val="TableText0"/>
              <w:jc w:val="center"/>
              <w:rPr>
                <w:szCs w:val="20"/>
              </w:rPr>
            </w:pPr>
            <w:r w:rsidRPr="008D6721">
              <w:rPr>
                <w:szCs w:val="20"/>
              </w:rPr>
              <w:t>0.03 (-0.07, 0.13)</w:t>
            </w:r>
          </w:p>
        </w:tc>
      </w:tr>
      <w:tr w:rsidR="00255E08" w:rsidRPr="00DB610E" w14:paraId="5C608597" w14:textId="77777777" w:rsidTr="00FF5CBC">
        <w:trPr>
          <w:cantSplit/>
        </w:trPr>
        <w:tc>
          <w:tcPr>
            <w:tcW w:w="5000" w:type="pct"/>
            <w:gridSpan w:val="4"/>
            <w:vAlign w:val="center"/>
          </w:tcPr>
          <w:p w14:paraId="1F35573D" w14:textId="77777777" w:rsidR="00255E08" w:rsidRPr="00DB610E" w:rsidRDefault="00255E08" w:rsidP="00255E08">
            <w:pPr>
              <w:pStyle w:val="TableText0"/>
              <w:rPr>
                <w:szCs w:val="20"/>
              </w:rPr>
            </w:pPr>
            <w:r w:rsidRPr="00DB610E">
              <w:rPr>
                <w:b/>
                <w:szCs w:val="20"/>
              </w:rPr>
              <w:t>Indirect treatment comparison: avatrombopag vs eltrombopag</w:t>
            </w:r>
          </w:p>
        </w:tc>
      </w:tr>
      <w:tr w:rsidR="00255E08" w:rsidRPr="00DB610E" w14:paraId="6E3CBD04" w14:textId="77777777" w:rsidTr="00FF5CBC">
        <w:trPr>
          <w:cantSplit/>
        </w:trPr>
        <w:tc>
          <w:tcPr>
            <w:tcW w:w="1362" w:type="pct"/>
            <w:vAlign w:val="center"/>
          </w:tcPr>
          <w:p w14:paraId="7DF1E82A" w14:textId="77777777" w:rsidR="00255E08" w:rsidRPr="008D6721" w:rsidRDefault="00255E08" w:rsidP="00255E08">
            <w:pPr>
              <w:pStyle w:val="TableText0"/>
              <w:rPr>
                <w:b/>
                <w:bCs w:val="0"/>
                <w:szCs w:val="20"/>
              </w:rPr>
            </w:pPr>
            <w:r w:rsidRPr="008D6721">
              <w:rPr>
                <w:b/>
                <w:bCs w:val="0"/>
                <w:szCs w:val="20"/>
              </w:rPr>
              <w:t>RR (95% CI)</w:t>
            </w:r>
          </w:p>
        </w:tc>
        <w:tc>
          <w:tcPr>
            <w:tcW w:w="1132" w:type="pct"/>
            <w:vAlign w:val="center"/>
          </w:tcPr>
          <w:p w14:paraId="44648C31" w14:textId="041C2AD1" w:rsidR="00255E08" w:rsidRPr="00DB610E" w:rsidRDefault="00255E08" w:rsidP="008D6721">
            <w:pPr>
              <w:pStyle w:val="TableText0"/>
              <w:jc w:val="center"/>
              <w:rPr>
                <w:b/>
                <w:szCs w:val="20"/>
              </w:rPr>
            </w:pPr>
            <w:r w:rsidRPr="00DB610E">
              <w:rPr>
                <w:b/>
                <w:szCs w:val="20"/>
              </w:rPr>
              <w:t>1.7</w:t>
            </w:r>
            <w:r w:rsidR="00474958">
              <w:rPr>
                <w:b/>
                <w:szCs w:val="20"/>
              </w:rPr>
              <w:t>37</w:t>
            </w:r>
            <w:r w:rsidRPr="00DB610E">
              <w:rPr>
                <w:b/>
                <w:szCs w:val="20"/>
              </w:rPr>
              <w:t xml:space="preserve"> (1.1</w:t>
            </w:r>
            <w:r w:rsidR="00474958">
              <w:rPr>
                <w:b/>
                <w:szCs w:val="20"/>
              </w:rPr>
              <w:t>47</w:t>
            </w:r>
            <w:r w:rsidRPr="00DB610E">
              <w:rPr>
                <w:b/>
                <w:szCs w:val="20"/>
              </w:rPr>
              <w:t>, 2.6</w:t>
            </w:r>
            <w:r w:rsidR="00474958">
              <w:rPr>
                <w:b/>
                <w:szCs w:val="20"/>
              </w:rPr>
              <w:t>29</w:t>
            </w:r>
            <w:r w:rsidRPr="00DB610E">
              <w:rPr>
                <w:b/>
                <w:szCs w:val="20"/>
              </w:rPr>
              <w:t>)</w:t>
            </w:r>
          </w:p>
        </w:tc>
        <w:tc>
          <w:tcPr>
            <w:tcW w:w="1170" w:type="pct"/>
            <w:vAlign w:val="center"/>
          </w:tcPr>
          <w:p w14:paraId="6063143B" w14:textId="77777777" w:rsidR="00255E08" w:rsidRPr="00DB610E" w:rsidRDefault="00255E08" w:rsidP="008D6721">
            <w:pPr>
              <w:pStyle w:val="TableText0"/>
              <w:jc w:val="center"/>
              <w:rPr>
                <w:szCs w:val="20"/>
              </w:rPr>
            </w:pPr>
            <w:r w:rsidRPr="00DB610E">
              <w:rPr>
                <w:szCs w:val="20"/>
              </w:rPr>
              <w:t>NR</w:t>
            </w:r>
          </w:p>
        </w:tc>
        <w:tc>
          <w:tcPr>
            <w:tcW w:w="1336" w:type="pct"/>
            <w:vAlign w:val="center"/>
          </w:tcPr>
          <w:p w14:paraId="540C12DE" w14:textId="47A33951" w:rsidR="00255E08" w:rsidRPr="00DB610E" w:rsidRDefault="00255E08" w:rsidP="008D6721">
            <w:pPr>
              <w:pStyle w:val="TableText0"/>
              <w:jc w:val="center"/>
              <w:rPr>
                <w:szCs w:val="20"/>
              </w:rPr>
            </w:pPr>
            <w:r w:rsidRPr="00DB610E">
              <w:rPr>
                <w:szCs w:val="20"/>
              </w:rPr>
              <w:t>5.5 (0.29, 103.</w:t>
            </w:r>
            <w:r w:rsidR="00474958">
              <w:rPr>
                <w:szCs w:val="20"/>
              </w:rPr>
              <w:t>39</w:t>
            </w:r>
            <w:r w:rsidRPr="00DB610E">
              <w:rPr>
                <w:szCs w:val="20"/>
              </w:rPr>
              <w:t>)</w:t>
            </w:r>
          </w:p>
        </w:tc>
      </w:tr>
      <w:tr w:rsidR="00255E08" w:rsidRPr="00DB610E" w14:paraId="36A95918" w14:textId="77777777" w:rsidTr="00FF5CBC">
        <w:trPr>
          <w:cantSplit/>
        </w:trPr>
        <w:tc>
          <w:tcPr>
            <w:tcW w:w="1362" w:type="pct"/>
            <w:vAlign w:val="center"/>
          </w:tcPr>
          <w:p w14:paraId="2B2C31A6" w14:textId="77777777" w:rsidR="00255E08" w:rsidRPr="008D6721" w:rsidRDefault="00255E08" w:rsidP="00255E08">
            <w:pPr>
              <w:pStyle w:val="TableText0"/>
              <w:rPr>
                <w:b/>
                <w:bCs w:val="0"/>
                <w:szCs w:val="20"/>
              </w:rPr>
            </w:pPr>
            <w:r w:rsidRPr="008D6721">
              <w:rPr>
                <w:b/>
                <w:bCs w:val="0"/>
                <w:szCs w:val="20"/>
              </w:rPr>
              <w:t>RD (95% CI)</w:t>
            </w:r>
          </w:p>
        </w:tc>
        <w:tc>
          <w:tcPr>
            <w:tcW w:w="1132" w:type="pct"/>
            <w:vAlign w:val="center"/>
          </w:tcPr>
          <w:p w14:paraId="5979760F" w14:textId="5BDAA467" w:rsidR="00255E08" w:rsidRPr="00DB610E" w:rsidRDefault="00255E08" w:rsidP="008D6721">
            <w:pPr>
              <w:pStyle w:val="TableText0"/>
              <w:jc w:val="center"/>
              <w:rPr>
                <w:b/>
                <w:szCs w:val="20"/>
              </w:rPr>
            </w:pPr>
            <w:r w:rsidRPr="00DB610E">
              <w:rPr>
                <w:b/>
                <w:szCs w:val="20"/>
              </w:rPr>
              <w:t>0.42 (0.16</w:t>
            </w:r>
            <w:r w:rsidR="00474958">
              <w:rPr>
                <w:b/>
                <w:szCs w:val="20"/>
              </w:rPr>
              <w:t>5</w:t>
            </w:r>
            <w:r w:rsidRPr="00DB610E">
              <w:rPr>
                <w:b/>
                <w:szCs w:val="20"/>
              </w:rPr>
              <w:t>, 0.6</w:t>
            </w:r>
            <w:r w:rsidR="00474958">
              <w:rPr>
                <w:b/>
                <w:szCs w:val="20"/>
              </w:rPr>
              <w:t>75</w:t>
            </w:r>
            <w:r w:rsidRPr="00DB610E">
              <w:rPr>
                <w:b/>
                <w:szCs w:val="20"/>
              </w:rPr>
              <w:t>)</w:t>
            </w:r>
          </w:p>
        </w:tc>
        <w:tc>
          <w:tcPr>
            <w:tcW w:w="1170" w:type="pct"/>
            <w:vAlign w:val="center"/>
          </w:tcPr>
          <w:p w14:paraId="23B3059A" w14:textId="77777777" w:rsidR="00255E08" w:rsidRPr="00DB610E" w:rsidRDefault="00255E08" w:rsidP="008D6721">
            <w:pPr>
              <w:pStyle w:val="TableText0"/>
              <w:jc w:val="center"/>
              <w:rPr>
                <w:szCs w:val="20"/>
              </w:rPr>
            </w:pPr>
            <w:r w:rsidRPr="00DB610E">
              <w:rPr>
                <w:szCs w:val="20"/>
              </w:rPr>
              <w:t>NR</w:t>
            </w:r>
          </w:p>
        </w:tc>
        <w:tc>
          <w:tcPr>
            <w:tcW w:w="1336" w:type="pct"/>
            <w:vAlign w:val="center"/>
          </w:tcPr>
          <w:p w14:paraId="25EAAADB" w14:textId="77777777" w:rsidR="00255E08" w:rsidRPr="00DB610E" w:rsidRDefault="00255E08" w:rsidP="008D6721">
            <w:pPr>
              <w:pStyle w:val="TableText0"/>
              <w:jc w:val="center"/>
              <w:rPr>
                <w:szCs w:val="20"/>
              </w:rPr>
            </w:pPr>
            <w:r w:rsidRPr="00DB610E">
              <w:rPr>
                <w:szCs w:val="20"/>
              </w:rPr>
              <w:t>0.16 (-0.02, 0.34)</w:t>
            </w:r>
          </w:p>
        </w:tc>
      </w:tr>
    </w:tbl>
    <w:p w14:paraId="19CBB6C7" w14:textId="77777777" w:rsidR="00255E08" w:rsidRPr="0055089D" w:rsidRDefault="00255E08" w:rsidP="00255E08">
      <w:pPr>
        <w:pStyle w:val="TableFooter"/>
      </w:pPr>
      <w:r w:rsidRPr="0055089D">
        <w:t>Source: Tables 2-</w:t>
      </w:r>
      <w:r>
        <w:t>32</w:t>
      </w:r>
      <w:r w:rsidRPr="0055089D">
        <w:t xml:space="preserve"> to 2-</w:t>
      </w:r>
      <w:r>
        <w:t>40</w:t>
      </w:r>
      <w:r w:rsidRPr="0055089D">
        <w:t>, pp6</w:t>
      </w:r>
      <w:r>
        <w:t>8</w:t>
      </w:r>
      <w:r w:rsidRPr="0055089D">
        <w:t>-</w:t>
      </w:r>
      <w:r>
        <w:t>72</w:t>
      </w:r>
      <w:r w:rsidRPr="0055089D">
        <w:t>, and Tables 2-4</w:t>
      </w:r>
      <w:r>
        <w:t>8</w:t>
      </w:r>
      <w:r w:rsidRPr="0055089D">
        <w:t xml:space="preserve"> to 2-4</w:t>
      </w:r>
      <w:r>
        <w:t>9</w:t>
      </w:r>
      <w:r w:rsidRPr="0055089D">
        <w:t>, pp</w:t>
      </w:r>
      <w:r>
        <w:t>84-85</w:t>
      </w:r>
      <w:r w:rsidRPr="0055089D">
        <w:t xml:space="preserve"> of the submission. </w:t>
      </w:r>
    </w:p>
    <w:p w14:paraId="3ECFE010" w14:textId="630508DD" w:rsidR="00255E08" w:rsidRDefault="00255E08" w:rsidP="00255E08">
      <w:pPr>
        <w:pStyle w:val="TableFooter"/>
        <w:rPr>
          <w:rFonts w:eastAsia="Calibri"/>
        </w:rPr>
      </w:pPr>
      <w:r>
        <w:t xml:space="preserve">Statistically significant comparisons are in </w:t>
      </w:r>
      <w:r w:rsidRPr="00D21893">
        <w:rPr>
          <w:b/>
        </w:rPr>
        <w:t>bold</w:t>
      </w:r>
      <w:r>
        <w:t xml:space="preserve">. </w:t>
      </w:r>
      <w:r w:rsidRPr="0055089D">
        <w:rPr>
          <w:rFonts w:eastAsia="Calibri"/>
        </w:rPr>
        <w:t>CI = confidence interval; n = number of participants with event; N = total participants in group</w:t>
      </w:r>
      <w:r>
        <w:rPr>
          <w:rFonts w:eastAsia="Calibri"/>
        </w:rPr>
        <w:t>, NR = not reported; RD = risk difference; RR = relative risk</w:t>
      </w:r>
      <w:r w:rsidRPr="0055089D">
        <w:rPr>
          <w:rFonts w:eastAsia="Calibri"/>
        </w:rPr>
        <w:t xml:space="preserve">. </w:t>
      </w:r>
    </w:p>
    <w:p w14:paraId="2997AD65" w14:textId="77777777" w:rsidR="00255E08" w:rsidRPr="00224AE0" w:rsidRDefault="00255E08" w:rsidP="00255E08">
      <w:pPr>
        <w:pStyle w:val="TableFooter"/>
      </w:pPr>
    </w:p>
    <w:p w14:paraId="32DDF6BB" w14:textId="7EF504E5" w:rsidR="00255E08" w:rsidRDefault="0047741F" w:rsidP="00434783">
      <w:pPr>
        <w:pStyle w:val="3-BodyText"/>
        <w:rPr>
          <w:iCs/>
        </w:rPr>
      </w:pPr>
      <w:r w:rsidRPr="00CA51C6">
        <w:rPr>
          <w:iCs/>
        </w:rPr>
        <w:t>The evaluation n</w:t>
      </w:r>
      <w:r w:rsidR="00255E08" w:rsidRPr="00CA51C6">
        <w:rPr>
          <w:iCs/>
        </w:rPr>
        <w:t>ot</w:t>
      </w:r>
      <w:r w:rsidRPr="00CA51C6">
        <w:rPr>
          <w:iCs/>
        </w:rPr>
        <w:t>ed</w:t>
      </w:r>
      <w:r w:rsidR="00255E08" w:rsidRPr="00CA51C6">
        <w:rPr>
          <w:iCs/>
        </w:rPr>
        <w:t xml:space="preserve"> </w:t>
      </w:r>
      <w:r w:rsidRPr="00CA51C6">
        <w:rPr>
          <w:iCs/>
        </w:rPr>
        <w:t xml:space="preserve">that </w:t>
      </w:r>
      <w:r w:rsidR="00255E08" w:rsidRPr="00CA51C6">
        <w:rPr>
          <w:iCs/>
        </w:rPr>
        <w:t xml:space="preserve">the limitations of the studies as described above </w:t>
      </w:r>
      <w:r w:rsidRPr="00CA51C6">
        <w:rPr>
          <w:iCs/>
        </w:rPr>
        <w:t xml:space="preserve">make </w:t>
      </w:r>
      <w:r w:rsidR="00255E08" w:rsidRPr="00CA51C6">
        <w:rPr>
          <w:iCs/>
        </w:rPr>
        <w:t>it</w:t>
      </w:r>
      <w:r w:rsidR="00434783" w:rsidRPr="00CA51C6">
        <w:rPr>
          <w:iCs/>
        </w:rPr>
        <w:t xml:space="preserve"> </w:t>
      </w:r>
      <w:r w:rsidR="00255E08" w:rsidRPr="00CA51C6">
        <w:rPr>
          <w:iCs/>
        </w:rPr>
        <w:t xml:space="preserve">difficult to make a reliable assessment of the comparative safety of avatrombopag and </w:t>
      </w:r>
      <w:r w:rsidR="00255E08" w:rsidRPr="00CA51C6">
        <w:rPr>
          <w:iCs/>
        </w:rPr>
        <w:lastRenderedPageBreak/>
        <w:t xml:space="preserve">eltrombopag. </w:t>
      </w:r>
      <w:r w:rsidR="00434783" w:rsidRPr="00CA51C6">
        <w:rPr>
          <w:iCs/>
        </w:rPr>
        <w:t>The ESC noted that the available safety data was limited, and that thromboembolic events are an apparent potential clinical concern with avatrombopag but were not adjudicated in the submission.</w:t>
      </w:r>
    </w:p>
    <w:p w14:paraId="18C9C0D3" w14:textId="5331E5F8" w:rsidR="00275768" w:rsidRPr="00CA51C6" w:rsidRDefault="00824441" w:rsidP="00434783">
      <w:pPr>
        <w:pStyle w:val="3-BodyText"/>
        <w:rPr>
          <w:iCs/>
        </w:rPr>
      </w:pPr>
      <w:r>
        <w:rPr>
          <w:iCs/>
        </w:rPr>
        <w:t xml:space="preserve">The ESC considered that having data from more patients with a longer follow-up would be informative. </w:t>
      </w:r>
      <w:r w:rsidR="00275768">
        <w:rPr>
          <w:iCs/>
        </w:rPr>
        <w:t>The Pre-PBAC Response provided an updated Periodic Safety Update Report (PSUR) to May 20, 2022 and noted</w:t>
      </w:r>
      <w:r w:rsidR="00DF2C4F">
        <w:rPr>
          <w:iCs/>
        </w:rPr>
        <w:t xml:space="preserve"> that (i)</w:t>
      </w:r>
      <w:r w:rsidR="00275768">
        <w:rPr>
          <w:iCs/>
        </w:rPr>
        <w:t xml:space="preserve"> identified risks in the proposed TGA Risk Management Plan included thrombotic/thromboembolic events and bone marrow fibrosis related to long-term and repeat use</w:t>
      </w:r>
      <w:r w:rsidR="00DF2C4F">
        <w:rPr>
          <w:iCs/>
        </w:rPr>
        <w:t>;</w:t>
      </w:r>
      <w:r w:rsidR="00275768">
        <w:rPr>
          <w:iCs/>
        </w:rPr>
        <w:t xml:space="preserve"> and</w:t>
      </w:r>
      <w:r w:rsidR="00DF2C4F">
        <w:rPr>
          <w:iCs/>
        </w:rPr>
        <w:t xml:space="preserve"> (ii)</w:t>
      </w:r>
      <w:r w:rsidR="00275768">
        <w:rPr>
          <w:iCs/>
        </w:rPr>
        <w:t xml:space="preserve"> 7.0% of patients experienced a thromboembolic event</w:t>
      </w:r>
      <w:r w:rsidR="004A58E8">
        <w:rPr>
          <w:iCs/>
        </w:rPr>
        <w:t>, with events typically occurring in patients with a platelet count below the upper limit of normal, with no established relationship to drug dose. Further, the Pre-PBAC Response noted th</w:t>
      </w:r>
      <w:r w:rsidR="00DF2C4F">
        <w:rPr>
          <w:iCs/>
        </w:rPr>
        <w:t>at</w:t>
      </w:r>
      <w:r w:rsidR="004A58E8">
        <w:rPr>
          <w:iCs/>
        </w:rPr>
        <w:t xml:space="preserve"> less than 1% of subjects in the ITP avatrombopag treatment groups</w:t>
      </w:r>
      <w:r w:rsidR="00DF2C4F">
        <w:rPr>
          <w:iCs/>
        </w:rPr>
        <w:t xml:space="preserve"> </w:t>
      </w:r>
      <w:r w:rsidR="00DF2C4F" w:rsidRPr="00DF2C4F">
        <w:rPr>
          <w:iCs/>
        </w:rPr>
        <w:t>experienced the treatment emergent adverse event of bone marrow reticulin fibrosis</w:t>
      </w:r>
      <w:r w:rsidR="004A58E8">
        <w:rPr>
          <w:iCs/>
        </w:rPr>
        <w:t xml:space="preserve">. </w:t>
      </w:r>
    </w:p>
    <w:p w14:paraId="2813A67B" w14:textId="7763AE33" w:rsidR="001E2D68" w:rsidRDefault="00916689" w:rsidP="00AA0FE2">
      <w:pPr>
        <w:pStyle w:val="4-SubsectionHeading"/>
        <w:jc w:val="left"/>
        <w:rPr>
          <w:lang w:val="en-US"/>
        </w:rPr>
      </w:pPr>
      <w:bookmarkStart w:id="35" w:name="_Toc113903631"/>
      <w:r>
        <w:rPr>
          <w:lang w:val="en-US"/>
        </w:rPr>
        <w:t>Indirect c</w:t>
      </w:r>
      <w:r w:rsidR="001E2D68">
        <w:rPr>
          <w:lang w:val="en-US"/>
        </w:rPr>
        <w:t>omparison of avatrombopag and romiplostim</w:t>
      </w:r>
      <w:r w:rsidR="00AA0FE2">
        <w:rPr>
          <w:lang w:val="en-US"/>
        </w:rPr>
        <w:t xml:space="preserve"> </w:t>
      </w:r>
      <w:bookmarkEnd w:id="35"/>
    </w:p>
    <w:p w14:paraId="5692CDF7" w14:textId="38ADC382" w:rsidR="00B012B1" w:rsidRDefault="0080246B" w:rsidP="00B012B1">
      <w:pPr>
        <w:pStyle w:val="3-BodyText"/>
      </w:pPr>
      <w:r>
        <w:fldChar w:fldCharType="begin" w:fldLock="1"/>
      </w:r>
      <w:r>
        <w:instrText xml:space="preserve"> REF _Ref119310937 \h </w:instrText>
      </w:r>
      <w:r>
        <w:fldChar w:fldCharType="separate"/>
      </w:r>
      <w:r w:rsidRPr="001D11DA">
        <w:t xml:space="preserve">Table </w:t>
      </w:r>
      <w:r>
        <w:rPr>
          <w:noProof/>
        </w:rPr>
        <w:t>8</w:t>
      </w:r>
      <w:r>
        <w:fldChar w:fldCharType="end"/>
      </w:r>
      <w:r>
        <w:t xml:space="preserve"> </w:t>
      </w:r>
      <w:r w:rsidR="00B012B1">
        <w:t>presents the key features of the included trials for the avatrombopag versus romiplostim comparison.</w:t>
      </w:r>
    </w:p>
    <w:p w14:paraId="58F464CE" w14:textId="187C49B9" w:rsidR="00B012B1" w:rsidRPr="00437373" w:rsidRDefault="00B012B1" w:rsidP="00F913DB">
      <w:pPr>
        <w:pStyle w:val="TableHeading"/>
        <w:spacing w:after="0"/>
        <w:rPr>
          <w:b w:val="0"/>
          <w:bCs w:val="0"/>
          <w:szCs w:val="20"/>
        </w:rPr>
      </w:pPr>
      <w:bookmarkStart w:id="36" w:name="_Ref119310937"/>
      <w:r w:rsidRPr="001D11DA">
        <w:lastRenderedPageBreak/>
        <w:t xml:space="preserve">Table </w:t>
      </w:r>
      <w:fldSimple w:instr=" SEQ Table \* ARABIC " w:fldLock="1">
        <w:r w:rsidR="0080246B">
          <w:rPr>
            <w:noProof/>
          </w:rPr>
          <w:t>8</w:t>
        </w:r>
      </w:fldSimple>
      <w:bookmarkEnd w:id="36"/>
      <w:r w:rsidRPr="001D11DA">
        <w:rPr>
          <w:szCs w:val="20"/>
        </w:rPr>
        <w:t>:</w:t>
      </w:r>
      <w:r w:rsidRPr="00437373">
        <w:rPr>
          <w:b w:val="0"/>
          <w:bCs w:val="0"/>
          <w:szCs w:val="20"/>
        </w:rPr>
        <w:t xml:space="preserve"> </w:t>
      </w:r>
      <w:r w:rsidRPr="00437373">
        <w:rPr>
          <w:rStyle w:val="TableFigureHeadingChar"/>
          <w:b/>
          <w:bCs/>
        </w:rPr>
        <w:t>Key features of the included evidence – indirect comparison avatrombopag vs romiplostim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82"/>
        <w:gridCol w:w="549"/>
        <w:gridCol w:w="1311"/>
        <w:gridCol w:w="505"/>
        <w:gridCol w:w="2307"/>
        <w:gridCol w:w="3163"/>
      </w:tblGrid>
      <w:tr w:rsidR="00B012B1" w:rsidRPr="00DB610E" w14:paraId="6D54ACC5" w14:textId="77777777" w:rsidTr="00131419">
        <w:trPr>
          <w:tblHeader/>
        </w:trPr>
        <w:tc>
          <w:tcPr>
            <w:tcW w:w="537" w:type="pct"/>
            <w:shd w:val="clear" w:color="auto" w:fill="auto"/>
            <w:vAlign w:val="center"/>
          </w:tcPr>
          <w:p w14:paraId="32CC1824" w14:textId="77777777" w:rsidR="00B012B1" w:rsidRPr="00F15E73" w:rsidRDefault="00B012B1" w:rsidP="00131419">
            <w:pPr>
              <w:pStyle w:val="TableText0"/>
              <w:rPr>
                <w:b/>
                <w:bCs w:val="0"/>
                <w:szCs w:val="20"/>
              </w:rPr>
            </w:pPr>
            <w:r w:rsidRPr="00F15E73">
              <w:rPr>
                <w:b/>
                <w:bCs w:val="0"/>
                <w:szCs w:val="20"/>
              </w:rPr>
              <w:t>Trial</w:t>
            </w:r>
          </w:p>
        </w:tc>
        <w:tc>
          <w:tcPr>
            <w:tcW w:w="328" w:type="pct"/>
            <w:shd w:val="clear" w:color="auto" w:fill="auto"/>
            <w:vAlign w:val="center"/>
          </w:tcPr>
          <w:p w14:paraId="5AC6E6BB" w14:textId="77777777" w:rsidR="00B012B1" w:rsidRPr="00F15E73" w:rsidRDefault="00B012B1" w:rsidP="00131419">
            <w:pPr>
              <w:pStyle w:val="TableText0"/>
              <w:jc w:val="center"/>
              <w:rPr>
                <w:b/>
                <w:bCs w:val="0"/>
                <w:szCs w:val="20"/>
              </w:rPr>
            </w:pPr>
            <w:r w:rsidRPr="00F15E73">
              <w:rPr>
                <w:b/>
                <w:bCs w:val="0"/>
                <w:szCs w:val="20"/>
              </w:rPr>
              <w:t>N</w:t>
            </w:r>
          </w:p>
        </w:tc>
        <w:tc>
          <w:tcPr>
            <w:tcW w:w="751" w:type="pct"/>
            <w:shd w:val="clear" w:color="auto" w:fill="auto"/>
            <w:vAlign w:val="center"/>
          </w:tcPr>
          <w:p w14:paraId="1B8E82FB" w14:textId="77777777" w:rsidR="00B012B1" w:rsidRPr="00F15E73" w:rsidRDefault="00B012B1" w:rsidP="00131419">
            <w:pPr>
              <w:pStyle w:val="TableText0"/>
              <w:jc w:val="center"/>
              <w:rPr>
                <w:b/>
                <w:bCs w:val="0"/>
                <w:szCs w:val="20"/>
              </w:rPr>
            </w:pPr>
            <w:r w:rsidRPr="00F15E73">
              <w:rPr>
                <w:b/>
                <w:bCs w:val="0"/>
                <w:szCs w:val="20"/>
              </w:rPr>
              <w:t>Design/ duration</w:t>
            </w:r>
          </w:p>
        </w:tc>
        <w:tc>
          <w:tcPr>
            <w:tcW w:w="304" w:type="pct"/>
            <w:shd w:val="clear" w:color="auto" w:fill="auto"/>
            <w:vAlign w:val="center"/>
          </w:tcPr>
          <w:p w14:paraId="45439201" w14:textId="77777777" w:rsidR="00B012B1" w:rsidRPr="00F15E73" w:rsidRDefault="00B012B1" w:rsidP="00131419">
            <w:pPr>
              <w:pStyle w:val="TableText0"/>
              <w:jc w:val="center"/>
              <w:rPr>
                <w:b/>
                <w:bCs w:val="0"/>
                <w:szCs w:val="20"/>
              </w:rPr>
            </w:pPr>
            <w:r w:rsidRPr="00F15E73">
              <w:rPr>
                <w:b/>
                <w:bCs w:val="0"/>
                <w:szCs w:val="20"/>
              </w:rPr>
              <w:t>Risk of bias</w:t>
            </w:r>
          </w:p>
        </w:tc>
        <w:tc>
          <w:tcPr>
            <w:tcW w:w="1303" w:type="pct"/>
            <w:shd w:val="clear" w:color="auto" w:fill="auto"/>
            <w:vAlign w:val="center"/>
          </w:tcPr>
          <w:p w14:paraId="4C44FA64" w14:textId="77777777" w:rsidR="00B012B1" w:rsidRPr="00F15E73" w:rsidRDefault="00B012B1" w:rsidP="00131419">
            <w:pPr>
              <w:pStyle w:val="TableText0"/>
              <w:jc w:val="center"/>
              <w:rPr>
                <w:b/>
                <w:bCs w:val="0"/>
                <w:szCs w:val="20"/>
              </w:rPr>
            </w:pPr>
            <w:r w:rsidRPr="00F15E73">
              <w:rPr>
                <w:b/>
                <w:bCs w:val="0"/>
                <w:szCs w:val="20"/>
              </w:rPr>
              <w:t>Patient population</w:t>
            </w:r>
          </w:p>
        </w:tc>
        <w:tc>
          <w:tcPr>
            <w:tcW w:w="1777" w:type="pct"/>
            <w:shd w:val="clear" w:color="auto" w:fill="auto"/>
            <w:vAlign w:val="center"/>
          </w:tcPr>
          <w:p w14:paraId="0D46B9DB" w14:textId="77777777" w:rsidR="00B012B1" w:rsidRPr="00F15E73" w:rsidRDefault="00B012B1" w:rsidP="00131419">
            <w:pPr>
              <w:pStyle w:val="TableText0"/>
              <w:jc w:val="center"/>
              <w:rPr>
                <w:b/>
                <w:bCs w:val="0"/>
                <w:szCs w:val="20"/>
              </w:rPr>
            </w:pPr>
            <w:r w:rsidRPr="00F15E73">
              <w:rPr>
                <w:b/>
                <w:bCs w:val="0"/>
                <w:szCs w:val="20"/>
              </w:rPr>
              <w:t>Outcome(s)</w:t>
            </w:r>
          </w:p>
        </w:tc>
      </w:tr>
      <w:tr w:rsidR="00B012B1" w:rsidRPr="00DB610E" w14:paraId="5A0EBA03" w14:textId="77777777" w:rsidTr="00131419">
        <w:tc>
          <w:tcPr>
            <w:tcW w:w="537" w:type="pct"/>
            <w:shd w:val="clear" w:color="auto" w:fill="auto"/>
            <w:vAlign w:val="center"/>
          </w:tcPr>
          <w:p w14:paraId="6474F3D5" w14:textId="77777777" w:rsidR="00B012B1" w:rsidRPr="008D6721" w:rsidRDefault="00B012B1" w:rsidP="00131419">
            <w:pPr>
              <w:pStyle w:val="TableText0"/>
              <w:rPr>
                <w:b/>
                <w:bCs w:val="0"/>
                <w:szCs w:val="20"/>
                <w:lang w:val="en-US"/>
              </w:rPr>
            </w:pPr>
            <w:r>
              <w:rPr>
                <w:b/>
                <w:bCs w:val="0"/>
                <w:szCs w:val="20"/>
                <w:lang w:val="en-US"/>
              </w:rPr>
              <w:t xml:space="preserve">Study </w:t>
            </w:r>
            <w:r w:rsidRPr="008D6721">
              <w:rPr>
                <w:b/>
                <w:bCs w:val="0"/>
                <w:szCs w:val="20"/>
                <w:lang w:val="en-US"/>
              </w:rPr>
              <w:t>302</w:t>
            </w:r>
          </w:p>
        </w:tc>
        <w:tc>
          <w:tcPr>
            <w:tcW w:w="328" w:type="pct"/>
            <w:shd w:val="clear" w:color="auto" w:fill="auto"/>
            <w:vAlign w:val="center"/>
          </w:tcPr>
          <w:p w14:paraId="75BB0C5D" w14:textId="77777777" w:rsidR="00B012B1" w:rsidRPr="00DB610E" w:rsidRDefault="00B012B1" w:rsidP="00131419">
            <w:pPr>
              <w:pStyle w:val="TableText0"/>
              <w:jc w:val="center"/>
              <w:rPr>
                <w:szCs w:val="20"/>
                <w:lang w:val="en-US"/>
              </w:rPr>
            </w:pPr>
            <w:r w:rsidRPr="00DB610E">
              <w:rPr>
                <w:szCs w:val="20"/>
                <w:lang w:val="en-US"/>
              </w:rPr>
              <w:t>49</w:t>
            </w:r>
          </w:p>
        </w:tc>
        <w:tc>
          <w:tcPr>
            <w:tcW w:w="751" w:type="pct"/>
            <w:shd w:val="clear" w:color="auto" w:fill="auto"/>
            <w:vAlign w:val="center"/>
          </w:tcPr>
          <w:p w14:paraId="23D651C2" w14:textId="77777777" w:rsidR="00B012B1" w:rsidRPr="00DB610E" w:rsidRDefault="00B012B1" w:rsidP="00131419">
            <w:pPr>
              <w:pStyle w:val="TableText0"/>
              <w:jc w:val="center"/>
              <w:rPr>
                <w:szCs w:val="20"/>
                <w:lang w:val="en-US"/>
              </w:rPr>
            </w:pPr>
            <w:r w:rsidRPr="00DB610E">
              <w:rPr>
                <w:szCs w:val="20"/>
                <w:lang w:val="en-US"/>
              </w:rPr>
              <w:t>R, DB</w:t>
            </w:r>
          </w:p>
          <w:p w14:paraId="700B509F" w14:textId="77777777" w:rsidR="00B012B1" w:rsidRPr="00DB610E" w:rsidRDefault="00B012B1" w:rsidP="00131419">
            <w:pPr>
              <w:pStyle w:val="TableText0"/>
              <w:jc w:val="center"/>
              <w:rPr>
                <w:szCs w:val="20"/>
                <w:lang w:val="en-US"/>
              </w:rPr>
            </w:pPr>
            <w:r w:rsidRPr="00DB610E">
              <w:rPr>
                <w:szCs w:val="20"/>
                <w:lang w:val="en-US"/>
              </w:rPr>
              <w:t>6 m</w:t>
            </w:r>
            <w:r>
              <w:rPr>
                <w:szCs w:val="20"/>
                <w:lang w:val="en-US"/>
              </w:rPr>
              <w:t>on</w:t>
            </w:r>
            <w:r w:rsidRPr="00DB610E">
              <w:rPr>
                <w:szCs w:val="20"/>
                <w:lang w:val="en-US"/>
              </w:rPr>
              <w:t>ths, 2:1 randomisation avatrombopag:</w:t>
            </w:r>
          </w:p>
          <w:p w14:paraId="7D20D919" w14:textId="77777777" w:rsidR="00B012B1" w:rsidRPr="00DB610E" w:rsidRDefault="00B012B1" w:rsidP="00131419">
            <w:pPr>
              <w:pStyle w:val="TableText0"/>
              <w:jc w:val="center"/>
              <w:rPr>
                <w:szCs w:val="20"/>
                <w:lang w:val="en-US"/>
              </w:rPr>
            </w:pPr>
            <w:r w:rsidRPr="00DB610E">
              <w:rPr>
                <w:szCs w:val="20"/>
                <w:lang w:val="en-US"/>
              </w:rPr>
              <w:t>placebo; OL extension up to 24 months</w:t>
            </w:r>
          </w:p>
        </w:tc>
        <w:tc>
          <w:tcPr>
            <w:tcW w:w="304" w:type="pct"/>
            <w:shd w:val="clear" w:color="auto" w:fill="auto"/>
            <w:vAlign w:val="center"/>
          </w:tcPr>
          <w:p w14:paraId="70357F4D" w14:textId="77777777" w:rsidR="00B012B1" w:rsidRPr="00DB610E" w:rsidRDefault="00B012B1" w:rsidP="00131419">
            <w:pPr>
              <w:pStyle w:val="TableText0"/>
              <w:rPr>
                <w:szCs w:val="20"/>
                <w:lang w:val="en-US"/>
              </w:rPr>
            </w:pPr>
            <w:r w:rsidRPr="00DB610E">
              <w:rPr>
                <w:szCs w:val="20"/>
                <w:lang w:val="en-US"/>
              </w:rPr>
              <w:t>High</w:t>
            </w:r>
          </w:p>
        </w:tc>
        <w:tc>
          <w:tcPr>
            <w:tcW w:w="1303" w:type="pct"/>
            <w:shd w:val="clear" w:color="auto" w:fill="auto"/>
            <w:vAlign w:val="center"/>
          </w:tcPr>
          <w:p w14:paraId="4F61AA7A" w14:textId="77777777" w:rsidR="00B012B1" w:rsidRPr="00DB610E" w:rsidRDefault="00B012B1" w:rsidP="00131419">
            <w:pPr>
              <w:pStyle w:val="TableText0"/>
              <w:rPr>
                <w:szCs w:val="20"/>
                <w:lang w:val="en-US"/>
              </w:rPr>
            </w:pPr>
            <w:r w:rsidRPr="00DB610E">
              <w:rPr>
                <w:szCs w:val="20"/>
                <w:lang w:val="en-US"/>
              </w:rPr>
              <w:t>Adults with ITP &gt;12 mo</w:t>
            </w:r>
            <w:r>
              <w:rPr>
                <w:szCs w:val="20"/>
                <w:lang w:val="en-US"/>
              </w:rPr>
              <w:t>nths</w:t>
            </w:r>
            <w:r w:rsidRPr="00DB610E">
              <w:rPr>
                <w:szCs w:val="20"/>
                <w:lang w:val="en-US"/>
              </w:rPr>
              <w:t>, average of two platelet counts &lt;30 x 10</w:t>
            </w:r>
            <w:r w:rsidRPr="00DB610E">
              <w:rPr>
                <w:szCs w:val="20"/>
                <w:vertAlign w:val="superscript"/>
                <w:lang w:val="en-US"/>
              </w:rPr>
              <w:t>9</w:t>
            </w:r>
            <w:r w:rsidRPr="00DB610E">
              <w:rPr>
                <w:szCs w:val="20"/>
                <w:lang w:val="en-US"/>
              </w:rPr>
              <w:t>/L and no count &gt;35 x 10</w:t>
            </w:r>
            <w:r w:rsidRPr="00DB610E">
              <w:rPr>
                <w:szCs w:val="20"/>
                <w:vertAlign w:val="superscript"/>
                <w:lang w:val="en-US"/>
              </w:rPr>
              <w:t>9</w:t>
            </w:r>
            <w:r w:rsidRPr="00DB610E">
              <w:rPr>
                <w:szCs w:val="20"/>
                <w:lang w:val="en-US"/>
              </w:rPr>
              <w:t>/L, at least one successful previous treatment normal prothrombin time and APTT and no history of thrombo-embolic disease, no history of atrophic gastritis or elevated gastrin.</w:t>
            </w:r>
          </w:p>
        </w:tc>
        <w:tc>
          <w:tcPr>
            <w:tcW w:w="1777" w:type="pct"/>
            <w:shd w:val="clear" w:color="auto" w:fill="auto"/>
            <w:vAlign w:val="center"/>
          </w:tcPr>
          <w:p w14:paraId="70D5EDBF" w14:textId="77777777" w:rsidR="00B012B1" w:rsidRPr="00DB610E" w:rsidRDefault="00B012B1" w:rsidP="00131419">
            <w:pPr>
              <w:pStyle w:val="TableText0"/>
              <w:rPr>
                <w:szCs w:val="20"/>
                <w:lang w:val="en-US"/>
              </w:rPr>
            </w:pPr>
            <w:r w:rsidRPr="00DB610E">
              <w:rPr>
                <w:szCs w:val="20"/>
              </w:rPr>
              <w:t>Titration of dose to achieve platelet count &gt;50 x 10</w:t>
            </w:r>
            <w:r w:rsidRPr="00DB610E">
              <w:rPr>
                <w:szCs w:val="20"/>
                <w:vertAlign w:val="superscript"/>
              </w:rPr>
              <w:t>9</w:t>
            </w:r>
            <w:r w:rsidRPr="00DB610E">
              <w:rPr>
                <w:szCs w:val="20"/>
              </w:rPr>
              <w:t>/L and primary outcome the proportion of subjects who have at least 6 out of 8 weekly platelet counts ≥50 × 10</w:t>
            </w:r>
            <w:r w:rsidRPr="00DB610E">
              <w:rPr>
                <w:szCs w:val="20"/>
                <w:vertAlign w:val="superscript"/>
              </w:rPr>
              <w:t>9</w:t>
            </w:r>
            <w:r w:rsidRPr="00DB610E">
              <w:rPr>
                <w:szCs w:val="20"/>
              </w:rPr>
              <w:t>/L during the last 8 weeks of treatment in the absence of rescue therapy; mean cumulative number of weeks with platelet count ≥50 x 10</w:t>
            </w:r>
            <w:r w:rsidRPr="00DB610E">
              <w:rPr>
                <w:szCs w:val="20"/>
                <w:vertAlign w:val="superscript"/>
              </w:rPr>
              <w:t>9</w:t>
            </w:r>
            <w:r w:rsidRPr="00DB610E">
              <w:rPr>
                <w:szCs w:val="20"/>
              </w:rPr>
              <w:t xml:space="preserve">/L during the 6-month treatment period; reduction in concomitant medication for ITP, rescue therapy, bleeding events. </w:t>
            </w:r>
          </w:p>
        </w:tc>
      </w:tr>
      <w:tr w:rsidR="00B012B1" w:rsidRPr="00DB610E" w14:paraId="635C3C29" w14:textId="77777777" w:rsidTr="00131419">
        <w:tc>
          <w:tcPr>
            <w:tcW w:w="537" w:type="pct"/>
            <w:shd w:val="clear" w:color="auto" w:fill="auto"/>
            <w:vAlign w:val="center"/>
          </w:tcPr>
          <w:p w14:paraId="0202E839" w14:textId="77777777" w:rsidR="00B012B1" w:rsidRPr="008D6721" w:rsidRDefault="00B012B1" w:rsidP="00131419">
            <w:pPr>
              <w:pStyle w:val="TableText0"/>
              <w:rPr>
                <w:b/>
                <w:bCs w:val="0"/>
                <w:szCs w:val="20"/>
                <w:vertAlign w:val="superscript"/>
              </w:rPr>
            </w:pPr>
            <w:r w:rsidRPr="008D6721">
              <w:rPr>
                <w:b/>
                <w:bCs w:val="0"/>
                <w:szCs w:val="20"/>
              </w:rPr>
              <w:t>Kuter 2008; NCT00102323 and NCT00102336</w:t>
            </w:r>
            <w:r w:rsidRPr="008D6721">
              <w:rPr>
                <w:b/>
                <w:bCs w:val="0"/>
                <w:szCs w:val="20"/>
                <w:vertAlign w:val="superscript"/>
              </w:rPr>
              <w:t>a</w:t>
            </w:r>
          </w:p>
        </w:tc>
        <w:tc>
          <w:tcPr>
            <w:tcW w:w="328" w:type="pct"/>
            <w:shd w:val="clear" w:color="auto" w:fill="auto"/>
            <w:vAlign w:val="center"/>
          </w:tcPr>
          <w:p w14:paraId="44939219" w14:textId="77777777" w:rsidR="00B012B1" w:rsidRPr="00DB610E" w:rsidRDefault="00B012B1" w:rsidP="00131419">
            <w:pPr>
              <w:pStyle w:val="TableText0"/>
              <w:jc w:val="center"/>
              <w:rPr>
                <w:szCs w:val="20"/>
                <w:lang w:val="en-US"/>
              </w:rPr>
            </w:pPr>
            <w:r w:rsidRPr="00DB610E">
              <w:rPr>
                <w:szCs w:val="20"/>
                <w:lang w:val="en-US"/>
              </w:rPr>
              <w:t>125</w:t>
            </w:r>
          </w:p>
        </w:tc>
        <w:tc>
          <w:tcPr>
            <w:tcW w:w="751" w:type="pct"/>
            <w:shd w:val="clear" w:color="auto" w:fill="auto"/>
            <w:vAlign w:val="center"/>
          </w:tcPr>
          <w:p w14:paraId="6C58962F" w14:textId="77777777" w:rsidR="00B012B1" w:rsidRPr="00DB610E" w:rsidRDefault="00B012B1" w:rsidP="00131419">
            <w:pPr>
              <w:pStyle w:val="TableText0"/>
              <w:jc w:val="center"/>
              <w:rPr>
                <w:szCs w:val="20"/>
                <w:lang w:val="en-US"/>
              </w:rPr>
            </w:pPr>
            <w:r w:rsidRPr="00DB610E">
              <w:rPr>
                <w:szCs w:val="20"/>
                <w:lang w:val="en-US"/>
              </w:rPr>
              <w:t>R, DB</w:t>
            </w:r>
          </w:p>
          <w:p w14:paraId="1D867666" w14:textId="77777777" w:rsidR="00B012B1" w:rsidRPr="00DB610E" w:rsidRDefault="00B012B1" w:rsidP="00131419">
            <w:pPr>
              <w:pStyle w:val="TableText0"/>
              <w:jc w:val="center"/>
              <w:rPr>
                <w:szCs w:val="20"/>
                <w:lang w:val="en-US"/>
              </w:rPr>
            </w:pPr>
            <w:r w:rsidRPr="00DB610E">
              <w:rPr>
                <w:szCs w:val="20"/>
                <w:lang w:val="en-US"/>
              </w:rPr>
              <w:t>6 m</w:t>
            </w:r>
            <w:r>
              <w:rPr>
                <w:szCs w:val="20"/>
                <w:lang w:val="en-US"/>
              </w:rPr>
              <w:t>on</w:t>
            </w:r>
            <w:r w:rsidRPr="00DB610E">
              <w:rPr>
                <w:szCs w:val="20"/>
                <w:lang w:val="en-US"/>
              </w:rPr>
              <w:t>ths; 2;1 randomisation romiplostim: placebo</w:t>
            </w:r>
          </w:p>
        </w:tc>
        <w:tc>
          <w:tcPr>
            <w:tcW w:w="304" w:type="pct"/>
            <w:shd w:val="clear" w:color="auto" w:fill="auto"/>
            <w:vAlign w:val="center"/>
          </w:tcPr>
          <w:p w14:paraId="4A78DB21" w14:textId="77777777" w:rsidR="00B012B1" w:rsidRPr="00DB610E" w:rsidRDefault="00B012B1" w:rsidP="00131419">
            <w:pPr>
              <w:pStyle w:val="TableText0"/>
              <w:rPr>
                <w:szCs w:val="20"/>
                <w:lang w:val="en-US"/>
              </w:rPr>
            </w:pPr>
            <w:r w:rsidRPr="00DB610E">
              <w:rPr>
                <w:szCs w:val="20"/>
                <w:lang w:val="en-US"/>
              </w:rPr>
              <w:t>Low</w:t>
            </w:r>
          </w:p>
        </w:tc>
        <w:tc>
          <w:tcPr>
            <w:tcW w:w="1303" w:type="pct"/>
            <w:shd w:val="clear" w:color="auto" w:fill="auto"/>
          </w:tcPr>
          <w:p w14:paraId="197B640C" w14:textId="6BC96978" w:rsidR="00B012B1" w:rsidRPr="00DB610E" w:rsidRDefault="00B012B1" w:rsidP="00131419">
            <w:pPr>
              <w:pStyle w:val="TableText0"/>
              <w:rPr>
                <w:szCs w:val="20"/>
                <w:lang w:val="en-US"/>
              </w:rPr>
            </w:pPr>
            <w:r w:rsidRPr="00DB610E">
              <w:rPr>
                <w:szCs w:val="20"/>
                <w:lang w:val="en-US"/>
              </w:rPr>
              <w:t>Adults with ITP, no duration specified, mean of 3 platelet counts &lt;30 x 10</w:t>
            </w:r>
            <w:r w:rsidRPr="00DB610E">
              <w:rPr>
                <w:szCs w:val="20"/>
                <w:vertAlign w:val="superscript"/>
                <w:lang w:val="en-US"/>
              </w:rPr>
              <w:t>9</w:t>
            </w:r>
            <w:r w:rsidRPr="00DB610E">
              <w:rPr>
                <w:szCs w:val="20"/>
                <w:lang w:val="en-US"/>
              </w:rPr>
              <w:t>/L and no count &gt;35 x 10</w:t>
            </w:r>
            <w:r w:rsidRPr="00DB610E">
              <w:rPr>
                <w:szCs w:val="20"/>
                <w:vertAlign w:val="superscript"/>
                <w:lang w:val="en-US"/>
              </w:rPr>
              <w:t>9</w:t>
            </w:r>
            <w:r w:rsidRPr="00DB610E">
              <w:rPr>
                <w:szCs w:val="20"/>
                <w:lang w:val="en-US"/>
              </w:rPr>
              <w:t>/L, no active malignancy or history of stem cell disorder; creatinine concentration 176.8</w:t>
            </w:r>
            <w:r w:rsidR="00AC6727">
              <w:rPr>
                <w:szCs w:val="20"/>
                <w:lang w:val="en-US"/>
              </w:rPr>
              <w:t> </w:t>
            </w:r>
            <w:r w:rsidRPr="00DB610E">
              <w:rPr>
                <w:szCs w:val="20"/>
                <w:lang w:val="en-US"/>
              </w:rPr>
              <w:t>μmol/L or less, bilirubin no more than 1.5 times upper limit of normal, and haemoglobin 90</w:t>
            </w:r>
            <w:r w:rsidR="00AC6727">
              <w:rPr>
                <w:szCs w:val="20"/>
                <w:lang w:val="en-US"/>
              </w:rPr>
              <w:t> </w:t>
            </w:r>
            <w:r w:rsidRPr="00DB610E">
              <w:rPr>
                <w:szCs w:val="20"/>
                <w:lang w:val="en-US"/>
              </w:rPr>
              <w:t>g/L or higher. Patients</w:t>
            </w:r>
            <w:r>
              <w:rPr>
                <w:szCs w:val="20"/>
                <w:lang w:val="en-US"/>
              </w:rPr>
              <w:t xml:space="preserve"> </w:t>
            </w:r>
            <w:r w:rsidRPr="00DB610E">
              <w:rPr>
                <w:szCs w:val="20"/>
                <w:lang w:val="en-US"/>
              </w:rPr>
              <w:t xml:space="preserve">older than 60 years were required to have a bone-marrow examination consistent with the diagnosis of ITP. </w:t>
            </w:r>
          </w:p>
        </w:tc>
        <w:tc>
          <w:tcPr>
            <w:tcW w:w="1777" w:type="pct"/>
            <w:shd w:val="clear" w:color="auto" w:fill="auto"/>
            <w:vAlign w:val="center"/>
          </w:tcPr>
          <w:p w14:paraId="2DB9D8C8" w14:textId="77777777" w:rsidR="00B012B1" w:rsidRPr="00DB610E" w:rsidRDefault="00B012B1" w:rsidP="00131419">
            <w:pPr>
              <w:pStyle w:val="TableText0"/>
              <w:rPr>
                <w:szCs w:val="20"/>
                <w:lang w:val="en-US"/>
              </w:rPr>
            </w:pPr>
            <w:r w:rsidRPr="00DB610E">
              <w:rPr>
                <w:szCs w:val="20"/>
              </w:rPr>
              <w:t>Titration of dose to achieve platelet count &gt;50 x 10</w:t>
            </w:r>
            <w:r w:rsidRPr="00DB610E">
              <w:rPr>
                <w:szCs w:val="20"/>
                <w:vertAlign w:val="superscript"/>
              </w:rPr>
              <w:t>9</w:t>
            </w:r>
            <w:r w:rsidRPr="00DB610E">
              <w:rPr>
                <w:szCs w:val="20"/>
              </w:rPr>
              <w:t>/L and primary outcome t</w:t>
            </w:r>
            <w:r w:rsidRPr="00DB610E">
              <w:rPr>
                <w:szCs w:val="20"/>
                <w:lang w:val="en-US"/>
              </w:rPr>
              <w:t xml:space="preserve">he proportion of subjects who have </w:t>
            </w:r>
            <w:r w:rsidRPr="00DB610E">
              <w:rPr>
                <w:szCs w:val="20"/>
              </w:rPr>
              <w:t>at least 6 out of 8 weekly platelet counts ≥50 × 10</w:t>
            </w:r>
            <w:r w:rsidRPr="00DB610E">
              <w:rPr>
                <w:szCs w:val="20"/>
                <w:vertAlign w:val="superscript"/>
              </w:rPr>
              <w:t>9</w:t>
            </w:r>
            <w:r w:rsidRPr="00DB610E">
              <w:rPr>
                <w:szCs w:val="20"/>
              </w:rPr>
              <w:t xml:space="preserve">/L during the last 8 weeks of treatment with no </w:t>
            </w:r>
            <w:r w:rsidRPr="00DB610E">
              <w:rPr>
                <w:szCs w:val="20"/>
                <w:lang w:val="en-US"/>
              </w:rPr>
              <w:t>rescue medication at any time during the study; a transient platelet response was four or more weekly platelet responses without a durable platelet response from week 2 to 25; the</w:t>
            </w:r>
          </w:p>
          <w:p w14:paraId="4DBE41E1" w14:textId="28E00C0B" w:rsidR="00B012B1" w:rsidRPr="00DB610E" w:rsidRDefault="00B012B1" w:rsidP="00131419">
            <w:pPr>
              <w:pStyle w:val="TableText0"/>
              <w:rPr>
                <w:szCs w:val="20"/>
                <w:lang w:val="en-US"/>
              </w:rPr>
            </w:pPr>
            <w:r w:rsidRPr="00DB610E">
              <w:rPr>
                <w:szCs w:val="20"/>
                <w:lang w:val="en-US"/>
              </w:rPr>
              <w:t>frequency of overall platelet response (durable plus</w:t>
            </w:r>
            <w:r>
              <w:rPr>
                <w:szCs w:val="20"/>
                <w:lang w:val="en-US"/>
              </w:rPr>
              <w:t xml:space="preserve"> </w:t>
            </w:r>
            <w:r w:rsidRPr="00DB610E">
              <w:rPr>
                <w:szCs w:val="20"/>
                <w:lang w:val="en-US"/>
              </w:rPr>
              <w:t>transient rates of platelet response), the number of weekly platelet responses, the proportion of patients needing</w:t>
            </w:r>
            <w:r>
              <w:rPr>
                <w:szCs w:val="20"/>
                <w:lang w:val="en-US"/>
              </w:rPr>
              <w:t xml:space="preserve"> </w:t>
            </w:r>
            <w:r w:rsidRPr="00DB610E">
              <w:rPr>
                <w:szCs w:val="20"/>
                <w:lang w:val="en-US"/>
              </w:rPr>
              <w:t xml:space="preserve">rescue drugs, and the frequency of durable platelet response with a stable dose (dose maintained within </w:t>
            </w:r>
            <w:r w:rsidR="00AC6727" w:rsidRPr="00DB610E">
              <w:rPr>
                <w:szCs w:val="20"/>
                <w:lang w:val="en-US"/>
              </w:rPr>
              <w:t>1</w:t>
            </w:r>
            <w:r w:rsidR="00AC6727">
              <w:rPr>
                <w:szCs w:val="20"/>
                <w:lang w:val="en-US"/>
              </w:rPr>
              <w:t> </w:t>
            </w:r>
            <w:r w:rsidRPr="00DB610E">
              <w:rPr>
                <w:szCs w:val="20"/>
                <w:lang w:val="en-US"/>
              </w:rPr>
              <w:t xml:space="preserve">μg/kg during the last 8 weeks of treatment); </w:t>
            </w:r>
          </w:p>
          <w:p w14:paraId="16F22AAF" w14:textId="77777777" w:rsidR="00B012B1" w:rsidRPr="00DB610E" w:rsidRDefault="00B012B1" w:rsidP="00131419">
            <w:pPr>
              <w:pStyle w:val="TableText0"/>
              <w:rPr>
                <w:szCs w:val="20"/>
                <w:lang w:val="en-US"/>
              </w:rPr>
            </w:pPr>
            <w:r w:rsidRPr="00DB610E">
              <w:rPr>
                <w:szCs w:val="20"/>
                <w:lang w:val="en-US"/>
              </w:rPr>
              <w:t xml:space="preserve">changes in concurrent ITP therapies. </w:t>
            </w:r>
          </w:p>
        </w:tc>
      </w:tr>
    </w:tbl>
    <w:p w14:paraId="647CE0C3" w14:textId="77777777" w:rsidR="00B012B1" w:rsidRPr="00BF67FC" w:rsidRDefault="00B012B1" w:rsidP="00B012B1">
      <w:pPr>
        <w:pStyle w:val="TableFooter"/>
      </w:pPr>
      <w:r>
        <w:t xml:space="preserve">Source: Table 2-13, pp56-7 </w:t>
      </w:r>
      <w:r w:rsidRPr="00D13A3E">
        <w:t xml:space="preserve">of the </w:t>
      </w:r>
      <w:r>
        <w:t xml:space="preserve">submission; </w:t>
      </w:r>
      <w:r w:rsidRPr="00BF67FC">
        <w:rPr>
          <w:lang w:val="en-US"/>
        </w:rPr>
        <w:t>Kuter</w:t>
      </w:r>
      <w:r>
        <w:rPr>
          <w:lang w:val="en-US"/>
        </w:rPr>
        <w:t xml:space="preserve"> D</w:t>
      </w:r>
      <w:r w:rsidRPr="00BF67FC">
        <w:rPr>
          <w:lang w:val="en-US"/>
        </w:rPr>
        <w:t>, Bussel</w:t>
      </w:r>
      <w:r>
        <w:rPr>
          <w:lang w:val="en-US"/>
        </w:rPr>
        <w:t xml:space="preserve"> J</w:t>
      </w:r>
      <w:r w:rsidRPr="00BF67FC">
        <w:rPr>
          <w:lang w:val="en-US"/>
        </w:rPr>
        <w:t>, Lyons</w:t>
      </w:r>
      <w:r>
        <w:rPr>
          <w:lang w:val="en-US"/>
        </w:rPr>
        <w:t xml:space="preserve"> R</w:t>
      </w:r>
      <w:r w:rsidRPr="00BF67FC">
        <w:rPr>
          <w:lang w:val="en-US"/>
        </w:rPr>
        <w:t>,</w:t>
      </w:r>
      <w:r>
        <w:rPr>
          <w:lang w:val="en-US"/>
        </w:rPr>
        <w:t xml:space="preserve"> et al. </w:t>
      </w:r>
      <w:r w:rsidRPr="00BF67FC">
        <w:rPr>
          <w:lang w:val="en-US"/>
        </w:rPr>
        <w:t>Efficacy of romiplostim in patients with chronic immune</w:t>
      </w:r>
    </w:p>
    <w:p w14:paraId="25C779F3" w14:textId="77777777" w:rsidR="00B012B1" w:rsidRPr="00BF67FC" w:rsidRDefault="00B012B1" w:rsidP="00B012B1">
      <w:pPr>
        <w:pStyle w:val="TableFooter"/>
        <w:rPr>
          <w:lang w:val="en-US"/>
        </w:rPr>
      </w:pPr>
      <w:r w:rsidRPr="00BF67FC">
        <w:rPr>
          <w:lang w:val="en-US"/>
        </w:rPr>
        <w:t>thrombocytopenic purpura: a double-blind randomised</w:t>
      </w:r>
      <w:r>
        <w:rPr>
          <w:lang w:val="en-US"/>
        </w:rPr>
        <w:t xml:space="preserve"> </w:t>
      </w:r>
      <w:r w:rsidRPr="00BF67FC">
        <w:rPr>
          <w:lang w:val="en-US"/>
        </w:rPr>
        <w:t>controlled trial</w:t>
      </w:r>
      <w:r>
        <w:rPr>
          <w:lang w:val="en-US"/>
        </w:rPr>
        <w:t xml:space="preserve">. </w:t>
      </w:r>
      <w:r w:rsidRPr="00BF67FC">
        <w:rPr>
          <w:i/>
          <w:lang w:val="en-US"/>
        </w:rPr>
        <w:t xml:space="preserve">Lancet </w:t>
      </w:r>
      <w:r w:rsidRPr="00BF67FC">
        <w:rPr>
          <w:lang w:val="en-US"/>
        </w:rPr>
        <w:t>2008; 371: 395–403</w:t>
      </w:r>
    </w:p>
    <w:p w14:paraId="709E2256" w14:textId="77777777" w:rsidR="00B012B1" w:rsidRDefault="00B012B1" w:rsidP="00B012B1">
      <w:pPr>
        <w:pStyle w:val="TableFooter"/>
      </w:pPr>
      <w:r w:rsidRPr="0072416F">
        <w:t>DB</w:t>
      </w:r>
      <w:r>
        <w:t xml:space="preserve"> </w:t>
      </w:r>
      <w:r w:rsidRPr="0072416F">
        <w:t>=</w:t>
      </w:r>
      <w:r>
        <w:t xml:space="preserve"> </w:t>
      </w:r>
      <w:r w:rsidRPr="0072416F">
        <w:t>double blind;</w:t>
      </w:r>
      <w:r>
        <w:t xml:space="preserve"> </w:t>
      </w:r>
      <w:r w:rsidRPr="0072416F">
        <w:t>R</w:t>
      </w:r>
      <w:r>
        <w:t xml:space="preserve"> </w:t>
      </w:r>
      <w:r w:rsidRPr="0072416F">
        <w:t>=</w:t>
      </w:r>
      <w:r>
        <w:t xml:space="preserve"> </w:t>
      </w:r>
      <w:r w:rsidRPr="0072416F">
        <w:t>randomised</w:t>
      </w:r>
      <w:r>
        <w:t xml:space="preserve">; OL = open label. </w:t>
      </w:r>
    </w:p>
    <w:p w14:paraId="196D9C37" w14:textId="461ECC7F" w:rsidR="00B012B1" w:rsidRDefault="00B012B1" w:rsidP="00B012B1">
      <w:pPr>
        <w:pStyle w:val="TableFooter"/>
      </w:pPr>
      <w:r>
        <w:rPr>
          <w:vertAlign w:val="superscript"/>
        </w:rPr>
        <w:t>a</w:t>
      </w:r>
      <w:r w:rsidRPr="001E7A03">
        <w:t>The trials were analysed together and were identical except that</w:t>
      </w:r>
      <w:r>
        <w:t xml:space="preserve"> </w:t>
      </w:r>
      <w:r w:rsidRPr="001E7A03">
        <w:t>00101</w:t>
      </w:r>
      <w:r>
        <w:t>3</w:t>
      </w:r>
      <w:r w:rsidRPr="001E7A03">
        <w:t>23 enrolled splen</w:t>
      </w:r>
      <w:r>
        <w:t>e</w:t>
      </w:r>
      <w:r w:rsidRPr="001E7A03">
        <w:t>ctomised patients and 00101336 enrolled non-splenectomised patients</w:t>
      </w:r>
      <w:r>
        <w:t>.</w:t>
      </w:r>
    </w:p>
    <w:p w14:paraId="2697EDCB" w14:textId="77777777" w:rsidR="0080246B" w:rsidRPr="00B012B1" w:rsidRDefault="0080246B" w:rsidP="00B012B1">
      <w:pPr>
        <w:pStyle w:val="TableFooter"/>
        <w:rPr>
          <w:vertAlign w:val="superscript"/>
        </w:rPr>
      </w:pPr>
    </w:p>
    <w:p w14:paraId="76C1D7AD" w14:textId="4BCC3387" w:rsidR="001E2D68" w:rsidRDefault="001E2D68" w:rsidP="001E2D68">
      <w:pPr>
        <w:pStyle w:val="3-BodyText"/>
        <w:rPr>
          <w:lang w:val="en-US"/>
        </w:rPr>
      </w:pPr>
      <w:r>
        <w:rPr>
          <w:lang w:val="en-US"/>
        </w:rPr>
        <w:t xml:space="preserve">Efficacy and safety outcomes for avatrombopag vs placebo (Study 302), romiplostim vs placebo (Kuter 2008) and the indirect comparison of avatrombopag and romiplostim are shown in </w:t>
      </w:r>
      <w:r w:rsidR="001C2498">
        <w:rPr>
          <w:lang w:val="en-US"/>
        </w:rPr>
        <w:fldChar w:fldCharType="begin" w:fldLock="1"/>
      </w:r>
      <w:r w:rsidR="001C2498">
        <w:rPr>
          <w:lang w:val="en-US"/>
        </w:rPr>
        <w:instrText xml:space="preserve"> REF _Ref112586384 \h </w:instrText>
      </w:r>
      <w:r w:rsidR="001C2498">
        <w:rPr>
          <w:lang w:val="en-US"/>
        </w:rPr>
      </w:r>
      <w:r w:rsidR="001C2498">
        <w:rPr>
          <w:lang w:val="en-US"/>
        </w:rPr>
        <w:fldChar w:fldCharType="separate"/>
      </w:r>
      <w:r w:rsidR="0080246B">
        <w:t xml:space="preserve">Table </w:t>
      </w:r>
      <w:r w:rsidR="0080246B">
        <w:rPr>
          <w:noProof/>
        </w:rPr>
        <w:t>9</w:t>
      </w:r>
      <w:r w:rsidR="001C2498">
        <w:rPr>
          <w:lang w:val="en-US"/>
        </w:rPr>
        <w:fldChar w:fldCharType="end"/>
      </w:r>
      <w:r w:rsidR="001C2498">
        <w:rPr>
          <w:lang w:val="en-US"/>
        </w:rPr>
        <w:t>.</w:t>
      </w:r>
    </w:p>
    <w:p w14:paraId="350B1D59" w14:textId="363AC7C1" w:rsidR="001E2D68" w:rsidRPr="00DB610E" w:rsidRDefault="001C2498" w:rsidP="001C2498">
      <w:pPr>
        <w:pStyle w:val="Caption"/>
        <w:rPr>
          <w:szCs w:val="20"/>
        </w:rPr>
      </w:pPr>
      <w:bookmarkStart w:id="37" w:name="_Ref112586384"/>
      <w:r>
        <w:lastRenderedPageBreak/>
        <w:t xml:space="preserve">Table </w:t>
      </w:r>
      <w:fldSimple w:instr=" SEQ Table \* ARABIC " w:fldLock="1">
        <w:r w:rsidR="0080246B">
          <w:rPr>
            <w:noProof/>
          </w:rPr>
          <w:t>9</w:t>
        </w:r>
      </w:fldSimple>
      <w:bookmarkEnd w:id="37"/>
      <w:r w:rsidR="001E2D68" w:rsidRPr="00DB610E">
        <w:rPr>
          <w:szCs w:val="20"/>
        </w:rPr>
        <w:t xml:space="preserve">: </w:t>
      </w:r>
      <w:r w:rsidR="00CC1263" w:rsidRPr="00DB610E">
        <w:rPr>
          <w:szCs w:val="20"/>
        </w:rPr>
        <w:t>Efficacy</w:t>
      </w:r>
      <w:r w:rsidR="00CC1263">
        <w:rPr>
          <w:szCs w:val="20"/>
        </w:rPr>
        <w:t xml:space="preserve"> and safety</w:t>
      </w:r>
      <w:r w:rsidR="00CC1263" w:rsidRPr="00DB610E">
        <w:rPr>
          <w:szCs w:val="20"/>
        </w:rPr>
        <w:t xml:space="preserve"> outcomes vs placebo and</w:t>
      </w:r>
      <w:r w:rsidR="00CC1263">
        <w:rPr>
          <w:szCs w:val="20"/>
        </w:rPr>
        <w:t xml:space="preserve"> indirect comparison of</w:t>
      </w:r>
      <w:r w:rsidR="00CC1263" w:rsidRPr="00DB610E">
        <w:rPr>
          <w:szCs w:val="20"/>
        </w:rPr>
        <w:t xml:space="preserve"> avatrombopag vs </w:t>
      </w:r>
      <w:r w:rsidR="00CC1263">
        <w:rPr>
          <w:szCs w:val="20"/>
        </w:rPr>
        <w:t>romiplostim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349"/>
        <w:gridCol w:w="1351"/>
        <w:gridCol w:w="1376"/>
        <w:gridCol w:w="1351"/>
        <w:gridCol w:w="1351"/>
        <w:gridCol w:w="1437"/>
      </w:tblGrid>
      <w:tr w:rsidR="00E877AA" w:rsidRPr="00AE6B5D" w14:paraId="79AD3029" w14:textId="77777777" w:rsidTr="00FF5CBC">
        <w:trPr>
          <w:cantSplit/>
          <w:tblHeader/>
        </w:trPr>
        <w:tc>
          <w:tcPr>
            <w:tcW w:w="445" w:type="pct"/>
            <w:vAlign w:val="center"/>
          </w:tcPr>
          <w:p w14:paraId="0671BBCC" w14:textId="77777777" w:rsidR="001E2D68" w:rsidRPr="00AE6B5D" w:rsidRDefault="001E2D68" w:rsidP="001E2D68">
            <w:pPr>
              <w:pStyle w:val="TableText0"/>
              <w:rPr>
                <w:szCs w:val="20"/>
              </w:rPr>
            </w:pPr>
          </w:p>
        </w:tc>
        <w:tc>
          <w:tcPr>
            <w:tcW w:w="748" w:type="pct"/>
            <w:vAlign w:val="center"/>
          </w:tcPr>
          <w:p w14:paraId="543E3A21" w14:textId="7D77CD55" w:rsidR="001E2D68" w:rsidRPr="00AE6B5D" w:rsidRDefault="001E2D68" w:rsidP="00101C1A">
            <w:pPr>
              <w:pStyle w:val="TableText0"/>
              <w:jc w:val="center"/>
              <w:rPr>
                <w:b/>
                <w:bCs w:val="0"/>
                <w:szCs w:val="20"/>
              </w:rPr>
            </w:pPr>
            <w:r w:rsidRPr="00AE6B5D">
              <w:rPr>
                <w:b/>
                <w:bCs w:val="0"/>
                <w:szCs w:val="20"/>
              </w:rPr>
              <w:t>Patients with platelet count &gt; 50 x</w:t>
            </w:r>
            <w:r w:rsidR="00F913DB">
              <w:rPr>
                <w:b/>
                <w:bCs w:val="0"/>
                <w:szCs w:val="20"/>
              </w:rPr>
              <w:t xml:space="preserve"> </w:t>
            </w:r>
            <w:r w:rsidRPr="00AE6B5D">
              <w:rPr>
                <w:b/>
                <w:bCs w:val="0"/>
                <w:szCs w:val="20"/>
              </w:rPr>
              <w:t>10</w:t>
            </w:r>
            <w:r w:rsidRPr="00AE6B5D">
              <w:rPr>
                <w:b/>
                <w:bCs w:val="0"/>
                <w:szCs w:val="20"/>
                <w:vertAlign w:val="superscript"/>
              </w:rPr>
              <w:t>9</w:t>
            </w:r>
            <w:r w:rsidRPr="00AE6B5D">
              <w:rPr>
                <w:b/>
                <w:bCs w:val="0"/>
                <w:szCs w:val="20"/>
              </w:rPr>
              <w:t>/L for 6 of the last 8 weeks treatment, n/N (%)</w:t>
            </w:r>
          </w:p>
        </w:tc>
        <w:tc>
          <w:tcPr>
            <w:tcW w:w="749" w:type="pct"/>
            <w:vAlign w:val="center"/>
          </w:tcPr>
          <w:p w14:paraId="7248E697" w14:textId="77777777" w:rsidR="001E2D68" w:rsidRPr="00AE6B5D" w:rsidRDefault="001E2D68" w:rsidP="00101C1A">
            <w:pPr>
              <w:pStyle w:val="TableText0"/>
              <w:jc w:val="center"/>
              <w:rPr>
                <w:b/>
                <w:bCs w:val="0"/>
                <w:szCs w:val="20"/>
              </w:rPr>
            </w:pPr>
            <w:r w:rsidRPr="00AE6B5D">
              <w:rPr>
                <w:b/>
                <w:bCs w:val="0"/>
                <w:szCs w:val="20"/>
              </w:rPr>
              <w:t>Reduction in concomitant ITP treatments in use at baseline, n/N (%)</w:t>
            </w:r>
          </w:p>
        </w:tc>
        <w:tc>
          <w:tcPr>
            <w:tcW w:w="763" w:type="pct"/>
            <w:vAlign w:val="center"/>
          </w:tcPr>
          <w:p w14:paraId="71C3308E" w14:textId="794E7D59" w:rsidR="001E2D68" w:rsidRPr="00AE6B5D" w:rsidRDefault="001E2D68" w:rsidP="00101C1A">
            <w:pPr>
              <w:pStyle w:val="TableText0"/>
              <w:jc w:val="center"/>
              <w:rPr>
                <w:b/>
                <w:bCs w:val="0"/>
                <w:szCs w:val="20"/>
              </w:rPr>
            </w:pPr>
            <w:r w:rsidRPr="00AE6B5D">
              <w:rPr>
                <w:b/>
                <w:bCs w:val="0"/>
                <w:szCs w:val="20"/>
              </w:rPr>
              <w:t>Bleeding events WHO Grade 2-4</w:t>
            </w:r>
            <w:r w:rsidR="00101C1A" w:rsidRPr="00AE6B5D">
              <w:rPr>
                <w:b/>
                <w:bCs w:val="0"/>
                <w:szCs w:val="20"/>
                <w:vertAlign w:val="superscript"/>
              </w:rPr>
              <w:t>a</w:t>
            </w:r>
          </w:p>
          <w:p w14:paraId="682AA19B" w14:textId="77777777" w:rsidR="001E2D68" w:rsidRPr="00AE6B5D" w:rsidRDefault="001E2D68" w:rsidP="00101C1A">
            <w:pPr>
              <w:pStyle w:val="TableText0"/>
              <w:jc w:val="center"/>
              <w:rPr>
                <w:b/>
                <w:bCs w:val="0"/>
                <w:szCs w:val="20"/>
              </w:rPr>
            </w:pPr>
            <w:r w:rsidRPr="00AE6B5D">
              <w:rPr>
                <w:b/>
                <w:bCs w:val="0"/>
                <w:szCs w:val="20"/>
              </w:rPr>
              <w:t>n/N (%)</w:t>
            </w:r>
          </w:p>
        </w:tc>
        <w:tc>
          <w:tcPr>
            <w:tcW w:w="749" w:type="pct"/>
            <w:vAlign w:val="center"/>
          </w:tcPr>
          <w:p w14:paraId="4686B869" w14:textId="77777777" w:rsidR="001E2D68" w:rsidRPr="00AE6B5D" w:rsidRDefault="001E2D68" w:rsidP="00101C1A">
            <w:pPr>
              <w:pStyle w:val="TableText0"/>
              <w:jc w:val="center"/>
              <w:rPr>
                <w:b/>
                <w:bCs w:val="0"/>
                <w:szCs w:val="20"/>
              </w:rPr>
            </w:pPr>
            <w:r w:rsidRPr="00AE6B5D">
              <w:rPr>
                <w:b/>
                <w:bCs w:val="0"/>
                <w:szCs w:val="20"/>
              </w:rPr>
              <w:t>Need for rescue therapy</w:t>
            </w:r>
          </w:p>
          <w:p w14:paraId="395D6CB6" w14:textId="77777777" w:rsidR="001E2D68" w:rsidRPr="00AE6B5D" w:rsidRDefault="001E2D68" w:rsidP="00101C1A">
            <w:pPr>
              <w:pStyle w:val="TableText0"/>
              <w:jc w:val="center"/>
              <w:rPr>
                <w:b/>
                <w:bCs w:val="0"/>
                <w:szCs w:val="20"/>
              </w:rPr>
            </w:pPr>
            <w:r w:rsidRPr="00AE6B5D">
              <w:rPr>
                <w:b/>
                <w:bCs w:val="0"/>
                <w:szCs w:val="20"/>
              </w:rPr>
              <w:t>n/N (%)</w:t>
            </w:r>
          </w:p>
        </w:tc>
        <w:tc>
          <w:tcPr>
            <w:tcW w:w="749" w:type="pct"/>
            <w:vAlign w:val="center"/>
          </w:tcPr>
          <w:p w14:paraId="5020506B" w14:textId="77777777" w:rsidR="001E2D68" w:rsidRPr="00AE6B5D" w:rsidRDefault="001E2D68" w:rsidP="00101C1A">
            <w:pPr>
              <w:pStyle w:val="TableText0"/>
              <w:jc w:val="center"/>
              <w:rPr>
                <w:b/>
                <w:bCs w:val="0"/>
                <w:szCs w:val="20"/>
              </w:rPr>
            </w:pPr>
            <w:r w:rsidRPr="00AE6B5D">
              <w:rPr>
                <w:b/>
                <w:bCs w:val="0"/>
                <w:szCs w:val="20"/>
              </w:rPr>
              <w:t>Treatment-related SAEs</w:t>
            </w:r>
          </w:p>
          <w:p w14:paraId="02B9EB99" w14:textId="77777777" w:rsidR="001E2D68" w:rsidRPr="00AE6B5D" w:rsidRDefault="001E2D68" w:rsidP="00101C1A">
            <w:pPr>
              <w:pStyle w:val="TableText0"/>
              <w:jc w:val="center"/>
              <w:rPr>
                <w:b/>
                <w:bCs w:val="0"/>
                <w:szCs w:val="20"/>
              </w:rPr>
            </w:pPr>
            <w:r w:rsidRPr="00AE6B5D">
              <w:rPr>
                <w:b/>
                <w:bCs w:val="0"/>
                <w:szCs w:val="20"/>
              </w:rPr>
              <w:t>n/N (%)</w:t>
            </w:r>
          </w:p>
        </w:tc>
        <w:tc>
          <w:tcPr>
            <w:tcW w:w="797" w:type="pct"/>
            <w:vAlign w:val="center"/>
          </w:tcPr>
          <w:p w14:paraId="318FEE14" w14:textId="77777777" w:rsidR="001E2D68" w:rsidRPr="00AE6B5D" w:rsidRDefault="001E2D68" w:rsidP="00101C1A">
            <w:pPr>
              <w:pStyle w:val="TableText0"/>
              <w:jc w:val="center"/>
              <w:rPr>
                <w:b/>
                <w:bCs w:val="0"/>
                <w:szCs w:val="20"/>
              </w:rPr>
            </w:pPr>
            <w:r w:rsidRPr="00AE6B5D">
              <w:rPr>
                <w:b/>
                <w:bCs w:val="0"/>
                <w:szCs w:val="20"/>
              </w:rPr>
              <w:t>AEs leading to discontinuation n/N (%)</w:t>
            </w:r>
          </w:p>
        </w:tc>
      </w:tr>
      <w:tr w:rsidR="00E877AA" w:rsidRPr="00AE6B5D" w14:paraId="7A4D3B86" w14:textId="77777777" w:rsidTr="00FF5CBC">
        <w:trPr>
          <w:cantSplit/>
        </w:trPr>
        <w:tc>
          <w:tcPr>
            <w:tcW w:w="5000" w:type="pct"/>
            <w:gridSpan w:val="7"/>
            <w:vAlign w:val="center"/>
          </w:tcPr>
          <w:p w14:paraId="041D7CE6" w14:textId="6155B70B" w:rsidR="001E2D68" w:rsidRPr="00AE6B5D" w:rsidRDefault="001E2D68" w:rsidP="001E2D68">
            <w:pPr>
              <w:pStyle w:val="TableText0"/>
              <w:rPr>
                <w:b/>
                <w:szCs w:val="20"/>
              </w:rPr>
            </w:pPr>
            <w:r w:rsidRPr="00AE6B5D">
              <w:rPr>
                <w:b/>
                <w:szCs w:val="20"/>
              </w:rPr>
              <w:t xml:space="preserve">Avatrombopag vs </w:t>
            </w:r>
            <w:r w:rsidR="00737425" w:rsidRPr="00AE6B5D">
              <w:rPr>
                <w:b/>
                <w:szCs w:val="20"/>
              </w:rPr>
              <w:t>p</w:t>
            </w:r>
            <w:r w:rsidRPr="00AE6B5D">
              <w:rPr>
                <w:b/>
                <w:szCs w:val="20"/>
              </w:rPr>
              <w:t>lacebo</w:t>
            </w:r>
            <w:r w:rsidR="00737425" w:rsidRPr="00AE6B5D">
              <w:rPr>
                <w:b/>
                <w:szCs w:val="20"/>
              </w:rPr>
              <w:t xml:space="preserve"> (Study 302)</w:t>
            </w:r>
            <w:r w:rsidR="0060172F" w:rsidRPr="00AE6B5D">
              <w:rPr>
                <w:b/>
                <w:szCs w:val="20"/>
              </w:rPr>
              <w:t xml:space="preserve">: </w:t>
            </w:r>
            <w:r w:rsidR="0075095A" w:rsidRPr="00AE6B5D">
              <w:rPr>
                <w:b/>
                <w:szCs w:val="20"/>
              </w:rPr>
              <w:t>RR or RD (95% CI)</w:t>
            </w:r>
          </w:p>
        </w:tc>
      </w:tr>
      <w:tr w:rsidR="00E877AA" w:rsidRPr="00AE6B5D" w14:paraId="5D328A28" w14:textId="77777777" w:rsidTr="00FF5CBC">
        <w:trPr>
          <w:cantSplit/>
        </w:trPr>
        <w:tc>
          <w:tcPr>
            <w:tcW w:w="445" w:type="pct"/>
            <w:vAlign w:val="center"/>
          </w:tcPr>
          <w:p w14:paraId="0E2E1ABE" w14:textId="2775DFC5" w:rsidR="001E2D68" w:rsidRPr="00AE6B5D" w:rsidRDefault="001E2D68" w:rsidP="001E2D68">
            <w:pPr>
              <w:pStyle w:val="TableText0"/>
              <w:rPr>
                <w:b/>
                <w:szCs w:val="20"/>
              </w:rPr>
            </w:pPr>
            <w:r w:rsidRPr="00AE6B5D">
              <w:rPr>
                <w:b/>
                <w:szCs w:val="20"/>
              </w:rPr>
              <w:t>Ava</w:t>
            </w:r>
            <w:r w:rsidR="00101C1A" w:rsidRPr="00AE6B5D">
              <w:rPr>
                <w:b/>
                <w:szCs w:val="20"/>
              </w:rPr>
              <w:t>.</w:t>
            </w:r>
          </w:p>
        </w:tc>
        <w:tc>
          <w:tcPr>
            <w:tcW w:w="748" w:type="pct"/>
            <w:vAlign w:val="center"/>
          </w:tcPr>
          <w:p w14:paraId="19C4A219" w14:textId="79A7CAB2" w:rsidR="001E2D68" w:rsidRPr="00AE6B5D" w:rsidRDefault="001E2D68" w:rsidP="00101C1A">
            <w:pPr>
              <w:pStyle w:val="TableText0"/>
              <w:jc w:val="center"/>
              <w:rPr>
                <w:szCs w:val="20"/>
              </w:rPr>
            </w:pPr>
            <w:r w:rsidRPr="00AE6B5D">
              <w:rPr>
                <w:szCs w:val="20"/>
              </w:rPr>
              <w:t>11/32 (34</w:t>
            </w:r>
            <w:r w:rsidR="000F75E7" w:rsidRPr="00AE6B5D">
              <w:rPr>
                <w:szCs w:val="20"/>
              </w:rPr>
              <w:t>.38</w:t>
            </w:r>
            <w:r w:rsidRPr="00AE6B5D">
              <w:rPr>
                <w:szCs w:val="20"/>
              </w:rPr>
              <w:t>%)</w:t>
            </w:r>
          </w:p>
        </w:tc>
        <w:tc>
          <w:tcPr>
            <w:tcW w:w="749" w:type="pct"/>
            <w:vAlign w:val="center"/>
          </w:tcPr>
          <w:p w14:paraId="278B5FF7" w14:textId="3CB7B2DE" w:rsidR="001E2D68" w:rsidRPr="00AE6B5D" w:rsidRDefault="001E2D68" w:rsidP="00101C1A">
            <w:pPr>
              <w:pStyle w:val="TableText0"/>
              <w:jc w:val="center"/>
              <w:rPr>
                <w:szCs w:val="20"/>
              </w:rPr>
            </w:pPr>
            <w:r w:rsidRPr="00AE6B5D">
              <w:rPr>
                <w:szCs w:val="20"/>
              </w:rPr>
              <w:t>5/15 (33</w:t>
            </w:r>
            <w:r w:rsidR="000F75E7" w:rsidRPr="00AE6B5D">
              <w:rPr>
                <w:szCs w:val="20"/>
              </w:rPr>
              <w:t>.33</w:t>
            </w:r>
            <w:r w:rsidRPr="00AE6B5D">
              <w:rPr>
                <w:szCs w:val="20"/>
              </w:rPr>
              <w:t>%)</w:t>
            </w:r>
          </w:p>
        </w:tc>
        <w:tc>
          <w:tcPr>
            <w:tcW w:w="763" w:type="pct"/>
            <w:vAlign w:val="center"/>
          </w:tcPr>
          <w:p w14:paraId="28ED5A21" w14:textId="09DE5EEA" w:rsidR="001E2D68" w:rsidRPr="00AE6B5D" w:rsidRDefault="001E2D68" w:rsidP="00101C1A">
            <w:pPr>
              <w:pStyle w:val="TableText0"/>
              <w:jc w:val="center"/>
              <w:rPr>
                <w:szCs w:val="20"/>
              </w:rPr>
            </w:pPr>
            <w:r w:rsidRPr="00AE6B5D">
              <w:rPr>
                <w:szCs w:val="20"/>
              </w:rPr>
              <w:t>3/32 (9</w:t>
            </w:r>
            <w:r w:rsidR="000F75E7" w:rsidRPr="00AE6B5D">
              <w:rPr>
                <w:szCs w:val="20"/>
              </w:rPr>
              <w:t>.38</w:t>
            </w:r>
            <w:r w:rsidRPr="00AE6B5D">
              <w:rPr>
                <w:szCs w:val="20"/>
              </w:rPr>
              <w:t>%)</w:t>
            </w:r>
          </w:p>
        </w:tc>
        <w:tc>
          <w:tcPr>
            <w:tcW w:w="749" w:type="pct"/>
            <w:vAlign w:val="center"/>
          </w:tcPr>
          <w:p w14:paraId="34A75DD5" w14:textId="7855A029" w:rsidR="001E2D68" w:rsidRPr="00AE6B5D" w:rsidRDefault="001E2D68" w:rsidP="00101C1A">
            <w:pPr>
              <w:pStyle w:val="TableText0"/>
              <w:jc w:val="center"/>
              <w:rPr>
                <w:szCs w:val="20"/>
              </w:rPr>
            </w:pPr>
            <w:r w:rsidRPr="00AE6B5D">
              <w:rPr>
                <w:szCs w:val="20"/>
              </w:rPr>
              <w:t>7/32 (2</w:t>
            </w:r>
            <w:r w:rsidR="000F75E7" w:rsidRPr="00AE6B5D">
              <w:rPr>
                <w:szCs w:val="20"/>
              </w:rPr>
              <w:t>1.9</w:t>
            </w:r>
            <w:r w:rsidRPr="00AE6B5D">
              <w:rPr>
                <w:szCs w:val="20"/>
              </w:rPr>
              <w:t>%)</w:t>
            </w:r>
          </w:p>
        </w:tc>
        <w:tc>
          <w:tcPr>
            <w:tcW w:w="749" w:type="pct"/>
            <w:vAlign w:val="center"/>
          </w:tcPr>
          <w:p w14:paraId="13C796EA" w14:textId="07EE2F26" w:rsidR="001E2D68" w:rsidRPr="004321EF" w:rsidRDefault="00E752FB" w:rsidP="00101C1A">
            <w:pPr>
              <w:pStyle w:val="TableText0"/>
              <w:jc w:val="center"/>
              <w:rPr>
                <w:szCs w:val="20"/>
              </w:rPr>
            </w:pPr>
            <w:r w:rsidRPr="004321EF">
              <w:rPr>
                <w:szCs w:val="20"/>
              </w:rPr>
              <w:t>9</w:t>
            </w:r>
            <w:r w:rsidR="001E2D68" w:rsidRPr="004321EF">
              <w:rPr>
                <w:szCs w:val="20"/>
              </w:rPr>
              <w:t>/32 (28.1</w:t>
            </w:r>
            <w:r w:rsidRPr="004321EF">
              <w:rPr>
                <w:szCs w:val="20"/>
              </w:rPr>
              <w:t>25</w:t>
            </w:r>
            <w:r w:rsidR="001E2D68" w:rsidRPr="004321EF">
              <w:rPr>
                <w:szCs w:val="20"/>
              </w:rPr>
              <w:t>%)</w:t>
            </w:r>
          </w:p>
        </w:tc>
        <w:tc>
          <w:tcPr>
            <w:tcW w:w="797" w:type="pct"/>
            <w:vAlign w:val="center"/>
          </w:tcPr>
          <w:p w14:paraId="6AF53D03" w14:textId="3A8BF812" w:rsidR="001E2D68" w:rsidRPr="00AE6B5D" w:rsidRDefault="001E2D68" w:rsidP="00101C1A">
            <w:pPr>
              <w:pStyle w:val="TableText0"/>
              <w:jc w:val="center"/>
              <w:rPr>
                <w:szCs w:val="20"/>
              </w:rPr>
            </w:pPr>
            <w:r w:rsidRPr="00AE6B5D">
              <w:rPr>
                <w:szCs w:val="20"/>
              </w:rPr>
              <w:t>3/32 (9</w:t>
            </w:r>
            <w:r w:rsidR="00030DE3" w:rsidRPr="00AE6B5D">
              <w:rPr>
                <w:szCs w:val="20"/>
              </w:rPr>
              <w:t>.4</w:t>
            </w:r>
            <w:r w:rsidRPr="00AE6B5D">
              <w:rPr>
                <w:szCs w:val="20"/>
              </w:rPr>
              <w:t>%)</w:t>
            </w:r>
          </w:p>
        </w:tc>
      </w:tr>
      <w:tr w:rsidR="00E877AA" w:rsidRPr="00AE6B5D" w14:paraId="1F9A3FAA" w14:textId="77777777" w:rsidTr="00FF5CBC">
        <w:trPr>
          <w:cantSplit/>
        </w:trPr>
        <w:tc>
          <w:tcPr>
            <w:tcW w:w="445" w:type="pct"/>
            <w:vAlign w:val="center"/>
          </w:tcPr>
          <w:p w14:paraId="583879E3" w14:textId="4007DD19" w:rsidR="001E2D68" w:rsidRPr="00AE6B5D" w:rsidRDefault="001E2D68" w:rsidP="001E2D68">
            <w:pPr>
              <w:pStyle w:val="TableText0"/>
              <w:rPr>
                <w:b/>
                <w:szCs w:val="20"/>
              </w:rPr>
            </w:pPr>
            <w:r w:rsidRPr="00AE6B5D">
              <w:rPr>
                <w:b/>
                <w:szCs w:val="20"/>
              </w:rPr>
              <w:t>Plac</w:t>
            </w:r>
            <w:r w:rsidR="00101C1A" w:rsidRPr="00AE6B5D">
              <w:rPr>
                <w:b/>
                <w:szCs w:val="20"/>
              </w:rPr>
              <w:t>.</w:t>
            </w:r>
          </w:p>
        </w:tc>
        <w:tc>
          <w:tcPr>
            <w:tcW w:w="748" w:type="pct"/>
            <w:vAlign w:val="center"/>
          </w:tcPr>
          <w:p w14:paraId="09A8CDD6" w14:textId="6B735817" w:rsidR="001E2D68" w:rsidRPr="00AE6B5D" w:rsidRDefault="001E2D68" w:rsidP="00101C1A">
            <w:pPr>
              <w:pStyle w:val="TableText0"/>
              <w:jc w:val="center"/>
              <w:rPr>
                <w:szCs w:val="20"/>
              </w:rPr>
            </w:pPr>
            <w:r w:rsidRPr="00AE6B5D">
              <w:rPr>
                <w:szCs w:val="20"/>
              </w:rPr>
              <w:t>0/17 (0</w:t>
            </w:r>
            <w:r w:rsidR="000F75E7" w:rsidRPr="00AE6B5D">
              <w:rPr>
                <w:szCs w:val="20"/>
              </w:rPr>
              <w:t>.0</w:t>
            </w:r>
            <w:r w:rsidRPr="00AE6B5D">
              <w:rPr>
                <w:szCs w:val="20"/>
              </w:rPr>
              <w:t>%)</w:t>
            </w:r>
          </w:p>
        </w:tc>
        <w:tc>
          <w:tcPr>
            <w:tcW w:w="749" w:type="pct"/>
            <w:vAlign w:val="center"/>
          </w:tcPr>
          <w:p w14:paraId="2BED5273" w14:textId="2452D47E" w:rsidR="001E2D68" w:rsidRPr="00AE6B5D" w:rsidRDefault="001E2D68" w:rsidP="00101C1A">
            <w:pPr>
              <w:pStyle w:val="TableText0"/>
              <w:jc w:val="center"/>
              <w:rPr>
                <w:szCs w:val="20"/>
              </w:rPr>
            </w:pPr>
            <w:r w:rsidRPr="00AE6B5D">
              <w:rPr>
                <w:szCs w:val="20"/>
              </w:rPr>
              <w:t>0/7 (0</w:t>
            </w:r>
            <w:r w:rsidR="000F75E7" w:rsidRPr="00AE6B5D">
              <w:rPr>
                <w:szCs w:val="20"/>
              </w:rPr>
              <w:t>.00</w:t>
            </w:r>
            <w:r w:rsidRPr="00AE6B5D">
              <w:rPr>
                <w:szCs w:val="20"/>
              </w:rPr>
              <w:t>%)</w:t>
            </w:r>
          </w:p>
        </w:tc>
        <w:tc>
          <w:tcPr>
            <w:tcW w:w="763" w:type="pct"/>
            <w:vAlign w:val="center"/>
          </w:tcPr>
          <w:p w14:paraId="4A80D919" w14:textId="6A8A8E46" w:rsidR="001E2D68" w:rsidRPr="00AE6B5D" w:rsidRDefault="001E2D68" w:rsidP="00101C1A">
            <w:pPr>
              <w:pStyle w:val="TableText0"/>
              <w:jc w:val="center"/>
              <w:rPr>
                <w:szCs w:val="20"/>
              </w:rPr>
            </w:pPr>
            <w:r w:rsidRPr="00AE6B5D">
              <w:rPr>
                <w:szCs w:val="20"/>
              </w:rPr>
              <w:t>0/17 (0</w:t>
            </w:r>
            <w:r w:rsidR="000F75E7" w:rsidRPr="00AE6B5D">
              <w:rPr>
                <w:szCs w:val="20"/>
              </w:rPr>
              <w:t>.00</w:t>
            </w:r>
            <w:r w:rsidRPr="00AE6B5D">
              <w:rPr>
                <w:szCs w:val="20"/>
              </w:rPr>
              <w:t>%)</w:t>
            </w:r>
          </w:p>
        </w:tc>
        <w:tc>
          <w:tcPr>
            <w:tcW w:w="749" w:type="pct"/>
            <w:vAlign w:val="center"/>
          </w:tcPr>
          <w:p w14:paraId="4C156D52" w14:textId="579367CC" w:rsidR="001E2D68" w:rsidRPr="00AE6B5D" w:rsidRDefault="001E2D68" w:rsidP="00101C1A">
            <w:pPr>
              <w:pStyle w:val="TableText0"/>
              <w:jc w:val="center"/>
              <w:rPr>
                <w:szCs w:val="20"/>
              </w:rPr>
            </w:pPr>
            <w:r w:rsidRPr="00AE6B5D">
              <w:rPr>
                <w:szCs w:val="20"/>
              </w:rPr>
              <w:t>2/17 (</w:t>
            </w:r>
            <w:r w:rsidR="000F75E7" w:rsidRPr="00AE6B5D">
              <w:rPr>
                <w:szCs w:val="20"/>
              </w:rPr>
              <w:t>11.8</w:t>
            </w:r>
            <w:r w:rsidRPr="00AE6B5D">
              <w:rPr>
                <w:szCs w:val="20"/>
              </w:rPr>
              <w:t>%)</w:t>
            </w:r>
          </w:p>
        </w:tc>
        <w:tc>
          <w:tcPr>
            <w:tcW w:w="749" w:type="pct"/>
            <w:vAlign w:val="center"/>
          </w:tcPr>
          <w:p w14:paraId="6D0FC970" w14:textId="4D01D048" w:rsidR="001E2D68" w:rsidRPr="004321EF" w:rsidRDefault="001E2D68" w:rsidP="00101C1A">
            <w:pPr>
              <w:pStyle w:val="TableText0"/>
              <w:jc w:val="center"/>
              <w:rPr>
                <w:szCs w:val="20"/>
              </w:rPr>
            </w:pPr>
            <w:r w:rsidRPr="004321EF">
              <w:rPr>
                <w:szCs w:val="20"/>
              </w:rPr>
              <w:t>1/17 (5.</w:t>
            </w:r>
            <w:r w:rsidR="00A8365F" w:rsidRPr="004321EF">
              <w:rPr>
                <w:szCs w:val="20"/>
              </w:rPr>
              <w:t>88</w:t>
            </w:r>
            <w:r w:rsidRPr="004321EF">
              <w:rPr>
                <w:szCs w:val="20"/>
              </w:rPr>
              <w:t>%)</w:t>
            </w:r>
          </w:p>
        </w:tc>
        <w:tc>
          <w:tcPr>
            <w:tcW w:w="797" w:type="pct"/>
            <w:vAlign w:val="center"/>
          </w:tcPr>
          <w:p w14:paraId="11AFC80C" w14:textId="77777777" w:rsidR="001E2D68" w:rsidRPr="00AE6B5D" w:rsidRDefault="001E2D68" w:rsidP="00101C1A">
            <w:pPr>
              <w:pStyle w:val="TableText0"/>
              <w:jc w:val="center"/>
              <w:rPr>
                <w:szCs w:val="20"/>
              </w:rPr>
            </w:pPr>
            <w:r w:rsidRPr="00AE6B5D">
              <w:rPr>
                <w:szCs w:val="20"/>
              </w:rPr>
              <w:t>0/17 (0%)</w:t>
            </w:r>
          </w:p>
        </w:tc>
      </w:tr>
      <w:tr w:rsidR="00E877AA" w:rsidRPr="00AE6B5D" w14:paraId="2ECC18A1" w14:textId="77777777" w:rsidTr="00FF5CBC">
        <w:trPr>
          <w:cantSplit/>
        </w:trPr>
        <w:tc>
          <w:tcPr>
            <w:tcW w:w="445" w:type="pct"/>
          </w:tcPr>
          <w:p w14:paraId="7B892549" w14:textId="77777777" w:rsidR="001E2D68" w:rsidRPr="00AE6B5D" w:rsidRDefault="001E2D68" w:rsidP="001E2D68">
            <w:pPr>
              <w:pStyle w:val="TableText0"/>
              <w:rPr>
                <w:b/>
                <w:szCs w:val="20"/>
              </w:rPr>
            </w:pPr>
            <w:r w:rsidRPr="00AE6B5D">
              <w:rPr>
                <w:b/>
                <w:szCs w:val="20"/>
              </w:rPr>
              <w:t>RR</w:t>
            </w:r>
          </w:p>
        </w:tc>
        <w:tc>
          <w:tcPr>
            <w:tcW w:w="748" w:type="pct"/>
            <w:vAlign w:val="center"/>
          </w:tcPr>
          <w:p w14:paraId="1135F9DB" w14:textId="77777777" w:rsidR="00371ACF" w:rsidRDefault="001E2D68" w:rsidP="00101C1A">
            <w:pPr>
              <w:pStyle w:val="TableText0"/>
              <w:jc w:val="center"/>
              <w:rPr>
                <w:szCs w:val="20"/>
              </w:rPr>
            </w:pPr>
            <w:r w:rsidRPr="00AE6B5D">
              <w:rPr>
                <w:szCs w:val="20"/>
              </w:rPr>
              <w:t xml:space="preserve">12.6 </w:t>
            </w:r>
          </w:p>
          <w:p w14:paraId="57685B21" w14:textId="49385587" w:rsidR="001E2D68" w:rsidRPr="00AE6B5D" w:rsidRDefault="001E2D68" w:rsidP="00101C1A">
            <w:pPr>
              <w:pStyle w:val="TableText0"/>
              <w:jc w:val="center"/>
              <w:rPr>
                <w:szCs w:val="20"/>
              </w:rPr>
            </w:pPr>
            <w:r w:rsidRPr="00AE6B5D">
              <w:rPr>
                <w:szCs w:val="20"/>
              </w:rPr>
              <w:t>(0.</w:t>
            </w:r>
            <w:r w:rsidR="000F75E7" w:rsidRPr="00AE6B5D">
              <w:rPr>
                <w:szCs w:val="20"/>
              </w:rPr>
              <w:t>78</w:t>
            </w:r>
            <w:r w:rsidRPr="00AE6B5D">
              <w:rPr>
                <w:szCs w:val="20"/>
              </w:rPr>
              <w:t>, 200.7</w:t>
            </w:r>
            <w:r w:rsidR="000F75E7" w:rsidRPr="00AE6B5D">
              <w:rPr>
                <w:szCs w:val="20"/>
              </w:rPr>
              <w:t>2</w:t>
            </w:r>
            <w:r w:rsidRPr="00AE6B5D">
              <w:rPr>
                <w:szCs w:val="20"/>
              </w:rPr>
              <w:t>)</w:t>
            </w:r>
          </w:p>
        </w:tc>
        <w:tc>
          <w:tcPr>
            <w:tcW w:w="749" w:type="pct"/>
            <w:vAlign w:val="center"/>
          </w:tcPr>
          <w:p w14:paraId="61EC6186" w14:textId="77777777" w:rsidR="00371ACF" w:rsidRDefault="001E2D68" w:rsidP="00101C1A">
            <w:pPr>
              <w:pStyle w:val="TableText0"/>
              <w:jc w:val="center"/>
              <w:rPr>
                <w:szCs w:val="20"/>
              </w:rPr>
            </w:pPr>
            <w:r w:rsidRPr="00AE6B5D">
              <w:rPr>
                <w:szCs w:val="20"/>
              </w:rPr>
              <w:t xml:space="preserve">5.6 </w:t>
            </w:r>
          </w:p>
          <w:p w14:paraId="597CD355" w14:textId="5EBF09EB" w:rsidR="001E2D68" w:rsidRPr="00AE6B5D" w:rsidRDefault="001E2D68" w:rsidP="00101C1A">
            <w:pPr>
              <w:pStyle w:val="TableText0"/>
              <w:jc w:val="center"/>
              <w:rPr>
                <w:szCs w:val="20"/>
              </w:rPr>
            </w:pPr>
            <w:r w:rsidRPr="00AE6B5D">
              <w:rPr>
                <w:szCs w:val="20"/>
              </w:rPr>
              <w:t>(0.35, 87.</w:t>
            </w:r>
            <w:r w:rsidR="000F75E7" w:rsidRPr="00AE6B5D">
              <w:rPr>
                <w:szCs w:val="20"/>
              </w:rPr>
              <w:t>59</w:t>
            </w:r>
            <w:r w:rsidRPr="00AE6B5D">
              <w:rPr>
                <w:szCs w:val="20"/>
              </w:rPr>
              <w:t>)</w:t>
            </w:r>
          </w:p>
        </w:tc>
        <w:tc>
          <w:tcPr>
            <w:tcW w:w="763" w:type="pct"/>
            <w:vAlign w:val="center"/>
          </w:tcPr>
          <w:p w14:paraId="1FDC90C4" w14:textId="77777777" w:rsidR="00371ACF" w:rsidRDefault="001E2D68" w:rsidP="00101C1A">
            <w:pPr>
              <w:pStyle w:val="TableText0"/>
              <w:jc w:val="center"/>
              <w:rPr>
                <w:szCs w:val="20"/>
              </w:rPr>
            </w:pPr>
            <w:r w:rsidRPr="00AE6B5D">
              <w:rPr>
                <w:szCs w:val="20"/>
              </w:rPr>
              <w:t xml:space="preserve">3.82 </w:t>
            </w:r>
          </w:p>
          <w:p w14:paraId="24C4559F" w14:textId="446633C3" w:rsidR="001E2D68" w:rsidRPr="00AE6B5D" w:rsidRDefault="001E2D68" w:rsidP="00101C1A">
            <w:pPr>
              <w:pStyle w:val="TableText0"/>
              <w:jc w:val="center"/>
              <w:rPr>
                <w:szCs w:val="20"/>
              </w:rPr>
            </w:pPr>
            <w:r w:rsidRPr="00AE6B5D">
              <w:rPr>
                <w:szCs w:val="20"/>
              </w:rPr>
              <w:t>(0.21, 69.</w:t>
            </w:r>
            <w:r w:rsidR="00A8365F" w:rsidRPr="00AE6B5D">
              <w:rPr>
                <w:szCs w:val="20"/>
              </w:rPr>
              <w:t>88</w:t>
            </w:r>
            <w:r w:rsidRPr="00AE6B5D">
              <w:rPr>
                <w:szCs w:val="20"/>
              </w:rPr>
              <w:t>)</w:t>
            </w:r>
          </w:p>
        </w:tc>
        <w:tc>
          <w:tcPr>
            <w:tcW w:w="749" w:type="pct"/>
            <w:vAlign w:val="center"/>
          </w:tcPr>
          <w:p w14:paraId="03957382" w14:textId="77777777" w:rsidR="00371ACF" w:rsidRDefault="001E2D68" w:rsidP="00101C1A">
            <w:pPr>
              <w:pStyle w:val="TableText0"/>
              <w:jc w:val="center"/>
              <w:rPr>
                <w:szCs w:val="20"/>
              </w:rPr>
            </w:pPr>
            <w:r w:rsidRPr="00AE6B5D">
              <w:rPr>
                <w:szCs w:val="20"/>
              </w:rPr>
              <w:t xml:space="preserve">1.86 </w:t>
            </w:r>
          </w:p>
          <w:p w14:paraId="1B158443" w14:textId="6BAA6945" w:rsidR="001E2D68" w:rsidRPr="00AE6B5D" w:rsidRDefault="001E2D68" w:rsidP="00101C1A">
            <w:pPr>
              <w:pStyle w:val="TableText0"/>
              <w:jc w:val="center"/>
              <w:rPr>
                <w:szCs w:val="20"/>
              </w:rPr>
            </w:pPr>
            <w:r w:rsidRPr="00AE6B5D">
              <w:rPr>
                <w:szCs w:val="20"/>
              </w:rPr>
              <w:t xml:space="preserve">(0.43, </w:t>
            </w:r>
            <w:r w:rsidR="004073D6" w:rsidRPr="00AE6B5D">
              <w:rPr>
                <w:szCs w:val="20"/>
              </w:rPr>
              <w:t>7</w:t>
            </w:r>
            <w:r w:rsidRPr="00AE6B5D">
              <w:rPr>
                <w:szCs w:val="20"/>
              </w:rPr>
              <w:t>.</w:t>
            </w:r>
            <w:r w:rsidR="004073D6" w:rsidRPr="00AE6B5D">
              <w:rPr>
                <w:szCs w:val="20"/>
              </w:rPr>
              <w:t>98</w:t>
            </w:r>
            <w:r w:rsidRPr="00AE6B5D">
              <w:rPr>
                <w:szCs w:val="20"/>
              </w:rPr>
              <w:t>)</w:t>
            </w:r>
          </w:p>
        </w:tc>
        <w:tc>
          <w:tcPr>
            <w:tcW w:w="749" w:type="pct"/>
            <w:vAlign w:val="center"/>
          </w:tcPr>
          <w:p w14:paraId="2D446A96" w14:textId="77777777" w:rsidR="00371ACF" w:rsidRDefault="001E2D68" w:rsidP="00101C1A">
            <w:pPr>
              <w:pStyle w:val="TableText0"/>
              <w:jc w:val="center"/>
              <w:rPr>
                <w:szCs w:val="20"/>
              </w:rPr>
            </w:pPr>
            <w:r w:rsidRPr="00AE6B5D">
              <w:rPr>
                <w:szCs w:val="20"/>
              </w:rPr>
              <w:t xml:space="preserve">7.1 </w:t>
            </w:r>
          </w:p>
          <w:p w14:paraId="237FCD77" w14:textId="177CE406" w:rsidR="001E2D68" w:rsidRPr="00AE6B5D" w:rsidRDefault="001E2D68" w:rsidP="00101C1A">
            <w:pPr>
              <w:pStyle w:val="TableText0"/>
              <w:jc w:val="center"/>
              <w:rPr>
                <w:szCs w:val="20"/>
              </w:rPr>
            </w:pPr>
            <w:r w:rsidRPr="00AE6B5D">
              <w:rPr>
                <w:szCs w:val="20"/>
              </w:rPr>
              <w:t>(0.42, 118.8)</w:t>
            </w:r>
          </w:p>
        </w:tc>
        <w:tc>
          <w:tcPr>
            <w:tcW w:w="797" w:type="pct"/>
            <w:vAlign w:val="center"/>
          </w:tcPr>
          <w:p w14:paraId="5494B843" w14:textId="77777777" w:rsidR="00371ACF" w:rsidRDefault="001E2D68" w:rsidP="00101C1A">
            <w:pPr>
              <w:pStyle w:val="TableText0"/>
              <w:jc w:val="center"/>
              <w:rPr>
                <w:szCs w:val="20"/>
              </w:rPr>
            </w:pPr>
            <w:r w:rsidRPr="00AE6B5D">
              <w:rPr>
                <w:szCs w:val="20"/>
              </w:rPr>
              <w:t xml:space="preserve">3.82 </w:t>
            </w:r>
          </w:p>
          <w:p w14:paraId="78FA20E0" w14:textId="34B9BD02" w:rsidR="001E2D68" w:rsidRPr="00AE6B5D" w:rsidRDefault="001E2D68" w:rsidP="00101C1A">
            <w:pPr>
              <w:pStyle w:val="TableText0"/>
              <w:jc w:val="center"/>
              <w:rPr>
                <w:szCs w:val="20"/>
              </w:rPr>
            </w:pPr>
            <w:r w:rsidRPr="00AE6B5D">
              <w:rPr>
                <w:szCs w:val="20"/>
              </w:rPr>
              <w:t>(0.21, 69.</w:t>
            </w:r>
            <w:r w:rsidR="00030DE3" w:rsidRPr="00AE6B5D">
              <w:rPr>
                <w:szCs w:val="20"/>
              </w:rPr>
              <w:t>88</w:t>
            </w:r>
            <w:r w:rsidRPr="00AE6B5D">
              <w:rPr>
                <w:szCs w:val="20"/>
              </w:rPr>
              <w:t>)</w:t>
            </w:r>
          </w:p>
        </w:tc>
      </w:tr>
      <w:tr w:rsidR="00E877AA" w:rsidRPr="00AE6B5D" w14:paraId="340741AC" w14:textId="77777777" w:rsidTr="00FF5CBC">
        <w:trPr>
          <w:cantSplit/>
        </w:trPr>
        <w:tc>
          <w:tcPr>
            <w:tcW w:w="445" w:type="pct"/>
          </w:tcPr>
          <w:p w14:paraId="66D997A7" w14:textId="77777777" w:rsidR="001E2D68" w:rsidRPr="00AE6B5D" w:rsidRDefault="001E2D68" w:rsidP="001E2D68">
            <w:pPr>
              <w:pStyle w:val="TableText0"/>
              <w:rPr>
                <w:b/>
                <w:szCs w:val="20"/>
              </w:rPr>
            </w:pPr>
            <w:r w:rsidRPr="00AE6B5D">
              <w:rPr>
                <w:b/>
                <w:szCs w:val="20"/>
              </w:rPr>
              <w:t>RD</w:t>
            </w:r>
          </w:p>
        </w:tc>
        <w:tc>
          <w:tcPr>
            <w:tcW w:w="748" w:type="pct"/>
            <w:vAlign w:val="center"/>
          </w:tcPr>
          <w:p w14:paraId="3015D83A" w14:textId="77777777" w:rsidR="00371ACF" w:rsidRDefault="001E2D68" w:rsidP="00101C1A">
            <w:pPr>
              <w:pStyle w:val="TableText0"/>
              <w:jc w:val="center"/>
              <w:rPr>
                <w:b/>
                <w:szCs w:val="20"/>
              </w:rPr>
            </w:pPr>
            <w:r w:rsidRPr="00AE6B5D">
              <w:rPr>
                <w:b/>
                <w:szCs w:val="20"/>
              </w:rPr>
              <w:t xml:space="preserve">0.34 </w:t>
            </w:r>
          </w:p>
          <w:p w14:paraId="449BC03A" w14:textId="3F11FCA3" w:rsidR="001E2D68" w:rsidRPr="00AE6B5D" w:rsidRDefault="001E2D68" w:rsidP="00101C1A">
            <w:pPr>
              <w:pStyle w:val="TableText0"/>
              <w:jc w:val="center"/>
              <w:rPr>
                <w:b/>
                <w:szCs w:val="20"/>
              </w:rPr>
            </w:pPr>
            <w:r w:rsidRPr="00AE6B5D">
              <w:rPr>
                <w:b/>
                <w:szCs w:val="20"/>
              </w:rPr>
              <w:t>(0.16, 0.52)</w:t>
            </w:r>
          </w:p>
        </w:tc>
        <w:tc>
          <w:tcPr>
            <w:tcW w:w="749" w:type="pct"/>
            <w:vAlign w:val="center"/>
          </w:tcPr>
          <w:p w14:paraId="1469EF67" w14:textId="77777777" w:rsidR="00371ACF" w:rsidRDefault="001E2D68" w:rsidP="00101C1A">
            <w:pPr>
              <w:pStyle w:val="TableText0"/>
              <w:jc w:val="center"/>
              <w:rPr>
                <w:b/>
                <w:szCs w:val="20"/>
              </w:rPr>
            </w:pPr>
            <w:r w:rsidRPr="00AE6B5D">
              <w:rPr>
                <w:b/>
                <w:szCs w:val="20"/>
              </w:rPr>
              <w:t xml:space="preserve">0.33 </w:t>
            </w:r>
          </w:p>
          <w:p w14:paraId="262A53C1" w14:textId="26FB5EA0" w:rsidR="001E2D68" w:rsidRPr="00AE6B5D" w:rsidRDefault="001E2D68" w:rsidP="00101C1A">
            <w:pPr>
              <w:pStyle w:val="TableText0"/>
              <w:jc w:val="center"/>
              <w:rPr>
                <w:b/>
                <w:szCs w:val="20"/>
              </w:rPr>
            </w:pPr>
            <w:r w:rsidRPr="00AE6B5D">
              <w:rPr>
                <w:b/>
                <w:szCs w:val="20"/>
              </w:rPr>
              <w:t>(0.05, 0.62)</w:t>
            </w:r>
          </w:p>
        </w:tc>
        <w:tc>
          <w:tcPr>
            <w:tcW w:w="763" w:type="pct"/>
            <w:vAlign w:val="center"/>
          </w:tcPr>
          <w:p w14:paraId="4E517B7E" w14:textId="77777777" w:rsidR="00371ACF" w:rsidRDefault="001E2D68" w:rsidP="00101C1A">
            <w:pPr>
              <w:pStyle w:val="TableText0"/>
              <w:jc w:val="center"/>
              <w:rPr>
                <w:szCs w:val="20"/>
              </w:rPr>
            </w:pPr>
            <w:r w:rsidRPr="00AE6B5D">
              <w:rPr>
                <w:szCs w:val="20"/>
              </w:rPr>
              <w:t xml:space="preserve">0.09 </w:t>
            </w:r>
          </w:p>
          <w:p w14:paraId="40DBCF0E" w14:textId="07A7E038" w:rsidR="001E2D68" w:rsidRPr="00AE6B5D" w:rsidRDefault="001E2D68" w:rsidP="00101C1A">
            <w:pPr>
              <w:pStyle w:val="TableText0"/>
              <w:jc w:val="center"/>
              <w:rPr>
                <w:szCs w:val="20"/>
              </w:rPr>
            </w:pPr>
            <w:r w:rsidRPr="00AE6B5D">
              <w:rPr>
                <w:szCs w:val="20"/>
              </w:rPr>
              <w:t>(-0.04, 0.22)</w:t>
            </w:r>
          </w:p>
        </w:tc>
        <w:tc>
          <w:tcPr>
            <w:tcW w:w="749" w:type="pct"/>
            <w:vAlign w:val="center"/>
          </w:tcPr>
          <w:p w14:paraId="3320AD5F" w14:textId="77777777" w:rsidR="00371ACF" w:rsidRDefault="001E2D68" w:rsidP="00101C1A">
            <w:pPr>
              <w:pStyle w:val="TableText0"/>
              <w:jc w:val="center"/>
              <w:rPr>
                <w:szCs w:val="20"/>
              </w:rPr>
            </w:pPr>
            <w:r w:rsidRPr="00AE6B5D">
              <w:rPr>
                <w:szCs w:val="20"/>
              </w:rPr>
              <w:t xml:space="preserve">0.10 </w:t>
            </w:r>
          </w:p>
          <w:p w14:paraId="4BA331EA" w14:textId="64E15257" w:rsidR="001E2D68" w:rsidRPr="00AE6B5D" w:rsidRDefault="001E2D68" w:rsidP="00101C1A">
            <w:pPr>
              <w:pStyle w:val="TableText0"/>
              <w:jc w:val="center"/>
              <w:rPr>
                <w:szCs w:val="20"/>
              </w:rPr>
            </w:pPr>
            <w:r w:rsidRPr="00AE6B5D">
              <w:rPr>
                <w:szCs w:val="20"/>
              </w:rPr>
              <w:t>(-0.1, 0.31)</w:t>
            </w:r>
          </w:p>
        </w:tc>
        <w:tc>
          <w:tcPr>
            <w:tcW w:w="749" w:type="pct"/>
            <w:vAlign w:val="center"/>
          </w:tcPr>
          <w:p w14:paraId="528F7751" w14:textId="77777777" w:rsidR="00371ACF" w:rsidRDefault="001E2D68" w:rsidP="00101C1A">
            <w:pPr>
              <w:pStyle w:val="TableText0"/>
              <w:jc w:val="center"/>
              <w:rPr>
                <w:b/>
                <w:szCs w:val="20"/>
              </w:rPr>
            </w:pPr>
            <w:r w:rsidRPr="00AE6B5D">
              <w:rPr>
                <w:b/>
                <w:szCs w:val="20"/>
              </w:rPr>
              <w:t xml:space="preserve">0.19 </w:t>
            </w:r>
          </w:p>
          <w:p w14:paraId="4EBEB214" w14:textId="1E0C2260" w:rsidR="001E2D68" w:rsidRPr="00AE6B5D" w:rsidRDefault="001E2D68" w:rsidP="00101C1A">
            <w:pPr>
              <w:pStyle w:val="TableText0"/>
              <w:jc w:val="center"/>
              <w:rPr>
                <w:b/>
                <w:szCs w:val="20"/>
              </w:rPr>
            </w:pPr>
            <w:r w:rsidRPr="00AE6B5D">
              <w:rPr>
                <w:b/>
                <w:szCs w:val="20"/>
              </w:rPr>
              <w:t>(0.03, 0.34</w:t>
            </w:r>
            <w:r w:rsidR="00092AA3">
              <w:rPr>
                <w:b/>
                <w:szCs w:val="20"/>
              </w:rPr>
              <w:t>)</w:t>
            </w:r>
          </w:p>
        </w:tc>
        <w:tc>
          <w:tcPr>
            <w:tcW w:w="797" w:type="pct"/>
            <w:vAlign w:val="center"/>
          </w:tcPr>
          <w:p w14:paraId="568DEEB9" w14:textId="77777777" w:rsidR="00371ACF" w:rsidRDefault="001E2D68" w:rsidP="00101C1A">
            <w:pPr>
              <w:pStyle w:val="TableText0"/>
              <w:jc w:val="center"/>
              <w:rPr>
                <w:szCs w:val="20"/>
              </w:rPr>
            </w:pPr>
            <w:r w:rsidRPr="00AE6B5D">
              <w:rPr>
                <w:szCs w:val="20"/>
              </w:rPr>
              <w:t xml:space="preserve">0.09 </w:t>
            </w:r>
          </w:p>
          <w:p w14:paraId="04C27B77" w14:textId="686DC791" w:rsidR="001E2D68" w:rsidRPr="00AE6B5D" w:rsidRDefault="001E2D68" w:rsidP="00101C1A">
            <w:pPr>
              <w:pStyle w:val="TableText0"/>
              <w:jc w:val="center"/>
              <w:rPr>
                <w:szCs w:val="20"/>
              </w:rPr>
            </w:pPr>
            <w:r w:rsidRPr="00AE6B5D">
              <w:rPr>
                <w:szCs w:val="20"/>
              </w:rPr>
              <w:t>(-0.04, 0.22)</w:t>
            </w:r>
          </w:p>
        </w:tc>
      </w:tr>
      <w:tr w:rsidR="00E877AA" w:rsidRPr="00AE6B5D" w14:paraId="673FEE71" w14:textId="77777777" w:rsidTr="00FF5CBC">
        <w:trPr>
          <w:cantSplit/>
        </w:trPr>
        <w:tc>
          <w:tcPr>
            <w:tcW w:w="5000" w:type="pct"/>
            <w:gridSpan w:val="7"/>
            <w:vAlign w:val="center"/>
          </w:tcPr>
          <w:p w14:paraId="156F3B3A" w14:textId="00145B7D" w:rsidR="001E2D68" w:rsidRPr="00AE6B5D" w:rsidRDefault="001E2D68" w:rsidP="001E2D68">
            <w:pPr>
              <w:pStyle w:val="TableText0"/>
              <w:rPr>
                <w:b/>
                <w:szCs w:val="20"/>
              </w:rPr>
            </w:pPr>
            <w:r w:rsidRPr="00AE6B5D">
              <w:rPr>
                <w:b/>
                <w:szCs w:val="20"/>
              </w:rPr>
              <w:t xml:space="preserve">Romiplostim vs </w:t>
            </w:r>
            <w:r w:rsidR="00701739" w:rsidRPr="00AE6B5D">
              <w:rPr>
                <w:b/>
                <w:szCs w:val="20"/>
              </w:rPr>
              <w:t>p</w:t>
            </w:r>
            <w:r w:rsidRPr="00AE6B5D">
              <w:rPr>
                <w:b/>
                <w:szCs w:val="20"/>
              </w:rPr>
              <w:t>lacebo</w:t>
            </w:r>
            <w:r w:rsidR="001222AE" w:rsidRPr="00AE6B5D">
              <w:rPr>
                <w:b/>
                <w:szCs w:val="20"/>
              </w:rPr>
              <w:t xml:space="preserve"> (Kuter 2008)</w:t>
            </w:r>
            <w:r w:rsidR="0060172F" w:rsidRPr="00AE6B5D">
              <w:rPr>
                <w:b/>
                <w:szCs w:val="20"/>
              </w:rPr>
              <w:t>: RR or RD (95% CI)</w:t>
            </w:r>
          </w:p>
        </w:tc>
      </w:tr>
      <w:tr w:rsidR="00E877AA" w:rsidRPr="00AE6B5D" w14:paraId="73C68434" w14:textId="77777777" w:rsidTr="00FF5CBC">
        <w:trPr>
          <w:cantSplit/>
        </w:trPr>
        <w:tc>
          <w:tcPr>
            <w:tcW w:w="445" w:type="pct"/>
            <w:vAlign w:val="center"/>
          </w:tcPr>
          <w:p w14:paraId="441A3621" w14:textId="05144C55" w:rsidR="001E2D68" w:rsidRPr="00AE6B5D" w:rsidRDefault="001E2D68" w:rsidP="001E2D68">
            <w:pPr>
              <w:pStyle w:val="TableText0"/>
              <w:rPr>
                <w:b/>
                <w:szCs w:val="20"/>
              </w:rPr>
            </w:pPr>
            <w:r w:rsidRPr="00AE6B5D">
              <w:rPr>
                <w:b/>
                <w:szCs w:val="20"/>
              </w:rPr>
              <w:t>Romi</w:t>
            </w:r>
            <w:r w:rsidR="00101C1A" w:rsidRPr="00AE6B5D">
              <w:rPr>
                <w:b/>
                <w:szCs w:val="20"/>
              </w:rPr>
              <w:t>.</w:t>
            </w:r>
          </w:p>
        </w:tc>
        <w:tc>
          <w:tcPr>
            <w:tcW w:w="748" w:type="pct"/>
            <w:vAlign w:val="center"/>
          </w:tcPr>
          <w:p w14:paraId="3C9B5D77" w14:textId="23AB0A1F" w:rsidR="001E2D68" w:rsidRPr="00AE6B5D" w:rsidRDefault="001E2D68" w:rsidP="00101C1A">
            <w:pPr>
              <w:pStyle w:val="TableText0"/>
              <w:jc w:val="center"/>
              <w:rPr>
                <w:szCs w:val="20"/>
              </w:rPr>
            </w:pPr>
            <w:r w:rsidRPr="00AE6B5D">
              <w:rPr>
                <w:szCs w:val="20"/>
              </w:rPr>
              <w:t>41/83 (49</w:t>
            </w:r>
            <w:r w:rsidR="0008423A" w:rsidRPr="00AE6B5D">
              <w:rPr>
                <w:szCs w:val="20"/>
              </w:rPr>
              <w:t>.40</w:t>
            </w:r>
            <w:r w:rsidRPr="00AE6B5D">
              <w:rPr>
                <w:szCs w:val="20"/>
              </w:rPr>
              <w:t>%)</w:t>
            </w:r>
          </w:p>
        </w:tc>
        <w:tc>
          <w:tcPr>
            <w:tcW w:w="749" w:type="pct"/>
            <w:vAlign w:val="center"/>
          </w:tcPr>
          <w:p w14:paraId="2F5D7107" w14:textId="2936AEA0" w:rsidR="001E2D68" w:rsidRPr="00AE6B5D" w:rsidRDefault="001E2D68" w:rsidP="00101C1A">
            <w:pPr>
              <w:pStyle w:val="TableText0"/>
              <w:jc w:val="center"/>
              <w:rPr>
                <w:szCs w:val="20"/>
              </w:rPr>
            </w:pPr>
            <w:r w:rsidRPr="00AE6B5D">
              <w:rPr>
                <w:szCs w:val="20"/>
              </w:rPr>
              <w:t>20/23 (8</w:t>
            </w:r>
            <w:r w:rsidR="004073D6" w:rsidRPr="00AE6B5D">
              <w:rPr>
                <w:szCs w:val="20"/>
              </w:rPr>
              <w:t>6.96</w:t>
            </w:r>
            <w:r w:rsidRPr="00AE6B5D">
              <w:rPr>
                <w:szCs w:val="20"/>
              </w:rPr>
              <w:t>%)</w:t>
            </w:r>
          </w:p>
        </w:tc>
        <w:tc>
          <w:tcPr>
            <w:tcW w:w="763" w:type="pct"/>
            <w:vAlign w:val="center"/>
          </w:tcPr>
          <w:p w14:paraId="2EC5E85E" w14:textId="71E12CD7" w:rsidR="001E2D68" w:rsidRPr="00AE6B5D" w:rsidRDefault="001E2D68" w:rsidP="00101C1A">
            <w:pPr>
              <w:pStyle w:val="TableText0"/>
              <w:jc w:val="center"/>
              <w:rPr>
                <w:szCs w:val="20"/>
              </w:rPr>
            </w:pPr>
            <w:r w:rsidRPr="00AE6B5D">
              <w:rPr>
                <w:szCs w:val="20"/>
              </w:rPr>
              <w:t>6/84 (7</w:t>
            </w:r>
            <w:r w:rsidR="00A8365F" w:rsidRPr="00AE6B5D">
              <w:rPr>
                <w:szCs w:val="20"/>
              </w:rPr>
              <w:t>.14</w:t>
            </w:r>
            <w:r w:rsidRPr="00AE6B5D">
              <w:rPr>
                <w:szCs w:val="20"/>
              </w:rPr>
              <w:t>%)</w:t>
            </w:r>
          </w:p>
        </w:tc>
        <w:tc>
          <w:tcPr>
            <w:tcW w:w="749" w:type="pct"/>
            <w:vAlign w:val="center"/>
          </w:tcPr>
          <w:p w14:paraId="79703B48" w14:textId="31D602C6" w:rsidR="001E2D68" w:rsidRPr="00AE6B5D" w:rsidRDefault="001E2D68" w:rsidP="00101C1A">
            <w:pPr>
              <w:pStyle w:val="TableText0"/>
              <w:jc w:val="center"/>
              <w:rPr>
                <w:szCs w:val="20"/>
              </w:rPr>
            </w:pPr>
            <w:r w:rsidRPr="00AE6B5D">
              <w:rPr>
                <w:szCs w:val="20"/>
              </w:rPr>
              <w:t>18/83 (2</w:t>
            </w:r>
            <w:r w:rsidR="004073D6" w:rsidRPr="00AE6B5D">
              <w:rPr>
                <w:szCs w:val="20"/>
              </w:rPr>
              <w:t>1.7</w:t>
            </w:r>
            <w:r w:rsidRPr="00AE6B5D">
              <w:rPr>
                <w:szCs w:val="20"/>
              </w:rPr>
              <w:t>%)</w:t>
            </w:r>
          </w:p>
        </w:tc>
        <w:tc>
          <w:tcPr>
            <w:tcW w:w="749" w:type="pct"/>
            <w:vAlign w:val="center"/>
          </w:tcPr>
          <w:p w14:paraId="619F30E4" w14:textId="7E56E67A" w:rsidR="001E2D68" w:rsidRPr="00AE6B5D" w:rsidRDefault="001E2D68" w:rsidP="00101C1A">
            <w:pPr>
              <w:pStyle w:val="TableText0"/>
              <w:jc w:val="center"/>
              <w:rPr>
                <w:szCs w:val="20"/>
              </w:rPr>
            </w:pPr>
            <w:r w:rsidRPr="00AE6B5D">
              <w:rPr>
                <w:szCs w:val="20"/>
              </w:rPr>
              <w:t>2/83 (2</w:t>
            </w:r>
            <w:r w:rsidR="004073D6" w:rsidRPr="00AE6B5D">
              <w:rPr>
                <w:szCs w:val="20"/>
              </w:rPr>
              <w:t>.4</w:t>
            </w:r>
            <w:r w:rsidRPr="00AE6B5D">
              <w:rPr>
                <w:szCs w:val="20"/>
              </w:rPr>
              <w:t>%)</w:t>
            </w:r>
          </w:p>
        </w:tc>
        <w:tc>
          <w:tcPr>
            <w:tcW w:w="797" w:type="pct"/>
            <w:vAlign w:val="center"/>
          </w:tcPr>
          <w:p w14:paraId="33237EDC" w14:textId="7A3526D0" w:rsidR="001E2D68" w:rsidRPr="00AE6B5D" w:rsidRDefault="001E2D68" w:rsidP="00101C1A">
            <w:pPr>
              <w:pStyle w:val="TableText0"/>
              <w:jc w:val="center"/>
              <w:rPr>
                <w:szCs w:val="20"/>
              </w:rPr>
            </w:pPr>
            <w:r w:rsidRPr="00AE6B5D">
              <w:rPr>
                <w:szCs w:val="20"/>
              </w:rPr>
              <w:t>3/83 (</w:t>
            </w:r>
            <w:r w:rsidR="004073D6" w:rsidRPr="00AE6B5D">
              <w:rPr>
                <w:szCs w:val="20"/>
              </w:rPr>
              <w:t>3.6</w:t>
            </w:r>
            <w:r w:rsidRPr="00AE6B5D">
              <w:rPr>
                <w:szCs w:val="20"/>
              </w:rPr>
              <w:t>%)</w:t>
            </w:r>
          </w:p>
        </w:tc>
      </w:tr>
      <w:tr w:rsidR="00E877AA" w:rsidRPr="00AE6B5D" w14:paraId="7CF3A9E1" w14:textId="77777777" w:rsidTr="00FF5CBC">
        <w:trPr>
          <w:cantSplit/>
        </w:trPr>
        <w:tc>
          <w:tcPr>
            <w:tcW w:w="445" w:type="pct"/>
            <w:vAlign w:val="center"/>
          </w:tcPr>
          <w:p w14:paraId="1C8CA55C" w14:textId="655945B7" w:rsidR="001E2D68" w:rsidRPr="00AE6B5D" w:rsidRDefault="001E2D68" w:rsidP="001E2D68">
            <w:pPr>
              <w:pStyle w:val="TableText0"/>
              <w:rPr>
                <w:b/>
                <w:szCs w:val="20"/>
              </w:rPr>
            </w:pPr>
            <w:r w:rsidRPr="00AE6B5D">
              <w:rPr>
                <w:b/>
                <w:szCs w:val="20"/>
              </w:rPr>
              <w:t>Plac</w:t>
            </w:r>
            <w:r w:rsidR="00AE6B5D" w:rsidRPr="00AE6B5D">
              <w:rPr>
                <w:b/>
                <w:szCs w:val="20"/>
              </w:rPr>
              <w:t>.</w:t>
            </w:r>
          </w:p>
        </w:tc>
        <w:tc>
          <w:tcPr>
            <w:tcW w:w="748" w:type="pct"/>
            <w:vAlign w:val="center"/>
          </w:tcPr>
          <w:p w14:paraId="5AB0807B" w14:textId="7E979D5F" w:rsidR="001E2D68" w:rsidRPr="00AE6B5D" w:rsidRDefault="001E2D68" w:rsidP="00101C1A">
            <w:pPr>
              <w:pStyle w:val="TableText0"/>
              <w:jc w:val="center"/>
              <w:rPr>
                <w:szCs w:val="20"/>
              </w:rPr>
            </w:pPr>
            <w:r w:rsidRPr="00AE6B5D">
              <w:rPr>
                <w:szCs w:val="20"/>
              </w:rPr>
              <w:t>1/42 (2</w:t>
            </w:r>
            <w:r w:rsidR="0008423A" w:rsidRPr="00AE6B5D">
              <w:rPr>
                <w:szCs w:val="20"/>
              </w:rPr>
              <w:t>.38</w:t>
            </w:r>
            <w:r w:rsidRPr="00AE6B5D">
              <w:rPr>
                <w:szCs w:val="20"/>
              </w:rPr>
              <w:t>%)</w:t>
            </w:r>
          </w:p>
        </w:tc>
        <w:tc>
          <w:tcPr>
            <w:tcW w:w="749" w:type="pct"/>
            <w:vAlign w:val="center"/>
          </w:tcPr>
          <w:p w14:paraId="403DC227" w14:textId="641F054D" w:rsidR="001E2D68" w:rsidRPr="00AE6B5D" w:rsidRDefault="001E2D68" w:rsidP="00101C1A">
            <w:pPr>
              <w:pStyle w:val="TableText0"/>
              <w:jc w:val="center"/>
              <w:rPr>
                <w:szCs w:val="20"/>
              </w:rPr>
            </w:pPr>
            <w:r w:rsidRPr="00AE6B5D">
              <w:rPr>
                <w:szCs w:val="20"/>
              </w:rPr>
              <w:t>6/16 (3</w:t>
            </w:r>
            <w:r w:rsidR="004073D6" w:rsidRPr="00AE6B5D">
              <w:rPr>
                <w:szCs w:val="20"/>
              </w:rPr>
              <w:t>7.50</w:t>
            </w:r>
            <w:r w:rsidRPr="00AE6B5D">
              <w:rPr>
                <w:szCs w:val="20"/>
              </w:rPr>
              <w:t>%)</w:t>
            </w:r>
          </w:p>
        </w:tc>
        <w:tc>
          <w:tcPr>
            <w:tcW w:w="763" w:type="pct"/>
            <w:vAlign w:val="center"/>
          </w:tcPr>
          <w:p w14:paraId="1C4E3959" w14:textId="20DAFC3E" w:rsidR="001E2D68" w:rsidRPr="00AE6B5D" w:rsidRDefault="001E2D68" w:rsidP="00101C1A">
            <w:pPr>
              <w:pStyle w:val="TableText0"/>
              <w:jc w:val="center"/>
              <w:rPr>
                <w:szCs w:val="20"/>
              </w:rPr>
            </w:pPr>
            <w:r w:rsidRPr="00AE6B5D">
              <w:rPr>
                <w:szCs w:val="20"/>
              </w:rPr>
              <w:t>5/41 (12</w:t>
            </w:r>
            <w:r w:rsidR="00A8365F" w:rsidRPr="00AE6B5D">
              <w:rPr>
                <w:szCs w:val="20"/>
              </w:rPr>
              <w:t>.20</w:t>
            </w:r>
            <w:r w:rsidRPr="00AE6B5D">
              <w:rPr>
                <w:szCs w:val="20"/>
              </w:rPr>
              <w:t>%)</w:t>
            </w:r>
          </w:p>
        </w:tc>
        <w:tc>
          <w:tcPr>
            <w:tcW w:w="749" w:type="pct"/>
            <w:vAlign w:val="center"/>
          </w:tcPr>
          <w:p w14:paraId="7FFAC360" w14:textId="151B5209" w:rsidR="001E2D68" w:rsidRPr="00AE6B5D" w:rsidRDefault="001E2D68" w:rsidP="00101C1A">
            <w:pPr>
              <w:pStyle w:val="TableText0"/>
              <w:jc w:val="center"/>
              <w:rPr>
                <w:szCs w:val="20"/>
              </w:rPr>
            </w:pPr>
            <w:r w:rsidRPr="00AE6B5D">
              <w:rPr>
                <w:szCs w:val="20"/>
              </w:rPr>
              <w:t>25/42 (</w:t>
            </w:r>
            <w:r w:rsidR="004073D6" w:rsidRPr="00AE6B5D">
              <w:rPr>
                <w:szCs w:val="20"/>
              </w:rPr>
              <w:t>59.5</w:t>
            </w:r>
            <w:r w:rsidRPr="00AE6B5D">
              <w:rPr>
                <w:szCs w:val="20"/>
              </w:rPr>
              <w:t>%)</w:t>
            </w:r>
          </w:p>
        </w:tc>
        <w:tc>
          <w:tcPr>
            <w:tcW w:w="749" w:type="pct"/>
            <w:vAlign w:val="center"/>
          </w:tcPr>
          <w:p w14:paraId="522634FB" w14:textId="77777777" w:rsidR="001E2D68" w:rsidRPr="00AE6B5D" w:rsidRDefault="001E2D68" w:rsidP="00101C1A">
            <w:pPr>
              <w:pStyle w:val="TableText0"/>
              <w:jc w:val="center"/>
              <w:rPr>
                <w:szCs w:val="20"/>
              </w:rPr>
            </w:pPr>
            <w:r w:rsidRPr="00AE6B5D">
              <w:rPr>
                <w:szCs w:val="20"/>
              </w:rPr>
              <w:t>0/41 (0%)</w:t>
            </w:r>
          </w:p>
        </w:tc>
        <w:tc>
          <w:tcPr>
            <w:tcW w:w="797" w:type="pct"/>
            <w:vAlign w:val="center"/>
          </w:tcPr>
          <w:p w14:paraId="1ECB6BCF" w14:textId="59E8FF85" w:rsidR="001E2D68" w:rsidRPr="00AE6B5D" w:rsidRDefault="001E2D68" w:rsidP="00101C1A">
            <w:pPr>
              <w:pStyle w:val="TableText0"/>
              <w:jc w:val="center"/>
              <w:rPr>
                <w:szCs w:val="20"/>
              </w:rPr>
            </w:pPr>
            <w:r w:rsidRPr="00AE6B5D">
              <w:rPr>
                <w:szCs w:val="20"/>
              </w:rPr>
              <w:t>1/42 (2</w:t>
            </w:r>
            <w:r w:rsidR="004073D6" w:rsidRPr="00AE6B5D">
              <w:rPr>
                <w:szCs w:val="20"/>
              </w:rPr>
              <w:t>.4</w:t>
            </w:r>
            <w:r w:rsidRPr="00AE6B5D">
              <w:rPr>
                <w:szCs w:val="20"/>
              </w:rPr>
              <w:t>%)</w:t>
            </w:r>
          </w:p>
        </w:tc>
      </w:tr>
      <w:tr w:rsidR="00E877AA" w:rsidRPr="00AE6B5D" w14:paraId="549F0140" w14:textId="77777777" w:rsidTr="00FF5CBC">
        <w:trPr>
          <w:cantSplit/>
        </w:trPr>
        <w:tc>
          <w:tcPr>
            <w:tcW w:w="445" w:type="pct"/>
          </w:tcPr>
          <w:p w14:paraId="2AC91A18" w14:textId="77777777" w:rsidR="001E2D68" w:rsidRPr="00AE6B5D" w:rsidRDefault="001E2D68" w:rsidP="001E2D68">
            <w:pPr>
              <w:pStyle w:val="TableText0"/>
              <w:rPr>
                <w:b/>
                <w:szCs w:val="20"/>
              </w:rPr>
            </w:pPr>
            <w:r w:rsidRPr="00AE6B5D">
              <w:rPr>
                <w:b/>
                <w:szCs w:val="20"/>
              </w:rPr>
              <w:t>RR</w:t>
            </w:r>
          </w:p>
        </w:tc>
        <w:tc>
          <w:tcPr>
            <w:tcW w:w="748" w:type="pct"/>
            <w:vAlign w:val="center"/>
          </w:tcPr>
          <w:p w14:paraId="4440CC16" w14:textId="77777777" w:rsidR="00371ACF" w:rsidRDefault="001E2D68" w:rsidP="00101C1A">
            <w:pPr>
              <w:pStyle w:val="TableText0"/>
              <w:jc w:val="center"/>
              <w:rPr>
                <w:b/>
                <w:szCs w:val="20"/>
              </w:rPr>
            </w:pPr>
            <w:r w:rsidRPr="00AE6B5D">
              <w:rPr>
                <w:b/>
                <w:szCs w:val="20"/>
              </w:rPr>
              <w:t>20.</w:t>
            </w:r>
            <w:r w:rsidR="0008423A" w:rsidRPr="00AE6B5D">
              <w:rPr>
                <w:b/>
                <w:szCs w:val="20"/>
              </w:rPr>
              <w:t>75</w:t>
            </w:r>
            <w:r w:rsidRPr="00AE6B5D">
              <w:rPr>
                <w:b/>
                <w:szCs w:val="20"/>
              </w:rPr>
              <w:t xml:space="preserve"> </w:t>
            </w:r>
          </w:p>
          <w:p w14:paraId="7FFAE035" w14:textId="53B790F4" w:rsidR="001E2D68" w:rsidRPr="00AE6B5D" w:rsidRDefault="001E2D68" w:rsidP="00101C1A">
            <w:pPr>
              <w:pStyle w:val="TableText0"/>
              <w:jc w:val="center"/>
              <w:rPr>
                <w:b/>
                <w:szCs w:val="20"/>
              </w:rPr>
            </w:pPr>
            <w:r w:rsidRPr="00AE6B5D">
              <w:rPr>
                <w:b/>
                <w:szCs w:val="20"/>
              </w:rPr>
              <w:t>(</w:t>
            </w:r>
            <w:r w:rsidR="000F75E7" w:rsidRPr="00AE6B5D">
              <w:rPr>
                <w:b/>
                <w:szCs w:val="20"/>
              </w:rPr>
              <w:t>2.96</w:t>
            </w:r>
            <w:r w:rsidRPr="00AE6B5D">
              <w:rPr>
                <w:b/>
                <w:szCs w:val="20"/>
              </w:rPr>
              <w:t>, 145.6</w:t>
            </w:r>
            <w:r w:rsidR="000F75E7" w:rsidRPr="00AE6B5D">
              <w:rPr>
                <w:b/>
                <w:szCs w:val="20"/>
              </w:rPr>
              <w:t>3</w:t>
            </w:r>
            <w:r w:rsidRPr="00AE6B5D">
              <w:rPr>
                <w:b/>
                <w:szCs w:val="20"/>
              </w:rPr>
              <w:t>)</w:t>
            </w:r>
          </w:p>
        </w:tc>
        <w:tc>
          <w:tcPr>
            <w:tcW w:w="749" w:type="pct"/>
            <w:vAlign w:val="center"/>
          </w:tcPr>
          <w:p w14:paraId="79BBFAC0" w14:textId="77777777" w:rsidR="00371ACF" w:rsidRDefault="001E2D68" w:rsidP="00101C1A">
            <w:pPr>
              <w:pStyle w:val="TableText0"/>
              <w:jc w:val="center"/>
              <w:rPr>
                <w:b/>
                <w:szCs w:val="20"/>
              </w:rPr>
            </w:pPr>
            <w:r w:rsidRPr="00AE6B5D">
              <w:rPr>
                <w:b/>
                <w:szCs w:val="20"/>
              </w:rPr>
              <w:t>2.3</w:t>
            </w:r>
            <w:r w:rsidR="004073D6" w:rsidRPr="00AE6B5D">
              <w:rPr>
                <w:b/>
                <w:szCs w:val="20"/>
              </w:rPr>
              <w:t>2</w:t>
            </w:r>
            <w:r w:rsidRPr="00AE6B5D">
              <w:rPr>
                <w:b/>
                <w:szCs w:val="20"/>
              </w:rPr>
              <w:t xml:space="preserve"> </w:t>
            </w:r>
          </w:p>
          <w:p w14:paraId="56785B1F" w14:textId="04E253F8" w:rsidR="001E2D68" w:rsidRPr="00AE6B5D" w:rsidRDefault="001E2D68" w:rsidP="00101C1A">
            <w:pPr>
              <w:pStyle w:val="TableText0"/>
              <w:jc w:val="center"/>
              <w:rPr>
                <w:b/>
                <w:szCs w:val="20"/>
              </w:rPr>
            </w:pPr>
            <w:r w:rsidRPr="00AE6B5D">
              <w:rPr>
                <w:b/>
                <w:szCs w:val="20"/>
              </w:rPr>
              <w:t>(1.2</w:t>
            </w:r>
            <w:r w:rsidR="004073D6" w:rsidRPr="00AE6B5D">
              <w:rPr>
                <w:b/>
                <w:szCs w:val="20"/>
              </w:rPr>
              <w:t>1</w:t>
            </w:r>
            <w:r w:rsidRPr="00AE6B5D">
              <w:rPr>
                <w:b/>
                <w:szCs w:val="20"/>
              </w:rPr>
              <w:t>, 4.4</w:t>
            </w:r>
            <w:r w:rsidR="004073D6" w:rsidRPr="00AE6B5D">
              <w:rPr>
                <w:b/>
                <w:szCs w:val="20"/>
              </w:rPr>
              <w:t>5</w:t>
            </w:r>
            <w:r w:rsidRPr="00AE6B5D">
              <w:rPr>
                <w:b/>
                <w:szCs w:val="20"/>
              </w:rPr>
              <w:t>)</w:t>
            </w:r>
          </w:p>
        </w:tc>
        <w:tc>
          <w:tcPr>
            <w:tcW w:w="763" w:type="pct"/>
            <w:vAlign w:val="center"/>
          </w:tcPr>
          <w:p w14:paraId="0EB9BDE8" w14:textId="77777777" w:rsidR="00371ACF" w:rsidRDefault="001E2D68" w:rsidP="00101C1A">
            <w:pPr>
              <w:pStyle w:val="TableText0"/>
              <w:jc w:val="center"/>
              <w:rPr>
                <w:szCs w:val="20"/>
              </w:rPr>
            </w:pPr>
            <w:r w:rsidRPr="00AE6B5D">
              <w:rPr>
                <w:szCs w:val="20"/>
              </w:rPr>
              <w:t xml:space="preserve">0.59 </w:t>
            </w:r>
          </w:p>
          <w:p w14:paraId="624C967E" w14:textId="3B8F97A7" w:rsidR="001E2D68" w:rsidRPr="00AE6B5D" w:rsidRDefault="001E2D68" w:rsidP="00101C1A">
            <w:pPr>
              <w:pStyle w:val="TableText0"/>
              <w:jc w:val="center"/>
              <w:rPr>
                <w:szCs w:val="20"/>
              </w:rPr>
            </w:pPr>
            <w:r w:rsidRPr="00AE6B5D">
              <w:rPr>
                <w:szCs w:val="20"/>
              </w:rPr>
              <w:t>(0.19, 1.8</w:t>
            </w:r>
            <w:r w:rsidR="00A8365F" w:rsidRPr="00AE6B5D">
              <w:rPr>
                <w:szCs w:val="20"/>
              </w:rPr>
              <w:t>1</w:t>
            </w:r>
            <w:r w:rsidRPr="00AE6B5D">
              <w:rPr>
                <w:szCs w:val="20"/>
              </w:rPr>
              <w:t>)</w:t>
            </w:r>
          </w:p>
        </w:tc>
        <w:tc>
          <w:tcPr>
            <w:tcW w:w="749" w:type="pct"/>
            <w:vAlign w:val="center"/>
          </w:tcPr>
          <w:p w14:paraId="3DE2FC72" w14:textId="77777777" w:rsidR="00371ACF" w:rsidRDefault="001E2D68" w:rsidP="00101C1A">
            <w:pPr>
              <w:pStyle w:val="TableText0"/>
              <w:jc w:val="center"/>
              <w:rPr>
                <w:b/>
                <w:szCs w:val="20"/>
              </w:rPr>
            </w:pPr>
            <w:r w:rsidRPr="00AE6B5D">
              <w:rPr>
                <w:b/>
                <w:szCs w:val="20"/>
              </w:rPr>
              <w:t xml:space="preserve">0.36 </w:t>
            </w:r>
          </w:p>
          <w:p w14:paraId="2F363EA2" w14:textId="06B737C4" w:rsidR="001E2D68" w:rsidRPr="00AE6B5D" w:rsidRDefault="001E2D68" w:rsidP="00101C1A">
            <w:pPr>
              <w:pStyle w:val="TableText0"/>
              <w:jc w:val="center"/>
              <w:rPr>
                <w:b/>
                <w:szCs w:val="20"/>
              </w:rPr>
            </w:pPr>
            <w:r w:rsidRPr="00AE6B5D">
              <w:rPr>
                <w:b/>
                <w:szCs w:val="20"/>
              </w:rPr>
              <w:t>(0.23, 0.59)</w:t>
            </w:r>
          </w:p>
        </w:tc>
        <w:tc>
          <w:tcPr>
            <w:tcW w:w="749" w:type="pct"/>
            <w:vAlign w:val="center"/>
          </w:tcPr>
          <w:p w14:paraId="15C29DA4" w14:textId="77777777" w:rsidR="00371ACF" w:rsidRDefault="001E2D68" w:rsidP="00101C1A">
            <w:pPr>
              <w:pStyle w:val="TableText0"/>
              <w:jc w:val="center"/>
              <w:rPr>
                <w:szCs w:val="20"/>
              </w:rPr>
            </w:pPr>
            <w:r w:rsidRPr="00AE6B5D">
              <w:rPr>
                <w:szCs w:val="20"/>
              </w:rPr>
              <w:t xml:space="preserve">2.50 </w:t>
            </w:r>
          </w:p>
          <w:p w14:paraId="4F0DA50B" w14:textId="47FB7BA1" w:rsidR="001E2D68" w:rsidRPr="00AE6B5D" w:rsidRDefault="001E2D68" w:rsidP="00101C1A">
            <w:pPr>
              <w:pStyle w:val="TableText0"/>
              <w:jc w:val="center"/>
              <w:rPr>
                <w:szCs w:val="20"/>
              </w:rPr>
            </w:pPr>
            <w:r w:rsidRPr="00AE6B5D">
              <w:rPr>
                <w:szCs w:val="20"/>
              </w:rPr>
              <w:t>(0.12, 50.9</w:t>
            </w:r>
            <w:r w:rsidR="004073D6" w:rsidRPr="00AE6B5D">
              <w:rPr>
                <w:szCs w:val="20"/>
              </w:rPr>
              <w:t>1</w:t>
            </w:r>
            <w:r w:rsidRPr="00AE6B5D">
              <w:rPr>
                <w:szCs w:val="20"/>
              </w:rPr>
              <w:t>)</w:t>
            </w:r>
          </w:p>
        </w:tc>
        <w:tc>
          <w:tcPr>
            <w:tcW w:w="797" w:type="pct"/>
            <w:vAlign w:val="center"/>
          </w:tcPr>
          <w:p w14:paraId="598168D1" w14:textId="68D23691" w:rsidR="001E2D68" w:rsidRPr="00AE6B5D" w:rsidRDefault="004073D6" w:rsidP="00101C1A">
            <w:pPr>
              <w:pStyle w:val="TableText0"/>
              <w:jc w:val="center"/>
              <w:rPr>
                <w:szCs w:val="20"/>
              </w:rPr>
            </w:pPr>
            <w:r w:rsidRPr="00AE6B5D">
              <w:rPr>
                <w:szCs w:val="20"/>
              </w:rPr>
              <w:t>1.52 (0.16,14.15)</w:t>
            </w:r>
          </w:p>
        </w:tc>
      </w:tr>
      <w:tr w:rsidR="00E877AA" w:rsidRPr="00AE6B5D" w14:paraId="288B4948" w14:textId="77777777" w:rsidTr="00FF5CBC">
        <w:trPr>
          <w:cantSplit/>
        </w:trPr>
        <w:tc>
          <w:tcPr>
            <w:tcW w:w="445" w:type="pct"/>
          </w:tcPr>
          <w:p w14:paraId="72FFE098" w14:textId="77777777" w:rsidR="001E2D68" w:rsidRPr="00AE6B5D" w:rsidRDefault="001E2D68" w:rsidP="001E2D68">
            <w:pPr>
              <w:pStyle w:val="TableText0"/>
              <w:rPr>
                <w:b/>
                <w:szCs w:val="20"/>
              </w:rPr>
            </w:pPr>
            <w:r w:rsidRPr="00AE6B5D">
              <w:rPr>
                <w:b/>
                <w:szCs w:val="20"/>
              </w:rPr>
              <w:t>RD</w:t>
            </w:r>
          </w:p>
        </w:tc>
        <w:tc>
          <w:tcPr>
            <w:tcW w:w="748" w:type="pct"/>
            <w:vAlign w:val="center"/>
          </w:tcPr>
          <w:p w14:paraId="6971FCE2" w14:textId="77777777" w:rsidR="00371ACF" w:rsidRDefault="001E2D68" w:rsidP="00101C1A">
            <w:pPr>
              <w:pStyle w:val="TableText0"/>
              <w:jc w:val="center"/>
              <w:rPr>
                <w:b/>
                <w:szCs w:val="20"/>
              </w:rPr>
            </w:pPr>
            <w:r w:rsidRPr="00AE6B5D">
              <w:rPr>
                <w:b/>
                <w:szCs w:val="20"/>
              </w:rPr>
              <w:t xml:space="preserve">0.47 </w:t>
            </w:r>
          </w:p>
          <w:p w14:paraId="5D581A15" w14:textId="6626615C" w:rsidR="001E2D68" w:rsidRPr="00AE6B5D" w:rsidRDefault="001E2D68" w:rsidP="00101C1A">
            <w:pPr>
              <w:pStyle w:val="TableText0"/>
              <w:jc w:val="center"/>
              <w:rPr>
                <w:b/>
                <w:szCs w:val="20"/>
              </w:rPr>
            </w:pPr>
            <w:r w:rsidRPr="00AE6B5D">
              <w:rPr>
                <w:b/>
                <w:szCs w:val="20"/>
              </w:rPr>
              <w:t>(0.35, 0.59)</w:t>
            </w:r>
          </w:p>
        </w:tc>
        <w:tc>
          <w:tcPr>
            <w:tcW w:w="749" w:type="pct"/>
            <w:vAlign w:val="center"/>
          </w:tcPr>
          <w:p w14:paraId="60DE1AB6" w14:textId="77777777" w:rsidR="00371ACF" w:rsidRDefault="001E2D68" w:rsidP="00101C1A">
            <w:pPr>
              <w:pStyle w:val="TableText0"/>
              <w:jc w:val="center"/>
              <w:rPr>
                <w:b/>
                <w:szCs w:val="20"/>
              </w:rPr>
            </w:pPr>
            <w:r w:rsidRPr="00AE6B5D">
              <w:rPr>
                <w:b/>
                <w:szCs w:val="20"/>
              </w:rPr>
              <w:t xml:space="preserve">0.49 </w:t>
            </w:r>
          </w:p>
          <w:p w14:paraId="17ED8301" w14:textId="54FF4A9C" w:rsidR="001E2D68" w:rsidRPr="00AE6B5D" w:rsidRDefault="001E2D68" w:rsidP="00101C1A">
            <w:pPr>
              <w:pStyle w:val="TableText0"/>
              <w:jc w:val="center"/>
              <w:rPr>
                <w:b/>
                <w:szCs w:val="20"/>
              </w:rPr>
            </w:pPr>
            <w:r w:rsidRPr="00AE6B5D">
              <w:rPr>
                <w:b/>
                <w:szCs w:val="20"/>
              </w:rPr>
              <w:t>(0.22, 0.77)</w:t>
            </w:r>
          </w:p>
        </w:tc>
        <w:tc>
          <w:tcPr>
            <w:tcW w:w="763" w:type="pct"/>
            <w:vAlign w:val="center"/>
          </w:tcPr>
          <w:p w14:paraId="5D68B95A" w14:textId="77777777" w:rsidR="00371ACF" w:rsidRDefault="001E2D68" w:rsidP="00101C1A">
            <w:pPr>
              <w:pStyle w:val="TableText0"/>
              <w:jc w:val="center"/>
              <w:rPr>
                <w:szCs w:val="20"/>
              </w:rPr>
            </w:pPr>
            <w:r w:rsidRPr="00AE6B5D">
              <w:rPr>
                <w:szCs w:val="20"/>
              </w:rPr>
              <w:t xml:space="preserve">-0.05 </w:t>
            </w:r>
          </w:p>
          <w:p w14:paraId="0DC77C02" w14:textId="43B3A25E" w:rsidR="001E2D68" w:rsidRPr="00AE6B5D" w:rsidRDefault="001E2D68" w:rsidP="00101C1A">
            <w:pPr>
              <w:pStyle w:val="TableText0"/>
              <w:jc w:val="center"/>
              <w:rPr>
                <w:szCs w:val="20"/>
              </w:rPr>
            </w:pPr>
            <w:r w:rsidRPr="00AE6B5D">
              <w:rPr>
                <w:szCs w:val="20"/>
              </w:rPr>
              <w:t>(-0.16, 0.06)</w:t>
            </w:r>
          </w:p>
        </w:tc>
        <w:tc>
          <w:tcPr>
            <w:tcW w:w="749" w:type="pct"/>
            <w:vAlign w:val="center"/>
          </w:tcPr>
          <w:p w14:paraId="11196BF1" w14:textId="77777777" w:rsidR="00DC3246" w:rsidRPr="00D154EE" w:rsidRDefault="00DC3246" w:rsidP="00101C1A">
            <w:pPr>
              <w:pStyle w:val="TableText0"/>
              <w:jc w:val="center"/>
              <w:rPr>
                <w:b/>
              </w:rPr>
            </w:pPr>
            <w:r w:rsidRPr="00D154EE">
              <w:rPr>
                <w:b/>
              </w:rPr>
              <w:t xml:space="preserve">-0.38 </w:t>
            </w:r>
          </w:p>
          <w:p w14:paraId="38ED0682" w14:textId="73D6B207" w:rsidR="001E2D68" w:rsidRPr="004321EF" w:rsidRDefault="00DC3246" w:rsidP="00101C1A">
            <w:pPr>
              <w:pStyle w:val="TableText0"/>
              <w:jc w:val="center"/>
              <w:rPr>
                <w:b/>
                <w:i/>
                <w:iCs/>
                <w:szCs w:val="20"/>
              </w:rPr>
            </w:pPr>
            <w:r w:rsidRPr="00D154EE">
              <w:rPr>
                <w:b/>
              </w:rPr>
              <w:t>(-0.55, -0.21)</w:t>
            </w:r>
            <w:r w:rsidRPr="00D154EE">
              <w:rPr>
                <w:b/>
                <w:vertAlign w:val="superscript"/>
              </w:rPr>
              <w:t>b</w:t>
            </w:r>
            <w:r w:rsidRPr="004321EF">
              <w:rPr>
                <w:b/>
                <w:i/>
                <w:iCs/>
              </w:rPr>
              <w:t xml:space="preserve"> </w:t>
            </w:r>
          </w:p>
        </w:tc>
        <w:tc>
          <w:tcPr>
            <w:tcW w:w="749" w:type="pct"/>
            <w:vAlign w:val="center"/>
          </w:tcPr>
          <w:p w14:paraId="42CB3D55" w14:textId="77777777" w:rsidR="00371ACF" w:rsidRDefault="001E2D68" w:rsidP="00101C1A">
            <w:pPr>
              <w:pStyle w:val="TableText0"/>
              <w:jc w:val="center"/>
              <w:rPr>
                <w:szCs w:val="20"/>
              </w:rPr>
            </w:pPr>
            <w:r w:rsidRPr="00AE6B5D">
              <w:rPr>
                <w:szCs w:val="20"/>
              </w:rPr>
              <w:t xml:space="preserve">0.02 </w:t>
            </w:r>
          </w:p>
          <w:p w14:paraId="781F8263" w14:textId="02604888" w:rsidR="001E2D68" w:rsidRPr="00AE6B5D" w:rsidRDefault="001E2D68" w:rsidP="00101C1A">
            <w:pPr>
              <w:pStyle w:val="TableText0"/>
              <w:jc w:val="center"/>
              <w:rPr>
                <w:szCs w:val="20"/>
              </w:rPr>
            </w:pPr>
            <w:r w:rsidRPr="00AE6B5D">
              <w:rPr>
                <w:szCs w:val="20"/>
              </w:rPr>
              <w:t>(-0.02, 0.07)</w:t>
            </w:r>
          </w:p>
        </w:tc>
        <w:tc>
          <w:tcPr>
            <w:tcW w:w="797" w:type="pct"/>
            <w:vAlign w:val="center"/>
          </w:tcPr>
          <w:p w14:paraId="3F9EC6AB" w14:textId="77777777" w:rsidR="00371ACF" w:rsidRDefault="004073D6" w:rsidP="00101C1A">
            <w:pPr>
              <w:pStyle w:val="TableText0"/>
              <w:jc w:val="center"/>
              <w:rPr>
                <w:szCs w:val="20"/>
              </w:rPr>
            </w:pPr>
            <w:r w:rsidRPr="00AE6B5D">
              <w:rPr>
                <w:szCs w:val="20"/>
              </w:rPr>
              <w:t>0.01</w:t>
            </w:r>
          </w:p>
          <w:p w14:paraId="6BDA1602" w14:textId="09FCBB01" w:rsidR="001E2D68" w:rsidRPr="00AE6B5D" w:rsidRDefault="004073D6" w:rsidP="00101C1A">
            <w:pPr>
              <w:pStyle w:val="TableText0"/>
              <w:jc w:val="center"/>
              <w:rPr>
                <w:szCs w:val="20"/>
              </w:rPr>
            </w:pPr>
            <w:r w:rsidRPr="00AE6B5D">
              <w:rPr>
                <w:szCs w:val="20"/>
              </w:rPr>
              <w:t>(</w:t>
            </w:r>
            <w:r w:rsidR="00030DE3" w:rsidRPr="00AE6B5D">
              <w:rPr>
                <w:szCs w:val="20"/>
              </w:rPr>
              <w:t>-0.05,0.07)</w:t>
            </w:r>
          </w:p>
        </w:tc>
      </w:tr>
      <w:tr w:rsidR="00E877AA" w:rsidRPr="00AE6B5D" w14:paraId="150BDE05" w14:textId="77777777" w:rsidTr="00FF5CBC">
        <w:trPr>
          <w:cantSplit/>
        </w:trPr>
        <w:tc>
          <w:tcPr>
            <w:tcW w:w="5000" w:type="pct"/>
            <w:gridSpan w:val="7"/>
          </w:tcPr>
          <w:p w14:paraId="0287210F" w14:textId="1ADCB439" w:rsidR="001E2D68" w:rsidRPr="004321EF" w:rsidRDefault="001E2D68" w:rsidP="001E2D68">
            <w:pPr>
              <w:pStyle w:val="TableText0"/>
              <w:rPr>
                <w:b/>
                <w:szCs w:val="20"/>
              </w:rPr>
            </w:pPr>
            <w:r w:rsidRPr="004321EF">
              <w:rPr>
                <w:b/>
                <w:szCs w:val="20"/>
              </w:rPr>
              <w:t xml:space="preserve">Indirect </w:t>
            </w:r>
            <w:r w:rsidR="00701739" w:rsidRPr="004321EF">
              <w:rPr>
                <w:b/>
                <w:szCs w:val="20"/>
              </w:rPr>
              <w:t>t</w:t>
            </w:r>
            <w:r w:rsidRPr="004321EF">
              <w:rPr>
                <w:b/>
                <w:szCs w:val="20"/>
              </w:rPr>
              <w:t xml:space="preserve">reatment </w:t>
            </w:r>
            <w:r w:rsidR="00701739" w:rsidRPr="004321EF">
              <w:rPr>
                <w:b/>
                <w:szCs w:val="20"/>
              </w:rPr>
              <w:t>c</w:t>
            </w:r>
            <w:r w:rsidRPr="004321EF">
              <w:rPr>
                <w:b/>
                <w:szCs w:val="20"/>
              </w:rPr>
              <w:t xml:space="preserve">omparison: </w:t>
            </w:r>
            <w:r w:rsidR="00701739" w:rsidRPr="004321EF">
              <w:rPr>
                <w:b/>
                <w:szCs w:val="20"/>
              </w:rPr>
              <w:t>a</w:t>
            </w:r>
            <w:r w:rsidRPr="004321EF">
              <w:rPr>
                <w:b/>
                <w:szCs w:val="20"/>
              </w:rPr>
              <w:t xml:space="preserve">vatrombopag vs </w:t>
            </w:r>
            <w:r w:rsidR="00701739" w:rsidRPr="004321EF">
              <w:rPr>
                <w:b/>
                <w:szCs w:val="20"/>
              </w:rPr>
              <w:t>r</w:t>
            </w:r>
            <w:r w:rsidRPr="004321EF">
              <w:rPr>
                <w:b/>
                <w:szCs w:val="20"/>
              </w:rPr>
              <w:t>omiplostim</w:t>
            </w:r>
            <w:r w:rsidR="0060172F" w:rsidRPr="004321EF">
              <w:rPr>
                <w:b/>
                <w:szCs w:val="20"/>
              </w:rPr>
              <w:t>: RR or RD (95% CI)</w:t>
            </w:r>
          </w:p>
        </w:tc>
      </w:tr>
      <w:tr w:rsidR="00E877AA" w:rsidRPr="00AE6B5D" w14:paraId="276BCC7F" w14:textId="77777777" w:rsidTr="00FF5CBC">
        <w:trPr>
          <w:cantSplit/>
        </w:trPr>
        <w:tc>
          <w:tcPr>
            <w:tcW w:w="445" w:type="pct"/>
          </w:tcPr>
          <w:p w14:paraId="035127AF" w14:textId="77777777" w:rsidR="001E2D68" w:rsidRPr="00AE6B5D" w:rsidRDefault="001E2D68" w:rsidP="001E2D68">
            <w:pPr>
              <w:pStyle w:val="TableText0"/>
              <w:rPr>
                <w:b/>
                <w:szCs w:val="20"/>
              </w:rPr>
            </w:pPr>
            <w:r w:rsidRPr="00AE6B5D">
              <w:rPr>
                <w:b/>
                <w:szCs w:val="20"/>
              </w:rPr>
              <w:t>RR</w:t>
            </w:r>
          </w:p>
        </w:tc>
        <w:tc>
          <w:tcPr>
            <w:tcW w:w="748" w:type="pct"/>
            <w:vAlign w:val="center"/>
          </w:tcPr>
          <w:p w14:paraId="2A352353" w14:textId="77777777" w:rsidR="00371ACF" w:rsidRDefault="001E2D68" w:rsidP="00E877AA">
            <w:pPr>
              <w:pStyle w:val="TableText0"/>
              <w:jc w:val="center"/>
              <w:rPr>
                <w:b/>
                <w:szCs w:val="20"/>
              </w:rPr>
            </w:pPr>
            <w:r w:rsidRPr="00AE6B5D">
              <w:rPr>
                <w:b/>
                <w:szCs w:val="20"/>
              </w:rPr>
              <w:t>0.60</w:t>
            </w:r>
            <w:r w:rsidR="00E752FB" w:rsidRPr="00AE6B5D">
              <w:rPr>
                <w:b/>
                <w:szCs w:val="20"/>
              </w:rPr>
              <w:t>5</w:t>
            </w:r>
            <w:r w:rsidRPr="00AE6B5D">
              <w:rPr>
                <w:b/>
                <w:szCs w:val="20"/>
              </w:rPr>
              <w:t xml:space="preserve"> </w:t>
            </w:r>
          </w:p>
          <w:p w14:paraId="5B6C2217" w14:textId="5114E8D5" w:rsidR="001E2D68" w:rsidRPr="00AE6B5D" w:rsidRDefault="001E2D68" w:rsidP="00E877AA">
            <w:pPr>
              <w:pStyle w:val="TableText0"/>
              <w:jc w:val="center"/>
              <w:rPr>
                <w:b/>
                <w:szCs w:val="20"/>
              </w:rPr>
            </w:pPr>
            <w:r w:rsidRPr="00AE6B5D">
              <w:rPr>
                <w:b/>
                <w:szCs w:val="20"/>
              </w:rPr>
              <w:t xml:space="preserve">(0.02, </w:t>
            </w:r>
            <w:r w:rsidR="00E752FB" w:rsidRPr="00AE6B5D">
              <w:rPr>
                <w:b/>
                <w:szCs w:val="20"/>
              </w:rPr>
              <w:t>17.953</w:t>
            </w:r>
            <w:r w:rsidRPr="00AE6B5D">
              <w:rPr>
                <w:b/>
                <w:szCs w:val="20"/>
              </w:rPr>
              <w:t>)</w:t>
            </w:r>
          </w:p>
        </w:tc>
        <w:tc>
          <w:tcPr>
            <w:tcW w:w="749" w:type="pct"/>
            <w:vAlign w:val="center"/>
          </w:tcPr>
          <w:p w14:paraId="144DCF46" w14:textId="77777777" w:rsidR="00371ACF" w:rsidRDefault="001E2D68" w:rsidP="00E877AA">
            <w:pPr>
              <w:pStyle w:val="TableText0"/>
              <w:jc w:val="center"/>
              <w:rPr>
                <w:szCs w:val="20"/>
              </w:rPr>
            </w:pPr>
            <w:r w:rsidRPr="00AE6B5D">
              <w:rPr>
                <w:szCs w:val="20"/>
              </w:rPr>
              <w:t>2.37</w:t>
            </w:r>
            <w:r w:rsidR="00A8365F" w:rsidRPr="00AE6B5D">
              <w:rPr>
                <w:szCs w:val="20"/>
              </w:rPr>
              <w:t>1</w:t>
            </w:r>
            <w:r w:rsidRPr="00AE6B5D">
              <w:rPr>
                <w:szCs w:val="20"/>
              </w:rPr>
              <w:t xml:space="preserve"> </w:t>
            </w:r>
          </w:p>
          <w:p w14:paraId="5E64AB11" w14:textId="6DA2A982" w:rsidR="001E2D68" w:rsidRPr="00AE6B5D" w:rsidRDefault="001E2D68" w:rsidP="00E877AA">
            <w:pPr>
              <w:pStyle w:val="TableText0"/>
              <w:jc w:val="center"/>
              <w:rPr>
                <w:szCs w:val="20"/>
              </w:rPr>
            </w:pPr>
            <w:r w:rsidRPr="00AE6B5D">
              <w:rPr>
                <w:szCs w:val="20"/>
              </w:rPr>
              <w:t>(0.1</w:t>
            </w:r>
            <w:r w:rsidR="00A8365F" w:rsidRPr="00AE6B5D">
              <w:rPr>
                <w:szCs w:val="20"/>
              </w:rPr>
              <w:t>39</w:t>
            </w:r>
            <w:r w:rsidRPr="00AE6B5D">
              <w:rPr>
                <w:szCs w:val="20"/>
              </w:rPr>
              <w:t>, 40.4</w:t>
            </w:r>
            <w:r w:rsidR="00A8365F" w:rsidRPr="00AE6B5D">
              <w:rPr>
                <w:szCs w:val="20"/>
              </w:rPr>
              <w:t>54</w:t>
            </w:r>
            <w:r w:rsidRPr="00AE6B5D">
              <w:rPr>
                <w:szCs w:val="20"/>
              </w:rPr>
              <w:t>)</w:t>
            </w:r>
          </w:p>
        </w:tc>
        <w:tc>
          <w:tcPr>
            <w:tcW w:w="763" w:type="pct"/>
            <w:vAlign w:val="center"/>
          </w:tcPr>
          <w:p w14:paraId="38C60005" w14:textId="77777777" w:rsidR="00371ACF" w:rsidRDefault="001E2D68" w:rsidP="00E877AA">
            <w:pPr>
              <w:pStyle w:val="TableText0"/>
              <w:jc w:val="center"/>
              <w:rPr>
                <w:szCs w:val="20"/>
              </w:rPr>
            </w:pPr>
            <w:r w:rsidRPr="00AE6B5D">
              <w:rPr>
                <w:szCs w:val="20"/>
              </w:rPr>
              <w:t>6.4</w:t>
            </w:r>
            <w:r w:rsidR="004042BB" w:rsidRPr="00AE6B5D">
              <w:rPr>
                <w:szCs w:val="20"/>
              </w:rPr>
              <w:t>75</w:t>
            </w:r>
            <w:r w:rsidRPr="00AE6B5D">
              <w:rPr>
                <w:szCs w:val="20"/>
              </w:rPr>
              <w:t xml:space="preserve"> </w:t>
            </w:r>
          </w:p>
          <w:p w14:paraId="57038C6E" w14:textId="1EFBA319" w:rsidR="001E2D68" w:rsidRPr="00AE6B5D" w:rsidRDefault="001E2D68" w:rsidP="00E877AA">
            <w:pPr>
              <w:pStyle w:val="TableText0"/>
              <w:jc w:val="center"/>
              <w:rPr>
                <w:szCs w:val="20"/>
              </w:rPr>
            </w:pPr>
            <w:r w:rsidRPr="00AE6B5D">
              <w:rPr>
                <w:szCs w:val="20"/>
              </w:rPr>
              <w:t>(0.2</w:t>
            </w:r>
            <w:r w:rsidR="004042BB" w:rsidRPr="00AE6B5D">
              <w:rPr>
                <w:szCs w:val="20"/>
              </w:rPr>
              <w:t>87</w:t>
            </w:r>
            <w:r w:rsidRPr="00AE6B5D">
              <w:rPr>
                <w:szCs w:val="20"/>
              </w:rPr>
              <w:t>,145.</w:t>
            </w:r>
            <w:r w:rsidR="004042BB" w:rsidRPr="00AE6B5D">
              <w:rPr>
                <w:szCs w:val="20"/>
              </w:rPr>
              <w:t>85</w:t>
            </w:r>
            <w:r w:rsidRPr="00AE6B5D">
              <w:rPr>
                <w:szCs w:val="20"/>
              </w:rPr>
              <w:t>9)</w:t>
            </w:r>
          </w:p>
        </w:tc>
        <w:tc>
          <w:tcPr>
            <w:tcW w:w="749" w:type="pct"/>
            <w:vAlign w:val="center"/>
          </w:tcPr>
          <w:p w14:paraId="1CD15802" w14:textId="77777777" w:rsidR="00371ACF" w:rsidRPr="004321EF" w:rsidRDefault="001E2D68" w:rsidP="00E877AA">
            <w:pPr>
              <w:pStyle w:val="TableText0"/>
              <w:jc w:val="center"/>
              <w:rPr>
                <w:b/>
                <w:szCs w:val="20"/>
              </w:rPr>
            </w:pPr>
            <w:r w:rsidRPr="004321EF">
              <w:rPr>
                <w:b/>
                <w:szCs w:val="20"/>
              </w:rPr>
              <w:t>5.1</w:t>
            </w:r>
            <w:r w:rsidR="00A8365F" w:rsidRPr="004321EF">
              <w:rPr>
                <w:b/>
                <w:szCs w:val="20"/>
              </w:rPr>
              <w:t>67</w:t>
            </w:r>
            <w:r w:rsidRPr="004321EF">
              <w:rPr>
                <w:b/>
                <w:szCs w:val="20"/>
              </w:rPr>
              <w:t xml:space="preserve"> </w:t>
            </w:r>
          </w:p>
          <w:p w14:paraId="3E2F4F52" w14:textId="36ACC369" w:rsidR="001E2D68" w:rsidRPr="004321EF" w:rsidRDefault="001E2D68" w:rsidP="00E877AA">
            <w:pPr>
              <w:pStyle w:val="TableText0"/>
              <w:jc w:val="center"/>
              <w:rPr>
                <w:b/>
                <w:szCs w:val="20"/>
              </w:rPr>
            </w:pPr>
            <w:r w:rsidRPr="004321EF">
              <w:rPr>
                <w:b/>
                <w:szCs w:val="20"/>
              </w:rPr>
              <w:t>(1.11</w:t>
            </w:r>
            <w:r w:rsidR="00A8365F" w:rsidRPr="004321EF">
              <w:rPr>
                <w:b/>
                <w:szCs w:val="20"/>
              </w:rPr>
              <w:t>4</w:t>
            </w:r>
            <w:r w:rsidRPr="004321EF">
              <w:rPr>
                <w:b/>
                <w:szCs w:val="20"/>
              </w:rPr>
              <w:t>, 24.0)</w:t>
            </w:r>
          </w:p>
        </w:tc>
        <w:tc>
          <w:tcPr>
            <w:tcW w:w="749" w:type="pct"/>
            <w:vAlign w:val="center"/>
          </w:tcPr>
          <w:p w14:paraId="32B95959" w14:textId="77777777" w:rsidR="00371ACF" w:rsidRDefault="001E2D68" w:rsidP="00E877AA">
            <w:pPr>
              <w:pStyle w:val="TableText0"/>
              <w:jc w:val="center"/>
              <w:rPr>
                <w:b/>
                <w:szCs w:val="20"/>
              </w:rPr>
            </w:pPr>
            <w:r w:rsidRPr="00AE6B5D">
              <w:rPr>
                <w:b/>
                <w:szCs w:val="20"/>
              </w:rPr>
              <w:t>1.91</w:t>
            </w:r>
            <w:r w:rsidR="004042BB" w:rsidRPr="00AE6B5D">
              <w:rPr>
                <w:b/>
                <w:szCs w:val="20"/>
              </w:rPr>
              <w:t>2</w:t>
            </w:r>
            <w:r w:rsidRPr="00AE6B5D">
              <w:rPr>
                <w:b/>
                <w:szCs w:val="20"/>
              </w:rPr>
              <w:t xml:space="preserve"> </w:t>
            </w:r>
          </w:p>
          <w:p w14:paraId="3802E431" w14:textId="2629F56F" w:rsidR="001E2D68" w:rsidRPr="00AE6B5D" w:rsidRDefault="001E2D68" w:rsidP="00E877AA">
            <w:pPr>
              <w:pStyle w:val="TableText0"/>
              <w:jc w:val="center"/>
              <w:rPr>
                <w:b/>
                <w:szCs w:val="20"/>
              </w:rPr>
            </w:pPr>
            <w:r w:rsidRPr="00AE6B5D">
              <w:rPr>
                <w:b/>
                <w:szCs w:val="20"/>
              </w:rPr>
              <w:t>(0.05</w:t>
            </w:r>
            <w:r w:rsidR="004042BB" w:rsidRPr="00AE6B5D">
              <w:rPr>
                <w:b/>
                <w:szCs w:val="20"/>
              </w:rPr>
              <w:t>1</w:t>
            </w:r>
            <w:r w:rsidRPr="00AE6B5D">
              <w:rPr>
                <w:b/>
                <w:szCs w:val="20"/>
              </w:rPr>
              <w:t>, 71.</w:t>
            </w:r>
            <w:r w:rsidR="004042BB" w:rsidRPr="00AE6B5D">
              <w:rPr>
                <w:b/>
                <w:szCs w:val="20"/>
              </w:rPr>
              <w:t>086</w:t>
            </w:r>
            <w:r w:rsidRPr="00AE6B5D">
              <w:rPr>
                <w:b/>
                <w:szCs w:val="20"/>
              </w:rPr>
              <w:t>)</w:t>
            </w:r>
          </w:p>
        </w:tc>
        <w:tc>
          <w:tcPr>
            <w:tcW w:w="797" w:type="pct"/>
            <w:vAlign w:val="center"/>
          </w:tcPr>
          <w:p w14:paraId="61F8F8C0" w14:textId="77777777" w:rsidR="001E2D68" w:rsidRPr="00AE6B5D" w:rsidRDefault="001E2D68" w:rsidP="00E877AA">
            <w:pPr>
              <w:pStyle w:val="TableText0"/>
              <w:jc w:val="center"/>
              <w:rPr>
                <w:szCs w:val="20"/>
              </w:rPr>
            </w:pPr>
            <w:r w:rsidRPr="00AE6B5D">
              <w:rPr>
                <w:szCs w:val="20"/>
              </w:rPr>
              <w:t>NR</w:t>
            </w:r>
          </w:p>
        </w:tc>
      </w:tr>
      <w:tr w:rsidR="00E877AA" w:rsidRPr="00AE6B5D" w14:paraId="4C11CB39" w14:textId="77777777" w:rsidTr="00FF5CBC">
        <w:trPr>
          <w:cantSplit/>
        </w:trPr>
        <w:tc>
          <w:tcPr>
            <w:tcW w:w="445" w:type="pct"/>
          </w:tcPr>
          <w:p w14:paraId="6D90E971" w14:textId="77777777" w:rsidR="001E2D68" w:rsidRPr="00AE6B5D" w:rsidRDefault="001E2D68" w:rsidP="001E2D68">
            <w:pPr>
              <w:pStyle w:val="TableText0"/>
              <w:rPr>
                <w:b/>
                <w:szCs w:val="20"/>
              </w:rPr>
            </w:pPr>
            <w:r w:rsidRPr="00AE6B5D">
              <w:rPr>
                <w:b/>
                <w:szCs w:val="20"/>
              </w:rPr>
              <w:t>RD</w:t>
            </w:r>
          </w:p>
        </w:tc>
        <w:tc>
          <w:tcPr>
            <w:tcW w:w="748" w:type="pct"/>
            <w:vAlign w:val="center"/>
          </w:tcPr>
          <w:p w14:paraId="2C2A4B97" w14:textId="77777777" w:rsidR="00371ACF" w:rsidRDefault="001E2D68" w:rsidP="00E877AA">
            <w:pPr>
              <w:pStyle w:val="TableText0"/>
              <w:jc w:val="center"/>
              <w:rPr>
                <w:szCs w:val="20"/>
              </w:rPr>
            </w:pPr>
            <w:r w:rsidRPr="00AE6B5D">
              <w:rPr>
                <w:szCs w:val="20"/>
              </w:rPr>
              <w:t xml:space="preserve">-0.13 </w:t>
            </w:r>
          </w:p>
          <w:p w14:paraId="6B5894ED" w14:textId="5398E8DD" w:rsidR="001E2D68" w:rsidRPr="00AE6B5D" w:rsidRDefault="001E2D68" w:rsidP="00E877AA">
            <w:pPr>
              <w:pStyle w:val="TableText0"/>
              <w:jc w:val="center"/>
              <w:rPr>
                <w:szCs w:val="20"/>
              </w:rPr>
            </w:pPr>
            <w:r w:rsidRPr="00AE6B5D">
              <w:rPr>
                <w:szCs w:val="20"/>
              </w:rPr>
              <w:t>(-0.35, 0.0</w:t>
            </w:r>
            <w:r w:rsidR="00E752FB" w:rsidRPr="00AE6B5D">
              <w:rPr>
                <w:szCs w:val="20"/>
              </w:rPr>
              <w:t>86</w:t>
            </w:r>
            <w:r w:rsidRPr="00AE6B5D">
              <w:rPr>
                <w:szCs w:val="20"/>
              </w:rPr>
              <w:t>)</w:t>
            </w:r>
          </w:p>
        </w:tc>
        <w:tc>
          <w:tcPr>
            <w:tcW w:w="749" w:type="pct"/>
            <w:vAlign w:val="center"/>
          </w:tcPr>
          <w:p w14:paraId="7272D879" w14:textId="77777777" w:rsidR="00371ACF" w:rsidRDefault="001E2D68" w:rsidP="00E877AA">
            <w:pPr>
              <w:pStyle w:val="TableText0"/>
              <w:jc w:val="center"/>
              <w:rPr>
                <w:szCs w:val="20"/>
              </w:rPr>
            </w:pPr>
            <w:r w:rsidRPr="00AE6B5D">
              <w:rPr>
                <w:szCs w:val="20"/>
              </w:rPr>
              <w:t xml:space="preserve">-0.16 </w:t>
            </w:r>
          </w:p>
          <w:p w14:paraId="4056321F" w14:textId="6882869B" w:rsidR="001E2D68" w:rsidRPr="00AE6B5D" w:rsidRDefault="001E2D68" w:rsidP="00E877AA">
            <w:pPr>
              <w:pStyle w:val="TableText0"/>
              <w:jc w:val="center"/>
              <w:rPr>
                <w:szCs w:val="20"/>
              </w:rPr>
            </w:pPr>
            <w:r w:rsidRPr="00AE6B5D">
              <w:rPr>
                <w:szCs w:val="20"/>
              </w:rPr>
              <w:t>(-0.5</w:t>
            </w:r>
            <w:r w:rsidR="00A8365F" w:rsidRPr="00AE6B5D">
              <w:rPr>
                <w:szCs w:val="20"/>
              </w:rPr>
              <w:t>56</w:t>
            </w:r>
            <w:r w:rsidRPr="00AE6B5D">
              <w:rPr>
                <w:szCs w:val="20"/>
              </w:rPr>
              <w:t>, 0.2</w:t>
            </w:r>
            <w:r w:rsidR="00A8365F" w:rsidRPr="00AE6B5D">
              <w:rPr>
                <w:szCs w:val="20"/>
              </w:rPr>
              <w:t>36</w:t>
            </w:r>
            <w:r w:rsidRPr="00AE6B5D">
              <w:rPr>
                <w:szCs w:val="20"/>
              </w:rPr>
              <w:t>)</w:t>
            </w:r>
          </w:p>
        </w:tc>
        <w:tc>
          <w:tcPr>
            <w:tcW w:w="763" w:type="pct"/>
            <w:vAlign w:val="center"/>
          </w:tcPr>
          <w:p w14:paraId="03B59785" w14:textId="77777777" w:rsidR="00371ACF" w:rsidRDefault="001E2D68" w:rsidP="00E877AA">
            <w:pPr>
              <w:pStyle w:val="TableText0"/>
              <w:jc w:val="center"/>
              <w:rPr>
                <w:szCs w:val="20"/>
              </w:rPr>
            </w:pPr>
            <w:r w:rsidRPr="00AE6B5D">
              <w:rPr>
                <w:szCs w:val="20"/>
              </w:rPr>
              <w:t xml:space="preserve">0.14 </w:t>
            </w:r>
          </w:p>
          <w:p w14:paraId="45CDAA00" w14:textId="189ABF9D" w:rsidR="001E2D68" w:rsidRPr="00AE6B5D" w:rsidRDefault="001E2D68" w:rsidP="00E877AA">
            <w:pPr>
              <w:pStyle w:val="TableText0"/>
              <w:jc w:val="center"/>
              <w:rPr>
                <w:szCs w:val="20"/>
              </w:rPr>
            </w:pPr>
            <w:r w:rsidRPr="00AE6B5D">
              <w:rPr>
                <w:szCs w:val="20"/>
              </w:rPr>
              <w:t>(-0.03, 0.31)</w:t>
            </w:r>
          </w:p>
        </w:tc>
        <w:tc>
          <w:tcPr>
            <w:tcW w:w="749" w:type="pct"/>
            <w:vAlign w:val="center"/>
          </w:tcPr>
          <w:p w14:paraId="7803DF6C" w14:textId="77777777" w:rsidR="00DC3246" w:rsidRPr="00D154EE" w:rsidRDefault="00DC3246" w:rsidP="00E877AA">
            <w:pPr>
              <w:pStyle w:val="TableText0"/>
              <w:jc w:val="center"/>
              <w:rPr>
                <w:b/>
              </w:rPr>
            </w:pPr>
            <w:r w:rsidRPr="00D154EE">
              <w:rPr>
                <w:b/>
              </w:rPr>
              <w:t xml:space="preserve">0.48 </w:t>
            </w:r>
          </w:p>
          <w:p w14:paraId="7DFF9A90" w14:textId="1F4B4B34" w:rsidR="001E2D68" w:rsidRPr="004321EF" w:rsidRDefault="00DC3246" w:rsidP="00E877AA">
            <w:pPr>
              <w:pStyle w:val="TableText0"/>
              <w:jc w:val="center"/>
              <w:rPr>
                <w:i/>
                <w:iCs/>
                <w:szCs w:val="20"/>
              </w:rPr>
            </w:pPr>
            <w:r w:rsidRPr="00D154EE">
              <w:rPr>
                <w:b/>
              </w:rPr>
              <w:t>(0.21, 0.75)</w:t>
            </w:r>
            <w:r w:rsidRPr="00D154EE">
              <w:rPr>
                <w:b/>
                <w:vertAlign w:val="superscript"/>
              </w:rPr>
              <w:t>b</w:t>
            </w:r>
            <w:r w:rsidRPr="004321EF">
              <w:rPr>
                <w:b/>
              </w:rPr>
              <w:t xml:space="preserve"> </w:t>
            </w:r>
          </w:p>
        </w:tc>
        <w:tc>
          <w:tcPr>
            <w:tcW w:w="749" w:type="pct"/>
            <w:vAlign w:val="center"/>
          </w:tcPr>
          <w:p w14:paraId="67BC1D1C" w14:textId="77777777" w:rsidR="00371ACF" w:rsidRDefault="001E2D68" w:rsidP="00E877AA">
            <w:pPr>
              <w:pStyle w:val="TableText0"/>
              <w:jc w:val="center"/>
              <w:rPr>
                <w:b/>
                <w:szCs w:val="20"/>
              </w:rPr>
            </w:pPr>
            <w:r w:rsidRPr="00AE6B5D">
              <w:rPr>
                <w:b/>
                <w:szCs w:val="20"/>
              </w:rPr>
              <w:t xml:space="preserve">0.2 </w:t>
            </w:r>
          </w:p>
          <w:p w14:paraId="51D97AFA" w14:textId="0BA583C0" w:rsidR="001E2D68" w:rsidRPr="00AE6B5D" w:rsidRDefault="001E2D68" w:rsidP="00E877AA">
            <w:pPr>
              <w:pStyle w:val="TableText0"/>
              <w:jc w:val="center"/>
              <w:rPr>
                <w:b/>
                <w:szCs w:val="20"/>
              </w:rPr>
            </w:pPr>
            <w:r w:rsidRPr="00AE6B5D">
              <w:rPr>
                <w:b/>
                <w:szCs w:val="20"/>
              </w:rPr>
              <w:t>(0.0</w:t>
            </w:r>
            <w:r w:rsidR="004042BB" w:rsidRPr="00AE6B5D">
              <w:rPr>
                <w:b/>
                <w:szCs w:val="20"/>
              </w:rPr>
              <w:t>05</w:t>
            </w:r>
            <w:r w:rsidRPr="00AE6B5D">
              <w:rPr>
                <w:b/>
                <w:szCs w:val="20"/>
              </w:rPr>
              <w:t>, 0.</w:t>
            </w:r>
            <w:r w:rsidR="004042BB" w:rsidRPr="00AE6B5D">
              <w:rPr>
                <w:b/>
                <w:szCs w:val="20"/>
              </w:rPr>
              <w:t>395</w:t>
            </w:r>
            <w:r w:rsidRPr="00AE6B5D">
              <w:rPr>
                <w:b/>
                <w:szCs w:val="20"/>
              </w:rPr>
              <w:t>)</w:t>
            </w:r>
          </w:p>
        </w:tc>
        <w:tc>
          <w:tcPr>
            <w:tcW w:w="797" w:type="pct"/>
            <w:vAlign w:val="center"/>
          </w:tcPr>
          <w:p w14:paraId="1F4F9B9E" w14:textId="77777777" w:rsidR="001E2D68" w:rsidRPr="00AE6B5D" w:rsidRDefault="001E2D68" w:rsidP="00E877AA">
            <w:pPr>
              <w:pStyle w:val="TableText0"/>
              <w:jc w:val="center"/>
              <w:rPr>
                <w:szCs w:val="20"/>
              </w:rPr>
            </w:pPr>
            <w:r w:rsidRPr="00AE6B5D">
              <w:rPr>
                <w:szCs w:val="20"/>
              </w:rPr>
              <w:t>NR</w:t>
            </w:r>
          </w:p>
        </w:tc>
      </w:tr>
    </w:tbl>
    <w:p w14:paraId="5B59CC38" w14:textId="2690C071" w:rsidR="00101C1A" w:rsidRDefault="001E2D68" w:rsidP="001E2D68">
      <w:pPr>
        <w:pStyle w:val="TableFooter"/>
      </w:pPr>
      <w:r w:rsidRPr="002B1B80">
        <w:t>Source: Tables A-14 to A-19, Attachment A2, pp18-21.</w:t>
      </w:r>
      <w:r>
        <w:t xml:space="preserve"> Statistically significant comparisons are in </w:t>
      </w:r>
      <w:r w:rsidRPr="00D21893">
        <w:rPr>
          <w:b/>
        </w:rPr>
        <w:t>bold</w:t>
      </w:r>
      <w:r>
        <w:t>.</w:t>
      </w:r>
    </w:p>
    <w:p w14:paraId="40EB8464" w14:textId="1A336B85" w:rsidR="00101C1A" w:rsidRDefault="00101C1A" w:rsidP="001E2D68">
      <w:pPr>
        <w:pStyle w:val="TableFooter"/>
        <w:rPr>
          <w:rFonts w:eastAsia="Calibri"/>
        </w:rPr>
      </w:pPr>
      <w:r w:rsidRPr="002B1B80">
        <w:rPr>
          <w:rFonts w:eastAsia="Calibri"/>
        </w:rPr>
        <w:t>AE = adverse event</w:t>
      </w:r>
      <w:r>
        <w:rPr>
          <w:rFonts w:eastAsia="Calibri"/>
        </w:rPr>
        <w:t>;</w:t>
      </w:r>
      <w:r w:rsidRPr="00101C1A">
        <w:t xml:space="preserve"> </w:t>
      </w:r>
      <w:r>
        <w:t>Av</w:t>
      </w:r>
      <w:r w:rsidR="00AE6B5D">
        <w:t>a</w:t>
      </w:r>
      <w:r>
        <w:t>. = avatrombopag; ITP = i</w:t>
      </w:r>
      <w:r w:rsidRPr="00101C1A">
        <w:t>mmune thrombocytopenia</w:t>
      </w:r>
      <w:r>
        <w:t>;</w:t>
      </w:r>
      <w:r w:rsidRPr="00101C1A">
        <w:rPr>
          <w:rFonts w:eastAsia="Calibri"/>
        </w:rPr>
        <w:t xml:space="preserve"> </w:t>
      </w:r>
      <w:r w:rsidR="001E2D68" w:rsidRPr="002B1B80">
        <w:rPr>
          <w:rFonts w:eastAsia="Calibri"/>
        </w:rPr>
        <w:t xml:space="preserve">n = number of participants with event; N = total participants in group; </w:t>
      </w:r>
      <w:r w:rsidR="00AE6B5D">
        <w:rPr>
          <w:rFonts w:eastAsia="Calibri"/>
        </w:rPr>
        <w:t xml:space="preserve">Plac. = placebo; </w:t>
      </w:r>
      <w:r w:rsidR="00AA0FE2">
        <w:rPr>
          <w:rFonts w:eastAsia="Calibri"/>
        </w:rPr>
        <w:t xml:space="preserve">RD = risk difference; </w:t>
      </w:r>
      <w:r w:rsidR="00AE6B5D">
        <w:rPr>
          <w:rFonts w:eastAsia="Calibri"/>
        </w:rPr>
        <w:t xml:space="preserve">Romi = romiplostim; </w:t>
      </w:r>
      <w:r w:rsidR="00AA0FE2">
        <w:rPr>
          <w:rFonts w:eastAsia="Calibri"/>
        </w:rPr>
        <w:t xml:space="preserve">RR = relative risk; </w:t>
      </w:r>
      <w:r w:rsidR="001E2D68" w:rsidRPr="002B1B80">
        <w:rPr>
          <w:rFonts w:eastAsia="Calibri"/>
        </w:rPr>
        <w:t>SAE = serious adverse event.</w:t>
      </w:r>
    </w:p>
    <w:p w14:paraId="61AE26D7" w14:textId="21192D35" w:rsidR="001E2D68" w:rsidRPr="001D67AF" w:rsidRDefault="00E752FB" w:rsidP="001E2D68">
      <w:pPr>
        <w:pStyle w:val="TableFooter"/>
      </w:pPr>
      <w:r w:rsidRPr="001D67AF">
        <w:t xml:space="preserve">Treatment related SAEs </w:t>
      </w:r>
      <w:r w:rsidR="00CC1263" w:rsidRPr="001D67AF">
        <w:t xml:space="preserve">are </w:t>
      </w:r>
      <w:r w:rsidRPr="001D67AF">
        <w:t>based on figures in Table 14.3.2.1.1 p372 /218, CSR, study 302</w:t>
      </w:r>
      <w:r w:rsidR="004042BB" w:rsidRPr="001D67AF">
        <w:t xml:space="preserve"> rather than Table A18, p 21 Attachment 2A</w:t>
      </w:r>
      <w:r w:rsidR="00CC1263" w:rsidRPr="001D67AF">
        <w:t>,</w:t>
      </w:r>
      <w:r w:rsidR="004042BB" w:rsidRPr="001D67AF">
        <w:t xml:space="preserve"> where the figures are reversed</w:t>
      </w:r>
      <w:r w:rsidR="004042BB">
        <w:rPr>
          <w:i/>
          <w:iCs/>
        </w:rPr>
        <w:t xml:space="preserve">. </w:t>
      </w:r>
      <w:r w:rsidR="00221889" w:rsidRPr="00DC3246">
        <w:t xml:space="preserve">The </w:t>
      </w:r>
      <w:r w:rsidR="004042BB" w:rsidRPr="00DC3246">
        <w:t xml:space="preserve">ITC </w:t>
      </w:r>
      <w:r w:rsidR="00300859" w:rsidRPr="00DC3246">
        <w:t xml:space="preserve">for treatment related SAEs </w:t>
      </w:r>
      <w:r w:rsidR="004042BB" w:rsidRPr="00DC3246">
        <w:t>appears to have been done correctly.</w:t>
      </w:r>
    </w:p>
    <w:p w14:paraId="39229256" w14:textId="3593D748" w:rsidR="0092183B" w:rsidRPr="001D67AF" w:rsidRDefault="0092183B" w:rsidP="0092183B">
      <w:pPr>
        <w:pStyle w:val="TableFooter"/>
      </w:pPr>
      <w:r w:rsidRPr="001D67AF">
        <w:rPr>
          <w:vertAlign w:val="superscript"/>
        </w:rPr>
        <w:t>a</w:t>
      </w:r>
      <w:r w:rsidRPr="001D67AF">
        <w:t xml:space="preserve"> Attachment 2A, Table A.17, refers only to </w:t>
      </w:r>
      <w:r w:rsidR="00480F86">
        <w:t>‘</w:t>
      </w:r>
      <w:r w:rsidRPr="001D67AF">
        <w:t>clinically significant bleeding events</w:t>
      </w:r>
      <w:r w:rsidR="00480F86">
        <w:t>’</w:t>
      </w:r>
      <w:r w:rsidRPr="001D67AF">
        <w:t xml:space="preserve">, but the data for avatrombopag are the data for WHO Grades 2-4 so it is assumed that the same is true for romiplostim. </w:t>
      </w:r>
    </w:p>
    <w:p w14:paraId="7114FDD7" w14:textId="780D442A" w:rsidR="001E2D68" w:rsidRPr="002E1071" w:rsidRDefault="00DC3246" w:rsidP="00F913DB">
      <w:pPr>
        <w:pStyle w:val="TableFooter"/>
      </w:pPr>
      <w:r w:rsidRPr="00824441">
        <w:rPr>
          <w:rFonts w:eastAsia="Calibri"/>
          <w:vertAlign w:val="superscript"/>
        </w:rPr>
        <w:t>b</w:t>
      </w:r>
      <w:r w:rsidRPr="00824441">
        <w:rPr>
          <w:rFonts w:eastAsia="Calibri"/>
        </w:rPr>
        <w:t xml:space="preserve"> Corrected in the PSCR.</w:t>
      </w:r>
      <w:r w:rsidR="0092183B" w:rsidRPr="00824441">
        <w:t xml:space="preserve"> </w:t>
      </w:r>
    </w:p>
    <w:p w14:paraId="04908C7F" w14:textId="415B9B7D" w:rsidR="007F1017" w:rsidRPr="00C9624D" w:rsidRDefault="007F1017" w:rsidP="00D86231">
      <w:pPr>
        <w:pStyle w:val="4-SubsectionHeading"/>
      </w:pPr>
      <w:bookmarkStart w:id="38" w:name="_Toc22897643"/>
      <w:bookmarkStart w:id="39" w:name="_Toc113903632"/>
      <w:r w:rsidRPr="00C9624D">
        <w:t>Benefits/harms</w:t>
      </w:r>
      <w:bookmarkEnd w:id="38"/>
      <w:bookmarkEnd w:id="39"/>
    </w:p>
    <w:p w14:paraId="04AC1B54" w14:textId="2EA536C0" w:rsidR="00C85CD9" w:rsidRPr="008E7A03" w:rsidRDefault="008E7A03" w:rsidP="008E7A03">
      <w:pPr>
        <w:pStyle w:val="3-BodyText"/>
        <w:rPr>
          <w:lang w:val="en-US"/>
        </w:rPr>
      </w:pPr>
      <w:r w:rsidRPr="00311D9B">
        <w:rPr>
          <w:lang w:val="en-US"/>
        </w:rPr>
        <w:t xml:space="preserve">A benefits and harms table </w:t>
      </w:r>
      <w:r>
        <w:rPr>
          <w:lang w:val="en-US"/>
        </w:rPr>
        <w:t>wa</w:t>
      </w:r>
      <w:r w:rsidRPr="00311D9B">
        <w:rPr>
          <w:lang w:val="en-US"/>
        </w:rPr>
        <w:t>s not presented as the submission made a claim of non-inferiority.</w:t>
      </w:r>
    </w:p>
    <w:p w14:paraId="289EAA5E" w14:textId="5B050519" w:rsidR="007C70FF" w:rsidRPr="0015541B" w:rsidRDefault="00B60939" w:rsidP="0015541B">
      <w:pPr>
        <w:pStyle w:val="4-SubsectionHeading"/>
      </w:pPr>
      <w:bookmarkStart w:id="40" w:name="_Toc22897644"/>
      <w:bookmarkStart w:id="41" w:name="_Toc113903633"/>
      <w:r w:rsidRPr="00C9624D">
        <w:t>Clinical claim</w:t>
      </w:r>
      <w:bookmarkEnd w:id="40"/>
      <w:bookmarkEnd w:id="41"/>
    </w:p>
    <w:p w14:paraId="73FA0E50" w14:textId="6F1911FA" w:rsidR="00880883" w:rsidRDefault="00424A18" w:rsidP="00620EC8">
      <w:pPr>
        <w:pStyle w:val="3-BodyText"/>
        <w:rPr>
          <w:rFonts w:eastAsia="Calibri"/>
        </w:rPr>
      </w:pPr>
      <w:r w:rsidRPr="001D67AF">
        <w:rPr>
          <w:rFonts w:eastAsia="Calibri"/>
        </w:rPr>
        <w:t xml:space="preserve">The submission described avatrombopag as non-inferior in terms of effectiveness and safety compared to eltrombopag. </w:t>
      </w:r>
      <w:r w:rsidR="008101CD" w:rsidRPr="00CA51C6">
        <w:rPr>
          <w:rFonts w:eastAsia="Calibri"/>
        </w:rPr>
        <w:t xml:space="preserve">The evaluation considered </w:t>
      </w:r>
      <w:r w:rsidR="00D83A51">
        <w:rPr>
          <w:rFonts w:eastAsia="Calibri"/>
        </w:rPr>
        <w:t>t</w:t>
      </w:r>
      <w:r w:rsidRPr="001D67AF">
        <w:rPr>
          <w:rFonts w:eastAsia="Calibri"/>
        </w:rPr>
        <w:t>he</w:t>
      </w:r>
      <w:r w:rsidRPr="001D67AF">
        <w:rPr>
          <w:rFonts w:cstheme="minorHAnsi"/>
        </w:rPr>
        <w:t xml:space="preserve"> point estimates for some important </w:t>
      </w:r>
      <w:r w:rsidR="001C2498" w:rsidRPr="001D67AF">
        <w:rPr>
          <w:rFonts w:cstheme="minorHAnsi"/>
        </w:rPr>
        <w:t xml:space="preserve">efficacy </w:t>
      </w:r>
      <w:r w:rsidRPr="001D67AF">
        <w:rPr>
          <w:rFonts w:cstheme="minorHAnsi"/>
        </w:rPr>
        <w:t xml:space="preserve">outcomes are meaningfully different for eltrombopag and avatrombopag, </w:t>
      </w:r>
      <w:r w:rsidRPr="001D67AF">
        <w:rPr>
          <w:rFonts w:eastAsia="Calibri"/>
        </w:rPr>
        <w:t>and although these differences were not statistically significant, the very small sample sizes of the clinical trials used resulted in such wide confidence intervals around the point estimates that clinically significant differences cannot be excluded.</w:t>
      </w:r>
      <w:r w:rsidR="001C2498" w:rsidRPr="001D67AF">
        <w:rPr>
          <w:rFonts w:eastAsia="Calibri"/>
        </w:rPr>
        <w:t xml:space="preserve"> The statistically significant differences in some safety outcomes may or may not be reliable due to the sample size.</w:t>
      </w:r>
      <w:r w:rsidR="008101CD">
        <w:rPr>
          <w:rFonts w:eastAsia="Calibri"/>
        </w:rPr>
        <w:t xml:space="preserve"> </w:t>
      </w:r>
    </w:p>
    <w:p w14:paraId="1309BFA9" w14:textId="0675044D" w:rsidR="00424A18" w:rsidRPr="00CA51C6" w:rsidRDefault="00880883" w:rsidP="00620EC8">
      <w:pPr>
        <w:pStyle w:val="3-BodyText"/>
        <w:rPr>
          <w:rFonts w:eastAsia="Calibri"/>
        </w:rPr>
      </w:pPr>
      <w:r w:rsidRPr="00CA51C6">
        <w:rPr>
          <w:rFonts w:eastAsia="Calibri"/>
        </w:rPr>
        <w:lastRenderedPageBreak/>
        <w:t>T</w:t>
      </w:r>
      <w:r w:rsidR="008101CD" w:rsidRPr="00CA51C6">
        <w:rPr>
          <w:rFonts w:eastAsia="Calibri"/>
        </w:rPr>
        <w:t xml:space="preserve">he ESC </w:t>
      </w:r>
      <w:r w:rsidR="00EC0AB7">
        <w:rPr>
          <w:rFonts w:eastAsia="Calibri"/>
        </w:rPr>
        <w:t xml:space="preserve">and the PBAC </w:t>
      </w:r>
      <w:r w:rsidR="008101CD" w:rsidRPr="00CA51C6">
        <w:rPr>
          <w:rFonts w:eastAsia="Calibri"/>
        </w:rPr>
        <w:t>agreed with the evaluation that the</w:t>
      </w:r>
      <w:r w:rsidRPr="00CA51C6">
        <w:rPr>
          <w:rFonts w:eastAsia="Calibri"/>
        </w:rPr>
        <w:t>re was high uncertainty associated with the</w:t>
      </w:r>
      <w:r w:rsidR="008101CD" w:rsidRPr="00CA51C6">
        <w:rPr>
          <w:rFonts w:eastAsia="Calibri"/>
        </w:rPr>
        <w:t xml:space="preserve"> clinical claim</w:t>
      </w:r>
      <w:r w:rsidR="00A17F05" w:rsidRPr="00CA51C6">
        <w:rPr>
          <w:rFonts w:eastAsia="Calibri"/>
        </w:rPr>
        <w:t xml:space="preserve"> for avatrombopag</w:t>
      </w:r>
      <w:r w:rsidR="004A009E" w:rsidRPr="00CA51C6">
        <w:rPr>
          <w:rFonts w:eastAsia="Calibri"/>
        </w:rPr>
        <w:t xml:space="preserve"> against eltrombopag</w:t>
      </w:r>
      <w:r w:rsidRPr="00CA51C6">
        <w:rPr>
          <w:rFonts w:eastAsia="Calibri"/>
        </w:rPr>
        <w:t xml:space="preserve"> and </w:t>
      </w:r>
      <w:r w:rsidR="00442457" w:rsidRPr="00CA51C6">
        <w:rPr>
          <w:rFonts w:eastAsia="Calibri"/>
        </w:rPr>
        <w:t xml:space="preserve">that </w:t>
      </w:r>
      <w:r w:rsidRPr="00CA51C6">
        <w:rPr>
          <w:rFonts w:eastAsia="Calibri"/>
        </w:rPr>
        <w:t>it</w:t>
      </w:r>
      <w:r w:rsidR="008101CD" w:rsidRPr="00CA51C6">
        <w:rPr>
          <w:rFonts w:eastAsia="Calibri"/>
        </w:rPr>
        <w:t xml:space="preserve"> </w:t>
      </w:r>
      <w:r w:rsidR="004A009E" w:rsidRPr="00CA51C6">
        <w:rPr>
          <w:rFonts w:eastAsia="Calibri"/>
        </w:rPr>
        <w:t>was</w:t>
      </w:r>
      <w:r w:rsidR="008101CD" w:rsidRPr="00CA51C6">
        <w:rPr>
          <w:rFonts w:eastAsia="Calibri"/>
        </w:rPr>
        <w:t xml:space="preserve"> not well supported</w:t>
      </w:r>
      <w:r w:rsidR="00A17F05" w:rsidRPr="00CA51C6">
        <w:rPr>
          <w:rFonts w:eastAsia="Calibri"/>
        </w:rPr>
        <w:t xml:space="preserve">, </w:t>
      </w:r>
      <w:r w:rsidRPr="00CA51C6">
        <w:rPr>
          <w:rFonts w:eastAsia="Calibri"/>
        </w:rPr>
        <w:t>not</w:t>
      </w:r>
      <w:r w:rsidR="00A17F05" w:rsidRPr="00CA51C6">
        <w:rPr>
          <w:rFonts w:eastAsia="Calibri"/>
        </w:rPr>
        <w:t>ing</w:t>
      </w:r>
      <w:r w:rsidRPr="00CA51C6">
        <w:rPr>
          <w:rFonts w:eastAsia="Calibri"/>
        </w:rPr>
        <w:t xml:space="preserve"> the very </w:t>
      </w:r>
      <w:r w:rsidR="00A17F05" w:rsidRPr="00CA51C6">
        <w:rPr>
          <w:rFonts w:eastAsia="Calibri"/>
        </w:rPr>
        <w:t>wide</w:t>
      </w:r>
      <w:r w:rsidRPr="00CA51C6">
        <w:rPr>
          <w:rFonts w:eastAsia="Calibri"/>
        </w:rPr>
        <w:t xml:space="preserve"> confidence intervals</w:t>
      </w:r>
      <w:r w:rsidR="002C7437" w:rsidRPr="00CA51C6">
        <w:rPr>
          <w:rFonts w:eastAsia="Calibri"/>
        </w:rPr>
        <w:t xml:space="preserve">. However, the ESC </w:t>
      </w:r>
      <w:r w:rsidR="00EC0AB7">
        <w:rPr>
          <w:rFonts w:eastAsia="Calibri"/>
        </w:rPr>
        <w:t xml:space="preserve">and the PBAC </w:t>
      </w:r>
      <w:r w:rsidR="002C7437" w:rsidRPr="00CA51C6">
        <w:rPr>
          <w:rFonts w:eastAsia="Calibri"/>
        </w:rPr>
        <w:t>acknowledged that:</w:t>
      </w:r>
    </w:p>
    <w:p w14:paraId="61C30D77" w14:textId="1E92BEEE" w:rsidR="00150917" w:rsidRPr="00CA51C6" w:rsidRDefault="00442457" w:rsidP="00F913DB">
      <w:pPr>
        <w:pStyle w:val="3-BodyText"/>
        <w:numPr>
          <w:ilvl w:val="0"/>
          <w:numId w:val="14"/>
        </w:numPr>
        <w:ind w:left="1077" w:hanging="357"/>
        <w:rPr>
          <w:rFonts w:eastAsia="Calibri"/>
        </w:rPr>
      </w:pPr>
      <w:r w:rsidRPr="00CA51C6">
        <w:t>R</w:t>
      </w:r>
      <w:r w:rsidR="00150917" w:rsidRPr="00CA51C6">
        <w:t>omiplostim, eltrombopag</w:t>
      </w:r>
      <w:r w:rsidRPr="00CA51C6">
        <w:t xml:space="preserve"> and </w:t>
      </w:r>
      <w:r w:rsidR="00150917" w:rsidRPr="00CA51C6">
        <w:t>avatrombopag</w:t>
      </w:r>
      <w:r w:rsidRPr="00CA51C6">
        <w:t xml:space="preserve"> are all</w:t>
      </w:r>
      <w:r w:rsidR="00150917" w:rsidRPr="00CA51C6">
        <w:t xml:space="preserve"> are effective versus placebo in ITP, but their relative efficacy has not been evaluated in head-to-head RCTs.</w:t>
      </w:r>
    </w:p>
    <w:p w14:paraId="75246666" w14:textId="6DD63103" w:rsidR="004B1D9A" w:rsidRPr="00CA51C6" w:rsidRDefault="004B1D9A" w:rsidP="00F913DB">
      <w:pPr>
        <w:pStyle w:val="ListBullet"/>
        <w:numPr>
          <w:ilvl w:val="0"/>
          <w:numId w:val="14"/>
        </w:numPr>
        <w:spacing w:after="120"/>
        <w:ind w:left="1077" w:hanging="357"/>
        <w:contextualSpacing w:val="0"/>
      </w:pPr>
      <w:r w:rsidRPr="00CA51C6">
        <w:t xml:space="preserve">While meta-analyses and </w:t>
      </w:r>
      <w:r w:rsidR="00C52F98">
        <w:t>real-world</w:t>
      </w:r>
      <w:r w:rsidRPr="00CA51C6">
        <w:t xml:space="preserve"> data did not provide definitive evidence that avatrombopag was non-inferior to eltrombopag, there was also no definitive signal of any difference in efficacy between the two oral TPO-RAs.</w:t>
      </w:r>
    </w:p>
    <w:p w14:paraId="16F16513" w14:textId="2A71D023" w:rsidR="004B1D9A" w:rsidRPr="00CA51C6" w:rsidRDefault="004B1D9A" w:rsidP="00F913DB">
      <w:pPr>
        <w:pStyle w:val="ListBullet"/>
        <w:numPr>
          <w:ilvl w:val="0"/>
          <w:numId w:val="14"/>
        </w:numPr>
        <w:spacing w:after="120"/>
        <w:ind w:left="1077" w:hanging="357"/>
        <w:contextualSpacing w:val="0"/>
      </w:pPr>
      <w:r w:rsidRPr="00CA51C6">
        <w:t>Unlike eltro</w:t>
      </w:r>
      <w:r w:rsidR="00A246BC" w:rsidRPr="00CA51C6">
        <w:t>mbopag, a</w:t>
      </w:r>
      <w:r w:rsidRPr="00CA51C6">
        <w:t>vatrombopag can be taken with food and without dietary restrictions</w:t>
      </w:r>
      <w:r w:rsidR="00A246BC" w:rsidRPr="00CA51C6">
        <w:t>, and unlike romiplostim, it is an oral treatment</w:t>
      </w:r>
      <w:r w:rsidRPr="00CA51C6">
        <w:t>.</w:t>
      </w:r>
    </w:p>
    <w:p w14:paraId="5A7B9360" w14:textId="7EB36F3F" w:rsidR="00620EC8" w:rsidRPr="001D67AF" w:rsidRDefault="00620EC8" w:rsidP="00AA0FE2">
      <w:pPr>
        <w:pStyle w:val="3-BodyText"/>
        <w:rPr>
          <w:rFonts w:eastAsia="Calibri"/>
        </w:rPr>
      </w:pPr>
      <w:r w:rsidRPr="001D67AF">
        <w:rPr>
          <w:rFonts w:eastAsia="Calibri"/>
        </w:rPr>
        <w:t xml:space="preserve">The submission </w:t>
      </w:r>
      <w:r w:rsidRPr="001D67AF">
        <w:t xml:space="preserve">also claimed that avatrombopag is non-inferior in efficacy and safety to romiplostim. </w:t>
      </w:r>
      <w:r w:rsidR="00491F6F" w:rsidRPr="00CA51C6">
        <w:rPr>
          <w:rFonts w:eastAsia="Calibri"/>
        </w:rPr>
        <w:t>The evaluation considered that</w:t>
      </w:r>
      <w:r w:rsidR="00491F6F">
        <w:rPr>
          <w:rFonts w:eastAsia="Calibri"/>
        </w:rPr>
        <w:t xml:space="preserve"> </w:t>
      </w:r>
      <w:r w:rsidR="00491F6F">
        <w:t>t</w:t>
      </w:r>
      <w:r w:rsidRPr="001D67AF">
        <w:t>his claim was not adequately supported. As with eltrombopag, the point estimates for some important outcomes were meaningfully different, and the small sample sizes mean that clinically significant differences could not be excluded.</w:t>
      </w:r>
    </w:p>
    <w:p w14:paraId="7F40BB14" w14:textId="13323892" w:rsidR="0065011D" w:rsidRPr="001D67AF" w:rsidRDefault="0065011D" w:rsidP="0065011D">
      <w:pPr>
        <w:pStyle w:val="3-BodyText"/>
      </w:pPr>
      <w:r w:rsidRPr="001D67AF">
        <w:t>In their consideration of eltrombopag for chronic ITP, the PBAC defined certain differences between results in the RAISE trial (eltrombopag vs placebo) and the Kuter 2008 trial (romiplostim vs placebo) as meaningful, notably the difference in the proportion of patients receiving rescue treatment: in RAISE, 38% eltrombopag vs 63% placebo, and in Kuter 2008, 22% romiplostim vs 60% placebo (section 7, eltrombopag PSD, November 2010 PBAC meeting). These differences are smaller than those between some important point estimates in Study 302 and RAISE.</w:t>
      </w:r>
    </w:p>
    <w:p w14:paraId="503AEA70" w14:textId="5D00AE3F" w:rsidR="0065011D" w:rsidRPr="000B52F2" w:rsidRDefault="0065011D" w:rsidP="0065011D">
      <w:pPr>
        <w:pStyle w:val="3-BodyText"/>
        <w:rPr>
          <w:rFonts w:eastAsia="Calibri"/>
        </w:rPr>
      </w:pPr>
      <w:r w:rsidRPr="001D67AF">
        <w:t xml:space="preserve">In March 2011, the PBAC did not accept that the data demonstrated non-inferiority of eltrombopag to romiplostim for chronic ITP, and recommended listing of eltrombopag </w:t>
      </w:r>
      <w:r w:rsidR="00480F86">
        <w:t>‘</w:t>
      </w:r>
      <w:r w:rsidRPr="001D67AF">
        <w:t>on the basis of acceptable cost effectiveness at the revised price (less effective and less expensive compared with romiplostim)</w:t>
      </w:r>
      <w:r w:rsidR="00480F86">
        <w:t>’</w:t>
      </w:r>
      <w:r w:rsidRPr="001D67AF">
        <w:t xml:space="preserve"> (section 12, eltrombopag PSD, March 2011 PBAC meeting).</w:t>
      </w:r>
    </w:p>
    <w:p w14:paraId="35469C89" w14:textId="6373C0EE" w:rsidR="000B52F2" w:rsidRPr="0039602B" w:rsidRDefault="000B52F2" w:rsidP="000B52F2">
      <w:pPr>
        <w:widowControl w:val="0"/>
        <w:numPr>
          <w:ilvl w:val="1"/>
          <w:numId w:val="1"/>
        </w:numPr>
        <w:spacing w:after="120"/>
        <w:rPr>
          <w:rFonts w:asciiTheme="minorHAnsi" w:hAnsiTheme="minorHAnsi"/>
          <w:snapToGrid w:val="0"/>
          <w:szCs w:val="20"/>
        </w:rPr>
      </w:pPr>
      <w:r w:rsidRPr="0039602B">
        <w:rPr>
          <w:rFonts w:asciiTheme="minorHAnsi" w:hAnsiTheme="minorHAnsi"/>
          <w:iCs/>
          <w:snapToGrid w:val="0"/>
        </w:rPr>
        <w:t>The</w:t>
      </w:r>
      <w:r w:rsidRPr="0039602B">
        <w:rPr>
          <w:rFonts w:asciiTheme="minorHAnsi" w:hAnsiTheme="minorHAnsi"/>
          <w:snapToGrid w:val="0"/>
          <w:szCs w:val="20"/>
        </w:rPr>
        <w:t xml:space="preserve"> PBAC considered the claim of non-inferior comparative effectiveness</w:t>
      </w:r>
      <w:r w:rsidR="00E30BAD" w:rsidRPr="0039602B">
        <w:rPr>
          <w:rFonts w:asciiTheme="minorHAnsi" w:hAnsiTheme="minorHAnsi"/>
          <w:snapToGrid w:val="0"/>
          <w:szCs w:val="20"/>
        </w:rPr>
        <w:t xml:space="preserve"> was</w:t>
      </w:r>
      <w:r w:rsidRPr="0039602B">
        <w:rPr>
          <w:rFonts w:asciiTheme="minorHAnsi" w:hAnsiTheme="minorHAnsi"/>
          <w:snapToGrid w:val="0"/>
          <w:szCs w:val="20"/>
        </w:rPr>
        <w:t xml:space="preserve"> </w:t>
      </w:r>
      <w:r w:rsidR="00E30BAD" w:rsidRPr="0039602B">
        <w:rPr>
          <w:rFonts w:asciiTheme="minorHAnsi" w:hAnsiTheme="minorHAnsi"/>
          <w:snapToGrid w:val="0"/>
          <w:szCs w:val="20"/>
        </w:rPr>
        <w:t xml:space="preserve">uncertain based on the indirect comparison presented in the submission; however, when considering the totality of the available evidence (including meta-analyses and </w:t>
      </w:r>
      <w:r w:rsidR="00C52F98" w:rsidRPr="0039602B">
        <w:rPr>
          <w:rFonts w:asciiTheme="minorHAnsi" w:hAnsiTheme="minorHAnsi"/>
          <w:snapToGrid w:val="0"/>
          <w:szCs w:val="20"/>
        </w:rPr>
        <w:t>real-world</w:t>
      </w:r>
      <w:r w:rsidR="00E30BAD" w:rsidRPr="0039602B">
        <w:rPr>
          <w:rFonts w:asciiTheme="minorHAnsi" w:hAnsiTheme="minorHAnsi"/>
          <w:snapToGrid w:val="0"/>
          <w:szCs w:val="20"/>
        </w:rPr>
        <w:t xml:space="preserve"> evidence raised by the ESC), considered the claim was, on balance, likely to </w:t>
      </w:r>
      <w:r w:rsidR="005107A7">
        <w:rPr>
          <w:rFonts w:asciiTheme="minorHAnsi" w:hAnsiTheme="minorHAnsi"/>
          <w:snapToGrid w:val="0"/>
          <w:szCs w:val="20"/>
        </w:rPr>
        <w:t>be reasonable</w:t>
      </w:r>
      <w:r w:rsidR="00E30BAD" w:rsidRPr="0039602B">
        <w:rPr>
          <w:rFonts w:asciiTheme="minorHAnsi" w:hAnsiTheme="minorHAnsi"/>
          <w:snapToGrid w:val="0"/>
          <w:szCs w:val="20"/>
        </w:rPr>
        <w:t>.</w:t>
      </w:r>
    </w:p>
    <w:p w14:paraId="182DEF6B" w14:textId="524E5696" w:rsidR="000B52F2" w:rsidRPr="0039602B" w:rsidRDefault="000B52F2" w:rsidP="000B52F2">
      <w:pPr>
        <w:pStyle w:val="3-BodyText"/>
        <w:rPr>
          <w:rFonts w:eastAsia="Calibri"/>
        </w:rPr>
      </w:pPr>
      <w:r w:rsidRPr="0039602B">
        <w:rPr>
          <w:szCs w:val="20"/>
        </w:rPr>
        <w:t xml:space="preserve">The PBAC considered that the claim of non-inferior comparative safety was </w:t>
      </w:r>
      <w:r w:rsidR="00E30BAD" w:rsidRPr="0039602B">
        <w:rPr>
          <w:szCs w:val="20"/>
        </w:rPr>
        <w:t xml:space="preserve">also uncertain due to the limited amount of available data, however considered the </w:t>
      </w:r>
      <w:r w:rsidR="004A58E8" w:rsidRPr="0039602B">
        <w:rPr>
          <w:szCs w:val="20"/>
        </w:rPr>
        <w:t>meta-analyses and real</w:t>
      </w:r>
      <w:r w:rsidR="006673E4">
        <w:rPr>
          <w:szCs w:val="20"/>
        </w:rPr>
        <w:t>-</w:t>
      </w:r>
      <w:r w:rsidR="004A58E8" w:rsidRPr="0039602B">
        <w:rPr>
          <w:szCs w:val="20"/>
        </w:rPr>
        <w:t>world evidence did not raise any additional safety signals.</w:t>
      </w:r>
    </w:p>
    <w:p w14:paraId="74A1172E" w14:textId="765F8BA3" w:rsidR="00B60939" w:rsidRPr="00C9624D" w:rsidRDefault="00B60939" w:rsidP="000D7094">
      <w:pPr>
        <w:pStyle w:val="4-SubsectionHeading"/>
      </w:pPr>
      <w:bookmarkStart w:id="42" w:name="_Toc22897645"/>
      <w:bookmarkStart w:id="43" w:name="_Toc113903634"/>
      <w:r w:rsidRPr="00C9624D">
        <w:t>Economic analysis</w:t>
      </w:r>
      <w:bookmarkEnd w:id="42"/>
      <w:bookmarkEnd w:id="43"/>
      <w:r w:rsidR="00491B3A" w:rsidRPr="00C9624D">
        <w:t xml:space="preserve"> </w:t>
      </w:r>
    </w:p>
    <w:p w14:paraId="616F9DB0" w14:textId="5AADD5F0" w:rsidR="00916689" w:rsidRDefault="00620EC8" w:rsidP="00916689">
      <w:pPr>
        <w:pStyle w:val="3-BodyText"/>
        <w:rPr>
          <w:b/>
          <w:bCs/>
          <w:i/>
          <w:iCs/>
          <w:lang w:val="en-US"/>
        </w:rPr>
      </w:pPr>
      <w:r w:rsidRPr="00083C00">
        <w:t xml:space="preserve">The submission presented a </w:t>
      </w:r>
      <w:r w:rsidR="003F20B3">
        <w:t>CMA for</w:t>
      </w:r>
      <w:r>
        <w:t xml:space="preserve"> the economic analysis</w:t>
      </w:r>
      <w:r w:rsidRPr="00083C00">
        <w:t xml:space="preserve">. </w:t>
      </w:r>
      <w:r>
        <w:t>The approach and assumptions are shown in</w:t>
      </w:r>
      <w:r w:rsidR="001C2498">
        <w:t xml:space="preserve"> </w:t>
      </w:r>
      <w:r w:rsidR="001C2498">
        <w:fldChar w:fldCharType="begin" w:fldLock="1"/>
      </w:r>
      <w:r w:rsidR="001C2498">
        <w:instrText xml:space="preserve"> REF _Ref112586543 \h </w:instrText>
      </w:r>
      <w:r w:rsidR="001C2498">
        <w:fldChar w:fldCharType="separate"/>
      </w:r>
      <w:r w:rsidR="0080246B">
        <w:t xml:space="preserve">Table </w:t>
      </w:r>
      <w:r w:rsidR="0080246B">
        <w:rPr>
          <w:noProof/>
        </w:rPr>
        <w:t>10</w:t>
      </w:r>
      <w:r w:rsidR="001C2498">
        <w:fldChar w:fldCharType="end"/>
      </w:r>
      <w:r>
        <w:t xml:space="preserve">. The prices were based on the </w:t>
      </w:r>
      <w:r>
        <w:lastRenderedPageBreak/>
        <w:t>published AEMP price for eltrombopag with the submission noting the SPA for that product</w:t>
      </w:r>
      <w:r w:rsidRPr="00356D2E">
        <w:rPr>
          <w:i/>
          <w:iCs/>
        </w:rPr>
        <w:t xml:space="preserve">. </w:t>
      </w:r>
      <w:r w:rsidRPr="001D67AF">
        <w:t xml:space="preserve">The analysis based on the effective price is shown in the </w:t>
      </w:r>
      <w:r w:rsidR="00442457" w:rsidRPr="00CA51C6">
        <w:t>Committee-In-Confidence (</w:t>
      </w:r>
      <w:r w:rsidRPr="00CA51C6">
        <w:t>CIC</w:t>
      </w:r>
      <w:r w:rsidR="00442457" w:rsidRPr="00CA51C6">
        <w:t>)</w:t>
      </w:r>
      <w:r w:rsidRPr="00CA51C6">
        <w:t xml:space="preserve"> </w:t>
      </w:r>
      <w:r w:rsidRPr="001D67AF">
        <w:t>section</w:t>
      </w:r>
      <w:r w:rsidR="008101CD">
        <w:t>.</w:t>
      </w:r>
      <w:r w:rsidRPr="001D67AF">
        <w:t xml:space="preserve"> </w:t>
      </w:r>
    </w:p>
    <w:p w14:paraId="79E9692C" w14:textId="50A71031" w:rsidR="00916689" w:rsidRPr="00656188" w:rsidRDefault="00916689" w:rsidP="00F913DB">
      <w:pPr>
        <w:pStyle w:val="TableHeading"/>
        <w:spacing w:after="0"/>
      </w:pPr>
      <w:bookmarkStart w:id="44" w:name="_Ref112586543"/>
      <w:r>
        <w:t xml:space="preserve">Table </w:t>
      </w:r>
      <w:fldSimple w:instr=" SEQ Table \* ARABIC " w:fldLock="1">
        <w:r w:rsidR="0080246B">
          <w:rPr>
            <w:noProof/>
          </w:rPr>
          <w:t>10</w:t>
        </w:r>
      </w:fldSimple>
      <w:bookmarkEnd w:id="44"/>
      <w:r w:rsidRPr="00656188">
        <w:t xml:space="preserve">: Key components and </w:t>
      </w:r>
      <w:r w:rsidRPr="00D929F2">
        <w:t>assumptions</w:t>
      </w:r>
      <w:r w:rsidRPr="00656188">
        <w:t xml:space="preserve"> of the cost-minimisation </w:t>
      </w:r>
      <w:r>
        <w:t>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404"/>
      </w:tblGrid>
      <w:tr w:rsidR="00916689" w:rsidRPr="00431E55" w14:paraId="44AC2AFC" w14:textId="77777777" w:rsidTr="00FF5CBC">
        <w:tc>
          <w:tcPr>
            <w:tcW w:w="1449" w:type="pct"/>
            <w:vAlign w:val="center"/>
          </w:tcPr>
          <w:p w14:paraId="0A74AA4F" w14:textId="77777777" w:rsidR="00916689" w:rsidRPr="00701739" w:rsidRDefault="00916689" w:rsidP="00916689">
            <w:pPr>
              <w:pStyle w:val="Tabletext"/>
              <w:rPr>
                <w:b/>
                <w:bCs/>
              </w:rPr>
            </w:pPr>
            <w:r w:rsidRPr="00701739">
              <w:rPr>
                <w:b/>
                <w:bCs/>
              </w:rPr>
              <w:t>Component</w:t>
            </w:r>
          </w:p>
        </w:tc>
        <w:tc>
          <w:tcPr>
            <w:tcW w:w="3551" w:type="pct"/>
            <w:vAlign w:val="center"/>
          </w:tcPr>
          <w:p w14:paraId="38B64CC6" w14:textId="77777777" w:rsidR="00916689" w:rsidRPr="00701739" w:rsidRDefault="00916689" w:rsidP="00916689">
            <w:pPr>
              <w:pStyle w:val="Tabletext"/>
              <w:rPr>
                <w:b/>
                <w:bCs/>
              </w:rPr>
            </w:pPr>
            <w:r w:rsidRPr="00701739">
              <w:rPr>
                <w:b/>
                <w:bCs/>
              </w:rPr>
              <w:t>Claim or assumption</w:t>
            </w:r>
          </w:p>
        </w:tc>
      </w:tr>
      <w:tr w:rsidR="00916689" w14:paraId="4EF55563" w14:textId="77777777" w:rsidTr="00FF5CBC">
        <w:tc>
          <w:tcPr>
            <w:tcW w:w="1449" w:type="pct"/>
            <w:vAlign w:val="center"/>
          </w:tcPr>
          <w:p w14:paraId="1BF9E455" w14:textId="77777777" w:rsidR="00916689" w:rsidRDefault="00916689" w:rsidP="00916689">
            <w:pPr>
              <w:pStyle w:val="Tabletext"/>
            </w:pPr>
            <w:r>
              <w:t>Therapeutic claim: effectiveness</w:t>
            </w:r>
          </w:p>
        </w:tc>
        <w:tc>
          <w:tcPr>
            <w:tcW w:w="3551" w:type="pct"/>
            <w:vAlign w:val="center"/>
          </w:tcPr>
          <w:p w14:paraId="5CB9621A" w14:textId="0B23E83F" w:rsidR="00916689" w:rsidRPr="005C3386" w:rsidRDefault="00916689" w:rsidP="00916689">
            <w:pPr>
              <w:pStyle w:val="Tabletext"/>
            </w:pPr>
            <w:r w:rsidRPr="005C3386">
              <w:t>Based on evidence presented, effectiveness is assumed to be non-inferior</w:t>
            </w:r>
          </w:p>
        </w:tc>
      </w:tr>
      <w:tr w:rsidR="00916689" w14:paraId="6663B77B" w14:textId="77777777" w:rsidTr="00FF5CBC">
        <w:tc>
          <w:tcPr>
            <w:tcW w:w="1449" w:type="pct"/>
            <w:vAlign w:val="center"/>
          </w:tcPr>
          <w:p w14:paraId="34D99DEB" w14:textId="77777777" w:rsidR="00916689" w:rsidRDefault="00916689" w:rsidP="00916689">
            <w:pPr>
              <w:pStyle w:val="Tabletext"/>
            </w:pPr>
            <w:r>
              <w:t>Therapeutic claim: safety</w:t>
            </w:r>
          </w:p>
        </w:tc>
        <w:tc>
          <w:tcPr>
            <w:tcW w:w="3551" w:type="pct"/>
            <w:vAlign w:val="center"/>
          </w:tcPr>
          <w:p w14:paraId="1B8C09E1" w14:textId="1818F961" w:rsidR="00916689" w:rsidRPr="005C3386" w:rsidRDefault="00916689" w:rsidP="00916689">
            <w:pPr>
              <w:pStyle w:val="Tabletext"/>
            </w:pPr>
            <w:r w:rsidRPr="005C3386">
              <w:t>Based on evidence presented, safety is assumed to be non-inferior</w:t>
            </w:r>
          </w:p>
        </w:tc>
      </w:tr>
      <w:tr w:rsidR="00916689" w14:paraId="490A0858" w14:textId="77777777" w:rsidTr="00FF5CBC">
        <w:tc>
          <w:tcPr>
            <w:tcW w:w="1449" w:type="pct"/>
            <w:vAlign w:val="center"/>
          </w:tcPr>
          <w:p w14:paraId="1A82D31C" w14:textId="77777777" w:rsidR="00916689" w:rsidRDefault="00916689" w:rsidP="00916689">
            <w:pPr>
              <w:pStyle w:val="Tabletext"/>
            </w:pPr>
            <w:r>
              <w:t>Evidence base</w:t>
            </w:r>
          </w:p>
        </w:tc>
        <w:tc>
          <w:tcPr>
            <w:tcW w:w="3551" w:type="pct"/>
            <w:vAlign w:val="center"/>
          </w:tcPr>
          <w:p w14:paraId="27E9A274" w14:textId="77777777" w:rsidR="00916689" w:rsidRDefault="00916689" w:rsidP="00916689">
            <w:pPr>
              <w:pStyle w:val="Tabletext"/>
            </w:pPr>
            <w:r>
              <w:t>Indirect comparison of proposed medicine and main comparator</w:t>
            </w:r>
          </w:p>
        </w:tc>
      </w:tr>
      <w:tr w:rsidR="00916689" w14:paraId="2E2BBC9A" w14:textId="77777777" w:rsidTr="00FF5CBC">
        <w:tc>
          <w:tcPr>
            <w:tcW w:w="1449" w:type="pct"/>
            <w:vAlign w:val="center"/>
          </w:tcPr>
          <w:p w14:paraId="20EEE765" w14:textId="77777777" w:rsidR="00916689" w:rsidRDefault="00916689" w:rsidP="00916689">
            <w:pPr>
              <w:pStyle w:val="Tabletext"/>
            </w:pPr>
            <w:r>
              <w:t>Equi-effective doses</w:t>
            </w:r>
          </w:p>
        </w:tc>
        <w:tc>
          <w:tcPr>
            <w:tcW w:w="3551" w:type="pct"/>
            <w:vAlign w:val="center"/>
          </w:tcPr>
          <w:p w14:paraId="082FD5DA" w14:textId="25F87891" w:rsidR="00916689" w:rsidRDefault="00916689" w:rsidP="00916689">
            <w:pPr>
              <w:pStyle w:val="Tabletext"/>
            </w:pPr>
            <w:r>
              <w:t>Avatrombopag 22.34 mg /day = eltrombopag 55.2 mg dose/day</w:t>
            </w:r>
          </w:p>
        </w:tc>
      </w:tr>
      <w:tr w:rsidR="00916689" w14:paraId="1726003A" w14:textId="77777777" w:rsidTr="00FF5CBC">
        <w:tc>
          <w:tcPr>
            <w:tcW w:w="1449" w:type="pct"/>
            <w:vAlign w:val="center"/>
          </w:tcPr>
          <w:p w14:paraId="5EEF2075" w14:textId="77777777" w:rsidR="00916689" w:rsidRDefault="00916689" w:rsidP="00916689">
            <w:pPr>
              <w:pStyle w:val="Tabletext"/>
            </w:pPr>
            <w:r>
              <w:t>Direct medicine costs</w:t>
            </w:r>
          </w:p>
        </w:tc>
        <w:tc>
          <w:tcPr>
            <w:tcW w:w="3551" w:type="pct"/>
            <w:vAlign w:val="center"/>
          </w:tcPr>
          <w:p w14:paraId="16BD1168" w14:textId="77777777" w:rsidR="00916689" w:rsidRDefault="00916689" w:rsidP="00916689">
            <w:pPr>
              <w:pStyle w:val="Tabletext"/>
            </w:pPr>
            <w:r>
              <w:t xml:space="preserve">Annual costs, based on published prices for eltrombopag: </w:t>
            </w:r>
          </w:p>
          <w:p w14:paraId="6E5181A5" w14:textId="77777777" w:rsidR="00916689" w:rsidRDefault="00916689" w:rsidP="00916689">
            <w:pPr>
              <w:pStyle w:val="Tabletext"/>
            </w:pPr>
            <w:r>
              <w:t>Avatrombopag: $37,542 per patient</w:t>
            </w:r>
          </w:p>
          <w:p w14:paraId="47E77FFE" w14:textId="77777777" w:rsidR="00916689" w:rsidRDefault="00916689" w:rsidP="00916689">
            <w:pPr>
              <w:pStyle w:val="Tabletext"/>
            </w:pPr>
            <w:r>
              <w:t>Eltrombopag: $37,235 per patient</w:t>
            </w:r>
          </w:p>
        </w:tc>
      </w:tr>
      <w:tr w:rsidR="00916689" w14:paraId="77CB424A" w14:textId="77777777" w:rsidTr="00FF5CBC">
        <w:tc>
          <w:tcPr>
            <w:tcW w:w="1449" w:type="pct"/>
            <w:vAlign w:val="center"/>
          </w:tcPr>
          <w:p w14:paraId="27E37974" w14:textId="77777777" w:rsidR="00916689" w:rsidRDefault="00916689" w:rsidP="00916689">
            <w:pPr>
              <w:pStyle w:val="Tabletext"/>
            </w:pPr>
            <w:r>
              <w:t>Other costs or cost offsets</w:t>
            </w:r>
          </w:p>
        </w:tc>
        <w:tc>
          <w:tcPr>
            <w:tcW w:w="3551" w:type="pct"/>
            <w:vAlign w:val="center"/>
          </w:tcPr>
          <w:p w14:paraId="5CB71C73" w14:textId="712DA837" w:rsidR="00916689" w:rsidRDefault="00916689" w:rsidP="00916689">
            <w:pPr>
              <w:pStyle w:val="Tabletext"/>
            </w:pPr>
            <w:r>
              <w:t>Annual costs of monitoring liver function tests during administration of eltromb</w:t>
            </w:r>
            <w:r w:rsidR="00407E95">
              <w:t>o</w:t>
            </w:r>
            <w:r>
              <w:t xml:space="preserve">pag included as cost offset, based on PI requirement for eltrombopag. </w:t>
            </w:r>
          </w:p>
        </w:tc>
      </w:tr>
    </w:tbl>
    <w:p w14:paraId="6A55BF3D" w14:textId="38F10EA1" w:rsidR="00916689" w:rsidRDefault="00916689" w:rsidP="00F913DB">
      <w:pPr>
        <w:pStyle w:val="TableFooter"/>
      </w:pPr>
      <w:r>
        <w:t xml:space="preserve">Source: Table 3.1, p94 </w:t>
      </w:r>
      <w:r w:rsidRPr="00D13A3E">
        <w:t xml:space="preserve">of the </w:t>
      </w:r>
      <w:r>
        <w:t>submission.</w:t>
      </w:r>
    </w:p>
    <w:p w14:paraId="12CB0132" w14:textId="77777777" w:rsidR="00F913DB" w:rsidRPr="00F913DB" w:rsidRDefault="00F913DB" w:rsidP="00F913DB">
      <w:pPr>
        <w:pStyle w:val="TableFooter"/>
        <w:rPr>
          <w:sz w:val="20"/>
        </w:rPr>
      </w:pPr>
    </w:p>
    <w:p w14:paraId="1805292A" w14:textId="70C269F6" w:rsidR="00DE5303" w:rsidRPr="001D67AF" w:rsidRDefault="00DE5303" w:rsidP="005242C9">
      <w:pPr>
        <w:pStyle w:val="3-BodyText"/>
      </w:pPr>
      <w:r w:rsidRPr="001D67AF">
        <w:t>The proposed equi-effective doses were estimated as 22.</w:t>
      </w:r>
      <w:r w:rsidR="00AC6727" w:rsidRPr="001D67AF">
        <w:t>34</w:t>
      </w:r>
      <w:r w:rsidR="00AC6727">
        <w:t> </w:t>
      </w:r>
      <w:r w:rsidRPr="001D67AF">
        <w:t>mg avatrombopag daily and 55.</w:t>
      </w:r>
      <w:r w:rsidR="00AC6727" w:rsidRPr="001D67AF">
        <w:t>2</w:t>
      </w:r>
      <w:r w:rsidR="00AC6727">
        <w:t> </w:t>
      </w:r>
      <w:r w:rsidRPr="001D67AF">
        <w:t>mg eltrombopag daily, until the platelet count increases, or unacceptable toxicity occurs. This estimate was based on the indirect comparison of the trials in the submission.</w:t>
      </w:r>
    </w:p>
    <w:p w14:paraId="5C52F404" w14:textId="7ACA71B7" w:rsidR="00DE5303" w:rsidRPr="00CA51C6" w:rsidRDefault="00DE5303" w:rsidP="00DE5303">
      <w:pPr>
        <w:pStyle w:val="3-BodyText"/>
      </w:pPr>
      <w:r w:rsidRPr="00CA51C6">
        <w:t>T</w:t>
      </w:r>
      <w:r w:rsidR="005D3E1E" w:rsidRPr="00CA51C6">
        <w:t>he evaluation considered that t</w:t>
      </w:r>
      <w:r w:rsidRPr="00CA51C6">
        <w:t xml:space="preserve">his estimate </w:t>
      </w:r>
      <w:r w:rsidR="005D3E1E" w:rsidRPr="00CA51C6">
        <w:t>may</w:t>
      </w:r>
      <w:r w:rsidRPr="00CA51C6">
        <w:t xml:space="preserve"> not</w:t>
      </w:r>
      <w:r w:rsidR="005D3E1E" w:rsidRPr="00CA51C6">
        <w:t xml:space="preserve"> be</w:t>
      </w:r>
      <w:r w:rsidRPr="00CA51C6">
        <w:t xml:space="preserve"> reasonable </w:t>
      </w:r>
      <w:r w:rsidR="005D3E1E" w:rsidRPr="00CA51C6">
        <w:t xml:space="preserve">if </w:t>
      </w:r>
      <w:r w:rsidRPr="00CA51C6">
        <w:t>the trial-based comparison</w:t>
      </w:r>
      <w:r w:rsidR="005D3E1E" w:rsidRPr="00CA51C6">
        <w:t xml:space="preserve"> of avatrombopag with eltrombopag </w:t>
      </w:r>
      <w:r w:rsidR="00442457" w:rsidRPr="00CA51C6">
        <w:t>does not adequately</w:t>
      </w:r>
      <w:r w:rsidRPr="00CA51C6">
        <w:t xml:space="preserve"> support non-inferiority. If avatrombopag is inferior to eltrombopag in clinical practice, higher doses of avatrombopag are likely to be used.</w:t>
      </w:r>
      <w:r w:rsidR="005242C9">
        <w:t xml:space="preserve"> </w:t>
      </w:r>
      <w:r w:rsidR="005242C9" w:rsidRPr="005242C9">
        <w:t xml:space="preserve">However, the PBAC considered the real-world evidence presented in Al‐Samkari et al 2022 (described in </w:t>
      </w:r>
      <w:r w:rsidR="005242C9" w:rsidRPr="00EF40A9">
        <w:t>paragraph</w:t>
      </w:r>
      <w:r w:rsidR="00EF40A9">
        <w:t xml:space="preserve"> </w:t>
      </w:r>
      <w:r w:rsidR="00EF40A9">
        <w:fldChar w:fldCharType="begin" w:fldLock="1"/>
      </w:r>
      <w:r w:rsidR="00EF40A9">
        <w:instrText xml:space="preserve"> REF _Ref119311036 \r \h </w:instrText>
      </w:r>
      <w:r w:rsidR="00EF40A9">
        <w:fldChar w:fldCharType="separate"/>
      </w:r>
      <w:r w:rsidR="00EF40A9">
        <w:t>6.21</w:t>
      </w:r>
      <w:r w:rsidR="00EF40A9">
        <w:fldChar w:fldCharType="end"/>
      </w:r>
      <w:r w:rsidR="005242C9" w:rsidRPr="005242C9">
        <w:t>) was informative for triangulating the likely dose in practice and noted the mean weekly avatrombopag dose observed was 154.</w:t>
      </w:r>
      <w:r w:rsidR="00785D06" w:rsidRPr="005242C9">
        <w:t>1</w:t>
      </w:r>
      <w:r w:rsidR="00785D06">
        <w:t> </w:t>
      </w:r>
      <w:r w:rsidR="005242C9" w:rsidRPr="005242C9">
        <w:t>mg (22.</w:t>
      </w:r>
      <w:r w:rsidR="00785D06" w:rsidRPr="005242C9">
        <w:t>01</w:t>
      </w:r>
      <w:r w:rsidR="00785D06">
        <w:t> </w:t>
      </w:r>
      <w:r w:rsidR="005242C9" w:rsidRPr="005242C9">
        <w:t>mg daily)</w:t>
      </w:r>
      <w:r w:rsidR="005242C9">
        <w:t>, and also noted this was similar to the proposed trial-based equi-effective dose for avatrombopag.</w:t>
      </w:r>
    </w:p>
    <w:p w14:paraId="51F2DBB7" w14:textId="796CD7C8" w:rsidR="00DE5303" w:rsidRPr="00CA51C6" w:rsidRDefault="00DE5303" w:rsidP="00DE5303">
      <w:pPr>
        <w:pStyle w:val="3-BodyText"/>
      </w:pPr>
      <w:r w:rsidRPr="00CA51C6">
        <w:t>T</w:t>
      </w:r>
      <w:r w:rsidR="005D3E1E" w:rsidRPr="00CA51C6">
        <w:t>he evaluation also considered that t</w:t>
      </w:r>
      <w:r w:rsidRPr="00CA51C6">
        <w:t>aking the equi-effective dose as the mean dose used in the trial is unreasonable because</w:t>
      </w:r>
      <w:r w:rsidRPr="001D67AF">
        <w:t xml:space="preserve"> only the 20</w:t>
      </w:r>
      <w:r w:rsidR="00785D06">
        <w:t> </w:t>
      </w:r>
      <w:r w:rsidRPr="001D67AF">
        <w:t xml:space="preserve">mg dose of avatrombopag </w:t>
      </w:r>
      <w:r w:rsidRPr="004A58E8">
        <w:t>will be</w:t>
      </w:r>
      <w:r w:rsidR="00B408AF" w:rsidRPr="004A58E8">
        <w:t xml:space="preserve"> PBS listed and</w:t>
      </w:r>
      <w:r w:rsidRPr="001D67AF">
        <w:t xml:space="preserve"> used in practice, with dose adjustment achieved by varying the do</w:t>
      </w:r>
      <w:r w:rsidR="00375F62">
        <w:t>s</w:t>
      </w:r>
      <w:r w:rsidRPr="001D67AF">
        <w:t>ing interval. Therefore, the doses in practice will not be identical to those used in the trial</w:t>
      </w:r>
      <w:r w:rsidR="00B408AF">
        <w:t xml:space="preserve">. </w:t>
      </w:r>
      <w:r w:rsidR="00B408AF" w:rsidRPr="001D67AF">
        <w:t xml:space="preserve">For example, in the trial, patients requiring a dose increase from </w:t>
      </w:r>
      <w:r w:rsidR="00354BB5" w:rsidRPr="001D67AF">
        <w:t>20</w:t>
      </w:r>
      <w:r w:rsidR="00354BB5">
        <w:t> </w:t>
      </w:r>
      <w:r w:rsidR="00B408AF" w:rsidRPr="001D67AF">
        <w:t xml:space="preserve">mg daily took </w:t>
      </w:r>
      <w:r w:rsidR="00354BB5" w:rsidRPr="001D67AF">
        <w:t>30</w:t>
      </w:r>
      <w:r w:rsidR="00354BB5">
        <w:t> </w:t>
      </w:r>
      <w:r w:rsidR="00B408AF" w:rsidRPr="001D67AF">
        <w:t xml:space="preserve">mg daily. In </w:t>
      </w:r>
      <w:r w:rsidR="00B408AF" w:rsidRPr="00442457">
        <w:t xml:space="preserve">clinical </w:t>
      </w:r>
      <w:r w:rsidR="00B408AF" w:rsidRPr="001D67AF">
        <w:t>practice</w:t>
      </w:r>
      <w:r w:rsidR="00B408AF">
        <w:t>,</w:t>
      </w:r>
      <w:r w:rsidR="00B408AF" w:rsidRPr="001D67AF">
        <w:t xml:space="preserve"> those patients will be asked to take </w:t>
      </w:r>
      <w:r w:rsidR="00354BB5" w:rsidRPr="001D67AF">
        <w:t>20</w:t>
      </w:r>
      <w:r w:rsidR="00354BB5">
        <w:t> </w:t>
      </w:r>
      <w:r w:rsidR="00B408AF" w:rsidRPr="001D67AF">
        <w:t xml:space="preserve">mg four times a week and </w:t>
      </w:r>
      <w:r w:rsidR="00354BB5" w:rsidRPr="001D67AF">
        <w:t>40</w:t>
      </w:r>
      <w:r w:rsidR="00354BB5">
        <w:t> </w:t>
      </w:r>
      <w:r w:rsidR="00B408AF" w:rsidRPr="001D67AF">
        <w:t xml:space="preserve">mg three times a week. Because this complex schedule is likely to cause errors in dosing, clinicians may elect to use </w:t>
      </w:r>
      <w:r w:rsidR="00354BB5" w:rsidRPr="001D67AF">
        <w:t>40</w:t>
      </w:r>
      <w:r w:rsidR="00354BB5">
        <w:t> </w:t>
      </w:r>
      <w:r w:rsidR="00B408AF" w:rsidRPr="001D67AF">
        <w:t xml:space="preserve">mg </w:t>
      </w:r>
      <w:r w:rsidR="00B408AF" w:rsidRPr="00CA51C6">
        <w:t>daily.</w:t>
      </w:r>
      <w:r w:rsidRPr="00CA51C6">
        <w:t xml:space="preserve"> </w:t>
      </w:r>
      <w:r w:rsidR="005D3E1E" w:rsidRPr="00CA51C6">
        <w:t>The ESC considered calculation of the equi-effective dose to be challenging, given that clinicians are likely to round the dose up or down to make it simple</w:t>
      </w:r>
      <w:r w:rsidR="00B408AF" w:rsidRPr="00CA51C6">
        <w:t>r</w:t>
      </w:r>
      <w:r w:rsidR="005D3E1E" w:rsidRPr="00CA51C6">
        <w:t xml:space="preserve"> for the patient, and micro-adjustments that were possible in Study 302 would not be possible in clinical practice.</w:t>
      </w:r>
      <w:r w:rsidR="003F20B3">
        <w:t xml:space="preserve"> While the PBAC acknowledged this issue, it considered that the proposed trial-based avatrombopag equi-effective daily dose (22.</w:t>
      </w:r>
      <w:r w:rsidR="00354BB5">
        <w:t>34 </w:t>
      </w:r>
      <w:r w:rsidR="003F20B3">
        <w:t xml:space="preserve">mg) could be reconciled with real-world published dosages (see </w:t>
      </w:r>
      <w:r w:rsidR="003F20B3" w:rsidRPr="00EF40A9">
        <w:t xml:space="preserve">paragraph </w:t>
      </w:r>
      <w:r w:rsidR="00EF40A9">
        <w:fldChar w:fldCharType="begin" w:fldLock="1"/>
      </w:r>
      <w:r w:rsidR="00EF40A9">
        <w:instrText xml:space="preserve"> REF _Ref118727999 \r \h </w:instrText>
      </w:r>
      <w:r w:rsidR="00EF40A9">
        <w:fldChar w:fldCharType="separate"/>
      </w:r>
      <w:r w:rsidR="00EF40A9">
        <w:t>7.2</w:t>
      </w:r>
      <w:r w:rsidR="00EF40A9">
        <w:fldChar w:fldCharType="end"/>
      </w:r>
      <w:r w:rsidR="00EF40A9">
        <w:t xml:space="preserve"> </w:t>
      </w:r>
      <w:r w:rsidR="003F20B3">
        <w:t xml:space="preserve">below). </w:t>
      </w:r>
    </w:p>
    <w:p w14:paraId="3F2CD292" w14:textId="056532A2" w:rsidR="00B206FC" w:rsidRPr="001D67AF" w:rsidRDefault="00C44D11" w:rsidP="00B206FC">
      <w:pPr>
        <w:pStyle w:val="3-BodyText"/>
      </w:pPr>
      <w:r w:rsidRPr="00CA51C6">
        <w:lastRenderedPageBreak/>
        <w:t xml:space="preserve">The evaluation noted </w:t>
      </w:r>
      <w:r w:rsidR="00B206FC" w:rsidRPr="00CA51C6">
        <w:t>the</w:t>
      </w:r>
      <w:r w:rsidR="00B206FC" w:rsidRPr="001D67AF">
        <w:t xml:space="preserve"> complexity of the dosing regimen for avatrombopag </w:t>
      </w:r>
      <w:r w:rsidR="00B206FC" w:rsidRPr="00C44D11">
        <w:t>in the proposed PI means</w:t>
      </w:r>
      <w:r w:rsidR="00B206FC" w:rsidRPr="001D67AF">
        <w:t xml:space="preserve"> that any substitution of avatrombopag for eltrombopag</w:t>
      </w:r>
      <w:r w:rsidR="003F20B3">
        <w:t xml:space="preserve"> may not</w:t>
      </w:r>
      <w:r w:rsidR="00B206FC" w:rsidRPr="001D67AF">
        <w:t xml:space="preserve"> be straightforward. The two dosage strengths for eltrombopag mean that dose titration is relatively simple; </w:t>
      </w:r>
      <w:r w:rsidR="007F23C6" w:rsidRPr="001D67AF">
        <w:t>similarly,</w:t>
      </w:r>
      <w:r w:rsidR="00B206FC" w:rsidRPr="001D67AF">
        <w:t xml:space="preserve"> for romiplostim</w:t>
      </w:r>
      <w:r w:rsidR="00EB1036">
        <w:t xml:space="preserve">, </w:t>
      </w:r>
      <w:r w:rsidR="00EB1036" w:rsidRPr="00CA51C6">
        <w:t>it is straightforward to titrate</w:t>
      </w:r>
      <w:r w:rsidR="00B206FC" w:rsidRPr="001D67AF">
        <w:t>.</w:t>
      </w:r>
      <w:r w:rsidR="003F20B3">
        <w:t xml:space="preserve"> </w:t>
      </w:r>
    </w:p>
    <w:p w14:paraId="1D020F98" w14:textId="73038519" w:rsidR="00B206FC" w:rsidRPr="00CA51C6" w:rsidRDefault="00B206FC" w:rsidP="00B206FC">
      <w:pPr>
        <w:pStyle w:val="3-BodyText"/>
        <w:rPr>
          <w:iCs/>
        </w:rPr>
      </w:pPr>
      <w:r w:rsidRPr="001D67AF">
        <w:t xml:space="preserve">The submission included the annual costs of liver function tests (LFTs) performed as a requirement for use of eltrombopag as a cost offset. The frequency of LFTs was justified on the basis of the recommendation in the TGA Public Assessment Report dated 2013, which suggested monitoring LFTs every 2-4 weeks. The submission therefore included the cost of LFT monitoring every 3 weeks in its estimation of the annual cost of eltrombopag, a total of 17.38 tests per year. No justification based on current guidelines or practice was presented to confirm whether this requirement is still reasonable. </w:t>
      </w:r>
      <w:r w:rsidR="00836ACE" w:rsidRPr="00CA51C6">
        <w:rPr>
          <w:iCs/>
        </w:rPr>
        <w:t xml:space="preserve">The PSCR stated the Sponsor is willing to accept uncertainty around frequency of LFTs and has removed it as a cost-offset in the </w:t>
      </w:r>
      <w:r w:rsidR="00442457" w:rsidRPr="00CA51C6">
        <w:rPr>
          <w:iCs/>
        </w:rPr>
        <w:t>CMA</w:t>
      </w:r>
      <w:r w:rsidR="00836ACE" w:rsidRPr="00CA51C6">
        <w:rPr>
          <w:iCs/>
        </w:rPr>
        <w:t>. This update reduced the proposed published EMP for avatrombopag to $2,737.96 per pack.</w:t>
      </w:r>
    </w:p>
    <w:p w14:paraId="54562B5C" w14:textId="5945BFE1" w:rsidR="00387EBB" w:rsidRPr="001D67AF" w:rsidRDefault="00387EBB" w:rsidP="00387EBB">
      <w:pPr>
        <w:pStyle w:val="3-BodyText"/>
      </w:pPr>
      <w:r w:rsidRPr="001D67AF">
        <w:t>The results of the analysis as presented in the submission, based on the published AEMP for eltrombopag</w:t>
      </w:r>
      <w:r w:rsidR="00682E21">
        <w:t>,</w:t>
      </w:r>
      <w:r w:rsidRPr="001D67AF">
        <w:t xml:space="preserve"> are shown in </w:t>
      </w:r>
      <w:r w:rsidR="001C2498" w:rsidRPr="001D67AF">
        <w:fldChar w:fldCharType="begin" w:fldLock="1"/>
      </w:r>
      <w:r w:rsidR="001C2498" w:rsidRPr="001D67AF">
        <w:instrText xml:space="preserve"> REF _Ref112056037 \h </w:instrText>
      </w:r>
      <w:r w:rsidR="001D67AF" w:rsidRPr="001D67AF">
        <w:instrText xml:space="preserve"> \* MERGEFORMAT </w:instrText>
      </w:r>
      <w:r w:rsidR="001C2498" w:rsidRPr="001D67AF">
        <w:fldChar w:fldCharType="separate"/>
      </w:r>
      <w:r w:rsidR="0080246B">
        <w:t xml:space="preserve">Table </w:t>
      </w:r>
      <w:r w:rsidR="0080246B">
        <w:rPr>
          <w:noProof/>
        </w:rPr>
        <w:t>11</w:t>
      </w:r>
      <w:r w:rsidR="001C2498" w:rsidRPr="001D67AF">
        <w:fldChar w:fldCharType="end"/>
      </w:r>
      <w:r w:rsidRPr="001D67AF">
        <w:t xml:space="preserve"> </w:t>
      </w:r>
      <w:r w:rsidR="00650E9F" w:rsidRPr="001D67AF">
        <w:t>.</w:t>
      </w:r>
      <w:r w:rsidRPr="001D67AF">
        <w:t xml:space="preserve"> </w:t>
      </w:r>
    </w:p>
    <w:p w14:paraId="1DA5769C" w14:textId="601C4CAE" w:rsidR="00387EBB" w:rsidRDefault="00387EBB" w:rsidP="00F913DB">
      <w:pPr>
        <w:pStyle w:val="TableHeading"/>
        <w:spacing w:after="0"/>
        <w:rPr>
          <w:iCs/>
        </w:rPr>
      </w:pPr>
      <w:bookmarkStart w:id="45" w:name="_Ref112056037"/>
      <w:r>
        <w:t xml:space="preserve">Table </w:t>
      </w:r>
      <w:fldSimple w:instr=" SEQ Table \* ARABIC " w:fldLock="1">
        <w:r w:rsidR="0080246B">
          <w:rPr>
            <w:noProof/>
          </w:rPr>
          <w:t>11</w:t>
        </w:r>
      </w:fldSimple>
      <w:bookmarkEnd w:id="45"/>
      <w:r>
        <w:t>: Calculation of the proposed price for avatrombopag over one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1109"/>
        <w:gridCol w:w="970"/>
        <w:gridCol w:w="1472"/>
        <w:gridCol w:w="1564"/>
        <w:gridCol w:w="3551"/>
      </w:tblGrid>
      <w:tr w:rsidR="00387EBB" w:rsidRPr="0014650B" w14:paraId="01EE74BF" w14:textId="77777777" w:rsidTr="00FF5CBC">
        <w:tc>
          <w:tcPr>
            <w:tcW w:w="195" w:type="pct"/>
            <w:tcBorders>
              <w:bottom w:val="single" w:sz="4" w:space="0" w:color="auto"/>
            </w:tcBorders>
            <w:shd w:val="clear" w:color="auto" w:fill="auto"/>
            <w:noWrap/>
            <w:vAlign w:val="bottom"/>
            <w:hideMark/>
          </w:tcPr>
          <w:p w14:paraId="6FC3FB83" w14:textId="77777777" w:rsidR="00387EBB" w:rsidRPr="0014650B" w:rsidRDefault="00387EBB" w:rsidP="00387EBB">
            <w:pPr>
              <w:pStyle w:val="TableText0"/>
            </w:pPr>
          </w:p>
        </w:tc>
        <w:tc>
          <w:tcPr>
            <w:tcW w:w="615" w:type="pct"/>
            <w:tcBorders>
              <w:bottom w:val="single" w:sz="4" w:space="0" w:color="auto"/>
              <w:right w:val="nil"/>
            </w:tcBorders>
            <w:shd w:val="clear" w:color="auto" w:fill="auto"/>
            <w:noWrap/>
            <w:vAlign w:val="bottom"/>
            <w:hideMark/>
          </w:tcPr>
          <w:p w14:paraId="4C94BD4F" w14:textId="77777777" w:rsidR="00387EBB" w:rsidRPr="0014650B" w:rsidRDefault="00387EBB" w:rsidP="00387EBB">
            <w:pPr>
              <w:pStyle w:val="TableText0"/>
              <w:rPr>
                <w:rFonts w:cs="Times New Roman"/>
              </w:rPr>
            </w:pPr>
          </w:p>
        </w:tc>
        <w:tc>
          <w:tcPr>
            <w:tcW w:w="538" w:type="pct"/>
            <w:tcBorders>
              <w:left w:val="nil"/>
              <w:bottom w:val="single" w:sz="4" w:space="0" w:color="auto"/>
            </w:tcBorders>
            <w:shd w:val="clear" w:color="auto" w:fill="auto"/>
            <w:noWrap/>
            <w:vAlign w:val="bottom"/>
            <w:hideMark/>
          </w:tcPr>
          <w:p w14:paraId="012F6F1F" w14:textId="77777777" w:rsidR="00387EBB" w:rsidRPr="0014650B" w:rsidRDefault="00387EBB" w:rsidP="00387EBB">
            <w:pPr>
              <w:pStyle w:val="TableText0"/>
              <w:rPr>
                <w:rFonts w:cs="Times New Roman"/>
              </w:rPr>
            </w:pPr>
          </w:p>
        </w:tc>
        <w:tc>
          <w:tcPr>
            <w:tcW w:w="816" w:type="pct"/>
            <w:tcBorders>
              <w:bottom w:val="single" w:sz="4" w:space="0" w:color="auto"/>
            </w:tcBorders>
            <w:shd w:val="clear" w:color="auto" w:fill="auto"/>
            <w:noWrap/>
            <w:vAlign w:val="bottom"/>
            <w:hideMark/>
          </w:tcPr>
          <w:p w14:paraId="13C6AF90" w14:textId="77777777" w:rsidR="00387EBB" w:rsidRPr="0014650B" w:rsidRDefault="00387EBB" w:rsidP="008A3301">
            <w:pPr>
              <w:pStyle w:val="TableText0"/>
              <w:jc w:val="center"/>
              <w:rPr>
                <w:b/>
              </w:rPr>
            </w:pPr>
            <w:r w:rsidRPr="0014650B">
              <w:rPr>
                <w:b/>
              </w:rPr>
              <w:t>Avatrom</w:t>
            </w:r>
            <w:r>
              <w:rPr>
                <w:b/>
              </w:rPr>
              <w:t>bopag</w:t>
            </w:r>
          </w:p>
        </w:tc>
        <w:tc>
          <w:tcPr>
            <w:tcW w:w="867" w:type="pct"/>
            <w:tcBorders>
              <w:bottom w:val="single" w:sz="4" w:space="0" w:color="auto"/>
            </w:tcBorders>
            <w:shd w:val="clear" w:color="auto" w:fill="auto"/>
            <w:noWrap/>
            <w:vAlign w:val="bottom"/>
            <w:hideMark/>
          </w:tcPr>
          <w:p w14:paraId="4849DCBD" w14:textId="77777777" w:rsidR="00387EBB" w:rsidRPr="0014650B" w:rsidRDefault="00387EBB" w:rsidP="008A3301">
            <w:pPr>
              <w:pStyle w:val="TableText0"/>
              <w:jc w:val="center"/>
              <w:rPr>
                <w:b/>
              </w:rPr>
            </w:pPr>
            <w:r w:rsidRPr="0014650B">
              <w:rPr>
                <w:b/>
              </w:rPr>
              <w:t>Eltrom</w:t>
            </w:r>
            <w:r>
              <w:rPr>
                <w:b/>
              </w:rPr>
              <w:t>bopag</w:t>
            </w:r>
          </w:p>
        </w:tc>
        <w:tc>
          <w:tcPr>
            <w:tcW w:w="1970" w:type="pct"/>
            <w:tcBorders>
              <w:bottom w:val="single" w:sz="4" w:space="0" w:color="auto"/>
            </w:tcBorders>
            <w:shd w:val="clear" w:color="auto" w:fill="auto"/>
            <w:noWrap/>
            <w:vAlign w:val="bottom"/>
            <w:hideMark/>
          </w:tcPr>
          <w:p w14:paraId="54A61131" w14:textId="5CD04477" w:rsidR="00387EBB" w:rsidRPr="0014650B" w:rsidRDefault="00387EBB" w:rsidP="00387EBB">
            <w:pPr>
              <w:pStyle w:val="TableText0"/>
              <w:rPr>
                <w:b/>
              </w:rPr>
            </w:pPr>
            <w:r w:rsidRPr="0014650B">
              <w:rPr>
                <w:b/>
              </w:rPr>
              <w:t>Source</w:t>
            </w:r>
          </w:p>
        </w:tc>
      </w:tr>
      <w:tr w:rsidR="00387EBB" w:rsidRPr="0014650B" w14:paraId="2DA12214" w14:textId="77777777" w:rsidTr="00FF5CBC">
        <w:tc>
          <w:tcPr>
            <w:tcW w:w="195" w:type="pct"/>
            <w:tcBorders>
              <w:bottom w:val="nil"/>
            </w:tcBorders>
            <w:shd w:val="clear" w:color="auto" w:fill="auto"/>
            <w:noWrap/>
            <w:vAlign w:val="bottom"/>
            <w:hideMark/>
          </w:tcPr>
          <w:p w14:paraId="3401851A" w14:textId="77777777" w:rsidR="00387EBB" w:rsidRPr="0014650B" w:rsidRDefault="00387EBB" w:rsidP="00387EBB">
            <w:pPr>
              <w:pStyle w:val="TableText0"/>
            </w:pPr>
            <w:r w:rsidRPr="0014650B">
              <w:t>A</w:t>
            </w:r>
          </w:p>
        </w:tc>
        <w:tc>
          <w:tcPr>
            <w:tcW w:w="1153" w:type="pct"/>
            <w:gridSpan w:val="2"/>
            <w:tcBorders>
              <w:bottom w:val="nil"/>
            </w:tcBorders>
            <w:shd w:val="clear" w:color="auto" w:fill="auto"/>
            <w:noWrap/>
            <w:vAlign w:val="bottom"/>
            <w:hideMark/>
          </w:tcPr>
          <w:p w14:paraId="395BF563" w14:textId="77777777" w:rsidR="00387EBB" w:rsidRPr="0014650B" w:rsidRDefault="00387EBB" w:rsidP="00387EBB">
            <w:pPr>
              <w:pStyle w:val="TableText0"/>
            </w:pPr>
            <w:r w:rsidRPr="0014650B">
              <w:t>AEMP (published)</w:t>
            </w:r>
          </w:p>
        </w:tc>
        <w:tc>
          <w:tcPr>
            <w:tcW w:w="816" w:type="pct"/>
            <w:tcBorders>
              <w:bottom w:val="nil"/>
            </w:tcBorders>
            <w:shd w:val="clear" w:color="auto" w:fill="auto"/>
            <w:noWrap/>
            <w:vAlign w:val="bottom"/>
            <w:hideMark/>
          </w:tcPr>
          <w:p w14:paraId="17E1B7A0" w14:textId="77777777" w:rsidR="00387EBB" w:rsidRPr="0014650B" w:rsidRDefault="00387EBB" w:rsidP="008A3301">
            <w:pPr>
              <w:pStyle w:val="TableText0"/>
              <w:jc w:val="center"/>
            </w:pPr>
            <w:r w:rsidRPr="0014650B">
              <w:t>$2,760.58</w:t>
            </w:r>
          </w:p>
        </w:tc>
        <w:tc>
          <w:tcPr>
            <w:tcW w:w="867" w:type="pct"/>
            <w:tcBorders>
              <w:bottom w:val="nil"/>
            </w:tcBorders>
            <w:shd w:val="clear" w:color="auto" w:fill="auto"/>
            <w:noWrap/>
            <w:vAlign w:val="bottom"/>
            <w:hideMark/>
          </w:tcPr>
          <w:p w14:paraId="494E34BD" w14:textId="77777777" w:rsidR="00387EBB" w:rsidRPr="0014650B" w:rsidRDefault="00387EBB" w:rsidP="008A3301">
            <w:pPr>
              <w:pStyle w:val="TableText0"/>
              <w:jc w:val="center"/>
            </w:pPr>
            <w:r w:rsidRPr="0014650B">
              <w:t>$2,585.52</w:t>
            </w:r>
          </w:p>
        </w:tc>
        <w:tc>
          <w:tcPr>
            <w:tcW w:w="1970" w:type="pct"/>
            <w:tcBorders>
              <w:bottom w:val="nil"/>
            </w:tcBorders>
            <w:shd w:val="clear" w:color="auto" w:fill="auto"/>
            <w:noWrap/>
            <w:vAlign w:val="bottom"/>
            <w:hideMark/>
          </w:tcPr>
          <w:p w14:paraId="584A18AA" w14:textId="77777777" w:rsidR="00387EBB" w:rsidRPr="0014650B" w:rsidRDefault="00387EBB" w:rsidP="00387EBB">
            <w:pPr>
              <w:pStyle w:val="TableText0"/>
            </w:pPr>
            <w:r w:rsidRPr="0014650B">
              <w:t>Eltrombopag = ex-man price</w:t>
            </w:r>
            <w:r>
              <w:t xml:space="preserve"> </w:t>
            </w:r>
            <w:r w:rsidRPr="00C76EE1">
              <w:t>5826P</w:t>
            </w:r>
            <w:r>
              <w:t xml:space="preserve"> 50 mg</w:t>
            </w:r>
          </w:p>
        </w:tc>
      </w:tr>
      <w:tr w:rsidR="00387EBB" w:rsidRPr="0014650B" w14:paraId="0E98FCF7" w14:textId="77777777" w:rsidTr="00FF5CBC">
        <w:tc>
          <w:tcPr>
            <w:tcW w:w="195" w:type="pct"/>
            <w:tcBorders>
              <w:top w:val="nil"/>
              <w:bottom w:val="single" w:sz="4" w:space="0" w:color="auto"/>
            </w:tcBorders>
            <w:shd w:val="clear" w:color="auto" w:fill="auto"/>
            <w:noWrap/>
            <w:vAlign w:val="bottom"/>
            <w:hideMark/>
          </w:tcPr>
          <w:p w14:paraId="19A51775" w14:textId="77777777" w:rsidR="00387EBB" w:rsidRPr="0014650B" w:rsidRDefault="00387EBB" w:rsidP="00387EBB">
            <w:pPr>
              <w:pStyle w:val="TableText0"/>
            </w:pPr>
          </w:p>
        </w:tc>
        <w:tc>
          <w:tcPr>
            <w:tcW w:w="615" w:type="pct"/>
            <w:tcBorders>
              <w:top w:val="nil"/>
              <w:bottom w:val="single" w:sz="4" w:space="0" w:color="auto"/>
              <w:right w:val="nil"/>
            </w:tcBorders>
            <w:shd w:val="clear" w:color="auto" w:fill="auto"/>
            <w:noWrap/>
            <w:vAlign w:val="bottom"/>
            <w:hideMark/>
          </w:tcPr>
          <w:p w14:paraId="6D81B433" w14:textId="77777777" w:rsidR="00387EBB" w:rsidRPr="0014650B" w:rsidRDefault="00387EBB" w:rsidP="00387EBB">
            <w:pPr>
              <w:pStyle w:val="TableText0"/>
              <w:rPr>
                <w:rFonts w:cs="Times New Roman"/>
              </w:rPr>
            </w:pPr>
          </w:p>
        </w:tc>
        <w:tc>
          <w:tcPr>
            <w:tcW w:w="538" w:type="pct"/>
            <w:tcBorders>
              <w:top w:val="nil"/>
              <w:left w:val="nil"/>
              <w:bottom w:val="single" w:sz="4" w:space="0" w:color="auto"/>
            </w:tcBorders>
            <w:shd w:val="clear" w:color="auto" w:fill="auto"/>
            <w:noWrap/>
            <w:vAlign w:val="bottom"/>
            <w:hideMark/>
          </w:tcPr>
          <w:p w14:paraId="23EAFA6C" w14:textId="77777777" w:rsidR="00387EBB" w:rsidRPr="0014650B" w:rsidRDefault="00387EBB" w:rsidP="00387EBB">
            <w:pPr>
              <w:pStyle w:val="TableText0"/>
              <w:rPr>
                <w:rFonts w:cs="Times New Roman"/>
              </w:rPr>
            </w:pPr>
          </w:p>
        </w:tc>
        <w:tc>
          <w:tcPr>
            <w:tcW w:w="816" w:type="pct"/>
            <w:tcBorders>
              <w:top w:val="nil"/>
              <w:bottom w:val="single" w:sz="4" w:space="0" w:color="auto"/>
            </w:tcBorders>
            <w:shd w:val="clear" w:color="auto" w:fill="auto"/>
            <w:noWrap/>
            <w:vAlign w:val="bottom"/>
            <w:hideMark/>
          </w:tcPr>
          <w:p w14:paraId="0895B84F" w14:textId="77777777" w:rsidR="00387EBB" w:rsidRPr="0014650B" w:rsidRDefault="00387EBB" w:rsidP="008A3301">
            <w:pPr>
              <w:pStyle w:val="TableText0"/>
              <w:jc w:val="center"/>
              <w:rPr>
                <w:rFonts w:cs="Times New Roman"/>
              </w:rPr>
            </w:pPr>
          </w:p>
        </w:tc>
        <w:tc>
          <w:tcPr>
            <w:tcW w:w="867" w:type="pct"/>
            <w:tcBorders>
              <w:top w:val="nil"/>
              <w:bottom w:val="single" w:sz="4" w:space="0" w:color="auto"/>
            </w:tcBorders>
            <w:shd w:val="clear" w:color="auto" w:fill="auto"/>
            <w:noWrap/>
            <w:vAlign w:val="bottom"/>
            <w:hideMark/>
          </w:tcPr>
          <w:p w14:paraId="72CC7594" w14:textId="77777777" w:rsidR="00387EBB" w:rsidRPr="0014650B" w:rsidRDefault="00387EBB" w:rsidP="008A3301">
            <w:pPr>
              <w:pStyle w:val="TableText0"/>
              <w:jc w:val="center"/>
              <w:rPr>
                <w:rFonts w:cs="Times New Roman"/>
              </w:rPr>
            </w:pPr>
          </w:p>
        </w:tc>
        <w:tc>
          <w:tcPr>
            <w:tcW w:w="1970" w:type="pct"/>
            <w:tcBorders>
              <w:top w:val="nil"/>
              <w:bottom w:val="single" w:sz="4" w:space="0" w:color="auto"/>
            </w:tcBorders>
            <w:shd w:val="clear" w:color="auto" w:fill="auto"/>
            <w:noWrap/>
            <w:vAlign w:val="bottom"/>
            <w:hideMark/>
          </w:tcPr>
          <w:p w14:paraId="28C7A887" w14:textId="77777777" w:rsidR="00387EBB" w:rsidRPr="0014650B" w:rsidRDefault="00387EBB" w:rsidP="00387EBB">
            <w:pPr>
              <w:pStyle w:val="TableText0"/>
            </w:pPr>
            <w:r w:rsidRPr="0014650B">
              <w:t>Avatro</w:t>
            </w:r>
            <w:r>
              <w:t>m</w:t>
            </w:r>
            <w:r w:rsidRPr="0014650B">
              <w:t>bopag = C</w:t>
            </w:r>
            <w:r>
              <w:t>*B</w:t>
            </w:r>
          </w:p>
        </w:tc>
      </w:tr>
      <w:tr w:rsidR="00387EBB" w:rsidRPr="0014650B" w14:paraId="075388B5" w14:textId="77777777" w:rsidTr="00FF5CBC">
        <w:tc>
          <w:tcPr>
            <w:tcW w:w="195" w:type="pct"/>
            <w:tcBorders>
              <w:bottom w:val="nil"/>
            </w:tcBorders>
            <w:shd w:val="clear" w:color="auto" w:fill="auto"/>
            <w:noWrap/>
            <w:vAlign w:val="bottom"/>
            <w:hideMark/>
          </w:tcPr>
          <w:p w14:paraId="1E2D52DE" w14:textId="77777777" w:rsidR="00387EBB" w:rsidRPr="0014650B" w:rsidRDefault="00387EBB" w:rsidP="00387EBB">
            <w:pPr>
              <w:pStyle w:val="TableText0"/>
            </w:pPr>
            <w:r w:rsidRPr="0014650B">
              <w:t>B</w:t>
            </w:r>
          </w:p>
        </w:tc>
        <w:tc>
          <w:tcPr>
            <w:tcW w:w="615" w:type="pct"/>
            <w:tcBorders>
              <w:bottom w:val="nil"/>
              <w:right w:val="nil"/>
            </w:tcBorders>
            <w:shd w:val="clear" w:color="auto" w:fill="auto"/>
            <w:noWrap/>
            <w:vAlign w:val="bottom"/>
            <w:hideMark/>
          </w:tcPr>
          <w:p w14:paraId="4BD0DEE5" w14:textId="77777777" w:rsidR="00387EBB" w:rsidRPr="0014650B" w:rsidRDefault="00387EBB" w:rsidP="00387EBB">
            <w:pPr>
              <w:pStyle w:val="TableText0"/>
            </w:pPr>
            <w:r w:rsidRPr="0014650B">
              <w:t>Pack size</w:t>
            </w:r>
          </w:p>
        </w:tc>
        <w:tc>
          <w:tcPr>
            <w:tcW w:w="538" w:type="pct"/>
            <w:tcBorders>
              <w:left w:val="nil"/>
              <w:bottom w:val="nil"/>
            </w:tcBorders>
            <w:shd w:val="clear" w:color="auto" w:fill="auto"/>
            <w:noWrap/>
            <w:vAlign w:val="bottom"/>
            <w:hideMark/>
          </w:tcPr>
          <w:p w14:paraId="2703E5A3" w14:textId="77777777" w:rsidR="00387EBB" w:rsidRPr="0014650B" w:rsidRDefault="00387EBB" w:rsidP="00387EBB">
            <w:pPr>
              <w:pStyle w:val="TableText0"/>
            </w:pPr>
          </w:p>
        </w:tc>
        <w:tc>
          <w:tcPr>
            <w:tcW w:w="816" w:type="pct"/>
            <w:tcBorders>
              <w:bottom w:val="nil"/>
            </w:tcBorders>
            <w:shd w:val="clear" w:color="auto" w:fill="auto"/>
            <w:noWrap/>
            <w:vAlign w:val="bottom"/>
            <w:hideMark/>
          </w:tcPr>
          <w:p w14:paraId="5B8D6E03" w14:textId="77777777" w:rsidR="00387EBB" w:rsidRPr="0014650B" w:rsidRDefault="00387EBB" w:rsidP="008A3301">
            <w:pPr>
              <w:pStyle w:val="TableText0"/>
              <w:jc w:val="center"/>
            </w:pPr>
            <w:r w:rsidRPr="0014650B">
              <w:t>30</w:t>
            </w:r>
          </w:p>
        </w:tc>
        <w:tc>
          <w:tcPr>
            <w:tcW w:w="867" w:type="pct"/>
            <w:tcBorders>
              <w:bottom w:val="nil"/>
            </w:tcBorders>
            <w:shd w:val="clear" w:color="auto" w:fill="auto"/>
            <w:noWrap/>
            <w:vAlign w:val="bottom"/>
            <w:hideMark/>
          </w:tcPr>
          <w:p w14:paraId="5BC25416" w14:textId="77777777" w:rsidR="00387EBB" w:rsidRPr="0014650B" w:rsidRDefault="00387EBB" w:rsidP="008A3301">
            <w:pPr>
              <w:pStyle w:val="TableText0"/>
              <w:jc w:val="center"/>
            </w:pPr>
            <w:r w:rsidRPr="0014650B">
              <w:t>28</w:t>
            </w:r>
          </w:p>
        </w:tc>
        <w:tc>
          <w:tcPr>
            <w:tcW w:w="1970" w:type="pct"/>
            <w:tcBorders>
              <w:bottom w:val="nil"/>
            </w:tcBorders>
            <w:shd w:val="clear" w:color="auto" w:fill="auto"/>
            <w:noWrap/>
            <w:vAlign w:val="bottom"/>
            <w:hideMark/>
          </w:tcPr>
          <w:p w14:paraId="4920B884" w14:textId="77777777" w:rsidR="00387EBB" w:rsidRPr="0014650B" w:rsidRDefault="00387EBB" w:rsidP="00387EBB">
            <w:pPr>
              <w:pStyle w:val="TableText0"/>
            </w:pPr>
            <w:r w:rsidRPr="0014650B">
              <w:t>Eltrombopag = pack size</w:t>
            </w:r>
          </w:p>
        </w:tc>
      </w:tr>
      <w:tr w:rsidR="00387EBB" w:rsidRPr="0014650B" w14:paraId="78111BA0" w14:textId="77777777" w:rsidTr="00FF5CBC">
        <w:tc>
          <w:tcPr>
            <w:tcW w:w="195" w:type="pct"/>
            <w:tcBorders>
              <w:top w:val="nil"/>
              <w:bottom w:val="single" w:sz="4" w:space="0" w:color="auto"/>
            </w:tcBorders>
            <w:shd w:val="clear" w:color="auto" w:fill="auto"/>
            <w:noWrap/>
            <w:vAlign w:val="bottom"/>
            <w:hideMark/>
          </w:tcPr>
          <w:p w14:paraId="2AB038AF" w14:textId="77777777" w:rsidR="00387EBB" w:rsidRPr="0014650B" w:rsidRDefault="00387EBB" w:rsidP="00387EBB">
            <w:pPr>
              <w:pStyle w:val="TableText0"/>
            </w:pPr>
          </w:p>
        </w:tc>
        <w:tc>
          <w:tcPr>
            <w:tcW w:w="615" w:type="pct"/>
            <w:tcBorders>
              <w:top w:val="nil"/>
              <w:bottom w:val="single" w:sz="4" w:space="0" w:color="auto"/>
              <w:right w:val="nil"/>
            </w:tcBorders>
            <w:shd w:val="clear" w:color="auto" w:fill="auto"/>
            <w:noWrap/>
            <w:vAlign w:val="bottom"/>
            <w:hideMark/>
          </w:tcPr>
          <w:p w14:paraId="457B5C81" w14:textId="77777777" w:rsidR="00387EBB" w:rsidRPr="0014650B" w:rsidRDefault="00387EBB" w:rsidP="00387EBB">
            <w:pPr>
              <w:pStyle w:val="TableText0"/>
              <w:rPr>
                <w:rFonts w:cs="Times New Roman"/>
              </w:rPr>
            </w:pPr>
          </w:p>
        </w:tc>
        <w:tc>
          <w:tcPr>
            <w:tcW w:w="538" w:type="pct"/>
            <w:tcBorders>
              <w:top w:val="nil"/>
              <w:left w:val="nil"/>
              <w:bottom w:val="single" w:sz="4" w:space="0" w:color="auto"/>
            </w:tcBorders>
            <w:shd w:val="clear" w:color="auto" w:fill="auto"/>
            <w:noWrap/>
            <w:vAlign w:val="bottom"/>
            <w:hideMark/>
          </w:tcPr>
          <w:p w14:paraId="28988CEB" w14:textId="77777777" w:rsidR="00387EBB" w:rsidRPr="0014650B" w:rsidRDefault="00387EBB" w:rsidP="00387EBB">
            <w:pPr>
              <w:pStyle w:val="TableText0"/>
              <w:rPr>
                <w:rFonts w:cs="Times New Roman"/>
              </w:rPr>
            </w:pPr>
          </w:p>
        </w:tc>
        <w:tc>
          <w:tcPr>
            <w:tcW w:w="816" w:type="pct"/>
            <w:tcBorders>
              <w:top w:val="nil"/>
              <w:bottom w:val="single" w:sz="4" w:space="0" w:color="auto"/>
            </w:tcBorders>
            <w:shd w:val="clear" w:color="auto" w:fill="auto"/>
            <w:noWrap/>
            <w:vAlign w:val="bottom"/>
            <w:hideMark/>
          </w:tcPr>
          <w:p w14:paraId="7F62D4DB" w14:textId="77777777" w:rsidR="00387EBB" w:rsidRPr="0014650B" w:rsidRDefault="00387EBB" w:rsidP="008A3301">
            <w:pPr>
              <w:pStyle w:val="TableText0"/>
              <w:jc w:val="center"/>
              <w:rPr>
                <w:rFonts w:cs="Times New Roman"/>
              </w:rPr>
            </w:pPr>
          </w:p>
        </w:tc>
        <w:tc>
          <w:tcPr>
            <w:tcW w:w="867" w:type="pct"/>
            <w:tcBorders>
              <w:top w:val="nil"/>
              <w:bottom w:val="single" w:sz="4" w:space="0" w:color="auto"/>
            </w:tcBorders>
            <w:shd w:val="clear" w:color="auto" w:fill="auto"/>
            <w:noWrap/>
            <w:vAlign w:val="bottom"/>
            <w:hideMark/>
          </w:tcPr>
          <w:p w14:paraId="0D8CCC53" w14:textId="77777777" w:rsidR="00387EBB" w:rsidRPr="0014650B" w:rsidRDefault="00387EBB" w:rsidP="008A3301">
            <w:pPr>
              <w:pStyle w:val="TableText0"/>
              <w:jc w:val="center"/>
              <w:rPr>
                <w:rFonts w:cs="Times New Roman"/>
              </w:rPr>
            </w:pPr>
          </w:p>
        </w:tc>
        <w:tc>
          <w:tcPr>
            <w:tcW w:w="1970" w:type="pct"/>
            <w:tcBorders>
              <w:top w:val="nil"/>
              <w:bottom w:val="single" w:sz="4" w:space="0" w:color="auto"/>
            </w:tcBorders>
            <w:shd w:val="clear" w:color="auto" w:fill="auto"/>
            <w:noWrap/>
            <w:vAlign w:val="bottom"/>
            <w:hideMark/>
          </w:tcPr>
          <w:p w14:paraId="6D873BE1" w14:textId="77777777" w:rsidR="00387EBB" w:rsidRPr="0014650B" w:rsidRDefault="00387EBB" w:rsidP="00387EBB">
            <w:pPr>
              <w:pStyle w:val="TableText0"/>
            </w:pPr>
            <w:r w:rsidRPr="0014650B">
              <w:t>Avatro</w:t>
            </w:r>
            <w:r>
              <w:t>m</w:t>
            </w:r>
            <w:r w:rsidRPr="0014650B">
              <w:t>bopag = pack size</w:t>
            </w:r>
          </w:p>
        </w:tc>
      </w:tr>
      <w:tr w:rsidR="00387EBB" w:rsidRPr="0014650B" w14:paraId="6648F99B" w14:textId="77777777" w:rsidTr="00FF5CBC">
        <w:tc>
          <w:tcPr>
            <w:tcW w:w="195" w:type="pct"/>
            <w:tcBorders>
              <w:bottom w:val="nil"/>
            </w:tcBorders>
            <w:shd w:val="clear" w:color="auto" w:fill="auto"/>
            <w:noWrap/>
            <w:vAlign w:val="bottom"/>
            <w:hideMark/>
          </w:tcPr>
          <w:p w14:paraId="435DB0C0" w14:textId="77777777" w:rsidR="00387EBB" w:rsidRPr="0014650B" w:rsidRDefault="00387EBB" w:rsidP="00387EBB">
            <w:pPr>
              <w:pStyle w:val="TableText0"/>
            </w:pPr>
            <w:r w:rsidRPr="0014650B">
              <w:t>C</w:t>
            </w:r>
          </w:p>
        </w:tc>
        <w:tc>
          <w:tcPr>
            <w:tcW w:w="1153" w:type="pct"/>
            <w:gridSpan w:val="2"/>
            <w:tcBorders>
              <w:bottom w:val="nil"/>
            </w:tcBorders>
            <w:shd w:val="clear" w:color="auto" w:fill="auto"/>
            <w:noWrap/>
            <w:vAlign w:val="bottom"/>
            <w:hideMark/>
          </w:tcPr>
          <w:p w14:paraId="7C5297AE" w14:textId="77777777" w:rsidR="00387EBB" w:rsidRPr="0014650B" w:rsidRDefault="00387EBB" w:rsidP="00387EBB">
            <w:pPr>
              <w:pStyle w:val="TableText0"/>
            </w:pPr>
            <w:r w:rsidRPr="0014650B">
              <w:t>Drug cost per tablet</w:t>
            </w:r>
          </w:p>
        </w:tc>
        <w:tc>
          <w:tcPr>
            <w:tcW w:w="816" w:type="pct"/>
            <w:tcBorders>
              <w:bottom w:val="nil"/>
            </w:tcBorders>
            <w:shd w:val="clear" w:color="auto" w:fill="auto"/>
            <w:noWrap/>
            <w:vAlign w:val="bottom"/>
            <w:hideMark/>
          </w:tcPr>
          <w:p w14:paraId="0791D790" w14:textId="77777777" w:rsidR="00387EBB" w:rsidRPr="0014650B" w:rsidRDefault="00387EBB" w:rsidP="008A3301">
            <w:pPr>
              <w:pStyle w:val="TableText0"/>
              <w:jc w:val="center"/>
            </w:pPr>
            <w:r w:rsidRPr="0014650B">
              <w:t>$92.02</w:t>
            </w:r>
          </w:p>
        </w:tc>
        <w:tc>
          <w:tcPr>
            <w:tcW w:w="867" w:type="pct"/>
            <w:tcBorders>
              <w:bottom w:val="nil"/>
            </w:tcBorders>
            <w:shd w:val="clear" w:color="auto" w:fill="auto"/>
            <w:noWrap/>
            <w:vAlign w:val="bottom"/>
            <w:hideMark/>
          </w:tcPr>
          <w:p w14:paraId="010771C7" w14:textId="77777777" w:rsidR="00387EBB" w:rsidRPr="0014650B" w:rsidRDefault="00387EBB" w:rsidP="008A3301">
            <w:pPr>
              <w:pStyle w:val="TableText0"/>
              <w:jc w:val="center"/>
            </w:pPr>
            <w:r w:rsidRPr="0014650B">
              <w:t>$92.34</w:t>
            </w:r>
          </w:p>
        </w:tc>
        <w:tc>
          <w:tcPr>
            <w:tcW w:w="1970" w:type="pct"/>
            <w:tcBorders>
              <w:bottom w:val="nil"/>
            </w:tcBorders>
            <w:shd w:val="clear" w:color="auto" w:fill="auto"/>
            <w:noWrap/>
            <w:vAlign w:val="bottom"/>
            <w:hideMark/>
          </w:tcPr>
          <w:p w14:paraId="15A49731" w14:textId="77777777" w:rsidR="00387EBB" w:rsidRPr="0014650B" w:rsidRDefault="00387EBB" w:rsidP="00387EBB">
            <w:pPr>
              <w:pStyle w:val="TableText0"/>
            </w:pPr>
            <w:r w:rsidRPr="0014650B">
              <w:t>Eltrombopag = A/B</w:t>
            </w:r>
          </w:p>
        </w:tc>
      </w:tr>
      <w:tr w:rsidR="00387EBB" w:rsidRPr="0014650B" w14:paraId="0E0556A6" w14:textId="77777777" w:rsidTr="00FF5CBC">
        <w:tc>
          <w:tcPr>
            <w:tcW w:w="195" w:type="pct"/>
            <w:tcBorders>
              <w:top w:val="nil"/>
              <w:bottom w:val="single" w:sz="4" w:space="0" w:color="auto"/>
            </w:tcBorders>
            <w:shd w:val="clear" w:color="auto" w:fill="auto"/>
            <w:noWrap/>
            <w:vAlign w:val="bottom"/>
            <w:hideMark/>
          </w:tcPr>
          <w:p w14:paraId="189CAD9A" w14:textId="77777777" w:rsidR="00387EBB" w:rsidRPr="0014650B" w:rsidRDefault="00387EBB" w:rsidP="00387EBB">
            <w:pPr>
              <w:pStyle w:val="TableText0"/>
            </w:pPr>
          </w:p>
        </w:tc>
        <w:tc>
          <w:tcPr>
            <w:tcW w:w="615" w:type="pct"/>
            <w:tcBorders>
              <w:top w:val="nil"/>
              <w:bottom w:val="single" w:sz="4" w:space="0" w:color="auto"/>
              <w:right w:val="nil"/>
            </w:tcBorders>
            <w:shd w:val="clear" w:color="auto" w:fill="auto"/>
            <w:noWrap/>
            <w:vAlign w:val="bottom"/>
            <w:hideMark/>
          </w:tcPr>
          <w:p w14:paraId="4DBCB986" w14:textId="77777777" w:rsidR="00387EBB" w:rsidRPr="0014650B" w:rsidRDefault="00387EBB" w:rsidP="00387EBB">
            <w:pPr>
              <w:pStyle w:val="TableText0"/>
              <w:rPr>
                <w:rFonts w:cs="Times New Roman"/>
              </w:rPr>
            </w:pPr>
          </w:p>
        </w:tc>
        <w:tc>
          <w:tcPr>
            <w:tcW w:w="538" w:type="pct"/>
            <w:tcBorders>
              <w:top w:val="nil"/>
              <w:left w:val="nil"/>
              <w:bottom w:val="single" w:sz="4" w:space="0" w:color="auto"/>
            </w:tcBorders>
            <w:shd w:val="clear" w:color="auto" w:fill="auto"/>
            <w:noWrap/>
            <w:vAlign w:val="bottom"/>
            <w:hideMark/>
          </w:tcPr>
          <w:p w14:paraId="5C261595" w14:textId="77777777" w:rsidR="00387EBB" w:rsidRPr="0014650B" w:rsidRDefault="00387EBB" w:rsidP="00387EBB">
            <w:pPr>
              <w:pStyle w:val="TableText0"/>
              <w:rPr>
                <w:rFonts w:cs="Times New Roman"/>
              </w:rPr>
            </w:pPr>
          </w:p>
        </w:tc>
        <w:tc>
          <w:tcPr>
            <w:tcW w:w="816" w:type="pct"/>
            <w:tcBorders>
              <w:top w:val="nil"/>
              <w:bottom w:val="single" w:sz="4" w:space="0" w:color="auto"/>
            </w:tcBorders>
            <w:shd w:val="clear" w:color="auto" w:fill="auto"/>
            <w:noWrap/>
            <w:vAlign w:val="bottom"/>
            <w:hideMark/>
          </w:tcPr>
          <w:p w14:paraId="3C16CF0B" w14:textId="77777777" w:rsidR="00387EBB" w:rsidRPr="0014650B" w:rsidRDefault="00387EBB" w:rsidP="008A3301">
            <w:pPr>
              <w:pStyle w:val="TableText0"/>
              <w:jc w:val="center"/>
              <w:rPr>
                <w:rFonts w:cs="Times New Roman"/>
              </w:rPr>
            </w:pPr>
          </w:p>
        </w:tc>
        <w:tc>
          <w:tcPr>
            <w:tcW w:w="867" w:type="pct"/>
            <w:tcBorders>
              <w:top w:val="nil"/>
              <w:bottom w:val="single" w:sz="4" w:space="0" w:color="auto"/>
            </w:tcBorders>
            <w:shd w:val="clear" w:color="auto" w:fill="auto"/>
            <w:noWrap/>
            <w:vAlign w:val="bottom"/>
            <w:hideMark/>
          </w:tcPr>
          <w:p w14:paraId="5211B1A3" w14:textId="77777777" w:rsidR="00387EBB" w:rsidRPr="0014650B" w:rsidRDefault="00387EBB" w:rsidP="008A3301">
            <w:pPr>
              <w:pStyle w:val="TableText0"/>
              <w:jc w:val="center"/>
              <w:rPr>
                <w:rFonts w:cs="Times New Roman"/>
              </w:rPr>
            </w:pPr>
          </w:p>
        </w:tc>
        <w:tc>
          <w:tcPr>
            <w:tcW w:w="1970" w:type="pct"/>
            <w:tcBorders>
              <w:top w:val="nil"/>
              <w:bottom w:val="single" w:sz="4" w:space="0" w:color="auto"/>
            </w:tcBorders>
            <w:shd w:val="clear" w:color="auto" w:fill="auto"/>
            <w:noWrap/>
            <w:vAlign w:val="bottom"/>
            <w:hideMark/>
          </w:tcPr>
          <w:p w14:paraId="0BD88F7D" w14:textId="77777777" w:rsidR="00387EBB" w:rsidRPr="0014650B" w:rsidRDefault="00387EBB" w:rsidP="00387EBB">
            <w:pPr>
              <w:pStyle w:val="TableText0"/>
            </w:pPr>
            <w:r w:rsidRPr="0014650B">
              <w:t>Avatro</w:t>
            </w:r>
            <w:r>
              <w:t>m</w:t>
            </w:r>
            <w:r w:rsidRPr="0014650B">
              <w:t>bopag = (F/E)*D</w:t>
            </w:r>
          </w:p>
        </w:tc>
      </w:tr>
      <w:tr w:rsidR="00387EBB" w:rsidRPr="0014650B" w14:paraId="0DF4C073" w14:textId="77777777" w:rsidTr="00FF5CBC">
        <w:tc>
          <w:tcPr>
            <w:tcW w:w="195" w:type="pct"/>
            <w:tcBorders>
              <w:bottom w:val="nil"/>
            </w:tcBorders>
            <w:shd w:val="clear" w:color="auto" w:fill="auto"/>
            <w:noWrap/>
            <w:vAlign w:val="bottom"/>
            <w:hideMark/>
          </w:tcPr>
          <w:p w14:paraId="7DD9E688" w14:textId="77777777" w:rsidR="00387EBB" w:rsidRPr="0014650B" w:rsidRDefault="00387EBB" w:rsidP="00387EBB">
            <w:pPr>
              <w:pStyle w:val="TableText0"/>
            </w:pPr>
            <w:r w:rsidRPr="0014650B">
              <w:t>D</w:t>
            </w:r>
          </w:p>
        </w:tc>
        <w:tc>
          <w:tcPr>
            <w:tcW w:w="1153" w:type="pct"/>
            <w:gridSpan w:val="2"/>
            <w:tcBorders>
              <w:bottom w:val="nil"/>
            </w:tcBorders>
            <w:shd w:val="clear" w:color="auto" w:fill="auto"/>
            <w:noWrap/>
            <w:vAlign w:val="bottom"/>
            <w:hideMark/>
          </w:tcPr>
          <w:p w14:paraId="2B6DF382" w14:textId="77777777" w:rsidR="00387EBB" w:rsidRPr="0014650B" w:rsidRDefault="00387EBB" w:rsidP="00387EBB">
            <w:pPr>
              <w:pStyle w:val="TableText0"/>
            </w:pPr>
            <w:r w:rsidRPr="0014650B">
              <w:t>Tablet strength (mg)</w:t>
            </w:r>
          </w:p>
        </w:tc>
        <w:tc>
          <w:tcPr>
            <w:tcW w:w="816" w:type="pct"/>
            <w:tcBorders>
              <w:bottom w:val="nil"/>
            </w:tcBorders>
            <w:shd w:val="clear" w:color="auto" w:fill="auto"/>
            <w:noWrap/>
            <w:vAlign w:val="bottom"/>
            <w:hideMark/>
          </w:tcPr>
          <w:p w14:paraId="34237EB2" w14:textId="77777777" w:rsidR="00387EBB" w:rsidRPr="0014650B" w:rsidRDefault="00387EBB" w:rsidP="008A3301">
            <w:pPr>
              <w:pStyle w:val="TableText0"/>
              <w:jc w:val="center"/>
            </w:pPr>
            <w:r w:rsidRPr="0014650B">
              <w:t>20</w:t>
            </w:r>
          </w:p>
        </w:tc>
        <w:tc>
          <w:tcPr>
            <w:tcW w:w="867" w:type="pct"/>
            <w:tcBorders>
              <w:bottom w:val="nil"/>
            </w:tcBorders>
            <w:shd w:val="clear" w:color="auto" w:fill="auto"/>
            <w:noWrap/>
            <w:vAlign w:val="bottom"/>
            <w:hideMark/>
          </w:tcPr>
          <w:p w14:paraId="50C03C8B" w14:textId="77777777" w:rsidR="00387EBB" w:rsidRPr="0014650B" w:rsidRDefault="00387EBB" w:rsidP="008A3301">
            <w:pPr>
              <w:pStyle w:val="TableText0"/>
              <w:jc w:val="center"/>
            </w:pPr>
            <w:r w:rsidRPr="0014650B">
              <w:t>50</w:t>
            </w:r>
          </w:p>
        </w:tc>
        <w:tc>
          <w:tcPr>
            <w:tcW w:w="1970" w:type="pct"/>
            <w:tcBorders>
              <w:bottom w:val="nil"/>
            </w:tcBorders>
            <w:shd w:val="clear" w:color="auto" w:fill="auto"/>
            <w:noWrap/>
            <w:vAlign w:val="bottom"/>
            <w:hideMark/>
          </w:tcPr>
          <w:p w14:paraId="79DF7E14" w14:textId="77777777" w:rsidR="00387EBB" w:rsidRPr="0014650B" w:rsidRDefault="00387EBB" w:rsidP="00387EBB">
            <w:pPr>
              <w:pStyle w:val="TableText0"/>
            </w:pPr>
            <w:r w:rsidRPr="0014650B">
              <w:t>Eltrombopag = tablet strength</w:t>
            </w:r>
          </w:p>
        </w:tc>
      </w:tr>
      <w:tr w:rsidR="00387EBB" w:rsidRPr="0014650B" w14:paraId="4F76156D" w14:textId="77777777" w:rsidTr="00FF5CBC">
        <w:tc>
          <w:tcPr>
            <w:tcW w:w="195" w:type="pct"/>
            <w:tcBorders>
              <w:top w:val="nil"/>
              <w:bottom w:val="single" w:sz="4" w:space="0" w:color="auto"/>
            </w:tcBorders>
            <w:shd w:val="clear" w:color="auto" w:fill="auto"/>
            <w:noWrap/>
            <w:vAlign w:val="bottom"/>
            <w:hideMark/>
          </w:tcPr>
          <w:p w14:paraId="0187C6EF" w14:textId="77777777" w:rsidR="00387EBB" w:rsidRPr="0014650B" w:rsidRDefault="00387EBB" w:rsidP="00387EBB">
            <w:pPr>
              <w:pStyle w:val="TableText0"/>
            </w:pPr>
          </w:p>
        </w:tc>
        <w:tc>
          <w:tcPr>
            <w:tcW w:w="615" w:type="pct"/>
            <w:tcBorders>
              <w:top w:val="nil"/>
              <w:bottom w:val="single" w:sz="4" w:space="0" w:color="auto"/>
              <w:right w:val="nil"/>
            </w:tcBorders>
            <w:shd w:val="clear" w:color="auto" w:fill="auto"/>
            <w:noWrap/>
            <w:vAlign w:val="bottom"/>
            <w:hideMark/>
          </w:tcPr>
          <w:p w14:paraId="50E7796B" w14:textId="77777777" w:rsidR="00387EBB" w:rsidRPr="0014650B" w:rsidRDefault="00387EBB" w:rsidP="00387EBB">
            <w:pPr>
              <w:pStyle w:val="TableText0"/>
              <w:rPr>
                <w:rFonts w:cs="Times New Roman"/>
              </w:rPr>
            </w:pPr>
          </w:p>
        </w:tc>
        <w:tc>
          <w:tcPr>
            <w:tcW w:w="538" w:type="pct"/>
            <w:tcBorders>
              <w:top w:val="nil"/>
              <w:left w:val="nil"/>
              <w:bottom w:val="single" w:sz="4" w:space="0" w:color="auto"/>
            </w:tcBorders>
            <w:shd w:val="clear" w:color="auto" w:fill="auto"/>
            <w:noWrap/>
            <w:vAlign w:val="bottom"/>
            <w:hideMark/>
          </w:tcPr>
          <w:p w14:paraId="5B29D95C" w14:textId="77777777" w:rsidR="00387EBB" w:rsidRPr="0014650B" w:rsidRDefault="00387EBB" w:rsidP="00387EBB">
            <w:pPr>
              <w:pStyle w:val="TableText0"/>
              <w:rPr>
                <w:rFonts w:cs="Times New Roman"/>
              </w:rPr>
            </w:pPr>
          </w:p>
        </w:tc>
        <w:tc>
          <w:tcPr>
            <w:tcW w:w="816" w:type="pct"/>
            <w:tcBorders>
              <w:top w:val="nil"/>
              <w:bottom w:val="single" w:sz="4" w:space="0" w:color="auto"/>
            </w:tcBorders>
            <w:shd w:val="clear" w:color="auto" w:fill="auto"/>
            <w:noWrap/>
            <w:vAlign w:val="bottom"/>
            <w:hideMark/>
          </w:tcPr>
          <w:p w14:paraId="6F847B68" w14:textId="77777777" w:rsidR="00387EBB" w:rsidRPr="0014650B" w:rsidRDefault="00387EBB" w:rsidP="008A3301">
            <w:pPr>
              <w:pStyle w:val="TableText0"/>
              <w:jc w:val="center"/>
              <w:rPr>
                <w:rFonts w:cs="Times New Roman"/>
              </w:rPr>
            </w:pPr>
          </w:p>
        </w:tc>
        <w:tc>
          <w:tcPr>
            <w:tcW w:w="867" w:type="pct"/>
            <w:tcBorders>
              <w:top w:val="nil"/>
              <w:bottom w:val="single" w:sz="4" w:space="0" w:color="auto"/>
            </w:tcBorders>
            <w:shd w:val="clear" w:color="auto" w:fill="auto"/>
            <w:noWrap/>
            <w:vAlign w:val="bottom"/>
            <w:hideMark/>
          </w:tcPr>
          <w:p w14:paraId="487F2E94" w14:textId="77777777" w:rsidR="00387EBB" w:rsidRPr="0014650B" w:rsidRDefault="00387EBB" w:rsidP="008A3301">
            <w:pPr>
              <w:pStyle w:val="TableText0"/>
              <w:jc w:val="center"/>
              <w:rPr>
                <w:rFonts w:cs="Times New Roman"/>
              </w:rPr>
            </w:pPr>
          </w:p>
        </w:tc>
        <w:tc>
          <w:tcPr>
            <w:tcW w:w="1970" w:type="pct"/>
            <w:tcBorders>
              <w:top w:val="nil"/>
              <w:bottom w:val="single" w:sz="4" w:space="0" w:color="auto"/>
            </w:tcBorders>
            <w:shd w:val="clear" w:color="auto" w:fill="auto"/>
            <w:noWrap/>
            <w:vAlign w:val="bottom"/>
            <w:hideMark/>
          </w:tcPr>
          <w:p w14:paraId="522ACFE3" w14:textId="77777777" w:rsidR="00387EBB" w:rsidRPr="0014650B" w:rsidRDefault="00387EBB" w:rsidP="00387EBB">
            <w:pPr>
              <w:pStyle w:val="TableText0"/>
            </w:pPr>
            <w:r w:rsidRPr="0014650B">
              <w:t>Avatro</w:t>
            </w:r>
            <w:r>
              <w:t>m</w:t>
            </w:r>
            <w:r w:rsidRPr="0014650B">
              <w:t>bopag = tablet strength</w:t>
            </w:r>
          </w:p>
        </w:tc>
      </w:tr>
      <w:tr w:rsidR="00387EBB" w:rsidRPr="0014650B" w14:paraId="1388DA75" w14:textId="77777777" w:rsidTr="00FF5CBC">
        <w:tc>
          <w:tcPr>
            <w:tcW w:w="195" w:type="pct"/>
            <w:tcBorders>
              <w:bottom w:val="nil"/>
            </w:tcBorders>
            <w:shd w:val="clear" w:color="auto" w:fill="auto"/>
            <w:noWrap/>
            <w:vAlign w:val="bottom"/>
            <w:hideMark/>
          </w:tcPr>
          <w:p w14:paraId="0020C7E6" w14:textId="77777777" w:rsidR="00387EBB" w:rsidRPr="0014650B" w:rsidRDefault="00387EBB" w:rsidP="00387EBB">
            <w:pPr>
              <w:pStyle w:val="TableText0"/>
            </w:pPr>
            <w:r w:rsidRPr="0014650B">
              <w:t>E</w:t>
            </w:r>
          </w:p>
        </w:tc>
        <w:tc>
          <w:tcPr>
            <w:tcW w:w="1153" w:type="pct"/>
            <w:gridSpan w:val="2"/>
            <w:tcBorders>
              <w:bottom w:val="nil"/>
            </w:tcBorders>
            <w:shd w:val="clear" w:color="auto" w:fill="auto"/>
            <w:noWrap/>
            <w:vAlign w:val="bottom"/>
            <w:hideMark/>
          </w:tcPr>
          <w:p w14:paraId="04A1791B" w14:textId="77777777" w:rsidR="00387EBB" w:rsidRPr="0014650B" w:rsidRDefault="00387EBB" w:rsidP="00387EBB">
            <w:pPr>
              <w:pStyle w:val="TableText0"/>
            </w:pPr>
            <w:r w:rsidRPr="0014650B">
              <w:t>Mean daily dose (mg)</w:t>
            </w:r>
          </w:p>
        </w:tc>
        <w:tc>
          <w:tcPr>
            <w:tcW w:w="816" w:type="pct"/>
            <w:tcBorders>
              <w:bottom w:val="nil"/>
            </w:tcBorders>
            <w:shd w:val="clear" w:color="auto" w:fill="auto"/>
            <w:noWrap/>
            <w:vAlign w:val="bottom"/>
            <w:hideMark/>
          </w:tcPr>
          <w:p w14:paraId="41AFBD47" w14:textId="77777777" w:rsidR="00387EBB" w:rsidRPr="0014650B" w:rsidRDefault="00387EBB" w:rsidP="008A3301">
            <w:pPr>
              <w:pStyle w:val="TableText0"/>
              <w:jc w:val="center"/>
            </w:pPr>
            <w:r w:rsidRPr="0014650B">
              <w:t>22.34</w:t>
            </w:r>
          </w:p>
        </w:tc>
        <w:tc>
          <w:tcPr>
            <w:tcW w:w="867" w:type="pct"/>
            <w:tcBorders>
              <w:bottom w:val="nil"/>
            </w:tcBorders>
            <w:shd w:val="clear" w:color="auto" w:fill="auto"/>
            <w:noWrap/>
            <w:vAlign w:val="bottom"/>
            <w:hideMark/>
          </w:tcPr>
          <w:p w14:paraId="0DFD250C" w14:textId="77777777" w:rsidR="00387EBB" w:rsidRPr="0014650B" w:rsidRDefault="00387EBB" w:rsidP="008A3301">
            <w:pPr>
              <w:pStyle w:val="TableText0"/>
              <w:jc w:val="center"/>
            </w:pPr>
            <w:r w:rsidRPr="0014650B">
              <w:t>55.2</w:t>
            </w:r>
          </w:p>
        </w:tc>
        <w:tc>
          <w:tcPr>
            <w:tcW w:w="1970" w:type="pct"/>
            <w:tcBorders>
              <w:bottom w:val="nil"/>
            </w:tcBorders>
            <w:shd w:val="clear" w:color="auto" w:fill="auto"/>
            <w:noWrap/>
            <w:vAlign w:val="bottom"/>
            <w:hideMark/>
          </w:tcPr>
          <w:p w14:paraId="4382FF4C" w14:textId="77777777" w:rsidR="00387EBB" w:rsidRPr="0014650B" w:rsidRDefault="00387EBB" w:rsidP="00387EBB">
            <w:pPr>
              <w:pStyle w:val="TableText0"/>
            </w:pPr>
            <w:r w:rsidRPr="0014650B">
              <w:t>Eltrombopag = mean daily dose RAISE</w:t>
            </w:r>
          </w:p>
        </w:tc>
      </w:tr>
      <w:tr w:rsidR="00387EBB" w:rsidRPr="0014650B" w14:paraId="647A8249" w14:textId="77777777" w:rsidTr="00FF5CBC">
        <w:tc>
          <w:tcPr>
            <w:tcW w:w="195" w:type="pct"/>
            <w:tcBorders>
              <w:top w:val="nil"/>
              <w:bottom w:val="single" w:sz="4" w:space="0" w:color="auto"/>
            </w:tcBorders>
            <w:shd w:val="clear" w:color="auto" w:fill="auto"/>
            <w:noWrap/>
            <w:vAlign w:val="bottom"/>
            <w:hideMark/>
          </w:tcPr>
          <w:p w14:paraId="043177CD" w14:textId="77777777" w:rsidR="00387EBB" w:rsidRPr="0014650B" w:rsidRDefault="00387EBB" w:rsidP="00387EBB">
            <w:pPr>
              <w:pStyle w:val="TableText0"/>
            </w:pPr>
          </w:p>
        </w:tc>
        <w:tc>
          <w:tcPr>
            <w:tcW w:w="615" w:type="pct"/>
            <w:tcBorders>
              <w:top w:val="nil"/>
              <w:bottom w:val="single" w:sz="4" w:space="0" w:color="auto"/>
              <w:right w:val="nil"/>
            </w:tcBorders>
            <w:shd w:val="clear" w:color="auto" w:fill="auto"/>
            <w:noWrap/>
            <w:vAlign w:val="bottom"/>
            <w:hideMark/>
          </w:tcPr>
          <w:p w14:paraId="78CD96E9" w14:textId="77777777" w:rsidR="00387EBB" w:rsidRPr="0014650B" w:rsidRDefault="00387EBB" w:rsidP="00387EBB">
            <w:pPr>
              <w:pStyle w:val="TableText0"/>
              <w:rPr>
                <w:rFonts w:cs="Times New Roman"/>
              </w:rPr>
            </w:pPr>
          </w:p>
        </w:tc>
        <w:tc>
          <w:tcPr>
            <w:tcW w:w="538" w:type="pct"/>
            <w:tcBorders>
              <w:top w:val="nil"/>
              <w:left w:val="nil"/>
              <w:bottom w:val="single" w:sz="4" w:space="0" w:color="auto"/>
            </w:tcBorders>
            <w:shd w:val="clear" w:color="auto" w:fill="auto"/>
            <w:noWrap/>
            <w:vAlign w:val="bottom"/>
            <w:hideMark/>
          </w:tcPr>
          <w:p w14:paraId="022365A1" w14:textId="77777777" w:rsidR="00387EBB" w:rsidRPr="0014650B" w:rsidRDefault="00387EBB" w:rsidP="00387EBB">
            <w:pPr>
              <w:pStyle w:val="TableText0"/>
              <w:rPr>
                <w:rFonts w:cs="Times New Roman"/>
              </w:rPr>
            </w:pPr>
          </w:p>
        </w:tc>
        <w:tc>
          <w:tcPr>
            <w:tcW w:w="816" w:type="pct"/>
            <w:tcBorders>
              <w:top w:val="nil"/>
              <w:bottom w:val="single" w:sz="4" w:space="0" w:color="auto"/>
            </w:tcBorders>
            <w:shd w:val="clear" w:color="auto" w:fill="auto"/>
            <w:noWrap/>
            <w:vAlign w:val="bottom"/>
            <w:hideMark/>
          </w:tcPr>
          <w:p w14:paraId="22FE8411" w14:textId="77777777" w:rsidR="00387EBB" w:rsidRPr="0014650B" w:rsidRDefault="00387EBB" w:rsidP="008A3301">
            <w:pPr>
              <w:pStyle w:val="TableText0"/>
              <w:jc w:val="center"/>
              <w:rPr>
                <w:rFonts w:cs="Times New Roman"/>
              </w:rPr>
            </w:pPr>
          </w:p>
        </w:tc>
        <w:tc>
          <w:tcPr>
            <w:tcW w:w="867" w:type="pct"/>
            <w:tcBorders>
              <w:top w:val="nil"/>
              <w:bottom w:val="single" w:sz="4" w:space="0" w:color="auto"/>
            </w:tcBorders>
            <w:shd w:val="clear" w:color="auto" w:fill="auto"/>
            <w:noWrap/>
            <w:vAlign w:val="bottom"/>
            <w:hideMark/>
          </w:tcPr>
          <w:p w14:paraId="191D4AF6" w14:textId="77777777" w:rsidR="00387EBB" w:rsidRPr="0014650B" w:rsidRDefault="00387EBB" w:rsidP="008A3301">
            <w:pPr>
              <w:pStyle w:val="TableText0"/>
              <w:jc w:val="center"/>
              <w:rPr>
                <w:rFonts w:cs="Times New Roman"/>
              </w:rPr>
            </w:pPr>
          </w:p>
        </w:tc>
        <w:tc>
          <w:tcPr>
            <w:tcW w:w="1970" w:type="pct"/>
            <w:tcBorders>
              <w:top w:val="nil"/>
              <w:bottom w:val="single" w:sz="4" w:space="0" w:color="auto"/>
            </w:tcBorders>
            <w:shd w:val="clear" w:color="auto" w:fill="auto"/>
            <w:noWrap/>
            <w:vAlign w:val="bottom"/>
            <w:hideMark/>
          </w:tcPr>
          <w:p w14:paraId="13D16E20" w14:textId="77777777" w:rsidR="00387EBB" w:rsidRPr="0014650B" w:rsidRDefault="00387EBB" w:rsidP="00387EBB">
            <w:pPr>
              <w:pStyle w:val="TableText0"/>
            </w:pPr>
            <w:r w:rsidRPr="0014650B">
              <w:t>Avatro</w:t>
            </w:r>
            <w:r>
              <w:t>m</w:t>
            </w:r>
            <w:r w:rsidRPr="0014650B">
              <w:t>bopag = mean daily dose Study 302</w:t>
            </w:r>
          </w:p>
        </w:tc>
      </w:tr>
      <w:tr w:rsidR="00387EBB" w:rsidRPr="0014650B" w14:paraId="27B692D7" w14:textId="77777777" w:rsidTr="00FF5CBC">
        <w:tc>
          <w:tcPr>
            <w:tcW w:w="195" w:type="pct"/>
            <w:tcBorders>
              <w:bottom w:val="nil"/>
            </w:tcBorders>
            <w:shd w:val="clear" w:color="auto" w:fill="auto"/>
            <w:noWrap/>
            <w:vAlign w:val="bottom"/>
            <w:hideMark/>
          </w:tcPr>
          <w:p w14:paraId="4AE5215B" w14:textId="77777777" w:rsidR="00387EBB" w:rsidRPr="0014650B" w:rsidRDefault="00387EBB" w:rsidP="00387EBB">
            <w:pPr>
              <w:pStyle w:val="TableText0"/>
            </w:pPr>
            <w:r w:rsidRPr="0014650B">
              <w:t>F</w:t>
            </w:r>
          </w:p>
        </w:tc>
        <w:tc>
          <w:tcPr>
            <w:tcW w:w="1153" w:type="pct"/>
            <w:gridSpan w:val="2"/>
            <w:tcBorders>
              <w:bottom w:val="nil"/>
            </w:tcBorders>
            <w:shd w:val="clear" w:color="auto" w:fill="auto"/>
            <w:noWrap/>
            <w:vAlign w:val="bottom"/>
            <w:hideMark/>
          </w:tcPr>
          <w:p w14:paraId="533D7D0B" w14:textId="77777777" w:rsidR="00387EBB" w:rsidRPr="0014650B" w:rsidRDefault="00387EBB" w:rsidP="00387EBB">
            <w:pPr>
              <w:pStyle w:val="TableText0"/>
            </w:pPr>
            <w:r w:rsidRPr="0014650B">
              <w:t>Drug cost per day</w:t>
            </w:r>
          </w:p>
        </w:tc>
        <w:tc>
          <w:tcPr>
            <w:tcW w:w="816" w:type="pct"/>
            <w:tcBorders>
              <w:bottom w:val="nil"/>
            </w:tcBorders>
            <w:shd w:val="clear" w:color="auto" w:fill="auto"/>
            <w:noWrap/>
            <w:vAlign w:val="bottom"/>
            <w:hideMark/>
          </w:tcPr>
          <w:p w14:paraId="78F2F8CB" w14:textId="77777777" w:rsidR="00387EBB" w:rsidRPr="0014650B" w:rsidRDefault="00387EBB" w:rsidP="008A3301">
            <w:pPr>
              <w:pStyle w:val="TableText0"/>
              <w:jc w:val="center"/>
            </w:pPr>
            <w:r w:rsidRPr="0014650B">
              <w:t>$102.79</w:t>
            </w:r>
          </w:p>
        </w:tc>
        <w:tc>
          <w:tcPr>
            <w:tcW w:w="867" w:type="pct"/>
            <w:tcBorders>
              <w:bottom w:val="nil"/>
            </w:tcBorders>
            <w:shd w:val="clear" w:color="auto" w:fill="auto"/>
            <w:noWrap/>
            <w:vAlign w:val="bottom"/>
            <w:hideMark/>
          </w:tcPr>
          <w:p w14:paraId="1C3F6FDF" w14:textId="77777777" w:rsidR="00387EBB" w:rsidRPr="0014650B" w:rsidRDefault="00387EBB" w:rsidP="008A3301">
            <w:pPr>
              <w:pStyle w:val="TableText0"/>
              <w:jc w:val="center"/>
            </w:pPr>
            <w:r w:rsidRPr="0014650B">
              <w:t>$101.94</w:t>
            </w:r>
          </w:p>
        </w:tc>
        <w:tc>
          <w:tcPr>
            <w:tcW w:w="1970" w:type="pct"/>
            <w:tcBorders>
              <w:bottom w:val="nil"/>
            </w:tcBorders>
            <w:shd w:val="clear" w:color="auto" w:fill="auto"/>
            <w:noWrap/>
            <w:vAlign w:val="bottom"/>
            <w:hideMark/>
          </w:tcPr>
          <w:p w14:paraId="48B375AF" w14:textId="77777777" w:rsidR="00387EBB" w:rsidRPr="0014650B" w:rsidRDefault="00387EBB" w:rsidP="00387EBB">
            <w:pPr>
              <w:pStyle w:val="TableText0"/>
            </w:pPr>
            <w:r w:rsidRPr="0014650B">
              <w:t>Eltrombopag = (C/D)*E</w:t>
            </w:r>
          </w:p>
        </w:tc>
      </w:tr>
      <w:tr w:rsidR="00387EBB" w:rsidRPr="0014650B" w14:paraId="7A6DE0B6" w14:textId="77777777" w:rsidTr="00FF5CBC">
        <w:tc>
          <w:tcPr>
            <w:tcW w:w="195" w:type="pct"/>
            <w:tcBorders>
              <w:top w:val="nil"/>
              <w:bottom w:val="single" w:sz="4" w:space="0" w:color="auto"/>
            </w:tcBorders>
            <w:shd w:val="clear" w:color="auto" w:fill="auto"/>
            <w:noWrap/>
            <w:vAlign w:val="bottom"/>
            <w:hideMark/>
          </w:tcPr>
          <w:p w14:paraId="222C1AE6" w14:textId="77777777" w:rsidR="00387EBB" w:rsidRPr="0014650B" w:rsidRDefault="00387EBB" w:rsidP="00387EBB">
            <w:pPr>
              <w:pStyle w:val="TableText0"/>
            </w:pPr>
          </w:p>
        </w:tc>
        <w:tc>
          <w:tcPr>
            <w:tcW w:w="615" w:type="pct"/>
            <w:tcBorders>
              <w:top w:val="nil"/>
              <w:bottom w:val="single" w:sz="4" w:space="0" w:color="auto"/>
              <w:right w:val="nil"/>
            </w:tcBorders>
            <w:shd w:val="clear" w:color="auto" w:fill="auto"/>
            <w:noWrap/>
            <w:vAlign w:val="bottom"/>
            <w:hideMark/>
          </w:tcPr>
          <w:p w14:paraId="1110A666" w14:textId="77777777" w:rsidR="00387EBB" w:rsidRPr="0014650B" w:rsidRDefault="00387EBB" w:rsidP="00387EBB">
            <w:pPr>
              <w:pStyle w:val="TableText0"/>
              <w:rPr>
                <w:rFonts w:cs="Times New Roman"/>
              </w:rPr>
            </w:pPr>
          </w:p>
        </w:tc>
        <w:tc>
          <w:tcPr>
            <w:tcW w:w="538" w:type="pct"/>
            <w:tcBorders>
              <w:top w:val="nil"/>
              <w:left w:val="nil"/>
              <w:bottom w:val="single" w:sz="4" w:space="0" w:color="auto"/>
            </w:tcBorders>
            <w:shd w:val="clear" w:color="auto" w:fill="auto"/>
            <w:noWrap/>
            <w:vAlign w:val="bottom"/>
            <w:hideMark/>
          </w:tcPr>
          <w:p w14:paraId="46CC5D6A" w14:textId="77777777" w:rsidR="00387EBB" w:rsidRPr="0014650B" w:rsidRDefault="00387EBB" w:rsidP="00387EBB">
            <w:pPr>
              <w:pStyle w:val="TableText0"/>
              <w:rPr>
                <w:rFonts w:cs="Times New Roman"/>
              </w:rPr>
            </w:pPr>
          </w:p>
        </w:tc>
        <w:tc>
          <w:tcPr>
            <w:tcW w:w="816" w:type="pct"/>
            <w:tcBorders>
              <w:top w:val="nil"/>
              <w:bottom w:val="single" w:sz="4" w:space="0" w:color="auto"/>
            </w:tcBorders>
            <w:shd w:val="clear" w:color="auto" w:fill="auto"/>
            <w:noWrap/>
            <w:vAlign w:val="bottom"/>
            <w:hideMark/>
          </w:tcPr>
          <w:p w14:paraId="2928747D" w14:textId="77777777" w:rsidR="00387EBB" w:rsidRPr="0014650B" w:rsidRDefault="00387EBB" w:rsidP="008A3301">
            <w:pPr>
              <w:pStyle w:val="TableText0"/>
              <w:jc w:val="center"/>
              <w:rPr>
                <w:rFonts w:cs="Times New Roman"/>
              </w:rPr>
            </w:pPr>
          </w:p>
        </w:tc>
        <w:tc>
          <w:tcPr>
            <w:tcW w:w="867" w:type="pct"/>
            <w:tcBorders>
              <w:top w:val="nil"/>
              <w:bottom w:val="single" w:sz="4" w:space="0" w:color="auto"/>
            </w:tcBorders>
            <w:shd w:val="clear" w:color="auto" w:fill="auto"/>
            <w:noWrap/>
            <w:vAlign w:val="bottom"/>
            <w:hideMark/>
          </w:tcPr>
          <w:p w14:paraId="1009B61B" w14:textId="77777777" w:rsidR="00387EBB" w:rsidRPr="0014650B" w:rsidRDefault="00387EBB" w:rsidP="008A3301">
            <w:pPr>
              <w:pStyle w:val="TableText0"/>
              <w:jc w:val="center"/>
              <w:rPr>
                <w:rFonts w:cs="Times New Roman"/>
              </w:rPr>
            </w:pPr>
          </w:p>
        </w:tc>
        <w:tc>
          <w:tcPr>
            <w:tcW w:w="1970" w:type="pct"/>
            <w:tcBorders>
              <w:top w:val="nil"/>
              <w:bottom w:val="single" w:sz="4" w:space="0" w:color="auto"/>
            </w:tcBorders>
            <w:shd w:val="clear" w:color="auto" w:fill="auto"/>
            <w:noWrap/>
            <w:vAlign w:val="bottom"/>
            <w:hideMark/>
          </w:tcPr>
          <w:p w14:paraId="5F9BE35A" w14:textId="77777777" w:rsidR="00387EBB" w:rsidRPr="0014650B" w:rsidRDefault="00387EBB" w:rsidP="00387EBB">
            <w:pPr>
              <w:pStyle w:val="TableText0"/>
            </w:pPr>
            <w:r w:rsidRPr="0014650B">
              <w:t>Avatro</w:t>
            </w:r>
            <w:r>
              <w:t>m</w:t>
            </w:r>
            <w:r w:rsidRPr="0014650B">
              <w:t>bopag = G/365.25</w:t>
            </w:r>
          </w:p>
        </w:tc>
      </w:tr>
      <w:tr w:rsidR="00387EBB" w:rsidRPr="0014650B" w14:paraId="6DBA40E7" w14:textId="77777777" w:rsidTr="00FF5CBC">
        <w:tc>
          <w:tcPr>
            <w:tcW w:w="195" w:type="pct"/>
            <w:tcBorders>
              <w:bottom w:val="nil"/>
            </w:tcBorders>
            <w:shd w:val="clear" w:color="auto" w:fill="auto"/>
            <w:noWrap/>
            <w:vAlign w:val="bottom"/>
            <w:hideMark/>
          </w:tcPr>
          <w:p w14:paraId="6452B155" w14:textId="77777777" w:rsidR="00387EBB" w:rsidRPr="0014650B" w:rsidRDefault="00387EBB" w:rsidP="00387EBB">
            <w:pPr>
              <w:pStyle w:val="TableText0"/>
            </w:pPr>
            <w:r w:rsidRPr="0014650B">
              <w:t>G</w:t>
            </w:r>
          </w:p>
        </w:tc>
        <w:tc>
          <w:tcPr>
            <w:tcW w:w="1153" w:type="pct"/>
            <w:gridSpan w:val="2"/>
            <w:tcBorders>
              <w:bottom w:val="nil"/>
            </w:tcBorders>
            <w:shd w:val="clear" w:color="auto" w:fill="auto"/>
            <w:noWrap/>
            <w:vAlign w:val="bottom"/>
            <w:hideMark/>
          </w:tcPr>
          <w:p w14:paraId="5369F699" w14:textId="77777777" w:rsidR="00387EBB" w:rsidRPr="0014650B" w:rsidRDefault="00387EBB" w:rsidP="00387EBB">
            <w:pPr>
              <w:pStyle w:val="TableText0"/>
            </w:pPr>
            <w:r w:rsidRPr="0014650B">
              <w:t>Drug cost per year</w:t>
            </w:r>
          </w:p>
        </w:tc>
        <w:tc>
          <w:tcPr>
            <w:tcW w:w="816" w:type="pct"/>
            <w:tcBorders>
              <w:bottom w:val="nil"/>
            </w:tcBorders>
            <w:shd w:val="clear" w:color="auto" w:fill="auto"/>
            <w:noWrap/>
            <w:vAlign w:val="bottom"/>
            <w:hideMark/>
          </w:tcPr>
          <w:p w14:paraId="23263AED" w14:textId="77777777" w:rsidR="00387EBB" w:rsidRPr="0014650B" w:rsidRDefault="00387EBB" w:rsidP="008A3301">
            <w:pPr>
              <w:pStyle w:val="TableText0"/>
              <w:jc w:val="center"/>
            </w:pPr>
            <w:r w:rsidRPr="0014650B">
              <w:t>$37,542.44</w:t>
            </w:r>
          </w:p>
        </w:tc>
        <w:tc>
          <w:tcPr>
            <w:tcW w:w="867" w:type="pct"/>
            <w:tcBorders>
              <w:bottom w:val="nil"/>
            </w:tcBorders>
            <w:shd w:val="clear" w:color="auto" w:fill="auto"/>
            <w:noWrap/>
            <w:vAlign w:val="bottom"/>
            <w:hideMark/>
          </w:tcPr>
          <w:p w14:paraId="0CAF6CCB" w14:textId="77777777" w:rsidR="00387EBB" w:rsidRPr="0014650B" w:rsidRDefault="00387EBB" w:rsidP="008A3301">
            <w:pPr>
              <w:pStyle w:val="TableText0"/>
              <w:jc w:val="center"/>
            </w:pPr>
            <w:r w:rsidRPr="0014650B">
              <w:t>$37,234.81</w:t>
            </w:r>
          </w:p>
        </w:tc>
        <w:tc>
          <w:tcPr>
            <w:tcW w:w="1970" w:type="pct"/>
            <w:tcBorders>
              <w:bottom w:val="nil"/>
            </w:tcBorders>
            <w:shd w:val="clear" w:color="auto" w:fill="auto"/>
            <w:noWrap/>
            <w:vAlign w:val="bottom"/>
            <w:hideMark/>
          </w:tcPr>
          <w:p w14:paraId="40ED614B" w14:textId="77777777" w:rsidR="00387EBB" w:rsidRPr="0014650B" w:rsidRDefault="00387EBB" w:rsidP="00387EBB">
            <w:pPr>
              <w:pStyle w:val="TableText0"/>
            </w:pPr>
            <w:r w:rsidRPr="0014650B">
              <w:t>Eltrombopag = F*365.25</w:t>
            </w:r>
          </w:p>
        </w:tc>
      </w:tr>
      <w:tr w:rsidR="00387EBB" w:rsidRPr="0014650B" w14:paraId="72E4171D" w14:textId="77777777" w:rsidTr="00FF5CBC">
        <w:tc>
          <w:tcPr>
            <w:tcW w:w="195" w:type="pct"/>
            <w:tcBorders>
              <w:top w:val="nil"/>
              <w:bottom w:val="single" w:sz="4" w:space="0" w:color="auto"/>
            </w:tcBorders>
            <w:shd w:val="clear" w:color="auto" w:fill="auto"/>
            <w:noWrap/>
            <w:vAlign w:val="bottom"/>
            <w:hideMark/>
          </w:tcPr>
          <w:p w14:paraId="1D58C2C6" w14:textId="77777777" w:rsidR="00387EBB" w:rsidRPr="0014650B" w:rsidRDefault="00387EBB" w:rsidP="00387EBB">
            <w:pPr>
              <w:pStyle w:val="TableText0"/>
            </w:pPr>
          </w:p>
        </w:tc>
        <w:tc>
          <w:tcPr>
            <w:tcW w:w="615" w:type="pct"/>
            <w:tcBorders>
              <w:top w:val="nil"/>
              <w:bottom w:val="single" w:sz="4" w:space="0" w:color="auto"/>
              <w:right w:val="nil"/>
            </w:tcBorders>
            <w:shd w:val="clear" w:color="auto" w:fill="auto"/>
            <w:noWrap/>
            <w:vAlign w:val="bottom"/>
            <w:hideMark/>
          </w:tcPr>
          <w:p w14:paraId="7134EC49" w14:textId="77777777" w:rsidR="00387EBB" w:rsidRPr="0014650B" w:rsidRDefault="00387EBB" w:rsidP="00387EBB">
            <w:pPr>
              <w:pStyle w:val="TableText0"/>
              <w:rPr>
                <w:rFonts w:cs="Times New Roman"/>
              </w:rPr>
            </w:pPr>
          </w:p>
        </w:tc>
        <w:tc>
          <w:tcPr>
            <w:tcW w:w="538" w:type="pct"/>
            <w:tcBorders>
              <w:top w:val="nil"/>
              <w:left w:val="nil"/>
              <w:bottom w:val="single" w:sz="4" w:space="0" w:color="auto"/>
            </w:tcBorders>
            <w:shd w:val="clear" w:color="auto" w:fill="auto"/>
            <w:noWrap/>
            <w:vAlign w:val="bottom"/>
            <w:hideMark/>
          </w:tcPr>
          <w:p w14:paraId="16599BDE" w14:textId="77777777" w:rsidR="00387EBB" w:rsidRPr="0014650B" w:rsidRDefault="00387EBB" w:rsidP="00387EBB">
            <w:pPr>
              <w:pStyle w:val="TableText0"/>
              <w:rPr>
                <w:rFonts w:cs="Times New Roman"/>
              </w:rPr>
            </w:pPr>
          </w:p>
        </w:tc>
        <w:tc>
          <w:tcPr>
            <w:tcW w:w="816" w:type="pct"/>
            <w:tcBorders>
              <w:top w:val="nil"/>
              <w:bottom w:val="single" w:sz="4" w:space="0" w:color="auto"/>
            </w:tcBorders>
            <w:shd w:val="clear" w:color="auto" w:fill="auto"/>
            <w:noWrap/>
            <w:vAlign w:val="bottom"/>
            <w:hideMark/>
          </w:tcPr>
          <w:p w14:paraId="06BD4422" w14:textId="77777777" w:rsidR="00387EBB" w:rsidRPr="0014650B" w:rsidRDefault="00387EBB" w:rsidP="008A3301">
            <w:pPr>
              <w:pStyle w:val="TableText0"/>
              <w:jc w:val="center"/>
              <w:rPr>
                <w:rFonts w:cs="Times New Roman"/>
              </w:rPr>
            </w:pPr>
          </w:p>
        </w:tc>
        <w:tc>
          <w:tcPr>
            <w:tcW w:w="867" w:type="pct"/>
            <w:tcBorders>
              <w:top w:val="nil"/>
              <w:bottom w:val="single" w:sz="4" w:space="0" w:color="auto"/>
            </w:tcBorders>
            <w:shd w:val="clear" w:color="auto" w:fill="auto"/>
            <w:noWrap/>
            <w:vAlign w:val="bottom"/>
            <w:hideMark/>
          </w:tcPr>
          <w:p w14:paraId="25EB6D79" w14:textId="77777777" w:rsidR="00387EBB" w:rsidRPr="0014650B" w:rsidRDefault="00387EBB" w:rsidP="008A3301">
            <w:pPr>
              <w:pStyle w:val="TableText0"/>
              <w:jc w:val="center"/>
              <w:rPr>
                <w:rFonts w:cs="Times New Roman"/>
              </w:rPr>
            </w:pPr>
          </w:p>
        </w:tc>
        <w:tc>
          <w:tcPr>
            <w:tcW w:w="1970" w:type="pct"/>
            <w:tcBorders>
              <w:top w:val="nil"/>
              <w:bottom w:val="single" w:sz="4" w:space="0" w:color="auto"/>
            </w:tcBorders>
            <w:shd w:val="clear" w:color="auto" w:fill="auto"/>
            <w:noWrap/>
            <w:vAlign w:val="bottom"/>
            <w:hideMark/>
          </w:tcPr>
          <w:p w14:paraId="53D3795F" w14:textId="77777777" w:rsidR="00387EBB" w:rsidRPr="0014650B" w:rsidRDefault="00387EBB" w:rsidP="00387EBB">
            <w:pPr>
              <w:pStyle w:val="TableText0"/>
            </w:pPr>
            <w:r w:rsidRPr="0014650B">
              <w:t>Avatro</w:t>
            </w:r>
            <w:r>
              <w:t>m</w:t>
            </w:r>
            <w:r w:rsidRPr="0014650B">
              <w:t>bopag = K-J</w:t>
            </w:r>
          </w:p>
        </w:tc>
      </w:tr>
      <w:tr w:rsidR="00387EBB" w:rsidRPr="0014650B" w14:paraId="4D6DF3A7" w14:textId="77777777" w:rsidTr="00FF5CBC">
        <w:tc>
          <w:tcPr>
            <w:tcW w:w="195" w:type="pct"/>
            <w:tcBorders>
              <w:bottom w:val="nil"/>
            </w:tcBorders>
            <w:shd w:val="clear" w:color="auto" w:fill="auto"/>
            <w:noWrap/>
            <w:vAlign w:val="bottom"/>
            <w:hideMark/>
          </w:tcPr>
          <w:p w14:paraId="33579910" w14:textId="77777777" w:rsidR="00387EBB" w:rsidRPr="0014650B" w:rsidRDefault="00387EBB" w:rsidP="00387EBB">
            <w:pPr>
              <w:pStyle w:val="TableText0"/>
            </w:pPr>
            <w:r w:rsidRPr="0014650B">
              <w:t>H</w:t>
            </w:r>
          </w:p>
        </w:tc>
        <w:tc>
          <w:tcPr>
            <w:tcW w:w="1153" w:type="pct"/>
            <w:gridSpan w:val="2"/>
            <w:tcBorders>
              <w:bottom w:val="nil"/>
            </w:tcBorders>
            <w:shd w:val="clear" w:color="auto" w:fill="auto"/>
            <w:noWrap/>
            <w:vAlign w:val="bottom"/>
            <w:hideMark/>
          </w:tcPr>
          <w:p w14:paraId="4297D972" w14:textId="77777777" w:rsidR="00387EBB" w:rsidRPr="0014650B" w:rsidRDefault="00387EBB" w:rsidP="00387EBB">
            <w:pPr>
              <w:pStyle w:val="TableText0"/>
            </w:pPr>
            <w:r w:rsidRPr="0014650B">
              <w:t>Liver function monitoring</w:t>
            </w:r>
          </w:p>
        </w:tc>
        <w:tc>
          <w:tcPr>
            <w:tcW w:w="816" w:type="pct"/>
            <w:tcBorders>
              <w:bottom w:val="nil"/>
            </w:tcBorders>
            <w:shd w:val="clear" w:color="auto" w:fill="auto"/>
            <w:noWrap/>
            <w:vAlign w:val="bottom"/>
            <w:hideMark/>
          </w:tcPr>
          <w:p w14:paraId="567DD410" w14:textId="77777777" w:rsidR="00387EBB" w:rsidRPr="0014650B" w:rsidRDefault="00387EBB" w:rsidP="008A3301">
            <w:pPr>
              <w:pStyle w:val="TableText0"/>
              <w:jc w:val="center"/>
            </w:pPr>
            <w:r w:rsidRPr="0014650B">
              <w:t>$17.70</w:t>
            </w:r>
          </w:p>
        </w:tc>
        <w:tc>
          <w:tcPr>
            <w:tcW w:w="867" w:type="pct"/>
            <w:tcBorders>
              <w:bottom w:val="nil"/>
            </w:tcBorders>
            <w:shd w:val="clear" w:color="auto" w:fill="auto"/>
            <w:noWrap/>
            <w:vAlign w:val="bottom"/>
            <w:hideMark/>
          </w:tcPr>
          <w:p w14:paraId="343D4800" w14:textId="77777777" w:rsidR="00387EBB" w:rsidRPr="0014650B" w:rsidRDefault="00387EBB" w:rsidP="008A3301">
            <w:pPr>
              <w:pStyle w:val="TableText0"/>
              <w:jc w:val="center"/>
            </w:pPr>
            <w:r w:rsidRPr="0014650B">
              <w:t>$17.70</w:t>
            </w:r>
          </w:p>
        </w:tc>
        <w:tc>
          <w:tcPr>
            <w:tcW w:w="1970" w:type="pct"/>
            <w:tcBorders>
              <w:bottom w:val="nil"/>
            </w:tcBorders>
            <w:shd w:val="clear" w:color="auto" w:fill="auto"/>
            <w:noWrap/>
            <w:vAlign w:val="bottom"/>
            <w:hideMark/>
          </w:tcPr>
          <w:p w14:paraId="2DFFE7D7" w14:textId="77777777" w:rsidR="00387EBB" w:rsidRPr="0014650B" w:rsidRDefault="00387EBB" w:rsidP="00387EBB">
            <w:pPr>
              <w:pStyle w:val="TableText0"/>
            </w:pPr>
            <w:r w:rsidRPr="0014650B">
              <w:t>Eltrombopag = MBS item 66512</w:t>
            </w:r>
          </w:p>
        </w:tc>
      </w:tr>
      <w:tr w:rsidR="00387EBB" w:rsidRPr="0014650B" w14:paraId="062614F2" w14:textId="77777777" w:rsidTr="00FF5CBC">
        <w:tc>
          <w:tcPr>
            <w:tcW w:w="195" w:type="pct"/>
            <w:tcBorders>
              <w:top w:val="nil"/>
              <w:bottom w:val="single" w:sz="4" w:space="0" w:color="auto"/>
            </w:tcBorders>
            <w:shd w:val="clear" w:color="auto" w:fill="auto"/>
            <w:noWrap/>
            <w:vAlign w:val="bottom"/>
            <w:hideMark/>
          </w:tcPr>
          <w:p w14:paraId="0E2931A0" w14:textId="77777777" w:rsidR="00387EBB" w:rsidRPr="0014650B" w:rsidRDefault="00387EBB" w:rsidP="00387EBB">
            <w:pPr>
              <w:pStyle w:val="TableText0"/>
            </w:pPr>
          </w:p>
        </w:tc>
        <w:tc>
          <w:tcPr>
            <w:tcW w:w="615" w:type="pct"/>
            <w:tcBorders>
              <w:top w:val="nil"/>
              <w:bottom w:val="single" w:sz="4" w:space="0" w:color="auto"/>
              <w:right w:val="nil"/>
            </w:tcBorders>
            <w:shd w:val="clear" w:color="auto" w:fill="auto"/>
            <w:noWrap/>
            <w:vAlign w:val="bottom"/>
            <w:hideMark/>
          </w:tcPr>
          <w:p w14:paraId="5D618670" w14:textId="77777777" w:rsidR="00387EBB" w:rsidRPr="0014650B" w:rsidRDefault="00387EBB" w:rsidP="00387EBB">
            <w:pPr>
              <w:pStyle w:val="TableText0"/>
              <w:rPr>
                <w:rFonts w:cs="Times New Roman"/>
              </w:rPr>
            </w:pPr>
          </w:p>
        </w:tc>
        <w:tc>
          <w:tcPr>
            <w:tcW w:w="538" w:type="pct"/>
            <w:tcBorders>
              <w:top w:val="nil"/>
              <w:left w:val="nil"/>
              <w:bottom w:val="single" w:sz="4" w:space="0" w:color="auto"/>
            </w:tcBorders>
            <w:shd w:val="clear" w:color="auto" w:fill="auto"/>
            <w:noWrap/>
            <w:vAlign w:val="bottom"/>
            <w:hideMark/>
          </w:tcPr>
          <w:p w14:paraId="016F6330" w14:textId="77777777" w:rsidR="00387EBB" w:rsidRPr="0014650B" w:rsidRDefault="00387EBB" w:rsidP="00387EBB">
            <w:pPr>
              <w:pStyle w:val="TableText0"/>
              <w:rPr>
                <w:rFonts w:cs="Times New Roman"/>
              </w:rPr>
            </w:pPr>
          </w:p>
        </w:tc>
        <w:tc>
          <w:tcPr>
            <w:tcW w:w="816" w:type="pct"/>
            <w:tcBorders>
              <w:top w:val="nil"/>
              <w:bottom w:val="single" w:sz="4" w:space="0" w:color="auto"/>
            </w:tcBorders>
            <w:shd w:val="clear" w:color="auto" w:fill="auto"/>
            <w:noWrap/>
            <w:vAlign w:val="bottom"/>
            <w:hideMark/>
          </w:tcPr>
          <w:p w14:paraId="293CDC84" w14:textId="77777777" w:rsidR="00387EBB" w:rsidRPr="0014650B" w:rsidRDefault="00387EBB" w:rsidP="008A3301">
            <w:pPr>
              <w:pStyle w:val="TableText0"/>
              <w:jc w:val="center"/>
              <w:rPr>
                <w:rFonts w:cs="Times New Roman"/>
              </w:rPr>
            </w:pPr>
          </w:p>
        </w:tc>
        <w:tc>
          <w:tcPr>
            <w:tcW w:w="867" w:type="pct"/>
            <w:tcBorders>
              <w:top w:val="nil"/>
              <w:bottom w:val="single" w:sz="4" w:space="0" w:color="auto"/>
            </w:tcBorders>
            <w:shd w:val="clear" w:color="auto" w:fill="auto"/>
            <w:noWrap/>
            <w:vAlign w:val="bottom"/>
            <w:hideMark/>
          </w:tcPr>
          <w:p w14:paraId="1EE470A6" w14:textId="77777777" w:rsidR="00387EBB" w:rsidRPr="0014650B" w:rsidRDefault="00387EBB" w:rsidP="008A3301">
            <w:pPr>
              <w:pStyle w:val="TableText0"/>
              <w:jc w:val="center"/>
              <w:rPr>
                <w:rFonts w:cs="Times New Roman"/>
              </w:rPr>
            </w:pPr>
          </w:p>
        </w:tc>
        <w:tc>
          <w:tcPr>
            <w:tcW w:w="1970" w:type="pct"/>
            <w:tcBorders>
              <w:top w:val="nil"/>
              <w:bottom w:val="single" w:sz="4" w:space="0" w:color="auto"/>
            </w:tcBorders>
            <w:shd w:val="clear" w:color="auto" w:fill="auto"/>
            <w:noWrap/>
            <w:vAlign w:val="bottom"/>
            <w:hideMark/>
          </w:tcPr>
          <w:p w14:paraId="3CC2543A" w14:textId="77777777" w:rsidR="00387EBB" w:rsidRPr="0014650B" w:rsidRDefault="00387EBB" w:rsidP="00387EBB">
            <w:pPr>
              <w:pStyle w:val="TableText0"/>
            </w:pPr>
            <w:r w:rsidRPr="0014650B">
              <w:t>Avatro</w:t>
            </w:r>
            <w:r>
              <w:t>m</w:t>
            </w:r>
            <w:r w:rsidRPr="0014650B">
              <w:t>bopag = MBS item 66512</w:t>
            </w:r>
          </w:p>
        </w:tc>
      </w:tr>
      <w:tr w:rsidR="00387EBB" w:rsidRPr="0014650B" w14:paraId="2FDA2800" w14:textId="77777777" w:rsidTr="00FF5CBC">
        <w:tc>
          <w:tcPr>
            <w:tcW w:w="195" w:type="pct"/>
            <w:tcBorders>
              <w:bottom w:val="nil"/>
            </w:tcBorders>
            <w:shd w:val="clear" w:color="auto" w:fill="auto"/>
            <w:noWrap/>
            <w:vAlign w:val="bottom"/>
            <w:hideMark/>
          </w:tcPr>
          <w:p w14:paraId="7DFE37DD" w14:textId="77777777" w:rsidR="00387EBB" w:rsidRPr="0014650B" w:rsidRDefault="00387EBB" w:rsidP="00387EBB">
            <w:pPr>
              <w:pStyle w:val="TableText0"/>
            </w:pPr>
            <w:r w:rsidRPr="0014650B">
              <w:t>I</w:t>
            </w:r>
          </w:p>
        </w:tc>
        <w:tc>
          <w:tcPr>
            <w:tcW w:w="1153" w:type="pct"/>
            <w:gridSpan w:val="2"/>
            <w:tcBorders>
              <w:bottom w:val="nil"/>
            </w:tcBorders>
            <w:shd w:val="clear" w:color="auto" w:fill="auto"/>
            <w:noWrap/>
            <w:vAlign w:val="bottom"/>
            <w:hideMark/>
          </w:tcPr>
          <w:p w14:paraId="1CB22315" w14:textId="77777777" w:rsidR="00387EBB" w:rsidRPr="0014650B" w:rsidRDefault="00387EBB" w:rsidP="00387EBB">
            <w:pPr>
              <w:pStyle w:val="TableText0"/>
            </w:pPr>
            <w:r w:rsidRPr="0014650B">
              <w:t>Frequency/year</w:t>
            </w:r>
          </w:p>
        </w:tc>
        <w:tc>
          <w:tcPr>
            <w:tcW w:w="816" w:type="pct"/>
            <w:tcBorders>
              <w:bottom w:val="nil"/>
            </w:tcBorders>
            <w:shd w:val="clear" w:color="auto" w:fill="auto"/>
            <w:noWrap/>
            <w:vAlign w:val="bottom"/>
            <w:hideMark/>
          </w:tcPr>
          <w:p w14:paraId="78F8919A" w14:textId="77777777" w:rsidR="00387EBB" w:rsidRPr="0014650B" w:rsidRDefault="00387EBB" w:rsidP="008A3301">
            <w:pPr>
              <w:pStyle w:val="TableText0"/>
              <w:jc w:val="center"/>
            </w:pPr>
            <w:r w:rsidRPr="0014650B">
              <w:t>0</w:t>
            </w:r>
          </w:p>
        </w:tc>
        <w:tc>
          <w:tcPr>
            <w:tcW w:w="867" w:type="pct"/>
            <w:tcBorders>
              <w:bottom w:val="nil"/>
            </w:tcBorders>
            <w:shd w:val="clear" w:color="auto" w:fill="auto"/>
            <w:noWrap/>
            <w:vAlign w:val="bottom"/>
            <w:hideMark/>
          </w:tcPr>
          <w:p w14:paraId="72F6AAE4" w14:textId="77777777" w:rsidR="00387EBB" w:rsidRPr="0014650B" w:rsidRDefault="00387EBB" w:rsidP="008A3301">
            <w:pPr>
              <w:pStyle w:val="TableText0"/>
              <w:jc w:val="center"/>
            </w:pPr>
            <w:r w:rsidRPr="0014650B">
              <w:t>17.38</w:t>
            </w:r>
          </w:p>
        </w:tc>
        <w:tc>
          <w:tcPr>
            <w:tcW w:w="1970" w:type="pct"/>
            <w:tcBorders>
              <w:bottom w:val="nil"/>
            </w:tcBorders>
            <w:shd w:val="clear" w:color="auto" w:fill="auto"/>
            <w:noWrap/>
            <w:vAlign w:val="bottom"/>
            <w:hideMark/>
          </w:tcPr>
          <w:p w14:paraId="7C06E708" w14:textId="77777777" w:rsidR="00387EBB" w:rsidRPr="0014650B" w:rsidRDefault="00387EBB" w:rsidP="00387EBB">
            <w:pPr>
              <w:pStyle w:val="TableText0"/>
            </w:pPr>
            <w:r w:rsidRPr="0014650B">
              <w:t xml:space="preserve">Eltrombopag = every 3 weeks (TGA </w:t>
            </w:r>
            <w:r>
              <w:t>PAR)</w:t>
            </w:r>
          </w:p>
        </w:tc>
      </w:tr>
      <w:tr w:rsidR="00387EBB" w:rsidRPr="0014650B" w14:paraId="4F4933B5" w14:textId="77777777" w:rsidTr="00FF5CBC">
        <w:tc>
          <w:tcPr>
            <w:tcW w:w="195" w:type="pct"/>
            <w:tcBorders>
              <w:top w:val="nil"/>
              <w:bottom w:val="single" w:sz="4" w:space="0" w:color="auto"/>
            </w:tcBorders>
            <w:shd w:val="clear" w:color="auto" w:fill="auto"/>
            <w:noWrap/>
            <w:vAlign w:val="bottom"/>
            <w:hideMark/>
          </w:tcPr>
          <w:p w14:paraId="5F3D58D9" w14:textId="77777777" w:rsidR="00387EBB" w:rsidRPr="0014650B" w:rsidRDefault="00387EBB" w:rsidP="00387EBB">
            <w:pPr>
              <w:pStyle w:val="TableText0"/>
            </w:pPr>
          </w:p>
        </w:tc>
        <w:tc>
          <w:tcPr>
            <w:tcW w:w="615" w:type="pct"/>
            <w:tcBorders>
              <w:top w:val="nil"/>
              <w:bottom w:val="single" w:sz="4" w:space="0" w:color="auto"/>
              <w:right w:val="nil"/>
            </w:tcBorders>
            <w:shd w:val="clear" w:color="auto" w:fill="auto"/>
            <w:noWrap/>
            <w:vAlign w:val="bottom"/>
            <w:hideMark/>
          </w:tcPr>
          <w:p w14:paraId="4F86564C" w14:textId="77777777" w:rsidR="00387EBB" w:rsidRPr="0014650B" w:rsidRDefault="00387EBB" w:rsidP="00387EBB">
            <w:pPr>
              <w:pStyle w:val="TableText0"/>
              <w:rPr>
                <w:rFonts w:cs="Times New Roman"/>
              </w:rPr>
            </w:pPr>
          </w:p>
        </w:tc>
        <w:tc>
          <w:tcPr>
            <w:tcW w:w="538" w:type="pct"/>
            <w:tcBorders>
              <w:top w:val="nil"/>
              <w:left w:val="nil"/>
              <w:bottom w:val="single" w:sz="4" w:space="0" w:color="auto"/>
            </w:tcBorders>
            <w:shd w:val="clear" w:color="auto" w:fill="auto"/>
            <w:noWrap/>
            <w:vAlign w:val="bottom"/>
            <w:hideMark/>
          </w:tcPr>
          <w:p w14:paraId="6FA976CD" w14:textId="77777777" w:rsidR="00387EBB" w:rsidRPr="0014650B" w:rsidRDefault="00387EBB" w:rsidP="00387EBB">
            <w:pPr>
              <w:pStyle w:val="TableText0"/>
              <w:rPr>
                <w:rFonts w:cs="Times New Roman"/>
              </w:rPr>
            </w:pPr>
          </w:p>
        </w:tc>
        <w:tc>
          <w:tcPr>
            <w:tcW w:w="816" w:type="pct"/>
            <w:tcBorders>
              <w:top w:val="nil"/>
              <w:bottom w:val="single" w:sz="4" w:space="0" w:color="auto"/>
            </w:tcBorders>
            <w:shd w:val="clear" w:color="auto" w:fill="auto"/>
            <w:noWrap/>
            <w:vAlign w:val="bottom"/>
            <w:hideMark/>
          </w:tcPr>
          <w:p w14:paraId="533F8477" w14:textId="77777777" w:rsidR="00387EBB" w:rsidRPr="0014650B" w:rsidRDefault="00387EBB" w:rsidP="008A3301">
            <w:pPr>
              <w:pStyle w:val="TableText0"/>
              <w:jc w:val="center"/>
              <w:rPr>
                <w:rFonts w:cs="Times New Roman"/>
              </w:rPr>
            </w:pPr>
          </w:p>
        </w:tc>
        <w:tc>
          <w:tcPr>
            <w:tcW w:w="867" w:type="pct"/>
            <w:tcBorders>
              <w:top w:val="nil"/>
              <w:bottom w:val="single" w:sz="4" w:space="0" w:color="auto"/>
            </w:tcBorders>
            <w:shd w:val="clear" w:color="auto" w:fill="auto"/>
            <w:noWrap/>
            <w:vAlign w:val="bottom"/>
            <w:hideMark/>
          </w:tcPr>
          <w:p w14:paraId="46C9BBF2" w14:textId="77777777" w:rsidR="00387EBB" w:rsidRPr="0014650B" w:rsidRDefault="00387EBB" w:rsidP="008A3301">
            <w:pPr>
              <w:pStyle w:val="TableText0"/>
              <w:jc w:val="center"/>
              <w:rPr>
                <w:rFonts w:cs="Times New Roman"/>
              </w:rPr>
            </w:pPr>
          </w:p>
        </w:tc>
        <w:tc>
          <w:tcPr>
            <w:tcW w:w="1970" w:type="pct"/>
            <w:tcBorders>
              <w:top w:val="nil"/>
              <w:bottom w:val="single" w:sz="4" w:space="0" w:color="auto"/>
            </w:tcBorders>
            <w:shd w:val="clear" w:color="auto" w:fill="auto"/>
            <w:noWrap/>
            <w:vAlign w:val="bottom"/>
            <w:hideMark/>
          </w:tcPr>
          <w:p w14:paraId="443C1046" w14:textId="77777777" w:rsidR="00387EBB" w:rsidRPr="0014650B" w:rsidRDefault="00387EBB" w:rsidP="00387EBB">
            <w:pPr>
              <w:pStyle w:val="TableText0"/>
            </w:pPr>
            <w:r w:rsidRPr="0014650B">
              <w:t>Avatro</w:t>
            </w:r>
            <w:r>
              <w:t>m</w:t>
            </w:r>
            <w:r w:rsidRPr="0014650B">
              <w:t>bopag = 0</w:t>
            </w:r>
          </w:p>
        </w:tc>
      </w:tr>
      <w:tr w:rsidR="00387EBB" w:rsidRPr="0014650B" w14:paraId="0C2D87A1" w14:textId="77777777" w:rsidTr="00FF5CBC">
        <w:tc>
          <w:tcPr>
            <w:tcW w:w="195" w:type="pct"/>
            <w:tcBorders>
              <w:bottom w:val="nil"/>
            </w:tcBorders>
            <w:shd w:val="clear" w:color="auto" w:fill="auto"/>
            <w:noWrap/>
            <w:vAlign w:val="bottom"/>
            <w:hideMark/>
          </w:tcPr>
          <w:p w14:paraId="46517E45" w14:textId="77777777" w:rsidR="00387EBB" w:rsidRPr="0014650B" w:rsidRDefault="00387EBB" w:rsidP="00387EBB">
            <w:pPr>
              <w:pStyle w:val="TableText0"/>
            </w:pPr>
            <w:r w:rsidRPr="0014650B">
              <w:t>J</w:t>
            </w:r>
          </w:p>
        </w:tc>
        <w:tc>
          <w:tcPr>
            <w:tcW w:w="1153" w:type="pct"/>
            <w:gridSpan w:val="2"/>
            <w:tcBorders>
              <w:bottom w:val="nil"/>
            </w:tcBorders>
            <w:shd w:val="clear" w:color="auto" w:fill="auto"/>
            <w:noWrap/>
            <w:vAlign w:val="bottom"/>
            <w:hideMark/>
          </w:tcPr>
          <w:p w14:paraId="3F65FCE6" w14:textId="77777777" w:rsidR="00387EBB" w:rsidRPr="0014650B" w:rsidRDefault="00387EBB" w:rsidP="00387EBB">
            <w:pPr>
              <w:pStyle w:val="TableText0"/>
            </w:pPr>
            <w:r w:rsidRPr="0014650B">
              <w:t>Monitoring cost/year</w:t>
            </w:r>
          </w:p>
        </w:tc>
        <w:tc>
          <w:tcPr>
            <w:tcW w:w="816" w:type="pct"/>
            <w:tcBorders>
              <w:bottom w:val="nil"/>
            </w:tcBorders>
            <w:shd w:val="clear" w:color="auto" w:fill="auto"/>
            <w:noWrap/>
            <w:vAlign w:val="bottom"/>
            <w:hideMark/>
          </w:tcPr>
          <w:p w14:paraId="46A3E99B" w14:textId="3FC8606B" w:rsidR="00387EBB" w:rsidRPr="0014650B" w:rsidRDefault="00387EBB" w:rsidP="008A3301">
            <w:pPr>
              <w:pStyle w:val="TableText0"/>
              <w:jc w:val="center"/>
            </w:pPr>
            <w:r w:rsidRPr="0014650B">
              <w:t>$</w:t>
            </w:r>
            <w:r>
              <w:t>0</w:t>
            </w:r>
          </w:p>
        </w:tc>
        <w:tc>
          <w:tcPr>
            <w:tcW w:w="867" w:type="pct"/>
            <w:tcBorders>
              <w:bottom w:val="nil"/>
            </w:tcBorders>
            <w:shd w:val="clear" w:color="auto" w:fill="auto"/>
            <w:noWrap/>
            <w:vAlign w:val="bottom"/>
            <w:hideMark/>
          </w:tcPr>
          <w:p w14:paraId="1945C849" w14:textId="77777777" w:rsidR="00387EBB" w:rsidRPr="0014650B" w:rsidRDefault="00387EBB" w:rsidP="008A3301">
            <w:pPr>
              <w:pStyle w:val="TableText0"/>
              <w:jc w:val="center"/>
            </w:pPr>
            <w:r w:rsidRPr="0014650B">
              <w:t>$307.63</w:t>
            </w:r>
          </w:p>
        </w:tc>
        <w:tc>
          <w:tcPr>
            <w:tcW w:w="1970" w:type="pct"/>
            <w:tcBorders>
              <w:bottom w:val="nil"/>
            </w:tcBorders>
            <w:shd w:val="clear" w:color="auto" w:fill="auto"/>
            <w:noWrap/>
            <w:vAlign w:val="bottom"/>
            <w:hideMark/>
          </w:tcPr>
          <w:p w14:paraId="25215E5B" w14:textId="77777777" w:rsidR="00387EBB" w:rsidRPr="0014650B" w:rsidRDefault="00387EBB" w:rsidP="00387EBB">
            <w:pPr>
              <w:pStyle w:val="TableText0"/>
            </w:pPr>
            <w:r w:rsidRPr="0014650B">
              <w:t>Eltrombopag = H*I</w:t>
            </w:r>
          </w:p>
        </w:tc>
      </w:tr>
      <w:tr w:rsidR="00387EBB" w:rsidRPr="0014650B" w14:paraId="7DA9A443" w14:textId="77777777" w:rsidTr="00FF5CBC">
        <w:tc>
          <w:tcPr>
            <w:tcW w:w="195" w:type="pct"/>
            <w:tcBorders>
              <w:top w:val="nil"/>
              <w:bottom w:val="single" w:sz="4" w:space="0" w:color="auto"/>
            </w:tcBorders>
            <w:shd w:val="clear" w:color="auto" w:fill="auto"/>
            <w:noWrap/>
            <w:vAlign w:val="bottom"/>
            <w:hideMark/>
          </w:tcPr>
          <w:p w14:paraId="49B8D24D" w14:textId="77777777" w:rsidR="00387EBB" w:rsidRPr="0014650B" w:rsidRDefault="00387EBB" w:rsidP="00387EBB">
            <w:pPr>
              <w:pStyle w:val="TableText0"/>
            </w:pPr>
          </w:p>
        </w:tc>
        <w:tc>
          <w:tcPr>
            <w:tcW w:w="615" w:type="pct"/>
            <w:tcBorders>
              <w:top w:val="nil"/>
              <w:bottom w:val="single" w:sz="4" w:space="0" w:color="auto"/>
              <w:right w:val="nil"/>
            </w:tcBorders>
            <w:shd w:val="clear" w:color="auto" w:fill="auto"/>
            <w:noWrap/>
            <w:vAlign w:val="bottom"/>
            <w:hideMark/>
          </w:tcPr>
          <w:p w14:paraId="5268B142" w14:textId="77777777" w:rsidR="00387EBB" w:rsidRPr="0014650B" w:rsidRDefault="00387EBB" w:rsidP="00387EBB">
            <w:pPr>
              <w:pStyle w:val="TableText0"/>
              <w:rPr>
                <w:rFonts w:cs="Times New Roman"/>
              </w:rPr>
            </w:pPr>
          </w:p>
        </w:tc>
        <w:tc>
          <w:tcPr>
            <w:tcW w:w="538" w:type="pct"/>
            <w:tcBorders>
              <w:top w:val="nil"/>
              <w:left w:val="nil"/>
              <w:bottom w:val="single" w:sz="4" w:space="0" w:color="auto"/>
            </w:tcBorders>
            <w:shd w:val="clear" w:color="auto" w:fill="auto"/>
            <w:noWrap/>
            <w:vAlign w:val="bottom"/>
            <w:hideMark/>
          </w:tcPr>
          <w:p w14:paraId="1565104A" w14:textId="77777777" w:rsidR="00387EBB" w:rsidRPr="0014650B" w:rsidRDefault="00387EBB" w:rsidP="00387EBB">
            <w:pPr>
              <w:pStyle w:val="TableText0"/>
              <w:rPr>
                <w:rFonts w:cs="Times New Roman"/>
              </w:rPr>
            </w:pPr>
          </w:p>
        </w:tc>
        <w:tc>
          <w:tcPr>
            <w:tcW w:w="816" w:type="pct"/>
            <w:tcBorders>
              <w:top w:val="nil"/>
              <w:bottom w:val="single" w:sz="4" w:space="0" w:color="auto"/>
            </w:tcBorders>
            <w:shd w:val="clear" w:color="auto" w:fill="auto"/>
            <w:noWrap/>
            <w:vAlign w:val="bottom"/>
            <w:hideMark/>
          </w:tcPr>
          <w:p w14:paraId="612E9C28" w14:textId="77777777" w:rsidR="00387EBB" w:rsidRPr="0014650B" w:rsidRDefault="00387EBB" w:rsidP="008A3301">
            <w:pPr>
              <w:pStyle w:val="TableText0"/>
              <w:jc w:val="center"/>
              <w:rPr>
                <w:rFonts w:cs="Times New Roman"/>
              </w:rPr>
            </w:pPr>
          </w:p>
        </w:tc>
        <w:tc>
          <w:tcPr>
            <w:tcW w:w="867" w:type="pct"/>
            <w:tcBorders>
              <w:top w:val="nil"/>
              <w:bottom w:val="single" w:sz="4" w:space="0" w:color="auto"/>
            </w:tcBorders>
            <w:shd w:val="clear" w:color="auto" w:fill="auto"/>
            <w:noWrap/>
            <w:vAlign w:val="bottom"/>
            <w:hideMark/>
          </w:tcPr>
          <w:p w14:paraId="542989FD" w14:textId="77777777" w:rsidR="00387EBB" w:rsidRPr="0014650B" w:rsidRDefault="00387EBB" w:rsidP="008A3301">
            <w:pPr>
              <w:pStyle w:val="TableText0"/>
              <w:jc w:val="center"/>
              <w:rPr>
                <w:rFonts w:cs="Times New Roman"/>
              </w:rPr>
            </w:pPr>
          </w:p>
        </w:tc>
        <w:tc>
          <w:tcPr>
            <w:tcW w:w="1970" w:type="pct"/>
            <w:tcBorders>
              <w:top w:val="nil"/>
              <w:bottom w:val="single" w:sz="4" w:space="0" w:color="auto"/>
            </w:tcBorders>
            <w:shd w:val="clear" w:color="auto" w:fill="auto"/>
            <w:noWrap/>
            <w:vAlign w:val="bottom"/>
            <w:hideMark/>
          </w:tcPr>
          <w:p w14:paraId="589F987C" w14:textId="77777777" w:rsidR="00387EBB" w:rsidRPr="0014650B" w:rsidRDefault="00387EBB" w:rsidP="00387EBB">
            <w:pPr>
              <w:pStyle w:val="TableText0"/>
            </w:pPr>
            <w:r w:rsidRPr="0014650B">
              <w:t>Avatro</w:t>
            </w:r>
            <w:r>
              <w:t>m</w:t>
            </w:r>
            <w:r w:rsidRPr="0014650B">
              <w:t>bopag = H*I</w:t>
            </w:r>
          </w:p>
        </w:tc>
      </w:tr>
      <w:tr w:rsidR="00387EBB" w:rsidRPr="0014650B" w14:paraId="1702A695" w14:textId="77777777" w:rsidTr="00FF5CBC">
        <w:tc>
          <w:tcPr>
            <w:tcW w:w="195" w:type="pct"/>
            <w:tcBorders>
              <w:bottom w:val="nil"/>
            </w:tcBorders>
            <w:shd w:val="clear" w:color="auto" w:fill="auto"/>
            <w:noWrap/>
            <w:vAlign w:val="bottom"/>
            <w:hideMark/>
          </w:tcPr>
          <w:p w14:paraId="700F88A9" w14:textId="77777777" w:rsidR="00387EBB" w:rsidRPr="0014650B" w:rsidRDefault="00387EBB" w:rsidP="00387EBB">
            <w:pPr>
              <w:pStyle w:val="TableText0"/>
            </w:pPr>
            <w:r w:rsidRPr="0014650B">
              <w:t>K</w:t>
            </w:r>
          </w:p>
        </w:tc>
        <w:tc>
          <w:tcPr>
            <w:tcW w:w="1153" w:type="pct"/>
            <w:gridSpan w:val="2"/>
            <w:tcBorders>
              <w:bottom w:val="nil"/>
            </w:tcBorders>
            <w:shd w:val="clear" w:color="auto" w:fill="auto"/>
            <w:noWrap/>
            <w:vAlign w:val="bottom"/>
            <w:hideMark/>
          </w:tcPr>
          <w:p w14:paraId="1EFAB202" w14:textId="77777777" w:rsidR="00387EBB" w:rsidRPr="0014650B" w:rsidRDefault="00387EBB" w:rsidP="00387EBB">
            <w:pPr>
              <w:pStyle w:val="TableText0"/>
            </w:pPr>
            <w:r w:rsidRPr="0014650B">
              <w:t>Total cost/year</w:t>
            </w:r>
          </w:p>
        </w:tc>
        <w:tc>
          <w:tcPr>
            <w:tcW w:w="816" w:type="pct"/>
            <w:tcBorders>
              <w:bottom w:val="nil"/>
            </w:tcBorders>
            <w:shd w:val="clear" w:color="auto" w:fill="auto"/>
            <w:noWrap/>
            <w:vAlign w:val="bottom"/>
            <w:hideMark/>
          </w:tcPr>
          <w:p w14:paraId="128BBEE3" w14:textId="77777777" w:rsidR="00387EBB" w:rsidRPr="0014650B" w:rsidRDefault="00387EBB" w:rsidP="008A3301">
            <w:pPr>
              <w:pStyle w:val="TableText0"/>
              <w:jc w:val="center"/>
            </w:pPr>
            <w:r w:rsidRPr="0014650B">
              <w:t>$ 37,542.44</w:t>
            </w:r>
          </w:p>
        </w:tc>
        <w:tc>
          <w:tcPr>
            <w:tcW w:w="867" w:type="pct"/>
            <w:tcBorders>
              <w:bottom w:val="nil"/>
            </w:tcBorders>
            <w:shd w:val="clear" w:color="auto" w:fill="auto"/>
            <w:noWrap/>
            <w:vAlign w:val="bottom"/>
            <w:hideMark/>
          </w:tcPr>
          <w:p w14:paraId="1626BADF" w14:textId="77777777" w:rsidR="00387EBB" w:rsidRPr="0014650B" w:rsidRDefault="00387EBB" w:rsidP="008A3301">
            <w:pPr>
              <w:pStyle w:val="TableText0"/>
              <w:jc w:val="center"/>
            </w:pPr>
            <w:r w:rsidRPr="0014650B">
              <w:t>$37,542.44</w:t>
            </w:r>
          </w:p>
        </w:tc>
        <w:tc>
          <w:tcPr>
            <w:tcW w:w="1970" w:type="pct"/>
            <w:tcBorders>
              <w:bottom w:val="nil"/>
            </w:tcBorders>
            <w:shd w:val="clear" w:color="auto" w:fill="auto"/>
            <w:noWrap/>
            <w:vAlign w:val="bottom"/>
            <w:hideMark/>
          </w:tcPr>
          <w:p w14:paraId="66DBBD86" w14:textId="77777777" w:rsidR="00387EBB" w:rsidRPr="0014650B" w:rsidRDefault="00387EBB" w:rsidP="00387EBB">
            <w:pPr>
              <w:pStyle w:val="TableText0"/>
            </w:pPr>
            <w:r w:rsidRPr="0014650B">
              <w:t>Eltrombopag = G+J</w:t>
            </w:r>
          </w:p>
        </w:tc>
      </w:tr>
      <w:tr w:rsidR="00387EBB" w:rsidRPr="0014650B" w14:paraId="08B76BDD" w14:textId="77777777" w:rsidTr="00FF5CBC">
        <w:tc>
          <w:tcPr>
            <w:tcW w:w="195" w:type="pct"/>
            <w:tcBorders>
              <w:top w:val="nil"/>
            </w:tcBorders>
            <w:shd w:val="clear" w:color="auto" w:fill="auto"/>
            <w:noWrap/>
            <w:vAlign w:val="bottom"/>
            <w:hideMark/>
          </w:tcPr>
          <w:p w14:paraId="5BBD60FE" w14:textId="77777777" w:rsidR="00387EBB" w:rsidRPr="0014650B" w:rsidRDefault="00387EBB" w:rsidP="00387EBB">
            <w:pPr>
              <w:pStyle w:val="TableText0"/>
            </w:pPr>
          </w:p>
        </w:tc>
        <w:tc>
          <w:tcPr>
            <w:tcW w:w="615" w:type="pct"/>
            <w:tcBorders>
              <w:top w:val="nil"/>
              <w:right w:val="nil"/>
            </w:tcBorders>
            <w:shd w:val="clear" w:color="auto" w:fill="auto"/>
            <w:noWrap/>
            <w:vAlign w:val="bottom"/>
            <w:hideMark/>
          </w:tcPr>
          <w:p w14:paraId="0B3ED954" w14:textId="77777777" w:rsidR="00387EBB" w:rsidRPr="0014650B" w:rsidRDefault="00387EBB" w:rsidP="00387EBB">
            <w:pPr>
              <w:pStyle w:val="TableText0"/>
              <w:rPr>
                <w:rFonts w:cs="Times New Roman"/>
              </w:rPr>
            </w:pPr>
          </w:p>
        </w:tc>
        <w:tc>
          <w:tcPr>
            <w:tcW w:w="538" w:type="pct"/>
            <w:tcBorders>
              <w:top w:val="nil"/>
              <w:left w:val="nil"/>
            </w:tcBorders>
            <w:shd w:val="clear" w:color="auto" w:fill="auto"/>
            <w:noWrap/>
            <w:vAlign w:val="bottom"/>
            <w:hideMark/>
          </w:tcPr>
          <w:p w14:paraId="052411F5" w14:textId="77777777" w:rsidR="00387EBB" w:rsidRPr="0014650B" w:rsidRDefault="00387EBB" w:rsidP="00387EBB">
            <w:pPr>
              <w:pStyle w:val="TableText0"/>
              <w:rPr>
                <w:rFonts w:cs="Times New Roman"/>
              </w:rPr>
            </w:pPr>
          </w:p>
        </w:tc>
        <w:tc>
          <w:tcPr>
            <w:tcW w:w="816" w:type="pct"/>
            <w:tcBorders>
              <w:top w:val="nil"/>
            </w:tcBorders>
            <w:shd w:val="clear" w:color="auto" w:fill="auto"/>
            <w:noWrap/>
            <w:vAlign w:val="bottom"/>
            <w:hideMark/>
          </w:tcPr>
          <w:p w14:paraId="53D19E72" w14:textId="77777777" w:rsidR="00387EBB" w:rsidRPr="0014650B" w:rsidRDefault="00387EBB" w:rsidP="00387EBB">
            <w:pPr>
              <w:pStyle w:val="TableText0"/>
              <w:rPr>
                <w:rFonts w:cs="Times New Roman"/>
              </w:rPr>
            </w:pPr>
          </w:p>
        </w:tc>
        <w:tc>
          <w:tcPr>
            <w:tcW w:w="867" w:type="pct"/>
            <w:tcBorders>
              <w:top w:val="nil"/>
            </w:tcBorders>
            <w:shd w:val="clear" w:color="auto" w:fill="auto"/>
            <w:noWrap/>
            <w:vAlign w:val="bottom"/>
            <w:hideMark/>
          </w:tcPr>
          <w:p w14:paraId="2BB86F54" w14:textId="77777777" w:rsidR="00387EBB" w:rsidRPr="0014650B" w:rsidRDefault="00387EBB" w:rsidP="00387EBB">
            <w:pPr>
              <w:pStyle w:val="TableText0"/>
              <w:rPr>
                <w:rFonts w:cs="Times New Roman"/>
              </w:rPr>
            </w:pPr>
          </w:p>
        </w:tc>
        <w:tc>
          <w:tcPr>
            <w:tcW w:w="1970" w:type="pct"/>
            <w:tcBorders>
              <w:top w:val="nil"/>
            </w:tcBorders>
            <w:shd w:val="clear" w:color="auto" w:fill="auto"/>
            <w:noWrap/>
            <w:vAlign w:val="bottom"/>
            <w:hideMark/>
          </w:tcPr>
          <w:p w14:paraId="5D93C347" w14:textId="77777777" w:rsidR="00387EBB" w:rsidRPr="0014650B" w:rsidRDefault="00387EBB" w:rsidP="00387EBB">
            <w:pPr>
              <w:pStyle w:val="TableText0"/>
            </w:pPr>
            <w:r w:rsidRPr="0014650B">
              <w:t>Avatro</w:t>
            </w:r>
            <w:r>
              <w:t>m</w:t>
            </w:r>
            <w:r w:rsidRPr="0014650B">
              <w:t>bopag = equal to eltrombopag</w:t>
            </w:r>
          </w:p>
        </w:tc>
      </w:tr>
    </w:tbl>
    <w:p w14:paraId="7FB1B46E" w14:textId="77777777" w:rsidR="00387EBB" w:rsidRDefault="00387EBB" w:rsidP="00387EBB">
      <w:pPr>
        <w:pStyle w:val="TableFooter"/>
      </w:pPr>
      <w:r w:rsidRPr="005A5709">
        <w:t xml:space="preserve">Source: </w:t>
      </w:r>
      <w:r>
        <w:t>Table 3.5, page 97 of the submission.</w:t>
      </w:r>
    </w:p>
    <w:p w14:paraId="2B5F3719" w14:textId="07DDE767" w:rsidR="00FE7D76" w:rsidRDefault="00387EBB" w:rsidP="00387EBB">
      <w:pPr>
        <w:pStyle w:val="TableFooter"/>
      </w:pPr>
      <w:r>
        <w:t>PAR = public assessment report.</w:t>
      </w:r>
    </w:p>
    <w:p w14:paraId="670317EF" w14:textId="77777777" w:rsidR="00387EBB" w:rsidRPr="00387EBB" w:rsidRDefault="00387EBB" w:rsidP="00387EBB">
      <w:pPr>
        <w:pStyle w:val="TableFooter"/>
        <w:rPr>
          <w:i/>
        </w:rPr>
      </w:pPr>
    </w:p>
    <w:p w14:paraId="023B25EF" w14:textId="77777777" w:rsidR="005107A7" w:rsidRDefault="005107A7" w:rsidP="00F32FAA">
      <w:pPr>
        <w:pStyle w:val="3-BodyText"/>
        <w:rPr>
          <w:iCs/>
        </w:rPr>
      </w:pPr>
      <w:r w:rsidRPr="005107A7">
        <w:rPr>
          <w:iCs/>
        </w:rPr>
        <w:t xml:space="preserve">Given the non-inferiority claims have been accepted by the PBAC, the cost per patient for treatment with avatrombopag should be no more than the cost per patient of eltrombopag. The cost per patient takes into account the mean equi-effective doses of the new intervention and the alternative therapy. Where these cost per patient calculations are uncertain, </w:t>
      </w:r>
      <w:r w:rsidR="00387EBB" w:rsidRPr="00EB1036">
        <w:rPr>
          <w:iCs/>
        </w:rPr>
        <w:t xml:space="preserve">the guiding principle is that the Australian Government </w:t>
      </w:r>
      <w:r w:rsidR="00387EBB" w:rsidRPr="00EB1036">
        <w:rPr>
          <w:iCs/>
        </w:rPr>
        <w:lastRenderedPageBreak/>
        <w:t xml:space="preserve">should not bear the financial risk of this uncertainty because the Australian population already has access to therapy that is at least as effective and safe. </w:t>
      </w:r>
    </w:p>
    <w:p w14:paraId="32CAD52D" w14:textId="691615C0" w:rsidR="00EB1036" w:rsidRPr="00CA51C6" w:rsidRDefault="005107A7" w:rsidP="00F32FAA">
      <w:pPr>
        <w:pStyle w:val="3-BodyText"/>
        <w:rPr>
          <w:iCs/>
        </w:rPr>
      </w:pPr>
      <w:r w:rsidRPr="005107A7">
        <w:rPr>
          <w:iCs/>
        </w:rPr>
        <w:t>When considering the totality of the available evidence, the PBAC considered the dose equivalence estimated in the submission was likely reflective of clinical practice, and also considered the introduction of avatrombopag would be acceptably cost effective if listed on a cost minimisation basis to eltrombopag, including removal of LFT costs</w:t>
      </w:r>
      <w:r>
        <w:rPr>
          <w:iCs/>
        </w:rPr>
        <w:t xml:space="preserve"> as it was uncertain</w:t>
      </w:r>
      <w:r w:rsidRPr="005107A7">
        <w:rPr>
          <w:iCs/>
        </w:rPr>
        <w:t xml:space="preserve"> if and how often such tests are undertaken in patients treated with eltrombopag.</w:t>
      </w:r>
    </w:p>
    <w:p w14:paraId="6515D1F3" w14:textId="09227439" w:rsidR="0023205C" w:rsidRDefault="0023205C" w:rsidP="0023205C">
      <w:pPr>
        <w:pStyle w:val="4-SubsectionHeading"/>
      </w:pPr>
      <w:r>
        <w:t>Cost per patient per year</w:t>
      </w:r>
    </w:p>
    <w:p w14:paraId="09D16855" w14:textId="44C05E17" w:rsidR="0023205C" w:rsidRPr="00CA51C6" w:rsidRDefault="00764FF6" w:rsidP="0023205C">
      <w:pPr>
        <w:pStyle w:val="3-BodyText"/>
      </w:pPr>
      <w:r w:rsidRPr="00CA51C6">
        <w:t xml:space="preserve">The cost per patient per year, based on the drug cost per year shown in </w:t>
      </w:r>
      <w:r w:rsidRPr="00CA51C6">
        <w:fldChar w:fldCharType="begin" w:fldLock="1"/>
      </w:r>
      <w:r w:rsidRPr="00CA51C6">
        <w:instrText xml:space="preserve"> REF _Ref112056037 \h  \* MERGEFORMAT </w:instrText>
      </w:r>
      <w:r w:rsidRPr="00CA51C6">
        <w:fldChar w:fldCharType="separate"/>
      </w:r>
      <w:r w:rsidR="0080246B">
        <w:t xml:space="preserve">Table </w:t>
      </w:r>
      <w:r w:rsidR="0080246B">
        <w:rPr>
          <w:noProof/>
        </w:rPr>
        <w:t>11</w:t>
      </w:r>
      <w:r w:rsidRPr="00CA51C6">
        <w:fldChar w:fldCharType="end"/>
      </w:r>
      <w:r w:rsidR="005D0032" w:rsidRPr="00CA51C6">
        <w:t xml:space="preserve"> and the proposed </w:t>
      </w:r>
      <w:r w:rsidR="00E0005C" w:rsidRPr="00CA51C6">
        <w:t>dispensed price for maximum quantity (</w:t>
      </w:r>
      <w:r w:rsidR="005D0032" w:rsidRPr="00CA51C6">
        <w:t>DPMQ</w:t>
      </w:r>
      <w:r w:rsidR="00E0005C" w:rsidRPr="00CA51C6">
        <w:t>)</w:t>
      </w:r>
      <w:r w:rsidR="005D0032" w:rsidRPr="00CA51C6">
        <w:t xml:space="preserve"> for 1 pack</w:t>
      </w:r>
      <w:r w:rsidRPr="00CA51C6">
        <w:t xml:space="preserve">, is </w:t>
      </w:r>
      <w:r w:rsidR="005D0032" w:rsidRPr="00CA51C6">
        <w:t>$39,736</w:t>
      </w:r>
      <w:r w:rsidRPr="00CA51C6">
        <w:t xml:space="preserve"> ($37,542.44</w:t>
      </w:r>
      <w:r w:rsidR="00E0005C" w:rsidRPr="00CA51C6">
        <w:t xml:space="preserve"> </w:t>
      </w:r>
      <w:r w:rsidRPr="00CA51C6">
        <w:t>/</w:t>
      </w:r>
      <w:r w:rsidR="00E0005C" w:rsidRPr="00CA51C6">
        <w:t xml:space="preserve"> </w:t>
      </w:r>
      <w:r w:rsidRPr="00CA51C6">
        <w:t>$2,760.58</w:t>
      </w:r>
      <w:r w:rsidR="00E0005C" w:rsidRPr="00CA51C6">
        <w:t xml:space="preserve"> </w:t>
      </w:r>
      <w:r w:rsidRPr="00CA51C6">
        <w:t>*</w:t>
      </w:r>
      <w:r w:rsidR="00E0005C" w:rsidRPr="00CA51C6">
        <w:t xml:space="preserve"> </w:t>
      </w:r>
      <w:r w:rsidRPr="00CA51C6">
        <w:t>$</w:t>
      </w:r>
      <w:r w:rsidR="005D0032" w:rsidRPr="00CA51C6">
        <w:t>2,921.86</w:t>
      </w:r>
      <w:r w:rsidRPr="00CA51C6">
        <w:t xml:space="preserve">). </w:t>
      </w:r>
    </w:p>
    <w:p w14:paraId="268768EF" w14:textId="3626F292" w:rsidR="00B60939" w:rsidRPr="00C9624D" w:rsidRDefault="00B60939" w:rsidP="002B05A1">
      <w:pPr>
        <w:pStyle w:val="4-SubsectionHeading"/>
      </w:pPr>
      <w:bookmarkStart w:id="46" w:name="_Toc22897647"/>
      <w:bookmarkStart w:id="47" w:name="_Toc113903635"/>
      <w:r w:rsidRPr="00C9624D">
        <w:t>Estimated PBS usage &amp; financial implications</w:t>
      </w:r>
      <w:bookmarkEnd w:id="46"/>
      <w:bookmarkEnd w:id="47"/>
    </w:p>
    <w:p w14:paraId="1D17F7E7" w14:textId="276BE6B4" w:rsidR="000D7094" w:rsidRPr="00B46647" w:rsidRDefault="000D7094" w:rsidP="000D7094">
      <w:pPr>
        <w:pStyle w:val="3-BodyText"/>
      </w:pPr>
      <w:bookmarkStart w:id="48" w:name="_Ref104805262"/>
      <w:r>
        <w:t xml:space="preserve">This </w:t>
      </w:r>
      <w:r w:rsidRPr="00D726B9">
        <w:t xml:space="preserve">submission </w:t>
      </w:r>
      <w:r w:rsidR="00610BF0">
        <w:t>was not</w:t>
      </w:r>
      <w:r>
        <w:t xml:space="preserve"> considered by DUSC</w:t>
      </w:r>
      <w:r w:rsidRPr="00B50DB8">
        <w:rPr>
          <w:color w:val="0070C0"/>
        </w:rPr>
        <w:t>.</w:t>
      </w:r>
      <w:r>
        <w:rPr>
          <w:color w:val="0070C0"/>
        </w:rPr>
        <w:t xml:space="preserve"> </w:t>
      </w:r>
      <w:r w:rsidRPr="00B46647">
        <w:t>The submission presented a market share approach to estimating PBS usage and financial implications based on PBS data for eltrombopag and romiplostim.</w:t>
      </w:r>
      <w:r>
        <w:t xml:space="preserve"> Key inputs used in the estimates are summarised in</w:t>
      </w:r>
      <w:r w:rsidR="001C2498">
        <w:t xml:space="preserve"> </w:t>
      </w:r>
      <w:r w:rsidR="001C2498">
        <w:fldChar w:fldCharType="begin" w:fldLock="1"/>
      </w:r>
      <w:r w:rsidR="001C2498">
        <w:instrText xml:space="preserve"> REF _Ref112586726 \h </w:instrText>
      </w:r>
      <w:r w:rsidR="001C2498">
        <w:fldChar w:fldCharType="separate"/>
      </w:r>
      <w:r w:rsidR="0080246B" w:rsidRPr="00085DB4">
        <w:t xml:space="preserve">Table </w:t>
      </w:r>
      <w:r w:rsidR="0080246B">
        <w:rPr>
          <w:noProof/>
        </w:rPr>
        <w:t>12</w:t>
      </w:r>
      <w:r w:rsidR="001C2498">
        <w:fldChar w:fldCharType="end"/>
      </w:r>
      <w:r>
        <w:t>.</w:t>
      </w:r>
    </w:p>
    <w:p w14:paraId="30E6FDEB" w14:textId="3E615C67" w:rsidR="006F6B20" w:rsidRDefault="000D7094" w:rsidP="006F6B20">
      <w:pPr>
        <w:pStyle w:val="3-BodyText"/>
        <w:rPr>
          <w:color w:val="0066FF"/>
        </w:rPr>
      </w:pPr>
      <w:r w:rsidRPr="00066E0B">
        <w:t>The submission noted the outcome of the PBAC May 2022 Intracycle meeting concerning the recommended change in restrictions for eltrombopag and romiplostim</w:t>
      </w:r>
      <w:r>
        <w:t xml:space="preserve"> </w:t>
      </w:r>
      <w:r w:rsidRPr="00066E0B">
        <w:t xml:space="preserve">and included the potential impact of these changes in their estimates. </w:t>
      </w:r>
      <w:r w:rsidRPr="001D67AF">
        <w:t>The submission did not include any adjustment for patients switching between treatments.</w:t>
      </w:r>
      <w:r w:rsidRPr="00066E0B">
        <w:rPr>
          <w:i/>
          <w:iCs/>
        </w:rPr>
        <w:t xml:space="preserve"> </w:t>
      </w:r>
    </w:p>
    <w:p w14:paraId="251DBF9E" w14:textId="637F2CA4" w:rsidR="006F6B20" w:rsidRPr="00940325" w:rsidRDefault="006F6B20" w:rsidP="00F913DB">
      <w:pPr>
        <w:pStyle w:val="TableHeading"/>
        <w:spacing w:after="0"/>
      </w:pPr>
      <w:bookmarkStart w:id="49" w:name="_Ref112586726"/>
      <w:r w:rsidRPr="00085DB4">
        <w:t xml:space="preserve">Table </w:t>
      </w:r>
      <w:fldSimple w:instr=" SEQ Table \* ARABIC " w:fldLock="1">
        <w:r w:rsidR="0080246B">
          <w:rPr>
            <w:noProof/>
          </w:rPr>
          <w:t>12</w:t>
        </w:r>
      </w:fldSimple>
      <w:bookmarkEnd w:id="49"/>
      <w:r w:rsidRPr="00085DB4">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3"/>
        <w:gridCol w:w="1257"/>
        <w:gridCol w:w="3111"/>
        <w:gridCol w:w="2536"/>
      </w:tblGrid>
      <w:tr w:rsidR="006F6B20" w:rsidRPr="001D67AF" w14:paraId="27477894" w14:textId="77777777" w:rsidTr="00FF5CBC">
        <w:trPr>
          <w:tblHeader/>
        </w:trPr>
        <w:tc>
          <w:tcPr>
            <w:tcW w:w="1172" w:type="pct"/>
            <w:vAlign w:val="center"/>
          </w:tcPr>
          <w:p w14:paraId="014CE599" w14:textId="77777777" w:rsidR="006F6B20" w:rsidRPr="001D67AF" w:rsidRDefault="006F6B20" w:rsidP="00F913DB">
            <w:pPr>
              <w:pStyle w:val="TableText0"/>
              <w:rPr>
                <w:b/>
                <w:bCs w:val="0"/>
              </w:rPr>
            </w:pPr>
            <w:r w:rsidRPr="001D67AF">
              <w:rPr>
                <w:b/>
                <w:bCs w:val="0"/>
              </w:rPr>
              <w:t>Data</w:t>
            </w:r>
          </w:p>
        </w:tc>
        <w:tc>
          <w:tcPr>
            <w:tcW w:w="697" w:type="pct"/>
            <w:vAlign w:val="center"/>
          </w:tcPr>
          <w:p w14:paraId="7E10BFD9" w14:textId="77777777" w:rsidR="006F6B20" w:rsidRPr="001D67AF" w:rsidRDefault="006F6B20" w:rsidP="00F913DB">
            <w:pPr>
              <w:pStyle w:val="TableText0"/>
              <w:rPr>
                <w:b/>
                <w:bCs w:val="0"/>
              </w:rPr>
            </w:pPr>
            <w:r w:rsidRPr="001D67AF">
              <w:rPr>
                <w:b/>
                <w:bCs w:val="0"/>
              </w:rPr>
              <w:t>Value</w:t>
            </w:r>
          </w:p>
        </w:tc>
        <w:tc>
          <w:tcPr>
            <w:tcW w:w="1725" w:type="pct"/>
            <w:vAlign w:val="center"/>
          </w:tcPr>
          <w:p w14:paraId="639CDA8C" w14:textId="77777777" w:rsidR="006F6B20" w:rsidRPr="001D67AF" w:rsidRDefault="006F6B20" w:rsidP="00F913DB">
            <w:pPr>
              <w:pStyle w:val="TableText0"/>
              <w:rPr>
                <w:b/>
                <w:bCs w:val="0"/>
              </w:rPr>
            </w:pPr>
            <w:r w:rsidRPr="001D67AF">
              <w:rPr>
                <w:b/>
                <w:bCs w:val="0"/>
              </w:rPr>
              <w:t>Source</w:t>
            </w:r>
          </w:p>
        </w:tc>
        <w:tc>
          <w:tcPr>
            <w:tcW w:w="1406" w:type="pct"/>
            <w:vAlign w:val="center"/>
          </w:tcPr>
          <w:p w14:paraId="137915D6" w14:textId="77777777" w:rsidR="006F6B20" w:rsidRPr="001D67AF" w:rsidRDefault="006F6B20" w:rsidP="00F913DB">
            <w:pPr>
              <w:pStyle w:val="TableText0"/>
              <w:rPr>
                <w:b/>
                <w:bCs w:val="0"/>
              </w:rPr>
            </w:pPr>
            <w:r w:rsidRPr="001D67AF">
              <w:rPr>
                <w:b/>
                <w:bCs w:val="0"/>
              </w:rPr>
              <w:t>Comment</w:t>
            </w:r>
          </w:p>
        </w:tc>
      </w:tr>
      <w:tr w:rsidR="006F6B20" w:rsidRPr="001D67AF" w14:paraId="48867E0E" w14:textId="77777777" w:rsidTr="00FF5CBC">
        <w:tc>
          <w:tcPr>
            <w:tcW w:w="5000" w:type="pct"/>
            <w:gridSpan w:val="4"/>
            <w:vAlign w:val="center"/>
          </w:tcPr>
          <w:p w14:paraId="7BE98454" w14:textId="77777777" w:rsidR="006F6B20" w:rsidRPr="001D67AF" w:rsidRDefault="006F6B20" w:rsidP="00F913DB">
            <w:pPr>
              <w:pStyle w:val="TableText0"/>
              <w:rPr>
                <w:b/>
              </w:rPr>
            </w:pPr>
            <w:r w:rsidRPr="001D67AF">
              <w:rPr>
                <w:b/>
              </w:rPr>
              <w:t>Treatment utilisation</w:t>
            </w:r>
          </w:p>
        </w:tc>
      </w:tr>
      <w:tr w:rsidR="006F6B20" w:rsidRPr="001D67AF" w14:paraId="129904E7" w14:textId="77777777" w:rsidTr="00FF5CBC">
        <w:tc>
          <w:tcPr>
            <w:tcW w:w="1172" w:type="pct"/>
            <w:vAlign w:val="center"/>
          </w:tcPr>
          <w:p w14:paraId="6A9EBC85" w14:textId="77777777" w:rsidR="006F6B20" w:rsidRPr="001D67AF" w:rsidRDefault="006F6B20" w:rsidP="00F913DB">
            <w:pPr>
              <w:pStyle w:val="TableText0"/>
            </w:pPr>
            <w:r w:rsidRPr="001D67AF">
              <w:t>Utilisation of eltrombopag 2021</w:t>
            </w:r>
          </w:p>
        </w:tc>
        <w:tc>
          <w:tcPr>
            <w:tcW w:w="697" w:type="pct"/>
            <w:vAlign w:val="center"/>
          </w:tcPr>
          <w:p w14:paraId="66B3278F" w14:textId="77777777" w:rsidR="006F6B20" w:rsidRPr="001D67AF" w:rsidRDefault="006F6B20" w:rsidP="00F913DB">
            <w:pPr>
              <w:pStyle w:val="TableText0"/>
            </w:pPr>
            <w:r w:rsidRPr="001D67AF">
              <w:t>6,494</w:t>
            </w:r>
          </w:p>
        </w:tc>
        <w:tc>
          <w:tcPr>
            <w:tcW w:w="1725" w:type="pct"/>
            <w:vAlign w:val="center"/>
          </w:tcPr>
          <w:p w14:paraId="020192B6" w14:textId="77777777" w:rsidR="006F6B20" w:rsidRPr="001D67AF" w:rsidRDefault="006F6B20" w:rsidP="00F913DB">
            <w:pPr>
              <w:pStyle w:val="TableText0"/>
            </w:pPr>
            <w:r w:rsidRPr="001D67AF">
              <w:t>Medicare Statistics PBS Item reports for 5825N, 5826P, 5827Q, 5828R</w:t>
            </w:r>
          </w:p>
        </w:tc>
        <w:tc>
          <w:tcPr>
            <w:tcW w:w="1406" w:type="pct"/>
            <w:vAlign w:val="center"/>
          </w:tcPr>
          <w:p w14:paraId="116609F7" w14:textId="77777777" w:rsidR="006F6B20" w:rsidRPr="001D67AF" w:rsidRDefault="006F6B20" w:rsidP="00F913DB">
            <w:pPr>
              <w:pStyle w:val="TableText0"/>
            </w:pPr>
          </w:p>
        </w:tc>
      </w:tr>
      <w:tr w:rsidR="006F6B20" w:rsidRPr="001D67AF" w14:paraId="1072F581" w14:textId="77777777" w:rsidTr="00FF5CBC">
        <w:tc>
          <w:tcPr>
            <w:tcW w:w="1172" w:type="pct"/>
            <w:vAlign w:val="center"/>
          </w:tcPr>
          <w:p w14:paraId="135DD6EE" w14:textId="77777777" w:rsidR="006F6B20" w:rsidRPr="001D67AF" w:rsidRDefault="006F6B20" w:rsidP="00F913DB">
            <w:pPr>
              <w:pStyle w:val="TableText0"/>
            </w:pPr>
            <w:r w:rsidRPr="001D67AF">
              <w:t>Utilisation of romiplostim – Year 2021</w:t>
            </w:r>
          </w:p>
        </w:tc>
        <w:tc>
          <w:tcPr>
            <w:tcW w:w="697" w:type="pct"/>
            <w:vAlign w:val="center"/>
          </w:tcPr>
          <w:p w14:paraId="120B271B" w14:textId="77777777" w:rsidR="006F6B20" w:rsidRPr="001D67AF" w:rsidRDefault="006F6B20" w:rsidP="00F913DB">
            <w:pPr>
              <w:pStyle w:val="TableText0"/>
            </w:pPr>
            <w:r w:rsidRPr="001D67AF">
              <w:t>4,073</w:t>
            </w:r>
          </w:p>
        </w:tc>
        <w:tc>
          <w:tcPr>
            <w:tcW w:w="1725" w:type="pct"/>
            <w:vAlign w:val="center"/>
          </w:tcPr>
          <w:p w14:paraId="50E7E497" w14:textId="77777777" w:rsidR="006F6B20" w:rsidRPr="001D67AF" w:rsidRDefault="006F6B20" w:rsidP="00F913DB">
            <w:pPr>
              <w:pStyle w:val="TableText0"/>
            </w:pPr>
            <w:r w:rsidRPr="001D67AF">
              <w:t>Medicare Statistics PBS Item reports for 9696H, 9697J, 9698K, 9699L</w:t>
            </w:r>
          </w:p>
        </w:tc>
        <w:tc>
          <w:tcPr>
            <w:tcW w:w="1406" w:type="pct"/>
            <w:vAlign w:val="center"/>
          </w:tcPr>
          <w:p w14:paraId="6B394E05" w14:textId="77777777" w:rsidR="006F6B20" w:rsidRPr="001D67AF" w:rsidRDefault="006F6B20" w:rsidP="00F913DB">
            <w:pPr>
              <w:pStyle w:val="TableText0"/>
            </w:pPr>
          </w:p>
        </w:tc>
      </w:tr>
      <w:tr w:rsidR="006F6B20" w:rsidRPr="001D67AF" w14:paraId="2E84F9B3" w14:textId="77777777" w:rsidTr="00FF5CBC">
        <w:tc>
          <w:tcPr>
            <w:tcW w:w="1172" w:type="pct"/>
            <w:vAlign w:val="center"/>
          </w:tcPr>
          <w:p w14:paraId="254107B1" w14:textId="77777777" w:rsidR="006F6B20" w:rsidRPr="001D67AF" w:rsidRDefault="006F6B20" w:rsidP="00F913DB">
            <w:pPr>
              <w:pStyle w:val="TableText0"/>
            </w:pPr>
            <w:r w:rsidRPr="001D67AF">
              <w:t>Market share avatrombopag in eltrombopag market</w:t>
            </w:r>
          </w:p>
        </w:tc>
        <w:tc>
          <w:tcPr>
            <w:tcW w:w="697" w:type="pct"/>
            <w:vAlign w:val="center"/>
          </w:tcPr>
          <w:p w14:paraId="4AD0E31F" w14:textId="2B8F90FC" w:rsidR="006F6B20" w:rsidRPr="001D67AF" w:rsidRDefault="006F6B20" w:rsidP="00F913DB">
            <w:pPr>
              <w:pStyle w:val="TableText0"/>
            </w:pPr>
            <w:r w:rsidRPr="001D67AF">
              <w:t xml:space="preserve">Yr 1: </w:t>
            </w:r>
            <w:r w:rsidR="002278BC" w:rsidRPr="002278BC">
              <w:rPr>
                <w:rFonts w:hint="eastAsia"/>
                <w:color w:val="000000"/>
                <w:w w:val="20"/>
                <w:shd w:val="solid" w:color="000000" w:fill="000000"/>
                <w:fitText w:val="90" w:id="-1295767040"/>
                <w14:textFill>
                  <w14:solidFill>
                    <w14:srgbClr w14:val="000000">
                      <w14:alpha w14:val="100000"/>
                    </w14:srgbClr>
                  </w14:solidFill>
                </w14:textFill>
              </w:rPr>
              <w:t xml:space="preserve">　</w:t>
            </w:r>
            <w:r w:rsidR="002278BC" w:rsidRPr="002278BC">
              <w:rPr>
                <w:color w:val="000000"/>
                <w:w w:val="20"/>
                <w:shd w:val="solid" w:color="000000" w:fill="000000"/>
                <w:fitText w:val="90" w:id="-1295767040"/>
                <w14:textFill>
                  <w14:solidFill>
                    <w14:srgbClr w14:val="000000">
                      <w14:alpha w14:val="100000"/>
                    </w14:srgbClr>
                  </w14:solidFill>
                </w14:textFill>
              </w:rPr>
              <w:t>|</w:t>
            </w:r>
            <w:r w:rsidR="002278BC" w:rsidRPr="002278BC">
              <w:rPr>
                <w:rFonts w:hint="eastAsia"/>
                <w:color w:val="000000"/>
                <w:w w:val="20"/>
                <w:shd w:val="solid" w:color="000000" w:fill="000000"/>
                <w:fitText w:val="90" w:id="-1295767040"/>
                <w14:textFill>
                  <w14:solidFill>
                    <w14:srgbClr w14:val="000000">
                      <w14:alpha w14:val="100000"/>
                    </w14:srgbClr>
                  </w14:solidFill>
                </w14:textFill>
              </w:rPr>
              <w:t xml:space="preserve">　</w:t>
            </w:r>
            <w:r w:rsidRPr="001D67AF">
              <w:t>%</w:t>
            </w:r>
          </w:p>
          <w:p w14:paraId="4AA60396" w14:textId="18FCFB6E" w:rsidR="006F6B20" w:rsidRPr="001D67AF" w:rsidRDefault="006F6B20" w:rsidP="00F913DB">
            <w:pPr>
              <w:pStyle w:val="TableText0"/>
            </w:pPr>
            <w:r w:rsidRPr="001D67AF">
              <w:t xml:space="preserve">Yr 2: </w:t>
            </w:r>
            <w:r w:rsidR="002278BC" w:rsidRPr="002278BC">
              <w:rPr>
                <w:rFonts w:hint="eastAsia"/>
                <w:color w:val="000000"/>
                <w:w w:val="20"/>
                <w:shd w:val="solid" w:color="000000" w:fill="000000"/>
                <w:fitText w:val="90" w:id="-1295767039"/>
                <w14:textFill>
                  <w14:solidFill>
                    <w14:srgbClr w14:val="000000">
                      <w14:alpha w14:val="100000"/>
                    </w14:srgbClr>
                  </w14:solidFill>
                </w14:textFill>
              </w:rPr>
              <w:t xml:space="preserve">　</w:t>
            </w:r>
            <w:r w:rsidR="002278BC" w:rsidRPr="002278BC">
              <w:rPr>
                <w:color w:val="000000"/>
                <w:w w:val="20"/>
                <w:shd w:val="solid" w:color="000000" w:fill="000000"/>
                <w:fitText w:val="90" w:id="-1295767039"/>
                <w14:textFill>
                  <w14:solidFill>
                    <w14:srgbClr w14:val="000000">
                      <w14:alpha w14:val="100000"/>
                    </w14:srgbClr>
                  </w14:solidFill>
                </w14:textFill>
              </w:rPr>
              <w:t>|</w:t>
            </w:r>
            <w:r w:rsidR="002278BC" w:rsidRPr="002278BC">
              <w:rPr>
                <w:rFonts w:hint="eastAsia"/>
                <w:color w:val="000000"/>
                <w:w w:val="20"/>
                <w:shd w:val="solid" w:color="000000" w:fill="000000"/>
                <w:fitText w:val="90" w:id="-1295767039"/>
                <w14:textFill>
                  <w14:solidFill>
                    <w14:srgbClr w14:val="000000">
                      <w14:alpha w14:val="100000"/>
                    </w14:srgbClr>
                  </w14:solidFill>
                </w14:textFill>
              </w:rPr>
              <w:t xml:space="preserve">　</w:t>
            </w:r>
            <w:r w:rsidRPr="001D67AF">
              <w:t>%</w:t>
            </w:r>
          </w:p>
          <w:p w14:paraId="5DE47DD6" w14:textId="33D72272" w:rsidR="006F6B20" w:rsidRPr="001D67AF" w:rsidRDefault="006F6B20" w:rsidP="00F913DB">
            <w:pPr>
              <w:pStyle w:val="TableText0"/>
            </w:pPr>
            <w:r w:rsidRPr="001D67AF">
              <w:t xml:space="preserve">Yr 3: </w:t>
            </w:r>
            <w:r w:rsidR="002278BC" w:rsidRPr="002278BC">
              <w:rPr>
                <w:rFonts w:hint="eastAsia"/>
                <w:color w:val="000000"/>
                <w:w w:val="20"/>
                <w:shd w:val="solid" w:color="000000" w:fill="000000"/>
                <w:fitText w:val="90" w:id="-1295767038"/>
                <w14:textFill>
                  <w14:solidFill>
                    <w14:srgbClr w14:val="000000">
                      <w14:alpha w14:val="100000"/>
                    </w14:srgbClr>
                  </w14:solidFill>
                </w14:textFill>
              </w:rPr>
              <w:t xml:space="preserve">　</w:t>
            </w:r>
            <w:r w:rsidR="002278BC" w:rsidRPr="002278BC">
              <w:rPr>
                <w:color w:val="000000"/>
                <w:w w:val="20"/>
                <w:shd w:val="solid" w:color="000000" w:fill="000000"/>
                <w:fitText w:val="90" w:id="-1295767038"/>
                <w14:textFill>
                  <w14:solidFill>
                    <w14:srgbClr w14:val="000000">
                      <w14:alpha w14:val="100000"/>
                    </w14:srgbClr>
                  </w14:solidFill>
                </w14:textFill>
              </w:rPr>
              <w:t>|</w:t>
            </w:r>
            <w:r w:rsidR="002278BC" w:rsidRPr="002278BC">
              <w:rPr>
                <w:rFonts w:hint="eastAsia"/>
                <w:color w:val="000000"/>
                <w:w w:val="20"/>
                <w:shd w:val="solid" w:color="000000" w:fill="000000"/>
                <w:fitText w:val="90" w:id="-1295767038"/>
                <w14:textFill>
                  <w14:solidFill>
                    <w14:srgbClr w14:val="000000">
                      <w14:alpha w14:val="100000"/>
                    </w14:srgbClr>
                  </w14:solidFill>
                </w14:textFill>
              </w:rPr>
              <w:t xml:space="preserve">　</w:t>
            </w:r>
            <w:r w:rsidRPr="001D67AF">
              <w:t>%</w:t>
            </w:r>
          </w:p>
          <w:p w14:paraId="21BC6D9C" w14:textId="0B2525B2" w:rsidR="006F6B20" w:rsidRPr="001D67AF" w:rsidRDefault="006F6B20" w:rsidP="00F913DB">
            <w:pPr>
              <w:pStyle w:val="TableText0"/>
            </w:pPr>
            <w:r w:rsidRPr="001D67AF">
              <w:t xml:space="preserve">Yr 4: </w:t>
            </w:r>
            <w:r w:rsidR="002278BC" w:rsidRPr="002278BC">
              <w:rPr>
                <w:rFonts w:hint="eastAsia"/>
                <w:color w:val="000000"/>
                <w:w w:val="20"/>
                <w:shd w:val="solid" w:color="000000" w:fill="000000"/>
                <w:fitText w:val="90" w:id="-1295767037"/>
                <w14:textFill>
                  <w14:solidFill>
                    <w14:srgbClr w14:val="000000">
                      <w14:alpha w14:val="100000"/>
                    </w14:srgbClr>
                  </w14:solidFill>
                </w14:textFill>
              </w:rPr>
              <w:t xml:space="preserve">　</w:t>
            </w:r>
            <w:r w:rsidR="002278BC" w:rsidRPr="002278BC">
              <w:rPr>
                <w:color w:val="000000"/>
                <w:w w:val="20"/>
                <w:shd w:val="solid" w:color="000000" w:fill="000000"/>
                <w:fitText w:val="90" w:id="-1295767037"/>
                <w14:textFill>
                  <w14:solidFill>
                    <w14:srgbClr w14:val="000000">
                      <w14:alpha w14:val="100000"/>
                    </w14:srgbClr>
                  </w14:solidFill>
                </w14:textFill>
              </w:rPr>
              <w:t>|</w:t>
            </w:r>
            <w:r w:rsidR="002278BC" w:rsidRPr="002278BC">
              <w:rPr>
                <w:rFonts w:hint="eastAsia"/>
                <w:color w:val="000000"/>
                <w:w w:val="20"/>
                <w:shd w:val="solid" w:color="000000" w:fill="000000"/>
                <w:fitText w:val="90" w:id="-1295767037"/>
                <w14:textFill>
                  <w14:solidFill>
                    <w14:srgbClr w14:val="000000">
                      <w14:alpha w14:val="100000"/>
                    </w14:srgbClr>
                  </w14:solidFill>
                </w14:textFill>
              </w:rPr>
              <w:t xml:space="preserve">　</w:t>
            </w:r>
            <w:r w:rsidRPr="001D67AF">
              <w:t>%</w:t>
            </w:r>
          </w:p>
          <w:p w14:paraId="54C5BE9B" w14:textId="68E4F40B" w:rsidR="006F6B20" w:rsidRPr="001D67AF" w:rsidRDefault="006F6B20" w:rsidP="00F913DB">
            <w:pPr>
              <w:pStyle w:val="TableText0"/>
            </w:pPr>
            <w:r w:rsidRPr="001D67AF">
              <w:t xml:space="preserve">Yr 5: </w:t>
            </w:r>
            <w:r w:rsidR="002278BC" w:rsidRPr="002278BC">
              <w:rPr>
                <w:rFonts w:hint="eastAsia"/>
                <w:color w:val="000000"/>
                <w:w w:val="20"/>
                <w:shd w:val="solid" w:color="000000" w:fill="000000"/>
                <w:fitText w:val="90" w:id="-1295767036"/>
                <w14:textFill>
                  <w14:solidFill>
                    <w14:srgbClr w14:val="000000">
                      <w14:alpha w14:val="100000"/>
                    </w14:srgbClr>
                  </w14:solidFill>
                </w14:textFill>
              </w:rPr>
              <w:t xml:space="preserve">　</w:t>
            </w:r>
            <w:r w:rsidR="002278BC" w:rsidRPr="002278BC">
              <w:rPr>
                <w:color w:val="000000"/>
                <w:w w:val="20"/>
                <w:shd w:val="solid" w:color="000000" w:fill="000000"/>
                <w:fitText w:val="90" w:id="-1295767036"/>
                <w14:textFill>
                  <w14:solidFill>
                    <w14:srgbClr w14:val="000000">
                      <w14:alpha w14:val="100000"/>
                    </w14:srgbClr>
                  </w14:solidFill>
                </w14:textFill>
              </w:rPr>
              <w:t>|</w:t>
            </w:r>
            <w:r w:rsidR="002278BC" w:rsidRPr="002278BC">
              <w:rPr>
                <w:rFonts w:hint="eastAsia"/>
                <w:color w:val="000000"/>
                <w:w w:val="20"/>
                <w:shd w:val="solid" w:color="000000" w:fill="000000"/>
                <w:fitText w:val="90" w:id="-1295767036"/>
                <w14:textFill>
                  <w14:solidFill>
                    <w14:srgbClr w14:val="000000">
                      <w14:alpha w14:val="100000"/>
                    </w14:srgbClr>
                  </w14:solidFill>
                </w14:textFill>
              </w:rPr>
              <w:t xml:space="preserve">　</w:t>
            </w:r>
            <w:r w:rsidRPr="001D67AF">
              <w:t>%</w:t>
            </w:r>
          </w:p>
          <w:p w14:paraId="412E1E58" w14:textId="3390D7A7" w:rsidR="006F6B20" w:rsidRPr="001D67AF" w:rsidRDefault="006F6B20" w:rsidP="00F913DB">
            <w:pPr>
              <w:pStyle w:val="TableText0"/>
            </w:pPr>
            <w:r w:rsidRPr="001D67AF">
              <w:t xml:space="preserve">Yr 6: </w:t>
            </w:r>
            <w:r w:rsidR="002278BC" w:rsidRPr="002278BC">
              <w:rPr>
                <w:rFonts w:hint="eastAsia"/>
                <w:color w:val="000000"/>
                <w:w w:val="20"/>
                <w:shd w:val="solid" w:color="000000" w:fill="000000"/>
                <w:fitText w:val="90" w:id="-1295767035"/>
                <w14:textFill>
                  <w14:solidFill>
                    <w14:srgbClr w14:val="000000">
                      <w14:alpha w14:val="100000"/>
                    </w14:srgbClr>
                  </w14:solidFill>
                </w14:textFill>
              </w:rPr>
              <w:t xml:space="preserve">　</w:t>
            </w:r>
            <w:r w:rsidR="002278BC" w:rsidRPr="002278BC">
              <w:rPr>
                <w:color w:val="000000"/>
                <w:w w:val="20"/>
                <w:shd w:val="solid" w:color="000000" w:fill="000000"/>
                <w:fitText w:val="90" w:id="-1295767035"/>
                <w14:textFill>
                  <w14:solidFill>
                    <w14:srgbClr w14:val="000000">
                      <w14:alpha w14:val="100000"/>
                    </w14:srgbClr>
                  </w14:solidFill>
                </w14:textFill>
              </w:rPr>
              <w:t>|</w:t>
            </w:r>
            <w:r w:rsidR="002278BC" w:rsidRPr="002278BC">
              <w:rPr>
                <w:rFonts w:hint="eastAsia"/>
                <w:color w:val="000000"/>
                <w:w w:val="20"/>
                <w:shd w:val="solid" w:color="000000" w:fill="000000"/>
                <w:fitText w:val="90" w:id="-1295767035"/>
                <w14:textFill>
                  <w14:solidFill>
                    <w14:srgbClr w14:val="000000">
                      <w14:alpha w14:val="100000"/>
                    </w14:srgbClr>
                  </w14:solidFill>
                </w14:textFill>
              </w:rPr>
              <w:t xml:space="preserve">　</w:t>
            </w:r>
            <w:r w:rsidRPr="001D67AF">
              <w:t>%</w:t>
            </w:r>
          </w:p>
        </w:tc>
        <w:tc>
          <w:tcPr>
            <w:tcW w:w="1725" w:type="pct"/>
            <w:vAlign w:val="center"/>
          </w:tcPr>
          <w:p w14:paraId="214EEE3D" w14:textId="77777777" w:rsidR="006F6B20" w:rsidRPr="001D67AF" w:rsidRDefault="006F6B20" w:rsidP="00F913DB">
            <w:pPr>
              <w:pStyle w:val="TableText0"/>
            </w:pPr>
            <w:r w:rsidRPr="001D67AF">
              <w:t>Sponsor assumption</w:t>
            </w:r>
          </w:p>
        </w:tc>
        <w:tc>
          <w:tcPr>
            <w:tcW w:w="1406" w:type="pct"/>
            <w:vAlign w:val="center"/>
          </w:tcPr>
          <w:p w14:paraId="6C164C96" w14:textId="694273D3" w:rsidR="006F6B20" w:rsidRPr="001D67AF" w:rsidRDefault="006F6B20" w:rsidP="00F913DB">
            <w:pPr>
              <w:pStyle w:val="TableText0"/>
            </w:pPr>
            <w:r w:rsidRPr="001D67AF">
              <w:t xml:space="preserve">No justification provided. Assumes that both the </w:t>
            </w:r>
            <w:r w:rsidR="003C06E9" w:rsidRPr="001D67AF">
              <w:t>25</w:t>
            </w:r>
            <w:r w:rsidR="003C06E9">
              <w:t> </w:t>
            </w:r>
            <w:r w:rsidRPr="001D67AF">
              <w:t xml:space="preserve">mg and </w:t>
            </w:r>
            <w:r w:rsidR="003C06E9" w:rsidRPr="001D67AF">
              <w:t>50</w:t>
            </w:r>
            <w:r w:rsidR="003C06E9">
              <w:t> </w:t>
            </w:r>
            <w:r w:rsidRPr="001D67AF">
              <w:t>mg strengths of eltrombopag will be substituted at the same rate.</w:t>
            </w:r>
            <w:r w:rsidR="000F796F">
              <w:t xml:space="preserve"> The PBAC considered uptake rates to be uncertain but </w:t>
            </w:r>
            <w:r w:rsidR="00EB64AB">
              <w:t xml:space="preserve">from a clinical perspective the estimates appeared reasonable. </w:t>
            </w:r>
          </w:p>
        </w:tc>
      </w:tr>
      <w:tr w:rsidR="006F6B20" w:rsidRPr="001D67AF" w14:paraId="0FFDC546" w14:textId="77777777" w:rsidTr="00FF5CBC">
        <w:tc>
          <w:tcPr>
            <w:tcW w:w="1172" w:type="pct"/>
            <w:vAlign w:val="center"/>
          </w:tcPr>
          <w:p w14:paraId="3E6C0E63" w14:textId="77777777" w:rsidR="006F6B20" w:rsidRPr="001D67AF" w:rsidRDefault="006F6B20" w:rsidP="00F913DB">
            <w:pPr>
              <w:pStyle w:val="TableText0"/>
            </w:pPr>
            <w:r w:rsidRPr="001D67AF">
              <w:t>Market share avatrombopag in romiplostim market</w:t>
            </w:r>
          </w:p>
        </w:tc>
        <w:tc>
          <w:tcPr>
            <w:tcW w:w="697" w:type="pct"/>
            <w:vAlign w:val="center"/>
          </w:tcPr>
          <w:p w14:paraId="5270B4F2" w14:textId="5FB7AAD4" w:rsidR="006F6B20" w:rsidRPr="001D67AF" w:rsidRDefault="006F6B20" w:rsidP="00F913DB">
            <w:pPr>
              <w:pStyle w:val="TableText0"/>
            </w:pPr>
            <w:r w:rsidRPr="001D67AF">
              <w:t xml:space="preserve">Yr 1: </w:t>
            </w:r>
            <w:r w:rsidR="002278BC" w:rsidRPr="002278BC">
              <w:rPr>
                <w:rFonts w:hint="eastAsia"/>
                <w:color w:val="000000"/>
                <w:w w:val="15"/>
                <w:shd w:val="solid" w:color="000000" w:fill="000000"/>
                <w:fitText w:val="60" w:id="-1295767034"/>
                <w14:textFill>
                  <w14:solidFill>
                    <w14:srgbClr w14:val="000000">
                      <w14:alpha w14:val="100000"/>
                    </w14:srgbClr>
                  </w14:solidFill>
                </w14:textFill>
              </w:rPr>
              <w:t xml:space="preserve">　</w:t>
            </w:r>
            <w:r w:rsidR="002278BC" w:rsidRPr="002278BC">
              <w:rPr>
                <w:color w:val="000000"/>
                <w:w w:val="15"/>
                <w:shd w:val="solid" w:color="000000" w:fill="000000"/>
                <w:fitText w:val="60" w:id="-1295767034"/>
                <w14:textFill>
                  <w14:solidFill>
                    <w14:srgbClr w14:val="000000">
                      <w14:alpha w14:val="100000"/>
                    </w14:srgbClr>
                  </w14:solidFill>
                </w14:textFill>
              </w:rPr>
              <w:t>|</w:t>
            </w:r>
            <w:r w:rsidR="002278BC" w:rsidRPr="002278BC">
              <w:rPr>
                <w:rFonts w:hint="eastAsia"/>
                <w:color w:val="000000"/>
                <w:w w:val="15"/>
                <w:shd w:val="solid" w:color="000000" w:fill="000000"/>
                <w:fitText w:val="60" w:id="-1295767034"/>
                <w14:textFill>
                  <w14:solidFill>
                    <w14:srgbClr w14:val="000000">
                      <w14:alpha w14:val="100000"/>
                    </w14:srgbClr>
                  </w14:solidFill>
                </w14:textFill>
              </w:rPr>
              <w:t xml:space="preserve">　</w:t>
            </w:r>
            <w:r w:rsidRPr="001D67AF">
              <w:t>%</w:t>
            </w:r>
          </w:p>
          <w:p w14:paraId="48DA7E9B" w14:textId="0F34FE70" w:rsidR="006F6B20" w:rsidRPr="001D67AF" w:rsidRDefault="006F6B20" w:rsidP="00F913DB">
            <w:pPr>
              <w:pStyle w:val="TableText0"/>
            </w:pPr>
            <w:r w:rsidRPr="001D67AF">
              <w:t>Yr 2:</w:t>
            </w:r>
            <w:r w:rsidR="002278BC">
              <w:t xml:space="preserve"> </w:t>
            </w:r>
            <w:r w:rsidR="002278BC" w:rsidRPr="002278BC">
              <w:rPr>
                <w:rFonts w:hint="eastAsia"/>
                <w:color w:val="000000"/>
                <w:w w:val="15"/>
                <w:shd w:val="solid" w:color="000000" w:fill="000000"/>
                <w:fitText w:val="60" w:id="-1295767033"/>
                <w14:textFill>
                  <w14:solidFill>
                    <w14:srgbClr w14:val="000000">
                      <w14:alpha w14:val="100000"/>
                    </w14:srgbClr>
                  </w14:solidFill>
                </w14:textFill>
              </w:rPr>
              <w:t xml:space="preserve">　</w:t>
            </w:r>
            <w:r w:rsidR="002278BC" w:rsidRPr="002278BC">
              <w:rPr>
                <w:color w:val="000000"/>
                <w:w w:val="15"/>
                <w:shd w:val="solid" w:color="000000" w:fill="000000"/>
                <w:fitText w:val="60" w:id="-1295767033"/>
                <w14:textFill>
                  <w14:solidFill>
                    <w14:srgbClr w14:val="000000">
                      <w14:alpha w14:val="100000"/>
                    </w14:srgbClr>
                  </w14:solidFill>
                </w14:textFill>
              </w:rPr>
              <w:t>|</w:t>
            </w:r>
            <w:r w:rsidR="002278BC" w:rsidRPr="002278BC">
              <w:rPr>
                <w:rFonts w:hint="eastAsia"/>
                <w:color w:val="000000"/>
                <w:w w:val="15"/>
                <w:shd w:val="solid" w:color="000000" w:fill="000000"/>
                <w:fitText w:val="60" w:id="-1295767033"/>
                <w14:textFill>
                  <w14:solidFill>
                    <w14:srgbClr w14:val="000000">
                      <w14:alpha w14:val="100000"/>
                    </w14:srgbClr>
                  </w14:solidFill>
                </w14:textFill>
              </w:rPr>
              <w:t xml:space="preserve">　</w:t>
            </w:r>
            <w:r w:rsidRPr="001D67AF">
              <w:t>%</w:t>
            </w:r>
          </w:p>
          <w:p w14:paraId="0137E039" w14:textId="4B01167C" w:rsidR="006F6B20" w:rsidRPr="001D67AF" w:rsidRDefault="006F6B20" w:rsidP="00F913DB">
            <w:pPr>
              <w:pStyle w:val="TableText0"/>
            </w:pPr>
            <w:r w:rsidRPr="001D67AF">
              <w:t xml:space="preserve">Yr 3: </w:t>
            </w:r>
            <w:r w:rsidR="002278BC" w:rsidRPr="002278BC">
              <w:rPr>
                <w:rFonts w:hint="eastAsia"/>
                <w:color w:val="000000"/>
                <w:w w:val="15"/>
                <w:shd w:val="solid" w:color="000000" w:fill="000000"/>
                <w:fitText w:val="60" w:id="-1295767032"/>
                <w14:textFill>
                  <w14:solidFill>
                    <w14:srgbClr w14:val="000000">
                      <w14:alpha w14:val="100000"/>
                    </w14:srgbClr>
                  </w14:solidFill>
                </w14:textFill>
              </w:rPr>
              <w:t xml:space="preserve">　</w:t>
            </w:r>
            <w:r w:rsidR="002278BC" w:rsidRPr="002278BC">
              <w:rPr>
                <w:color w:val="000000"/>
                <w:w w:val="15"/>
                <w:shd w:val="solid" w:color="000000" w:fill="000000"/>
                <w:fitText w:val="60" w:id="-1295767032"/>
                <w14:textFill>
                  <w14:solidFill>
                    <w14:srgbClr w14:val="000000">
                      <w14:alpha w14:val="100000"/>
                    </w14:srgbClr>
                  </w14:solidFill>
                </w14:textFill>
              </w:rPr>
              <w:t>|</w:t>
            </w:r>
            <w:r w:rsidR="002278BC" w:rsidRPr="002278BC">
              <w:rPr>
                <w:rFonts w:hint="eastAsia"/>
                <w:color w:val="000000"/>
                <w:w w:val="15"/>
                <w:shd w:val="solid" w:color="000000" w:fill="000000"/>
                <w:fitText w:val="60" w:id="-1295767032"/>
                <w14:textFill>
                  <w14:solidFill>
                    <w14:srgbClr w14:val="000000">
                      <w14:alpha w14:val="100000"/>
                    </w14:srgbClr>
                  </w14:solidFill>
                </w14:textFill>
              </w:rPr>
              <w:t xml:space="preserve">　</w:t>
            </w:r>
            <w:r w:rsidRPr="001D67AF">
              <w:t>%</w:t>
            </w:r>
          </w:p>
          <w:p w14:paraId="57A18B00" w14:textId="1C4BE705" w:rsidR="006F6B20" w:rsidRPr="001D67AF" w:rsidRDefault="006F6B20" w:rsidP="00F913DB">
            <w:pPr>
              <w:pStyle w:val="TableText0"/>
            </w:pPr>
            <w:r w:rsidRPr="001D67AF">
              <w:t xml:space="preserve">Yr 4: </w:t>
            </w:r>
            <w:r w:rsidR="002278BC" w:rsidRPr="002278BC">
              <w:rPr>
                <w:rFonts w:hint="eastAsia"/>
                <w:color w:val="000000"/>
                <w:w w:val="15"/>
                <w:shd w:val="solid" w:color="000000" w:fill="000000"/>
                <w:fitText w:val="60" w:id="-1295767031"/>
                <w14:textFill>
                  <w14:solidFill>
                    <w14:srgbClr w14:val="000000">
                      <w14:alpha w14:val="100000"/>
                    </w14:srgbClr>
                  </w14:solidFill>
                </w14:textFill>
              </w:rPr>
              <w:t xml:space="preserve">　</w:t>
            </w:r>
            <w:r w:rsidR="002278BC" w:rsidRPr="002278BC">
              <w:rPr>
                <w:color w:val="000000"/>
                <w:w w:val="15"/>
                <w:shd w:val="solid" w:color="000000" w:fill="000000"/>
                <w:fitText w:val="60" w:id="-1295767031"/>
                <w14:textFill>
                  <w14:solidFill>
                    <w14:srgbClr w14:val="000000">
                      <w14:alpha w14:val="100000"/>
                    </w14:srgbClr>
                  </w14:solidFill>
                </w14:textFill>
              </w:rPr>
              <w:t>|</w:t>
            </w:r>
            <w:r w:rsidR="002278BC" w:rsidRPr="002278BC">
              <w:rPr>
                <w:rFonts w:hint="eastAsia"/>
                <w:color w:val="000000"/>
                <w:w w:val="15"/>
                <w:shd w:val="solid" w:color="000000" w:fill="000000"/>
                <w:fitText w:val="60" w:id="-1295767031"/>
                <w14:textFill>
                  <w14:solidFill>
                    <w14:srgbClr w14:val="000000">
                      <w14:alpha w14:val="100000"/>
                    </w14:srgbClr>
                  </w14:solidFill>
                </w14:textFill>
              </w:rPr>
              <w:t xml:space="preserve">　</w:t>
            </w:r>
            <w:r w:rsidRPr="001D67AF">
              <w:t>%</w:t>
            </w:r>
          </w:p>
          <w:p w14:paraId="6B5E63DA" w14:textId="396D2B39" w:rsidR="006F6B20" w:rsidRPr="001D67AF" w:rsidRDefault="006F6B20" w:rsidP="00F913DB">
            <w:pPr>
              <w:pStyle w:val="TableText0"/>
            </w:pPr>
            <w:r w:rsidRPr="001D67AF">
              <w:t xml:space="preserve">Yr 5: </w:t>
            </w:r>
            <w:r w:rsidR="002278BC" w:rsidRPr="002278BC">
              <w:rPr>
                <w:rFonts w:hint="eastAsia"/>
                <w:color w:val="000000"/>
                <w:w w:val="15"/>
                <w:shd w:val="solid" w:color="000000" w:fill="000000"/>
                <w:fitText w:val="60" w:id="-1295766784"/>
                <w14:textFill>
                  <w14:solidFill>
                    <w14:srgbClr w14:val="000000">
                      <w14:alpha w14:val="100000"/>
                    </w14:srgbClr>
                  </w14:solidFill>
                </w14:textFill>
              </w:rPr>
              <w:t xml:space="preserve">　</w:t>
            </w:r>
            <w:r w:rsidR="002278BC" w:rsidRPr="002278BC">
              <w:rPr>
                <w:color w:val="000000"/>
                <w:w w:val="15"/>
                <w:shd w:val="solid" w:color="000000" w:fill="000000"/>
                <w:fitText w:val="60" w:id="-1295766784"/>
                <w14:textFill>
                  <w14:solidFill>
                    <w14:srgbClr w14:val="000000">
                      <w14:alpha w14:val="100000"/>
                    </w14:srgbClr>
                  </w14:solidFill>
                </w14:textFill>
              </w:rPr>
              <w:t>|</w:t>
            </w:r>
            <w:r w:rsidR="002278BC" w:rsidRPr="002278BC">
              <w:rPr>
                <w:rFonts w:hint="eastAsia"/>
                <w:color w:val="000000"/>
                <w:w w:val="15"/>
                <w:shd w:val="solid" w:color="000000" w:fill="000000"/>
                <w:fitText w:val="60" w:id="-1295766784"/>
                <w14:textFill>
                  <w14:solidFill>
                    <w14:srgbClr w14:val="000000">
                      <w14:alpha w14:val="100000"/>
                    </w14:srgbClr>
                  </w14:solidFill>
                </w14:textFill>
              </w:rPr>
              <w:t xml:space="preserve">　</w:t>
            </w:r>
            <w:r w:rsidRPr="001D67AF">
              <w:t>%</w:t>
            </w:r>
          </w:p>
          <w:p w14:paraId="1F299A3C" w14:textId="769DB213" w:rsidR="006F6B20" w:rsidRPr="001D67AF" w:rsidRDefault="006F6B20" w:rsidP="00F913DB">
            <w:pPr>
              <w:pStyle w:val="TableText0"/>
            </w:pPr>
            <w:r w:rsidRPr="001D67AF">
              <w:t xml:space="preserve">Yr 6: </w:t>
            </w:r>
            <w:r w:rsidR="002278BC" w:rsidRPr="002278BC">
              <w:rPr>
                <w:rFonts w:hint="eastAsia"/>
                <w:color w:val="000000"/>
                <w:w w:val="15"/>
                <w:shd w:val="solid" w:color="000000" w:fill="000000"/>
                <w:fitText w:val="60" w:id="-1295766783"/>
                <w14:textFill>
                  <w14:solidFill>
                    <w14:srgbClr w14:val="000000">
                      <w14:alpha w14:val="100000"/>
                    </w14:srgbClr>
                  </w14:solidFill>
                </w14:textFill>
              </w:rPr>
              <w:t xml:space="preserve">　</w:t>
            </w:r>
            <w:r w:rsidR="002278BC" w:rsidRPr="002278BC">
              <w:rPr>
                <w:color w:val="000000"/>
                <w:w w:val="15"/>
                <w:shd w:val="solid" w:color="000000" w:fill="000000"/>
                <w:fitText w:val="60" w:id="-1295766783"/>
                <w14:textFill>
                  <w14:solidFill>
                    <w14:srgbClr w14:val="000000">
                      <w14:alpha w14:val="100000"/>
                    </w14:srgbClr>
                  </w14:solidFill>
                </w14:textFill>
              </w:rPr>
              <w:t>|</w:t>
            </w:r>
            <w:r w:rsidR="002278BC" w:rsidRPr="002278BC">
              <w:rPr>
                <w:rFonts w:hint="eastAsia"/>
                <w:color w:val="000000"/>
                <w:w w:val="15"/>
                <w:shd w:val="solid" w:color="000000" w:fill="000000"/>
                <w:fitText w:val="60" w:id="-1295766783"/>
                <w14:textFill>
                  <w14:solidFill>
                    <w14:srgbClr w14:val="000000">
                      <w14:alpha w14:val="100000"/>
                    </w14:srgbClr>
                  </w14:solidFill>
                </w14:textFill>
              </w:rPr>
              <w:t xml:space="preserve">　</w:t>
            </w:r>
            <w:r w:rsidRPr="001D67AF">
              <w:t>%</w:t>
            </w:r>
          </w:p>
        </w:tc>
        <w:tc>
          <w:tcPr>
            <w:tcW w:w="1725" w:type="pct"/>
            <w:vAlign w:val="center"/>
          </w:tcPr>
          <w:p w14:paraId="1A0EA2FA" w14:textId="77777777" w:rsidR="006F6B20" w:rsidRPr="001D67AF" w:rsidRDefault="006F6B20" w:rsidP="00F913DB">
            <w:pPr>
              <w:pStyle w:val="TableText0"/>
            </w:pPr>
            <w:r w:rsidRPr="001D67AF">
              <w:t>Sponsor assumption</w:t>
            </w:r>
          </w:p>
        </w:tc>
        <w:tc>
          <w:tcPr>
            <w:tcW w:w="1406" w:type="pct"/>
            <w:vAlign w:val="center"/>
          </w:tcPr>
          <w:p w14:paraId="3E8F069F" w14:textId="7BAD0CFA" w:rsidR="006F6B20" w:rsidRPr="001D67AF" w:rsidRDefault="006F6B20" w:rsidP="00F913DB">
            <w:pPr>
              <w:pStyle w:val="TableText0"/>
            </w:pPr>
            <w:r w:rsidRPr="001D67AF">
              <w:t>No justification provided. Assumes that both the 250 microgram and 500 microgram strengths of romiplostim will be substituted at the same rate.</w:t>
            </w:r>
          </w:p>
        </w:tc>
      </w:tr>
      <w:tr w:rsidR="006F6B20" w:rsidRPr="001D67AF" w14:paraId="2E477875" w14:textId="77777777" w:rsidTr="00FF5CBC">
        <w:tc>
          <w:tcPr>
            <w:tcW w:w="1172" w:type="pct"/>
            <w:vAlign w:val="center"/>
          </w:tcPr>
          <w:p w14:paraId="1585DB29" w14:textId="77777777" w:rsidR="006F6B20" w:rsidRPr="001D67AF" w:rsidRDefault="006F6B20" w:rsidP="00940325">
            <w:pPr>
              <w:pStyle w:val="TableText0"/>
              <w:keepNext w:val="0"/>
            </w:pPr>
            <w:r w:rsidRPr="001D67AF">
              <w:t>Rate of yearly growth of TPO-RAs</w:t>
            </w:r>
          </w:p>
        </w:tc>
        <w:tc>
          <w:tcPr>
            <w:tcW w:w="697" w:type="pct"/>
            <w:vAlign w:val="center"/>
          </w:tcPr>
          <w:p w14:paraId="4B35675F" w14:textId="77777777" w:rsidR="006F6B20" w:rsidRPr="001D67AF" w:rsidRDefault="006F6B20" w:rsidP="00940325">
            <w:pPr>
              <w:pStyle w:val="TableText0"/>
              <w:keepNext w:val="0"/>
            </w:pPr>
            <w:r w:rsidRPr="001D67AF">
              <w:t>16%</w:t>
            </w:r>
          </w:p>
        </w:tc>
        <w:tc>
          <w:tcPr>
            <w:tcW w:w="1725" w:type="pct"/>
            <w:vAlign w:val="center"/>
          </w:tcPr>
          <w:p w14:paraId="5ACB792F" w14:textId="77777777" w:rsidR="006F6B20" w:rsidRPr="001D67AF" w:rsidRDefault="006F6B20" w:rsidP="00940325">
            <w:pPr>
              <w:pStyle w:val="TableText0"/>
              <w:keepNext w:val="0"/>
            </w:pPr>
            <w:r w:rsidRPr="001D67AF">
              <w:t xml:space="preserve">Assumed to follow the average annual growth rate between 2016 and 2021 </w:t>
            </w:r>
            <w:r w:rsidRPr="001D67AF">
              <w:lastRenderedPageBreak/>
              <w:t>based on Medicare Statistics PBS Item reports for 5825N, 5826P, 5827Q, 5828R, 9696H, 9697J, 9698K, 9699L</w:t>
            </w:r>
          </w:p>
        </w:tc>
        <w:tc>
          <w:tcPr>
            <w:tcW w:w="1406" w:type="pct"/>
            <w:vAlign w:val="center"/>
          </w:tcPr>
          <w:p w14:paraId="4AF4D977" w14:textId="77777777" w:rsidR="006F6B20" w:rsidRPr="001D67AF" w:rsidRDefault="006F6B20" w:rsidP="00940325">
            <w:pPr>
              <w:pStyle w:val="TableText0"/>
              <w:keepNext w:val="0"/>
            </w:pPr>
            <w:r w:rsidRPr="001D67AF">
              <w:lastRenderedPageBreak/>
              <w:t xml:space="preserve"> Reasonable</w:t>
            </w:r>
          </w:p>
        </w:tc>
      </w:tr>
      <w:tr w:rsidR="006F6B20" w:rsidRPr="001D67AF" w14:paraId="3ADFEF2C" w14:textId="77777777" w:rsidTr="00FF5CBC">
        <w:tc>
          <w:tcPr>
            <w:tcW w:w="1172" w:type="pct"/>
            <w:vAlign w:val="center"/>
          </w:tcPr>
          <w:p w14:paraId="06E4EC43" w14:textId="77777777" w:rsidR="006F6B20" w:rsidRPr="001D67AF" w:rsidRDefault="006F6B20" w:rsidP="00940325">
            <w:pPr>
              <w:pStyle w:val="TableText0"/>
              <w:keepNext w:val="0"/>
            </w:pPr>
            <w:r w:rsidRPr="001D67AF">
              <w:t>Percentage increase in patients eligible for TPO-RA treatment due to removal of splenectomy restriction</w:t>
            </w:r>
          </w:p>
        </w:tc>
        <w:tc>
          <w:tcPr>
            <w:tcW w:w="697" w:type="pct"/>
            <w:vAlign w:val="center"/>
          </w:tcPr>
          <w:p w14:paraId="17486BF5" w14:textId="77777777" w:rsidR="006F6B20" w:rsidRPr="001D67AF" w:rsidRDefault="006F6B20" w:rsidP="00940325">
            <w:pPr>
              <w:pStyle w:val="TableText0"/>
              <w:keepNext w:val="0"/>
            </w:pPr>
            <w:r w:rsidRPr="001D67AF">
              <w:t>7%</w:t>
            </w:r>
          </w:p>
        </w:tc>
        <w:tc>
          <w:tcPr>
            <w:tcW w:w="1725" w:type="pct"/>
            <w:vAlign w:val="center"/>
          </w:tcPr>
          <w:p w14:paraId="50625086" w14:textId="77777777" w:rsidR="006F6B20" w:rsidRPr="001D67AF" w:rsidRDefault="006F6B20" w:rsidP="00940325">
            <w:pPr>
              <w:pStyle w:val="TableText0"/>
              <w:keepNext w:val="0"/>
            </w:pPr>
            <w:r w:rsidRPr="001D67AF">
              <w:t>Estimated based on the NHS data (Secondary Care Medicines Data, NICE, Prescribing costs in hospital and community 2017/18) prior to and following the removal of the splenectomy restriction</w:t>
            </w:r>
          </w:p>
        </w:tc>
        <w:tc>
          <w:tcPr>
            <w:tcW w:w="1406" w:type="pct"/>
            <w:vAlign w:val="center"/>
          </w:tcPr>
          <w:p w14:paraId="66B7F932" w14:textId="3562633C" w:rsidR="006F6B20" w:rsidRPr="001D67AF" w:rsidRDefault="006F6B20" w:rsidP="00940325">
            <w:pPr>
              <w:pStyle w:val="TableText0"/>
              <w:keepNext w:val="0"/>
            </w:pPr>
            <w:r w:rsidRPr="001D67AF">
              <w:t>May be reasonable although access to splenectomy in the UK may not be the same as in Australia.</w:t>
            </w:r>
          </w:p>
        </w:tc>
      </w:tr>
      <w:tr w:rsidR="006F6B20" w:rsidRPr="001D67AF" w14:paraId="46EEA844" w14:textId="77777777" w:rsidTr="00FF5CBC">
        <w:tc>
          <w:tcPr>
            <w:tcW w:w="1172" w:type="pct"/>
            <w:vAlign w:val="center"/>
          </w:tcPr>
          <w:p w14:paraId="3BE73610" w14:textId="77777777" w:rsidR="006F6B20" w:rsidRPr="001D67AF" w:rsidRDefault="006F6B20" w:rsidP="00940325">
            <w:pPr>
              <w:pStyle w:val="TableText0"/>
              <w:keepNext w:val="0"/>
            </w:pPr>
            <w:r w:rsidRPr="001D67AF">
              <w:t>Grandfathered</w:t>
            </w:r>
          </w:p>
        </w:tc>
        <w:tc>
          <w:tcPr>
            <w:tcW w:w="697" w:type="pct"/>
            <w:vAlign w:val="center"/>
          </w:tcPr>
          <w:p w14:paraId="3011DDCD" w14:textId="77777777" w:rsidR="006F6B20" w:rsidRPr="001D67AF" w:rsidRDefault="006F6B20" w:rsidP="00940325">
            <w:pPr>
              <w:pStyle w:val="TableText0"/>
              <w:keepNext w:val="0"/>
            </w:pPr>
            <w:r w:rsidRPr="001D67AF">
              <w:t>-</w:t>
            </w:r>
          </w:p>
        </w:tc>
        <w:tc>
          <w:tcPr>
            <w:tcW w:w="1725" w:type="pct"/>
            <w:vAlign w:val="center"/>
          </w:tcPr>
          <w:p w14:paraId="3876E115" w14:textId="77777777" w:rsidR="006F6B20" w:rsidRPr="001D67AF" w:rsidRDefault="006F6B20" w:rsidP="00940325">
            <w:pPr>
              <w:pStyle w:val="TableText0"/>
              <w:keepNext w:val="0"/>
            </w:pPr>
            <w:r w:rsidRPr="001D67AF">
              <w:t>Submission did not include grandfathered patients in its estimates.</w:t>
            </w:r>
          </w:p>
        </w:tc>
        <w:tc>
          <w:tcPr>
            <w:tcW w:w="1406" w:type="pct"/>
            <w:vAlign w:val="center"/>
          </w:tcPr>
          <w:p w14:paraId="43A5B3C7" w14:textId="170DBAA7" w:rsidR="006F6B20" w:rsidRPr="001D67AF" w:rsidRDefault="001C2498" w:rsidP="00940325">
            <w:pPr>
              <w:pStyle w:val="TableText0"/>
              <w:keepNext w:val="0"/>
            </w:pPr>
            <w:r w:rsidRPr="001D67AF">
              <w:t>The submission did not provide an estimate of the number of grandfather</w:t>
            </w:r>
            <w:r w:rsidR="007A1BD2">
              <w:t>ed</w:t>
            </w:r>
            <w:r w:rsidRPr="001D67AF">
              <w:t xml:space="preserve"> patient</w:t>
            </w:r>
            <w:r w:rsidR="000F796F">
              <w:t>s</w:t>
            </w:r>
            <w:r w:rsidRPr="001D67AF">
              <w:t xml:space="preserve">, although </w:t>
            </w:r>
            <w:r w:rsidR="000F796F">
              <w:t xml:space="preserve">it </w:t>
            </w:r>
            <w:r w:rsidRPr="001D67AF">
              <w:t>describ</w:t>
            </w:r>
            <w:r w:rsidR="000F796F">
              <w:t>ed</w:t>
            </w:r>
            <w:r w:rsidRPr="001D67AF">
              <w:t xml:space="preserve"> the access program to be established.</w:t>
            </w:r>
            <w:r w:rsidR="004F5D4E">
              <w:t xml:space="preserve"> The Pre-PBAC Response noted </w:t>
            </w:r>
            <w:r w:rsidR="007F0AFE">
              <w:t xml:space="preserve">&lt; 500 </w:t>
            </w:r>
            <w:r w:rsidR="004F5D4E">
              <w:t>patients are currently receiving compassionate supply in Australia.</w:t>
            </w:r>
          </w:p>
        </w:tc>
      </w:tr>
      <w:tr w:rsidR="006F6B20" w:rsidRPr="001D67AF" w14:paraId="054F776A" w14:textId="77777777" w:rsidTr="00FF5CBC">
        <w:tc>
          <w:tcPr>
            <w:tcW w:w="1172" w:type="pct"/>
            <w:vAlign w:val="center"/>
          </w:tcPr>
          <w:p w14:paraId="4CBA23C6" w14:textId="77777777" w:rsidR="006F6B20" w:rsidRPr="001D67AF" w:rsidRDefault="006F6B20" w:rsidP="00940325">
            <w:pPr>
              <w:pStyle w:val="TableText0"/>
              <w:keepNext w:val="0"/>
            </w:pPr>
            <w:r w:rsidRPr="001D67AF">
              <w:t>Scripts dispensed</w:t>
            </w:r>
          </w:p>
        </w:tc>
        <w:tc>
          <w:tcPr>
            <w:tcW w:w="697" w:type="pct"/>
            <w:vAlign w:val="center"/>
          </w:tcPr>
          <w:p w14:paraId="1BFB526D" w14:textId="74B1A4A1" w:rsidR="006F6B20" w:rsidRPr="002278BC" w:rsidRDefault="006F6B20" w:rsidP="00940325">
            <w:pPr>
              <w:pStyle w:val="TableText0"/>
              <w:keepNext w:val="0"/>
              <w:rPr>
                <w:vertAlign w:val="superscript"/>
              </w:rPr>
            </w:pPr>
            <w:r w:rsidRPr="001D67AF">
              <w:t xml:space="preserve">Yr 1: </w:t>
            </w:r>
            <w:r w:rsidR="002278BC" w:rsidRPr="002278BC">
              <w:rPr>
                <w:color w:val="000000"/>
                <w:spacing w:val="49"/>
                <w:shd w:val="solid" w:color="000000" w:fill="000000"/>
                <w:fitText w:val="320" w:id="-1295766528"/>
                <w14:textFill>
                  <w14:solidFill>
                    <w14:srgbClr w14:val="000000">
                      <w14:alpha w14:val="100000"/>
                    </w14:srgbClr>
                  </w14:solidFill>
                </w14:textFill>
              </w:rPr>
              <w:t>|||</w:t>
            </w:r>
            <w:r w:rsidR="002278BC" w:rsidRPr="002278BC">
              <w:rPr>
                <w:color w:val="000000"/>
                <w:spacing w:val="3"/>
                <w:shd w:val="solid" w:color="000000" w:fill="000000"/>
                <w:fitText w:val="320" w:id="-1295766528"/>
                <w14:textFill>
                  <w14:solidFill>
                    <w14:srgbClr w14:val="000000">
                      <w14:alpha w14:val="100000"/>
                    </w14:srgbClr>
                  </w14:solidFill>
                </w14:textFill>
              </w:rPr>
              <w:t>|</w:t>
            </w:r>
            <w:r w:rsidR="002278BC">
              <w:rPr>
                <w:vertAlign w:val="superscript"/>
              </w:rPr>
              <w:t>1</w:t>
            </w:r>
          </w:p>
          <w:p w14:paraId="1395DDDE" w14:textId="3FF0CB08" w:rsidR="006F6B20" w:rsidRPr="002278BC" w:rsidRDefault="006F6B20" w:rsidP="00940325">
            <w:pPr>
              <w:pStyle w:val="TableText0"/>
              <w:keepNext w:val="0"/>
              <w:rPr>
                <w:vertAlign w:val="superscript"/>
              </w:rPr>
            </w:pPr>
            <w:r w:rsidRPr="001D67AF">
              <w:t xml:space="preserve">Yr 2: </w:t>
            </w:r>
            <w:r w:rsidR="002278BC" w:rsidRPr="002278BC">
              <w:rPr>
                <w:color w:val="000000"/>
                <w:spacing w:val="49"/>
                <w:shd w:val="solid" w:color="000000" w:fill="000000"/>
                <w:fitText w:val="320" w:id="-1295766527"/>
                <w14:textFill>
                  <w14:solidFill>
                    <w14:srgbClr w14:val="000000">
                      <w14:alpha w14:val="100000"/>
                    </w14:srgbClr>
                  </w14:solidFill>
                </w14:textFill>
              </w:rPr>
              <w:t>|||</w:t>
            </w:r>
            <w:r w:rsidR="002278BC" w:rsidRPr="002278BC">
              <w:rPr>
                <w:color w:val="000000"/>
                <w:spacing w:val="3"/>
                <w:shd w:val="solid" w:color="000000" w:fill="000000"/>
                <w:fitText w:val="320" w:id="-1295766527"/>
                <w14:textFill>
                  <w14:solidFill>
                    <w14:srgbClr w14:val="000000">
                      <w14:alpha w14:val="100000"/>
                    </w14:srgbClr>
                  </w14:solidFill>
                </w14:textFill>
              </w:rPr>
              <w:t>|</w:t>
            </w:r>
            <w:r w:rsidR="002278BC">
              <w:rPr>
                <w:vertAlign w:val="superscript"/>
              </w:rPr>
              <w:t>1</w:t>
            </w:r>
          </w:p>
          <w:p w14:paraId="776D3EF3" w14:textId="39DC6DA4" w:rsidR="006F6B20" w:rsidRPr="002278BC" w:rsidRDefault="006F6B20" w:rsidP="00940325">
            <w:pPr>
              <w:pStyle w:val="TableText0"/>
              <w:keepNext w:val="0"/>
              <w:rPr>
                <w:vertAlign w:val="superscript"/>
              </w:rPr>
            </w:pPr>
            <w:r w:rsidRPr="001D67AF">
              <w:t xml:space="preserve">Yr 3: </w:t>
            </w:r>
            <w:r w:rsidR="002278BC" w:rsidRPr="002278BC">
              <w:rPr>
                <w:color w:val="000000"/>
                <w:spacing w:val="49"/>
                <w:shd w:val="solid" w:color="000000" w:fill="000000"/>
                <w:fitText w:val="320" w:id="-1295766526"/>
                <w14:textFill>
                  <w14:solidFill>
                    <w14:srgbClr w14:val="000000">
                      <w14:alpha w14:val="100000"/>
                    </w14:srgbClr>
                  </w14:solidFill>
                </w14:textFill>
              </w:rPr>
              <w:t>|||</w:t>
            </w:r>
            <w:r w:rsidR="002278BC" w:rsidRPr="002278BC">
              <w:rPr>
                <w:color w:val="000000"/>
                <w:spacing w:val="3"/>
                <w:shd w:val="solid" w:color="000000" w:fill="000000"/>
                <w:fitText w:val="320" w:id="-1295766526"/>
                <w14:textFill>
                  <w14:solidFill>
                    <w14:srgbClr w14:val="000000">
                      <w14:alpha w14:val="100000"/>
                    </w14:srgbClr>
                  </w14:solidFill>
                </w14:textFill>
              </w:rPr>
              <w:t>|</w:t>
            </w:r>
            <w:r w:rsidR="002278BC">
              <w:rPr>
                <w:vertAlign w:val="superscript"/>
              </w:rPr>
              <w:t>2</w:t>
            </w:r>
          </w:p>
          <w:p w14:paraId="3514DE0C" w14:textId="7AD431A1" w:rsidR="006F6B20" w:rsidRPr="002278BC" w:rsidRDefault="006F6B20" w:rsidP="00940325">
            <w:pPr>
              <w:pStyle w:val="TableText0"/>
              <w:keepNext w:val="0"/>
              <w:rPr>
                <w:vertAlign w:val="superscript"/>
              </w:rPr>
            </w:pPr>
            <w:r w:rsidRPr="001D67AF">
              <w:t xml:space="preserve">Yr 4: </w:t>
            </w:r>
            <w:r w:rsidR="002278BC" w:rsidRPr="002278BC">
              <w:rPr>
                <w:color w:val="000000"/>
                <w:spacing w:val="49"/>
                <w:shd w:val="solid" w:color="000000" w:fill="000000"/>
                <w:fitText w:val="320" w:id="-1295766272"/>
                <w14:textFill>
                  <w14:solidFill>
                    <w14:srgbClr w14:val="000000">
                      <w14:alpha w14:val="100000"/>
                    </w14:srgbClr>
                  </w14:solidFill>
                </w14:textFill>
              </w:rPr>
              <w:t>|||</w:t>
            </w:r>
            <w:r w:rsidR="002278BC" w:rsidRPr="002278BC">
              <w:rPr>
                <w:color w:val="000000"/>
                <w:spacing w:val="3"/>
                <w:shd w:val="solid" w:color="000000" w:fill="000000"/>
                <w:fitText w:val="320" w:id="-1295766272"/>
                <w14:textFill>
                  <w14:solidFill>
                    <w14:srgbClr w14:val="000000">
                      <w14:alpha w14:val="100000"/>
                    </w14:srgbClr>
                  </w14:solidFill>
                </w14:textFill>
              </w:rPr>
              <w:t>|</w:t>
            </w:r>
            <w:r w:rsidR="002278BC">
              <w:rPr>
                <w:vertAlign w:val="superscript"/>
              </w:rPr>
              <w:t>2</w:t>
            </w:r>
          </w:p>
          <w:p w14:paraId="7C97503E" w14:textId="3AA90DDC" w:rsidR="006F6B20" w:rsidRPr="002278BC" w:rsidRDefault="006F6B20" w:rsidP="00940325">
            <w:pPr>
              <w:pStyle w:val="TableText0"/>
              <w:keepNext w:val="0"/>
              <w:rPr>
                <w:vertAlign w:val="superscript"/>
              </w:rPr>
            </w:pPr>
            <w:r w:rsidRPr="001D67AF">
              <w:t xml:space="preserve">Yr 5: </w:t>
            </w:r>
            <w:r w:rsidR="002278BC" w:rsidRPr="002278BC">
              <w:rPr>
                <w:color w:val="000000"/>
                <w:spacing w:val="49"/>
                <w:shd w:val="solid" w:color="000000" w:fill="000000"/>
                <w:fitText w:val="320" w:id="-1295766271"/>
                <w14:textFill>
                  <w14:solidFill>
                    <w14:srgbClr w14:val="000000">
                      <w14:alpha w14:val="100000"/>
                    </w14:srgbClr>
                  </w14:solidFill>
                </w14:textFill>
              </w:rPr>
              <w:t>|||</w:t>
            </w:r>
            <w:r w:rsidR="002278BC" w:rsidRPr="002278BC">
              <w:rPr>
                <w:color w:val="000000"/>
                <w:spacing w:val="3"/>
                <w:shd w:val="solid" w:color="000000" w:fill="000000"/>
                <w:fitText w:val="320" w:id="-1295766271"/>
                <w14:textFill>
                  <w14:solidFill>
                    <w14:srgbClr w14:val="000000">
                      <w14:alpha w14:val="100000"/>
                    </w14:srgbClr>
                  </w14:solidFill>
                </w14:textFill>
              </w:rPr>
              <w:t>|</w:t>
            </w:r>
            <w:r w:rsidR="002278BC">
              <w:rPr>
                <w:vertAlign w:val="superscript"/>
              </w:rPr>
              <w:t>2</w:t>
            </w:r>
          </w:p>
          <w:p w14:paraId="53EE4B37" w14:textId="60E239DF" w:rsidR="006F6B20" w:rsidRPr="002278BC" w:rsidRDefault="006F6B20" w:rsidP="00940325">
            <w:pPr>
              <w:pStyle w:val="TableText0"/>
              <w:keepNext w:val="0"/>
              <w:rPr>
                <w:vertAlign w:val="superscript"/>
              </w:rPr>
            </w:pPr>
            <w:r w:rsidRPr="001D67AF">
              <w:t xml:space="preserve">Yr 6: </w:t>
            </w:r>
            <w:r w:rsidR="002278BC" w:rsidRPr="002278BC">
              <w:rPr>
                <w:color w:val="000000"/>
                <w:spacing w:val="79"/>
                <w:shd w:val="solid" w:color="000000" w:fill="000000"/>
                <w:fitText w:val="410" w:id="-1295766270"/>
                <w14:textFill>
                  <w14:solidFill>
                    <w14:srgbClr w14:val="000000">
                      <w14:alpha w14:val="100000"/>
                    </w14:srgbClr>
                  </w14:solidFill>
                </w14:textFill>
              </w:rPr>
              <w:t>|||</w:t>
            </w:r>
            <w:r w:rsidR="002278BC" w:rsidRPr="002278BC">
              <w:rPr>
                <w:color w:val="000000"/>
                <w:spacing w:val="3"/>
                <w:shd w:val="solid" w:color="000000" w:fill="000000"/>
                <w:fitText w:val="410" w:id="-1295766270"/>
                <w14:textFill>
                  <w14:solidFill>
                    <w14:srgbClr w14:val="000000">
                      <w14:alpha w14:val="100000"/>
                    </w14:srgbClr>
                  </w14:solidFill>
                </w14:textFill>
              </w:rPr>
              <w:t>|</w:t>
            </w:r>
            <w:r w:rsidR="002278BC">
              <w:rPr>
                <w:vertAlign w:val="superscript"/>
              </w:rPr>
              <w:t>3</w:t>
            </w:r>
          </w:p>
        </w:tc>
        <w:tc>
          <w:tcPr>
            <w:tcW w:w="1725" w:type="pct"/>
            <w:vAlign w:val="center"/>
          </w:tcPr>
          <w:p w14:paraId="77C85E02" w14:textId="77777777" w:rsidR="006F6B20" w:rsidRPr="001D67AF" w:rsidRDefault="006F6B20" w:rsidP="00940325">
            <w:pPr>
              <w:pStyle w:val="TableText0"/>
              <w:keepNext w:val="0"/>
            </w:pPr>
            <w:r w:rsidRPr="001D67AF">
              <w:t>Based on assumed market share across different strengths of eltrombopag and romiplostim.</w:t>
            </w:r>
          </w:p>
        </w:tc>
        <w:tc>
          <w:tcPr>
            <w:tcW w:w="1406" w:type="pct"/>
            <w:vAlign w:val="center"/>
          </w:tcPr>
          <w:p w14:paraId="5CCB7B8B" w14:textId="313FEE27" w:rsidR="006F6B20" w:rsidRPr="001D67AF" w:rsidRDefault="006F6B20" w:rsidP="00940325">
            <w:pPr>
              <w:pStyle w:val="TableText0"/>
              <w:keepNext w:val="0"/>
            </w:pPr>
            <w:r w:rsidRPr="001D67AF">
              <w:t>Given caveats concerning dose equivalence and assumed rate of substitution for different strengths, may or may not be reasonable.</w:t>
            </w:r>
          </w:p>
        </w:tc>
      </w:tr>
      <w:tr w:rsidR="006F6B20" w:rsidRPr="001D67AF" w14:paraId="51EF4559" w14:textId="77777777" w:rsidTr="00FF5CBC">
        <w:tc>
          <w:tcPr>
            <w:tcW w:w="5000" w:type="pct"/>
            <w:gridSpan w:val="4"/>
            <w:vAlign w:val="center"/>
          </w:tcPr>
          <w:p w14:paraId="54A4D0E8" w14:textId="77777777" w:rsidR="006F6B20" w:rsidRPr="001D67AF" w:rsidRDefault="006F6B20" w:rsidP="00940325">
            <w:pPr>
              <w:pStyle w:val="TableText0"/>
              <w:keepNext w:val="0"/>
              <w:rPr>
                <w:b/>
              </w:rPr>
            </w:pPr>
            <w:r w:rsidRPr="001D67AF">
              <w:rPr>
                <w:b/>
              </w:rPr>
              <w:t>Costs</w:t>
            </w:r>
          </w:p>
        </w:tc>
      </w:tr>
      <w:tr w:rsidR="006F6B20" w:rsidRPr="001D67AF" w14:paraId="418F70B3" w14:textId="77777777" w:rsidTr="00FF5CBC">
        <w:tc>
          <w:tcPr>
            <w:tcW w:w="1172" w:type="pct"/>
            <w:vAlign w:val="center"/>
          </w:tcPr>
          <w:p w14:paraId="634444D7" w14:textId="77777777" w:rsidR="006F6B20" w:rsidRPr="001D67AF" w:rsidRDefault="006F6B20" w:rsidP="00940325">
            <w:pPr>
              <w:pStyle w:val="TableText0"/>
              <w:keepNext w:val="0"/>
            </w:pPr>
            <w:r w:rsidRPr="001D67AF">
              <w:t>Avatrombopag 20 mg</w:t>
            </w:r>
          </w:p>
        </w:tc>
        <w:tc>
          <w:tcPr>
            <w:tcW w:w="697" w:type="pct"/>
            <w:vAlign w:val="center"/>
          </w:tcPr>
          <w:p w14:paraId="4D11E052" w14:textId="77777777" w:rsidR="006F6B20" w:rsidRPr="001D67AF" w:rsidRDefault="006F6B20" w:rsidP="00940325">
            <w:pPr>
              <w:pStyle w:val="TableText0"/>
              <w:keepNext w:val="0"/>
            </w:pPr>
            <w:r w:rsidRPr="001D67AF">
              <w:t>$2,761</w:t>
            </w:r>
          </w:p>
        </w:tc>
        <w:tc>
          <w:tcPr>
            <w:tcW w:w="1725" w:type="pct"/>
            <w:vAlign w:val="center"/>
          </w:tcPr>
          <w:p w14:paraId="41D77910" w14:textId="77777777" w:rsidR="006F6B20" w:rsidRPr="001D67AF" w:rsidRDefault="006F6B20" w:rsidP="00940325">
            <w:pPr>
              <w:pStyle w:val="TableText0"/>
              <w:keepNext w:val="0"/>
            </w:pPr>
            <w:r w:rsidRPr="001D67AF">
              <w:t>Requested price</w:t>
            </w:r>
          </w:p>
        </w:tc>
        <w:tc>
          <w:tcPr>
            <w:tcW w:w="1406" w:type="pct"/>
            <w:vAlign w:val="center"/>
          </w:tcPr>
          <w:p w14:paraId="024C3B66" w14:textId="77777777" w:rsidR="006F6B20" w:rsidRPr="001D67AF" w:rsidRDefault="006F6B20" w:rsidP="00940325">
            <w:pPr>
              <w:pStyle w:val="TableText0"/>
              <w:keepNext w:val="0"/>
            </w:pPr>
          </w:p>
        </w:tc>
      </w:tr>
      <w:tr w:rsidR="006F6B20" w:rsidRPr="001D67AF" w14:paraId="312F645F" w14:textId="77777777" w:rsidTr="00FF5CBC">
        <w:tc>
          <w:tcPr>
            <w:tcW w:w="1172" w:type="pct"/>
            <w:vAlign w:val="center"/>
          </w:tcPr>
          <w:p w14:paraId="36E36928" w14:textId="7CA00BC1" w:rsidR="006F6B20" w:rsidRPr="001D67AF" w:rsidRDefault="006F6B20" w:rsidP="00940325">
            <w:pPr>
              <w:pStyle w:val="TableText0"/>
              <w:keepNext w:val="0"/>
            </w:pPr>
            <w:r w:rsidRPr="001D67AF">
              <w:t>Eltrombopag</w:t>
            </w:r>
            <w:r w:rsidR="006B58A0">
              <w:t>*</w:t>
            </w:r>
            <w:r w:rsidRPr="001D67AF">
              <w:t xml:space="preserve"> 25 mg</w:t>
            </w:r>
          </w:p>
          <w:p w14:paraId="4D46041D" w14:textId="77777777" w:rsidR="006F6B20" w:rsidRPr="001D67AF" w:rsidRDefault="006F6B20" w:rsidP="00940325">
            <w:pPr>
              <w:pStyle w:val="TableText0"/>
              <w:keepNext w:val="0"/>
            </w:pPr>
            <w:r w:rsidRPr="001D67AF">
              <w:t>50 mg</w:t>
            </w:r>
          </w:p>
        </w:tc>
        <w:tc>
          <w:tcPr>
            <w:tcW w:w="697" w:type="pct"/>
            <w:vAlign w:val="center"/>
          </w:tcPr>
          <w:p w14:paraId="1218AB8C" w14:textId="77777777" w:rsidR="006F6B20" w:rsidRPr="001D67AF" w:rsidRDefault="006F6B20" w:rsidP="00940325">
            <w:pPr>
              <w:pStyle w:val="TableText0"/>
              <w:keepNext w:val="0"/>
            </w:pPr>
            <w:r w:rsidRPr="001D67AF">
              <w:t>$1,293</w:t>
            </w:r>
          </w:p>
          <w:p w14:paraId="5779D99F" w14:textId="77777777" w:rsidR="006F6B20" w:rsidRPr="001D67AF" w:rsidRDefault="006F6B20" w:rsidP="00940325">
            <w:pPr>
              <w:pStyle w:val="TableText0"/>
              <w:keepNext w:val="0"/>
            </w:pPr>
            <w:r w:rsidRPr="001D67AF">
              <w:t>$2,586</w:t>
            </w:r>
          </w:p>
        </w:tc>
        <w:tc>
          <w:tcPr>
            <w:tcW w:w="1725" w:type="pct"/>
            <w:vAlign w:val="center"/>
          </w:tcPr>
          <w:p w14:paraId="789E98B4" w14:textId="77777777" w:rsidR="006F6B20" w:rsidRPr="001D67AF" w:rsidRDefault="006F6B20" w:rsidP="00940325">
            <w:pPr>
              <w:pStyle w:val="TableText0"/>
              <w:keepNext w:val="0"/>
            </w:pPr>
            <w:r w:rsidRPr="001D67AF">
              <w:t xml:space="preserve">5825N, 5827Q </w:t>
            </w:r>
          </w:p>
          <w:p w14:paraId="77551977" w14:textId="77777777" w:rsidR="006F6B20" w:rsidRPr="001D67AF" w:rsidRDefault="006F6B20" w:rsidP="00940325">
            <w:pPr>
              <w:pStyle w:val="TableText0"/>
              <w:keepNext w:val="0"/>
            </w:pPr>
            <w:r w:rsidRPr="001D67AF">
              <w:t>5826P, 5828R</w:t>
            </w:r>
          </w:p>
        </w:tc>
        <w:tc>
          <w:tcPr>
            <w:tcW w:w="1406" w:type="pct"/>
            <w:vAlign w:val="center"/>
          </w:tcPr>
          <w:p w14:paraId="16BECF9C" w14:textId="77777777" w:rsidR="006F6B20" w:rsidRPr="001D67AF" w:rsidRDefault="006F6B20" w:rsidP="00940325">
            <w:pPr>
              <w:pStyle w:val="TableText0"/>
              <w:keepNext w:val="0"/>
            </w:pPr>
            <w:r w:rsidRPr="001D67AF">
              <w:t>Appropriate</w:t>
            </w:r>
          </w:p>
        </w:tc>
      </w:tr>
      <w:tr w:rsidR="006F6B20" w:rsidRPr="001D67AF" w14:paraId="0AA31A2A" w14:textId="77777777" w:rsidTr="00FF5CBC">
        <w:tc>
          <w:tcPr>
            <w:tcW w:w="1172" w:type="pct"/>
            <w:vAlign w:val="center"/>
          </w:tcPr>
          <w:p w14:paraId="022A5C0B" w14:textId="77777777" w:rsidR="006F6B20" w:rsidRPr="001D67AF" w:rsidRDefault="006F6B20" w:rsidP="00940325">
            <w:pPr>
              <w:pStyle w:val="TableText0"/>
              <w:keepNext w:val="0"/>
            </w:pPr>
            <w:r w:rsidRPr="001D67AF">
              <w:t>Romiplostim</w:t>
            </w:r>
          </w:p>
          <w:p w14:paraId="2E19C912" w14:textId="77777777" w:rsidR="006F6B20" w:rsidRPr="001D67AF" w:rsidRDefault="006F6B20" w:rsidP="00940325">
            <w:pPr>
              <w:pStyle w:val="TableText0"/>
              <w:keepNext w:val="0"/>
            </w:pPr>
            <w:r w:rsidRPr="001D67AF">
              <w:t>250 microgram</w:t>
            </w:r>
          </w:p>
          <w:p w14:paraId="2E437E6D" w14:textId="77777777" w:rsidR="006F6B20" w:rsidRPr="001D67AF" w:rsidRDefault="006F6B20" w:rsidP="00940325">
            <w:pPr>
              <w:pStyle w:val="TableText0"/>
              <w:keepNext w:val="0"/>
            </w:pPr>
            <w:r w:rsidRPr="001D67AF">
              <w:t>500 microgram</w:t>
            </w:r>
          </w:p>
        </w:tc>
        <w:tc>
          <w:tcPr>
            <w:tcW w:w="697" w:type="pct"/>
            <w:vAlign w:val="center"/>
          </w:tcPr>
          <w:p w14:paraId="6E55DFA1" w14:textId="77777777" w:rsidR="006F6B20" w:rsidRPr="001D67AF" w:rsidRDefault="006F6B20" w:rsidP="00940325">
            <w:pPr>
              <w:pStyle w:val="TableText0"/>
              <w:keepNext w:val="0"/>
            </w:pPr>
            <w:r w:rsidRPr="001D67AF">
              <w:t>$494</w:t>
            </w:r>
          </w:p>
          <w:p w14:paraId="6F7120FE" w14:textId="77777777" w:rsidR="006F6B20" w:rsidRPr="001D67AF" w:rsidRDefault="006F6B20" w:rsidP="00940325">
            <w:pPr>
              <w:pStyle w:val="TableText0"/>
              <w:keepNext w:val="0"/>
            </w:pPr>
            <w:r w:rsidRPr="001D67AF">
              <w:t>$988</w:t>
            </w:r>
          </w:p>
        </w:tc>
        <w:tc>
          <w:tcPr>
            <w:tcW w:w="1725" w:type="pct"/>
            <w:vAlign w:val="center"/>
          </w:tcPr>
          <w:p w14:paraId="620B93B4" w14:textId="77777777" w:rsidR="006F6B20" w:rsidRPr="001D67AF" w:rsidRDefault="006F6B20" w:rsidP="00940325">
            <w:pPr>
              <w:pStyle w:val="TableText0"/>
              <w:keepNext w:val="0"/>
            </w:pPr>
            <w:r w:rsidRPr="001D67AF">
              <w:t>9696H, 9697J</w:t>
            </w:r>
          </w:p>
          <w:p w14:paraId="712E3BBA" w14:textId="77777777" w:rsidR="006F6B20" w:rsidRPr="001D67AF" w:rsidRDefault="006F6B20" w:rsidP="00940325">
            <w:pPr>
              <w:pStyle w:val="TableText0"/>
              <w:keepNext w:val="0"/>
            </w:pPr>
            <w:r w:rsidRPr="001D67AF">
              <w:t>9698K, 9699L</w:t>
            </w:r>
          </w:p>
        </w:tc>
        <w:tc>
          <w:tcPr>
            <w:tcW w:w="1406" w:type="pct"/>
            <w:vAlign w:val="center"/>
          </w:tcPr>
          <w:p w14:paraId="15B63886" w14:textId="77777777" w:rsidR="006F6B20" w:rsidRPr="001D67AF" w:rsidRDefault="006F6B20" w:rsidP="00940325">
            <w:pPr>
              <w:pStyle w:val="TableText0"/>
              <w:keepNext w:val="0"/>
            </w:pPr>
            <w:r w:rsidRPr="001D67AF">
              <w:t>Appropriate</w:t>
            </w:r>
          </w:p>
        </w:tc>
      </w:tr>
      <w:tr w:rsidR="006F6B20" w:rsidRPr="001D67AF" w14:paraId="65393185" w14:textId="77777777" w:rsidTr="00FF5CBC">
        <w:tc>
          <w:tcPr>
            <w:tcW w:w="1172" w:type="pct"/>
            <w:vAlign w:val="center"/>
          </w:tcPr>
          <w:p w14:paraId="2E2F7A8D" w14:textId="77777777" w:rsidR="006F6B20" w:rsidRPr="001D67AF" w:rsidRDefault="006F6B20" w:rsidP="00940325">
            <w:pPr>
              <w:pStyle w:val="TableText0"/>
              <w:keepNext w:val="0"/>
            </w:pPr>
            <w:r w:rsidRPr="001D67AF">
              <w:t>Patient copayment</w:t>
            </w:r>
          </w:p>
        </w:tc>
        <w:tc>
          <w:tcPr>
            <w:tcW w:w="697" w:type="pct"/>
            <w:vAlign w:val="center"/>
          </w:tcPr>
          <w:p w14:paraId="6E7D3D06" w14:textId="77777777" w:rsidR="006F6B20" w:rsidRPr="001D67AF" w:rsidRDefault="006F6B20" w:rsidP="00940325">
            <w:pPr>
              <w:pStyle w:val="TableText0"/>
              <w:keepNext w:val="0"/>
            </w:pPr>
            <w:r w:rsidRPr="001D67AF">
              <w:t>$18.92 PBS; $4.83 RPBS</w:t>
            </w:r>
          </w:p>
        </w:tc>
        <w:tc>
          <w:tcPr>
            <w:tcW w:w="1725" w:type="pct"/>
            <w:vAlign w:val="center"/>
          </w:tcPr>
          <w:p w14:paraId="559B0C29" w14:textId="77777777" w:rsidR="006F6B20" w:rsidRPr="001D67AF" w:rsidRDefault="006F6B20" w:rsidP="00940325">
            <w:pPr>
              <w:pStyle w:val="TableText0"/>
              <w:keepNext w:val="0"/>
            </w:pPr>
            <w:r w:rsidRPr="001D67AF">
              <w:t>Based on eltrombopag use in 2022</w:t>
            </w:r>
          </w:p>
        </w:tc>
        <w:tc>
          <w:tcPr>
            <w:tcW w:w="1406" w:type="pct"/>
            <w:vAlign w:val="center"/>
          </w:tcPr>
          <w:p w14:paraId="382E59D6" w14:textId="77777777" w:rsidR="006F6B20" w:rsidRPr="001D67AF" w:rsidRDefault="006F6B20" w:rsidP="00940325">
            <w:pPr>
              <w:pStyle w:val="TableText0"/>
              <w:keepNext w:val="0"/>
            </w:pPr>
            <w:r w:rsidRPr="001D67AF">
              <w:t>Appropriate</w:t>
            </w:r>
          </w:p>
        </w:tc>
      </w:tr>
      <w:tr w:rsidR="006F6B20" w:rsidRPr="001D67AF" w14:paraId="6928010B" w14:textId="77777777" w:rsidTr="00FF5CBC">
        <w:tc>
          <w:tcPr>
            <w:tcW w:w="1172" w:type="pct"/>
            <w:vAlign w:val="center"/>
          </w:tcPr>
          <w:p w14:paraId="5E2D9FCB" w14:textId="77777777" w:rsidR="006F6B20" w:rsidRPr="001D67AF" w:rsidRDefault="006F6B20" w:rsidP="00940325">
            <w:pPr>
              <w:pStyle w:val="TableText0"/>
              <w:keepNext w:val="0"/>
            </w:pPr>
            <w:r w:rsidRPr="001D67AF">
              <w:t>MBS costs</w:t>
            </w:r>
          </w:p>
          <w:p w14:paraId="17581ED7" w14:textId="77777777" w:rsidR="006F6B20" w:rsidRPr="001D67AF" w:rsidRDefault="006F6B20" w:rsidP="00940325">
            <w:pPr>
              <w:pStyle w:val="TableText0"/>
              <w:keepNext w:val="0"/>
            </w:pPr>
            <w:r w:rsidRPr="001D67AF">
              <w:t>liver function test</w:t>
            </w:r>
          </w:p>
          <w:p w14:paraId="2AA3EDC2" w14:textId="77777777" w:rsidR="006F6B20" w:rsidRPr="001D67AF" w:rsidRDefault="006F6B20" w:rsidP="00940325">
            <w:pPr>
              <w:pStyle w:val="TableText0"/>
              <w:keepNext w:val="0"/>
            </w:pPr>
            <w:r w:rsidRPr="001D67AF">
              <w:t>infusion administration costs</w:t>
            </w:r>
          </w:p>
          <w:p w14:paraId="6DE4E22C" w14:textId="77777777" w:rsidR="006F6B20" w:rsidRPr="001D67AF" w:rsidRDefault="006F6B20" w:rsidP="00940325">
            <w:pPr>
              <w:pStyle w:val="TableText0"/>
              <w:keepNext w:val="0"/>
            </w:pPr>
          </w:p>
        </w:tc>
        <w:tc>
          <w:tcPr>
            <w:tcW w:w="697" w:type="pct"/>
            <w:vAlign w:val="center"/>
          </w:tcPr>
          <w:p w14:paraId="00C5A2C1" w14:textId="77777777" w:rsidR="006F6B20" w:rsidRPr="001D67AF" w:rsidRDefault="006F6B20" w:rsidP="00940325">
            <w:pPr>
              <w:pStyle w:val="TableText0"/>
              <w:keepNext w:val="0"/>
            </w:pPr>
            <w:r w:rsidRPr="001D67AF">
              <w:t>$17.70</w:t>
            </w:r>
          </w:p>
          <w:p w14:paraId="390187D3" w14:textId="77777777" w:rsidR="006F6B20" w:rsidRPr="001D67AF" w:rsidRDefault="006F6B20" w:rsidP="00940325">
            <w:pPr>
              <w:pStyle w:val="TableText0"/>
              <w:keepNext w:val="0"/>
            </w:pPr>
            <w:r w:rsidRPr="001D67AF">
              <w:t>$114.20</w:t>
            </w:r>
          </w:p>
        </w:tc>
        <w:tc>
          <w:tcPr>
            <w:tcW w:w="1725" w:type="pct"/>
            <w:vAlign w:val="center"/>
          </w:tcPr>
          <w:p w14:paraId="0AC48EF6" w14:textId="77777777" w:rsidR="006F6B20" w:rsidRPr="001D67AF" w:rsidRDefault="006F6B20" w:rsidP="00940325">
            <w:pPr>
              <w:pStyle w:val="TableText0"/>
              <w:keepNext w:val="0"/>
            </w:pPr>
            <w:r w:rsidRPr="001D67AF">
              <w:t>66512</w:t>
            </w:r>
          </w:p>
          <w:p w14:paraId="31AD2220" w14:textId="77777777" w:rsidR="006F6B20" w:rsidRPr="001D67AF" w:rsidRDefault="006F6B20" w:rsidP="00940325">
            <w:pPr>
              <w:pStyle w:val="TableText0"/>
              <w:keepNext w:val="0"/>
            </w:pPr>
            <w:r w:rsidRPr="001D67AF">
              <w:t>13950</w:t>
            </w:r>
          </w:p>
        </w:tc>
        <w:tc>
          <w:tcPr>
            <w:tcW w:w="1406" w:type="pct"/>
            <w:vAlign w:val="center"/>
          </w:tcPr>
          <w:p w14:paraId="5A02E649" w14:textId="77777777" w:rsidR="006F6B20" w:rsidRPr="001D67AF" w:rsidRDefault="006F6B20" w:rsidP="00940325">
            <w:pPr>
              <w:pStyle w:val="TableText0"/>
              <w:keepNext w:val="0"/>
            </w:pPr>
            <w:r w:rsidRPr="001D67AF">
              <w:t xml:space="preserve">Suggested frequency of testing – every 3 weeks – is likely to be an overestimate. </w:t>
            </w:r>
          </w:p>
          <w:p w14:paraId="3C49755B" w14:textId="77777777" w:rsidR="006F6B20" w:rsidRPr="001D67AF" w:rsidRDefault="006F6B20" w:rsidP="00940325">
            <w:pPr>
              <w:pStyle w:val="TableText0"/>
              <w:keepNext w:val="0"/>
            </w:pPr>
            <w:r w:rsidRPr="001D67AF">
              <w:t>Given uncertainty about dose equivalence vs romiplostim, cost offset may or may not be reasonable.</w:t>
            </w:r>
          </w:p>
        </w:tc>
      </w:tr>
    </w:tbl>
    <w:p w14:paraId="70D513DD" w14:textId="04BE59C9" w:rsidR="006F6B20" w:rsidRPr="001D67AF" w:rsidRDefault="006F6B20" w:rsidP="006F6B20">
      <w:pPr>
        <w:pStyle w:val="TableFooter"/>
      </w:pPr>
      <w:r w:rsidRPr="001D67AF">
        <w:t>Source: Table 4.1, p98; Table 4.12, pp106-107; Table 4.16 p109: Table 4.23. p114; Table 4.24, p 112 of the submission. * published prices.</w:t>
      </w:r>
    </w:p>
    <w:bookmarkEnd w:id="48"/>
    <w:p w14:paraId="1F814BFF" w14:textId="77777777" w:rsidR="002278BC" w:rsidRPr="00A12DC1" w:rsidRDefault="002278BC" w:rsidP="002278BC">
      <w:pPr>
        <w:spacing w:before="120"/>
        <w:rPr>
          <w:rFonts w:ascii="Arial Narrow" w:hAnsi="Arial Narrow"/>
          <w:i/>
          <w:sz w:val="18"/>
          <w:szCs w:val="18"/>
        </w:rPr>
      </w:pPr>
      <w:r w:rsidRPr="00A12DC1">
        <w:rPr>
          <w:rFonts w:ascii="Arial Narrow" w:hAnsi="Arial Narrow"/>
          <w:i/>
          <w:sz w:val="18"/>
          <w:szCs w:val="18"/>
        </w:rPr>
        <w:t xml:space="preserve">The redacted values correspond to the following ranges: </w:t>
      </w:r>
    </w:p>
    <w:p w14:paraId="3E4D4AE8" w14:textId="77777777" w:rsidR="002278BC" w:rsidRPr="00A12DC1" w:rsidRDefault="002278BC" w:rsidP="002278BC">
      <w:pPr>
        <w:rPr>
          <w:rFonts w:ascii="Arial Narrow" w:hAnsi="Arial Narrow"/>
          <w:i/>
          <w:sz w:val="18"/>
          <w:szCs w:val="18"/>
        </w:rPr>
      </w:pPr>
      <w:r w:rsidRPr="00A12DC1">
        <w:rPr>
          <w:rFonts w:ascii="Arial Narrow" w:hAnsi="Arial Narrow"/>
          <w:i/>
          <w:sz w:val="18"/>
          <w:szCs w:val="18"/>
          <w:vertAlign w:val="superscript"/>
        </w:rPr>
        <w:t>1</w:t>
      </w:r>
      <w:r w:rsidRPr="00A12DC1">
        <w:rPr>
          <w:rFonts w:ascii="Arial Narrow" w:hAnsi="Arial Narrow"/>
          <w:i/>
          <w:sz w:val="18"/>
          <w:szCs w:val="18"/>
        </w:rPr>
        <w:t xml:space="preserve"> 500 to &lt; 5,000</w:t>
      </w:r>
    </w:p>
    <w:p w14:paraId="363F74E2" w14:textId="77777777" w:rsidR="002278BC" w:rsidRPr="00A12DC1" w:rsidRDefault="002278BC" w:rsidP="002278BC">
      <w:pPr>
        <w:rPr>
          <w:rFonts w:ascii="Arial Narrow" w:hAnsi="Arial Narrow"/>
          <w:i/>
          <w:sz w:val="18"/>
          <w:szCs w:val="18"/>
        </w:rPr>
      </w:pPr>
      <w:r w:rsidRPr="00A12DC1">
        <w:rPr>
          <w:rFonts w:ascii="Arial Narrow" w:hAnsi="Arial Narrow"/>
          <w:i/>
          <w:sz w:val="18"/>
          <w:szCs w:val="18"/>
          <w:vertAlign w:val="superscript"/>
        </w:rPr>
        <w:t>2</w:t>
      </w:r>
      <w:r w:rsidRPr="00A12DC1">
        <w:rPr>
          <w:rFonts w:ascii="Arial Narrow" w:hAnsi="Arial Narrow"/>
          <w:i/>
          <w:sz w:val="18"/>
          <w:szCs w:val="18"/>
        </w:rPr>
        <w:t xml:space="preserve"> 5,000 to &lt; 10,000</w:t>
      </w:r>
    </w:p>
    <w:p w14:paraId="3B73CA55" w14:textId="77777777" w:rsidR="002278BC" w:rsidRPr="00A12DC1" w:rsidRDefault="002278BC" w:rsidP="002278BC">
      <w:pPr>
        <w:rPr>
          <w:rFonts w:ascii="Arial Narrow" w:hAnsi="Arial Narrow"/>
          <w:i/>
          <w:sz w:val="18"/>
          <w:szCs w:val="18"/>
        </w:rPr>
      </w:pPr>
      <w:r w:rsidRPr="00A12DC1">
        <w:rPr>
          <w:rFonts w:ascii="Arial Narrow" w:hAnsi="Arial Narrow"/>
          <w:i/>
          <w:sz w:val="18"/>
          <w:szCs w:val="18"/>
          <w:vertAlign w:val="superscript"/>
        </w:rPr>
        <w:t>3</w:t>
      </w:r>
      <w:r w:rsidRPr="00A12DC1">
        <w:rPr>
          <w:rFonts w:ascii="Arial Narrow" w:hAnsi="Arial Narrow"/>
          <w:i/>
          <w:sz w:val="18"/>
          <w:szCs w:val="18"/>
        </w:rPr>
        <w:t xml:space="preserve"> 10,000 to &lt; 20,000</w:t>
      </w:r>
    </w:p>
    <w:p w14:paraId="220DA9D9" w14:textId="77777777" w:rsidR="007925DF" w:rsidRPr="000A6039" w:rsidRDefault="007925DF" w:rsidP="007925DF">
      <w:pPr>
        <w:rPr>
          <w:color w:val="3366FF"/>
        </w:rPr>
      </w:pPr>
    </w:p>
    <w:p w14:paraId="0C3E6164" w14:textId="7021A539" w:rsidR="006F6B20" w:rsidRPr="00CA51C6" w:rsidRDefault="00EB64AB" w:rsidP="006F6B20">
      <w:pPr>
        <w:pStyle w:val="3-BodyText"/>
        <w:rPr>
          <w:iCs/>
        </w:rPr>
      </w:pPr>
      <w:r>
        <w:rPr>
          <w:iCs/>
        </w:rPr>
        <w:t>T</w:t>
      </w:r>
      <w:r w:rsidR="006F6B20" w:rsidRPr="001D67AF">
        <w:rPr>
          <w:iCs/>
        </w:rPr>
        <w:t xml:space="preserve">he submission used a single pack (30 </w:t>
      </w:r>
      <w:r w:rsidR="00940325" w:rsidRPr="001D67AF">
        <w:rPr>
          <w:iCs/>
        </w:rPr>
        <w:t>tablets</w:t>
      </w:r>
      <w:r w:rsidR="006F6B20" w:rsidRPr="001D67AF">
        <w:rPr>
          <w:iCs/>
        </w:rPr>
        <w:t>) in its calculation of financial estimates, while the requested listing is for a maximum quantity of 2 packs.</w:t>
      </w:r>
      <w:r w:rsidR="00CE4C5D">
        <w:rPr>
          <w:iCs/>
        </w:rPr>
        <w:t xml:space="preserve"> </w:t>
      </w:r>
      <w:r w:rsidR="00CE4C5D" w:rsidRPr="00CA51C6">
        <w:rPr>
          <w:iCs/>
        </w:rPr>
        <w:t xml:space="preserve">The </w:t>
      </w:r>
      <w:r w:rsidR="004A58E8">
        <w:rPr>
          <w:iCs/>
        </w:rPr>
        <w:t xml:space="preserve">Pre-PBAC Response noted that in clinical practice, patients would either receive one or two tablets of avatrombopag per day, so the requested maximum quantity of 2 packs was reasonable for patients who require a </w:t>
      </w:r>
      <w:r w:rsidR="007F0AFE">
        <w:rPr>
          <w:iCs/>
        </w:rPr>
        <w:t>40 </w:t>
      </w:r>
      <w:r w:rsidR="004A58E8">
        <w:rPr>
          <w:iCs/>
        </w:rPr>
        <w:t>mg daily dose.</w:t>
      </w:r>
      <w:r w:rsidR="004360AD">
        <w:rPr>
          <w:iCs/>
        </w:rPr>
        <w:t xml:space="preserve"> The PBAC considered that it would be appropriate to limit the maximum quantity to 1 pack.</w:t>
      </w:r>
    </w:p>
    <w:p w14:paraId="5E6783F0" w14:textId="0C771ABB" w:rsidR="00C4303F" w:rsidRDefault="00EB64AB" w:rsidP="00C4303F">
      <w:pPr>
        <w:pStyle w:val="3-BodyText"/>
      </w:pPr>
      <w:r>
        <w:lastRenderedPageBreak/>
        <w:t xml:space="preserve">Minor corrections to update the dispensing fees, patient copayments, </w:t>
      </w:r>
      <w:r w:rsidR="00575EFA">
        <w:t xml:space="preserve">and </w:t>
      </w:r>
      <w:r>
        <w:t>the cost for MBS item 13950</w:t>
      </w:r>
      <w:r w:rsidR="00575EFA">
        <w:t xml:space="preserve"> were made</w:t>
      </w:r>
      <w:r>
        <w:t xml:space="preserve"> during the evaluation. </w:t>
      </w:r>
      <w:r w:rsidR="00C4303F" w:rsidRPr="001D67AF">
        <w:t>The corrected estimated</w:t>
      </w:r>
      <w:r w:rsidR="00C4303F" w:rsidRPr="00F54975">
        <w:t xml:space="preserve"> use and financial implications as presented in the submission are shown in</w:t>
      </w:r>
      <w:r w:rsidR="001C2498">
        <w:t xml:space="preserve"> </w:t>
      </w:r>
      <w:r w:rsidR="001C2498">
        <w:fldChar w:fldCharType="begin" w:fldLock="1"/>
      </w:r>
      <w:r w:rsidR="001C2498">
        <w:instrText xml:space="preserve"> REF _Ref112586752 \h </w:instrText>
      </w:r>
      <w:r w:rsidR="001C2498">
        <w:fldChar w:fldCharType="separate"/>
      </w:r>
      <w:r w:rsidR="0080246B" w:rsidRPr="001D67AF">
        <w:t xml:space="preserve">Table </w:t>
      </w:r>
      <w:r w:rsidR="0080246B">
        <w:rPr>
          <w:noProof/>
        </w:rPr>
        <w:t>13</w:t>
      </w:r>
      <w:r w:rsidR="001C2498">
        <w:fldChar w:fldCharType="end"/>
      </w:r>
      <w:r w:rsidR="00C4303F" w:rsidRPr="00F54975">
        <w:t>, based on the published price</w:t>
      </w:r>
      <w:r w:rsidR="00B824D9">
        <w:t>s</w:t>
      </w:r>
      <w:r w:rsidR="00C4303F" w:rsidRPr="00F54975">
        <w:t xml:space="preserve">. </w:t>
      </w:r>
    </w:p>
    <w:p w14:paraId="2243CD53" w14:textId="074D4DC8" w:rsidR="00C4303F" w:rsidRPr="001D67AF" w:rsidRDefault="00C4303F" w:rsidP="00F913DB">
      <w:pPr>
        <w:pStyle w:val="TableHeading"/>
        <w:keepLines/>
        <w:spacing w:after="0"/>
      </w:pPr>
      <w:bookmarkStart w:id="50" w:name="_Ref112586752"/>
      <w:r w:rsidRPr="001D67AF">
        <w:t xml:space="preserve">Table </w:t>
      </w:r>
      <w:fldSimple w:instr=" SEQ Table \* ARABIC " w:fldLock="1">
        <w:r w:rsidR="0080246B">
          <w:rPr>
            <w:noProof/>
          </w:rPr>
          <w:t>13</w:t>
        </w:r>
      </w:fldSimple>
      <w:bookmarkEnd w:id="50"/>
      <w:r w:rsidRPr="001D67AF">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2"/>
        <w:gridCol w:w="1102"/>
        <w:gridCol w:w="1102"/>
        <w:gridCol w:w="1102"/>
        <w:gridCol w:w="1102"/>
        <w:gridCol w:w="1102"/>
        <w:gridCol w:w="1105"/>
      </w:tblGrid>
      <w:tr w:rsidR="00C4303F" w:rsidRPr="001D67AF" w14:paraId="6F83714E" w14:textId="77777777" w:rsidTr="007F0AFE">
        <w:trPr>
          <w:tblHeader/>
        </w:trPr>
        <w:tc>
          <w:tcPr>
            <w:tcW w:w="1332" w:type="pct"/>
            <w:shd w:val="clear" w:color="auto" w:fill="auto"/>
            <w:vAlign w:val="center"/>
          </w:tcPr>
          <w:p w14:paraId="1E28A5B2" w14:textId="77777777" w:rsidR="00C4303F" w:rsidRPr="001D67AF" w:rsidRDefault="00C4303F" w:rsidP="00522A82">
            <w:pPr>
              <w:pStyle w:val="TableText0"/>
              <w:keepLines/>
            </w:pPr>
          </w:p>
        </w:tc>
        <w:tc>
          <w:tcPr>
            <w:tcW w:w="611" w:type="pct"/>
            <w:shd w:val="clear" w:color="auto" w:fill="auto"/>
            <w:vAlign w:val="center"/>
          </w:tcPr>
          <w:p w14:paraId="18696E84" w14:textId="77777777" w:rsidR="00C4303F" w:rsidRPr="001D67AF" w:rsidRDefault="00C4303F" w:rsidP="007F0AFE">
            <w:pPr>
              <w:pStyle w:val="TableText0"/>
              <w:keepLines/>
              <w:jc w:val="center"/>
              <w:rPr>
                <w:b/>
                <w:bCs w:val="0"/>
              </w:rPr>
            </w:pPr>
            <w:r w:rsidRPr="001D67AF">
              <w:rPr>
                <w:b/>
                <w:bCs w:val="0"/>
              </w:rPr>
              <w:t>Year 1</w:t>
            </w:r>
          </w:p>
        </w:tc>
        <w:tc>
          <w:tcPr>
            <w:tcW w:w="611" w:type="pct"/>
            <w:shd w:val="clear" w:color="auto" w:fill="auto"/>
            <w:vAlign w:val="center"/>
          </w:tcPr>
          <w:p w14:paraId="1FC1710E" w14:textId="77777777" w:rsidR="00C4303F" w:rsidRPr="001D67AF" w:rsidRDefault="00C4303F" w:rsidP="007F0AFE">
            <w:pPr>
              <w:pStyle w:val="TableText0"/>
              <w:keepLines/>
              <w:jc w:val="center"/>
              <w:rPr>
                <w:b/>
                <w:bCs w:val="0"/>
              </w:rPr>
            </w:pPr>
            <w:r w:rsidRPr="001D67AF">
              <w:rPr>
                <w:b/>
                <w:bCs w:val="0"/>
              </w:rPr>
              <w:t>Year 2</w:t>
            </w:r>
          </w:p>
        </w:tc>
        <w:tc>
          <w:tcPr>
            <w:tcW w:w="611" w:type="pct"/>
            <w:shd w:val="clear" w:color="auto" w:fill="auto"/>
            <w:vAlign w:val="center"/>
          </w:tcPr>
          <w:p w14:paraId="5B1AFB47" w14:textId="77777777" w:rsidR="00C4303F" w:rsidRPr="001D67AF" w:rsidRDefault="00C4303F" w:rsidP="007F0AFE">
            <w:pPr>
              <w:pStyle w:val="TableText0"/>
              <w:keepLines/>
              <w:jc w:val="center"/>
              <w:rPr>
                <w:b/>
                <w:bCs w:val="0"/>
              </w:rPr>
            </w:pPr>
            <w:r w:rsidRPr="001D67AF">
              <w:rPr>
                <w:b/>
                <w:bCs w:val="0"/>
              </w:rPr>
              <w:t>Year 3</w:t>
            </w:r>
          </w:p>
        </w:tc>
        <w:tc>
          <w:tcPr>
            <w:tcW w:w="611" w:type="pct"/>
            <w:shd w:val="clear" w:color="auto" w:fill="auto"/>
            <w:vAlign w:val="center"/>
          </w:tcPr>
          <w:p w14:paraId="3526C0CA" w14:textId="77777777" w:rsidR="00C4303F" w:rsidRPr="001D67AF" w:rsidRDefault="00C4303F" w:rsidP="007F0AFE">
            <w:pPr>
              <w:pStyle w:val="TableText0"/>
              <w:keepLines/>
              <w:jc w:val="center"/>
              <w:rPr>
                <w:b/>
                <w:bCs w:val="0"/>
              </w:rPr>
            </w:pPr>
            <w:r w:rsidRPr="001D67AF">
              <w:rPr>
                <w:b/>
                <w:bCs w:val="0"/>
              </w:rPr>
              <w:t>Year 4</w:t>
            </w:r>
          </w:p>
        </w:tc>
        <w:tc>
          <w:tcPr>
            <w:tcW w:w="611" w:type="pct"/>
            <w:shd w:val="clear" w:color="auto" w:fill="auto"/>
            <w:vAlign w:val="center"/>
          </w:tcPr>
          <w:p w14:paraId="2ABED1BD" w14:textId="77777777" w:rsidR="00C4303F" w:rsidRPr="001D67AF" w:rsidRDefault="00C4303F" w:rsidP="007F0AFE">
            <w:pPr>
              <w:pStyle w:val="TableText0"/>
              <w:keepLines/>
              <w:jc w:val="center"/>
              <w:rPr>
                <w:b/>
                <w:bCs w:val="0"/>
              </w:rPr>
            </w:pPr>
            <w:r w:rsidRPr="001D67AF">
              <w:rPr>
                <w:b/>
                <w:bCs w:val="0"/>
              </w:rPr>
              <w:t>Year 5</w:t>
            </w:r>
          </w:p>
        </w:tc>
        <w:tc>
          <w:tcPr>
            <w:tcW w:w="612" w:type="pct"/>
            <w:vAlign w:val="center"/>
          </w:tcPr>
          <w:p w14:paraId="7580F6A8" w14:textId="77777777" w:rsidR="00C4303F" w:rsidRPr="001D67AF" w:rsidRDefault="00C4303F" w:rsidP="007F0AFE">
            <w:pPr>
              <w:pStyle w:val="TableText0"/>
              <w:keepLines/>
              <w:jc w:val="center"/>
              <w:rPr>
                <w:b/>
                <w:bCs w:val="0"/>
              </w:rPr>
            </w:pPr>
            <w:r w:rsidRPr="001D67AF">
              <w:rPr>
                <w:b/>
                <w:bCs w:val="0"/>
              </w:rPr>
              <w:t>Year 6</w:t>
            </w:r>
          </w:p>
        </w:tc>
      </w:tr>
      <w:tr w:rsidR="00C4303F" w:rsidRPr="001D67AF" w14:paraId="0483ECC3" w14:textId="77777777" w:rsidTr="003529F2">
        <w:tc>
          <w:tcPr>
            <w:tcW w:w="5000" w:type="pct"/>
            <w:gridSpan w:val="7"/>
            <w:shd w:val="clear" w:color="auto" w:fill="auto"/>
            <w:vAlign w:val="center"/>
          </w:tcPr>
          <w:p w14:paraId="209EBB4B" w14:textId="77777777" w:rsidR="00C4303F" w:rsidRPr="003529F2" w:rsidRDefault="00C4303F" w:rsidP="00522A82">
            <w:pPr>
              <w:pStyle w:val="TableText0"/>
              <w:keepLines/>
              <w:rPr>
                <w:b/>
                <w:bCs w:val="0"/>
                <w:color w:val="000000"/>
              </w:rPr>
            </w:pPr>
            <w:r w:rsidRPr="003529F2">
              <w:rPr>
                <w:b/>
                <w:bCs w:val="0"/>
                <w:color w:val="000000"/>
              </w:rPr>
              <w:t>Estimated extent of use</w:t>
            </w:r>
          </w:p>
        </w:tc>
      </w:tr>
      <w:tr w:rsidR="00C4303F" w:rsidRPr="001D67AF" w14:paraId="4733C098" w14:textId="77777777" w:rsidTr="007F0AFE">
        <w:tc>
          <w:tcPr>
            <w:tcW w:w="1332" w:type="pct"/>
            <w:shd w:val="clear" w:color="auto" w:fill="auto"/>
            <w:vAlign w:val="center"/>
          </w:tcPr>
          <w:p w14:paraId="541EB760" w14:textId="77777777" w:rsidR="00C4303F" w:rsidRPr="001D67AF" w:rsidRDefault="00C4303F" w:rsidP="00522A82">
            <w:pPr>
              <w:pStyle w:val="TableText0"/>
              <w:keepLines/>
              <w:rPr>
                <w:rFonts w:ascii="Times" w:hAnsi="Times"/>
              </w:rPr>
            </w:pPr>
            <w:r w:rsidRPr="001D67AF">
              <w:t>Number of scripts dispensed</w:t>
            </w:r>
            <w:r w:rsidRPr="001D67AF">
              <w:rPr>
                <w:vertAlign w:val="superscript"/>
              </w:rPr>
              <w:t>a</w:t>
            </w:r>
          </w:p>
        </w:tc>
        <w:tc>
          <w:tcPr>
            <w:tcW w:w="611" w:type="pct"/>
            <w:shd w:val="clear" w:color="auto" w:fill="auto"/>
            <w:vAlign w:val="center"/>
          </w:tcPr>
          <w:p w14:paraId="396DC31B" w14:textId="498AE4DB" w:rsidR="00C4303F" w:rsidRPr="00A12DC1" w:rsidRDefault="00CA5985" w:rsidP="007F0AFE">
            <w:pPr>
              <w:pStyle w:val="TableText0"/>
              <w:keepLines/>
              <w:jc w:val="center"/>
              <w:rPr>
                <w:color w:val="000000"/>
                <w:highlight w:val="darkGray"/>
                <w:vertAlign w:val="superscript"/>
              </w:rPr>
            </w:pPr>
            <w:r w:rsidRPr="00CA5985">
              <w:rPr>
                <w:rFonts w:hint="eastAsia"/>
                <w:color w:val="000000"/>
                <w:w w:val="15"/>
                <w:shd w:val="solid" w:color="000000" w:fill="000000"/>
                <w:fitText w:val="60" w:id="-1301117438"/>
                <w14:textFill>
                  <w14:solidFill>
                    <w14:srgbClr w14:val="000000">
                      <w14:alpha w14:val="100000"/>
                    </w14:srgbClr>
                  </w14:solidFill>
                </w14:textFill>
              </w:rPr>
              <w:t xml:space="preserve">　</w:t>
            </w:r>
            <w:r w:rsidRPr="00CA5985">
              <w:rPr>
                <w:rFonts w:hint="eastAsia"/>
                <w:color w:val="000000"/>
                <w:w w:val="15"/>
                <w:shd w:val="solid" w:color="000000" w:fill="000000"/>
                <w:fitText w:val="60" w:id="-1301117438"/>
                <w14:textFill>
                  <w14:solidFill>
                    <w14:srgbClr w14:val="000000">
                      <w14:alpha w14:val="100000"/>
                    </w14:srgbClr>
                  </w14:solidFill>
                </w14:textFill>
              </w:rPr>
              <w:t xml:space="preserve"> </w:t>
            </w:r>
            <w:r w:rsidRPr="00CA5985">
              <w:rPr>
                <w:color w:val="000000"/>
                <w:w w:val="15"/>
                <w:shd w:val="solid" w:color="000000" w:fill="000000"/>
                <w:fitText w:val="60" w:id="-1301117438"/>
                <w14:textFill>
                  <w14:solidFill>
                    <w14:srgbClr w14:val="000000">
                      <w14:alpha w14:val="100000"/>
                    </w14:srgbClr>
                  </w14:solidFill>
                </w14:textFill>
              </w:rPr>
              <w:t xml:space="preserve"> </w:t>
            </w:r>
            <w:r w:rsidRPr="00CA5985">
              <w:rPr>
                <w:rFonts w:hint="eastAsia"/>
                <w:color w:val="000000"/>
                <w:w w:val="15"/>
                <w:shd w:val="solid" w:color="000000" w:fill="000000"/>
                <w:fitText w:val="60" w:id="-1301117438"/>
                <w14:textFill>
                  <w14:solidFill>
                    <w14:srgbClr w14:val="000000">
                      <w14:alpha w14:val="100000"/>
                    </w14:srgbClr>
                  </w14:solidFill>
                </w14:textFill>
              </w:rPr>
              <w:t xml:space="preserve"> </w:t>
            </w:r>
            <w:r w:rsidRPr="00CA5985">
              <w:rPr>
                <w:color w:val="000000"/>
                <w:w w:val="15"/>
                <w:shd w:val="solid" w:color="000000" w:fill="000000"/>
                <w:fitText w:val="60" w:id="-1301117438"/>
                <w14:textFill>
                  <w14:solidFill>
                    <w14:srgbClr w14:val="000000">
                      <w14:alpha w14:val="100000"/>
                    </w14:srgbClr>
                  </w14:solidFill>
                </w14:textFill>
              </w:rPr>
              <w:t xml:space="preserve"> |</w:t>
            </w:r>
            <w:r w:rsidRPr="00CA5985">
              <w:rPr>
                <w:rFonts w:hint="eastAsia"/>
                <w:color w:val="000000"/>
                <w:spacing w:val="-75"/>
                <w:w w:val="15"/>
                <w:shd w:val="solid" w:color="000000" w:fill="000000"/>
                <w:fitText w:val="60" w:id="-1301117438"/>
                <w14:textFill>
                  <w14:solidFill>
                    <w14:srgbClr w14:val="000000">
                      <w14:alpha w14:val="100000"/>
                    </w14:srgbClr>
                  </w14:solidFill>
                </w14:textFill>
              </w:rPr>
              <w:t xml:space="preserve">　</w:t>
            </w:r>
            <w:r w:rsidR="007F0AFE" w:rsidRPr="00A12DC1">
              <w:rPr>
                <w:vertAlign w:val="superscript"/>
              </w:rPr>
              <w:t>1</w:t>
            </w:r>
          </w:p>
        </w:tc>
        <w:tc>
          <w:tcPr>
            <w:tcW w:w="611" w:type="pct"/>
            <w:shd w:val="clear" w:color="auto" w:fill="auto"/>
            <w:vAlign w:val="center"/>
          </w:tcPr>
          <w:p w14:paraId="42E2A57F" w14:textId="33B563D6" w:rsidR="00C4303F" w:rsidRPr="001D67AF" w:rsidRDefault="00CA5985" w:rsidP="007F0AFE">
            <w:pPr>
              <w:pStyle w:val="TableText0"/>
              <w:keepLines/>
              <w:jc w:val="center"/>
              <w:rPr>
                <w:color w:val="000000"/>
              </w:rPr>
            </w:pPr>
            <w:r w:rsidRPr="00CA5985">
              <w:rPr>
                <w:rFonts w:hint="eastAsia"/>
                <w:color w:val="000000"/>
                <w:w w:val="15"/>
                <w:shd w:val="solid" w:color="000000" w:fill="000000"/>
                <w:fitText w:val="60" w:id="-1301117437"/>
                <w14:textFill>
                  <w14:solidFill>
                    <w14:srgbClr w14:val="000000">
                      <w14:alpha w14:val="100000"/>
                    </w14:srgbClr>
                  </w14:solidFill>
                </w14:textFill>
              </w:rPr>
              <w:t xml:space="preserve">　</w:t>
            </w:r>
            <w:r w:rsidRPr="00CA5985">
              <w:rPr>
                <w:color w:val="000000"/>
                <w:w w:val="15"/>
                <w:shd w:val="solid" w:color="000000" w:fill="000000"/>
                <w:fitText w:val="60" w:id="-1301117437"/>
                <w14:textFill>
                  <w14:solidFill>
                    <w14:srgbClr w14:val="000000">
                      <w14:alpha w14:val="100000"/>
                    </w14:srgbClr>
                  </w14:solidFill>
                </w14:textFill>
              </w:rPr>
              <w:t>|</w:t>
            </w:r>
            <w:r w:rsidRPr="00CA5985">
              <w:rPr>
                <w:rFonts w:hint="eastAsia"/>
                <w:color w:val="000000"/>
                <w:spacing w:val="-15"/>
                <w:w w:val="15"/>
                <w:shd w:val="solid" w:color="000000" w:fill="000000"/>
                <w:fitText w:val="60" w:id="-1301117437"/>
                <w14:textFill>
                  <w14:solidFill>
                    <w14:srgbClr w14:val="000000">
                      <w14:alpha w14:val="100000"/>
                    </w14:srgbClr>
                  </w14:solidFill>
                </w14:textFill>
              </w:rPr>
              <w:t xml:space="preserve">　</w:t>
            </w:r>
            <w:r w:rsidR="007F0AFE" w:rsidRPr="00A12DC1">
              <w:rPr>
                <w:vertAlign w:val="superscript"/>
              </w:rPr>
              <w:t>1</w:t>
            </w:r>
          </w:p>
        </w:tc>
        <w:tc>
          <w:tcPr>
            <w:tcW w:w="611" w:type="pct"/>
            <w:shd w:val="clear" w:color="auto" w:fill="auto"/>
            <w:vAlign w:val="center"/>
          </w:tcPr>
          <w:p w14:paraId="0BF3C5F1" w14:textId="218E2FF3" w:rsidR="00C4303F" w:rsidRPr="00A12DC1" w:rsidRDefault="00CA5985" w:rsidP="007F0AFE">
            <w:pPr>
              <w:pStyle w:val="TableText0"/>
              <w:keepLines/>
              <w:jc w:val="center"/>
              <w:rPr>
                <w:color w:val="000000"/>
                <w:highlight w:val="darkGray"/>
              </w:rPr>
            </w:pPr>
            <w:r w:rsidRPr="00CA5985">
              <w:rPr>
                <w:rFonts w:hint="eastAsia"/>
                <w:color w:val="000000"/>
                <w:w w:val="15"/>
                <w:shd w:val="solid" w:color="000000" w:fill="000000"/>
                <w:fitText w:val="60" w:id="-1301117436"/>
                <w14:textFill>
                  <w14:solidFill>
                    <w14:srgbClr w14:val="000000">
                      <w14:alpha w14:val="100000"/>
                    </w14:srgbClr>
                  </w14:solidFill>
                </w14:textFill>
              </w:rPr>
              <w:t xml:space="preserve">　</w:t>
            </w:r>
            <w:r w:rsidRPr="00CA5985">
              <w:rPr>
                <w:color w:val="000000"/>
                <w:w w:val="15"/>
                <w:shd w:val="solid" w:color="000000" w:fill="000000"/>
                <w:fitText w:val="60" w:id="-1301117436"/>
                <w14:textFill>
                  <w14:solidFill>
                    <w14:srgbClr w14:val="000000">
                      <w14:alpha w14:val="100000"/>
                    </w14:srgbClr>
                  </w14:solidFill>
                </w14:textFill>
              </w:rPr>
              <w:t>|</w:t>
            </w:r>
            <w:r w:rsidRPr="00CA5985">
              <w:rPr>
                <w:rFonts w:hint="eastAsia"/>
                <w:color w:val="000000"/>
                <w:spacing w:val="-15"/>
                <w:w w:val="15"/>
                <w:shd w:val="solid" w:color="000000" w:fill="000000"/>
                <w:fitText w:val="60" w:id="-1301117436"/>
                <w14:textFill>
                  <w14:solidFill>
                    <w14:srgbClr w14:val="000000">
                      <w14:alpha w14:val="100000"/>
                    </w14:srgbClr>
                  </w14:solidFill>
                </w14:textFill>
              </w:rPr>
              <w:t xml:space="preserve">　</w:t>
            </w:r>
            <w:r w:rsidR="007F0AFE" w:rsidRPr="00A12DC1">
              <w:rPr>
                <w:vertAlign w:val="superscript"/>
              </w:rPr>
              <w:t>2</w:t>
            </w:r>
          </w:p>
        </w:tc>
        <w:tc>
          <w:tcPr>
            <w:tcW w:w="611" w:type="pct"/>
            <w:shd w:val="clear" w:color="auto" w:fill="auto"/>
            <w:vAlign w:val="center"/>
          </w:tcPr>
          <w:p w14:paraId="21FD68FF" w14:textId="69387BFD" w:rsidR="00C4303F" w:rsidRPr="001D67AF" w:rsidRDefault="00CA5985" w:rsidP="007F0AFE">
            <w:pPr>
              <w:pStyle w:val="TableText0"/>
              <w:keepLines/>
              <w:jc w:val="center"/>
              <w:rPr>
                <w:color w:val="000000"/>
              </w:rPr>
            </w:pPr>
            <w:r w:rsidRPr="00CA5985">
              <w:rPr>
                <w:rFonts w:hint="eastAsia"/>
                <w:color w:val="000000"/>
                <w:w w:val="15"/>
                <w:shd w:val="solid" w:color="000000" w:fill="000000"/>
                <w:fitText w:val="60" w:id="-1301117435"/>
                <w14:textFill>
                  <w14:solidFill>
                    <w14:srgbClr w14:val="000000">
                      <w14:alpha w14:val="100000"/>
                    </w14:srgbClr>
                  </w14:solidFill>
                </w14:textFill>
              </w:rPr>
              <w:t xml:space="preserve">　</w:t>
            </w:r>
            <w:r w:rsidRPr="00CA5985">
              <w:rPr>
                <w:color w:val="000000"/>
                <w:w w:val="15"/>
                <w:shd w:val="solid" w:color="000000" w:fill="000000"/>
                <w:fitText w:val="60" w:id="-1301117435"/>
                <w14:textFill>
                  <w14:solidFill>
                    <w14:srgbClr w14:val="000000">
                      <w14:alpha w14:val="100000"/>
                    </w14:srgbClr>
                  </w14:solidFill>
                </w14:textFill>
              </w:rPr>
              <w:t>|</w:t>
            </w:r>
            <w:r w:rsidRPr="00CA5985">
              <w:rPr>
                <w:rFonts w:hint="eastAsia"/>
                <w:color w:val="000000"/>
                <w:spacing w:val="-15"/>
                <w:w w:val="15"/>
                <w:shd w:val="solid" w:color="000000" w:fill="000000"/>
                <w:fitText w:val="60" w:id="-1301117435"/>
                <w14:textFill>
                  <w14:solidFill>
                    <w14:srgbClr w14:val="000000">
                      <w14:alpha w14:val="100000"/>
                    </w14:srgbClr>
                  </w14:solidFill>
                </w14:textFill>
              </w:rPr>
              <w:t xml:space="preserve">　</w:t>
            </w:r>
            <w:r w:rsidR="007F0AFE" w:rsidRPr="00A12DC1">
              <w:rPr>
                <w:vertAlign w:val="superscript"/>
              </w:rPr>
              <w:t>2</w:t>
            </w:r>
          </w:p>
        </w:tc>
        <w:tc>
          <w:tcPr>
            <w:tcW w:w="611" w:type="pct"/>
            <w:shd w:val="clear" w:color="auto" w:fill="auto"/>
            <w:vAlign w:val="center"/>
          </w:tcPr>
          <w:p w14:paraId="11B1CC31" w14:textId="441EB5EF" w:rsidR="00C4303F" w:rsidRPr="001D67AF" w:rsidRDefault="00CA5985" w:rsidP="007F0AFE">
            <w:pPr>
              <w:pStyle w:val="TableText0"/>
              <w:keepLines/>
              <w:jc w:val="center"/>
              <w:rPr>
                <w:color w:val="000000"/>
              </w:rPr>
            </w:pPr>
            <w:r w:rsidRPr="00CA5985">
              <w:rPr>
                <w:rFonts w:hint="eastAsia"/>
                <w:color w:val="000000"/>
                <w:w w:val="15"/>
                <w:shd w:val="solid" w:color="000000" w:fill="000000"/>
                <w:fitText w:val="60" w:id="-1301117434"/>
                <w14:textFill>
                  <w14:solidFill>
                    <w14:srgbClr w14:val="000000">
                      <w14:alpha w14:val="100000"/>
                    </w14:srgbClr>
                  </w14:solidFill>
                </w14:textFill>
              </w:rPr>
              <w:t xml:space="preserve">　</w:t>
            </w:r>
            <w:r w:rsidRPr="00CA5985">
              <w:rPr>
                <w:color w:val="000000"/>
                <w:w w:val="15"/>
                <w:shd w:val="solid" w:color="000000" w:fill="000000"/>
                <w:fitText w:val="60" w:id="-1301117434"/>
                <w14:textFill>
                  <w14:solidFill>
                    <w14:srgbClr w14:val="000000">
                      <w14:alpha w14:val="100000"/>
                    </w14:srgbClr>
                  </w14:solidFill>
                </w14:textFill>
              </w:rPr>
              <w:t>|</w:t>
            </w:r>
            <w:r w:rsidRPr="00CA5985">
              <w:rPr>
                <w:rFonts w:hint="eastAsia"/>
                <w:color w:val="000000"/>
                <w:spacing w:val="-15"/>
                <w:w w:val="15"/>
                <w:shd w:val="solid" w:color="000000" w:fill="000000"/>
                <w:fitText w:val="60" w:id="-1301117434"/>
                <w14:textFill>
                  <w14:solidFill>
                    <w14:srgbClr w14:val="000000">
                      <w14:alpha w14:val="100000"/>
                    </w14:srgbClr>
                  </w14:solidFill>
                </w14:textFill>
              </w:rPr>
              <w:t xml:space="preserve">　</w:t>
            </w:r>
            <w:r w:rsidR="007F0AFE">
              <w:rPr>
                <w:vertAlign w:val="superscript"/>
              </w:rPr>
              <w:t>2</w:t>
            </w:r>
          </w:p>
        </w:tc>
        <w:tc>
          <w:tcPr>
            <w:tcW w:w="612" w:type="pct"/>
            <w:vAlign w:val="center"/>
          </w:tcPr>
          <w:p w14:paraId="6CF32733" w14:textId="5C12E5E2" w:rsidR="00C4303F" w:rsidRPr="001D67AF" w:rsidRDefault="00CA5985" w:rsidP="007F0AFE">
            <w:pPr>
              <w:pStyle w:val="TableText0"/>
              <w:keepLines/>
              <w:jc w:val="center"/>
              <w:rPr>
                <w:color w:val="000000"/>
              </w:rPr>
            </w:pPr>
            <w:r w:rsidRPr="00CA5985">
              <w:rPr>
                <w:rFonts w:hint="eastAsia"/>
                <w:color w:val="000000"/>
                <w:w w:val="15"/>
                <w:shd w:val="solid" w:color="000000" w:fill="000000"/>
                <w:fitText w:val="40" w:id="-1301117433"/>
                <w14:textFill>
                  <w14:solidFill>
                    <w14:srgbClr w14:val="000000">
                      <w14:alpha w14:val="100000"/>
                    </w14:srgbClr>
                  </w14:solidFill>
                </w14:textFill>
              </w:rPr>
              <w:t xml:space="preserve">　</w:t>
            </w:r>
            <w:r w:rsidRPr="00CA5985">
              <w:rPr>
                <w:color w:val="000000"/>
                <w:w w:val="15"/>
                <w:shd w:val="solid" w:color="000000" w:fill="000000"/>
                <w:fitText w:val="40" w:id="-1301117433"/>
                <w14:textFill>
                  <w14:solidFill>
                    <w14:srgbClr w14:val="000000">
                      <w14:alpha w14:val="100000"/>
                    </w14:srgbClr>
                  </w14:solidFill>
                </w14:textFill>
              </w:rPr>
              <w:t>|</w:t>
            </w:r>
            <w:r w:rsidRPr="00CA5985">
              <w:rPr>
                <w:rFonts w:hint="eastAsia"/>
                <w:color w:val="000000"/>
                <w:spacing w:val="-45"/>
                <w:w w:val="15"/>
                <w:shd w:val="solid" w:color="000000" w:fill="000000"/>
                <w:fitText w:val="40" w:id="-1301117433"/>
                <w14:textFill>
                  <w14:solidFill>
                    <w14:srgbClr w14:val="000000">
                      <w14:alpha w14:val="100000"/>
                    </w14:srgbClr>
                  </w14:solidFill>
                </w14:textFill>
              </w:rPr>
              <w:t xml:space="preserve">　</w:t>
            </w:r>
            <w:r w:rsidR="007F0AFE">
              <w:rPr>
                <w:vertAlign w:val="superscript"/>
              </w:rPr>
              <w:t>3</w:t>
            </w:r>
          </w:p>
        </w:tc>
      </w:tr>
      <w:tr w:rsidR="00C4303F" w:rsidRPr="001D67AF" w14:paraId="1DD807A8" w14:textId="77777777" w:rsidTr="003529F2">
        <w:tc>
          <w:tcPr>
            <w:tcW w:w="5000" w:type="pct"/>
            <w:gridSpan w:val="7"/>
            <w:shd w:val="clear" w:color="auto" w:fill="auto"/>
            <w:vAlign w:val="center"/>
          </w:tcPr>
          <w:p w14:paraId="277064CE" w14:textId="77777777" w:rsidR="00C4303F" w:rsidRPr="003529F2" w:rsidRDefault="00C4303F" w:rsidP="00522A82">
            <w:pPr>
              <w:pStyle w:val="TableText0"/>
              <w:keepLines/>
              <w:rPr>
                <w:b/>
                <w:bCs w:val="0"/>
              </w:rPr>
            </w:pPr>
            <w:r w:rsidRPr="003529F2">
              <w:rPr>
                <w:b/>
                <w:bCs w:val="0"/>
              </w:rPr>
              <w:t>Estimated financial implications for avatrombopag</w:t>
            </w:r>
            <w:r w:rsidRPr="003529F2">
              <w:rPr>
                <w:b/>
                <w:bCs w:val="0"/>
                <w:vertAlign w:val="superscript"/>
              </w:rPr>
              <w:t>b</w:t>
            </w:r>
          </w:p>
        </w:tc>
      </w:tr>
      <w:tr w:rsidR="00C4303F" w:rsidRPr="001D67AF" w14:paraId="787190C4" w14:textId="77777777" w:rsidTr="007F0AFE">
        <w:tc>
          <w:tcPr>
            <w:tcW w:w="1332" w:type="pct"/>
            <w:shd w:val="clear" w:color="auto" w:fill="auto"/>
            <w:vAlign w:val="center"/>
          </w:tcPr>
          <w:p w14:paraId="03AA8330" w14:textId="40890F5B" w:rsidR="00C4303F" w:rsidRPr="001D67AF" w:rsidRDefault="00C4303F" w:rsidP="00522A82">
            <w:pPr>
              <w:pStyle w:val="TableText0"/>
              <w:keepLines/>
              <w:rPr>
                <w:sz w:val="19"/>
                <w:szCs w:val="19"/>
              </w:rPr>
            </w:pPr>
            <w:r w:rsidRPr="001D67AF">
              <w:rPr>
                <w:sz w:val="19"/>
                <w:szCs w:val="19"/>
              </w:rPr>
              <w:t>Cost to PBS/RPBS less copayments, based on DPMQ</w:t>
            </w:r>
            <w:r w:rsidR="007F0AFE">
              <w:rPr>
                <w:sz w:val="19"/>
                <w:szCs w:val="19"/>
              </w:rPr>
              <w:t xml:space="preserve"> ($)</w:t>
            </w:r>
          </w:p>
        </w:tc>
        <w:tc>
          <w:tcPr>
            <w:tcW w:w="611" w:type="pct"/>
            <w:shd w:val="clear" w:color="auto" w:fill="auto"/>
            <w:vAlign w:val="center"/>
          </w:tcPr>
          <w:p w14:paraId="3F778308" w14:textId="0BDEC342" w:rsidR="00C4303F" w:rsidRPr="00A12DC1" w:rsidRDefault="00CA5985" w:rsidP="007F0AFE">
            <w:pPr>
              <w:pStyle w:val="TableText0"/>
              <w:keepLines/>
              <w:jc w:val="center"/>
              <w:rPr>
                <w:highlight w:val="darkGray"/>
                <w:vertAlign w:val="superscript"/>
              </w:rPr>
            </w:pPr>
            <w:r w:rsidRPr="00CA5985">
              <w:rPr>
                <w:rFonts w:cs="Arial" w:hint="eastAsia"/>
                <w:color w:val="000000"/>
                <w:w w:val="15"/>
                <w:szCs w:val="20"/>
                <w:shd w:val="solid" w:color="000000" w:fill="000000"/>
                <w:fitText w:val="60" w:id="-1301117432"/>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432"/>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432"/>
                <w14:textFill>
                  <w14:solidFill>
                    <w14:srgbClr w14:val="000000">
                      <w14:alpha w14:val="100000"/>
                    </w14:srgbClr>
                  </w14:solidFill>
                </w14:textFill>
              </w:rPr>
              <w:t xml:space="preserve">　</w:t>
            </w:r>
            <w:r w:rsidR="007F0AFE" w:rsidRPr="00A12DC1">
              <w:rPr>
                <w:rFonts w:cs="Arial"/>
                <w:color w:val="000000"/>
                <w:szCs w:val="20"/>
                <w:vertAlign w:val="superscript"/>
              </w:rPr>
              <w:t>4</w:t>
            </w:r>
          </w:p>
        </w:tc>
        <w:tc>
          <w:tcPr>
            <w:tcW w:w="611" w:type="pct"/>
            <w:shd w:val="clear" w:color="auto" w:fill="auto"/>
            <w:vAlign w:val="center"/>
          </w:tcPr>
          <w:p w14:paraId="66EAA564" w14:textId="3905005E" w:rsidR="00C4303F" w:rsidRPr="007F0AFE" w:rsidRDefault="00CA5985" w:rsidP="007F0AFE">
            <w:pPr>
              <w:pStyle w:val="TableText0"/>
              <w:keepLines/>
              <w:jc w:val="center"/>
              <w:rPr>
                <w:vertAlign w:val="superscript"/>
              </w:rPr>
            </w:pPr>
            <w:r w:rsidRPr="00CA5985">
              <w:rPr>
                <w:rFonts w:cs="Arial" w:hint="eastAsia"/>
                <w:color w:val="000000"/>
                <w:w w:val="15"/>
                <w:szCs w:val="20"/>
                <w:shd w:val="solid" w:color="000000" w:fill="000000"/>
                <w:fitText w:val="60" w:id="-1301117184"/>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84"/>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84"/>
                <w14:textFill>
                  <w14:solidFill>
                    <w14:srgbClr w14:val="000000">
                      <w14:alpha w14:val="100000"/>
                    </w14:srgbClr>
                  </w14:solidFill>
                </w14:textFill>
              </w:rPr>
              <w:t xml:space="preserve">　</w:t>
            </w:r>
            <w:r w:rsidR="007F0AFE">
              <w:rPr>
                <w:rFonts w:cs="Arial"/>
                <w:color w:val="000000"/>
                <w:szCs w:val="20"/>
                <w:vertAlign w:val="superscript"/>
              </w:rPr>
              <w:t>5</w:t>
            </w:r>
          </w:p>
        </w:tc>
        <w:tc>
          <w:tcPr>
            <w:tcW w:w="611" w:type="pct"/>
            <w:shd w:val="clear" w:color="auto" w:fill="auto"/>
            <w:vAlign w:val="center"/>
          </w:tcPr>
          <w:p w14:paraId="52D7E536" w14:textId="4208AB3C" w:rsidR="00C4303F" w:rsidRPr="00A12DC1" w:rsidRDefault="00CA5985" w:rsidP="007F0AFE">
            <w:pPr>
              <w:pStyle w:val="TableText0"/>
              <w:keepLines/>
              <w:jc w:val="center"/>
              <w:rPr>
                <w:highlight w:val="darkGray"/>
              </w:rPr>
            </w:pPr>
            <w:r w:rsidRPr="00CA5985">
              <w:rPr>
                <w:rFonts w:cs="Arial" w:hint="eastAsia"/>
                <w:color w:val="000000"/>
                <w:w w:val="15"/>
                <w:szCs w:val="20"/>
                <w:shd w:val="solid" w:color="000000" w:fill="000000"/>
                <w:fitText w:val="60" w:id="-1301117183"/>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83"/>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83"/>
                <w14:textFill>
                  <w14:solidFill>
                    <w14:srgbClr w14:val="000000">
                      <w14:alpha w14:val="100000"/>
                    </w14:srgbClr>
                  </w14:solidFill>
                </w14:textFill>
              </w:rPr>
              <w:t xml:space="preserve">　</w:t>
            </w:r>
            <w:r w:rsidR="007F0AFE" w:rsidRPr="00A12DC1">
              <w:rPr>
                <w:rFonts w:cs="Arial"/>
                <w:color w:val="000000"/>
                <w:szCs w:val="20"/>
                <w:vertAlign w:val="superscript"/>
              </w:rPr>
              <w:t>5</w:t>
            </w:r>
          </w:p>
        </w:tc>
        <w:tc>
          <w:tcPr>
            <w:tcW w:w="611" w:type="pct"/>
            <w:shd w:val="clear" w:color="auto" w:fill="auto"/>
            <w:vAlign w:val="center"/>
          </w:tcPr>
          <w:p w14:paraId="3F813A6F" w14:textId="7F8FAD9B" w:rsidR="00C4303F" w:rsidRPr="00A12DC1" w:rsidRDefault="00CA5985" w:rsidP="007F0AFE">
            <w:pPr>
              <w:pStyle w:val="TableText0"/>
              <w:keepLines/>
              <w:jc w:val="center"/>
              <w:rPr>
                <w:highlight w:val="darkGray"/>
              </w:rPr>
            </w:pPr>
            <w:r w:rsidRPr="00CA5985">
              <w:rPr>
                <w:rFonts w:cs="Arial" w:hint="eastAsia"/>
                <w:color w:val="000000"/>
                <w:w w:val="15"/>
                <w:szCs w:val="20"/>
                <w:shd w:val="solid" w:color="000000" w:fill="000000"/>
                <w:fitText w:val="60" w:id="-1301117182"/>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82"/>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82"/>
                <w14:textFill>
                  <w14:solidFill>
                    <w14:srgbClr w14:val="000000">
                      <w14:alpha w14:val="100000"/>
                    </w14:srgbClr>
                  </w14:solidFill>
                </w14:textFill>
              </w:rPr>
              <w:t xml:space="preserve">　</w:t>
            </w:r>
            <w:r w:rsidR="007F0AFE" w:rsidRPr="00A12DC1">
              <w:rPr>
                <w:rFonts w:cs="Arial"/>
                <w:color w:val="000000"/>
                <w:szCs w:val="20"/>
                <w:vertAlign w:val="superscript"/>
              </w:rPr>
              <w:t>6</w:t>
            </w:r>
          </w:p>
        </w:tc>
        <w:tc>
          <w:tcPr>
            <w:tcW w:w="611" w:type="pct"/>
            <w:shd w:val="clear" w:color="auto" w:fill="auto"/>
            <w:vAlign w:val="center"/>
          </w:tcPr>
          <w:p w14:paraId="5BAB8ACA" w14:textId="51C6A081" w:rsidR="00C4303F" w:rsidRPr="001D67AF" w:rsidRDefault="00CA5985" w:rsidP="007F0AFE">
            <w:pPr>
              <w:pStyle w:val="TableText0"/>
              <w:keepLines/>
              <w:jc w:val="center"/>
            </w:pPr>
            <w:r w:rsidRPr="00CA5985">
              <w:rPr>
                <w:rFonts w:cs="Arial" w:hint="eastAsia"/>
                <w:color w:val="000000"/>
                <w:w w:val="15"/>
                <w:szCs w:val="20"/>
                <w:shd w:val="solid" w:color="000000" w:fill="000000"/>
                <w:fitText w:val="60" w:id="-1301117181"/>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81"/>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81"/>
                <w14:textFill>
                  <w14:solidFill>
                    <w14:srgbClr w14:val="000000">
                      <w14:alpha w14:val="100000"/>
                    </w14:srgbClr>
                  </w14:solidFill>
                </w14:textFill>
              </w:rPr>
              <w:t xml:space="preserve">　</w:t>
            </w:r>
            <w:r w:rsidR="00A12DC1">
              <w:rPr>
                <w:rFonts w:cs="Arial"/>
                <w:color w:val="000000"/>
                <w:szCs w:val="20"/>
                <w:vertAlign w:val="superscript"/>
              </w:rPr>
              <w:t>6</w:t>
            </w:r>
          </w:p>
        </w:tc>
        <w:tc>
          <w:tcPr>
            <w:tcW w:w="612" w:type="pct"/>
            <w:vAlign w:val="center"/>
          </w:tcPr>
          <w:p w14:paraId="5EF858BF" w14:textId="3BF45569" w:rsidR="00C4303F" w:rsidRPr="001D67AF" w:rsidRDefault="00CA5985" w:rsidP="007F0AFE">
            <w:pPr>
              <w:pStyle w:val="TableText0"/>
              <w:keepLines/>
              <w:jc w:val="center"/>
            </w:pPr>
            <w:r w:rsidRPr="00CA5985">
              <w:rPr>
                <w:rFonts w:cs="Arial" w:hint="eastAsia"/>
                <w:color w:val="000000"/>
                <w:w w:val="15"/>
                <w:szCs w:val="20"/>
                <w:shd w:val="solid" w:color="000000" w:fill="000000"/>
                <w:fitText w:val="40" w:id="-1301117180"/>
                <w14:textFill>
                  <w14:solidFill>
                    <w14:srgbClr w14:val="000000">
                      <w14:alpha w14:val="100000"/>
                    </w14:srgbClr>
                  </w14:solidFill>
                </w14:textFill>
              </w:rPr>
              <w:t xml:space="preserve">　</w:t>
            </w:r>
            <w:r w:rsidRPr="00CA5985">
              <w:rPr>
                <w:rFonts w:cs="Arial"/>
                <w:color w:val="000000"/>
                <w:w w:val="15"/>
                <w:szCs w:val="20"/>
                <w:shd w:val="solid" w:color="000000" w:fill="000000"/>
                <w:fitText w:val="40" w:id="-1301117180"/>
                <w14:textFill>
                  <w14:solidFill>
                    <w14:srgbClr w14:val="000000">
                      <w14:alpha w14:val="100000"/>
                    </w14:srgbClr>
                  </w14:solidFill>
                </w14:textFill>
              </w:rPr>
              <w:t>|</w:t>
            </w:r>
            <w:r w:rsidRPr="00CA5985">
              <w:rPr>
                <w:rFonts w:cs="Arial" w:hint="eastAsia"/>
                <w:color w:val="000000"/>
                <w:spacing w:val="-45"/>
                <w:w w:val="15"/>
                <w:szCs w:val="20"/>
                <w:shd w:val="solid" w:color="000000" w:fill="000000"/>
                <w:fitText w:val="40" w:id="-1301117180"/>
                <w14:textFill>
                  <w14:solidFill>
                    <w14:srgbClr w14:val="000000">
                      <w14:alpha w14:val="100000"/>
                    </w14:srgbClr>
                  </w14:solidFill>
                </w14:textFill>
              </w:rPr>
              <w:t xml:space="preserve">　</w:t>
            </w:r>
            <w:r w:rsidR="00A12DC1">
              <w:rPr>
                <w:rFonts w:cs="Arial"/>
                <w:color w:val="000000"/>
                <w:szCs w:val="20"/>
                <w:vertAlign w:val="superscript"/>
              </w:rPr>
              <w:t>6</w:t>
            </w:r>
          </w:p>
        </w:tc>
      </w:tr>
      <w:tr w:rsidR="00C4303F" w:rsidRPr="001D67AF" w14:paraId="1D906976" w14:textId="77777777" w:rsidTr="003529F2">
        <w:tc>
          <w:tcPr>
            <w:tcW w:w="5000" w:type="pct"/>
            <w:gridSpan w:val="7"/>
            <w:shd w:val="clear" w:color="auto" w:fill="auto"/>
            <w:vAlign w:val="center"/>
          </w:tcPr>
          <w:p w14:paraId="37CBB94C" w14:textId="77777777" w:rsidR="00C4303F" w:rsidRPr="001D67AF" w:rsidRDefault="00C4303F" w:rsidP="00522A82">
            <w:pPr>
              <w:pStyle w:val="TableText0"/>
              <w:keepLines/>
              <w:rPr>
                <w:b/>
              </w:rPr>
            </w:pPr>
            <w:r w:rsidRPr="001D67AF">
              <w:rPr>
                <w:b/>
              </w:rPr>
              <w:t>Estimated financial implications for eltrombopag and romiplostim</w:t>
            </w:r>
            <w:r w:rsidRPr="001D67AF">
              <w:rPr>
                <w:b/>
                <w:vertAlign w:val="superscript"/>
              </w:rPr>
              <w:t>b</w:t>
            </w:r>
          </w:p>
        </w:tc>
      </w:tr>
      <w:tr w:rsidR="00C4303F" w:rsidRPr="001D67AF" w14:paraId="352F5F36" w14:textId="77777777" w:rsidTr="007F0AFE">
        <w:tc>
          <w:tcPr>
            <w:tcW w:w="1332" w:type="pct"/>
            <w:shd w:val="clear" w:color="auto" w:fill="auto"/>
            <w:vAlign w:val="center"/>
          </w:tcPr>
          <w:p w14:paraId="482A86F8" w14:textId="453F487A" w:rsidR="00C4303F" w:rsidRPr="001D67AF" w:rsidRDefault="00C4303F" w:rsidP="00522A82">
            <w:pPr>
              <w:pStyle w:val="TableText0"/>
              <w:keepLines/>
              <w:rPr>
                <w:sz w:val="19"/>
                <w:szCs w:val="19"/>
              </w:rPr>
            </w:pPr>
            <w:r w:rsidRPr="001D67AF">
              <w:rPr>
                <w:sz w:val="19"/>
                <w:szCs w:val="19"/>
              </w:rPr>
              <w:t>Cost to PBS/RPBS less copayments</w:t>
            </w:r>
            <w:r w:rsidR="007F0AFE">
              <w:rPr>
                <w:sz w:val="19"/>
                <w:szCs w:val="19"/>
              </w:rPr>
              <w:t xml:space="preserve"> ($)</w:t>
            </w:r>
          </w:p>
        </w:tc>
        <w:tc>
          <w:tcPr>
            <w:tcW w:w="611" w:type="pct"/>
            <w:shd w:val="clear" w:color="auto" w:fill="auto"/>
            <w:vAlign w:val="center"/>
          </w:tcPr>
          <w:p w14:paraId="2288AD4A" w14:textId="256D6F34" w:rsidR="00C4303F" w:rsidRPr="00A12DC1" w:rsidRDefault="00CA5985" w:rsidP="007F0AFE">
            <w:pPr>
              <w:pStyle w:val="TableText0"/>
              <w:keepLines/>
              <w:jc w:val="center"/>
              <w:rPr>
                <w:highlight w:val="darkGray"/>
              </w:rPr>
            </w:pPr>
            <w:r w:rsidRPr="00CA5985">
              <w:rPr>
                <w:rFonts w:cs="Arial" w:hint="eastAsia"/>
                <w:color w:val="000000"/>
                <w:w w:val="15"/>
                <w:szCs w:val="20"/>
                <w:shd w:val="solid" w:color="000000" w:fill="000000"/>
                <w:fitText w:val="60" w:id="-1301117179"/>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79"/>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79"/>
                <w14:textFill>
                  <w14:solidFill>
                    <w14:srgbClr w14:val="000000">
                      <w14:alpha w14:val="100000"/>
                    </w14:srgbClr>
                  </w14:solidFill>
                </w14:textFill>
              </w:rPr>
              <w:t xml:space="preserve">　</w:t>
            </w:r>
            <w:r w:rsidR="00A12DC1" w:rsidRPr="00A12DC1">
              <w:rPr>
                <w:rFonts w:cs="Arial"/>
                <w:color w:val="000000"/>
                <w:szCs w:val="20"/>
                <w:vertAlign w:val="superscript"/>
              </w:rPr>
              <w:t>7</w:t>
            </w:r>
          </w:p>
        </w:tc>
        <w:tc>
          <w:tcPr>
            <w:tcW w:w="611" w:type="pct"/>
            <w:shd w:val="clear" w:color="auto" w:fill="auto"/>
            <w:vAlign w:val="center"/>
          </w:tcPr>
          <w:p w14:paraId="706CB783" w14:textId="0A0ACAB5" w:rsidR="00C4303F" w:rsidRPr="001D67AF" w:rsidRDefault="00CA5985" w:rsidP="007F0AFE">
            <w:pPr>
              <w:pStyle w:val="TableText0"/>
              <w:keepLines/>
              <w:jc w:val="center"/>
            </w:pPr>
            <w:r w:rsidRPr="00CA5985">
              <w:rPr>
                <w:rFonts w:cs="Arial" w:hint="eastAsia"/>
                <w:color w:val="000000"/>
                <w:w w:val="15"/>
                <w:szCs w:val="20"/>
                <w:shd w:val="solid" w:color="000000" w:fill="000000"/>
                <w:fitText w:val="60" w:id="-1301117178"/>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78"/>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78"/>
                <w14:textFill>
                  <w14:solidFill>
                    <w14:srgbClr w14:val="000000">
                      <w14:alpha w14:val="100000"/>
                    </w14:srgbClr>
                  </w14:solidFill>
                </w14:textFill>
              </w:rPr>
              <w:t xml:space="preserve">　</w:t>
            </w:r>
            <w:r w:rsidR="00A12DC1">
              <w:rPr>
                <w:rFonts w:cs="Arial"/>
                <w:color w:val="000000"/>
                <w:szCs w:val="20"/>
                <w:vertAlign w:val="superscript"/>
              </w:rPr>
              <w:t>7</w:t>
            </w:r>
          </w:p>
        </w:tc>
        <w:tc>
          <w:tcPr>
            <w:tcW w:w="611" w:type="pct"/>
            <w:shd w:val="clear" w:color="auto" w:fill="auto"/>
            <w:vAlign w:val="center"/>
          </w:tcPr>
          <w:p w14:paraId="15C90F4F" w14:textId="671775C8" w:rsidR="00C4303F" w:rsidRPr="001D67AF" w:rsidRDefault="00CA5985" w:rsidP="007F0AFE">
            <w:pPr>
              <w:pStyle w:val="TableText0"/>
              <w:keepLines/>
              <w:jc w:val="center"/>
            </w:pPr>
            <w:r w:rsidRPr="00CA5985">
              <w:rPr>
                <w:rFonts w:cs="Arial" w:hint="eastAsia"/>
                <w:color w:val="000000"/>
                <w:w w:val="15"/>
                <w:szCs w:val="20"/>
                <w:shd w:val="solid" w:color="000000" w:fill="000000"/>
                <w:fitText w:val="60" w:id="-1301117177"/>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77"/>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77"/>
                <w14:textFill>
                  <w14:solidFill>
                    <w14:srgbClr w14:val="000000">
                      <w14:alpha w14:val="100000"/>
                    </w14:srgbClr>
                  </w14:solidFill>
                </w14:textFill>
              </w:rPr>
              <w:t xml:space="preserve">　</w:t>
            </w:r>
            <w:r w:rsidR="00A12DC1">
              <w:rPr>
                <w:rFonts w:cs="Arial"/>
                <w:color w:val="000000"/>
                <w:szCs w:val="20"/>
                <w:vertAlign w:val="superscript"/>
              </w:rPr>
              <w:t>7</w:t>
            </w:r>
          </w:p>
        </w:tc>
        <w:tc>
          <w:tcPr>
            <w:tcW w:w="611" w:type="pct"/>
            <w:shd w:val="clear" w:color="auto" w:fill="auto"/>
            <w:vAlign w:val="center"/>
          </w:tcPr>
          <w:p w14:paraId="5D5D00C5" w14:textId="4C7BECF8" w:rsidR="00C4303F" w:rsidRPr="00A12DC1" w:rsidRDefault="00CA5985" w:rsidP="007F0AFE">
            <w:pPr>
              <w:pStyle w:val="TableText0"/>
              <w:keepLines/>
              <w:jc w:val="center"/>
              <w:rPr>
                <w:highlight w:val="darkGray"/>
              </w:rPr>
            </w:pPr>
            <w:r w:rsidRPr="00CA5985">
              <w:rPr>
                <w:rFonts w:cs="Arial" w:hint="eastAsia"/>
                <w:color w:val="000000"/>
                <w:w w:val="15"/>
                <w:szCs w:val="20"/>
                <w:shd w:val="solid" w:color="000000" w:fill="000000"/>
                <w:fitText w:val="60" w:id="-1301117176"/>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76"/>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76"/>
                <w14:textFill>
                  <w14:solidFill>
                    <w14:srgbClr w14:val="000000">
                      <w14:alpha w14:val="100000"/>
                    </w14:srgbClr>
                  </w14:solidFill>
                </w14:textFill>
              </w:rPr>
              <w:t xml:space="preserve">　</w:t>
            </w:r>
            <w:r w:rsidR="00A12DC1" w:rsidRPr="00A12DC1">
              <w:rPr>
                <w:rFonts w:cs="Arial"/>
                <w:color w:val="000000"/>
                <w:szCs w:val="20"/>
                <w:vertAlign w:val="superscript"/>
              </w:rPr>
              <w:t>7</w:t>
            </w:r>
          </w:p>
        </w:tc>
        <w:tc>
          <w:tcPr>
            <w:tcW w:w="611" w:type="pct"/>
            <w:shd w:val="clear" w:color="auto" w:fill="auto"/>
            <w:vAlign w:val="center"/>
          </w:tcPr>
          <w:p w14:paraId="53F372D0" w14:textId="358731EE" w:rsidR="00C4303F" w:rsidRPr="00A12DC1" w:rsidRDefault="00CA5985" w:rsidP="007F0AFE">
            <w:pPr>
              <w:pStyle w:val="TableText0"/>
              <w:keepLines/>
              <w:jc w:val="center"/>
              <w:rPr>
                <w:highlight w:val="darkGray"/>
              </w:rPr>
            </w:pPr>
            <w:r w:rsidRPr="00CA5985">
              <w:rPr>
                <w:rFonts w:cs="Arial" w:hint="eastAsia"/>
                <w:color w:val="000000"/>
                <w:w w:val="15"/>
                <w:szCs w:val="20"/>
                <w:shd w:val="solid" w:color="000000" w:fill="000000"/>
                <w:fitText w:val="60" w:id="-1301117175"/>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75"/>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75"/>
                <w14:textFill>
                  <w14:solidFill>
                    <w14:srgbClr w14:val="000000">
                      <w14:alpha w14:val="100000"/>
                    </w14:srgbClr>
                  </w14:solidFill>
                </w14:textFill>
              </w:rPr>
              <w:t xml:space="preserve">　</w:t>
            </w:r>
            <w:r w:rsidR="00A12DC1" w:rsidRPr="00A12DC1">
              <w:rPr>
                <w:rFonts w:cs="Arial"/>
                <w:color w:val="000000"/>
                <w:szCs w:val="20"/>
                <w:vertAlign w:val="superscript"/>
              </w:rPr>
              <w:t>7</w:t>
            </w:r>
          </w:p>
        </w:tc>
        <w:tc>
          <w:tcPr>
            <w:tcW w:w="612" w:type="pct"/>
            <w:vAlign w:val="center"/>
          </w:tcPr>
          <w:p w14:paraId="3D8868F5" w14:textId="2F923943" w:rsidR="00C4303F" w:rsidRPr="001D67AF" w:rsidRDefault="00CA5985" w:rsidP="007F0AFE">
            <w:pPr>
              <w:pStyle w:val="TableText0"/>
              <w:keepLines/>
              <w:jc w:val="center"/>
            </w:pPr>
            <w:r w:rsidRPr="00CA5985">
              <w:rPr>
                <w:rFonts w:cs="Arial" w:hint="eastAsia"/>
                <w:color w:val="000000"/>
                <w:w w:val="15"/>
                <w:szCs w:val="20"/>
                <w:shd w:val="solid" w:color="000000" w:fill="000000"/>
                <w:fitText w:val="40" w:id="-1301117174"/>
                <w14:textFill>
                  <w14:solidFill>
                    <w14:srgbClr w14:val="000000">
                      <w14:alpha w14:val="100000"/>
                    </w14:srgbClr>
                  </w14:solidFill>
                </w14:textFill>
              </w:rPr>
              <w:t xml:space="preserve">　</w:t>
            </w:r>
            <w:r w:rsidRPr="00CA5985">
              <w:rPr>
                <w:rFonts w:cs="Arial"/>
                <w:color w:val="000000"/>
                <w:w w:val="15"/>
                <w:szCs w:val="20"/>
                <w:shd w:val="solid" w:color="000000" w:fill="000000"/>
                <w:fitText w:val="40" w:id="-1301117174"/>
                <w14:textFill>
                  <w14:solidFill>
                    <w14:srgbClr w14:val="000000">
                      <w14:alpha w14:val="100000"/>
                    </w14:srgbClr>
                  </w14:solidFill>
                </w14:textFill>
              </w:rPr>
              <w:t>|</w:t>
            </w:r>
            <w:r w:rsidRPr="00CA5985">
              <w:rPr>
                <w:rFonts w:cs="Arial" w:hint="eastAsia"/>
                <w:color w:val="000000"/>
                <w:spacing w:val="-45"/>
                <w:w w:val="15"/>
                <w:szCs w:val="20"/>
                <w:shd w:val="solid" w:color="000000" w:fill="000000"/>
                <w:fitText w:val="40" w:id="-1301117174"/>
                <w14:textFill>
                  <w14:solidFill>
                    <w14:srgbClr w14:val="000000">
                      <w14:alpha w14:val="100000"/>
                    </w14:srgbClr>
                  </w14:solidFill>
                </w14:textFill>
              </w:rPr>
              <w:t xml:space="preserve">　</w:t>
            </w:r>
            <w:r w:rsidR="00A12DC1">
              <w:rPr>
                <w:rFonts w:cs="Arial"/>
                <w:color w:val="000000"/>
                <w:szCs w:val="20"/>
                <w:vertAlign w:val="superscript"/>
              </w:rPr>
              <w:t>7</w:t>
            </w:r>
          </w:p>
        </w:tc>
      </w:tr>
      <w:tr w:rsidR="00C4303F" w:rsidRPr="001D67AF" w14:paraId="2B21EF2D" w14:textId="77777777" w:rsidTr="003529F2">
        <w:tc>
          <w:tcPr>
            <w:tcW w:w="5000" w:type="pct"/>
            <w:gridSpan w:val="7"/>
            <w:shd w:val="clear" w:color="auto" w:fill="auto"/>
            <w:vAlign w:val="center"/>
          </w:tcPr>
          <w:p w14:paraId="75647D25" w14:textId="77777777" w:rsidR="00C4303F" w:rsidRPr="003529F2" w:rsidRDefault="00C4303F" w:rsidP="00522A82">
            <w:pPr>
              <w:pStyle w:val="TableText0"/>
              <w:keepLines/>
              <w:rPr>
                <w:b/>
                <w:bCs w:val="0"/>
              </w:rPr>
            </w:pPr>
            <w:r w:rsidRPr="003529F2">
              <w:rPr>
                <w:b/>
                <w:bCs w:val="0"/>
              </w:rPr>
              <w:t>Net financial implications</w:t>
            </w:r>
            <w:r w:rsidRPr="003529F2">
              <w:rPr>
                <w:b/>
                <w:bCs w:val="0"/>
                <w:color w:val="4BACC6" w:themeColor="accent5"/>
              </w:rPr>
              <w:t xml:space="preserve"> </w:t>
            </w:r>
          </w:p>
        </w:tc>
      </w:tr>
      <w:tr w:rsidR="00C4303F" w:rsidRPr="001D67AF" w14:paraId="7C9720A6" w14:textId="77777777" w:rsidTr="007F0AFE">
        <w:tc>
          <w:tcPr>
            <w:tcW w:w="1332" w:type="pct"/>
            <w:shd w:val="clear" w:color="auto" w:fill="auto"/>
            <w:vAlign w:val="center"/>
          </w:tcPr>
          <w:p w14:paraId="4FE15934" w14:textId="33D3CDDE" w:rsidR="00C4303F" w:rsidRPr="001D67AF" w:rsidRDefault="00C4303F" w:rsidP="00522A82">
            <w:pPr>
              <w:pStyle w:val="TableText0"/>
              <w:keepLines/>
              <w:rPr>
                <w:sz w:val="19"/>
                <w:szCs w:val="19"/>
              </w:rPr>
            </w:pPr>
            <w:r w:rsidRPr="001D67AF">
              <w:rPr>
                <w:sz w:val="19"/>
                <w:szCs w:val="19"/>
              </w:rPr>
              <w:t>Net cost to PBS/RPBS</w:t>
            </w:r>
            <w:r w:rsidR="007F0AFE">
              <w:rPr>
                <w:sz w:val="19"/>
                <w:szCs w:val="19"/>
              </w:rPr>
              <w:t xml:space="preserve"> ($)</w:t>
            </w:r>
          </w:p>
        </w:tc>
        <w:tc>
          <w:tcPr>
            <w:tcW w:w="611" w:type="pct"/>
            <w:shd w:val="clear" w:color="auto" w:fill="auto"/>
            <w:vAlign w:val="center"/>
          </w:tcPr>
          <w:p w14:paraId="13280127" w14:textId="191A03CA" w:rsidR="00C4303F" w:rsidRPr="00A12DC1" w:rsidRDefault="00CA5985" w:rsidP="007F0AFE">
            <w:pPr>
              <w:pStyle w:val="TableText0"/>
              <w:keepLines/>
              <w:jc w:val="center"/>
              <w:rPr>
                <w:highlight w:val="darkGray"/>
              </w:rPr>
            </w:pPr>
            <w:r w:rsidRPr="00CA5985">
              <w:rPr>
                <w:rFonts w:cs="Arial" w:hint="eastAsia"/>
                <w:color w:val="000000"/>
                <w:w w:val="15"/>
                <w:szCs w:val="20"/>
                <w:shd w:val="solid" w:color="000000" w:fill="000000"/>
                <w:fitText w:val="60" w:id="-1301117173"/>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73"/>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73"/>
                <w14:textFill>
                  <w14:solidFill>
                    <w14:srgbClr w14:val="000000">
                      <w14:alpha w14:val="100000"/>
                    </w14:srgbClr>
                  </w14:solidFill>
                </w14:textFill>
              </w:rPr>
              <w:t xml:space="preserve">　</w:t>
            </w:r>
            <w:r w:rsidR="0051694B" w:rsidRPr="00A12DC1">
              <w:rPr>
                <w:rFonts w:cs="Arial"/>
                <w:color w:val="000000"/>
                <w:szCs w:val="20"/>
                <w:vertAlign w:val="superscript"/>
              </w:rPr>
              <w:t>4</w:t>
            </w:r>
          </w:p>
        </w:tc>
        <w:tc>
          <w:tcPr>
            <w:tcW w:w="611" w:type="pct"/>
            <w:shd w:val="clear" w:color="auto" w:fill="auto"/>
            <w:vAlign w:val="center"/>
          </w:tcPr>
          <w:p w14:paraId="00C0DFCE" w14:textId="31ADF938" w:rsidR="00C4303F" w:rsidRPr="00A12DC1" w:rsidRDefault="00CA5985" w:rsidP="007F0AFE">
            <w:pPr>
              <w:pStyle w:val="TableText0"/>
              <w:keepLines/>
              <w:jc w:val="center"/>
              <w:rPr>
                <w:highlight w:val="darkGray"/>
              </w:rPr>
            </w:pPr>
            <w:r w:rsidRPr="00CA5985">
              <w:rPr>
                <w:rFonts w:cs="Arial" w:hint="eastAsia"/>
                <w:color w:val="000000"/>
                <w:w w:val="15"/>
                <w:szCs w:val="20"/>
                <w:shd w:val="solid" w:color="000000" w:fill="000000"/>
                <w:fitText w:val="60" w:id="-1301117172"/>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72"/>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72"/>
                <w14:textFill>
                  <w14:solidFill>
                    <w14:srgbClr w14:val="000000">
                      <w14:alpha w14:val="100000"/>
                    </w14:srgbClr>
                  </w14:solidFill>
                </w14:textFill>
              </w:rPr>
              <w:t xml:space="preserve">　</w:t>
            </w:r>
            <w:r w:rsidR="0051694B" w:rsidRPr="00A12DC1">
              <w:rPr>
                <w:rFonts w:cs="Arial"/>
                <w:color w:val="000000"/>
                <w:szCs w:val="20"/>
                <w:vertAlign w:val="superscript"/>
              </w:rPr>
              <w:t>4</w:t>
            </w:r>
          </w:p>
        </w:tc>
        <w:tc>
          <w:tcPr>
            <w:tcW w:w="611" w:type="pct"/>
            <w:shd w:val="clear" w:color="auto" w:fill="auto"/>
            <w:vAlign w:val="center"/>
          </w:tcPr>
          <w:p w14:paraId="0256A2E1" w14:textId="7EFEF140" w:rsidR="00C4303F" w:rsidRPr="001D67AF" w:rsidRDefault="00CA5985" w:rsidP="007F0AFE">
            <w:pPr>
              <w:pStyle w:val="TableText0"/>
              <w:keepLines/>
              <w:jc w:val="center"/>
            </w:pPr>
            <w:r w:rsidRPr="00CA5985">
              <w:rPr>
                <w:rFonts w:cs="Arial" w:hint="eastAsia"/>
                <w:color w:val="000000"/>
                <w:w w:val="15"/>
                <w:szCs w:val="20"/>
                <w:shd w:val="solid" w:color="000000" w:fill="000000"/>
                <w:fitText w:val="60" w:id="-1301117171"/>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71"/>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71"/>
                <w14:textFill>
                  <w14:solidFill>
                    <w14:srgbClr w14:val="000000">
                      <w14:alpha w14:val="100000"/>
                    </w14:srgbClr>
                  </w14:solidFill>
                </w14:textFill>
              </w:rPr>
              <w:t xml:space="preserve">　</w:t>
            </w:r>
            <w:r w:rsidR="0051694B" w:rsidRPr="00A12DC1">
              <w:rPr>
                <w:rFonts w:cs="Arial"/>
                <w:color w:val="000000"/>
                <w:szCs w:val="20"/>
                <w:vertAlign w:val="superscript"/>
              </w:rPr>
              <w:t>4</w:t>
            </w:r>
          </w:p>
        </w:tc>
        <w:tc>
          <w:tcPr>
            <w:tcW w:w="611" w:type="pct"/>
            <w:shd w:val="clear" w:color="auto" w:fill="auto"/>
            <w:vAlign w:val="center"/>
          </w:tcPr>
          <w:p w14:paraId="50B33854" w14:textId="1E9D4DD7" w:rsidR="00C4303F" w:rsidRPr="001D67AF" w:rsidRDefault="00CA5985" w:rsidP="007F0AFE">
            <w:pPr>
              <w:pStyle w:val="TableText0"/>
              <w:keepLines/>
              <w:jc w:val="center"/>
            </w:pPr>
            <w:r w:rsidRPr="00CA5985">
              <w:rPr>
                <w:rFonts w:cs="Arial" w:hint="eastAsia"/>
                <w:color w:val="000000"/>
                <w:w w:val="15"/>
                <w:szCs w:val="20"/>
                <w:shd w:val="solid" w:color="000000" w:fill="000000"/>
                <w:fitText w:val="60" w:id="-1301117170"/>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70"/>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70"/>
                <w14:textFill>
                  <w14:solidFill>
                    <w14:srgbClr w14:val="000000">
                      <w14:alpha w14:val="100000"/>
                    </w14:srgbClr>
                  </w14:solidFill>
                </w14:textFill>
              </w:rPr>
              <w:t xml:space="preserve">　</w:t>
            </w:r>
            <w:r w:rsidR="0051694B" w:rsidRPr="00A12DC1">
              <w:rPr>
                <w:rFonts w:cs="Arial"/>
                <w:color w:val="000000"/>
                <w:szCs w:val="20"/>
                <w:vertAlign w:val="superscript"/>
              </w:rPr>
              <w:t>4</w:t>
            </w:r>
          </w:p>
        </w:tc>
        <w:tc>
          <w:tcPr>
            <w:tcW w:w="611" w:type="pct"/>
            <w:shd w:val="clear" w:color="auto" w:fill="auto"/>
            <w:vAlign w:val="center"/>
          </w:tcPr>
          <w:p w14:paraId="0684C266" w14:textId="46456D09" w:rsidR="00C4303F" w:rsidRPr="001D67AF" w:rsidRDefault="00CA5985" w:rsidP="007F0AFE">
            <w:pPr>
              <w:pStyle w:val="TableText0"/>
              <w:keepLines/>
              <w:jc w:val="center"/>
            </w:pPr>
            <w:r w:rsidRPr="00CA5985">
              <w:rPr>
                <w:rFonts w:cs="Arial" w:hint="eastAsia"/>
                <w:color w:val="000000"/>
                <w:w w:val="15"/>
                <w:szCs w:val="20"/>
                <w:shd w:val="solid" w:color="000000" w:fill="000000"/>
                <w:fitText w:val="60" w:id="-1301117169"/>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69"/>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69"/>
                <w14:textFill>
                  <w14:solidFill>
                    <w14:srgbClr w14:val="000000">
                      <w14:alpha w14:val="100000"/>
                    </w14:srgbClr>
                  </w14:solidFill>
                </w14:textFill>
              </w:rPr>
              <w:t xml:space="preserve">　</w:t>
            </w:r>
            <w:r w:rsidR="0051694B" w:rsidRPr="00A12DC1">
              <w:rPr>
                <w:rFonts w:cs="Arial"/>
                <w:color w:val="000000"/>
                <w:szCs w:val="20"/>
                <w:vertAlign w:val="superscript"/>
              </w:rPr>
              <w:t>4</w:t>
            </w:r>
          </w:p>
        </w:tc>
        <w:tc>
          <w:tcPr>
            <w:tcW w:w="612" w:type="pct"/>
            <w:vAlign w:val="center"/>
          </w:tcPr>
          <w:p w14:paraId="2E22800C" w14:textId="133CD0FC" w:rsidR="00C4303F" w:rsidRPr="001D67AF" w:rsidRDefault="00CA5985" w:rsidP="007F0AFE">
            <w:pPr>
              <w:pStyle w:val="TableText0"/>
              <w:keepLines/>
              <w:jc w:val="center"/>
            </w:pPr>
            <w:r w:rsidRPr="00CA5985">
              <w:rPr>
                <w:rFonts w:cs="Arial" w:hint="eastAsia"/>
                <w:color w:val="000000"/>
                <w:w w:val="15"/>
                <w:szCs w:val="20"/>
                <w:shd w:val="solid" w:color="000000" w:fill="000000"/>
                <w:fitText w:val="40" w:id="-1301117168"/>
                <w14:textFill>
                  <w14:solidFill>
                    <w14:srgbClr w14:val="000000">
                      <w14:alpha w14:val="100000"/>
                    </w14:srgbClr>
                  </w14:solidFill>
                </w14:textFill>
              </w:rPr>
              <w:t xml:space="preserve">　</w:t>
            </w:r>
            <w:r w:rsidRPr="00CA5985">
              <w:rPr>
                <w:rFonts w:cs="Arial"/>
                <w:color w:val="000000"/>
                <w:w w:val="15"/>
                <w:szCs w:val="20"/>
                <w:shd w:val="solid" w:color="000000" w:fill="000000"/>
                <w:fitText w:val="40" w:id="-1301117168"/>
                <w14:textFill>
                  <w14:solidFill>
                    <w14:srgbClr w14:val="000000">
                      <w14:alpha w14:val="100000"/>
                    </w14:srgbClr>
                  </w14:solidFill>
                </w14:textFill>
              </w:rPr>
              <w:t>|</w:t>
            </w:r>
            <w:r w:rsidRPr="00CA5985">
              <w:rPr>
                <w:rFonts w:cs="Arial" w:hint="eastAsia"/>
                <w:color w:val="000000"/>
                <w:spacing w:val="-45"/>
                <w:w w:val="15"/>
                <w:szCs w:val="20"/>
                <w:shd w:val="solid" w:color="000000" w:fill="000000"/>
                <w:fitText w:val="40" w:id="-1301117168"/>
                <w14:textFill>
                  <w14:solidFill>
                    <w14:srgbClr w14:val="000000">
                      <w14:alpha w14:val="100000"/>
                    </w14:srgbClr>
                  </w14:solidFill>
                </w14:textFill>
              </w:rPr>
              <w:t xml:space="preserve">　</w:t>
            </w:r>
            <w:r w:rsidR="0051694B" w:rsidRPr="00A12DC1">
              <w:rPr>
                <w:rFonts w:cs="Arial"/>
                <w:color w:val="000000"/>
                <w:szCs w:val="20"/>
                <w:vertAlign w:val="superscript"/>
              </w:rPr>
              <w:t>4</w:t>
            </w:r>
          </w:p>
        </w:tc>
      </w:tr>
      <w:tr w:rsidR="00C4303F" w:rsidRPr="001D67AF" w14:paraId="3B356576" w14:textId="77777777" w:rsidTr="007F0AFE">
        <w:tc>
          <w:tcPr>
            <w:tcW w:w="1332" w:type="pct"/>
            <w:shd w:val="clear" w:color="auto" w:fill="auto"/>
            <w:vAlign w:val="center"/>
          </w:tcPr>
          <w:p w14:paraId="4CCC8DC5" w14:textId="53AC2E13" w:rsidR="00C4303F" w:rsidRPr="007F0AFE" w:rsidRDefault="00C4303F" w:rsidP="00522A82">
            <w:pPr>
              <w:pStyle w:val="TableText0"/>
              <w:keepLines/>
              <w:rPr>
                <w:rFonts w:ascii="Times" w:hAnsi="Times"/>
              </w:rPr>
            </w:pPr>
            <w:r w:rsidRPr="001D67AF">
              <w:rPr>
                <w:sz w:val="19"/>
                <w:szCs w:val="19"/>
              </w:rPr>
              <w:t>Net cost to MBS</w:t>
            </w:r>
            <w:r w:rsidRPr="001D67AF">
              <w:rPr>
                <w:sz w:val="19"/>
                <w:szCs w:val="19"/>
                <w:vertAlign w:val="superscript"/>
              </w:rPr>
              <w:t>b</w:t>
            </w:r>
            <w:r w:rsidR="007F0AFE">
              <w:rPr>
                <w:sz w:val="19"/>
                <w:szCs w:val="19"/>
              </w:rPr>
              <w:t xml:space="preserve"> ($)</w:t>
            </w:r>
          </w:p>
        </w:tc>
        <w:tc>
          <w:tcPr>
            <w:tcW w:w="611" w:type="pct"/>
            <w:shd w:val="clear" w:color="auto" w:fill="auto"/>
            <w:vAlign w:val="center"/>
          </w:tcPr>
          <w:p w14:paraId="5E679602" w14:textId="4F5D5DEC" w:rsidR="00C4303F" w:rsidRPr="001D67AF" w:rsidRDefault="00CA5985" w:rsidP="007F0AFE">
            <w:pPr>
              <w:pStyle w:val="TableText0"/>
              <w:keepLines/>
              <w:jc w:val="center"/>
            </w:pPr>
            <w:r w:rsidRPr="00CA5985">
              <w:rPr>
                <w:rFonts w:cs="Arial" w:hint="eastAsia"/>
                <w:color w:val="000000"/>
                <w:w w:val="15"/>
                <w:szCs w:val="20"/>
                <w:shd w:val="solid" w:color="000000" w:fill="000000"/>
                <w:fitText w:val="60" w:id="-1301117184"/>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84"/>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84"/>
                <w14:textFill>
                  <w14:solidFill>
                    <w14:srgbClr w14:val="000000">
                      <w14:alpha w14:val="100000"/>
                    </w14:srgbClr>
                  </w14:solidFill>
                </w14:textFill>
              </w:rPr>
              <w:t xml:space="preserve">　</w:t>
            </w:r>
            <w:r w:rsidR="00A12DC1">
              <w:rPr>
                <w:rFonts w:cs="Arial"/>
                <w:color w:val="000000"/>
                <w:szCs w:val="20"/>
                <w:vertAlign w:val="superscript"/>
              </w:rPr>
              <w:t>7</w:t>
            </w:r>
          </w:p>
        </w:tc>
        <w:tc>
          <w:tcPr>
            <w:tcW w:w="611" w:type="pct"/>
            <w:shd w:val="clear" w:color="auto" w:fill="auto"/>
            <w:vAlign w:val="center"/>
          </w:tcPr>
          <w:p w14:paraId="46F2A397" w14:textId="7BE4B7B2" w:rsidR="00C4303F" w:rsidRPr="00A12DC1" w:rsidRDefault="00CA5985" w:rsidP="007F0AFE">
            <w:pPr>
              <w:pStyle w:val="TableText0"/>
              <w:keepLines/>
              <w:jc w:val="center"/>
              <w:rPr>
                <w:highlight w:val="darkGray"/>
              </w:rPr>
            </w:pPr>
            <w:r w:rsidRPr="00CA5985">
              <w:rPr>
                <w:rFonts w:cs="Arial" w:hint="eastAsia"/>
                <w:color w:val="000000"/>
                <w:w w:val="15"/>
                <w:szCs w:val="20"/>
                <w:shd w:val="solid" w:color="000000" w:fill="000000"/>
                <w:fitText w:val="60" w:id="-1301117183"/>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83"/>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83"/>
                <w14:textFill>
                  <w14:solidFill>
                    <w14:srgbClr w14:val="000000">
                      <w14:alpha w14:val="100000"/>
                    </w14:srgbClr>
                  </w14:solidFill>
                </w14:textFill>
              </w:rPr>
              <w:t xml:space="preserve">　</w:t>
            </w:r>
            <w:r w:rsidR="00A12DC1" w:rsidRPr="00A12DC1">
              <w:rPr>
                <w:rFonts w:cs="Arial"/>
                <w:color w:val="000000"/>
                <w:szCs w:val="20"/>
                <w:vertAlign w:val="superscript"/>
              </w:rPr>
              <w:t>7</w:t>
            </w:r>
          </w:p>
        </w:tc>
        <w:tc>
          <w:tcPr>
            <w:tcW w:w="611" w:type="pct"/>
            <w:shd w:val="clear" w:color="auto" w:fill="auto"/>
            <w:vAlign w:val="center"/>
          </w:tcPr>
          <w:p w14:paraId="657AC207" w14:textId="0A1FC3AC" w:rsidR="00C4303F" w:rsidRPr="001D67AF" w:rsidRDefault="00CA5985" w:rsidP="007F0AFE">
            <w:pPr>
              <w:pStyle w:val="TableText0"/>
              <w:keepLines/>
              <w:jc w:val="center"/>
            </w:pPr>
            <w:r w:rsidRPr="00CA5985">
              <w:rPr>
                <w:rFonts w:cs="Arial" w:hint="eastAsia"/>
                <w:color w:val="000000"/>
                <w:w w:val="15"/>
                <w:szCs w:val="20"/>
                <w:shd w:val="solid" w:color="000000" w:fill="000000"/>
                <w:fitText w:val="60" w:id="-1301117182"/>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82"/>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82"/>
                <w14:textFill>
                  <w14:solidFill>
                    <w14:srgbClr w14:val="000000">
                      <w14:alpha w14:val="100000"/>
                    </w14:srgbClr>
                  </w14:solidFill>
                </w14:textFill>
              </w:rPr>
              <w:t xml:space="preserve">　</w:t>
            </w:r>
            <w:r w:rsidR="00A12DC1">
              <w:rPr>
                <w:rFonts w:cs="Arial"/>
                <w:color w:val="000000"/>
                <w:szCs w:val="20"/>
                <w:vertAlign w:val="superscript"/>
              </w:rPr>
              <w:t>7</w:t>
            </w:r>
          </w:p>
        </w:tc>
        <w:tc>
          <w:tcPr>
            <w:tcW w:w="611" w:type="pct"/>
            <w:shd w:val="clear" w:color="auto" w:fill="auto"/>
            <w:vAlign w:val="center"/>
          </w:tcPr>
          <w:p w14:paraId="31726F25" w14:textId="1BDA2166" w:rsidR="00C4303F" w:rsidRPr="001D67AF" w:rsidRDefault="00CA5985" w:rsidP="007F0AFE">
            <w:pPr>
              <w:pStyle w:val="TableText0"/>
              <w:keepLines/>
              <w:jc w:val="center"/>
            </w:pPr>
            <w:r w:rsidRPr="00CA5985">
              <w:rPr>
                <w:rFonts w:cs="Arial" w:hint="eastAsia"/>
                <w:color w:val="000000"/>
                <w:w w:val="15"/>
                <w:szCs w:val="20"/>
                <w:shd w:val="solid" w:color="000000" w:fill="000000"/>
                <w:fitText w:val="60" w:id="-1301117181"/>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81"/>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81"/>
                <w14:textFill>
                  <w14:solidFill>
                    <w14:srgbClr w14:val="000000">
                      <w14:alpha w14:val="100000"/>
                    </w14:srgbClr>
                  </w14:solidFill>
                </w14:textFill>
              </w:rPr>
              <w:t xml:space="preserve">　</w:t>
            </w:r>
            <w:r w:rsidR="00A12DC1">
              <w:rPr>
                <w:rFonts w:cs="Arial"/>
                <w:color w:val="000000"/>
                <w:szCs w:val="20"/>
                <w:vertAlign w:val="superscript"/>
              </w:rPr>
              <w:t>7</w:t>
            </w:r>
          </w:p>
        </w:tc>
        <w:tc>
          <w:tcPr>
            <w:tcW w:w="611" w:type="pct"/>
            <w:shd w:val="clear" w:color="auto" w:fill="auto"/>
            <w:vAlign w:val="center"/>
          </w:tcPr>
          <w:p w14:paraId="0E1EA7CD" w14:textId="67C532B7" w:rsidR="00C4303F" w:rsidRPr="001D67AF" w:rsidRDefault="00CA5985" w:rsidP="007F0AFE">
            <w:pPr>
              <w:pStyle w:val="TableText0"/>
              <w:keepLines/>
              <w:jc w:val="center"/>
            </w:pPr>
            <w:r w:rsidRPr="00CA5985">
              <w:rPr>
                <w:rFonts w:cs="Arial" w:hint="eastAsia"/>
                <w:color w:val="000000"/>
                <w:w w:val="15"/>
                <w:szCs w:val="20"/>
                <w:shd w:val="solid" w:color="000000" w:fill="000000"/>
                <w:fitText w:val="60" w:id="-1301117180"/>
                <w14:textFill>
                  <w14:solidFill>
                    <w14:srgbClr w14:val="000000">
                      <w14:alpha w14:val="100000"/>
                    </w14:srgbClr>
                  </w14:solidFill>
                </w14:textFill>
              </w:rPr>
              <w:t xml:space="preserve">　</w:t>
            </w:r>
            <w:r w:rsidRPr="00CA5985">
              <w:rPr>
                <w:rFonts w:cs="Arial"/>
                <w:color w:val="000000"/>
                <w:w w:val="15"/>
                <w:szCs w:val="20"/>
                <w:shd w:val="solid" w:color="000000" w:fill="000000"/>
                <w:fitText w:val="60" w:id="-1301117180"/>
                <w14:textFill>
                  <w14:solidFill>
                    <w14:srgbClr w14:val="000000">
                      <w14:alpha w14:val="100000"/>
                    </w14:srgbClr>
                  </w14:solidFill>
                </w14:textFill>
              </w:rPr>
              <w:t>|</w:t>
            </w:r>
            <w:r w:rsidRPr="00CA5985">
              <w:rPr>
                <w:rFonts w:cs="Arial" w:hint="eastAsia"/>
                <w:color w:val="000000"/>
                <w:spacing w:val="-15"/>
                <w:w w:val="15"/>
                <w:szCs w:val="20"/>
                <w:shd w:val="solid" w:color="000000" w:fill="000000"/>
                <w:fitText w:val="60" w:id="-1301117180"/>
                <w14:textFill>
                  <w14:solidFill>
                    <w14:srgbClr w14:val="000000">
                      <w14:alpha w14:val="100000"/>
                    </w14:srgbClr>
                  </w14:solidFill>
                </w14:textFill>
              </w:rPr>
              <w:t xml:space="preserve">　</w:t>
            </w:r>
            <w:r w:rsidR="00A12DC1">
              <w:rPr>
                <w:rFonts w:cs="Arial"/>
                <w:color w:val="000000"/>
                <w:szCs w:val="20"/>
                <w:vertAlign w:val="superscript"/>
              </w:rPr>
              <w:t>7</w:t>
            </w:r>
          </w:p>
        </w:tc>
        <w:tc>
          <w:tcPr>
            <w:tcW w:w="612" w:type="pct"/>
            <w:vAlign w:val="center"/>
          </w:tcPr>
          <w:p w14:paraId="49181048" w14:textId="2EF9BDB3" w:rsidR="00C4303F" w:rsidRPr="001D67AF" w:rsidRDefault="00CA5985" w:rsidP="007F0AFE">
            <w:pPr>
              <w:pStyle w:val="TableText0"/>
              <w:keepLines/>
              <w:jc w:val="center"/>
            </w:pPr>
            <w:r w:rsidRPr="00CA5985">
              <w:rPr>
                <w:rFonts w:cs="Arial" w:hint="eastAsia"/>
                <w:color w:val="000000"/>
                <w:w w:val="15"/>
                <w:szCs w:val="20"/>
                <w:shd w:val="solid" w:color="000000" w:fill="000000"/>
                <w:fitText w:val="40" w:id="-1301117179"/>
                <w14:textFill>
                  <w14:solidFill>
                    <w14:srgbClr w14:val="000000">
                      <w14:alpha w14:val="100000"/>
                    </w14:srgbClr>
                  </w14:solidFill>
                </w14:textFill>
              </w:rPr>
              <w:t xml:space="preserve">　</w:t>
            </w:r>
            <w:r w:rsidRPr="00CA5985">
              <w:rPr>
                <w:rFonts w:cs="Arial"/>
                <w:color w:val="000000"/>
                <w:w w:val="15"/>
                <w:szCs w:val="20"/>
                <w:shd w:val="solid" w:color="000000" w:fill="000000"/>
                <w:fitText w:val="40" w:id="-1301117179"/>
                <w14:textFill>
                  <w14:solidFill>
                    <w14:srgbClr w14:val="000000">
                      <w14:alpha w14:val="100000"/>
                    </w14:srgbClr>
                  </w14:solidFill>
                </w14:textFill>
              </w:rPr>
              <w:t>|</w:t>
            </w:r>
            <w:r w:rsidRPr="00CA5985">
              <w:rPr>
                <w:rFonts w:cs="Arial" w:hint="eastAsia"/>
                <w:color w:val="000000"/>
                <w:spacing w:val="-45"/>
                <w:w w:val="15"/>
                <w:szCs w:val="20"/>
                <w:shd w:val="solid" w:color="000000" w:fill="000000"/>
                <w:fitText w:val="40" w:id="-1301117179"/>
                <w14:textFill>
                  <w14:solidFill>
                    <w14:srgbClr w14:val="000000">
                      <w14:alpha w14:val="100000"/>
                    </w14:srgbClr>
                  </w14:solidFill>
                </w14:textFill>
              </w:rPr>
              <w:t xml:space="preserve">　</w:t>
            </w:r>
            <w:r w:rsidR="00A12DC1">
              <w:rPr>
                <w:rFonts w:cs="Arial"/>
                <w:color w:val="000000"/>
                <w:szCs w:val="20"/>
                <w:vertAlign w:val="superscript"/>
              </w:rPr>
              <w:t>7</w:t>
            </w:r>
          </w:p>
        </w:tc>
      </w:tr>
      <w:tr w:rsidR="00C4303F" w:rsidRPr="001D67AF" w14:paraId="02C8BB05" w14:textId="77777777" w:rsidTr="007F0AFE">
        <w:tc>
          <w:tcPr>
            <w:tcW w:w="1332" w:type="pct"/>
            <w:shd w:val="clear" w:color="auto" w:fill="auto"/>
            <w:vAlign w:val="center"/>
          </w:tcPr>
          <w:p w14:paraId="0A822867" w14:textId="26A856E4" w:rsidR="00C4303F" w:rsidRPr="001D67AF" w:rsidRDefault="00C4303F" w:rsidP="00522A82">
            <w:pPr>
              <w:pStyle w:val="TableText0"/>
              <w:keepLines/>
              <w:rPr>
                <w:b/>
                <w:sz w:val="19"/>
                <w:szCs w:val="19"/>
              </w:rPr>
            </w:pPr>
            <w:r w:rsidRPr="001D67AF">
              <w:rPr>
                <w:b/>
                <w:sz w:val="19"/>
                <w:szCs w:val="19"/>
              </w:rPr>
              <w:t>Net cost to PBS/RPBS/MBS</w:t>
            </w:r>
            <w:r w:rsidR="007F0AFE">
              <w:rPr>
                <w:b/>
                <w:sz w:val="19"/>
                <w:szCs w:val="19"/>
              </w:rPr>
              <w:t xml:space="preserve"> ($)</w:t>
            </w:r>
          </w:p>
        </w:tc>
        <w:tc>
          <w:tcPr>
            <w:tcW w:w="611" w:type="pct"/>
            <w:shd w:val="clear" w:color="auto" w:fill="auto"/>
            <w:vAlign w:val="center"/>
          </w:tcPr>
          <w:p w14:paraId="3E54A44D" w14:textId="1A914232" w:rsidR="00C4303F" w:rsidRPr="001D67AF" w:rsidRDefault="00CA5985" w:rsidP="007F0AFE">
            <w:pPr>
              <w:pStyle w:val="TableText0"/>
              <w:keepLines/>
              <w:jc w:val="center"/>
              <w:rPr>
                <w:b/>
              </w:rPr>
            </w:pPr>
            <w:r w:rsidRPr="00CA5985">
              <w:rPr>
                <w:rFonts w:cs="Arial" w:hint="eastAsia"/>
                <w:b/>
                <w:color w:val="000000"/>
                <w:w w:val="22"/>
                <w:szCs w:val="20"/>
                <w:shd w:val="solid" w:color="000000" w:fill="000000"/>
                <w:fitText w:val="100" w:id="-1301117178"/>
                <w14:textFill>
                  <w14:solidFill>
                    <w14:srgbClr w14:val="000000">
                      <w14:alpha w14:val="100000"/>
                    </w14:srgbClr>
                  </w14:solidFill>
                </w14:textFill>
              </w:rPr>
              <w:t xml:space="preserve">　</w:t>
            </w:r>
            <w:r w:rsidRPr="00CA5985">
              <w:rPr>
                <w:rFonts w:cs="Arial"/>
                <w:b/>
                <w:color w:val="000000"/>
                <w:w w:val="22"/>
                <w:szCs w:val="20"/>
                <w:shd w:val="solid" w:color="000000" w:fill="000000"/>
                <w:fitText w:val="100" w:id="-1301117178"/>
                <w14:textFill>
                  <w14:solidFill>
                    <w14:srgbClr w14:val="000000">
                      <w14:alpha w14:val="100000"/>
                    </w14:srgbClr>
                  </w14:solidFill>
                </w14:textFill>
              </w:rPr>
              <w:t>|</w:t>
            </w:r>
            <w:r w:rsidRPr="00CA5985">
              <w:rPr>
                <w:rFonts w:cs="Arial" w:hint="eastAsia"/>
                <w:b/>
                <w:color w:val="000000"/>
                <w:spacing w:val="2"/>
                <w:w w:val="22"/>
                <w:szCs w:val="20"/>
                <w:shd w:val="solid" w:color="000000" w:fill="000000"/>
                <w:fitText w:val="100" w:id="-1301117178"/>
                <w14:textFill>
                  <w14:solidFill>
                    <w14:srgbClr w14:val="000000">
                      <w14:alpha w14:val="100000"/>
                    </w14:srgbClr>
                  </w14:solidFill>
                </w14:textFill>
              </w:rPr>
              <w:t xml:space="preserve">　</w:t>
            </w:r>
            <w:r w:rsidR="00A12DC1">
              <w:rPr>
                <w:rFonts w:cs="Arial"/>
                <w:color w:val="000000"/>
                <w:szCs w:val="20"/>
                <w:vertAlign w:val="superscript"/>
              </w:rPr>
              <w:t>7</w:t>
            </w:r>
          </w:p>
        </w:tc>
        <w:tc>
          <w:tcPr>
            <w:tcW w:w="611" w:type="pct"/>
            <w:shd w:val="clear" w:color="auto" w:fill="auto"/>
            <w:vAlign w:val="center"/>
          </w:tcPr>
          <w:p w14:paraId="502FF03E" w14:textId="18BDFC4B" w:rsidR="00C4303F" w:rsidRPr="00A12DC1" w:rsidRDefault="00CA5985" w:rsidP="007F0AFE">
            <w:pPr>
              <w:pStyle w:val="TableText0"/>
              <w:keepLines/>
              <w:jc w:val="center"/>
              <w:rPr>
                <w:b/>
                <w:highlight w:val="darkGray"/>
              </w:rPr>
            </w:pPr>
            <w:r w:rsidRPr="00CA5985">
              <w:rPr>
                <w:rFonts w:cs="Arial" w:hint="eastAsia"/>
                <w:b/>
                <w:color w:val="000000"/>
                <w:w w:val="22"/>
                <w:szCs w:val="20"/>
                <w:shd w:val="solid" w:color="000000" w:fill="000000"/>
                <w:fitText w:val="100" w:id="-1301117177"/>
                <w14:textFill>
                  <w14:solidFill>
                    <w14:srgbClr w14:val="000000">
                      <w14:alpha w14:val="100000"/>
                    </w14:srgbClr>
                  </w14:solidFill>
                </w14:textFill>
              </w:rPr>
              <w:t xml:space="preserve">　</w:t>
            </w:r>
            <w:r w:rsidRPr="00CA5985">
              <w:rPr>
                <w:rFonts w:cs="Arial"/>
                <w:b/>
                <w:color w:val="000000"/>
                <w:w w:val="22"/>
                <w:szCs w:val="20"/>
                <w:shd w:val="solid" w:color="000000" w:fill="000000"/>
                <w:fitText w:val="100" w:id="-1301117177"/>
                <w14:textFill>
                  <w14:solidFill>
                    <w14:srgbClr w14:val="000000">
                      <w14:alpha w14:val="100000"/>
                    </w14:srgbClr>
                  </w14:solidFill>
                </w14:textFill>
              </w:rPr>
              <w:t>|</w:t>
            </w:r>
            <w:r w:rsidRPr="00CA5985">
              <w:rPr>
                <w:rFonts w:cs="Arial" w:hint="eastAsia"/>
                <w:b/>
                <w:color w:val="000000"/>
                <w:spacing w:val="2"/>
                <w:w w:val="22"/>
                <w:szCs w:val="20"/>
                <w:shd w:val="solid" w:color="000000" w:fill="000000"/>
                <w:fitText w:val="100" w:id="-1301117177"/>
                <w14:textFill>
                  <w14:solidFill>
                    <w14:srgbClr w14:val="000000">
                      <w14:alpha w14:val="100000"/>
                    </w14:srgbClr>
                  </w14:solidFill>
                </w14:textFill>
              </w:rPr>
              <w:t xml:space="preserve">　</w:t>
            </w:r>
            <w:r w:rsidR="00A12DC1" w:rsidRPr="00A12DC1">
              <w:rPr>
                <w:rFonts w:cs="Arial"/>
                <w:color w:val="000000"/>
                <w:szCs w:val="20"/>
                <w:vertAlign w:val="superscript"/>
              </w:rPr>
              <w:t>7</w:t>
            </w:r>
          </w:p>
        </w:tc>
        <w:tc>
          <w:tcPr>
            <w:tcW w:w="611" w:type="pct"/>
            <w:shd w:val="clear" w:color="auto" w:fill="auto"/>
            <w:vAlign w:val="center"/>
          </w:tcPr>
          <w:p w14:paraId="5A20654C" w14:textId="6F353273" w:rsidR="00C4303F" w:rsidRPr="00A12DC1" w:rsidRDefault="00CA5985" w:rsidP="007F0AFE">
            <w:pPr>
              <w:pStyle w:val="TableText0"/>
              <w:keepLines/>
              <w:jc w:val="center"/>
              <w:rPr>
                <w:b/>
                <w:highlight w:val="darkGray"/>
              </w:rPr>
            </w:pPr>
            <w:r w:rsidRPr="00CA5985">
              <w:rPr>
                <w:rFonts w:cs="Arial" w:hint="eastAsia"/>
                <w:b/>
                <w:color w:val="000000"/>
                <w:w w:val="22"/>
                <w:szCs w:val="20"/>
                <w:shd w:val="solid" w:color="000000" w:fill="000000"/>
                <w:fitText w:val="100" w:id="-1301117176"/>
                <w14:textFill>
                  <w14:solidFill>
                    <w14:srgbClr w14:val="000000">
                      <w14:alpha w14:val="100000"/>
                    </w14:srgbClr>
                  </w14:solidFill>
                </w14:textFill>
              </w:rPr>
              <w:t xml:space="preserve">　</w:t>
            </w:r>
            <w:r w:rsidRPr="00CA5985">
              <w:rPr>
                <w:rFonts w:cs="Arial"/>
                <w:b/>
                <w:color w:val="000000"/>
                <w:w w:val="22"/>
                <w:szCs w:val="20"/>
                <w:shd w:val="solid" w:color="000000" w:fill="000000"/>
                <w:fitText w:val="100" w:id="-1301117176"/>
                <w14:textFill>
                  <w14:solidFill>
                    <w14:srgbClr w14:val="000000">
                      <w14:alpha w14:val="100000"/>
                    </w14:srgbClr>
                  </w14:solidFill>
                </w14:textFill>
              </w:rPr>
              <w:t>|</w:t>
            </w:r>
            <w:r w:rsidRPr="00CA5985">
              <w:rPr>
                <w:rFonts w:cs="Arial" w:hint="eastAsia"/>
                <w:b/>
                <w:color w:val="000000"/>
                <w:spacing w:val="2"/>
                <w:w w:val="22"/>
                <w:szCs w:val="20"/>
                <w:shd w:val="solid" w:color="000000" w:fill="000000"/>
                <w:fitText w:val="100" w:id="-1301117176"/>
                <w14:textFill>
                  <w14:solidFill>
                    <w14:srgbClr w14:val="000000">
                      <w14:alpha w14:val="100000"/>
                    </w14:srgbClr>
                  </w14:solidFill>
                </w14:textFill>
              </w:rPr>
              <w:t xml:space="preserve">　</w:t>
            </w:r>
            <w:r w:rsidR="00A12DC1" w:rsidRPr="00A12DC1">
              <w:rPr>
                <w:rFonts w:cs="Arial"/>
                <w:color w:val="000000"/>
                <w:szCs w:val="20"/>
                <w:vertAlign w:val="superscript"/>
              </w:rPr>
              <w:t>7</w:t>
            </w:r>
          </w:p>
        </w:tc>
        <w:tc>
          <w:tcPr>
            <w:tcW w:w="611" w:type="pct"/>
            <w:shd w:val="clear" w:color="auto" w:fill="auto"/>
            <w:vAlign w:val="center"/>
          </w:tcPr>
          <w:p w14:paraId="27DAE83B" w14:textId="7633389F" w:rsidR="00C4303F" w:rsidRPr="001D67AF" w:rsidRDefault="00CA5985" w:rsidP="007F0AFE">
            <w:pPr>
              <w:pStyle w:val="TableText0"/>
              <w:keepLines/>
              <w:jc w:val="center"/>
              <w:rPr>
                <w:b/>
              </w:rPr>
            </w:pPr>
            <w:r w:rsidRPr="00CA5985">
              <w:rPr>
                <w:rFonts w:cs="Arial" w:hint="eastAsia"/>
                <w:b/>
                <w:color w:val="000000"/>
                <w:w w:val="22"/>
                <w:szCs w:val="20"/>
                <w:shd w:val="solid" w:color="000000" w:fill="000000"/>
                <w:fitText w:val="100" w:id="-1301117175"/>
                <w14:textFill>
                  <w14:solidFill>
                    <w14:srgbClr w14:val="000000">
                      <w14:alpha w14:val="100000"/>
                    </w14:srgbClr>
                  </w14:solidFill>
                </w14:textFill>
              </w:rPr>
              <w:t xml:space="preserve">　</w:t>
            </w:r>
            <w:r w:rsidRPr="00CA5985">
              <w:rPr>
                <w:rFonts w:cs="Arial"/>
                <w:b/>
                <w:color w:val="000000"/>
                <w:w w:val="22"/>
                <w:szCs w:val="20"/>
                <w:shd w:val="solid" w:color="000000" w:fill="000000"/>
                <w:fitText w:val="100" w:id="-1301117175"/>
                <w14:textFill>
                  <w14:solidFill>
                    <w14:srgbClr w14:val="000000">
                      <w14:alpha w14:val="100000"/>
                    </w14:srgbClr>
                  </w14:solidFill>
                </w14:textFill>
              </w:rPr>
              <w:t>|</w:t>
            </w:r>
            <w:r w:rsidRPr="00CA5985">
              <w:rPr>
                <w:rFonts w:cs="Arial" w:hint="eastAsia"/>
                <w:b/>
                <w:color w:val="000000"/>
                <w:spacing w:val="2"/>
                <w:w w:val="22"/>
                <w:szCs w:val="20"/>
                <w:shd w:val="solid" w:color="000000" w:fill="000000"/>
                <w:fitText w:val="100" w:id="-1301117175"/>
                <w14:textFill>
                  <w14:solidFill>
                    <w14:srgbClr w14:val="000000">
                      <w14:alpha w14:val="100000"/>
                    </w14:srgbClr>
                  </w14:solidFill>
                </w14:textFill>
              </w:rPr>
              <w:t xml:space="preserve">　</w:t>
            </w:r>
            <w:r w:rsidR="00A12DC1">
              <w:rPr>
                <w:rFonts w:cs="Arial"/>
                <w:color w:val="000000"/>
                <w:szCs w:val="20"/>
                <w:vertAlign w:val="superscript"/>
              </w:rPr>
              <w:t>7</w:t>
            </w:r>
          </w:p>
        </w:tc>
        <w:tc>
          <w:tcPr>
            <w:tcW w:w="611" w:type="pct"/>
            <w:shd w:val="clear" w:color="auto" w:fill="auto"/>
            <w:vAlign w:val="center"/>
          </w:tcPr>
          <w:p w14:paraId="140BEE30" w14:textId="57DD2211" w:rsidR="00C4303F" w:rsidRPr="001D67AF" w:rsidRDefault="00CA5985" w:rsidP="007F0AFE">
            <w:pPr>
              <w:pStyle w:val="TableText0"/>
              <w:keepLines/>
              <w:jc w:val="center"/>
              <w:rPr>
                <w:b/>
              </w:rPr>
            </w:pPr>
            <w:r w:rsidRPr="00CA5985">
              <w:rPr>
                <w:rFonts w:cs="Arial" w:hint="eastAsia"/>
                <w:b/>
                <w:color w:val="000000"/>
                <w:w w:val="22"/>
                <w:szCs w:val="20"/>
                <w:shd w:val="solid" w:color="000000" w:fill="000000"/>
                <w:fitText w:val="100" w:id="-1301117174"/>
                <w14:textFill>
                  <w14:solidFill>
                    <w14:srgbClr w14:val="000000">
                      <w14:alpha w14:val="100000"/>
                    </w14:srgbClr>
                  </w14:solidFill>
                </w14:textFill>
              </w:rPr>
              <w:t xml:space="preserve">　</w:t>
            </w:r>
            <w:r w:rsidRPr="00CA5985">
              <w:rPr>
                <w:rFonts w:cs="Arial"/>
                <w:b/>
                <w:color w:val="000000"/>
                <w:w w:val="22"/>
                <w:szCs w:val="20"/>
                <w:shd w:val="solid" w:color="000000" w:fill="000000"/>
                <w:fitText w:val="100" w:id="-1301117174"/>
                <w14:textFill>
                  <w14:solidFill>
                    <w14:srgbClr w14:val="000000">
                      <w14:alpha w14:val="100000"/>
                    </w14:srgbClr>
                  </w14:solidFill>
                </w14:textFill>
              </w:rPr>
              <w:t>|</w:t>
            </w:r>
            <w:r w:rsidRPr="00CA5985">
              <w:rPr>
                <w:rFonts w:cs="Arial" w:hint="eastAsia"/>
                <w:b/>
                <w:color w:val="000000"/>
                <w:spacing w:val="2"/>
                <w:w w:val="22"/>
                <w:szCs w:val="20"/>
                <w:shd w:val="solid" w:color="000000" w:fill="000000"/>
                <w:fitText w:val="100" w:id="-1301117174"/>
                <w14:textFill>
                  <w14:solidFill>
                    <w14:srgbClr w14:val="000000">
                      <w14:alpha w14:val="100000"/>
                    </w14:srgbClr>
                  </w14:solidFill>
                </w14:textFill>
              </w:rPr>
              <w:t xml:space="preserve">　</w:t>
            </w:r>
            <w:r w:rsidR="00A12DC1">
              <w:rPr>
                <w:rFonts w:cs="Arial"/>
                <w:color w:val="000000"/>
                <w:szCs w:val="20"/>
                <w:vertAlign w:val="superscript"/>
              </w:rPr>
              <w:t>7</w:t>
            </w:r>
          </w:p>
        </w:tc>
        <w:tc>
          <w:tcPr>
            <w:tcW w:w="612" w:type="pct"/>
            <w:vAlign w:val="center"/>
          </w:tcPr>
          <w:p w14:paraId="28BD573E" w14:textId="1E191749" w:rsidR="00C4303F" w:rsidRPr="001D67AF" w:rsidRDefault="00CA5985" w:rsidP="007F0AFE">
            <w:pPr>
              <w:pStyle w:val="TableText0"/>
              <w:keepLines/>
              <w:jc w:val="center"/>
              <w:rPr>
                <w:b/>
              </w:rPr>
            </w:pPr>
            <w:r w:rsidRPr="00CA5985">
              <w:rPr>
                <w:rFonts w:cs="Arial" w:hint="eastAsia"/>
                <w:b/>
                <w:color w:val="000000"/>
                <w:w w:val="20"/>
                <w:szCs w:val="20"/>
                <w:shd w:val="solid" w:color="000000" w:fill="000000"/>
                <w:fitText w:val="90" w:id="-1301117173"/>
                <w14:textFill>
                  <w14:solidFill>
                    <w14:srgbClr w14:val="000000">
                      <w14:alpha w14:val="100000"/>
                    </w14:srgbClr>
                  </w14:solidFill>
                </w14:textFill>
              </w:rPr>
              <w:t xml:space="preserve">　</w:t>
            </w:r>
            <w:r w:rsidRPr="00CA5985">
              <w:rPr>
                <w:rFonts w:cs="Arial"/>
                <w:b/>
                <w:color w:val="000000"/>
                <w:w w:val="20"/>
                <w:szCs w:val="20"/>
                <w:shd w:val="solid" w:color="000000" w:fill="000000"/>
                <w:fitText w:val="90" w:id="-1301117173"/>
                <w14:textFill>
                  <w14:solidFill>
                    <w14:srgbClr w14:val="000000">
                      <w14:alpha w14:val="100000"/>
                    </w14:srgbClr>
                  </w14:solidFill>
                </w14:textFill>
              </w:rPr>
              <w:t>|</w:t>
            </w:r>
            <w:r w:rsidRPr="00CA5985">
              <w:rPr>
                <w:rFonts w:cs="Arial" w:hint="eastAsia"/>
                <w:b/>
                <w:color w:val="000000"/>
                <w:spacing w:val="2"/>
                <w:w w:val="20"/>
                <w:szCs w:val="20"/>
                <w:shd w:val="solid" w:color="000000" w:fill="000000"/>
                <w:fitText w:val="90" w:id="-1301117173"/>
                <w14:textFill>
                  <w14:solidFill>
                    <w14:srgbClr w14:val="000000">
                      <w14:alpha w14:val="100000"/>
                    </w14:srgbClr>
                  </w14:solidFill>
                </w14:textFill>
              </w:rPr>
              <w:t xml:space="preserve">　</w:t>
            </w:r>
            <w:r w:rsidR="00A12DC1">
              <w:rPr>
                <w:rFonts w:cs="Arial"/>
                <w:color w:val="000000"/>
                <w:szCs w:val="20"/>
                <w:vertAlign w:val="superscript"/>
              </w:rPr>
              <w:t>7</w:t>
            </w:r>
          </w:p>
        </w:tc>
      </w:tr>
    </w:tbl>
    <w:p w14:paraId="69BB6BF5" w14:textId="7DEA22BB" w:rsidR="00C4303F" w:rsidRDefault="00C4303F" w:rsidP="00522A82">
      <w:pPr>
        <w:pStyle w:val="TableFooter"/>
        <w:keepNext/>
        <w:keepLines/>
      </w:pPr>
      <w:r w:rsidRPr="001D67AF">
        <w:t>Source: Table 4.19, p 111-112; Table 4.20, p 112; Table 4.26, p 115 of the submission.</w:t>
      </w:r>
    </w:p>
    <w:p w14:paraId="1A4359B2" w14:textId="100B654E" w:rsidR="00E0005C" w:rsidRPr="006123FD" w:rsidRDefault="00E0005C" w:rsidP="00522A82">
      <w:pPr>
        <w:pStyle w:val="TableFooter"/>
        <w:keepNext/>
        <w:keepLines/>
      </w:pPr>
      <w:r w:rsidRPr="006123FD">
        <w:t>DPMQ = dispensed price for maximum quantity.</w:t>
      </w:r>
    </w:p>
    <w:p w14:paraId="5629783C" w14:textId="77777777" w:rsidR="00C4303F" w:rsidRPr="001D67AF" w:rsidRDefault="00C4303F" w:rsidP="00522A82">
      <w:pPr>
        <w:pStyle w:val="TableFooter"/>
        <w:keepNext/>
        <w:keepLines/>
      </w:pPr>
      <w:r w:rsidRPr="001D67AF">
        <w:rPr>
          <w:vertAlign w:val="superscript"/>
        </w:rPr>
        <w:t>a</w:t>
      </w:r>
      <w:r w:rsidRPr="001D67AF">
        <w:t xml:space="preserve"> Assuming 13.6 scripts per year as estimated by the submission.</w:t>
      </w:r>
    </w:p>
    <w:p w14:paraId="74DBFAC0" w14:textId="61B33B54" w:rsidR="006F6B20" w:rsidRDefault="00C4303F" w:rsidP="00B21B5C">
      <w:pPr>
        <w:pStyle w:val="TableFooter"/>
        <w:keepNext/>
        <w:keepLines/>
      </w:pPr>
      <w:r w:rsidRPr="001D67AF">
        <w:rPr>
          <w:vertAlign w:val="superscript"/>
        </w:rPr>
        <w:t>b</w:t>
      </w:r>
      <w:r w:rsidRPr="001D67AF">
        <w:t xml:space="preserve"> Dispensing fee has been updated to $7.82; patient copayment has been calculated using updated copayment fees of $42.50 for PBS and $6.80 for RPBS; and MBS cost for item 13950 has been updated to $114.20 from the $112.40 used in the submission.</w:t>
      </w:r>
    </w:p>
    <w:p w14:paraId="5CE1653D" w14:textId="77777777" w:rsidR="00A12DC1" w:rsidRPr="00A12DC1" w:rsidRDefault="00A12DC1" w:rsidP="00A12DC1">
      <w:pPr>
        <w:spacing w:before="120"/>
        <w:rPr>
          <w:rFonts w:ascii="Arial Narrow" w:hAnsi="Arial Narrow"/>
          <w:i/>
          <w:sz w:val="18"/>
          <w:szCs w:val="18"/>
        </w:rPr>
      </w:pPr>
      <w:r w:rsidRPr="00A12DC1">
        <w:rPr>
          <w:rFonts w:ascii="Arial Narrow" w:hAnsi="Arial Narrow"/>
          <w:i/>
          <w:sz w:val="18"/>
          <w:szCs w:val="18"/>
        </w:rPr>
        <w:t xml:space="preserve">The redacted values correspond to the following ranges: </w:t>
      </w:r>
    </w:p>
    <w:p w14:paraId="05E1610C" w14:textId="77777777" w:rsidR="00A12DC1" w:rsidRPr="00A12DC1" w:rsidRDefault="00A12DC1" w:rsidP="00A12DC1">
      <w:pPr>
        <w:rPr>
          <w:rFonts w:ascii="Arial Narrow" w:hAnsi="Arial Narrow"/>
          <w:i/>
          <w:sz w:val="18"/>
          <w:szCs w:val="18"/>
        </w:rPr>
      </w:pPr>
      <w:r w:rsidRPr="00A12DC1">
        <w:rPr>
          <w:rFonts w:ascii="Arial Narrow" w:hAnsi="Arial Narrow"/>
          <w:i/>
          <w:sz w:val="18"/>
          <w:szCs w:val="18"/>
          <w:vertAlign w:val="superscript"/>
        </w:rPr>
        <w:t>1</w:t>
      </w:r>
      <w:r w:rsidRPr="00A12DC1">
        <w:rPr>
          <w:rFonts w:ascii="Arial Narrow" w:hAnsi="Arial Narrow"/>
          <w:i/>
          <w:sz w:val="18"/>
          <w:szCs w:val="18"/>
        </w:rPr>
        <w:t xml:space="preserve"> 500 to &lt; 5,000</w:t>
      </w:r>
    </w:p>
    <w:p w14:paraId="667816F6" w14:textId="708BA62C" w:rsidR="00A12DC1" w:rsidRPr="00A12DC1" w:rsidRDefault="00A12DC1" w:rsidP="00A12DC1">
      <w:pPr>
        <w:rPr>
          <w:rFonts w:ascii="Arial Narrow" w:hAnsi="Arial Narrow"/>
          <w:i/>
          <w:sz w:val="18"/>
          <w:szCs w:val="18"/>
        </w:rPr>
      </w:pPr>
      <w:r w:rsidRPr="00A12DC1">
        <w:rPr>
          <w:rFonts w:ascii="Arial Narrow" w:hAnsi="Arial Narrow"/>
          <w:i/>
          <w:sz w:val="18"/>
          <w:szCs w:val="18"/>
          <w:vertAlign w:val="superscript"/>
        </w:rPr>
        <w:t>2</w:t>
      </w:r>
      <w:r w:rsidRPr="00A12DC1">
        <w:rPr>
          <w:rFonts w:ascii="Arial Narrow" w:hAnsi="Arial Narrow"/>
          <w:i/>
          <w:sz w:val="18"/>
          <w:szCs w:val="18"/>
        </w:rPr>
        <w:t xml:space="preserve"> 5,000 to &lt; 10,000</w:t>
      </w:r>
    </w:p>
    <w:p w14:paraId="2815CC49" w14:textId="2FDD4A49" w:rsidR="00A12DC1" w:rsidRPr="00A12DC1" w:rsidRDefault="00A12DC1" w:rsidP="00A12DC1">
      <w:pPr>
        <w:rPr>
          <w:rFonts w:ascii="Arial Narrow" w:hAnsi="Arial Narrow"/>
          <w:i/>
          <w:sz w:val="18"/>
          <w:szCs w:val="18"/>
        </w:rPr>
      </w:pPr>
      <w:r w:rsidRPr="00A12DC1">
        <w:rPr>
          <w:rFonts w:ascii="Arial Narrow" w:hAnsi="Arial Narrow"/>
          <w:i/>
          <w:sz w:val="18"/>
          <w:szCs w:val="18"/>
          <w:vertAlign w:val="superscript"/>
        </w:rPr>
        <w:t>3</w:t>
      </w:r>
      <w:r w:rsidRPr="00A12DC1">
        <w:rPr>
          <w:rFonts w:ascii="Arial Narrow" w:hAnsi="Arial Narrow"/>
          <w:i/>
          <w:sz w:val="18"/>
          <w:szCs w:val="18"/>
        </w:rPr>
        <w:t xml:space="preserve"> 10,000 to &lt; 20,000</w:t>
      </w:r>
    </w:p>
    <w:p w14:paraId="674ADC17" w14:textId="7B12F1EF" w:rsidR="00A12DC1" w:rsidRPr="00A12DC1" w:rsidRDefault="00A12DC1" w:rsidP="00A12DC1">
      <w:pPr>
        <w:rPr>
          <w:rFonts w:ascii="Arial Narrow" w:hAnsi="Arial Narrow"/>
          <w:i/>
          <w:sz w:val="18"/>
          <w:szCs w:val="18"/>
        </w:rPr>
      </w:pPr>
      <w:r w:rsidRPr="00A12DC1">
        <w:rPr>
          <w:rFonts w:ascii="Arial Narrow" w:hAnsi="Arial Narrow"/>
          <w:i/>
          <w:sz w:val="18"/>
          <w:szCs w:val="18"/>
          <w:vertAlign w:val="superscript"/>
        </w:rPr>
        <w:t>4</w:t>
      </w:r>
      <w:r w:rsidRPr="00A12DC1">
        <w:rPr>
          <w:rFonts w:ascii="Arial Narrow" w:hAnsi="Arial Narrow"/>
          <w:i/>
          <w:sz w:val="18"/>
          <w:szCs w:val="18"/>
        </w:rPr>
        <w:t xml:space="preserve"> </w:t>
      </w:r>
      <w:r w:rsidR="0051694B" w:rsidRPr="0051694B">
        <w:rPr>
          <w:rFonts w:ascii="Arial Narrow" w:hAnsi="Arial Narrow"/>
          <w:i/>
          <w:sz w:val="18"/>
          <w:szCs w:val="18"/>
        </w:rPr>
        <w:t>$0 to &lt; $10 million</w:t>
      </w:r>
    </w:p>
    <w:p w14:paraId="747EFFC2" w14:textId="77777777" w:rsidR="0051694B" w:rsidRPr="0051694B" w:rsidRDefault="00A12DC1" w:rsidP="0051694B">
      <w:pPr>
        <w:rPr>
          <w:rFonts w:ascii="Arial Narrow" w:hAnsi="Arial Narrow"/>
          <w:i/>
          <w:sz w:val="18"/>
          <w:szCs w:val="18"/>
        </w:rPr>
      </w:pPr>
      <w:r w:rsidRPr="00A12DC1">
        <w:rPr>
          <w:rFonts w:ascii="Arial Narrow" w:hAnsi="Arial Narrow"/>
          <w:i/>
          <w:sz w:val="18"/>
          <w:szCs w:val="18"/>
          <w:vertAlign w:val="superscript"/>
        </w:rPr>
        <w:t>5</w:t>
      </w:r>
      <w:r w:rsidRPr="00A12DC1">
        <w:rPr>
          <w:rFonts w:ascii="Arial Narrow" w:hAnsi="Arial Narrow"/>
          <w:i/>
          <w:sz w:val="18"/>
          <w:szCs w:val="18"/>
        </w:rPr>
        <w:t xml:space="preserve"> </w:t>
      </w:r>
      <w:r w:rsidR="0051694B" w:rsidRPr="0051694B">
        <w:rPr>
          <w:rFonts w:ascii="Arial Narrow" w:hAnsi="Arial Narrow"/>
          <w:i/>
          <w:sz w:val="18"/>
          <w:szCs w:val="18"/>
        </w:rPr>
        <w:t>$10 million to &lt; $20 million</w:t>
      </w:r>
    </w:p>
    <w:p w14:paraId="62AAAC16" w14:textId="63D8BBDF" w:rsidR="00A12DC1" w:rsidRDefault="00A12DC1" w:rsidP="00A12DC1">
      <w:pPr>
        <w:rPr>
          <w:rFonts w:ascii="Arial Narrow" w:hAnsi="Arial Narrow"/>
          <w:i/>
          <w:sz w:val="18"/>
          <w:szCs w:val="18"/>
        </w:rPr>
      </w:pPr>
      <w:r w:rsidRPr="00A12DC1">
        <w:rPr>
          <w:rFonts w:ascii="Arial Narrow" w:hAnsi="Arial Narrow"/>
          <w:i/>
          <w:sz w:val="18"/>
          <w:szCs w:val="18"/>
          <w:vertAlign w:val="superscript"/>
        </w:rPr>
        <w:t>6</w:t>
      </w:r>
      <w:r>
        <w:rPr>
          <w:rFonts w:ascii="Arial Narrow" w:hAnsi="Arial Narrow"/>
          <w:i/>
          <w:sz w:val="18"/>
          <w:szCs w:val="18"/>
        </w:rPr>
        <w:t xml:space="preserve"> </w:t>
      </w:r>
      <w:r w:rsidR="0051694B" w:rsidRPr="0051694B">
        <w:rPr>
          <w:rFonts w:ascii="Arial Narrow" w:hAnsi="Arial Narrow"/>
          <w:i/>
          <w:sz w:val="18"/>
          <w:szCs w:val="18"/>
        </w:rPr>
        <w:t>$20 million to &lt; $30 million</w:t>
      </w:r>
    </w:p>
    <w:p w14:paraId="41396BC4" w14:textId="2708E454" w:rsidR="00A12DC1" w:rsidRDefault="00A12DC1" w:rsidP="00A12DC1">
      <w:pPr>
        <w:rPr>
          <w:rFonts w:ascii="Arial Narrow" w:hAnsi="Arial Narrow"/>
          <w:i/>
          <w:sz w:val="18"/>
          <w:szCs w:val="18"/>
        </w:rPr>
      </w:pPr>
      <w:r>
        <w:rPr>
          <w:rFonts w:ascii="Arial Narrow" w:hAnsi="Arial Narrow"/>
          <w:i/>
          <w:sz w:val="18"/>
          <w:szCs w:val="18"/>
          <w:vertAlign w:val="superscript"/>
        </w:rPr>
        <w:t>7</w:t>
      </w:r>
      <w:r w:rsidRPr="00A12DC1">
        <w:rPr>
          <w:rFonts w:ascii="Arial Narrow" w:hAnsi="Arial Narrow"/>
          <w:i/>
          <w:sz w:val="18"/>
          <w:szCs w:val="18"/>
        </w:rPr>
        <w:t xml:space="preserve"> </w:t>
      </w:r>
      <w:r w:rsidR="0051694B" w:rsidRPr="0051694B">
        <w:rPr>
          <w:rFonts w:ascii="Arial Narrow" w:hAnsi="Arial Narrow"/>
          <w:i/>
          <w:sz w:val="18"/>
          <w:szCs w:val="18"/>
        </w:rPr>
        <w:t>net cost saving</w:t>
      </w:r>
    </w:p>
    <w:p w14:paraId="33F80352" w14:textId="1B9FCF53" w:rsidR="00A12DC1" w:rsidRPr="00B21B5C" w:rsidRDefault="00A12DC1" w:rsidP="00B21B5C">
      <w:pPr>
        <w:pStyle w:val="TableFooter"/>
        <w:keepNext/>
        <w:keepLines/>
      </w:pPr>
    </w:p>
    <w:p w14:paraId="002A5700" w14:textId="6158BE4C" w:rsidR="00C4303F" w:rsidRDefault="00C4303F" w:rsidP="00B21B5C">
      <w:pPr>
        <w:pStyle w:val="3-BodyText"/>
        <w:spacing w:before="120"/>
      </w:pPr>
      <w:r w:rsidRPr="001D67AF">
        <w:t>The</w:t>
      </w:r>
      <w:r w:rsidRPr="006123FD">
        <w:t xml:space="preserve"> </w:t>
      </w:r>
      <w:r w:rsidR="003529F2" w:rsidRPr="006123FD">
        <w:t>net</w:t>
      </w:r>
      <w:r w:rsidR="003529F2" w:rsidRPr="001D67AF">
        <w:t xml:space="preserve"> </w:t>
      </w:r>
      <w:r w:rsidRPr="001D67AF">
        <w:t>cost to the PBS/RPBS of listing</w:t>
      </w:r>
      <w:r w:rsidR="009F53F6">
        <w:t xml:space="preserve"> </w:t>
      </w:r>
      <w:r w:rsidR="009F53F6" w:rsidRPr="006123FD">
        <w:t>avatrombopag</w:t>
      </w:r>
      <w:r w:rsidR="003529F2" w:rsidRPr="006123FD">
        <w:t>,</w:t>
      </w:r>
      <w:r w:rsidRPr="006123FD">
        <w:t xml:space="preserve"> based on the published price of eltrombopag</w:t>
      </w:r>
      <w:r w:rsidR="003529F2" w:rsidRPr="006123FD">
        <w:t>,</w:t>
      </w:r>
      <w:r w:rsidRPr="006123FD">
        <w:t xml:space="preserve"> was estimated to be </w:t>
      </w:r>
      <w:bookmarkStart w:id="51" w:name="_Hlk124237601"/>
      <w:r w:rsidR="0051694B" w:rsidRPr="0051694B">
        <w:t>$0 to &lt; $10 million</w:t>
      </w:r>
      <w:bookmarkEnd w:id="51"/>
      <w:r w:rsidR="0051694B" w:rsidRPr="0051694B" w:rsidDel="0051694B">
        <w:t xml:space="preserve"> </w:t>
      </w:r>
      <w:r w:rsidRPr="006123FD">
        <w:t>in Year 6, and a total of</w:t>
      </w:r>
      <w:r w:rsidR="003529F2" w:rsidRPr="006123FD">
        <w:t xml:space="preserve"> </w:t>
      </w:r>
      <w:r w:rsidR="0051694B" w:rsidRPr="0051694B">
        <w:t>$0 to &lt; $10 million</w:t>
      </w:r>
      <w:r w:rsidR="0051694B" w:rsidRPr="0051694B" w:rsidDel="0051694B">
        <w:t xml:space="preserve"> </w:t>
      </w:r>
      <w:r w:rsidRPr="006123FD">
        <w:t>in the first 6 years of listing</w:t>
      </w:r>
      <w:r w:rsidRPr="006123FD">
        <w:rPr>
          <w:color w:val="3366FF"/>
        </w:rPr>
        <w:t xml:space="preserve">. </w:t>
      </w:r>
    </w:p>
    <w:p w14:paraId="393DF1CC" w14:textId="50743D64" w:rsidR="007B6CB0" w:rsidRPr="00CA51C6" w:rsidRDefault="006B58A0" w:rsidP="00C4303F">
      <w:pPr>
        <w:pStyle w:val="3-BodyText"/>
      </w:pPr>
      <w:r w:rsidRPr="00CA51C6">
        <w:t xml:space="preserve">The </w:t>
      </w:r>
      <w:r w:rsidR="007B6CB0" w:rsidRPr="00CA51C6">
        <w:t xml:space="preserve">ESC advised that the methods used to derive the utilisation and financial estimates and the structure of the estimates model are likely to be reasonable, however it considered there was substantial uncertainty regarding the likely uptake of avatrombopag in practice, given its uncertain comparative effectiveness to alternative TPO-RAs and the likely additional convenience the administration of avatrombopag provides over the alternative therapies. </w:t>
      </w:r>
      <w:r w:rsidR="00375F06">
        <w:t xml:space="preserve">The </w:t>
      </w:r>
      <w:r w:rsidR="00132FDD">
        <w:t>PBAC</w:t>
      </w:r>
      <w:r w:rsidR="00375F06">
        <w:t xml:space="preserve"> considered the potential convenience advantages offered by avatrombopag, such as less restrictive administration around mealtimes, may increase uptake.</w:t>
      </w:r>
    </w:p>
    <w:p w14:paraId="6BB81D96" w14:textId="77777777" w:rsidR="00C4303F" w:rsidRPr="001D67AF" w:rsidRDefault="00C4303F" w:rsidP="00C4303F">
      <w:pPr>
        <w:pStyle w:val="3-BodyText"/>
      </w:pPr>
      <w:r w:rsidRPr="001D67AF">
        <w:t>The submission provided the following sensitivity analyses:</w:t>
      </w:r>
    </w:p>
    <w:p w14:paraId="1153E4D4" w14:textId="0D0F7BCC" w:rsidR="00C4303F" w:rsidRPr="001D67AF" w:rsidRDefault="00C4303F" w:rsidP="000B52F2">
      <w:pPr>
        <w:pStyle w:val="3-BodyText"/>
        <w:numPr>
          <w:ilvl w:val="0"/>
          <w:numId w:val="8"/>
        </w:numPr>
        <w:rPr>
          <w:lang w:val="en-GB"/>
        </w:rPr>
      </w:pPr>
      <w:r w:rsidRPr="001D67AF">
        <w:rPr>
          <w:lang w:val="en-GB"/>
        </w:rPr>
        <w:t xml:space="preserve">Uptake rate of avatrombopag. Uptake in eltrombopag population was </w:t>
      </w:r>
      <w:r w:rsidR="002278BC" w:rsidRPr="00E10198">
        <w:rPr>
          <w:color w:val="000000"/>
          <w:w w:val="15"/>
          <w:shd w:val="solid" w:color="000000" w:fill="000000"/>
          <w:fitText w:val="-20" w:id="-1295766269"/>
          <w:lang w:val="en-GB"/>
          <w14:textFill>
            <w14:solidFill>
              <w14:srgbClr w14:val="000000">
                <w14:alpha w14:val="100000"/>
              </w14:srgbClr>
            </w14:solidFill>
          </w14:textFill>
        </w:rPr>
        <w:t xml:space="preserve">|  </w:t>
      </w:r>
      <w:r w:rsidR="002278BC" w:rsidRPr="00E10198">
        <w:rPr>
          <w:color w:val="000000"/>
          <w:spacing w:val="-69"/>
          <w:w w:val="15"/>
          <w:shd w:val="solid" w:color="000000" w:fill="000000"/>
          <w:fitText w:val="-20" w:id="-1295766269"/>
          <w:lang w:val="en-GB"/>
          <w14:textFill>
            <w14:solidFill>
              <w14:srgbClr w14:val="000000">
                <w14:alpha w14:val="100000"/>
              </w14:srgbClr>
            </w14:solidFill>
          </w14:textFill>
        </w:rPr>
        <w:t>|</w:t>
      </w:r>
      <w:r w:rsidRPr="001D67AF">
        <w:rPr>
          <w:lang w:val="en-GB"/>
        </w:rPr>
        <w:t xml:space="preserve">% in year 1 increasing to a maximum of </w:t>
      </w:r>
      <w:r w:rsidR="002278BC" w:rsidRPr="00E10198">
        <w:rPr>
          <w:color w:val="000000"/>
          <w:w w:val="15"/>
          <w:shd w:val="solid" w:color="000000" w:fill="000000"/>
          <w:fitText w:val="-20" w:id="-1295766268"/>
          <w:lang w:val="en-GB"/>
          <w14:textFill>
            <w14:solidFill>
              <w14:srgbClr w14:val="000000">
                <w14:alpha w14:val="100000"/>
              </w14:srgbClr>
            </w14:solidFill>
          </w14:textFill>
        </w:rPr>
        <w:t xml:space="preserve">|  </w:t>
      </w:r>
      <w:r w:rsidR="002278BC" w:rsidRPr="00E10198">
        <w:rPr>
          <w:color w:val="000000"/>
          <w:spacing w:val="-69"/>
          <w:w w:val="15"/>
          <w:shd w:val="solid" w:color="000000" w:fill="000000"/>
          <w:fitText w:val="-20" w:id="-1295766268"/>
          <w:lang w:val="en-GB"/>
          <w14:textFill>
            <w14:solidFill>
              <w14:srgbClr w14:val="000000">
                <w14:alpha w14:val="100000"/>
              </w14:srgbClr>
            </w14:solidFill>
          </w14:textFill>
        </w:rPr>
        <w:t>|</w:t>
      </w:r>
      <w:r w:rsidRPr="001D67AF">
        <w:rPr>
          <w:lang w:val="en-GB"/>
        </w:rPr>
        <w:t xml:space="preserve">% by Year 6 of listing in the base case. Uptake in romiplostim population was </w:t>
      </w:r>
      <w:r w:rsidR="002278BC" w:rsidRPr="00E10198">
        <w:rPr>
          <w:color w:val="000000"/>
          <w:w w:val="15"/>
          <w:shd w:val="solid" w:color="000000" w:fill="000000"/>
          <w:fitText w:val="-20" w:id="-1295766267"/>
          <w:lang w:val="en-GB"/>
          <w14:textFill>
            <w14:solidFill>
              <w14:srgbClr w14:val="000000">
                <w14:alpha w14:val="100000"/>
              </w14:srgbClr>
            </w14:solidFill>
          </w14:textFill>
        </w:rPr>
        <w:t xml:space="preserve">|  </w:t>
      </w:r>
      <w:r w:rsidR="002278BC" w:rsidRPr="00E10198">
        <w:rPr>
          <w:color w:val="000000"/>
          <w:spacing w:val="-69"/>
          <w:w w:val="15"/>
          <w:shd w:val="solid" w:color="000000" w:fill="000000"/>
          <w:fitText w:val="-20" w:id="-1295766267"/>
          <w:lang w:val="en-GB"/>
          <w14:textFill>
            <w14:solidFill>
              <w14:srgbClr w14:val="000000">
                <w14:alpha w14:val="100000"/>
              </w14:srgbClr>
            </w14:solidFill>
          </w14:textFill>
        </w:rPr>
        <w:t>|</w:t>
      </w:r>
      <w:r w:rsidRPr="001D67AF">
        <w:rPr>
          <w:lang w:val="en-GB"/>
        </w:rPr>
        <w:t>% of the eltrombopag uptake rate. Uptake rate in eltrombopag was increased and decreased by 10% in the sensitivity analysis.</w:t>
      </w:r>
    </w:p>
    <w:p w14:paraId="5A7E4AB1" w14:textId="77777777" w:rsidR="00C4303F" w:rsidRPr="001D67AF" w:rsidRDefault="00C4303F" w:rsidP="000B52F2">
      <w:pPr>
        <w:pStyle w:val="3-BodyText"/>
        <w:numPr>
          <w:ilvl w:val="0"/>
          <w:numId w:val="8"/>
        </w:numPr>
        <w:rPr>
          <w:lang w:val="en-GB"/>
        </w:rPr>
      </w:pPr>
      <w:r w:rsidRPr="001D67AF">
        <w:rPr>
          <w:lang w:val="en-GB"/>
        </w:rPr>
        <w:lastRenderedPageBreak/>
        <w:t>Rate of TPO-RA natural market growth. Rate of natural yearly growth of eltrombopag and romiplostim was assumed to following the average annual growth rate between 2016 and 2021 based on Medicare Statistics PBS Item reports. Natural market growth was increased and decreased by 5% in the sensitivity analysis.</w:t>
      </w:r>
    </w:p>
    <w:p w14:paraId="3A04528D" w14:textId="77777777" w:rsidR="00C4303F" w:rsidRPr="001D67AF" w:rsidRDefault="00C4303F" w:rsidP="000B52F2">
      <w:pPr>
        <w:pStyle w:val="3-BodyText"/>
        <w:numPr>
          <w:ilvl w:val="0"/>
          <w:numId w:val="8"/>
        </w:numPr>
        <w:rPr>
          <w:lang w:val="en-GB"/>
        </w:rPr>
      </w:pPr>
      <w:r w:rsidRPr="001D67AF">
        <w:rPr>
          <w:lang w:val="en-GB"/>
        </w:rPr>
        <w:t>Increase in eligible patients following the removal of the splenectomy restriction. An additional 7% applied to the natural market growth of TPO-RAs in year 1 in the base case. Increase in eligible patients following the removal of the splenectomy restriction was increased and decreased by 5% in the sensitivity analysis.</w:t>
      </w:r>
    </w:p>
    <w:p w14:paraId="3DD58173" w14:textId="1C4CC3D8" w:rsidR="00EB64AB" w:rsidRDefault="00173A90" w:rsidP="003C0228">
      <w:pPr>
        <w:pStyle w:val="3-BodyText"/>
      </w:pPr>
      <w:r>
        <w:t xml:space="preserve">The PBAC considered that </w:t>
      </w:r>
      <w:r w:rsidR="00385769">
        <w:t xml:space="preserve">initial </w:t>
      </w:r>
      <w:r>
        <w:t xml:space="preserve">uptake could be </w:t>
      </w:r>
      <w:r w:rsidR="00385769">
        <w:t>up to 50%</w:t>
      </w:r>
      <w:r>
        <w:t xml:space="preserve">, based on Al-Samkari et al 2022. </w:t>
      </w:r>
      <w:r w:rsidRPr="00173A90">
        <w:t>Given the fundamental problems with the estimation of dose equivalence as well as the unknown degree of substitution of avatrombopag for eltrombopag and romiplostim, the PBAC considered that it is not possible to determine the true likely financial impact of PBS listing.</w:t>
      </w:r>
      <w:r>
        <w:t xml:space="preserve"> </w:t>
      </w:r>
      <w:r w:rsidR="00EB64AB">
        <w:t xml:space="preserve">The PBAC noted </w:t>
      </w:r>
      <w:r>
        <w:t>however, the results of t</w:t>
      </w:r>
      <w:r w:rsidR="00EB64AB">
        <w:t>he sensitivity analyses presented</w:t>
      </w:r>
      <w:r>
        <w:t>, and that these</w:t>
      </w:r>
      <w:r w:rsidR="00EB64AB">
        <w:t xml:space="preserve"> </w:t>
      </w:r>
      <w:r>
        <w:t xml:space="preserve">indicated that avatrombopag would remain cost-neutral/cost-saving for each of the analyses presented. </w:t>
      </w:r>
    </w:p>
    <w:p w14:paraId="6B2E87F3" w14:textId="24FE3844" w:rsidR="005307B6" w:rsidRPr="001D67AF" w:rsidRDefault="005307B6" w:rsidP="005307B6">
      <w:pPr>
        <w:pStyle w:val="3-BodyText"/>
        <w:numPr>
          <w:ilvl w:val="0"/>
          <w:numId w:val="0"/>
        </w:numPr>
        <w:ind w:left="720"/>
      </w:pPr>
      <w:r w:rsidRPr="00C33D30">
        <w:rPr>
          <w:i/>
        </w:rPr>
        <w:t>For more detail on PBAC’s view, see section 7 PBAC outcome.</w:t>
      </w:r>
    </w:p>
    <w:p w14:paraId="064B0716" w14:textId="77777777" w:rsidR="000B52F2" w:rsidRPr="0090150D" w:rsidRDefault="000B52F2" w:rsidP="00F913DB">
      <w:pPr>
        <w:pStyle w:val="2-SectionHeading"/>
      </w:pPr>
      <w:bookmarkStart w:id="52" w:name="_Hlk76381249"/>
      <w:bookmarkStart w:id="53" w:name="_Hlk76377955"/>
      <w:bookmarkStart w:id="54" w:name="_Toc113903639"/>
      <w:r w:rsidRPr="0090150D">
        <w:t>PBAC Outcome</w:t>
      </w:r>
    </w:p>
    <w:p w14:paraId="075B7F15" w14:textId="1A5632A8" w:rsidR="000B52F2" w:rsidRPr="00493D42" w:rsidRDefault="008F5825" w:rsidP="000B52F2">
      <w:pPr>
        <w:widowControl w:val="0"/>
        <w:numPr>
          <w:ilvl w:val="1"/>
          <w:numId w:val="1"/>
        </w:numPr>
        <w:spacing w:after="120"/>
        <w:rPr>
          <w:rFonts w:asciiTheme="minorHAnsi" w:hAnsiTheme="minorHAnsi"/>
          <w:snapToGrid w:val="0"/>
          <w:lang w:val="en-GB"/>
        </w:rPr>
      </w:pPr>
      <w:bookmarkStart w:id="55" w:name="_Hlk111543188"/>
      <w:r>
        <w:rPr>
          <w:rFonts w:asciiTheme="minorHAnsi" w:hAnsiTheme="minorHAnsi"/>
          <w:snapToGrid w:val="0"/>
          <w:lang w:val="en-GB"/>
        </w:rPr>
        <w:t xml:space="preserve">The PBAC recommended the </w:t>
      </w:r>
      <w:r w:rsidR="00D0109A">
        <w:rPr>
          <w:rFonts w:asciiTheme="minorHAnsi" w:hAnsiTheme="minorHAnsi"/>
          <w:snapToGrid w:val="0"/>
          <w:lang w:val="en-GB"/>
        </w:rPr>
        <w:t>Section 100 (Highly Specialised Drugs Program – Public and Private Hospital)</w:t>
      </w:r>
      <w:r>
        <w:rPr>
          <w:rFonts w:asciiTheme="minorHAnsi" w:hAnsiTheme="minorHAnsi"/>
          <w:snapToGrid w:val="0"/>
          <w:lang w:val="en-GB"/>
        </w:rPr>
        <w:t>, Authority Required listing of avatrombopag for the treatment of</w:t>
      </w:r>
      <w:r w:rsidR="00E0577B">
        <w:rPr>
          <w:rFonts w:asciiTheme="minorHAnsi" w:hAnsiTheme="minorHAnsi"/>
          <w:snapToGrid w:val="0"/>
          <w:lang w:val="en-GB"/>
        </w:rPr>
        <w:t xml:space="preserve"> </w:t>
      </w:r>
      <w:r w:rsidR="00491974">
        <w:rPr>
          <w:rFonts w:asciiTheme="minorHAnsi" w:hAnsiTheme="minorHAnsi"/>
          <w:snapToGrid w:val="0"/>
          <w:lang w:val="en-GB"/>
        </w:rPr>
        <w:t>s</w:t>
      </w:r>
      <w:r w:rsidR="00E0577B" w:rsidRPr="00E0577B">
        <w:rPr>
          <w:rFonts w:asciiTheme="minorHAnsi" w:hAnsiTheme="minorHAnsi"/>
          <w:snapToGrid w:val="0"/>
          <w:lang w:val="en-GB"/>
        </w:rPr>
        <w:t xml:space="preserve">evere thrombocytopenia in patients with chronic </w:t>
      </w:r>
      <w:r>
        <w:rPr>
          <w:rFonts w:asciiTheme="minorHAnsi" w:hAnsiTheme="minorHAnsi"/>
          <w:snapToGrid w:val="0"/>
          <w:lang w:val="en-GB"/>
        </w:rPr>
        <w:t xml:space="preserve">idiopathic thrombocytopenic purpura (ITP). The PBAC’s recommendation for listing was based on, among other matters, its assessment that the cost-effectiveness of avatrombopag would be acceptable if it were cost minimised to eltrombopag. The PBAC considered, based on the evidence presented (including observational evidence and meta-analyses identified following the submission), that avatrombopag is likely to be of non-inferior comparative effectiveness and safety to eltrombopag. </w:t>
      </w:r>
    </w:p>
    <w:p w14:paraId="0F3409C5" w14:textId="08DAC126" w:rsidR="008F5825" w:rsidRDefault="008F5825" w:rsidP="000B52F2">
      <w:pPr>
        <w:widowControl w:val="0"/>
        <w:numPr>
          <w:ilvl w:val="1"/>
          <w:numId w:val="1"/>
        </w:numPr>
        <w:spacing w:after="120"/>
        <w:rPr>
          <w:rFonts w:asciiTheme="minorHAnsi" w:hAnsiTheme="minorHAnsi"/>
          <w:snapToGrid w:val="0"/>
          <w:lang w:val="en-GB"/>
        </w:rPr>
      </w:pPr>
      <w:bookmarkStart w:id="56" w:name="_Ref118727999"/>
      <w:bookmarkEnd w:id="55"/>
      <w:r>
        <w:rPr>
          <w:rFonts w:asciiTheme="minorHAnsi" w:hAnsiTheme="minorHAnsi"/>
          <w:snapToGrid w:val="0"/>
          <w:lang w:val="en-GB"/>
        </w:rPr>
        <w:t xml:space="preserve">The PBAC </w:t>
      </w:r>
      <w:r w:rsidR="000A70AE">
        <w:rPr>
          <w:rFonts w:asciiTheme="minorHAnsi" w:hAnsiTheme="minorHAnsi"/>
          <w:snapToGrid w:val="0"/>
          <w:lang w:val="en-GB"/>
        </w:rPr>
        <w:t xml:space="preserve">noted </w:t>
      </w:r>
      <w:r>
        <w:rPr>
          <w:rFonts w:asciiTheme="minorHAnsi" w:hAnsiTheme="minorHAnsi"/>
          <w:snapToGrid w:val="0"/>
          <w:lang w:val="en-GB"/>
        </w:rPr>
        <w:t xml:space="preserve">there was </w:t>
      </w:r>
      <w:r w:rsidR="000A70AE">
        <w:rPr>
          <w:rFonts w:asciiTheme="minorHAnsi" w:hAnsiTheme="minorHAnsi"/>
          <w:snapToGrid w:val="0"/>
          <w:lang w:val="en-GB"/>
        </w:rPr>
        <w:t xml:space="preserve">some </w:t>
      </w:r>
      <w:r>
        <w:rPr>
          <w:rFonts w:asciiTheme="minorHAnsi" w:hAnsiTheme="minorHAnsi"/>
          <w:snapToGrid w:val="0"/>
          <w:lang w:val="en-GB"/>
        </w:rPr>
        <w:t xml:space="preserve">uncertainty with determining the equi-effective doses of avatrombopag and eltrombopag, as the trial-based equi-effective doses were </w:t>
      </w:r>
      <w:r w:rsidR="00C35D48">
        <w:rPr>
          <w:rFonts w:asciiTheme="minorHAnsi" w:hAnsiTheme="minorHAnsi"/>
          <w:snapToGrid w:val="0"/>
          <w:lang w:val="en-GB"/>
        </w:rPr>
        <w:t>of uncertain applicability to likely</w:t>
      </w:r>
      <w:r>
        <w:rPr>
          <w:rFonts w:asciiTheme="minorHAnsi" w:hAnsiTheme="minorHAnsi"/>
          <w:snapToGrid w:val="0"/>
          <w:lang w:val="en-GB"/>
        </w:rPr>
        <w:t xml:space="preserve"> clinical practice</w:t>
      </w:r>
      <w:r w:rsidR="008D034E">
        <w:rPr>
          <w:rFonts w:asciiTheme="minorHAnsi" w:hAnsiTheme="minorHAnsi"/>
          <w:snapToGrid w:val="0"/>
          <w:lang w:val="en-GB"/>
        </w:rPr>
        <w:t xml:space="preserve"> (</w:t>
      </w:r>
      <w:r w:rsidR="005107A7">
        <w:rPr>
          <w:rFonts w:asciiTheme="minorHAnsi" w:hAnsiTheme="minorHAnsi"/>
          <w:snapToGrid w:val="0"/>
          <w:lang w:val="en-GB"/>
        </w:rPr>
        <w:t>m</w:t>
      </w:r>
      <w:r w:rsidR="00EF438D">
        <w:rPr>
          <w:rFonts w:asciiTheme="minorHAnsi" w:hAnsiTheme="minorHAnsi"/>
          <w:snapToGrid w:val="0"/>
          <w:lang w:val="en-GB"/>
        </w:rPr>
        <w:t xml:space="preserve">ultiple dose forms were available in the clinical trials, however only the </w:t>
      </w:r>
      <w:r w:rsidR="0051694B">
        <w:rPr>
          <w:rFonts w:asciiTheme="minorHAnsi" w:hAnsiTheme="minorHAnsi"/>
          <w:snapToGrid w:val="0"/>
          <w:lang w:val="en-GB"/>
        </w:rPr>
        <w:t>20 </w:t>
      </w:r>
      <w:r w:rsidR="00EF438D">
        <w:rPr>
          <w:rFonts w:asciiTheme="minorHAnsi" w:hAnsiTheme="minorHAnsi"/>
          <w:snapToGrid w:val="0"/>
          <w:lang w:val="en-GB"/>
        </w:rPr>
        <w:t>mg tablet will be TGA registered and PBS listed for use in Australia</w:t>
      </w:r>
      <w:r w:rsidR="008D034E">
        <w:rPr>
          <w:rFonts w:asciiTheme="minorHAnsi" w:hAnsiTheme="minorHAnsi"/>
          <w:snapToGrid w:val="0"/>
          <w:lang w:val="en-GB"/>
        </w:rPr>
        <w:t>)</w:t>
      </w:r>
      <w:r w:rsidR="0080246B">
        <w:rPr>
          <w:rFonts w:asciiTheme="minorHAnsi" w:hAnsiTheme="minorHAnsi"/>
          <w:snapToGrid w:val="0"/>
          <w:lang w:val="en-GB"/>
        </w:rPr>
        <w:t>.</w:t>
      </w:r>
      <w:r w:rsidR="00EF438D">
        <w:rPr>
          <w:rFonts w:asciiTheme="minorHAnsi" w:hAnsiTheme="minorHAnsi"/>
          <w:snapToGrid w:val="0"/>
          <w:lang w:val="en-GB"/>
        </w:rPr>
        <w:t xml:space="preserve"> However, the PBAC </w:t>
      </w:r>
      <w:r w:rsidR="005912E2">
        <w:rPr>
          <w:rFonts w:asciiTheme="minorHAnsi" w:hAnsiTheme="minorHAnsi"/>
          <w:snapToGrid w:val="0"/>
          <w:lang w:val="en-GB"/>
        </w:rPr>
        <w:t>considered</w:t>
      </w:r>
      <w:r w:rsidR="00EF438D">
        <w:rPr>
          <w:rFonts w:asciiTheme="minorHAnsi" w:hAnsiTheme="minorHAnsi"/>
          <w:snapToGrid w:val="0"/>
          <w:lang w:val="en-GB"/>
        </w:rPr>
        <w:t xml:space="preserve"> the real-world evidence presented in </w:t>
      </w:r>
      <w:r w:rsidR="00EF438D" w:rsidRPr="00EF438D">
        <w:rPr>
          <w:rFonts w:asciiTheme="minorHAnsi" w:hAnsiTheme="minorHAnsi"/>
          <w:snapToGrid w:val="0"/>
          <w:lang w:val="en-GB"/>
        </w:rPr>
        <w:t>Al‐Samkari</w:t>
      </w:r>
      <w:r w:rsidR="00EF438D">
        <w:rPr>
          <w:rFonts w:asciiTheme="minorHAnsi" w:hAnsiTheme="minorHAnsi"/>
          <w:snapToGrid w:val="0"/>
          <w:lang w:val="en-GB"/>
        </w:rPr>
        <w:t xml:space="preserve"> et al 2022</w:t>
      </w:r>
      <w:r w:rsidR="0070280E">
        <w:rPr>
          <w:rFonts w:asciiTheme="minorHAnsi" w:hAnsiTheme="minorHAnsi"/>
          <w:snapToGrid w:val="0"/>
          <w:lang w:val="en-GB"/>
        </w:rPr>
        <w:t xml:space="preserve"> (described in</w:t>
      </w:r>
      <w:r w:rsidR="0080246B">
        <w:rPr>
          <w:rFonts w:asciiTheme="minorHAnsi" w:hAnsiTheme="minorHAnsi"/>
          <w:snapToGrid w:val="0"/>
          <w:lang w:val="en-GB"/>
        </w:rPr>
        <w:t xml:space="preserve"> </w:t>
      </w:r>
      <w:r w:rsidR="0080246B" w:rsidRPr="00EC2BBF">
        <w:rPr>
          <w:rFonts w:asciiTheme="minorHAnsi" w:hAnsiTheme="minorHAnsi"/>
          <w:snapToGrid w:val="0"/>
          <w:lang w:val="en-GB"/>
        </w:rPr>
        <w:t>paragraph</w:t>
      </w:r>
      <w:r w:rsidR="00EC2BBF">
        <w:rPr>
          <w:rFonts w:asciiTheme="minorHAnsi" w:hAnsiTheme="minorHAnsi"/>
          <w:snapToGrid w:val="0"/>
          <w:lang w:val="en-GB"/>
        </w:rPr>
        <w:t xml:space="preserve"> </w:t>
      </w:r>
      <w:r w:rsidR="00EC2BBF">
        <w:rPr>
          <w:rFonts w:asciiTheme="minorHAnsi" w:hAnsiTheme="minorHAnsi"/>
          <w:snapToGrid w:val="0"/>
          <w:lang w:val="en-GB"/>
        </w:rPr>
        <w:fldChar w:fldCharType="begin" w:fldLock="1"/>
      </w:r>
      <w:r w:rsidR="00EC2BBF">
        <w:rPr>
          <w:rFonts w:asciiTheme="minorHAnsi" w:hAnsiTheme="minorHAnsi"/>
          <w:snapToGrid w:val="0"/>
          <w:lang w:val="en-GB"/>
        </w:rPr>
        <w:instrText xml:space="preserve"> REF _Ref119311036 \r \h </w:instrText>
      </w:r>
      <w:r w:rsidR="00EC2BBF">
        <w:rPr>
          <w:rFonts w:asciiTheme="minorHAnsi" w:hAnsiTheme="minorHAnsi"/>
          <w:snapToGrid w:val="0"/>
          <w:lang w:val="en-GB"/>
        </w:rPr>
      </w:r>
      <w:r w:rsidR="00EC2BBF">
        <w:rPr>
          <w:rFonts w:asciiTheme="minorHAnsi" w:hAnsiTheme="minorHAnsi"/>
          <w:snapToGrid w:val="0"/>
          <w:lang w:val="en-GB"/>
        </w:rPr>
        <w:fldChar w:fldCharType="separate"/>
      </w:r>
      <w:r w:rsidR="00EC2BBF">
        <w:rPr>
          <w:rFonts w:asciiTheme="minorHAnsi" w:hAnsiTheme="minorHAnsi"/>
          <w:snapToGrid w:val="0"/>
          <w:lang w:val="en-GB"/>
        </w:rPr>
        <w:t>6.21</w:t>
      </w:r>
      <w:r w:rsidR="00EC2BBF">
        <w:rPr>
          <w:rFonts w:asciiTheme="minorHAnsi" w:hAnsiTheme="minorHAnsi"/>
          <w:snapToGrid w:val="0"/>
          <w:lang w:val="en-GB"/>
        </w:rPr>
        <w:fldChar w:fldCharType="end"/>
      </w:r>
      <w:r w:rsidR="0070280E">
        <w:rPr>
          <w:rFonts w:asciiTheme="minorHAnsi" w:hAnsiTheme="minorHAnsi"/>
          <w:snapToGrid w:val="0"/>
          <w:lang w:val="en-GB"/>
        </w:rPr>
        <w:t>)</w:t>
      </w:r>
      <w:r w:rsidR="00EF438D">
        <w:rPr>
          <w:rFonts w:asciiTheme="minorHAnsi" w:hAnsiTheme="minorHAnsi"/>
          <w:snapToGrid w:val="0"/>
          <w:lang w:val="en-GB"/>
        </w:rPr>
        <w:t xml:space="preserve"> was informative for triangulating the likely dose in practice and noted the mean weekly avatrombopag </w:t>
      </w:r>
      <w:r w:rsidR="005912E2">
        <w:rPr>
          <w:rFonts w:asciiTheme="minorHAnsi" w:hAnsiTheme="minorHAnsi"/>
          <w:snapToGrid w:val="0"/>
          <w:lang w:val="en-GB"/>
        </w:rPr>
        <w:t>dose observed was 154.</w:t>
      </w:r>
      <w:r w:rsidR="0051694B">
        <w:rPr>
          <w:rFonts w:asciiTheme="minorHAnsi" w:hAnsiTheme="minorHAnsi"/>
          <w:snapToGrid w:val="0"/>
          <w:lang w:val="en-GB"/>
        </w:rPr>
        <w:t>1 </w:t>
      </w:r>
      <w:r w:rsidR="005912E2">
        <w:rPr>
          <w:rFonts w:asciiTheme="minorHAnsi" w:hAnsiTheme="minorHAnsi"/>
          <w:snapToGrid w:val="0"/>
          <w:lang w:val="en-GB"/>
        </w:rPr>
        <w:t>mg (22.</w:t>
      </w:r>
      <w:r w:rsidR="0051694B">
        <w:rPr>
          <w:rFonts w:asciiTheme="minorHAnsi" w:hAnsiTheme="minorHAnsi"/>
          <w:snapToGrid w:val="0"/>
          <w:lang w:val="en-GB"/>
        </w:rPr>
        <w:t>01 </w:t>
      </w:r>
      <w:r w:rsidR="005912E2">
        <w:rPr>
          <w:rFonts w:asciiTheme="minorHAnsi" w:hAnsiTheme="minorHAnsi"/>
          <w:snapToGrid w:val="0"/>
          <w:lang w:val="en-GB"/>
        </w:rPr>
        <w:t>mg daily)</w:t>
      </w:r>
      <w:r w:rsidR="00C35D48">
        <w:rPr>
          <w:rFonts w:asciiTheme="minorHAnsi" w:hAnsiTheme="minorHAnsi"/>
          <w:snapToGrid w:val="0"/>
          <w:lang w:val="en-GB"/>
        </w:rPr>
        <w:t xml:space="preserve">. </w:t>
      </w:r>
      <w:r w:rsidR="005912E2">
        <w:rPr>
          <w:rFonts w:asciiTheme="minorHAnsi" w:hAnsiTheme="minorHAnsi"/>
          <w:snapToGrid w:val="0"/>
          <w:lang w:val="en-GB"/>
        </w:rPr>
        <w:t>The PBAC therefore considered the</w:t>
      </w:r>
      <w:r w:rsidR="000C7122">
        <w:rPr>
          <w:rFonts w:asciiTheme="minorHAnsi" w:hAnsiTheme="minorHAnsi"/>
          <w:snapToGrid w:val="0"/>
          <w:lang w:val="en-GB"/>
        </w:rPr>
        <w:t xml:space="preserve"> </w:t>
      </w:r>
      <w:r w:rsidR="000A70AE">
        <w:rPr>
          <w:rFonts w:asciiTheme="minorHAnsi" w:hAnsiTheme="minorHAnsi"/>
          <w:snapToGrid w:val="0"/>
          <w:lang w:val="en-GB"/>
        </w:rPr>
        <w:t xml:space="preserve">trial-based doses adequately </w:t>
      </w:r>
      <w:r w:rsidR="000C7122">
        <w:rPr>
          <w:rFonts w:asciiTheme="minorHAnsi" w:hAnsiTheme="minorHAnsi"/>
          <w:snapToGrid w:val="0"/>
          <w:lang w:val="en-GB"/>
        </w:rPr>
        <w:t>applicable and the</w:t>
      </w:r>
      <w:r w:rsidR="005912E2">
        <w:rPr>
          <w:rFonts w:asciiTheme="minorHAnsi" w:hAnsiTheme="minorHAnsi"/>
          <w:snapToGrid w:val="0"/>
          <w:lang w:val="en-GB"/>
        </w:rPr>
        <w:t xml:space="preserve"> equi-effective doses were avatrombopag 22.</w:t>
      </w:r>
      <w:r w:rsidR="0051694B">
        <w:rPr>
          <w:rFonts w:asciiTheme="minorHAnsi" w:hAnsiTheme="minorHAnsi"/>
          <w:snapToGrid w:val="0"/>
          <w:lang w:val="en-GB"/>
        </w:rPr>
        <w:t>34 </w:t>
      </w:r>
      <w:r w:rsidR="005912E2">
        <w:rPr>
          <w:rFonts w:asciiTheme="minorHAnsi" w:hAnsiTheme="minorHAnsi"/>
          <w:snapToGrid w:val="0"/>
          <w:lang w:val="en-GB"/>
        </w:rPr>
        <w:t>mg daily = 55.</w:t>
      </w:r>
      <w:r w:rsidR="0051694B">
        <w:rPr>
          <w:rFonts w:asciiTheme="minorHAnsi" w:hAnsiTheme="minorHAnsi"/>
          <w:snapToGrid w:val="0"/>
          <w:lang w:val="en-GB"/>
        </w:rPr>
        <w:t>2 </w:t>
      </w:r>
      <w:r w:rsidR="005912E2">
        <w:rPr>
          <w:rFonts w:asciiTheme="minorHAnsi" w:hAnsiTheme="minorHAnsi"/>
          <w:snapToGrid w:val="0"/>
          <w:lang w:val="en-GB"/>
        </w:rPr>
        <w:t>mg eltrombopag daily</w:t>
      </w:r>
      <w:r w:rsidR="0080246B">
        <w:rPr>
          <w:rFonts w:asciiTheme="minorHAnsi" w:hAnsiTheme="minorHAnsi"/>
          <w:snapToGrid w:val="0"/>
          <w:lang w:val="en-GB"/>
        </w:rPr>
        <w:t xml:space="preserve"> (as proposed in the submission)</w:t>
      </w:r>
      <w:r w:rsidR="005912E2">
        <w:rPr>
          <w:rFonts w:asciiTheme="minorHAnsi" w:hAnsiTheme="minorHAnsi"/>
          <w:snapToGrid w:val="0"/>
          <w:lang w:val="en-GB"/>
        </w:rPr>
        <w:t>.</w:t>
      </w:r>
      <w:bookmarkEnd w:id="56"/>
    </w:p>
    <w:p w14:paraId="16DEE504" w14:textId="310DCA6F" w:rsidR="000B52F2" w:rsidRPr="00CE42B4" w:rsidRDefault="009B56BE" w:rsidP="000B52F2">
      <w:pPr>
        <w:widowControl w:val="0"/>
        <w:numPr>
          <w:ilvl w:val="1"/>
          <w:numId w:val="1"/>
        </w:numPr>
        <w:spacing w:after="120"/>
        <w:rPr>
          <w:rFonts w:asciiTheme="minorHAnsi" w:hAnsiTheme="minorHAnsi"/>
          <w:snapToGrid w:val="0"/>
          <w:lang w:val="en-GB"/>
        </w:rPr>
      </w:pPr>
      <w:bookmarkStart w:id="57" w:name="_Ref118728304"/>
      <w:r>
        <w:rPr>
          <w:rFonts w:asciiTheme="minorHAnsi" w:hAnsiTheme="minorHAnsi"/>
          <w:snapToGrid w:val="0"/>
          <w:lang w:val="en-GB"/>
        </w:rPr>
        <w:t xml:space="preserve">The PBAC considered there was a moderate need for additional clinical options for the </w:t>
      </w:r>
      <w:r>
        <w:rPr>
          <w:rFonts w:asciiTheme="minorHAnsi" w:hAnsiTheme="minorHAnsi"/>
          <w:snapToGrid w:val="0"/>
          <w:lang w:val="en-GB"/>
        </w:rPr>
        <w:lastRenderedPageBreak/>
        <w:t>management of</w:t>
      </w:r>
      <w:r w:rsidR="00491974">
        <w:rPr>
          <w:rFonts w:asciiTheme="minorHAnsi" w:hAnsiTheme="minorHAnsi"/>
          <w:snapToGrid w:val="0"/>
          <w:lang w:val="en-GB"/>
        </w:rPr>
        <w:t xml:space="preserve"> severe thrombocytopenia in patients with ITP</w:t>
      </w:r>
      <w:r>
        <w:rPr>
          <w:rFonts w:asciiTheme="minorHAnsi" w:hAnsiTheme="minorHAnsi"/>
          <w:snapToGrid w:val="0"/>
          <w:lang w:val="en-GB"/>
        </w:rPr>
        <w:t xml:space="preserve"> in the later line setting (after failure or intolerance to corticosteroid and immunoglobulin therapy)</w:t>
      </w:r>
      <w:r w:rsidR="00FE0781">
        <w:rPr>
          <w:rFonts w:asciiTheme="minorHAnsi" w:hAnsiTheme="minorHAnsi"/>
          <w:snapToGrid w:val="0"/>
          <w:lang w:val="en-GB"/>
        </w:rPr>
        <w:t xml:space="preserve">. </w:t>
      </w:r>
      <w:r w:rsidR="00023BDD">
        <w:rPr>
          <w:rFonts w:asciiTheme="minorHAnsi" w:hAnsiTheme="minorHAnsi"/>
          <w:snapToGrid w:val="0"/>
          <w:lang w:val="en-GB"/>
        </w:rPr>
        <w:t xml:space="preserve">The PBAC noted the comments from patients and consumers highlighted the challenges of treatment with romiplostim and eltrombopag and agreed there was a clinical place for avatrombopag as an alternative treatment option. </w:t>
      </w:r>
      <w:r w:rsidR="00FE0781">
        <w:rPr>
          <w:rFonts w:asciiTheme="minorHAnsi" w:hAnsiTheme="minorHAnsi"/>
          <w:snapToGrid w:val="0"/>
          <w:lang w:val="en-GB"/>
        </w:rPr>
        <w:t>The PBAC</w:t>
      </w:r>
      <w:r>
        <w:rPr>
          <w:rFonts w:asciiTheme="minorHAnsi" w:hAnsiTheme="minorHAnsi"/>
          <w:snapToGrid w:val="0"/>
          <w:lang w:val="en-GB"/>
        </w:rPr>
        <w:t xml:space="preserve"> noted </w:t>
      </w:r>
      <w:r w:rsidR="000A70AE">
        <w:rPr>
          <w:rFonts w:asciiTheme="minorHAnsi" w:hAnsiTheme="minorHAnsi"/>
          <w:snapToGrid w:val="0"/>
          <w:lang w:val="en-GB"/>
        </w:rPr>
        <w:t xml:space="preserve">issues with </w:t>
      </w:r>
      <w:r>
        <w:rPr>
          <w:rFonts w:asciiTheme="minorHAnsi" w:hAnsiTheme="minorHAnsi"/>
          <w:snapToGrid w:val="0"/>
          <w:lang w:val="en-GB"/>
        </w:rPr>
        <w:t xml:space="preserve">the current PBS listed </w:t>
      </w:r>
      <w:r w:rsidRPr="009B56BE">
        <w:rPr>
          <w:rFonts w:asciiTheme="minorHAnsi" w:hAnsiTheme="minorHAnsi"/>
          <w:snapToGrid w:val="0"/>
          <w:lang w:val="en-GB"/>
        </w:rPr>
        <w:t>thrombopoietin-receptor agonist (TPO-R</w:t>
      </w:r>
      <w:r>
        <w:rPr>
          <w:rFonts w:asciiTheme="minorHAnsi" w:hAnsiTheme="minorHAnsi"/>
          <w:snapToGrid w:val="0"/>
          <w:lang w:val="en-GB"/>
        </w:rPr>
        <w:t>As)</w:t>
      </w:r>
      <w:r w:rsidR="000A70AE">
        <w:rPr>
          <w:rFonts w:asciiTheme="minorHAnsi" w:hAnsiTheme="minorHAnsi"/>
          <w:snapToGrid w:val="0"/>
          <w:lang w:val="en-GB"/>
        </w:rPr>
        <w:t xml:space="preserve"> highlighted in the consumer comments</w:t>
      </w:r>
      <w:r>
        <w:rPr>
          <w:rFonts w:asciiTheme="minorHAnsi" w:hAnsiTheme="minorHAnsi"/>
          <w:snapToGrid w:val="0"/>
          <w:lang w:val="en-GB"/>
        </w:rPr>
        <w:t>, with romiplostim being difficult to self-administer and eltrombopag</w:t>
      </w:r>
      <w:r w:rsidR="00903B0A">
        <w:rPr>
          <w:rFonts w:asciiTheme="minorHAnsi" w:hAnsiTheme="minorHAnsi"/>
          <w:snapToGrid w:val="0"/>
          <w:lang w:val="en-GB"/>
        </w:rPr>
        <w:t xml:space="preserve"> causing hepatotoxicity in some cases </w:t>
      </w:r>
      <w:r w:rsidR="00D96E64">
        <w:rPr>
          <w:rFonts w:asciiTheme="minorHAnsi" w:hAnsiTheme="minorHAnsi"/>
          <w:snapToGrid w:val="0"/>
          <w:lang w:val="en-GB"/>
        </w:rPr>
        <w:t>and also</w:t>
      </w:r>
      <w:r>
        <w:rPr>
          <w:rFonts w:asciiTheme="minorHAnsi" w:hAnsiTheme="minorHAnsi"/>
          <w:snapToGrid w:val="0"/>
          <w:lang w:val="en-GB"/>
        </w:rPr>
        <w:t xml:space="preserve"> </w:t>
      </w:r>
      <w:r w:rsidR="00903B0A">
        <w:rPr>
          <w:rFonts w:asciiTheme="minorHAnsi" w:hAnsiTheme="minorHAnsi"/>
          <w:snapToGrid w:val="0"/>
          <w:lang w:val="en-GB"/>
        </w:rPr>
        <w:t>having a significant cationic chelation effect</w:t>
      </w:r>
      <w:r w:rsidR="008C57A2">
        <w:rPr>
          <w:rFonts w:asciiTheme="minorHAnsi" w:hAnsiTheme="minorHAnsi"/>
          <w:snapToGrid w:val="0"/>
          <w:lang w:val="en-GB"/>
        </w:rPr>
        <w:t>,</w:t>
      </w:r>
      <w:r w:rsidR="00903B0A">
        <w:rPr>
          <w:rFonts w:asciiTheme="minorHAnsi" w:hAnsiTheme="minorHAnsi"/>
          <w:snapToGrid w:val="0"/>
          <w:lang w:val="en-GB"/>
        </w:rPr>
        <w:t xml:space="preserve"> which places significant dietary and mealtime restrictions on patients. </w:t>
      </w:r>
      <w:bookmarkEnd w:id="57"/>
    </w:p>
    <w:p w14:paraId="309384BE" w14:textId="7BF8BDBE" w:rsidR="00903B0A" w:rsidRPr="00102259" w:rsidRDefault="00135D3D" w:rsidP="00E17D78">
      <w:pPr>
        <w:pStyle w:val="3-BodyText"/>
        <w:rPr>
          <w:lang w:val="en-GB"/>
        </w:rPr>
      </w:pPr>
      <w:r w:rsidRPr="00102259">
        <w:rPr>
          <w:lang w:val="en-GB"/>
        </w:rPr>
        <w:t>T</w:t>
      </w:r>
      <w:r w:rsidR="00C35D48" w:rsidRPr="00102259">
        <w:rPr>
          <w:lang w:val="en-GB"/>
        </w:rPr>
        <w:t>he PBAC considered it was appropriate to</w:t>
      </w:r>
      <w:r w:rsidR="00903B0A" w:rsidRPr="00102259">
        <w:rPr>
          <w:lang w:val="en-GB"/>
        </w:rPr>
        <w:t xml:space="preserve"> align the listing of avatrombopag with eltrombopag</w:t>
      </w:r>
      <w:r w:rsidRPr="00102259">
        <w:rPr>
          <w:lang w:val="en-GB"/>
        </w:rPr>
        <w:t>,</w:t>
      </w:r>
      <w:r w:rsidR="00903B0A" w:rsidRPr="00102259">
        <w:rPr>
          <w:lang w:val="en-GB"/>
        </w:rPr>
        <w:t xml:space="preserve"> and for </w:t>
      </w:r>
      <w:r w:rsidR="00102259">
        <w:rPr>
          <w:lang w:val="en-GB"/>
        </w:rPr>
        <w:t xml:space="preserve">the </w:t>
      </w:r>
      <w:r w:rsidR="00102259" w:rsidRPr="00102259">
        <w:rPr>
          <w:lang w:val="en-GB"/>
        </w:rPr>
        <w:t xml:space="preserve">recommendations </w:t>
      </w:r>
      <w:r w:rsidR="00102259">
        <w:rPr>
          <w:lang w:val="en-GB"/>
        </w:rPr>
        <w:t>from r</w:t>
      </w:r>
      <w:r w:rsidR="00102259" w:rsidRPr="00102259">
        <w:rPr>
          <w:lang w:val="en-GB"/>
        </w:rPr>
        <w:t>eview of PBS restrictions for thrombopoietin</w:t>
      </w:r>
      <w:r w:rsidR="00EC2BBF">
        <w:rPr>
          <w:lang w:val="en-GB"/>
        </w:rPr>
        <w:t xml:space="preserve"> </w:t>
      </w:r>
      <w:r w:rsidR="00102259" w:rsidRPr="00102259">
        <w:rPr>
          <w:lang w:val="en-GB"/>
        </w:rPr>
        <w:t>receptor agonists (TPO-RA)</w:t>
      </w:r>
      <w:r w:rsidR="00102259">
        <w:rPr>
          <w:lang w:val="en-GB"/>
        </w:rPr>
        <w:t xml:space="preserve"> at</w:t>
      </w:r>
      <w:r w:rsidR="00102259" w:rsidRPr="00102259">
        <w:rPr>
          <w:lang w:val="en-GB"/>
        </w:rPr>
        <w:t xml:space="preserve"> </w:t>
      </w:r>
      <w:r w:rsidR="00903B0A" w:rsidRPr="00102259">
        <w:rPr>
          <w:lang w:val="en-GB"/>
        </w:rPr>
        <w:t>the May 2022 Intracycle meeting to be incorporated into the listing</w:t>
      </w:r>
      <w:r w:rsidR="00DA0153" w:rsidRPr="00102259">
        <w:rPr>
          <w:lang w:val="en-GB"/>
        </w:rPr>
        <w:t>. The PBAC</w:t>
      </w:r>
      <w:r w:rsidR="004A58E8" w:rsidRPr="00102259">
        <w:rPr>
          <w:lang w:val="en-GB"/>
        </w:rPr>
        <w:t xml:space="preserve"> agreed with the Secretariat</w:t>
      </w:r>
      <w:r w:rsidR="00132FDD" w:rsidRPr="00102259">
        <w:rPr>
          <w:lang w:val="en-GB"/>
        </w:rPr>
        <w:t>-</w:t>
      </w:r>
      <w:r w:rsidR="004A58E8" w:rsidRPr="00102259">
        <w:rPr>
          <w:lang w:val="en-GB"/>
        </w:rPr>
        <w:t xml:space="preserve">proposed change (accepted in the Pre-PBAC Response) to include criteria </w:t>
      </w:r>
      <w:r w:rsidRPr="00102259">
        <w:rPr>
          <w:lang w:val="en-GB"/>
        </w:rPr>
        <w:t xml:space="preserve">in the restriction </w:t>
      </w:r>
      <w:r w:rsidR="004A58E8" w:rsidRPr="00102259">
        <w:rPr>
          <w:lang w:val="en-GB"/>
        </w:rPr>
        <w:t>relating to switching due to intolerance to other TPO-RAs</w:t>
      </w:r>
      <w:r w:rsidR="00903B0A" w:rsidRPr="00102259">
        <w:rPr>
          <w:lang w:val="en-GB"/>
        </w:rPr>
        <w:t>. The PBAC noted a grandfather listing was requested for patients transitioning from a planned patient access program and considered this was reasonable.</w:t>
      </w:r>
    </w:p>
    <w:p w14:paraId="1740F814" w14:textId="3E1C6181" w:rsidR="000B52F2" w:rsidRPr="00CE42B4" w:rsidRDefault="00903B0A" w:rsidP="000B52F2">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the nominated primary comparator of eltrombopag, as an alternative TPO-RA with a similar mechanism of action and mode of administration</w:t>
      </w:r>
      <w:r w:rsidR="00132FDD">
        <w:rPr>
          <w:rFonts w:asciiTheme="minorHAnsi" w:hAnsiTheme="minorHAnsi"/>
          <w:snapToGrid w:val="0"/>
          <w:lang w:val="en-GB"/>
        </w:rPr>
        <w:t>,</w:t>
      </w:r>
      <w:r>
        <w:rPr>
          <w:rFonts w:asciiTheme="minorHAnsi" w:hAnsiTheme="minorHAnsi"/>
          <w:snapToGrid w:val="0"/>
          <w:lang w:val="en-GB"/>
        </w:rPr>
        <w:t xml:space="preserve"> was reasonable and considered the nominated secondary comparators of romiplostim and splenectomy </w:t>
      </w:r>
      <w:r w:rsidR="00132FDD">
        <w:rPr>
          <w:rFonts w:asciiTheme="minorHAnsi" w:hAnsiTheme="minorHAnsi"/>
          <w:snapToGrid w:val="0"/>
          <w:lang w:val="en-GB"/>
        </w:rPr>
        <w:t xml:space="preserve">were </w:t>
      </w:r>
      <w:r w:rsidR="00147FDA">
        <w:rPr>
          <w:rFonts w:asciiTheme="minorHAnsi" w:hAnsiTheme="minorHAnsi"/>
          <w:snapToGrid w:val="0"/>
          <w:lang w:val="en-GB"/>
        </w:rPr>
        <w:t xml:space="preserve">also </w:t>
      </w:r>
      <w:r>
        <w:rPr>
          <w:rFonts w:asciiTheme="minorHAnsi" w:hAnsiTheme="minorHAnsi"/>
          <w:snapToGrid w:val="0"/>
          <w:lang w:val="en-GB"/>
        </w:rPr>
        <w:t xml:space="preserve">reasonable. </w:t>
      </w:r>
    </w:p>
    <w:p w14:paraId="34BA0648" w14:textId="6B2D421F" w:rsidR="00D43D6E" w:rsidRDefault="00C35D48" w:rsidP="000B52F2">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pivotal trial evidence presented in the submission, which informed the indirect </w:t>
      </w:r>
      <w:r w:rsidR="00D96E64">
        <w:rPr>
          <w:rFonts w:asciiTheme="minorHAnsi" w:hAnsiTheme="minorHAnsi"/>
          <w:snapToGrid w:val="0"/>
          <w:lang w:val="en-GB"/>
        </w:rPr>
        <w:t>comparison</w:t>
      </w:r>
      <w:r>
        <w:rPr>
          <w:rFonts w:asciiTheme="minorHAnsi" w:hAnsiTheme="minorHAnsi"/>
          <w:snapToGrid w:val="0"/>
          <w:lang w:val="en-GB"/>
        </w:rPr>
        <w:t xml:space="preserve"> and cost</w:t>
      </w:r>
      <w:r w:rsidR="00D96E64">
        <w:rPr>
          <w:rFonts w:asciiTheme="minorHAnsi" w:hAnsiTheme="minorHAnsi"/>
          <w:snapToGrid w:val="0"/>
          <w:lang w:val="en-GB"/>
        </w:rPr>
        <w:t xml:space="preserve"> </w:t>
      </w:r>
      <w:r>
        <w:rPr>
          <w:rFonts w:asciiTheme="minorHAnsi" w:hAnsiTheme="minorHAnsi"/>
          <w:snapToGrid w:val="0"/>
          <w:lang w:val="en-GB"/>
        </w:rPr>
        <w:t xml:space="preserve">minimisation approach, was based on one </w:t>
      </w:r>
      <w:r w:rsidR="00D96E64">
        <w:rPr>
          <w:rFonts w:asciiTheme="minorHAnsi" w:hAnsiTheme="minorHAnsi"/>
          <w:snapToGrid w:val="0"/>
          <w:lang w:val="en-GB"/>
        </w:rPr>
        <w:t>RCT</w:t>
      </w:r>
      <w:r>
        <w:rPr>
          <w:rFonts w:asciiTheme="minorHAnsi" w:hAnsiTheme="minorHAnsi"/>
          <w:snapToGrid w:val="0"/>
          <w:lang w:val="en-GB"/>
        </w:rPr>
        <w:t xml:space="preserve"> of avatrombopag (Study 302) and one RCT of eltrombopag (RAISE). The Committee noted the sample sizes of the trials were small, especially for Study 302 (with only 32 patients treated with avatrombopag), and considered the limited evidence made assessing the clinical claim based on the ICT challenging and highly uncertain</w:t>
      </w:r>
      <w:r w:rsidR="00811919">
        <w:rPr>
          <w:rFonts w:asciiTheme="minorHAnsi" w:hAnsiTheme="minorHAnsi"/>
          <w:snapToGrid w:val="0"/>
          <w:lang w:val="en-GB"/>
        </w:rPr>
        <w:t>. This w</w:t>
      </w:r>
      <w:r>
        <w:rPr>
          <w:rFonts w:asciiTheme="minorHAnsi" w:hAnsiTheme="minorHAnsi"/>
          <w:snapToGrid w:val="0"/>
          <w:lang w:val="en-GB"/>
        </w:rPr>
        <w:t xml:space="preserve">as evidenced by the wide 95% confidence intervals across the five outcomes for which an ITC of avatrombopag and eltrombopag </w:t>
      </w:r>
      <w:r w:rsidR="003D2E9D">
        <w:rPr>
          <w:rFonts w:asciiTheme="minorHAnsi" w:hAnsiTheme="minorHAnsi"/>
          <w:snapToGrid w:val="0"/>
          <w:lang w:val="en-GB"/>
        </w:rPr>
        <w:t xml:space="preserve">was undertaken. The PBAC considered interpretation of the evidence presented in the submission was further complicated by the early withdrawal of patients in the placebo arm of Study 302 (16/17 withdrew early), of whom 15 proceeded to the open label phase and were subsequently treated with avatrombopag. </w:t>
      </w:r>
    </w:p>
    <w:p w14:paraId="3279D1C9" w14:textId="0BFEAE53" w:rsidR="000B52F2" w:rsidRPr="00CE42B4" w:rsidRDefault="00D43D6E" w:rsidP="000B52F2">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In addition to the RCT evidence, the</w:t>
      </w:r>
      <w:r w:rsidR="003D2E9D">
        <w:rPr>
          <w:rFonts w:asciiTheme="minorHAnsi" w:hAnsiTheme="minorHAnsi"/>
          <w:snapToGrid w:val="0"/>
          <w:lang w:val="en-GB"/>
        </w:rPr>
        <w:t xml:space="preserve"> </w:t>
      </w:r>
      <w:r>
        <w:rPr>
          <w:rFonts w:asciiTheme="minorHAnsi" w:hAnsiTheme="minorHAnsi"/>
          <w:snapToGrid w:val="0"/>
          <w:lang w:val="en-GB"/>
        </w:rPr>
        <w:t>PBAC</w:t>
      </w:r>
      <w:r w:rsidR="003D2E9D">
        <w:rPr>
          <w:rFonts w:asciiTheme="minorHAnsi" w:hAnsiTheme="minorHAnsi"/>
          <w:snapToGrid w:val="0"/>
          <w:lang w:val="en-GB"/>
        </w:rPr>
        <w:t xml:space="preserve"> considered the additional evidence raised by the ESC, including meta-analyses and real-world evidence </w:t>
      </w:r>
      <w:r w:rsidR="000F167F">
        <w:rPr>
          <w:rFonts w:asciiTheme="minorHAnsi" w:hAnsiTheme="minorHAnsi"/>
          <w:snapToGrid w:val="0"/>
          <w:lang w:val="en-GB"/>
        </w:rPr>
        <w:t>(</w:t>
      </w:r>
      <w:r w:rsidR="003D2E9D">
        <w:rPr>
          <w:rFonts w:asciiTheme="minorHAnsi" w:hAnsiTheme="minorHAnsi"/>
          <w:snapToGrid w:val="0"/>
          <w:lang w:val="en-GB"/>
        </w:rPr>
        <w:t xml:space="preserve">described in </w:t>
      </w:r>
      <w:r w:rsidR="003D2E9D" w:rsidRPr="00EC2BBF">
        <w:rPr>
          <w:rFonts w:asciiTheme="minorHAnsi" w:hAnsiTheme="minorHAnsi"/>
          <w:snapToGrid w:val="0"/>
          <w:lang w:val="en-GB"/>
        </w:rPr>
        <w:t>paragraph</w:t>
      </w:r>
      <w:r w:rsidR="0080246B">
        <w:rPr>
          <w:rFonts w:asciiTheme="minorHAnsi" w:hAnsiTheme="minorHAnsi"/>
          <w:snapToGrid w:val="0"/>
          <w:lang w:val="en-GB"/>
        </w:rPr>
        <w:t xml:space="preserve"> </w:t>
      </w:r>
      <w:r w:rsidR="00EC2BBF">
        <w:rPr>
          <w:rFonts w:asciiTheme="minorHAnsi" w:hAnsiTheme="minorHAnsi"/>
          <w:snapToGrid w:val="0"/>
          <w:lang w:val="en-GB"/>
        </w:rPr>
        <w:fldChar w:fldCharType="begin" w:fldLock="1"/>
      </w:r>
      <w:r w:rsidR="00EC2BBF">
        <w:rPr>
          <w:rFonts w:asciiTheme="minorHAnsi" w:hAnsiTheme="minorHAnsi"/>
          <w:snapToGrid w:val="0"/>
          <w:lang w:val="en-GB"/>
        </w:rPr>
        <w:instrText xml:space="preserve"> REF _Ref119311036 \r \h </w:instrText>
      </w:r>
      <w:r w:rsidR="00EC2BBF">
        <w:rPr>
          <w:rFonts w:asciiTheme="minorHAnsi" w:hAnsiTheme="minorHAnsi"/>
          <w:snapToGrid w:val="0"/>
          <w:lang w:val="en-GB"/>
        </w:rPr>
      </w:r>
      <w:r w:rsidR="00EC2BBF">
        <w:rPr>
          <w:rFonts w:asciiTheme="minorHAnsi" w:hAnsiTheme="minorHAnsi"/>
          <w:snapToGrid w:val="0"/>
          <w:lang w:val="en-GB"/>
        </w:rPr>
        <w:fldChar w:fldCharType="separate"/>
      </w:r>
      <w:r w:rsidR="00EC2BBF">
        <w:rPr>
          <w:rFonts w:asciiTheme="minorHAnsi" w:hAnsiTheme="minorHAnsi"/>
          <w:snapToGrid w:val="0"/>
          <w:lang w:val="en-GB"/>
        </w:rPr>
        <w:t>6.21</w:t>
      </w:r>
      <w:r w:rsidR="00EC2BBF">
        <w:rPr>
          <w:rFonts w:asciiTheme="minorHAnsi" w:hAnsiTheme="minorHAnsi"/>
          <w:snapToGrid w:val="0"/>
          <w:lang w:val="en-GB"/>
        </w:rPr>
        <w:fldChar w:fldCharType="end"/>
      </w:r>
      <w:r w:rsidR="000F167F">
        <w:rPr>
          <w:rFonts w:asciiTheme="minorHAnsi" w:hAnsiTheme="minorHAnsi"/>
          <w:snapToGrid w:val="0"/>
          <w:lang w:val="en-GB"/>
        </w:rPr>
        <w:t>)</w:t>
      </w:r>
      <w:r w:rsidR="003D2E9D">
        <w:rPr>
          <w:rFonts w:asciiTheme="minorHAnsi" w:hAnsiTheme="minorHAnsi"/>
          <w:snapToGrid w:val="0"/>
          <w:lang w:val="en-GB"/>
        </w:rPr>
        <w:t xml:space="preserve">, was informative supportive evidence to assess the comparative effectiveness of avatrombopag and eltrombopag. The PBAC considered it was reasonable to consider the totality of the available </w:t>
      </w:r>
      <w:r>
        <w:rPr>
          <w:rFonts w:asciiTheme="minorHAnsi" w:hAnsiTheme="minorHAnsi"/>
          <w:snapToGrid w:val="0"/>
          <w:lang w:val="en-GB"/>
        </w:rPr>
        <w:t>evidence and</w:t>
      </w:r>
      <w:r w:rsidR="003D2E9D">
        <w:rPr>
          <w:rFonts w:asciiTheme="minorHAnsi" w:hAnsiTheme="minorHAnsi"/>
          <w:snapToGrid w:val="0"/>
          <w:lang w:val="en-GB"/>
        </w:rPr>
        <w:t xml:space="preserve"> noted that while the evidence may not be </w:t>
      </w:r>
      <w:r>
        <w:rPr>
          <w:rFonts w:asciiTheme="minorHAnsi" w:hAnsiTheme="minorHAnsi"/>
          <w:snapToGrid w:val="0"/>
          <w:lang w:val="en-GB"/>
        </w:rPr>
        <w:t xml:space="preserve">definitive in establishing non-inferiority, </w:t>
      </w:r>
      <w:r w:rsidR="00BC3438">
        <w:rPr>
          <w:rFonts w:asciiTheme="minorHAnsi" w:hAnsiTheme="minorHAnsi"/>
          <w:snapToGrid w:val="0"/>
          <w:lang w:val="en-GB"/>
        </w:rPr>
        <w:t>there was</w:t>
      </w:r>
      <w:r>
        <w:rPr>
          <w:rFonts w:asciiTheme="minorHAnsi" w:hAnsiTheme="minorHAnsi"/>
          <w:snapToGrid w:val="0"/>
          <w:lang w:val="en-GB"/>
        </w:rPr>
        <w:t xml:space="preserve"> no clear signal of a difference in effectiveness between avatrombopag and eltrombopag. Overall, while there were residual uncertainties with the evidence, the PBAC </w:t>
      </w:r>
      <w:r>
        <w:rPr>
          <w:rFonts w:asciiTheme="minorHAnsi" w:hAnsiTheme="minorHAnsi"/>
          <w:snapToGrid w:val="0"/>
          <w:lang w:val="en-GB"/>
        </w:rPr>
        <w:lastRenderedPageBreak/>
        <w:t>considered a claim of non-inferior comparative effectiveness between avatrombopag and eltrombopag was likely to be reasonable.</w:t>
      </w:r>
      <w:r w:rsidR="001D41AB" w:rsidDel="001D41AB">
        <w:rPr>
          <w:rFonts w:asciiTheme="minorHAnsi" w:hAnsiTheme="minorHAnsi"/>
          <w:snapToGrid w:val="0"/>
          <w:lang w:val="en-GB"/>
        </w:rPr>
        <w:t xml:space="preserve"> </w:t>
      </w:r>
    </w:p>
    <w:p w14:paraId="59BFE3C6" w14:textId="4429CDCE" w:rsidR="000B52F2" w:rsidRPr="00CE42B4" w:rsidRDefault="008D3CE9" w:rsidP="000B52F2">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Similar</w:t>
      </w:r>
      <w:r w:rsidR="00AF0660">
        <w:rPr>
          <w:rFonts w:asciiTheme="minorHAnsi" w:hAnsiTheme="minorHAnsi"/>
          <w:snapToGrid w:val="0"/>
          <w:lang w:val="en-GB"/>
        </w:rPr>
        <w:t>ly,</w:t>
      </w:r>
      <w:r>
        <w:rPr>
          <w:rFonts w:asciiTheme="minorHAnsi" w:hAnsiTheme="minorHAnsi"/>
          <w:snapToGrid w:val="0"/>
          <w:lang w:val="en-GB"/>
        </w:rPr>
        <w:t xml:space="preserve"> the PBAC considered the comparative harms of avatrombopag were uncertain and difficult to assess due to the limited available data provided in the submission</w:t>
      </w:r>
      <w:r w:rsidR="002F799C">
        <w:rPr>
          <w:rFonts w:asciiTheme="minorHAnsi" w:hAnsiTheme="minorHAnsi"/>
          <w:snapToGrid w:val="0"/>
          <w:lang w:val="en-GB"/>
        </w:rPr>
        <w:t>. T</w:t>
      </w:r>
      <w:r>
        <w:rPr>
          <w:rFonts w:asciiTheme="minorHAnsi" w:hAnsiTheme="minorHAnsi"/>
          <w:snapToGrid w:val="0"/>
          <w:lang w:val="en-GB"/>
        </w:rPr>
        <w:t xml:space="preserve">he Committee noted </w:t>
      </w:r>
      <w:r w:rsidR="002F799C">
        <w:rPr>
          <w:rFonts w:asciiTheme="minorHAnsi" w:hAnsiTheme="minorHAnsi"/>
          <w:snapToGrid w:val="0"/>
          <w:lang w:val="en-GB"/>
        </w:rPr>
        <w:t xml:space="preserve">however, </w:t>
      </w:r>
      <w:r>
        <w:rPr>
          <w:rFonts w:asciiTheme="minorHAnsi" w:hAnsiTheme="minorHAnsi"/>
          <w:snapToGrid w:val="0"/>
          <w:lang w:val="en-GB"/>
        </w:rPr>
        <w:t>there was no signal for increased harms with avatrombopag in the available data and considered that overall a claim of non-inferior comparative safety to eltrombopag may be reasonable</w:t>
      </w:r>
      <w:r w:rsidR="002F799C">
        <w:rPr>
          <w:rFonts w:asciiTheme="minorHAnsi" w:hAnsiTheme="minorHAnsi"/>
          <w:snapToGrid w:val="0"/>
          <w:lang w:val="en-GB"/>
        </w:rPr>
        <w:t>.</w:t>
      </w:r>
      <w:r>
        <w:rPr>
          <w:rFonts w:asciiTheme="minorHAnsi" w:hAnsiTheme="minorHAnsi"/>
          <w:snapToGrid w:val="0"/>
          <w:lang w:val="en-GB"/>
        </w:rPr>
        <w:t xml:space="preserve"> </w:t>
      </w:r>
    </w:p>
    <w:p w14:paraId="3192145F" w14:textId="2F04DA25" w:rsidR="000B52F2" w:rsidRPr="00CE42B4" w:rsidRDefault="008D3CE9" w:rsidP="000B52F2">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the</w:t>
      </w:r>
      <w:r w:rsidR="00685F31">
        <w:rPr>
          <w:rFonts w:asciiTheme="minorHAnsi" w:hAnsiTheme="minorHAnsi"/>
          <w:snapToGrid w:val="0"/>
          <w:lang w:val="en-GB"/>
        </w:rPr>
        <w:t xml:space="preserve"> CMA</w:t>
      </w:r>
      <w:r>
        <w:rPr>
          <w:rFonts w:asciiTheme="minorHAnsi" w:hAnsiTheme="minorHAnsi"/>
          <w:snapToGrid w:val="0"/>
          <w:lang w:val="en-GB"/>
        </w:rPr>
        <w:t xml:space="preserve"> was overall likely to be reasonable, based on the </w:t>
      </w:r>
      <w:r w:rsidR="00204085">
        <w:rPr>
          <w:rFonts w:asciiTheme="minorHAnsi" w:hAnsiTheme="minorHAnsi"/>
          <w:snapToGrid w:val="0"/>
          <w:lang w:val="en-GB"/>
        </w:rPr>
        <w:t xml:space="preserve">recommended </w:t>
      </w:r>
      <w:r>
        <w:rPr>
          <w:rFonts w:asciiTheme="minorHAnsi" w:hAnsiTheme="minorHAnsi"/>
          <w:snapToGrid w:val="0"/>
          <w:lang w:val="en-GB"/>
        </w:rPr>
        <w:t>equi-effective doses (</w:t>
      </w:r>
      <w:r w:rsidRPr="00EC2BBF">
        <w:rPr>
          <w:rFonts w:asciiTheme="minorHAnsi" w:hAnsiTheme="minorHAnsi"/>
          <w:snapToGrid w:val="0"/>
          <w:lang w:val="en-GB"/>
        </w:rPr>
        <w:t xml:space="preserve">paragraph </w:t>
      </w:r>
      <w:r w:rsidRPr="00EC2BBF">
        <w:rPr>
          <w:rFonts w:asciiTheme="minorHAnsi" w:hAnsiTheme="minorHAnsi"/>
          <w:snapToGrid w:val="0"/>
          <w:lang w:val="en-GB"/>
        </w:rPr>
        <w:fldChar w:fldCharType="begin" w:fldLock="1"/>
      </w:r>
      <w:r w:rsidRPr="00EC2BBF">
        <w:rPr>
          <w:rFonts w:asciiTheme="minorHAnsi" w:hAnsiTheme="minorHAnsi"/>
          <w:snapToGrid w:val="0"/>
          <w:lang w:val="en-GB"/>
        </w:rPr>
        <w:instrText xml:space="preserve"> REF _Ref118727999 \r \h </w:instrText>
      </w:r>
      <w:r w:rsidR="00B265F3" w:rsidRPr="00EC2BBF">
        <w:rPr>
          <w:rFonts w:asciiTheme="minorHAnsi" w:hAnsiTheme="minorHAnsi"/>
          <w:snapToGrid w:val="0"/>
          <w:lang w:val="en-GB"/>
        </w:rPr>
        <w:instrText xml:space="preserve"> \* MERGEFORMAT </w:instrText>
      </w:r>
      <w:r w:rsidRPr="00EC2BBF">
        <w:rPr>
          <w:rFonts w:asciiTheme="minorHAnsi" w:hAnsiTheme="minorHAnsi"/>
          <w:snapToGrid w:val="0"/>
          <w:lang w:val="en-GB"/>
        </w:rPr>
      </w:r>
      <w:r w:rsidRPr="00EC2BBF">
        <w:rPr>
          <w:rFonts w:asciiTheme="minorHAnsi" w:hAnsiTheme="minorHAnsi"/>
          <w:snapToGrid w:val="0"/>
          <w:lang w:val="en-GB"/>
        </w:rPr>
        <w:fldChar w:fldCharType="separate"/>
      </w:r>
      <w:r w:rsidR="0080246B" w:rsidRPr="00EC2BBF">
        <w:rPr>
          <w:rFonts w:asciiTheme="minorHAnsi" w:hAnsiTheme="minorHAnsi"/>
          <w:snapToGrid w:val="0"/>
          <w:lang w:val="en-GB"/>
        </w:rPr>
        <w:t>7.2</w:t>
      </w:r>
      <w:r w:rsidRPr="00EC2BBF">
        <w:rPr>
          <w:rFonts w:asciiTheme="minorHAnsi" w:hAnsiTheme="minorHAnsi"/>
          <w:snapToGrid w:val="0"/>
          <w:lang w:val="en-GB"/>
        </w:rPr>
        <w:fldChar w:fldCharType="end"/>
      </w:r>
      <w:r>
        <w:rPr>
          <w:rFonts w:asciiTheme="minorHAnsi" w:hAnsiTheme="minorHAnsi"/>
          <w:snapToGrid w:val="0"/>
          <w:lang w:val="en-GB"/>
        </w:rPr>
        <w:t>)</w:t>
      </w:r>
      <w:r w:rsidR="00204085">
        <w:rPr>
          <w:rFonts w:asciiTheme="minorHAnsi" w:hAnsiTheme="minorHAnsi"/>
          <w:snapToGrid w:val="0"/>
          <w:lang w:val="en-GB"/>
        </w:rPr>
        <w:t xml:space="preserve"> and drug costs alone.</w:t>
      </w:r>
      <w:r>
        <w:rPr>
          <w:rFonts w:asciiTheme="minorHAnsi" w:hAnsiTheme="minorHAnsi"/>
          <w:snapToGrid w:val="0"/>
          <w:lang w:val="en-GB"/>
        </w:rPr>
        <w:t xml:space="preserve"> </w:t>
      </w:r>
      <w:r w:rsidR="00204085">
        <w:rPr>
          <w:rFonts w:asciiTheme="minorHAnsi" w:hAnsiTheme="minorHAnsi"/>
          <w:snapToGrid w:val="0"/>
          <w:lang w:val="en-GB"/>
        </w:rPr>
        <w:t>The PBAC</w:t>
      </w:r>
      <w:r>
        <w:rPr>
          <w:rFonts w:asciiTheme="minorHAnsi" w:hAnsiTheme="minorHAnsi"/>
          <w:snapToGrid w:val="0"/>
          <w:lang w:val="en-GB"/>
        </w:rPr>
        <w:t xml:space="preserve"> </w:t>
      </w:r>
      <w:r w:rsidR="00204085">
        <w:rPr>
          <w:rFonts w:asciiTheme="minorHAnsi" w:hAnsiTheme="minorHAnsi"/>
          <w:snapToGrid w:val="0"/>
          <w:lang w:val="en-GB"/>
        </w:rPr>
        <w:t xml:space="preserve">noted </w:t>
      </w:r>
      <w:r>
        <w:rPr>
          <w:rFonts w:asciiTheme="minorHAnsi" w:hAnsiTheme="minorHAnsi"/>
          <w:snapToGrid w:val="0"/>
          <w:lang w:val="en-GB"/>
        </w:rPr>
        <w:t xml:space="preserve">the PSCR agreement to exclude liver function test (LFT) costs from the </w:t>
      </w:r>
      <w:r w:rsidR="00204085">
        <w:rPr>
          <w:rFonts w:asciiTheme="minorHAnsi" w:hAnsiTheme="minorHAnsi"/>
          <w:snapToGrid w:val="0"/>
          <w:lang w:val="en-GB"/>
        </w:rPr>
        <w:t>CMA</w:t>
      </w:r>
      <w:r w:rsidR="002F799C">
        <w:rPr>
          <w:rFonts w:asciiTheme="minorHAnsi" w:hAnsiTheme="minorHAnsi"/>
          <w:snapToGrid w:val="0"/>
          <w:lang w:val="en-GB"/>
        </w:rPr>
        <w:t>.</w:t>
      </w:r>
      <w:bookmarkStart w:id="58" w:name="_Hlk119061556"/>
      <w:r w:rsidR="005107A7">
        <w:rPr>
          <w:rFonts w:asciiTheme="minorHAnsi" w:hAnsiTheme="minorHAnsi"/>
          <w:snapToGrid w:val="0"/>
          <w:lang w:val="en-GB"/>
        </w:rPr>
        <w:t xml:space="preserve"> </w:t>
      </w:r>
      <w:bookmarkEnd w:id="58"/>
    </w:p>
    <w:p w14:paraId="4C245A80" w14:textId="4CD10D04" w:rsidR="000B52F2" w:rsidRPr="0081599A" w:rsidRDefault="0081599A" w:rsidP="000B52F2">
      <w:pPr>
        <w:widowControl w:val="0"/>
        <w:numPr>
          <w:ilvl w:val="1"/>
          <w:numId w:val="1"/>
        </w:numPr>
        <w:spacing w:after="120"/>
      </w:pPr>
      <w:r w:rsidRPr="0081599A">
        <w:rPr>
          <w:rFonts w:asciiTheme="minorHAnsi" w:hAnsiTheme="minorHAnsi"/>
          <w:snapToGrid w:val="0"/>
          <w:lang w:val="en-GB"/>
        </w:rPr>
        <w:t xml:space="preserve">The PBAC considered the uptake of avatrombopag was highly uncertain </w:t>
      </w:r>
      <w:r>
        <w:rPr>
          <w:rFonts w:asciiTheme="minorHAnsi" w:hAnsiTheme="minorHAnsi"/>
          <w:snapToGrid w:val="0"/>
          <w:lang w:val="en-GB"/>
        </w:rPr>
        <w:t xml:space="preserve">and was of the view a substantial proportion of patients currently treated with romiplostim and eltrombopag could switch. </w:t>
      </w:r>
      <w:r w:rsidR="007C4172">
        <w:rPr>
          <w:rFonts w:asciiTheme="minorHAnsi" w:hAnsiTheme="minorHAnsi"/>
          <w:snapToGrid w:val="0"/>
          <w:lang w:val="en-GB"/>
        </w:rPr>
        <w:t>T</w:t>
      </w:r>
      <w:r>
        <w:rPr>
          <w:rFonts w:asciiTheme="minorHAnsi" w:hAnsiTheme="minorHAnsi"/>
          <w:snapToGrid w:val="0"/>
          <w:lang w:val="en-GB"/>
        </w:rPr>
        <w:t>he PBAC noted the utilisation and financial estimates indicated the listing of avatrombopag would be marginally cost</w:t>
      </w:r>
      <w:r w:rsidR="00A26978">
        <w:rPr>
          <w:rFonts w:asciiTheme="minorHAnsi" w:hAnsiTheme="minorHAnsi"/>
          <w:snapToGrid w:val="0"/>
          <w:lang w:val="en-GB"/>
        </w:rPr>
        <w:t xml:space="preserve"> </w:t>
      </w:r>
      <w:r>
        <w:rPr>
          <w:rFonts w:asciiTheme="minorHAnsi" w:hAnsiTheme="minorHAnsi"/>
          <w:snapToGrid w:val="0"/>
          <w:lang w:val="en-GB"/>
        </w:rPr>
        <w:t>saving to the PBS, however given the uncertain uptake</w:t>
      </w:r>
      <w:r w:rsidR="007C4172">
        <w:rPr>
          <w:rFonts w:asciiTheme="minorHAnsi" w:hAnsiTheme="minorHAnsi"/>
          <w:snapToGrid w:val="0"/>
          <w:lang w:val="en-GB"/>
        </w:rPr>
        <w:t>,</w:t>
      </w:r>
      <w:r>
        <w:rPr>
          <w:rFonts w:asciiTheme="minorHAnsi" w:hAnsiTheme="minorHAnsi"/>
          <w:snapToGrid w:val="0"/>
          <w:lang w:val="en-GB"/>
        </w:rPr>
        <w:t xml:space="preserve"> the Committee was of the view the listing of avatrombopag was </w:t>
      </w:r>
      <w:r w:rsidR="00AB0806">
        <w:rPr>
          <w:rFonts w:asciiTheme="minorHAnsi" w:hAnsiTheme="minorHAnsi"/>
          <w:snapToGrid w:val="0"/>
          <w:lang w:val="en-GB"/>
        </w:rPr>
        <w:t>more</w:t>
      </w:r>
      <w:r>
        <w:rPr>
          <w:rFonts w:asciiTheme="minorHAnsi" w:hAnsiTheme="minorHAnsi"/>
          <w:snapToGrid w:val="0"/>
          <w:lang w:val="en-GB"/>
        </w:rPr>
        <w:t xml:space="preserve"> likely to be cost neutral.</w:t>
      </w:r>
    </w:p>
    <w:p w14:paraId="619E0D04" w14:textId="3156634D" w:rsidR="000B52F2" w:rsidRPr="00525B39" w:rsidRDefault="000B52F2" w:rsidP="000B52F2">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advised that </w:t>
      </w:r>
      <w:r w:rsidR="008D3CE9">
        <w:rPr>
          <w:rFonts w:asciiTheme="minorHAnsi" w:hAnsiTheme="minorHAnsi"/>
          <w:bCs/>
          <w:snapToGrid w:val="0"/>
          <w:lang w:val="en-GB"/>
        </w:rPr>
        <w:t xml:space="preserve">avatrombopag </w:t>
      </w:r>
      <w:r w:rsidRPr="00525B39">
        <w:rPr>
          <w:rFonts w:asciiTheme="minorHAnsi" w:hAnsiTheme="minorHAnsi"/>
          <w:bCs/>
          <w:snapToGrid w:val="0"/>
          <w:lang w:val="en-GB"/>
        </w:rPr>
        <w:t>is not suitable for presc</w:t>
      </w:r>
      <w:r>
        <w:rPr>
          <w:rFonts w:asciiTheme="minorHAnsi" w:hAnsiTheme="minorHAnsi"/>
          <w:bCs/>
          <w:snapToGrid w:val="0"/>
          <w:lang w:val="en-GB"/>
        </w:rPr>
        <w:t>ribing by nurse practitioners</w:t>
      </w:r>
      <w:r w:rsidR="00D0109A">
        <w:rPr>
          <w:rFonts w:asciiTheme="minorHAnsi" w:hAnsiTheme="minorHAnsi"/>
          <w:bCs/>
          <w:snapToGrid w:val="0"/>
          <w:lang w:val="en-GB"/>
        </w:rPr>
        <w:t>, consistent with other TPO-RA listings</w:t>
      </w:r>
      <w:r>
        <w:rPr>
          <w:rFonts w:asciiTheme="minorHAnsi" w:hAnsiTheme="minorHAnsi"/>
          <w:bCs/>
          <w:snapToGrid w:val="0"/>
          <w:lang w:val="en-GB"/>
        </w:rPr>
        <w:t>.</w:t>
      </w:r>
    </w:p>
    <w:p w14:paraId="07664C5D" w14:textId="480DF528" w:rsidR="000B52F2" w:rsidRDefault="000B52F2" w:rsidP="000B52F2">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recommended that the Early Supply Rule should</w:t>
      </w:r>
      <w:r w:rsidR="00E0577B">
        <w:rPr>
          <w:rFonts w:asciiTheme="minorHAnsi" w:hAnsiTheme="minorHAnsi"/>
          <w:bCs/>
          <w:snapToGrid w:val="0"/>
          <w:lang w:val="en-GB"/>
        </w:rPr>
        <w:t xml:space="preserve"> not</w:t>
      </w:r>
      <w:r w:rsidRPr="00525B39">
        <w:rPr>
          <w:rFonts w:asciiTheme="minorHAnsi" w:hAnsiTheme="minorHAnsi"/>
          <w:bCs/>
          <w:snapToGrid w:val="0"/>
          <w:lang w:val="en-GB"/>
        </w:rPr>
        <w:t xml:space="preserve"> apply.</w:t>
      </w:r>
      <w:r w:rsidR="00D0109A">
        <w:rPr>
          <w:rFonts w:asciiTheme="minorHAnsi" w:hAnsiTheme="minorHAnsi"/>
          <w:bCs/>
          <w:snapToGrid w:val="0"/>
          <w:lang w:val="en-GB"/>
        </w:rPr>
        <w:t xml:space="preserve"> </w:t>
      </w:r>
    </w:p>
    <w:p w14:paraId="1C600729" w14:textId="687FA370" w:rsidR="009E6E85" w:rsidRDefault="009E6E85" w:rsidP="000B52F2">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considered the flow-on changes would be required to restrictions for eltrombopag </w:t>
      </w:r>
      <w:r w:rsidR="00C227E6">
        <w:rPr>
          <w:rFonts w:asciiTheme="minorHAnsi" w:hAnsiTheme="minorHAnsi"/>
          <w:bCs/>
          <w:snapToGrid w:val="0"/>
          <w:lang w:val="en-GB"/>
        </w:rPr>
        <w:t xml:space="preserve">(5825N, 5826P, 5827Q and 5828R) </w:t>
      </w:r>
      <w:r>
        <w:rPr>
          <w:rFonts w:asciiTheme="minorHAnsi" w:hAnsiTheme="minorHAnsi"/>
          <w:bCs/>
          <w:snapToGrid w:val="0"/>
          <w:lang w:val="en-GB"/>
        </w:rPr>
        <w:t>and romiplostim</w:t>
      </w:r>
      <w:r w:rsidR="00C227E6">
        <w:rPr>
          <w:rFonts w:asciiTheme="minorHAnsi" w:hAnsiTheme="minorHAnsi"/>
          <w:bCs/>
          <w:snapToGrid w:val="0"/>
          <w:lang w:val="en-GB"/>
        </w:rPr>
        <w:t xml:space="preserve"> (9696H, 9697J, 9698H, and 9699L)</w:t>
      </w:r>
      <w:r>
        <w:rPr>
          <w:rFonts w:asciiTheme="minorHAnsi" w:hAnsiTheme="minorHAnsi"/>
          <w:bCs/>
          <w:snapToGrid w:val="0"/>
          <w:lang w:val="en-GB"/>
        </w:rPr>
        <w:t>.</w:t>
      </w:r>
    </w:p>
    <w:p w14:paraId="61508DFE" w14:textId="3BB7FC8A" w:rsidR="00D0109A" w:rsidRPr="00525B39" w:rsidRDefault="00D0109A" w:rsidP="000B52F2">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The PBAC considered avatrombopag should not be considered interchangeable with any other drugs, including romiplostim and eltrombopag as there are clinically relevant differences between these therapies.</w:t>
      </w:r>
    </w:p>
    <w:p w14:paraId="584D9BB2" w14:textId="0F9F4E7C" w:rsidR="000B52F2" w:rsidRPr="00D0109A" w:rsidRDefault="000B52F2" w:rsidP="00D0109A">
      <w:pPr>
        <w:widowControl w:val="0"/>
        <w:numPr>
          <w:ilvl w:val="1"/>
          <w:numId w:val="1"/>
        </w:numPr>
        <w:spacing w:after="120"/>
        <w:rPr>
          <w:rFonts w:asciiTheme="minorHAnsi" w:hAnsiTheme="minorHAnsi"/>
          <w:bCs/>
          <w:snapToGrid w:val="0"/>
          <w:lang w:val="en-GB"/>
        </w:rPr>
      </w:pPr>
      <w:r w:rsidRPr="00D0109A">
        <w:rPr>
          <w:rFonts w:asciiTheme="minorHAnsi" w:hAnsiTheme="minorHAnsi"/>
          <w:bCs/>
          <w:snapToGrid w:val="0"/>
          <w:lang w:val="en-GB"/>
        </w:rPr>
        <w:t xml:space="preserve">The PBAC noted that its recommendation was on a cost-minimisation basis and advised that, because </w:t>
      </w:r>
      <w:r w:rsidR="00D0109A">
        <w:rPr>
          <w:rFonts w:asciiTheme="minorHAnsi" w:hAnsiTheme="minorHAnsi"/>
          <w:bCs/>
          <w:snapToGrid w:val="0"/>
          <w:lang w:val="en-GB"/>
        </w:rPr>
        <w:t xml:space="preserve">avatrombopag </w:t>
      </w:r>
      <w:r w:rsidRPr="00D0109A">
        <w:rPr>
          <w:rFonts w:asciiTheme="minorHAnsi" w:hAnsiTheme="minorHAnsi"/>
          <w:bCs/>
          <w:snapToGrid w:val="0"/>
          <w:lang w:val="en-GB"/>
        </w:rPr>
        <w:t xml:space="preserve">is not expected to provide a substantial and clinically relevant improvement in efficacy, or reduction of toxicity, over </w:t>
      </w:r>
      <w:r w:rsidR="00D0109A">
        <w:rPr>
          <w:rFonts w:asciiTheme="minorHAnsi" w:hAnsiTheme="minorHAnsi"/>
          <w:bCs/>
          <w:snapToGrid w:val="0"/>
          <w:lang w:val="en-GB"/>
        </w:rPr>
        <w:t>eltrombopag</w:t>
      </w:r>
      <w:r w:rsidRPr="00D0109A">
        <w:rPr>
          <w:rFonts w:asciiTheme="minorHAnsi" w:hAnsiTheme="minorHAnsi"/>
          <w:bCs/>
          <w:snapToGrid w:val="0"/>
          <w:lang w:val="en-GB"/>
        </w:rPr>
        <w:t xml:space="preserve">, or not expected to address a high and urgent unmet clinical need given the presence of an alternative therapy, the criteria prescribed by the </w:t>
      </w:r>
      <w:r w:rsidRPr="00D0109A">
        <w:rPr>
          <w:rFonts w:asciiTheme="minorHAnsi" w:hAnsiTheme="minorHAnsi"/>
          <w:bCs/>
          <w:i/>
          <w:iCs/>
          <w:snapToGrid w:val="0"/>
          <w:lang w:val="en-GB"/>
        </w:rPr>
        <w:t>National Health (Pharmaceuticals and Vaccines – Cost Recovery) Regulations 2022</w:t>
      </w:r>
      <w:r w:rsidRPr="00D0109A">
        <w:rPr>
          <w:rFonts w:asciiTheme="minorHAnsi" w:hAnsiTheme="minorHAnsi"/>
          <w:bCs/>
          <w:snapToGrid w:val="0"/>
          <w:lang w:val="en-GB"/>
        </w:rPr>
        <w:t xml:space="preserve"> for Pricing Pathway A were not met.</w:t>
      </w:r>
    </w:p>
    <w:p w14:paraId="0789C2B6" w14:textId="494BB664" w:rsidR="00D0109A" w:rsidRPr="00D0109A" w:rsidRDefault="000B52F2" w:rsidP="00D0109A">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noted that this submission is not eligible for an Independent Review</w:t>
      </w:r>
      <w:r w:rsidR="00D0109A">
        <w:rPr>
          <w:rFonts w:asciiTheme="minorHAnsi" w:hAnsiTheme="minorHAnsi"/>
          <w:bCs/>
          <w:snapToGrid w:val="0"/>
          <w:lang w:val="en-GB"/>
        </w:rPr>
        <w:t xml:space="preserve"> as it received a positive recommendation</w:t>
      </w:r>
      <w:r w:rsidRPr="00525B39">
        <w:rPr>
          <w:rFonts w:asciiTheme="minorHAnsi" w:hAnsiTheme="minorHAnsi"/>
          <w:bCs/>
          <w:snapToGrid w:val="0"/>
          <w:lang w:val="en-GB"/>
        </w:rPr>
        <w:t>.</w:t>
      </w:r>
    </w:p>
    <w:p w14:paraId="6FE56D71" w14:textId="3525D98B" w:rsidR="000B52F2" w:rsidRPr="00D0109A" w:rsidRDefault="000B52F2" w:rsidP="00D0109A">
      <w:pPr>
        <w:widowControl w:val="0"/>
        <w:spacing w:after="120"/>
        <w:rPr>
          <w:rFonts w:asciiTheme="minorHAnsi" w:hAnsiTheme="minorHAnsi"/>
          <w:b/>
          <w:bCs/>
          <w:snapToGrid w:val="0"/>
          <w:lang w:val="en-GB"/>
        </w:rPr>
      </w:pPr>
      <w:r w:rsidRPr="00525B39">
        <w:rPr>
          <w:rFonts w:asciiTheme="minorHAnsi" w:hAnsiTheme="minorHAnsi"/>
          <w:b/>
          <w:bCs/>
          <w:snapToGrid w:val="0"/>
          <w:lang w:val="en-GB"/>
        </w:rPr>
        <w:t>Outcome</w:t>
      </w:r>
      <w:r w:rsidR="00D0109A">
        <w:rPr>
          <w:rFonts w:asciiTheme="minorHAnsi" w:hAnsiTheme="minorHAnsi"/>
          <w:b/>
          <w:bCs/>
          <w:snapToGrid w:val="0"/>
          <w:lang w:val="en-GB"/>
        </w:rPr>
        <w:t xml:space="preserve">: </w:t>
      </w:r>
      <w:r w:rsidR="00D0109A">
        <w:rPr>
          <w:rFonts w:asciiTheme="minorHAnsi" w:hAnsiTheme="minorHAnsi"/>
          <w:b/>
          <w:bCs/>
          <w:snapToGrid w:val="0"/>
          <w:lang w:val="en-GB"/>
        </w:rPr>
        <w:br/>
      </w:r>
      <w:r w:rsidRPr="00525B39">
        <w:rPr>
          <w:rFonts w:asciiTheme="minorHAnsi" w:hAnsiTheme="minorHAnsi"/>
          <w:bCs/>
          <w:snapToGrid w:val="0"/>
          <w:lang w:val="en-GB"/>
        </w:rPr>
        <w:t>Recommended</w:t>
      </w:r>
    </w:p>
    <w:bookmarkEnd w:id="52"/>
    <w:p w14:paraId="695B1D7A" w14:textId="77777777" w:rsidR="000B52F2" w:rsidRPr="00F237A4" w:rsidRDefault="000B52F2" w:rsidP="00F913DB">
      <w:pPr>
        <w:pStyle w:val="2-SectionHeading"/>
        <w:rPr>
          <w:b w:val="0"/>
          <w:iCs/>
          <w:lang w:val="en-GB"/>
        </w:rPr>
      </w:pPr>
      <w:r w:rsidRPr="00F913DB">
        <w:lastRenderedPageBreak/>
        <w:t>Recommended</w:t>
      </w:r>
      <w:r w:rsidRPr="00525B39">
        <w:rPr>
          <w:lang w:val="en-GB"/>
        </w:rPr>
        <w:t xml:space="preserve"> listing</w:t>
      </w:r>
    </w:p>
    <w:p w14:paraId="378E90F8" w14:textId="1F0B7571" w:rsidR="000B52F2" w:rsidRPr="00C24E21" w:rsidRDefault="000B52F2" w:rsidP="00E30BAD">
      <w:pPr>
        <w:widowControl w:val="0"/>
        <w:numPr>
          <w:ilvl w:val="1"/>
          <w:numId w:val="1"/>
        </w:numPr>
        <w:spacing w:after="120"/>
        <w:contextualSpacing/>
        <w:rPr>
          <w:rFonts w:asciiTheme="minorHAnsi" w:hAnsiTheme="minorHAnsi"/>
          <w:b/>
          <w:bCs/>
          <w:snapToGrid w:val="0"/>
        </w:rPr>
      </w:pPr>
      <w:r w:rsidRPr="00E30BAD">
        <w:rPr>
          <w:rFonts w:asciiTheme="minorHAnsi" w:hAnsiTheme="minorHAnsi"/>
          <w:bCs/>
          <w:snapToGrid w:val="0"/>
        </w:rPr>
        <w:t>Add new item</w:t>
      </w:r>
      <w:r w:rsidR="00723EEE">
        <w:rPr>
          <w:rFonts w:asciiTheme="minorHAnsi" w:hAnsiTheme="minorHAnsi"/>
          <w:bCs/>
          <w:snapToGrid w:val="0"/>
        </w:rPr>
        <w:t xml:space="preserve">, as described below. Flow on changes to romiplostim </w:t>
      </w:r>
      <w:r w:rsidR="0051694B">
        <w:rPr>
          <w:rFonts w:asciiTheme="minorHAnsi" w:hAnsiTheme="minorHAnsi"/>
          <w:bCs/>
          <w:snapToGrid w:val="0"/>
        </w:rPr>
        <w:t>500 </w:t>
      </w:r>
      <w:r w:rsidR="00723EEE">
        <w:rPr>
          <w:rFonts w:asciiTheme="minorHAnsi" w:hAnsiTheme="minorHAnsi"/>
          <w:bCs/>
          <w:snapToGrid w:val="0"/>
        </w:rPr>
        <w:t xml:space="preserve">microgram (9698K, 9699L), romiplostim 250 </w:t>
      </w:r>
      <w:r w:rsidR="00723EEE" w:rsidRPr="00C24E21">
        <w:rPr>
          <w:rFonts w:asciiTheme="minorHAnsi" w:hAnsiTheme="minorHAnsi"/>
          <w:bCs/>
          <w:snapToGrid w:val="0"/>
        </w:rPr>
        <w:t>microgram (969</w:t>
      </w:r>
      <w:r w:rsidR="004638D1" w:rsidRPr="00C24E21">
        <w:rPr>
          <w:rFonts w:asciiTheme="minorHAnsi" w:hAnsiTheme="minorHAnsi"/>
          <w:bCs/>
          <w:snapToGrid w:val="0"/>
        </w:rPr>
        <w:t>6</w:t>
      </w:r>
      <w:r w:rsidR="00723EEE" w:rsidRPr="00C24E21">
        <w:rPr>
          <w:rFonts w:asciiTheme="minorHAnsi" w:hAnsiTheme="minorHAnsi"/>
          <w:bCs/>
          <w:snapToGrid w:val="0"/>
        </w:rPr>
        <w:t xml:space="preserve">H, 9697J), eltrombopag </w:t>
      </w:r>
      <w:r w:rsidR="0051694B" w:rsidRPr="00C24E21">
        <w:rPr>
          <w:rFonts w:asciiTheme="minorHAnsi" w:hAnsiTheme="minorHAnsi"/>
          <w:bCs/>
          <w:snapToGrid w:val="0"/>
        </w:rPr>
        <w:t>50</w:t>
      </w:r>
      <w:r w:rsidR="0051694B">
        <w:rPr>
          <w:rFonts w:asciiTheme="minorHAnsi" w:hAnsiTheme="minorHAnsi"/>
          <w:bCs/>
          <w:snapToGrid w:val="0"/>
        </w:rPr>
        <w:t> </w:t>
      </w:r>
      <w:r w:rsidR="00723EEE" w:rsidRPr="00C24E21">
        <w:rPr>
          <w:rFonts w:asciiTheme="minorHAnsi" w:hAnsiTheme="minorHAnsi"/>
          <w:bCs/>
          <w:snapToGrid w:val="0"/>
        </w:rPr>
        <w:t>mg (5826P, 5828R) and eltrombopag 25 mg (5825N, 5827Q) will be required to allow for switching to avatrombopag</w:t>
      </w:r>
      <w:r w:rsidR="00A433DD" w:rsidRPr="00C24E21">
        <w:rPr>
          <w:rFonts w:asciiTheme="minorHAnsi" w:hAnsiTheme="minorHAnsi"/>
          <w:bCs/>
          <w:snapToGrid w:val="0"/>
        </w:rPr>
        <w:t>,</w:t>
      </w:r>
      <w:r w:rsidR="004638D1" w:rsidRPr="00C24E21">
        <w:rPr>
          <w:rFonts w:asciiTheme="minorHAnsi" w:hAnsiTheme="minorHAnsi"/>
          <w:bCs/>
          <w:snapToGrid w:val="0"/>
        </w:rPr>
        <w:t xml:space="preserve"> and to remove the treatment</w:t>
      </w:r>
      <w:r w:rsidR="00A433DD" w:rsidRPr="00C24E21">
        <w:rPr>
          <w:rFonts w:asciiTheme="minorHAnsi" w:hAnsiTheme="minorHAnsi"/>
          <w:bCs/>
          <w:snapToGrid w:val="0"/>
        </w:rPr>
        <w:t xml:space="preserve"> dose and</w:t>
      </w:r>
      <w:r w:rsidR="004638D1" w:rsidRPr="00C24E21">
        <w:rPr>
          <w:rFonts w:asciiTheme="minorHAnsi" w:hAnsiTheme="minorHAnsi"/>
          <w:bCs/>
          <w:snapToGrid w:val="0"/>
        </w:rPr>
        <w:t xml:space="preserve"> duration </w:t>
      </w:r>
      <w:r w:rsidR="006D7324" w:rsidRPr="00C24E21">
        <w:rPr>
          <w:rFonts w:asciiTheme="minorHAnsi" w:hAnsiTheme="minorHAnsi"/>
          <w:bCs/>
          <w:snapToGrid w:val="0"/>
        </w:rPr>
        <w:t>for prior corticosteroid therapy</w:t>
      </w:r>
      <w:r w:rsidR="00723EEE" w:rsidRPr="00C24E21">
        <w:rPr>
          <w:rFonts w:asciiTheme="minorHAnsi" w:hAnsiTheme="minorHAnsi"/>
          <w:bCs/>
          <w:snapToGrid w:val="0"/>
        </w:rPr>
        <w:t>.</w:t>
      </w:r>
    </w:p>
    <w:p w14:paraId="2F006994" w14:textId="77777777" w:rsidR="00F913DB" w:rsidRPr="00E30BAD" w:rsidRDefault="00F913DB" w:rsidP="00F913DB">
      <w:pPr>
        <w:widowControl w:val="0"/>
        <w:spacing w:after="120"/>
        <w:ind w:left="720"/>
        <w:contextualSpacing/>
        <w:rPr>
          <w:rFonts w:asciiTheme="minorHAnsi" w:hAnsiTheme="minorHAnsi"/>
          <w:b/>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
        <w:gridCol w:w="489"/>
        <w:gridCol w:w="2965"/>
        <w:gridCol w:w="988"/>
        <w:gridCol w:w="846"/>
        <w:gridCol w:w="705"/>
        <w:gridCol w:w="705"/>
        <w:gridCol w:w="1830"/>
      </w:tblGrid>
      <w:tr w:rsidR="002E4972" w:rsidRPr="00D96E64" w14:paraId="41A68426" w14:textId="77777777" w:rsidTr="00750019">
        <w:trPr>
          <w:cantSplit/>
          <w:trHeight w:val="471"/>
        </w:trPr>
        <w:tc>
          <w:tcPr>
            <w:tcW w:w="2186" w:type="pct"/>
            <w:gridSpan w:val="3"/>
          </w:tcPr>
          <w:bookmarkEnd w:id="53"/>
          <w:bookmarkEnd w:id="54"/>
          <w:p w14:paraId="108AF12B" w14:textId="77777777" w:rsidR="002E4972" w:rsidRPr="00D96E64" w:rsidRDefault="002E4972" w:rsidP="00750019">
            <w:pPr>
              <w:keepNext/>
              <w:ind w:left="-57"/>
              <w:rPr>
                <w:rFonts w:ascii="Arial Narrow" w:hAnsi="Arial Narrow"/>
                <w:b/>
                <w:bCs/>
                <w:sz w:val="20"/>
                <w:szCs w:val="20"/>
              </w:rPr>
            </w:pPr>
            <w:r w:rsidRPr="00D96E64">
              <w:rPr>
                <w:rFonts w:ascii="Arial Narrow" w:hAnsi="Arial Narrow"/>
                <w:b/>
                <w:bCs/>
                <w:sz w:val="20"/>
                <w:szCs w:val="20"/>
              </w:rPr>
              <w:t>MEDICINAL PRODUCT</w:t>
            </w:r>
          </w:p>
          <w:p w14:paraId="3D52AC8D" w14:textId="77777777" w:rsidR="002E4972" w:rsidRPr="00D96E64" w:rsidRDefault="002E4972" w:rsidP="00750019">
            <w:pPr>
              <w:keepNext/>
              <w:ind w:left="-57"/>
              <w:rPr>
                <w:rFonts w:ascii="Arial Narrow" w:hAnsi="Arial Narrow"/>
                <w:b/>
                <w:sz w:val="20"/>
                <w:szCs w:val="20"/>
              </w:rPr>
            </w:pPr>
            <w:r w:rsidRPr="00D96E64">
              <w:rPr>
                <w:rFonts w:ascii="Arial Narrow" w:hAnsi="Arial Narrow"/>
                <w:b/>
                <w:bCs/>
                <w:sz w:val="20"/>
                <w:szCs w:val="20"/>
              </w:rPr>
              <w:t>medicinal product pack</w:t>
            </w:r>
          </w:p>
        </w:tc>
        <w:tc>
          <w:tcPr>
            <w:tcW w:w="548" w:type="pct"/>
          </w:tcPr>
          <w:p w14:paraId="27B28453" w14:textId="77777777" w:rsidR="002E4972" w:rsidRPr="00D96E64" w:rsidRDefault="002E4972" w:rsidP="00750019">
            <w:pPr>
              <w:keepNext/>
              <w:ind w:left="-108"/>
              <w:jc w:val="center"/>
              <w:rPr>
                <w:rFonts w:ascii="Arial Narrow" w:hAnsi="Arial Narrow"/>
                <w:b/>
                <w:sz w:val="20"/>
                <w:szCs w:val="20"/>
              </w:rPr>
            </w:pPr>
            <w:r w:rsidRPr="00D96E64">
              <w:rPr>
                <w:rFonts w:ascii="Arial Narrow" w:hAnsi="Arial Narrow"/>
                <w:b/>
                <w:sz w:val="20"/>
                <w:szCs w:val="20"/>
              </w:rPr>
              <w:t>PBS item code</w:t>
            </w:r>
          </w:p>
        </w:tc>
        <w:tc>
          <w:tcPr>
            <w:tcW w:w="469" w:type="pct"/>
          </w:tcPr>
          <w:p w14:paraId="068B3B99" w14:textId="77777777" w:rsidR="002E4972" w:rsidRPr="00D96E64" w:rsidRDefault="002E4972" w:rsidP="00750019">
            <w:pPr>
              <w:keepNext/>
              <w:ind w:left="-108"/>
              <w:jc w:val="center"/>
              <w:rPr>
                <w:rFonts w:ascii="Arial Narrow" w:hAnsi="Arial Narrow"/>
                <w:b/>
                <w:sz w:val="20"/>
                <w:szCs w:val="20"/>
              </w:rPr>
            </w:pPr>
            <w:r w:rsidRPr="00D96E64">
              <w:rPr>
                <w:rFonts w:ascii="Arial Narrow" w:hAnsi="Arial Narrow"/>
                <w:b/>
                <w:sz w:val="20"/>
                <w:szCs w:val="20"/>
              </w:rPr>
              <w:t>Max. qty packs</w:t>
            </w:r>
          </w:p>
        </w:tc>
        <w:tc>
          <w:tcPr>
            <w:tcW w:w="391" w:type="pct"/>
          </w:tcPr>
          <w:p w14:paraId="267A0F16" w14:textId="77777777" w:rsidR="002E4972" w:rsidRPr="00D96E64" w:rsidRDefault="002E4972" w:rsidP="00750019">
            <w:pPr>
              <w:keepNext/>
              <w:ind w:left="-108"/>
              <w:jc w:val="center"/>
              <w:rPr>
                <w:rFonts w:ascii="Arial Narrow" w:hAnsi="Arial Narrow"/>
                <w:b/>
                <w:sz w:val="20"/>
                <w:szCs w:val="20"/>
              </w:rPr>
            </w:pPr>
            <w:r w:rsidRPr="00D96E64">
              <w:rPr>
                <w:rFonts w:ascii="Arial Narrow" w:hAnsi="Arial Narrow"/>
                <w:b/>
                <w:sz w:val="20"/>
                <w:szCs w:val="20"/>
              </w:rPr>
              <w:t>Max. qty units</w:t>
            </w:r>
          </w:p>
        </w:tc>
        <w:tc>
          <w:tcPr>
            <w:tcW w:w="391" w:type="pct"/>
          </w:tcPr>
          <w:p w14:paraId="33A182CE" w14:textId="77777777" w:rsidR="002E4972" w:rsidRPr="00D96E64" w:rsidRDefault="002E4972" w:rsidP="00750019">
            <w:pPr>
              <w:keepNext/>
              <w:ind w:left="-108"/>
              <w:jc w:val="center"/>
              <w:rPr>
                <w:rFonts w:ascii="Arial Narrow" w:hAnsi="Arial Narrow"/>
                <w:b/>
                <w:sz w:val="20"/>
                <w:szCs w:val="20"/>
              </w:rPr>
            </w:pPr>
            <w:r w:rsidRPr="00D96E64">
              <w:rPr>
                <w:rFonts w:ascii="Arial Narrow" w:hAnsi="Arial Narrow"/>
                <w:b/>
                <w:sz w:val="20"/>
                <w:szCs w:val="20"/>
              </w:rPr>
              <w:t>№.of</w:t>
            </w:r>
          </w:p>
          <w:p w14:paraId="5623DB12" w14:textId="77777777" w:rsidR="002E4972" w:rsidRPr="00D96E64" w:rsidRDefault="002E4972" w:rsidP="00750019">
            <w:pPr>
              <w:keepNext/>
              <w:ind w:left="-108"/>
              <w:jc w:val="center"/>
              <w:rPr>
                <w:rFonts w:ascii="Arial Narrow" w:hAnsi="Arial Narrow"/>
                <w:b/>
                <w:sz w:val="20"/>
                <w:szCs w:val="20"/>
              </w:rPr>
            </w:pPr>
            <w:r w:rsidRPr="00D96E64">
              <w:rPr>
                <w:rFonts w:ascii="Arial Narrow" w:hAnsi="Arial Narrow"/>
                <w:b/>
                <w:sz w:val="20"/>
                <w:szCs w:val="20"/>
              </w:rPr>
              <w:t>Rpts</w:t>
            </w:r>
          </w:p>
        </w:tc>
        <w:tc>
          <w:tcPr>
            <w:tcW w:w="1015" w:type="pct"/>
          </w:tcPr>
          <w:p w14:paraId="38983142" w14:textId="77777777" w:rsidR="002E4972" w:rsidRPr="00D96E64" w:rsidRDefault="002E4972" w:rsidP="00750019">
            <w:pPr>
              <w:keepNext/>
              <w:rPr>
                <w:rFonts w:ascii="Arial Narrow" w:hAnsi="Arial Narrow"/>
                <w:b/>
                <w:sz w:val="20"/>
                <w:szCs w:val="20"/>
                <w:lang w:val="fr-FR"/>
              </w:rPr>
            </w:pPr>
            <w:r w:rsidRPr="00D96E64">
              <w:rPr>
                <w:rFonts w:ascii="Arial Narrow" w:hAnsi="Arial Narrow"/>
                <w:b/>
                <w:sz w:val="20"/>
                <w:szCs w:val="20"/>
              </w:rPr>
              <w:t>Available brands</w:t>
            </w:r>
          </w:p>
        </w:tc>
      </w:tr>
      <w:tr w:rsidR="002E4972" w:rsidRPr="00D96E64" w14:paraId="268807B4" w14:textId="77777777" w:rsidTr="00750019">
        <w:trPr>
          <w:cantSplit/>
          <w:trHeight w:val="224"/>
        </w:trPr>
        <w:tc>
          <w:tcPr>
            <w:tcW w:w="5000" w:type="pct"/>
            <w:gridSpan w:val="8"/>
          </w:tcPr>
          <w:p w14:paraId="2C28711C" w14:textId="77777777" w:rsidR="002E4972" w:rsidRPr="00D96E64" w:rsidRDefault="002E4972" w:rsidP="00750019">
            <w:pPr>
              <w:keepNext/>
              <w:ind w:left="-57"/>
              <w:rPr>
                <w:rFonts w:ascii="Arial Narrow" w:hAnsi="Arial Narrow"/>
                <w:sz w:val="20"/>
                <w:szCs w:val="20"/>
              </w:rPr>
            </w:pPr>
            <w:r w:rsidRPr="00D96E64">
              <w:rPr>
                <w:rFonts w:ascii="Arial Narrow" w:hAnsi="Arial Narrow"/>
                <w:sz w:val="20"/>
                <w:szCs w:val="20"/>
              </w:rPr>
              <w:t>AVATROMBOPAG</w:t>
            </w:r>
          </w:p>
        </w:tc>
      </w:tr>
      <w:tr w:rsidR="002E4972" w:rsidRPr="00D96E64" w14:paraId="442D1E6A" w14:textId="77777777" w:rsidTr="00750019">
        <w:trPr>
          <w:cantSplit/>
          <w:trHeight w:val="347"/>
        </w:trPr>
        <w:tc>
          <w:tcPr>
            <w:tcW w:w="2186" w:type="pct"/>
            <w:gridSpan w:val="3"/>
          </w:tcPr>
          <w:p w14:paraId="4B9C57A3" w14:textId="1AB4034C" w:rsidR="002E4972" w:rsidRPr="00D96E64" w:rsidRDefault="002E4972" w:rsidP="00750019">
            <w:pPr>
              <w:keepNext/>
              <w:ind w:left="-57"/>
              <w:rPr>
                <w:rFonts w:ascii="Arial Narrow" w:hAnsi="Arial Narrow"/>
                <w:sz w:val="20"/>
                <w:szCs w:val="20"/>
              </w:rPr>
            </w:pPr>
            <w:r w:rsidRPr="00D96E64">
              <w:rPr>
                <w:rFonts w:ascii="Arial Narrow" w:hAnsi="Arial Narrow"/>
                <w:sz w:val="20"/>
                <w:szCs w:val="20"/>
              </w:rPr>
              <w:t>avatrombopag 20 mg tablets, 30</w:t>
            </w:r>
          </w:p>
        </w:tc>
        <w:tc>
          <w:tcPr>
            <w:tcW w:w="548" w:type="pct"/>
          </w:tcPr>
          <w:p w14:paraId="47DADA7C" w14:textId="77777777" w:rsidR="002E4972" w:rsidRPr="00D96E64" w:rsidRDefault="002E4972" w:rsidP="00750019">
            <w:pPr>
              <w:keepNext/>
              <w:jc w:val="center"/>
              <w:rPr>
                <w:rFonts w:ascii="Arial Narrow" w:hAnsi="Arial Narrow"/>
                <w:sz w:val="20"/>
                <w:szCs w:val="20"/>
              </w:rPr>
            </w:pPr>
            <w:r w:rsidRPr="00D96E64">
              <w:rPr>
                <w:rFonts w:ascii="Arial Narrow" w:hAnsi="Arial Narrow"/>
                <w:sz w:val="20"/>
                <w:szCs w:val="20"/>
              </w:rPr>
              <w:t>NEW</w:t>
            </w:r>
          </w:p>
        </w:tc>
        <w:tc>
          <w:tcPr>
            <w:tcW w:w="469" w:type="pct"/>
          </w:tcPr>
          <w:p w14:paraId="31FCB1D2" w14:textId="06EF3E93" w:rsidR="002E4972" w:rsidRPr="00D96E64" w:rsidRDefault="002E4972" w:rsidP="00750019">
            <w:pPr>
              <w:keepNext/>
              <w:jc w:val="center"/>
              <w:rPr>
                <w:rFonts w:ascii="Arial Narrow" w:hAnsi="Arial Narrow"/>
                <w:sz w:val="20"/>
                <w:szCs w:val="20"/>
              </w:rPr>
            </w:pPr>
            <w:r w:rsidRPr="00D96E64">
              <w:rPr>
                <w:rFonts w:ascii="Arial Narrow" w:hAnsi="Arial Narrow"/>
                <w:sz w:val="20"/>
                <w:szCs w:val="20"/>
              </w:rPr>
              <w:t>1</w:t>
            </w:r>
          </w:p>
        </w:tc>
        <w:tc>
          <w:tcPr>
            <w:tcW w:w="391" w:type="pct"/>
          </w:tcPr>
          <w:p w14:paraId="463E98E9" w14:textId="77777777" w:rsidR="002E4972" w:rsidRPr="00D96E64" w:rsidRDefault="002E4972" w:rsidP="00750019">
            <w:pPr>
              <w:keepNext/>
              <w:jc w:val="center"/>
              <w:rPr>
                <w:rFonts w:ascii="Arial Narrow" w:hAnsi="Arial Narrow"/>
                <w:sz w:val="20"/>
                <w:szCs w:val="20"/>
              </w:rPr>
            </w:pPr>
            <w:r w:rsidRPr="00D96E64">
              <w:rPr>
                <w:rFonts w:ascii="Arial Narrow" w:hAnsi="Arial Narrow"/>
                <w:sz w:val="20"/>
                <w:szCs w:val="20"/>
              </w:rPr>
              <w:t>30</w:t>
            </w:r>
          </w:p>
        </w:tc>
        <w:tc>
          <w:tcPr>
            <w:tcW w:w="391" w:type="pct"/>
          </w:tcPr>
          <w:p w14:paraId="6A7CF164" w14:textId="77777777" w:rsidR="002E4972" w:rsidRPr="00D96E64" w:rsidRDefault="002E4972" w:rsidP="00750019">
            <w:pPr>
              <w:keepNext/>
              <w:jc w:val="center"/>
              <w:rPr>
                <w:rFonts w:ascii="Arial Narrow" w:hAnsi="Arial Narrow"/>
                <w:sz w:val="20"/>
                <w:szCs w:val="20"/>
              </w:rPr>
            </w:pPr>
            <w:r w:rsidRPr="00D96E64">
              <w:rPr>
                <w:rFonts w:ascii="Arial Narrow" w:hAnsi="Arial Narrow"/>
                <w:sz w:val="20"/>
                <w:szCs w:val="20"/>
              </w:rPr>
              <w:t>5</w:t>
            </w:r>
          </w:p>
        </w:tc>
        <w:tc>
          <w:tcPr>
            <w:tcW w:w="1015" w:type="pct"/>
          </w:tcPr>
          <w:p w14:paraId="564585DC" w14:textId="77777777" w:rsidR="002E4972" w:rsidRPr="00D96E64" w:rsidRDefault="002E4972" w:rsidP="00750019">
            <w:pPr>
              <w:keepNext/>
              <w:rPr>
                <w:rFonts w:ascii="Arial Narrow" w:hAnsi="Arial Narrow"/>
                <w:sz w:val="20"/>
                <w:szCs w:val="20"/>
              </w:rPr>
            </w:pPr>
            <w:r w:rsidRPr="00D96E64">
              <w:rPr>
                <w:rFonts w:ascii="Arial Narrow" w:hAnsi="Arial Narrow"/>
                <w:sz w:val="20"/>
                <w:szCs w:val="20"/>
              </w:rPr>
              <w:t>Doptelet</w:t>
            </w:r>
          </w:p>
        </w:tc>
      </w:tr>
      <w:tr w:rsidR="002E4972" w:rsidRPr="00D96E64" w14:paraId="7277D151" w14:textId="77777777" w:rsidTr="00750019">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11F4AC04" w14:textId="77777777" w:rsidR="002E4972" w:rsidRPr="00D96E64" w:rsidRDefault="002E4972" w:rsidP="00750019">
            <w:pPr>
              <w:rPr>
                <w:rFonts w:ascii="Arial Narrow" w:hAnsi="Arial Narrow"/>
                <w:sz w:val="20"/>
                <w:szCs w:val="20"/>
              </w:rPr>
            </w:pPr>
          </w:p>
        </w:tc>
      </w:tr>
      <w:tr w:rsidR="002E4972" w:rsidRPr="00D96E64" w14:paraId="739959A4" w14:textId="77777777" w:rsidTr="00750019">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79A615A5" w14:textId="77777777" w:rsidR="002E4972" w:rsidRPr="00D96E64" w:rsidRDefault="002E4972" w:rsidP="00750019">
            <w:pPr>
              <w:rPr>
                <w:rFonts w:ascii="Arial Narrow" w:hAnsi="Arial Narrow"/>
                <w:b/>
                <w:sz w:val="20"/>
                <w:szCs w:val="20"/>
              </w:rPr>
            </w:pPr>
            <w:r w:rsidRPr="00D96E64">
              <w:rPr>
                <w:rFonts w:ascii="Arial Narrow" w:hAnsi="Arial Narrow"/>
                <w:b/>
                <w:sz w:val="20"/>
                <w:szCs w:val="20"/>
              </w:rPr>
              <w:t>Restriction Summary [new] / Treatment of Concept: [new]</w:t>
            </w:r>
          </w:p>
        </w:tc>
      </w:tr>
      <w:tr w:rsidR="002E4972" w:rsidRPr="00D96E64" w14:paraId="3B602F85" w14:textId="77777777" w:rsidTr="002278BC">
        <w:tblPrEx>
          <w:tblCellMar>
            <w:top w:w="15" w:type="dxa"/>
            <w:left w:w="15" w:type="dxa"/>
            <w:bottom w:w="15" w:type="dxa"/>
            <w:right w:w="15" w:type="dxa"/>
          </w:tblCellMar>
          <w:tblLook w:val="04A0" w:firstRow="1" w:lastRow="0" w:firstColumn="1" w:lastColumn="0" w:noHBand="0" w:noVBand="1"/>
        </w:tblPrEx>
        <w:trPr>
          <w:trHeight w:val="112"/>
        </w:trPr>
        <w:tc>
          <w:tcPr>
            <w:tcW w:w="542" w:type="pct"/>
            <w:gridSpan w:val="2"/>
            <w:vMerge w:val="restart"/>
            <w:tcBorders>
              <w:top w:val="single" w:sz="4" w:space="0" w:color="auto"/>
              <w:left w:val="single" w:sz="4" w:space="0" w:color="auto"/>
              <w:right w:val="single" w:sz="4" w:space="0" w:color="auto"/>
            </w:tcBorders>
          </w:tcPr>
          <w:p w14:paraId="5D10EEC6" w14:textId="77777777" w:rsidR="002E4972" w:rsidRPr="00D96E64" w:rsidRDefault="002E4972" w:rsidP="00750019">
            <w:pPr>
              <w:jc w:val="center"/>
              <w:rPr>
                <w:rFonts w:ascii="Arial Narrow" w:hAnsi="Arial Narrow"/>
                <w:b/>
                <w:sz w:val="20"/>
                <w:szCs w:val="20"/>
              </w:rPr>
            </w:pPr>
            <w:r w:rsidRPr="00D96E64">
              <w:rPr>
                <w:rFonts w:ascii="Arial Narrow" w:hAnsi="Arial Narrow"/>
                <w:b/>
                <w:sz w:val="20"/>
                <w:szCs w:val="20"/>
              </w:rPr>
              <w:t>Concept ID</w:t>
            </w:r>
          </w:p>
          <w:p w14:paraId="6F32F107" w14:textId="77777777" w:rsidR="002E4972" w:rsidRPr="00D96E64" w:rsidRDefault="002E4972" w:rsidP="00750019">
            <w:pPr>
              <w:jc w:val="center"/>
              <w:rPr>
                <w:rFonts w:ascii="Arial Narrow" w:hAnsi="Arial Narrow"/>
                <w:sz w:val="20"/>
                <w:szCs w:val="20"/>
              </w:rPr>
            </w:pPr>
            <w:r w:rsidRPr="00D96E64">
              <w:rPr>
                <w:rFonts w:ascii="Arial Narrow" w:hAnsi="Arial Narrow"/>
                <w:sz w:val="20"/>
                <w:szCs w:val="20"/>
              </w:rPr>
              <w:t>(for internal Dept. use)</w:t>
            </w:r>
          </w:p>
        </w:tc>
        <w:tc>
          <w:tcPr>
            <w:tcW w:w="4458" w:type="pct"/>
            <w:gridSpan w:val="6"/>
            <w:tcBorders>
              <w:top w:val="single" w:sz="4" w:space="0" w:color="auto"/>
              <w:left w:val="single" w:sz="4" w:space="0" w:color="auto"/>
              <w:bottom w:val="single" w:sz="4" w:space="0" w:color="auto"/>
              <w:right w:val="single" w:sz="4" w:space="0" w:color="auto"/>
            </w:tcBorders>
          </w:tcPr>
          <w:p w14:paraId="105581C5" w14:textId="15A53D14" w:rsidR="002E4972" w:rsidRPr="00D96E64" w:rsidRDefault="002E4972" w:rsidP="00750019">
            <w:pPr>
              <w:rPr>
                <w:rFonts w:ascii="Arial Narrow" w:hAnsi="Arial Narrow"/>
                <w:sz w:val="20"/>
                <w:szCs w:val="20"/>
              </w:rPr>
            </w:pPr>
            <w:r w:rsidRPr="00D96E64">
              <w:rPr>
                <w:rFonts w:ascii="Arial Narrow" w:hAnsi="Arial Narrow"/>
                <w:b/>
                <w:sz w:val="20"/>
                <w:szCs w:val="20"/>
              </w:rPr>
              <w:t xml:space="preserve">Category / Program: </w:t>
            </w:r>
            <w:r w:rsidRPr="00D96E64">
              <w:rPr>
                <w:rFonts w:ascii="Arial Narrow" w:hAnsi="Arial Narrow"/>
                <w:sz w:val="20"/>
                <w:szCs w:val="20"/>
              </w:rPr>
              <w:t>Section 100 – Highly Specialised Drugs Program</w:t>
            </w:r>
          </w:p>
        </w:tc>
      </w:tr>
      <w:tr w:rsidR="002E4972" w:rsidRPr="00D96E64" w14:paraId="20B1C6D5" w14:textId="77777777" w:rsidTr="0003019A">
        <w:tblPrEx>
          <w:tblCellMar>
            <w:top w:w="15" w:type="dxa"/>
            <w:left w:w="15" w:type="dxa"/>
            <w:bottom w:w="15" w:type="dxa"/>
            <w:right w:w="15" w:type="dxa"/>
          </w:tblCellMar>
          <w:tblLook w:val="04A0" w:firstRow="1" w:lastRow="0" w:firstColumn="1" w:lastColumn="0" w:noHBand="0" w:noVBand="1"/>
        </w:tblPrEx>
        <w:trPr>
          <w:trHeight w:val="240"/>
        </w:trPr>
        <w:tc>
          <w:tcPr>
            <w:tcW w:w="542" w:type="pct"/>
            <w:gridSpan w:val="2"/>
            <w:vMerge/>
            <w:tcBorders>
              <w:left w:val="single" w:sz="4" w:space="0" w:color="auto"/>
              <w:right w:val="single" w:sz="4" w:space="0" w:color="auto"/>
            </w:tcBorders>
          </w:tcPr>
          <w:p w14:paraId="740BC9B2" w14:textId="77777777" w:rsidR="002E4972" w:rsidRPr="00D96E64" w:rsidRDefault="002E4972" w:rsidP="00750019">
            <w:pPr>
              <w:rPr>
                <w:rFonts w:ascii="Arial Narrow" w:hAnsi="Arial Narrow"/>
                <w:sz w:val="20"/>
                <w:szCs w:val="20"/>
              </w:rPr>
            </w:pPr>
          </w:p>
        </w:tc>
        <w:tc>
          <w:tcPr>
            <w:tcW w:w="4458" w:type="pct"/>
            <w:gridSpan w:val="6"/>
            <w:tcBorders>
              <w:top w:val="single" w:sz="4" w:space="0" w:color="auto"/>
              <w:left w:val="single" w:sz="4" w:space="0" w:color="auto"/>
              <w:bottom w:val="single" w:sz="4" w:space="0" w:color="auto"/>
              <w:right w:val="single" w:sz="4" w:space="0" w:color="auto"/>
            </w:tcBorders>
          </w:tcPr>
          <w:p w14:paraId="03459D57" w14:textId="77777777" w:rsidR="002E4972" w:rsidRPr="00D96E64" w:rsidRDefault="002E4972" w:rsidP="00750019">
            <w:pPr>
              <w:rPr>
                <w:rFonts w:ascii="Arial Narrow" w:hAnsi="Arial Narrow"/>
                <w:b/>
                <w:sz w:val="20"/>
                <w:szCs w:val="20"/>
              </w:rPr>
            </w:pPr>
            <w:r w:rsidRPr="00D96E64">
              <w:rPr>
                <w:rFonts w:ascii="Arial Narrow" w:hAnsi="Arial Narrow"/>
                <w:b/>
                <w:sz w:val="20"/>
                <w:szCs w:val="20"/>
              </w:rPr>
              <w:t>Prescriber type:</w:t>
            </w:r>
            <w:r w:rsidRPr="00D96E64">
              <w:rPr>
                <w:rFonts w:ascii="Arial Narrow" w:hAnsi="Arial Narrow"/>
                <w:sz w:val="20"/>
                <w:szCs w:val="20"/>
              </w:rPr>
              <w:t xml:space="preserve"> </w:t>
            </w:r>
            <w:r w:rsidRPr="00D96E64">
              <w:rPr>
                <w:rFonts w:ascii="Arial Narrow" w:hAnsi="Arial Narrow"/>
                <w:sz w:val="20"/>
                <w:szCs w:val="20"/>
              </w:rPr>
              <w:fldChar w:fldCharType="begin" w:fldLock="1">
                <w:ffData>
                  <w:name w:val=""/>
                  <w:enabled/>
                  <w:calcOnExit w:val="0"/>
                  <w:checkBox>
                    <w:sizeAuto/>
                    <w:default w:val="1"/>
                  </w:checkBox>
                </w:ffData>
              </w:fldChar>
            </w:r>
            <w:r w:rsidRPr="00D96E64">
              <w:rPr>
                <w:rFonts w:ascii="Arial Narrow" w:hAnsi="Arial Narrow"/>
                <w:sz w:val="20"/>
                <w:szCs w:val="20"/>
              </w:rPr>
              <w:instrText xml:space="preserve"> FORMCHECKBOX </w:instrText>
            </w:r>
            <w:r w:rsidR="0026219D">
              <w:rPr>
                <w:rFonts w:ascii="Arial Narrow" w:hAnsi="Arial Narrow"/>
                <w:sz w:val="20"/>
                <w:szCs w:val="20"/>
              </w:rPr>
            </w:r>
            <w:r w:rsidR="0026219D">
              <w:rPr>
                <w:rFonts w:ascii="Arial Narrow" w:hAnsi="Arial Narrow"/>
                <w:sz w:val="20"/>
                <w:szCs w:val="20"/>
              </w:rPr>
              <w:fldChar w:fldCharType="separate"/>
            </w:r>
            <w:r w:rsidRPr="00D96E64">
              <w:rPr>
                <w:rFonts w:ascii="Arial Narrow" w:hAnsi="Arial Narrow"/>
                <w:sz w:val="20"/>
                <w:szCs w:val="20"/>
              </w:rPr>
              <w:fldChar w:fldCharType="end"/>
            </w:r>
            <w:r w:rsidRPr="00D96E64">
              <w:rPr>
                <w:rFonts w:ascii="Arial Narrow" w:hAnsi="Arial Narrow"/>
                <w:sz w:val="20"/>
                <w:szCs w:val="20"/>
              </w:rPr>
              <w:t xml:space="preserve">Medical Practitioners   </w:t>
            </w:r>
          </w:p>
        </w:tc>
      </w:tr>
      <w:tr w:rsidR="002E4972" w:rsidRPr="00D96E64" w14:paraId="40231C56" w14:textId="77777777" w:rsidTr="0003019A">
        <w:tblPrEx>
          <w:tblCellMar>
            <w:top w:w="15" w:type="dxa"/>
            <w:left w:w="15" w:type="dxa"/>
            <w:bottom w:w="15" w:type="dxa"/>
            <w:right w:w="15" w:type="dxa"/>
          </w:tblCellMar>
          <w:tblLook w:val="04A0" w:firstRow="1" w:lastRow="0" w:firstColumn="1" w:lastColumn="0" w:noHBand="0" w:noVBand="1"/>
        </w:tblPrEx>
        <w:tc>
          <w:tcPr>
            <w:tcW w:w="542" w:type="pct"/>
            <w:gridSpan w:val="2"/>
            <w:vMerge/>
            <w:tcBorders>
              <w:left w:val="single" w:sz="4" w:space="0" w:color="auto"/>
              <w:bottom w:val="single" w:sz="4" w:space="0" w:color="auto"/>
              <w:right w:val="single" w:sz="4" w:space="0" w:color="auto"/>
            </w:tcBorders>
          </w:tcPr>
          <w:p w14:paraId="5F25A402" w14:textId="77777777" w:rsidR="002E4972" w:rsidRPr="00D96E64" w:rsidRDefault="002E4972" w:rsidP="00750019">
            <w:pPr>
              <w:rPr>
                <w:rFonts w:ascii="Arial Narrow" w:hAnsi="Arial Narrow"/>
                <w:sz w:val="20"/>
                <w:szCs w:val="20"/>
              </w:rPr>
            </w:pPr>
          </w:p>
        </w:tc>
        <w:tc>
          <w:tcPr>
            <w:tcW w:w="4458" w:type="pct"/>
            <w:gridSpan w:val="6"/>
            <w:tcBorders>
              <w:top w:val="single" w:sz="4" w:space="0" w:color="auto"/>
              <w:left w:val="single" w:sz="4" w:space="0" w:color="auto"/>
              <w:bottom w:val="single" w:sz="4" w:space="0" w:color="auto"/>
              <w:right w:val="single" w:sz="4" w:space="0" w:color="auto"/>
            </w:tcBorders>
          </w:tcPr>
          <w:p w14:paraId="4211CE46" w14:textId="23403737" w:rsidR="002E4972" w:rsidRPr="00D96E64" w:rsidRDefault="002E4972" w:rsidP="00750019">
            <w:pPr>
              <w:rPr>
                <w:rFonts w:ascii="Arial Narrow" w:eastAsia="Calibri" w:hAnsi="Arial Narrow"/>
                <w:color w:val="FF00FF"/>
                <w:sz w:val="20"/>
                <w:szCs w:val="20"/>
              </w:rPr>
            </w:pPr>
            <w:r w:rsidRPr="00D96E64">
              <w:rPr>
                <w:rFonts w:ascii="Arial Narrow" w:hAnsi="Arial Narrow"/>
                <w:b/>
                <w:sz w:val="20"/>
                <w:szCs w:val="20"/>
              </w:rPr>
              <w:t xml:space="preserve">Restriction type: </w:t>
            </w:r>
            <w:r w:rsidRPr="00D96E64">
              <w:rPr>
                <w:rFonts w:ascii="Arial Narrow" w:eastAsia="Calibri" w:hAnsi="Arial Narrow"/>
                <w:sz w:val="20"/>
                <w:szCs w:val="20"/>
              </w:rPr>
              <w:fldChar w:fldCharType="begin" w:fldLock="1">
                <w:ffData>
                  <w:name w:val=""/>
                  <w:enabled/>
                  <w:calcOnExit w:val="0"/>
                  <w:checkBox>
                    <w:sizeAuto/>
                    <w:default w:val="1"/>
                  </w:checkBox>
                </w:ffData>
              </w:fldChar>
            </w:r>
            <w:r w:rsidRPr="00D96E64">
              <w:rPr>
                <w:rFonts w:ascii="Arial Narrow" w:eastAsia="Calibri" w:hAnsi="Arial Narrow"/>
                <w:sz w:val="20"/>
                <w:szCs w:val="20"/>
              </w:rPr>
              <w:instrText xml:space="preserve"> FORMCHECKBOX </w:instrText>
            </w:r>
            <w:r w:rsidR="0026219D">
              <w:rPr>
                <w:rFonts w:ascii="Arial Narrow" w:eastAsia="Calibri" w:hAnsi="Arial Narrow"/>
                <w:sz w:val="20"/>
                <w:szCs w:val="20"/>
              </w:rPr>
            </w:r>
            <w:r w:rsidR="0026219D">
              <w:rPr>
                <w:rFonts w:ascii="Arial Narrow" w:eastAsia="Calibri" w:hAnsi="Arial Narrow"/>
                <w:sz w:val="20"/>
                <w:szCs w:val="20"/>
              </w:rPr>
              <w:fldChar w:fldCharType="separate"/>
            </w:r>
            <w:r w:rsidRPr="00D96E64">
              <w:rPr>
                <w:rFonts w:ascii="Arial Narrow" w:eastAsia="Calibri" w:hAnsi="Arial Narrow"/>
                <w:sz w:val="20"/>
                <w:szCs w:val="20"/>
              </w:rPr>
              <w:fldChar w:fldCharType="end"/>
            </w:r>
            <w:r w:rsidRPr="00D96E64">
              <w:rPr>
                <w:rFonts w:ascii="Arial Narrow" w:eastAsia="Calibri" w:hAnsi="Arial Narrow"/>
                <w:sz w:val="20"/>
                <w:szCs w:val="20"/>
              </w:rPr>
              <w:t xml:space="preserve">Authority Required – (in writing-legacy) - Postal/HPOS upload </w:t>
            </w:r>
          </w:p>
        </w:tc>
      </w:tr>
      <w:tr w:rsidR="0003019A" w:rsidRPr="00D96E64" w14:paraId="3643CEB2" w14:textId="77777777" w:rsidTr="00C62335">
        <w:tblPrEx>
          <w:tblCellMar>
            <w:top w:w="15" w:type="dxa"/>
            <w:left w:w="15" w:type="dxa"/>
            <w:bottom w:w="15" w:type="dxa"/>
            <w:right w:w="15" w:type="dxa"/>
          </w:tblCellMar>
          <w:tblLook w:val="04A0" w:firstRow="1" w:lastRow="0" w:firstColumn="1" w:lastColumn="0" w:noHBand="0" w:noVBand="1"/>
        </w:tblPrEx>
        <w:tc>
          <w:tcPr>
            <w:tcW w:w="271" w:type="pct"/>
            <w:vMerge w:val="restart"/>
            <w:tcBorders>
              <w:left w:val="single" w:sz="4" w:space="0" w:color="auto"/>
              <w:right w:val="single" w:sz="4" w:space="0" w:color="auto"/>
            </w:tcBorders>
            <w:vAlign w:val="center"/>
          </w:tcPr>
          <w:p w14:paraId="059D7356" w14:textId="7F24F79C" w:rsidR="0003019A" w:rsidRPr="00D96E64" w:rsidRDefault="0003019A" w:rsidP="0003019A">
            <w:pPr>
              <w:rPr>
                <w:rFonts w:ascii="Arial Narrow" w:hAnsi="Arial Narrow"/>
                <w:sz w:val="20"/>
                <w:szCs w:val="20"/>
              </w:rPr>
            </w:pPr>
          </w:p>
        </w:tc>
        <w:tc>
          <w:tcPr>
            <w:tcW w:w="271" w:type="pct"/>
            <w:tcBorders>
              <w:left w:val="single" w:sz="4" w:space="0" w:color="auto"/>
              <w:bottom w:val="single" w:sz="4" w:space="0" w:color="auto"/>
              <w:right w:val="single" w:sz="4" w:space="0" w:color="auto"/>
            </w:tcBorders>
            <w:vAlign w:val="center"/>
          </w:tcPr>
          <w:p w14:paraId="3CA627B2" w14:textId="483C2996" w:rsidR="0003019A" w:rsidRPr="00D96E64" w:rsidRDefault="0003019A" w:rsidP="0003019A">
            <w:pPr>
              <w:rPr>
                <w:rFonts w:ascii="Arial Narrow" w:hAnsi="Arial Narrow"/>
                <w:sz w:val="20"/>
                <w:szCs w:val="20"/>
              </w:rPr>
            </w:pPr>
          </w:p>
        </w:tc>
        <w:tc>
          <w:tcPr>
            <w:tcW w:w="4458" w:type="pct"/>
            <w:gridSpan w:val="6"/>
            <w:tcBorders>
              <w:top w:val="single" w:sz="4" w:space="0" w:color="auto"/>
              <w:left w:val="single" w:sz="4" w:space="0" w:color="auto"/>
              <w:bottom w:val="single" w:sz="4" w:space="0" w:color="auto"/>
              <w:right w:val="single" w:sz="4" w:space="0" w:color="auto"/>
            </w:tcBorders>
            <w:vAlign w:val="center"/>
          </w:tcPr>
          <w:p w14:paraId="4D4DA1C5" w14:textId="76663BE4" w:rsidR="0003019A" w:rsidRPr="00C512EE" w:rsidRDefault="0003019A" w:rsidP="0003019A">
            <w:pPr>
              <w:rPr>
                <w:rFonts w:ascii="Arial Narrow" w:hAnsi="Arial Narrow"/>
                <w:b/>
                <w:sz w:val="20"/>
                <w:szCs w:val="20"/>
              </w:rPr>
            </w:pPr>
            <w:r w:rsidRPr="00C512EE">
              <w:rPr>
                <w:rFonts w:ascii="Arial Narrow" w:hAnsi="Arial Narrow"/>
                <w:b/>
                <w:bCs/>
                <w:color w:val="333333"/>
                <w:sz w:val="20"/>
                <w:szCs w:val="20"/>
              </w:rPr>
              <w:t>Administrative Advice:</w:t>
            </w:r>
            <w:r w:rsidRPr="00C512EE">
              <w:rPr>
                <w:sz w:val="20"/>
                <w:szCs w:val="20"/>
              </w:rPr>
              <w:t xml:space="preserve"> </w:t>
            </w:r>
            <w:r w:rsidRPr="00C512EE">
              <w:rPr>
                <w:rFonts w:ascii="Arial Narrow" w:hAnsi="Arial Narrow"/>
                <w:sz w:val="20"/>
                <w:szCs w:val="20"/>
              </w:rPr>
              <w:t xml:space="preserve">No increase in the maximum number of repeats may be authorised. </w:t>
            </w:r>
          </w:p>
        </w:tc>
      </w:tr>
      <w:tr w:rsidR="0003019A" w:rsidRPr="00D96E64" w14:paraId="65A18D68" w14:textId="77777777" w:rsidTr="0003019A">
        <w:tblPrEx>
          <w:tblCellMar>
            <w:top w:w="15" w:type="dxa"/>
            <w:left w:w="15" w:type="dxa"/>
            <w:bottom w:w="15" w:type="dxa"/>
            <w:right w:w="15" w:type="dxa"/>
          </w:tblCellMar>
          <w:tblLook w:val="04A0" w:firstRow="1" w:lastRow="0" w:firstColumn="1" w:lastColumn="0" w:noHBand="0" w:noVBand="1"/>
        </w:tblPrEx>
        <w:tc>
          <w:tcPr>
            <w:tcW w:w="271" w:type="pct"/>
            <w:vMerge/>
            <w:tcBorders>
              <w:left w:val="single" w:sz="4" w:space="0" w:color="auto"/>
              <w:bottom w:val="single" w:sz="4" w:space="0" w:color="auto"/>
              <w:right w:val="single" w:sz="4" w:space="0" w:color="auto"/>
            </w:tcBorders>
            <w:vAlign w:val="center"/>
          </w:tcPr>
          <w:p w14:paraId="38E3B12D" w14:textId="21131BFD" w:rsidR="0003019A" w:rsidRPr="00D96E64" w:rsidRDefault="0003019A" w:rsidP="0003019A">
            <w:pPr>
              <w:rPr>
                <w:rFonts w:ascii="Arial Narrow" w:hAnsi="Arial Narrow"/>
                <w:sz w:val="20"/>
                <w:szCs w:val="20"/>
              </w:rPr>
            </w:pPr>
          </w:p>
        </w:tc>
        <w:tc>
          <w:tcPr>
            <w:tcW w:w="271" w:type="pct"/>
            <w:tcBorders>
              <w:left w:val="single" w:sz="4" w:space="0" w:color="auto"/>
              <w:bottom w:val="single" w:sz="4" w:space="0" w:color="auto"/>
              <w:right w:val="single" w:sz="4" w:space="0" w:color="auto"/>
            </w:tcBorders>
            <w:vAlign w:val="center"/>
          </w:tcPr>
          <w:p w14:paraId="17DC7487" w14:textId="47143A88" w:rsidR="0003019A" w:rsidRPr="00D96E64" w:rsidRDefault="0003019A" w:rsidP="0003019A">
            <w:pPr>
              <w:rPr>
                <w:rFonts w:ascii="Arial Narrow" w:hAnsi="Arial Narrow"/>
                <w:sz w:val="20"/>
                <w:szCs w:val="20"/>
              </w:rPr>
            </w:pPr>
          </w:p>
        </w:tc>
        <w:tc>
          <w:tcPr>
            <w:tcW w:w="4458" w:type="pct"/>
            <w:gridSpan w:val="6"/>
            <w:tcBorders>
              <w:top w:val="single" w:sz="4" w:space="0" w:color="auto"/>
              <w:left w:val="single" w:sz="4" w:space="0" w:color="auto"/>
              <w:bottom w:val="single" w:sz="4" w:space="0" w:color="auto"/>
              <w:right w:val="single" w:sz="4" w:space="0" w:color="auto"/>
            </w:tcBorders>
            <w:vAlign w:val="center"/>
          </w:tcPr>
          <w:p w14:paraId="7F6F2313" w14:textId="5CA747A8" w:rsidR="0003019A" w:rsidRPr="00C512EE" w:rsidRDefault="0003019A" w:rsidP="0003019A">
            <w:pPr>
              <w:rPr>
                <w:rFonts w:ascii="Arial Narrow" w:hAnsi="Arial Narrow"/>
                <w:b/>
                <w:sz w:val="20"/>
                <w:szCs w:val="20"/>
              </w:rPr>
            </w:pPr>
            <w:r w:rsidRPr="00C512EE">
              <w:rPr>
                <w:rFonts w:ascii="Arial Narrow" w:hAnsi="Arial Narrow"/>
                <w:b/>
                <w:bCs/>
                <w:color w:val="333333"/>
                <w:sz w:val="20"/>
                <w:szCs w:val="20"/>
              </w:rPr>
              <w:t>Administrative Advice:</w:t>
            </w:r>
            <w:r w:rsidRPr="00C512EE">
              <w:rPr>
                <w:sz w:val="20"/>
                <w:szCs w:val="20"/>
              </w:rPr>
              <w:t xml:space="preserve"> </w:t>
            </w:r>
            <w:r w:rsidRPr="00C512EE">
              <w:rPr>
                <w:rFonts w:ascii="Arial Narrow" w:hAnsi="Arial Narrow"/>
                <w:sz w:val="20"/>
                <w:szCs w:val="20"/>
              </w:rPr>
              <w:t>Special Pricing Arrangements apply</w:t>
            </w:r>
            <w:r w:rsidR="008B1A74">
              <w:rPr>
                <w:rFonts w:ascii="Arial Narrow" w:hAnsi="Arial Narrow"/>
                <w:sz w:val="20"/>
                <w:szCs w:val="20"/>
              </w:rPr>
              <w:t>.</w:t>
            </w:r>
          </w:p>
        </w:tc>
      </w:tr>
      <w:tr w:rsidR="002E4972" w:rsidRPr="00D96E64" w14:paraId="34BB3820" w14:textId="77777777" w:rsidTr="00837E4E">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1E02DEF8" w14:textId="6E16417B" w:rsidR="002E4972" w:rsidRPr="00D96E64" w:rsidRDefault="002E4972" w:rsidP="00750019">
            <w:pPr>
              <w:jc w:val="center"/>
              <w:rPr>
                <w:rFonts w:ascii="Arial Narrow" w:hAnsi="Arial Narrow"/>
                <w:color w:val="333333"/>
                <w:sz w:val="20"/>
                <w:szCs w:val="20"/>
              </w:rPr>
            </w:pPr>
          </w:p>
        </w:tc>
        <w:tc>
          <w:tcPr>
            <w:tcW w:w="4458" w:type="pct"/>
            <w:gridSpan w:val="6"/>
            <w:vAlign w:val="center"/>
            <w:hideMark/>
          </w:tcPr>
          <w:p w14:paraId="6F308DC2" w14:textId="77777777" w:rsidR="002E4972" w:rsidRPr="00D96E64" w:rsidRDefault="002E4972" w:rsidP="00750019">
            <w:pPr>
              <w:rPr>
                <w:rFonts w:ascii="Arial Narrow" w:hAnsi="Arial Narrow"/>
                <w:color w:val="333333"/>
                <w:sz w:val="20"/>
                <w:szCs w:val="20"/>
              </w:rPr>
            </w:pPr>
            <w:r w:rsidRPr="00D96E64">
              <w:rPr>
                <w:rFonts w:ascii="Arial Narrow" w:hAnsi="Arial Narrow"/>
                <w:b/>
                <w:bCs/>
                <w:color w:val="333333"/>
                <w:sz w:val="20"/>
                <w:szCs w:val="20"/>
              </w:rPr>
              <w:t>Indication:</w:t>
            </w:r>
            <w:r w:rsidRPr="00D96E64">
              <w:rPr>
                <w:rFonts w:ascii="Arial Narrow" w:hAnsi="Arial Narrow"/>
                <w:color w:val="333333"/>
                <w:sz w:val="20"/>
                <w:szCs w:val="20"/>
              </w:rPr>
              <w:t xml:space="preserve"> Severe thrombocytopenia</w:t>
            </w:r>
          </w:p>
        </w:tc>
      </w:tr>
      <w:tr w:rsidR="002E4972" w:rsidRPr="00D96E64" w14:paraId="391EB4DC" w14:textId="77777777" w:rsidTr="00837E4E">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0D64E5CA" w14:textId="77777777" w:rsidR="002E4972" w:rsidRPr="00D96E64" w:rsidRDefault="002E4972" w:rsidP="00750019">
            <w:pPr>
              <w:jc w:val="center"/>
              <w:rPr>
                <w:rFonts w:ascii="Arial Narrow" w:hAnsi="Arial Narrow"/>
                <w:color w:val="333333"/>
                <w:sz w:val="20"/>
                <w:szCs w:val="20"/>
              </w:rPr>
            </w:pPr>
          </w:p>
        </w:tc>
        <w:tc>
          <w:tcPr>
            <w:tcW w:w="4458" w:type="pct"/>
            <w:gridSpan w:val="6"/>
            <w:vAlign w:val="center"/>
            <w:hideMark/>
          </w:tcPr>
          <w:p w14:paraId="72D038C4" w14:textId="77777777" w:rsidR="002E4972" w:rsidRPr="00D96E64" w:rsidRDefault="002E4972" w:rsidP="00750019">
            <w:pPr>
              <w:rPr>
                <w:rFonts w:ascii="Arial Narrow" w:hAnsi="Arial Narrow"/>
                <w:color w:val="FF00FF"/>
                <w:sz w:val="20"/>
                <w:szCs w:val="20"/>
              </w:rPr>
            </w:pPr>
            <w:r w:rsidRPr="00D96E64">
              <w:rPr>
                <w:rFonts w:ascii="Arial Narrow" w:hAnsi="Arial Narrow"/>
                <w:b/>
                <w:bCs/>
                <w:sz w:val="20"/>
                <w:szCs w:val="20"/>
              </w:rPr>
              <w:t>Treatment Phase:</w:t>
            </w:r>
            <w:r w:rsidRPr="00D96E64">
              <w:rPr>
                <w:rFonts w:ascii="Arial Narrow" w:hAnsi="Arial Narrow"/>
                <w:sz w:val="20"/>
                <w:szCs w:val="20"/>
              </w:rPr>
              <w:t xml:space="preserve"> </w:t>
            </w:r>
            <w:bookmarkStart w:id="59" w:name="_Hlk121316220"/>
            <w:r w:rsidRPr="00D96E64">
              <w:rPr>
                <w:rFonts w:ascii="Arial Narrow" w:hAnsi="Arial Narrow"/>
                <w:sz w:val="20"/>
                <w:szCs w:val="20"/>
              </w:rPr>
              <w:t>Initial treatment – New patient</w:t>
            </w:r>
            <w:bookmarkEnd w:id="59"/>
            <w:r w:rsidRPr="00D96E64">
              <w:rPr>
                <w:rFonts w:ascii="Arial Narrow" w:hAnsi="Arial Narrow"/>
                <w:sz w:val="20"/>
                <w:szCs w:val="20"/>
              </w:rPr>
              <w:t xml:space="preserve">  </w:t>
            </w:r>
          </w:p>
        </w:tc>
      </w:tr>
      <w:tr w:rsidR="002E4972" w:rsidRPr="00D96E64" w14:paraId="7BEBD3A0" w14:textId="77777777" w:rsidTr="00837E4E">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6A0D26EC" w14:textId="66DAEFDC" w:rsidR="002E4972" w:rsidRPr="00D96E64" w:rsidRDefault="002E4972" w:rsidP="00750019">
            <w:pPr>
              <w:jc w:val="center"/>
              <w:rPr>
                <w:rFonts w:ascii="Arial Narrow" w:hAnsi="Arial Narrow"/>
                <w:color w:val="333333"/>
                <w:sz w:val="20"/>
                <w:szCs w:val="20"/>
              </w:rPr>
            </w:pPr>
          </w:p>
        </w:tc>
        <w:tc>
          <w:tcPr>
            <w:tcW w:w="4458" w:type="pct"/>
            <w:gridSpan w:val="6"/>
            <w:vAlign w:val="center"/>
            <w:hideMark/>
          </w:tcPr>
          <w:p w14:paraId="159B251F" w14:textId="77777777" w:rsidR="002E4972" w:rsidRPr="00D96E64" w:rsidRDefault="002E4972" w:rsidP="00750019">
            <w:pPr>
              <w:rPr>
                <w:rFonts w:ascii="Arial Narrow" w:hAnsi="Arial Narrow"/>
                <w:color w:val="FF00FF"/>
                <w:sz w:val="20"/>
                <w:szCs w:val="20"/>
              </w:rPr>
            </w:pPr>
            <w:r w:rsidRPr="00D96E64">
              <w:rPr>
                <w:rFonts w:ascii="Arial Narrow" w:hAnsi="Arial Narrow"/>
                <w:b/>
                <w:bCs/>
                <w:color w:val="333333"/>
                <w:sz w:val="20"/>
                <w:szCs w:val="20"/>
              </w:rPr>
              <w:t>Clinical criteria:</w:t>
            </w:r>
          </w:p>
        </w:tc>
      </w:tr>
      <w:tr w:rsidR="002E4972" w:rsidRPr="00D96E64" w14:paraId="4D89EECC" w14:textId="77777777" w:rsidTr="00837E4E">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21229843" w14:textId="7830C594" w:rsidR="002E4972" w:rsidRPr="00D96E64" w:rsidRDefault="002E4972" w:rsidP="00750019">
            <w:pPr>
              <w:jc w:val="center"/>
              <w:rPr>
                <w:rFonts w:ascii="Arial Narrow" w:hAnsi="Arial Narrow"/>
                <w:color w:val="333333"/>
                <w:sz w:val="20"/>
                <w:szCs w:val="20"/>
              </w:rPr>
            </w:pPr>
          </w:p>
        </w:tc>
        <w:tc>
          <w:tcPr>
            <w:tcW w:w="4458" w:type="pct"/>
            <w:gridSpan w:val="6"/>
            <w:vAlign w:val="center"/>
            <w:hideMark/>
          </w:tcPr>
          <w:p w14:paraId="473814FC" w14:textId="48C33ADC" w:rsidR="002E4972" w:rsidRPr="00D96E64" w:rsidRDefault="002E4972" w:rsidP="00750019">
            <w:pPr>
              <w:rPr>
                <w:rFonts w:ascii="Arial Narrow" w:hAnsi="Arial Narrow"/>
                <w:color w:val="333333"/>
                <w:sz w:val="20"/>
                <w:szCs w:val="20"/>
              </w:rPr>
            </w:pPr>
            <w:r w:rsidRPr="00D96E64">
              <w:rPr>
                <w:rFonts w:ascii="Arial Narrow" w:hAnsi="Arial Narrow"/>
                <w:sz w:val="20"/>
                <w:szCs w:val="20"/>
              </w:rPr>
              <w:t>The condition must be severe chronic immune (idiopathic) thrombocytopenic purpura (ITP)</w:t>
            </w:r>
          </w:p>
        </w:tc>
      </w:tr>
      <w:tr w:rsidR="002E4972" w:rsidRPr="00D96E64" w14:paraId="48E90ED4" w14:textId="77777777" w:rsidTr="00837E4E">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3F9AED7D" w14:textId="77777777" w:rsidR="002E4972" w:rsidRPr="00D96E64" w:rsidRDefault="002E4972" w:rsidP="00750019">
            <w:pPr>
              <w:jc w:val="center"/>
              <w:rPr>
                <w:rFonts w:ascii="Arial Narrow" w:hAnsi="Arial Narrow"/>
                <w:color w:val="333333"/>
                <w:sz w:val="20"/>
                <w:szCs w:val="20"/>
              </w:rPr>
            </w:pPr>
          </w:p>
        </w:tc>
        <w:tc>
          <w:tcPr>
            <w:tcW w:w="4458" w:type="pct"/>
            <w:gridSpan w:val="6"/>
            <w:vAlign w:val="center"/>
            <w:hideMark/>
          </w:tcPr>
          <w:p w14:paraId="3595A509" w14:textId="77777777" w:rsidR="002E4972" w:rsidRPr="00D96E64" w:rsidRDefault="002E4972" w:rsidP="00750019">
            <w:pPr>
              <w:rPr>
                <w:rFonts w:ascii="Arial Narrow" w:hAnsi="Arial Narrow"/>
                <w:color w:val="333333"/>
                <w:sz w:val="20"/>
                <w:szCs w:val="20"/>
              </w:rPr>
            </w:pPr>
            <w:r w:rsidRPr="00D96E64">
              <w:rPr>
                <w:rFonts w:ascii="Arial Narrow" w:hAnsi="Arial Narrow"/>
                <w:b/>
                <w:bCs/>
                <w:color w:val="333333"/>
                <w:sz w:val="20"/>
                <w:szCs w:val="20"/>
              </w:rPr>
              <w:t>AND</w:t>
            </w:r>
          </w:p>
        </w:tc>
      </w:tr>
      <w:tr w:rsidR="002E4972" w:rsidRPr="00D96E64" w14:paraId="515BD690" w14:textId="77777777" w:rsidTr="0003019A">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2FEABC93" w14:textId="77777777" w:rsidR="002E4972" w:rsidRPr="00D96E64" w:rsidRDefault="002E4972" w:rsidP="00750019">
            <w:pPr>
              <w:jc w:val="center"/>
              <w:rPr>
                <w:rFonts w:ascii="Arial Narrow" w:hAnsi="Arial Narrow"/>
                <w:color w:val="333333"/>
                <w:sz w:val="20"/>
                <w:szCs w:val="20"/>
              </w:rPr>
            </w:pPr>
          </w:p>
        </w:tc>
        <w:tc>
          <w:tcPr>
            <w:tcW w:w="4458" w:type="pct"/>
            <w:gridSpan w:val="6"/>
            <w:vAlign w:val="center"/>
            <w:hideMark/>
          </w:tcPr>
          <w:p w14:paraId="5B5119E9" w14:textId="77777777" w:rsidR="002E4972" w:rsidRPr="00D96E64" w:rsidRDefault="002E4972" w:rsidP="00750019">
            <w:pPr>
              <w:rPr>
                <w:rFonts w:ascii="Arial Narrow" w:hAnsi="Arial Narrow"/>
                <w:color w:val="333333"/>
                <w:sz w:val="20"/>
                <w:szCs w:val="20"/>
              </w:rPr>
            </w:pPr>
            <w:r w:rsidRPr="00D96E64">
              <w:rPr>
                <w:rFonts w:ascii="Arial Narrow" w:hAnsi="Arial Narrow"/>
                <w:b/>
                <w:bCs/>
                <w:color w:val="333333"/>
                <w:sz w:val="20"/>
                <w:szCs w:val="20"/>
              </w:rPr>
              <w:t>Clinical criteria:</w:t>
            </w:r>
          </w:p>
        </w:tc>
      </w:tr>
      <w:tr w:rsidR="002E4972" w:rsidRPr="00D96E64" w14:paraId="3F75231D" w14:textId="77777777" w:rsidTr="0003019A">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4B4320C3" w14:textId="0218A5DF" w:rsidR="002E4972" w:rsidRPr="00D96E64" w:rsidRDefault="002E4972" w:rsidP="00750019">
            <w:pPr>
              <w:jc w:val="center"/>
              <w:rPr>
                <w:rFonts w:ascii="Arial Narrow" w:hAnsi="Arial Narrow"/>
                <w:color w:val="333333"/>
                <w:sz w:val="20"/>
                <w:szCs w:val="20"/>
              </w:rPr>
            </w:pPr>
          </w:p>
        </w:tc>
        <w:tc>
          <w:tcPr>
            <w:tcW w:w="4458" w:type="pct"/>
            <w:gridSpan w:val="6"/>
            <w:vAlign w:val="center"/>
            <w:hideMark/>
          </w:tcPr>
          <w:p w14:paraId="694CB97F" w14:textId="3A6BD173" w:rsidR="002E4972" w:rsidRPr="00D96E64" w:rsidRDefault="002E4972" w:rsidP="00750019">
            <w:pPr>
              <w:rPr>
                <w:rFonts w:ascii="Arial Narrow" w:hAnsi="Arial Narrow"/>
                <w:color w:val="FF0000"/>
                <w:sz w:val="20"/>
                <w:szCs w:val="20"/>
              </w:rPr>
            </w:pPr>
            <w:r w:rsidRPr="00D96E64">
              <w:rPr>
                <w:rFonts w:ascii="Arial Narrow" w:hAnsi="Arial Narrow"/>
                <w:sz w:val="20"/>
                <w:szCs w:val="20"/>
              </w:rPr>
              <w:t>Patient must have failed to achieve an adequate response to, or be intolerant to, corticosteroid therapy</w:t>
            </w:r>
            <w:r w:rsidR="0003019A">
              <w:rPr>
                <w:rFonts w:ascii="Arial Narrow" w:hAnsi="Arial Narrow"/>
                <w:sz w:val="20"/>
                <w:szCs w:val="20"/>
              </w:rPr>
              <w:t xml:space="preserve"> </w:t>
            </w:r>
          </w:p>
        </w:tc>
      </w:tr>
      <w:tr w:rsidR="002E4972" w:rsidRPr="00D96E64" w14:paraId="4BC2BF55" w14:textId="77777777" w:rsidTr="0003019A">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0BD0F18B" w14:textId="77777777" w:rsidR="002E4972" w:rsidRPr="00D96E64" w:rsidRDefault="002E4972" w:rsidP="00750019">
            <w:pPr>
              <w:jc w:val="center"/>
              <w:rPr>
                <w:rFonts w:ascii="Arial Narrow" w:hAnsi="Arial Narrow"/>
                <w:color w:val="333333"/>
                <w:sz w:val="20"/>
                <w:szCs w:val="20"/>
              </w:rPr>
            </w:pPr>
          </w:p>
        </w:tc>
        <w:tc>
          <w:tcPr>
            <w:tcW w:w="4458" w:type="pct"/>
            <w:gridSpan w:val="6"/>
            <w:vAlign w:val="center"/>
            <w:hideMark/>
          </w:tcPr>
          <w:p w14:paraId="69CF2B73" w14:textId="77777777" w:rsidR="002E4972" w:rsidRPr="00D96E64" w:rsidRDefault="002E4972" w:rsidP="00750019">
            <w:pPr>
              <w:rPr>
                <w:rFonts w:ascii="Arial Narrow" w:hAnsi="Arial Narrow"/>
                <w:color w:val="333333"/>
                <w:sz w:val="20"/>
                <w:szCs w:val="20"/>
              </w:rPr>
            </w:pPr>
            <w:r w:rsidRPr="00D96E64">
              <w:rPr>
                <w:rFonts w:ascii="Arial Narrow" w:hAnsi="Arial Narrow"/>
                <w:b/>
                <w:bCs/>
                <w:color w:val="333333"/>
                <w:sz w:val="20"/>
                <w:szCs w:val="20"/>
              </w:rPr>
              <w:t>AND</w:t>
            </w:r>
          </w:p>
        </w:tc>
      </w:tr>
      <w:tr w:rsidR="002E4972" w:rsidRPr="00D96E64" w14:paraId="0BF0FFAF" w14:textId="77777777" w:rsidTr="0003019A">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0932F095" w14:textId="06A00D18" w:rsidR="002E4972" w:rsidRPr="00D96E64" w:rsidRDefault="002E4972" w:rsidP="00750019">
            <w:pPr>
              <w:jc w:val="center"/>
              <w:rPr>
                <w:rFonts w:ascii="Arial Narrow" w:hAnsi="Arial Narrow"/>
                <w:color w:val="333333"/>
                <w:sz w:val="20"/>
                <w:szCs w:val="20"/>
              </w:rPr>
            </w:pPr>
            <w:bookmarkStart w:id="60" w:name="_Hlk110847532"/>
          </w:p>
        </w:tc>
        <w:tc>
          <w:tcPr>
            <w:tcW w:w="4458" w:type="pct"/>
            <w:gridSpan w:val="6"/>
            <w:vAlign w:val="center"/>
            <w:hideMark/>
          </w:tcPr>
          <w:p w14:paraId="0244294C" w14:textId="77777777" w:rsidR="002E4972" w:rsidRPr="00D96E64" w:rsidRDefault="002E4972" w:rsidP="00750019">
            <w:pPr>
              <w:rPr>
                <w:rFonts w:ascii="Arial Narrow" w:hAnsi="Arial Narrow"/>
                <w:color w:val="333333"/>
                <w:sz w:val="20"/>
                <w:szCs w:val="20"/>
              </w:rPr>
            </w:pPr>
            <w:r w:rsidRPr="00D96E64">
              <w:rPr>
                <w:rFonts w:ascii="Arial Narrow" w:hAnsi="Arial Narrow"/>
                <w:b/>
                <w:bCs/>
                <w:color w:val="333333"/>
                <w:sz w:val="20"/>
                <w:szCs w:val="20"/>
              </w:rPr>
              <w:t>Clinical criteria:</w:t>
            </w:r>
          </w:p>
        </w:tc>
      </w:tr>
      <w:tr w:rsidR="002E4972" w:rsidRPr="00D96E64" w14:paraId="46B67E0C" w14:textId="77777777" w:rsidTr="0003019A">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378DA376" w14:textId="45230439" w:rsidR="002E4972" w:rsidRPr="00D96E64" w:rsidRDefault="002E4972" w:rsidP="00750019">
            <w:pPr>
              <w:jc w:val="center"/>
              <w:rPr>
                <w:rFonts w:ascii="Arial Narrow" w:hAnsi="Arial Narrow"/>
                <w:color w:val="333333"/>
                <w:sz w:val="20"/>
                <w:szCs w:val="20"/>
              </w:rPr>
            </w:pPr>
          </w:p>
        </w:tc>
        <w:tc>
          <w:tcPr>
            <w:tcW w:w="4458" w:type="pct"/>
            <w:gridSpan w:val="6"/>
            <w:vAlign w:val="center"/>
            <w:hideMark/>
          </w:tcPr>
          <w:p w14:paraId="4FC4A9E4" w14:textId="1954D099" w:rsidR="002E4972" w:rsidRPr="00D96E64" w:rsidRDefault="002E4972" w:rsidP="00750019">
            <w:pPr>
              <w:rPr>
                <w:rFonts w:ascii="Arial Narrow" w:hAnsi="Arial Narrow"/>
                <w:color w:val="333333"/>
                <w:sz w:val="20"/>
                <w:szCs w:val="20"/>
              </w:rPr>
            </w:pPr>
            <w:r w:rsidRPr="00D96E64">
              <w:rPr>
                <w:rFonts w:ascii="Arial Narrow" w:hAnsi="Arial Narrow"/>
                <w:sz w:val="20"/>
                <w:szCs w:val="20"/>
              </w:rPr>
              <w:t>Patient must have failed to achieve an adequate response to, or be intolerant to, immunoglobulin therapy</w:t>
            </w:r>
          </w:p>
        </w:tc>
      </w:tr>
      <w:bookmarkEnd w:id="60"/>
      <w:tr w:rsidR="002E4972" w:rsidRPr="00D96E64" w14:paraId="57511B17" w14:textId="77777777" w:rsidTr="0003019A">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620E739D" w14:textId="77777777" w:rsidR="002E4972" w:rsidRPr="00D96E64" w:rsidRDefault="002E4972" w:rsidP="00750019">
            <w:pPr>
              <w:jc w:val="center"/>
              <w:rPr>
                <w:rFonts w:ascii="Arial Narrow" w:hAnsi="Arial Narrow"/>
                <w:color w:val="333333"/>
                <w:sz w:val="20"/>
                <w:szCs w:val="20"/>
              </w:rPr>
            </w:pPr>
          </w:p>
        </w:tc>
        <w:tc>
          <w:tcPr>
            <w:tcW w:w="4458" w:type="pct"/>
            <w:gridSpan w:val="6"/>
            <w:vAlign w:val="center"/>
          </w:tcPr>
          <w:p w14:paraId="5F764565" w14:textId="77777777" w:rsidR="002E4972" w:rsidRPr="00D96E64" w:rsidRDefault="002E4972" w:rsidP="00750019">
            <w:pPr>
              <w:rPr>
                <w:rFonts w:ascii="Arial Narrow" w:hAnsi="Arial Narrow"/>
                <w:b/>
                <w:bCs/>
                <w:sz w:val="20"/>
                <w:szCs w:val="20"/>
              </w:rPr>
            </w:pPr>
            <w:r w:rsidRPr="00D96E64">
              <w:rPr>
                <w:rFonts w:ascii="Arial Narrow" w:hAnsi="Arial Narrow"/>
                <w:b/>
                <w:bCs/>
                <w:sz w:val="20"/>
                <w:szCs w:val="20"/>
              </w:rPr>
              <w:t>AND</w:t>
            </w:r>
          </w:p>
        </w:tc>
      </w:tr>
      <w:tr w:rsidR="002E4972" w:rsidRPr="00D96E64" w14:paraId="396173F5" w14:textId="77777777" w:rsidTr="0003019A">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5D8934AB" w14:textId="6B65D982" w:rsidR="002E4972" w:rsidRPr="00D96E64" w:rsidRDefault="002E4972" w:rsidP="00750019">
            <w:pPr>
              <w:jc w:val="center"/>
              <w:rPr>
                <w:rFonts w:ascii="Arial Narrow" w:hAnsi="Arial Narrow"/>
                <w:color w:val="333333"/>
                <w:sz w:val="20"/>
                <w:szCs w:val="20"/>
              </w:rPr>
            </w:pPr>
          </w:p>
        </w:tc>
        <w:tc>
          <w:tcPr>
            <w:tcW w:w="4458" w:type="pct"/>
            <w:gridSpan w:val="6"/>
            <w:vAlign w:val="center"/>
          </w:tcPr>
          <w:p w14:paraId="73B672DD"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color w:val="333333"/>
                <w:sz w:val="20"/>
                <w:szCs w:val="20"/>
              </w:rPr>
              <w:t>Clinical criteria:</w:t>
            </w:r>
          </w:p>
        </w:tc>
      </w:tr>
      <w:tr w:rsidR="002E4972" w:rsidRPr="00D96E64" w14:paraId="6956205F" w14:textId="77777777" w:rsidTr="0003019A">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6AAA5897" w14:textId="3D5646D7" w:rsidR="002E4972" w:rsidRPr="00D96E64" w:rsidRDefault="002E4972" w:rsidP="00750019">
            <w:pPr>
              <w:jc w:val="center"/>
              <w:rPr>
                <w:rFonts w:ascii="Arial Narrow" w:hAnsi="Arial Narrow"/>
                <w:color w:val="333333"/>
                <w:sz w:val="20"/>
                <w:szCs w:val="20"/>
              </w:rPr>
            </w:pPr>
          </w:p>
        </w:tc>
        <w:tc>
          <w:tcPr>
            <w:tcW w:w="4458" w:type="pct"/>
            <w:gridSpan w:val="6"/>
            <w:vAlign w:val="center"/>
          </w:tcPr>
          <w:p w14:paraId="241589D9" w14:textId="77777777" w:rsidR="002E4972" w:rsidRPr="00D96E64" w:rsidRDefault="002E4972" w:rsidP="00750019">
            <w:pPr>
              <w:rPr>
                <w:rFonts w:ascii="Arial Narrow" w:hAnsi="Arial Narrow"/>
                <w:b/>
                <w:bCs/>
                <w:color w:val="333333"/>
                <w:sz w:val="20"/>
                <w:szCs w:val="20"/>
              </w:rPr>
            </w:pPr>
            <w:r w:rsidRPr="00D96E64">
              <w:rPr>
                <w:rFonts w:ascii="Arial Narrow" w:hAnsi="Arial Narrow"/>
                <w:sz w:val="20"/>
                <w:szCs w:val="20"/>
              </w:rPr>
              <w:t>The treatment must be the sole PBS-subsidised thrombopoietin receptor agonist (TRA) for this condition</w:t>
            </w:r>
          </w:p>
        </w:tc>
      </w:tr>
      <w:tr w:rsidR="002E4972" w:rsidRPr="00141F99" w14:paraId="2DF8BABE" w14:textId="77777777" w:rsidTr="0003019A">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0E5175E7" w14:textId="3CDAD71B" w:rsidR="002E4972" w:rsidRPr="00141F99" w:rsidRDefault="002E4972" w:rsidP="00750019">
            <w:pPr>
              <w:jc w:val="center"/>
              <w:rPr>
                <w:rFonts w:ascii="Arial Narrow" w:hAnsi="Arial Narrow"/>
                <w:color w:val="333333"/>
                <w:sz w:val="20"/>
                <w:szCs w:val="20"/>
              </w:rPr>
            </w:pPr>
          </w:p>
        </w:tc>
        <w:tc>
          <w:tcPr>
            <w:tcW w:w="4458" w:type="pct"/>
            <w:gridSpan w:val="6"/>
            <w:vAlign w:val="center"/>
          </w:tcPr>
          <w:p w14:paraId="5150FE32" w14:textId="77777777" w:rsidR="0003019A" w:rsidRPr="00141F99" w:rsidRDefault="002E4972" w:rsidP="0003019A">
            <w:pPr>
              <w:rPr>
                <w:rFonts w:ascii="Arial Narrow" w:hAnsi="Arial Narrow"/>
                <w:sz w:val="20"/>
                <w:szCs w:val="20"/>
              </w:rPr>
            </w:pPr>
            <w:r w:rsidRPr="00141F99">
              <w:rPr>
                <w:rFonts w:ascii="Arial Narrow" w:hAnsi="Arial Narrow"/>
                <w:b/>
                <w:bCs/>
                <w:color w:val="333333"/>
                <w:sz w:val="20"/>
                <w:szCs w:val="20"/>
              </w:rPr>
              <w:t xml:space="preserve">Prescribing Instructions: </w:t>
            </w:r>
            <w:r w:rsidR="0003019A" w:rsidRPr="00141F99">
              <w:rPr>
                <w:rFonts w:ascii="Arial Narrow" w:hAnsi="Arial Narrow"/>
                <w:sz w:val="20"/>
                <w:szCs w:val="20"/>
              </w:rPr>
              <w:t>The following criteria indicate failure to achieve an adequate response to corticosteroid and/or immunoglobulin therapy and must be demonstrated at the time of initial application;</w:t>
            </w:r>
          </w:p>
          <w:p w14:paraId="2B349623" w14:textId="77777777" w:rsidR="0003019A" w:rsidRPr="00141F99" w:rsidRDefault="0003019A" w:rsidP="0003019A">
            <w:pPr>
              <w:rPr>
                <w:rFonts w:ascii="Arial Narrow" w:hAnsi="Arial Narrow"/>
                <w:sz w:val="20"/>
                <w:szCs w:val="20"/>
              </w:rPr>
            </w:pPr>
            <w:r w:rsidRPr="00141F99">
              <w:rPr>
                <w:rFonts w:ascii="Arial Narrow" w:hAnsi="Arial Narrow"/>
                <w:sz w:val="20"/>
                <w:szCs w:val="20"/>
              </w:rPr>
              <w:t>(a) a platelet count of less than or equal to 20,000 million per L; OR</w:t>
            </w:r>
          </w:p>
          <w:p w14:paraId="6624D47D" w14:textId="704BFB62" w:rsidR="002E4972" w:rsidRPr="00141F99" w:rsidRDefault="0003019A" w:rsidP="0003019A">
            <w:pPr>
              <w:rPr>
                <w:rFonts w:ascii="Arial Narrow" w:hAnsi="Arial Narrow"/>
                <w:color w:val="333333"/>
                <w:sz w:val="20"/>
                <w:szCs w:val="20"/>
              </w:rPr>
            </w:pPr>
            <w:r w:rsidRPr="00141F99">
              <w:rPr>
                <w:rFonts w:ascii="Arial Narrow" w:hAnsi="Arial Narrow"/>
                <w:sz w:val="20"/>
                <w:szCs w:val="20"/>
              </w:rPr>
              <w:t>(b) a platelet count of 20,000 million to 30,000 million per L, where the patient is experiencing significant bleeding or has a history of significant bleeding in this platelet range.</w:t>
            </w:r>
          </w:p>
        </w:tc>
      </w:tr>
      <w:tr w:rsidR="00300313" w:rsidRPr="00D96E64" w14:paraId="577F1B18" w14:textId="77777777" w:rsidTr="0003019A">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1E093170" w14:textId="7DBE5A7F" w:rsidR="00300313" w:rsidRPr="00300313" w:rsidRDefault="00300313" w:rsidP="00300313">
            <w:pPr>
              <w:jc w:val="center"/>
              <w:rPr>
                <w:rFonts w:ascii="Arial Narrow" w:hAnsi="Arial Narrow"/>
                <w:i/>
                <w:iCs/>
                <w:color w:val="333333"/>
                <w:sz w:val="20"/>
                <w:szCs w:val="20"/>
                <w:highlight w:val="yellow"/>
              </w:rPr>
            </w:pPr>
          </w:p>
        </w:tc>
        <w:tc>
          <w:tcPr>
            <w:tcW w:w="4458" w:type="pct"/>
            <w:gridSpan w:val="6"/>
            <w:vAlign w:val="center"/>
          </w:tcPr>
          <w:p w14:paraId="668513FF" w14:textId="77777777" w:rsidR="00300313" w:rsidRPr="00141F99" w:rsidRDefault="00300313" w:rsidP="00300313">
            <w:pPr>
              <w:rPr>
                <w:rFonts w:ascii="Arial Narrow" w:hAnsi="Arial Narrow"/>
                <w:sz w:val="20"/>
                <w:szCs w:val="20"/>
              </w:rPr>
            </w:pPr>
            <w:r w:rsidRPr="00141F99">
              <w:rPr>
                <w:rFonts w:ascii="Arial Narrow" w:hAnsi="Arial Narrow"/>
                <w:b/>
                <w:bCs/>
                <w:color w:val="333333"/>
                <w:sz w:val="20"/>
                <w:szCs w:val="20"/>
              </w:rPr>
              <w:t xml:space="preserve">Prescribing Instructions: </w:t>
            </w:r>
            <w:r w:rsidRPr="00141F99">
              <w:rPr>
                <w:rFonts w:ascii="Arial Narrow" w:hAnsi="Arial Narrow"/>
                <w:sz w:val="20"/>
                <w:szCs w:val="20"/>
              </w:rPr>
              <w:t>The authority application must be made in writing and must include:</w:t>
            </w:r>
          </w:p>
          <w:p w14:paraId="1A5D111B" w14:textId="77777777" w:rsidR="00300313" w:rsidRPr="00141F99" w:rsidRDefault="00300313" w:rsidP="00300313">
            <w:pPr>
              <w:rPr>
                <w:rFonts w:ascii="Arial Narrow" w:hAnsi="Arial Narrow"/>
                <w:sz w:val="20"/>
                <w:szCs w:val="20"/>
              </w:rPr>
            </w:pPr>
            <w:r w:rsidRPr="00141F99">
              <w:rPr>
                <w:rFonts w:ascii="Arial Narrow" w:hAnsi="Arial Narrow"/>
                <w:sz w:val="20"/>
                <w:szCs w:val="20"/>
              </w:rPr>
              <w:t>(1) a completed authority prescription form,</w:t>
            </w:r>
          </w:p>
          <w:p w14:paraId="7F65E8C2" w14:textId="77777777" w:rsidR="00300313" w:rsidRPr="00141F99" w:rsidRDefault="00300313" w:rsidP="00300313">
            <w:pPr>
              <w:rPr>
                <w:rFonts w:ascii="Arial Narrow" w:hAnsi="Arial Narrow"/>
                <w:sz w:val="20"/>
                <w:szCs w:val="20"/>
              </w:rPr>
            </w:pPr>
            <w:r w:rsidRPr="00141F99">
              <w:rPr>
                <w:rFonts w:ascii="Arial Narrow" w:hAnsi="Arial Narrow"/>
                <w:sz w:val="20"/>
                <w:szCs w:val="20"/>
              </w:rPr>
              <w:t>(2) a completed Idiopathic Thrombocytopenic Purpura Initial PBS Authority Application - Supporting Information Form, and</w:t>
            </w:r>
          </w:p>
          <w:p w14:paraId="039F6446" w14:textId="77777777" w:rsidR="00300313" w:rsidRPr="00141F99" w:rsidRDefault="00300313" w:rsidP="00300313">
            <w:pPr>
              <w:rPr>
                <w:rFonts w:ascii="Arial Narrow" w:hAnsi="Arial Narrow"/>
                <w:sz w:val="20"/>
                <w:szCs w:val="20"/>
              </w:rPr>
            </w:pPr>
            <w:r w:rsidRPr="00141F99">
              <w:rPr>
                <w:rFonts w:ascii="Arial Narrow" w:hAnsi="Arial Narrow"/>
                <w:sz w:val="20"/>
                <w:szCs w:val="20"/>
              </w:rPr>
              <w:t>(3) details of a platelet count supporting the diagnosis of ITP.</w:t>
            </w:r>
          </w:p>
          <w:p w14:paraId="34A5CB90" w14:textId="7ECBCF0C" w:rsidR="00300313" w:rsidRPr="00300313" w:rsidRDefault="00300313" w:rsidP="00300313">
            <w:pPr>
              <w:rPr>
                <w:rFonts w:ascii="Arial Narrow" w:hAnsi="Arial Narrow"/>
                <w:i/>
                <w:iCs/>
                <w:color w:val="333333"/>
                <w:sz w:val="20"/>
                <w:szCs w:val="20"/>
                <w:highlight w:val="yellow"/>
              </w:rPr>
            </w:pPr>
            <w:r w:rsidRPr="00141F99">
              <w:rPr>
                <w:rFonts w:ascii="Arial Narrow" w:hAnsi="Arial Narrow"/>
                <w:sz w:val="20"/>
                <w:szCs w:val="20"/>
              </w:rPr>
              <w:t>All reports must be documented in the patient's medical records.</w:t>
            </w:r>
          </w:p>
        </w:tc>
      </w:tr>
      <w:tr w:rsidR="00300313" w:rsidRPr="00D96E64" w14:paraId="573D147E" w14:textId="77777777" w:rsidTr="0003019A">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423F4202" w14:textId="3A10B039" w:rsidR="00300313" w:rsidRPr="00141F99" w:rsidRDefault="00300313" w:rsidP="00300313">
            <w:pPr>
              <w:jc w:val="center"/>
              <w:rPr>
                <w:rFonts w:ascii="Arial Narrow" w:hAnsi="Arial Narrow"/>
                <w:color w:val="333333"/>
                <w:sz w:val="20"/>
                <w:szCs w:val="20"/>
              </w:rPr>
            </w:pPr>
          </w:p>
        </w:tc>
        <w:tc>
          <w:tcPr>
            <w:tcW w:w="4458" w:type="pct"/>
            <w:gridSpan w:val="6"/>
            <w:vAlign w:val="center"/>
          </w:tcPr>
          <w:p w14:paraId="0FD41BD9" w14:textId="1DB705AB" w:rsidR="00300313" w:rsidRPr="00141F99" w:rsidRDefault="00300313" w:rsidP="00300313">
            <w:pPr>
              <w:rPr>
                <w:rFonts w:ascii="Arial Narrow" w:hAnsi="Arial Narrow"/>
                <w:b/>
                <w:bCs/>
                <w:color w:val="333333"/>
                <w:sz w:val="20"/>
                <w:szCs w:val="20"/>
              </w:rPr>
            </w:pPr>
            <w:r w:rsidRPr="00141F99">
              <w:rPr>
                <w:rFonts w:ascii="Arial Narrow" w:hAnsi="Arial Narrow"/>
                <w:b/>
                <w:bCs/>
                <w:color w:val="333333"/>
                <w:sz w:val="20"/>
                <w:szCs w:val="20"/>
              </w:rPr>
              <w:t xml:space="preserve">Prescribing Instructions: </w:t>
            </w:r>
            <w:r w:rsidRPr="00141F99">
              <w:rPr>
                <w:rFonts w:ascii="Arial Narrow" w:hAnsi="Arial Narrow"/>
                <w:sz w:val="20"/>
                <w:szCs w:val="20"/>
              </w:rPr>
              <w:t>The platelet count must be no more than 4 weeks old at the time of application and must be documented in the patient’s medical records.</w:t>
            </w:r>
          </w:p>
        </w:tc>
      </w:tr>
      <w:tr w:rsidR="002E4972" w:rsidRPr="00D96E64" w14:paraId="1782889F" w14:textId="77777777" w:rsidTr="0003019A">
        <w:tblPrEx>
          <w:tblCellMar>
            <w:top w:w="15" w:type="dxa"/>
            <w:left w:w="15" w:type="dxa"/>
            <w:bottom w:w="15" w:type="dxa"/>
            <w:right w:w="15" w:type="dxa"/>
          </w:tblCellMar>
          <w:tblLook w:val="04A0" w:firstRow="1" w:lastRow="0" w:firstColumn="1" w:lastColumn="0" w:noHBand="0" w:noVBand="1"/>
        </w:tblPrEx>
        <w:tc>
          <w:tcPr>
            <w:tcW w:w="542" w:type="pct"/>
            <w:gridSpan w:val="2"/>
            <w:vAlign w:val="center"/>
          </w:tcPr>
          <w:p w14:paraId="0178D550" w14:textId="55C107F0" w:rsidR="002E4972" w:rsidRPr="00D96E64" w:rsidRDefault="002E4972" w:rsidP="00750019">
            <w:pPr>
              <w:jc w:val="center"/>
              <w:rPr>
                <w:rFonts w:ascii="Arial Narrow" w:hAnsi="Arial Narrow"/>
                <w:color w:val="333333"/>
                <w:sz w:val="20"/>
                <w:szCs w:val="20"/>
              </w:rPr>
            </w:pPr>
          </w:p>
        </w:tc>
        <w:tc>
          <w:tcPr>
            <w:tcW w:w="4458" w:type="pct"/>
            <w:gridSpan w:val="6"/>
            <w:vAlign w:val="center"/>
          </w:tcPr>
          <w:p w14:paraId="139C0255"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color w:val="333333"/>
                <w:sz w:val="20"/>
                <w:szCs w:val="20"/>
              </w:rPr>
              <w:t xml:space="preserve">Administrative Advice: </w:t>
            </w:r>
          </w:p>
          <w:p w14:paraId="6312270F" w14:textId="77777777" w:rsidR="002E4972" w:rsidRPr="00D96E64" w:rsidRDefault="002E4972" w:rsidP="00750019">
            <w:pPr>
              <w:rPr>
                <w:rFonts w:ascii="Arial Narrow" w:hAnsi="Arial Narrow"/>
                <w:sz w:val="20"/>
                <w:szCs w:val="20"/>
              </w:rPr>
            </w:pPr>
            <w:r w:rsidRPr="00D96E64">
              <w:rPr>
                <w:rFonts w:ascii="Arial Narrow" w:hAnsi="Arial Narrow"/>
                <w:sz w:val="20"/>
                <w:szCs w:val="20"/>
              </w:rPr>
              <w:lastRenderedPageBreak/>
              <w:t xml:space="preserve">Any queries concerning the arrangements to prescribe may be directed to Services Australia on 1800 700 270 (hours of operation 8 a.m. to 5 p.m. Monday to Friday). </w:t>
            </w:r>
          </w:p>
          <w:p w14:paraId="4A7147EC" w14:textId="77777777" w:rsidR="002E4972" w:rsidRPr="00D96E64" w:rsidRDefault="002E4972" w:rsidP="00750019">
            <w:pPr>
              <w:rPr>
                <w:rFonts w:ascii="Arial Narrow" w:hAnsi="Arial Narrow"/>
                <w:sz w:val="20"/>
                <w:szCs w:val="20"/>
              </w:rPr>
            </w:pPr>
          </w:p>
          <w:p w14:paraId="76E1063E" w14:textId="483EF85D" w:rsidR="002E4972" w:rsidRPr="00D96E64" w:rsidRDefault="002E4972" w:rsidP="00750019">
            <w:pPr>
              <w:rPr>
                <w:rFonts w:ascii="Arial Narrow" w:hAnsi="Arial Narrow"/>
                <w:sz w:val="20"/>
                <w:szCs w:val="20"/>
              </w:rPr>
            </w:pPr>
            <w:r w:rsidRPr="00D96E64">
              <w:rPr>
                <w:rFonts w:ascii="Arial Narrow" w:hAnsi="Arial Narrow"/>
                <w:sz w:val="20"/>
                <w:szCs w:val="20"/>
              </w:rPr>
              <w:t xml:space="preserve">Prescribing information (including Authority Application forms and other relevant documentation as applicable) is available on the Services Australia website at </w:t>
            </w:r>
            <w:hyperlink r:id="rId10" w:history="1">
              <w:r w:rsidRPr="00D96E64">
                <w:rPr>
                  <w:rStyle w:val="Hyperlink"/>
                  <w:rFonts w:ascii="Arial Narrow" w:hAnsi="Arial Narrow"/>
                  <w:sz w:val="20"/>
                  <w:szCs w:val="20"/>
                </w:rPr>
                <w:t>www.servicesaustralia.gov.au</w:t>
              </w:r>
            </w:hyperlink>
            <w:r w:rsidRPr="00D96E64">
              <w:rPr>
                <w:rFonts w:ascii="Arial Narrow" w:hAnsi="Arial Narrow"/>
                <w:sz w:val="20"/>
                <w:szCs w:val="20"/>
              </w:rPr>
              <w:t xml:space="preserve">, </w:t>
            </w:r>
          </w:p>
          <w:p w14:paraId="31B96CBD" w14:textId="77777777" w:rsidR="002E4972" w:rsidRPr="00D96E64" w:rsidRDefault="002E4972" w:rsidP="00750019">
            <w:pPr>
              <w:rPr>
                <w:rFonts w:ascii="Arial Narrow" w:hAnsi="Arial Narrow"/>
                <w:sz w:val="20"/>
                <w:szCs w:val="20"/>
              </w:rPr>
            </w:pPr>
          </w:p>
          <w:p w14:paraId="4D0030AE" w14:textId="05667B0B" w:rsidR="002E4972" w:rsidRPr="00D96E64" w:rsidRDefault="00141F99" w:rsidP="00750019">
            <w:pPr>
              <w:rPr>
                <w:rFonts w:ascii="Arial Narrow" w:hAnsi="Arial Narrow"/>
                <w:sz w:val="20"/>
                <w:szCs w:val="20"/>
              </w:rPr>
            </w:pPr>
            <w:r>
              <w:rPr>
                <w:rFonts w:ascii="Arial Narrow" w:hAnsi="Arial Narrow"/>
                <w:sz w:val="20"/>
                <w:szCs w:val="20"/>
              </w:rPr>
              <w:t>Applications</w:t>
            </w:r>
            <w:r w:rsidR="002E4972" w:rsidRPr="00D96E64">
              <w:rPr>
                <w:rFonts w:ascii="Arial Narrow" w:hAnsi="Arial Narrow"/>
                <w:sz w:val="20"/>
                <w:szCs w:val="20"/>
              </w:rPr>
              <w:t xml:space="preserve"> for authority to prescribe can be submitted online using the form upload facility in Health Professional Online Services (HPOS) at </w:t>
            </w:r>
            <w:hyperlink r:id="rId11" w:history="1">
              <w:r w:rsidR="002E4972" w:rsidRPr="00D96E64">
                <w:rPr>
                  <w:rStyle w:val="Hyperlink"/>
                  <w:rFonts w:ascii="Arial Narrow" w:hAnsi="Arial Narrow"/>
                  <w:sz w:val="20"/>
                  <w:szCs w:val="20"/>
                </w:rPr>
                <w:t>www.servicesaustralia.gov.au/hpos</w:t>
              </w:r>
            </w:hyperlink>
            <w:r w:rsidR="002E4972" w:rsidRPr="00D96E64">
              <w:rPr>
                <w:rFonts w:ascii="Arial Narrow" w:hAnsi="Arial Narrow"/>
                <w:sz w:val="20"/>
                <w:szCs w:val="20"/>
              </w:rPr>
              <w:t xml:space="preserve">, </w:t>
            </w:r>
          </w:p>
          <w:p w14:paraId="1B5869B7" w14:textId="77777777" w:rsidR="002E4972" w:rsidRPr="00D96E64" w:rsidRDefault="002E4972" w:rsidP="00750019">
            <w:pPr>
              <w:rPr>
                <w:rFonts w:ascii="Arial Narrow" w:hAnsi="Arial Narrow"/>
                <w:sz w:val="20"/>
                <w:szCs w:val="20"/>
              </w:rPr>
            </w:pPr>
          </w:p>
          <w:p w14:paraId="29DC578A" w14:textId="77777777" w:rsidR="002E4972" w:rsidRPr="00D96E64" w:rsidRDefault="002E4972" w:rsidP="00750019">
            <w:pPr>
              <w:rPr>
                <w:rFonts w:ascii="Arial Narrow" w:hAnsi="Arial Narrow"/>
                <w:sz w:val="20"/>
                <w:szCs w:val="20"/>
              </w:rPr>
            </w:pPr>
            <w:r w:rsidRPr="00D96E64">
              <w:rPr>
                <w:rFonts w:ascii="Arial Narrow" w:hAnsi="Arial Narrow"/>
                <w:sz w:val="20"/>
                <w:szCs w:val="20"/>
              </w:rPr>
              <w:t>Or mailed to:</w:t>
            </w:r>
          </w:p>
          <w:p w14:paraId="05171C9B" w14:textId="77777777" w:rsidR="002E4972" w:rsidRPr="00D96E64" w:rsidRDefault="002E4972" w:rsidP="00750019">
            <w:pPr>
              <w:rPr>
                <w:rFonts w:ascii="Arial Narrow" w:hAnsi="Arial Narrow"/>
                <w:sz w:val="20"/>
                <w:szCs w:val="20"/>
              </w:rPr>
            </w:pPr>
            <w:r w:rsidRPr="00D96E64">
              <w:rPr>
                <w:rFonts w:ascii="Arial Narrow" w:hAnsi="Arial Narrow"/>
                <w:sz w:val="20"/>
                <w:szCs w:val="20"/>
              </w:rPr>
              <w:t xml:space="preserve">Services Australia, </w:t>
            </w:r>
          </w:p>
          <w:p w14:paraId="62B1271F" w14:textId="77777777" w:rsidR="002E4972" w:rsidRPr="00D96E64" w:rsidRDefault="002E4972" w:rsidP="00750019">
            <w:pPr>
              <w:rPr>
                <w:rFonts w:ascii="Arial Narrow" w:hAnsi="Arial Narrow"/>
                <w:sz w:val="20"/>
                <w:szCs w:val="20"/>
              </w:rPr>
            </w:pPr>
            <w:r w:rsidRPr="00D96E64">
              <w:rPr>
                <w:rFonts w:ascii="Arial Narrow" w:hAnsi="Arial Narrow"/>
                <w:sz w:val="20"/>
                <w:szCs w:val="20"/>
              </w:rPr>
              <w:t xml:space="preserve">Complex Drugs, </w:t>
            </w:r>
          </w:p>
          <w:p w14:paraId="4136AEAC" w14:textId="77777777" w:rsidR="002E4972" w:rsidRPr="00D96E64" w:rsidRDefault="002E4972" w:rsidP="00750019">
            <w:pPr>
              <w:rPr>
                <w:rFonts w:ascii="Arial Narrow" w:hAnsi="Arial Narrow"/>
                <w:sz w:val="20"/>
                <w:szCs w:val="20"/>
              </w:rPr>
            </w:pPr>
            <w:r w:rsidRPr="00D96E64">
              <w:rPr>
                <w:rFonts w:ascii="Arial Narrow" w:hAnsi="Arial Narrow"/>
                <w:sz w:val="20"/>
                <w:szCs w:val="20"/>
              </w:rPr>
              <w:t xml:space="preserve">Reply Paid 9826, </w:t>
            </w:r>
          </w:p>
          <w:p w14:paraId="69D7D13A" w14:textId="77777777" w:rsidR="002E4972" w:rsidRPr="00D96E64" w:rsidRDefault="002E4972" w:rsidP="00750019">
            <w:pPr>
              <w:rPr>
                <w:rFonts w:ascii="Arial Narrow" w:hAnsi="Arial Narrow"/>
                <w:color w:val="333333"/>
                <w:sz w:val="20"/>
                <w:szCs w:val="20"/>
              </w:rPr>
            </w:pPr>
            <w:r w:rsidRPr="00D96E64">
              <w:rPr>
                <w:rFonts w:ascii="Arial Narrow" w:hAnsi="Arial Narrow"/>
                <w:sz w:val="20"/>
                <w:szCs w:val="20"/>
              </w:rPr>
              <w:t>HOBART TAS 7001</w:t>
            </w:r>
          </w:p>
        </w:tc>
      </w:tr>
    </w:tbl>
    <w:p w14:paraId="4AE5C96A" w14:textId="695A6C95" w:rsidR="002D3244" w:rsidRDefault="002D3244">
      <w:pPr>
        <w:jc w:val="left"/>
        <w:rPr>
          <w:b/>
          <w:sz w:val="20"/>
          <w:szCs w:val="20"/>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0"/>
        <w:gridCol w:w="491"/>
        <w:gridCol w:w="8086"/>
      </w:tblGrid>
      <w:tr w:rsidR="002E4972" w:rsidRPr="00D96E64" w14:paraId="400B2CD9" w14:textId="77777777" w:rsidTr="00750019">
        <w:tc>
          <w:tcPr>
            <w:tcW w:w="9067" w:type="dxa"/>
            <w:gridSpan w:val="3"/>
            <w:vAlign w:val="center"/>
          </w:tcPr>
          <w:p w14:paraId="533F5776"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color w:val="333333"/>
                <w:sz w:val="20"/>
                <w:szCs w:val="20"/>
              </w:rPr>
              <w:t xml:space="preserve">Restriction Summary [new] / Treatment of Concept: [new]  </w:t>
            </w:r>
          </w:p>
        </w:tc>
      </w:tr>
      <w:tr w:rsidR="002E4972" w:rsidRPr="00D96E64" w14:paraId="10A6D229" w14:textId="77777777" w:rsidTr="00750019">
        <w:tc>
          <w:tcPr>
            <w:tcW w:w="981" w:type="dxa"/>
            <w:gridSpan w:val="2"/>
            <w:vMerge w:val="restart"/>
          </w:tcPr>
          <w:p w14:paraId="07C458A7" w14:textId="77777777" w:rsidR="002E4972" w:rsidRPr="00D96E64" w:rsidRDefault="002E4972" w:rsidP="00750019">
            <w:pPr>
              <w:jc w:val="center"/>
              <w:rPr>
                <w:rFonts w:ascii="Arial Narrow" w:hAnsi="Arial Narrow"/>
                <w:b/>
                <w:sz w:val="20"/>
                <w:szCs w:val="20"/>
              </w:rPr>
            </w:pPr>
            <w:r w:rsidRPr="00D96E64">
              <w:rPr>
                <w:rFonts w:ascii="Arial Narrow" w:hAnsi="Arial Narrow"/>
                <w:b/>
                <w:sz w:val="20"/>
                <w:szCs w:val="20"/>
              </w:rPr>
              <w:t>Concept ID</w:t>
            </w:r>
          </w:p>
          <w:p w14:paraId="46D78EDF" w14:textId="77777777" w:rsidR="002E4972" w:rsidRPr="00D96E64" w:rsidRDefault="002E4972" w:rsidP="00750019">
            <w:pPr>
              <w:jc w:val="center"/>
              <w:rPr>
                <w:rFonts w:ascii="Arial Narrow" w:hAnsi="Arial Narrow"/>
                <w:b/>
                <w:bCs/>
                <w:color w:val="333333"/>
                <w:sz w:val="20"/>
                <w:szCs w:val="20"/>
              </w:rPr>
            </w:pPr>
            <w:r w:rsidRPr="00D96E64">
              <w:rPr>
                <w:rFonts w:ascii="Arial Narrow" w:hAnsi="Arial Narrow"/>
                <w:sz w:val="20"/>
                <w:szCs w:val="20"/>
              </w:rPr>
              <w:t>(for internal Dept. use)</w:t>
            </w:r>
          </w:p>
        </w:tc>
        <w:tc>
          <w:tcPr>
            <w:tcW w:w="8086" w:type="dxa"/>
          </w:tcPr>
          <w:p w14:paraId="5690EB7C" w14:textId="77777777" w:rsidR="002E4972" w:rsidRPr="00D96E64" w:rsidRDefault="002E4972" w:rsidP="00750019">
            <w:pPr>
              <w:rPr>
                <w:rFonts w:ascii="Arial Narrow" w:hAnsi="Arial Narrow"/>
                <w:b/>
                <w:bCs/>
                <w:color w:val="333333"/>
                <w:sz w:val="20"/>
                <w:szCs w:val="20"/>
              </w:rPr>
            </w:pPr>
            <w:r w:rsidRPr="00D96E64">
              <w:rPr>
                <w:rFonts w:ascii="Arial Narrow" w:hAnsi="Arial Narrow"/>
                <w:b/>
                <w:sz w:val="20"/>
                <w:szCs w:val="20"/>
              </w:rPr>
              <w:t xml:space="preserve">Category / Program: </w:t>
            </w:r>
            <w:r w:rsidRPr="00D96E64">
              <w:rPr>
                <w:rFonts w:ascii="Arial Narrow" w:hAnsi="Arial Narrow"/>
                <w:sz w:val="20"/>
                <w:szCs w:val="20"/>
              </w:rPr>
              <w:t xml:space="preserve">Section 100 – Highly Specialised Drugs Program  </w:t>
            </w:r>
          </w:p>
        </w:tc>
      </w:tr>
      <w:tr w:rsidR="002E4972" w:rsidRPr="00D96E64" w14:paraId="0C5F74BF" w14:textId="77777777" w:rsidTr="00750019">
        <w:tc>
          <w:tcPr>
            <w:tcW w:w="981" w:type="dxa"/>
            <w:gridSpan w:val="2"/>
            <w:vMerge/>
          </w:tcPr>
          <w:p w14:paraId="6AD927C3" w14:textId="77777777" w:rsidR="002E4972" w:rsidRPr="00D96E64" w:rsidRDefault="002E4972" w:rsidP="00750019">
            <w:pPr>
              <w:jc w:val="center"/>
              <w:rPr>
                <w:rFonts w:ascii="Arial Narrow" w:hAnsi="Arial Narrow"/>
                <w:b/>
                <w:sz w:val="20"/>
                <w:szCs w:val="20"/>
              </w:rPr>
            </w:pPr>
          </w:p>
        </w:tc>
        <w:tc>
          <w:tcPr>
            <w:tcW w:w="8086" w:type="dxa"/>
          </w:tcPr>
          <w:p w14:paraId="27D75EE0" w14:textId="77777777" w:rsidR="002E4972" w:rsidRPr="00D96E64" w:rsidRDefault="002E4972" w:rsidP="00750019">
            <w:pPr>
              <w:rPr>
                <w:rFonts w:ascii="Arial Narrow" w:hAnsi="Arial Narrow"/>
                <w:b/>
                <w:sz w:val="20"/>
                <w:szCs w:val="20"/>
              </w:rPr>
            </w:pPr>
            <w:r w:rsidRPr="00D96E64">
              <w:rPr>
                <w:rFonts w:ascii="Arial Narrow" w:hAnsi="Arial Narrow"/>
                <w:b/>
                <w:sz w:val="20"/>
                <w:szCs w:val="20"/>
              </w:rPr>
              <w:t>Prescriber type:</w:t>
            </w:r>
            <w:r w:rsidRPr="00D96E64">
              <w:rPr>
                <w:rFonts w:ascii="Arial Narrow" w:hAnsi="Arial Narrow"/>
                <w:sz w:val="20"/>
                <w:szCs w:val="20"/>
              </w:rPr>
              <w:t xml:space="preserve"> </w:t>
            </w:r>
            <w:r w:rsidRPr="00D96E64">
              <w:rPr>
                <w:rFonts w:ascii="Arial Narrow" w:hAnsi="Arial Narrow"/>
                <w:sz w:val="20"/>
                <w:szCs w:val="20"/>
              </w:rPr>
              <w:fldChar w:fldCharType="begin" w:fldLock="1">
                <w:ffData>
                  <w:name w:val=""/>
                  <w:enabled/>
                  <w:calcOnExit w:val="0"/>
                  <w:checkBox>
                    <w:sizeAuto/>
                    <w:default w:val="1"/>
                  </w:checkBox>
                </w:ffData>
              </w:fldChar>
            </w:r>
            <w:r w:rsidRPr="00D96E64">
              <w:rPr>
                <w:rFonts w:ascii="Arial Narrow" w:hAnsi="Arial Narrow"/>
                <w:sz w:val="20"/>
                <w:szCs w:val="20"/>
              </w:rPr>
              <w:instrText xml:space="preserve"> FORMCHECKBOX </w:instrText>
            </w:r>
            <w:r w:rsidR="0026219D">
              <w:rPr>
                <w:rFonts w:ascii="Arial Narrow" w:hAnsi="Arial Narrow"/>
                <w:sz w:val="20"/>
                <w:szCs w:val="20"/>
              </w:rPr>
            </w:r>
            <w:r w:rsidR="0026219D">
              <w:rPr>
                <w:rFonts w:ascii="Arial Narrow" w:hAnsi="Arial Narrow"/>
                <w:sz w:val="20"/>
                <w:szCs w:val="20"/>
              </w:rPr>
              <w:fldChar w:fldCharType="separate"/>
            </w:r>
            <w:r w:rsidRPr="00D96E64">
              <w:rPr>
                <w:rFonts w:ascii="Arial Narrow" w:hAnsi="Arial Narrow"/>
                <w:sz w:val="20"/>
                <w:szCs w:val="20"/>
              </w:rPr>
              <w:fldChar w:fldCharType="end"/>
            </w:r>
            <w:r w:rsidRPr="00D96E64">
              <w:rPr>
                <w:rFonts w:ascii="Arial Narrow" w:hAnsi="Arial Narrow"/>
                <w:sz w:val="20"/>
                <w:szCs w:val="20"/>
              </w:rPr>
              <w:t xml:space="preserve">Medical Practitioners   </w:t>
            </w:r>
          </w:p>
        </w:tc>
      </w:tr>
      <w:tr w:rsidR="002E4972" w:rsidRPr="00D96E64" w14:paraId="1C8BFCA0" w14:textId="77777777" w:rsidTr="00750019">
        <w:tc>
          <w:tcPr>
            <w:tcW w:w="981" w:type="dxa"/>
            <w:gridSpan w:val="2"/>
            <w:vMerge/>
          </w:tcPr>
          <w:p w14:paraId="450E6DCC" w14:textId="77777777" w:rsidR="002E4972" w:rsidRPr="00D96E64" w:rsidRDefault="002E4972" w:rsidP="00750019">
            <w:pPr>
              <w:jc w:val="center"/>
              <w:rPr>
                <w:rFonts w:ascii="Arial Narrow" w:hAnsi="Arial Narrow"/>
                <w:b/>
                <w:sz w:val="20"/>
                <w:szCs w:val="20"/>
              </w:rPr>
            </w:pPr>
          </w:p>
        </w:tc>
        <w:tc>
          <w:tcPr>
            <w:tcW w:w="8086" w:type="dxa"/>
          </w:tcPr>
          <w:p w14:paraId="5596FD9B" w14:textId="77777777" w:rsidR="002E4972" w:rsidRPr="00D96E64" w:rsidRDefault="002E4972" w:rsidP="00750019">
            <w:pPr>
              <w:rPr>
                <w:rFonts w:ascii="Arial Narrow" w:hAnsi="Arial Narrow"/>
                <w:b/>
                <w:sz w:val="20"/>
                <w:szCs w:val="20"/>
              </w:rPr>
            </w:pPr>
            <w:r w:rsidRPr="00D96E64">
              <w:rPr>
                <w:rFonts w:ascii="Arial Narrow" w:hAnsi="Arial Narrow"/>
                <w:b/>
                <w:sz w:val="20"/>
                <w:szCs w:val="20"/>
              </w:rPr>
              <w:t xml:space="preserve">Restriction type: </w:t>
            </w:r>
            <w:r w:rsidRPr="00D96E64">
              <w:rPr>
                <w:rFonts w:ascii="Arial Narrow" w:eastAsia="Calibri" w:hAnsi="Arial Narrow"/>
                <w:sz w:val="20"/>
                <w:szCs w:val="20"/>
              </w:rPr>
              <w:fldChar w:fldCharType="begin" w:fldLock="1">
                <w:ffData>
                  <w:name w:val=""/>
                  <w:enabled/>
                  <w:calcOnExit w:val="0"/>
                  <w:checkBox>
                    <w:sizeAuto/>
                    <w:default w:val="1"/>
                  </w:checkBox>
                </w:ffData>
              </w:fldChar>
            </w:r>
            <w:r w:rsidRPr="00D96E64">
              <w:rPr>
                <w:rFonts w:ascii="Arial Narrow" w:eastAsia="Calibri" w:hAnsi="Arial Narrow"/>
                <w:sz w:val="20"/>
                <w:szCs w:val="20"/>
              </w:rPr>
              <w:instrText xml:space="preserve"> FORMCHECKBOX </w:instrText>
            </w:r>
            <w:r w:rsidR="0026219D">
              <w:rPr>
                <w:rFonts w:ascii="Arial Narrow" w:eastAsia="Calibri" w:hAnsi="Arial Narrow"/>
                <w:sz w:val="20"/>
                <w:szCs w:val="20"/>
              </w:rPr>
            </w:r>
            <w:r w:rsidR="0026219D">
              <w:rPr>
                <w:rFonts w:ascii="Arial Narrow" w:eastAsia="Calibri" w:hAnsi="Arial Narrow"/>
                <w:sz w:val="20"/>
                <w:szCs w:val="20"/>
              </w:rPr>
              <w:fldChar w:fldCharType="separate"/>
            </w:r>
            <w:r w:rsidRPr="00D96E64">
              <w:rPr>
                <w:rFonts w:ascii="Arial Narrow" w:eastAsia="Calibri" w:hAnsi="Arial Narrow"/>
                <w:sz w:val="20"/>
                <w:szCs w:val="20"/>
              </w:rPr>
              <w:fldChar w:fldCharType="end"/>
            </w:r>
            <w:r w:rsidRPr="00D96E64">
              <w:rPr>
                <w:rFonts w:ascii="Arial Narrow" w:eastAsia="Calibri" w:hAnsi="Arial Narrow"/>
                <w:sz w:val="20"/>
                <w:szCs w:val="20"/>
              </w:rPr>
              <w:t>Authority Required – (Telephone /electronic)</w:t>
            </w:r>
          </w:p>
        </w:tc>
      </w:tr>
      <w:tr w:rsidR="00300313" w:rsidRPr="00141F99" w14:paraId="58FB8527" w14:textId="77777777" w:rsidTr="00A84A2B">
        <w:tc>
          <w:tcPr>
            <w:tcW w:w="490" w:type="dxa"/>
            <w:vMerge w:val="restart"/>
            <w:vAlign w:val="center"/>
          </w:tcPr>
          <w:p w14:paraId="4A942294" w14:textId="4D048DA2" w:rsidR="00300313" w:rsidRPr="00141F99" w:rsidRDefault="00300313" w:rsidP="00300313">
            <w:pPr>
              <w:jc w:val="center"/>
              <w:rPr>
                <w:rFonts w:ascii="Arial Narrow" w:hAnsi="Arial Narrow"/>
                <w:bCs/>
                <w:sz w:val="20"/>
                <w:szCs w:val="20"/>
              </w:rPr>
            </w:pPr>
          </w:p>
        </w:tc>
        <w:tc>
          <w:tcPr>
            <w:tcW w:w="491" w:type="dxa"/>
            <w:vAlign w:val="center"/>
          </w:tcPr>
          <w:p w14:paraId="2AC8CFE9" w14:textId="42BA6335" w:rsidR="00300313" w:rsidRPr="00141F99" w:rsidRDefault="00300313" w:rsidP="00300313">
            <w:pPr>
              <w:jc w:val="center"/>
              <w:rPr>
                <w:rFonts w:ascii="Arial Narrow" w:hAnsi="Arial Narrow"/>
                <w:b/>
                <w:sz w:val="20"/>
                <w:szCs w:val="20"/>
              </w:rPr>
            </w:pPr>
          </w:p>
        </w:tc>
        <w:tc>
          <w:tcPr>
            <w:tcW w:w="8086" w:type="dxa"/>
            <w:vAlign w:val="center"/>
          </w:tcPr>
          <w:p w14:paraId="74DCE2F3" w14:textId="221678C4" w:rsidR="00300313" w:rsidRPr="00141F99" w:rsidRDefault="00300313" w:rsidP="00300313">
            <w:pPr>
              <w:rPr>
                <w:rFonts w:ascii="Arial Narrow" w:hAnsi="Arial Narrow"/>
                <w:b/>
                <w:sz w:val="20"/>
                <w:szCs w:val="20"/>
              </w:rPr>
            </w:pPr>
            <w:r w:rsidRPr="00141F99">
              <w:rPr>
                <w:rFonts w:ascii="Arial Narrow" w:hAnsi="Arial Narrow"/>
                <w:b/>
                <w:bCs/>
                <w:color w:val="333333"/>
                <w:sz w:val="20"/>
                <w:szCs w:val="20"/>
              </w:rPr>
              <w:t>Administrative Advice:</w:t>
            </w:r>
            <w:r w:rsidRPr="00141F99">
              <w:rPr>
                <w:sz w:val="20"/>
                <w:szCs w:val="20"/>
              </w:rPr>
              <w:t xml:space="preserve"> </w:t>
            </w:r>
            <w:r w:rsidRPr="00141F99">
              <w:rPr>
                <w:rFonts w:ascii="Arial Narrow" w:hAnsi="Arial Narrow"/>
                <w:sz w:val="20"/>
                <w:szCs w:val="20"/>
              </w:rPr>
              <w:t>No increase in the maximum number of repeats may be authorised.</w:t>
            </w:r>
          </w:p>
        </w:tc>
      </w:tr>
      <w:tr w:rsidR="00300313" w:rsidRPr="00141F99" w14:paraId="45B24909" w14:textId="77777777" w:rsidTr="000E72FE">
        <w:tc>
          <w:tcPr>
            <w:tcW w:w="490" w:type="dxa"/>
            <w:vMerge/>
            <w:vAlign w:val="center"/>
          </w:tcPr>
          <w:p w14:paraId="3A6DA49C" w14:textId="090DDEFD" w:rsidR="00300313" w:rsidRPr="00141F99" w:rsidRDefault="00300313" w:rsidP="00300313">
            <w:pPr>
              <w:jc w:val="center"/>
              <w:rPr>
                <w:rFonts w:ascii="Arial Narrow" w:hAnsi="Arial Narrow"/>
                <w:b/>
                <w:sz w:val="20"/>
                <w:szCs w:val="20"/>
              </w:rPr>
            </w:pPr>
          </w:p>
        </w:tc>
        <w:tc>
          <w:tcPr>
            <w:tcW w:w="491" w:type="dxa"/>
            <w:vAlign w:val="center"/>
          </w:tcPr>
          <w:p w14:paraId="25A6BBD4" w14:textId="037CBC8D" w:rsidR="00300313" w:rsidRPr="00141F99" w:rsidRDefault="00300313" w:rsidP="00300313">
            <w:pPr>
              <w:jc w:val="center"/>
              <w:rPr>
                <w:rFonts w:ascii="Arial Narrow" w:hAnsi="Arial Narrow"/>
                <w:b/>
                <w:sz w:val="20"/>
                <w:szCs w:val="20"/>
              </w:rPr>
            </w:pPr>
          </w:p>
        </w:tc>
        <w:tc>
          <w:tcPr>
            <w:tcW w:w="8086" w:type="dxa"/>
            <w:vAlign w:val="center"/>
          </w:tcPr>
          <w:p w14:paraId="08808671" w14:textId="1AB9627D" w:rsidR="00300313" w:rsidRPr="00141F99" w:rsidRDefault="00300313" w:rsidP="00300313">
            <w:pPr>
              <w:rPr>
                <w:rFonts w:ascii="Arial Narrow" w:hAnsi="Arial Narrow"/>
                <w:b/>
                <w:sz w:val="20"/>
                <w:szCs w:val="20"/>
              </w:rPr>
            </w:pPr>
            <w:r w:rsidRPr="00141F99">
              <w:rPr>
                <w:rFonts w:ascii="Arial Narrow" w:hAnsi="Arial Narrow"/>
                <w:b/>
                <w:bCs/>
                <w:color w:val="333333"/>
                <w:sz w:val="20"/>
                <w:szCs w:val="20"/>
              </w:rPr>
              <w:t>Administrative Advice:</w:t>
            </w:r>
            <w:r w:rsidRPr="00141F99">
              <w:rPr>
                <w:sz w:val="20"/>
                <w:szCs w:val="20"/>
              </w:rPr>
              <w:t xml:space="preserve"> </w:t>
            </w:r>
            <w:r w:rsidRPr="00141F99">
              <w:rPr>
                <w:rFonts w:ascii="Arial Narrow" w:hAnsi="Arial Narrow"/>
                <w:sz w:val="20"/>
                <w:szCs w:val="20"/>
              </w:rPr>
              <w:t>Special Pricing Arrangements apply.</w:t>
            </w:r>
          </w:p>
        </w:tc>
      </w:tr>
      <w:tr w:rsidR="002E4972" w:rsidRPr="00D96E64" w14:paraId="19EAABED" w14:textId="77777777" w:rsidTr="00750019">
        <w:tc>
          <w:tcPr>
            <w:tcW w:w="981" w:type="dxa"/>
            <w:gridSpan w:val="2"/>
            <w:vAlign w:val="center"/>
          </w:tcPr>
          <w:p w14:paraId="41674D62" w14:textId="635A2DF5" w:rsidR="002E4972" w:rsidRPr="00D96E64" w:rsidRDefault="002E4972" w:rsidP="00750019">
            <w:pPr>
              <w:jc w:val="center"/>
              <w:rPr>
                <w:rFonts w:ascii="Arial Narrow" w:hAnsi="Arial Narrow"/>
                <w:b/>
                <w:sz w:val="20"/>
                <w:szCs w:val="20"/>
              </w:rPr>
            </w:pPr>
          </w:p>
        </w:tc>
        <w:tc>
          <w:tcPr>
            <w:tcW w:w="8086" w:type="dxa"/>
            <w:vAlign w:val="center"/>
          </w:tcPr>
          <w:p w14:paraId="3310787A" w14:textId="77777777" w:rsidR="002E4972" w:rsidRPr="00D96E64" w:rsidRDefault="002E4972" w:rsidP="00750019">
            <w:pPr>
              <w:rPr>
                <w:rFonts w:ascii="Arial Narrow" w:hAnsi="Arial Narrow"/>
                <w:b/>
                <w:sz w:val="20"/>
                <w:szCs w:val="20"/>
              </w:rPr>
            </w:pPr>
            <w:r w:rsidRPr="00D96E64">
              <w:rPr>
                <w:rFonts w:ascii="Arial Narrow" w:hAnsi="Arial Narrow"/>
                <w:b/>
                <w:bCs/>
                <w:color w:val="333333"/>
                <w:sz w:val="20"/>
                <w:szCs w:val="20"/>
              </w:rPr>
              <w:t>Indication:</w:t>
            </w:r>
            <w:r w:rsidRPr="00D96E64">
              <w:rPr>
                <w:rFonts w:ascii="Arial Narrow" w:hAnsi="Arial Narrow"/>
                <w:color w:val="333333"/>
                <w:sz w:val="20"/>
                <w:szCs w:val="20"/>
              </w:rPr>
              <w:t xml:space="preserve"> Severe thrombocytopenia</w:t>
            </w:r>
          </w:p>
        </w:tc>
      </w:tr>
      <w:tr w:rsidR="002E4972" w:rsidRPr="00D96E64" w14:paraId="225A5FE1" w14:textId="77777777" w:rsidTr="00750019">
        <w:tc>
          <w:tcPr>
            <w:tcW w:w="981" w:type="dxa"/>
            <w:gridSpan w:val="2"/>
            <w:vAlign w:val="center"/>
          </w:tcPr>
          <w:p w14:paraId="5AD26123" w14:textId="77777777" w:rsidR="002E4972" w:rsidRPr="00D96E64" w:rsidRDefault="002E4972" w:rsidP="00750019">
            <w:pPr>
              <w:jc w:val="center"/>
              <w:rPr>
                <w:rFonts w:ascii="Arial Narrow" w:hAnsi="Arial Narrow"/>
                <w:color w:val="333333"/>
                <w:sz w:val="20"/>
                <w:szCs w:val="20"/>
              </w:rPr>
            </w:pPr>
          </w:p>
        </w:tc>
        <w:tc>
          <w:tcPr>
            <w:tcW w:w="8086" w:type="dxa"/>
            <w:vAlign w:val="center"/>
          </w:tcPr>
          <w:p w14:paraId="53E564D7"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sz w:val="20"/>
                <w:szCs w:val="20"/>
              </w:rPr>
              <w:t>Treatment Phase:</w:t>
            </w:r>
            <w:r w:rsidRPr="00D96E64">
              <w:rPr>
                <w:rFonts w:ascii="Arial Narrow" w:hAnsi="Arial Narrow"/>
                <w:sz w:val="20"/>
                <w:szCs w:val="20"/>
              </w:rPr>
              <w:t xml:space="preserve"> First Continuing treatment or Re-initiation of interrupted continuing treatment  </w:t>
            </w:r>
          </w:p>
        </w:tc>
      </w:tr>
      <w:tr w:rsidR="002E4972" w:rsidRPr="00D96E64" w14:paraId="74E6E8E7" w14:textId="77777777" w:rsidTr="00750019">
        <w:tc>
          <w:tcPr>
            <w:tcW w:w="981" w:type="dxa"/>
            <w:gridSpan w:val="2"/>
            <w:vAlign w:val="center"/>
          </w:tcPr>
          <w:p w14:paraId="001CF111" w14:textId="15A20DD0" w:rsidR="002E4972" w:rsidRPr="00D96E64" w:rsidRDefault="002E4972" w:rsidP="00750019">
            <w:pPr>
              <w:jc w:val="center"/>
              <w:rPr>
                <w:rFonts w:ascii="Arial Narrow" w:hAnsi="Arial Narrow"/>
                <w:color w:val="333333"/>
                <w:sz w:val="20"/>
                <w:szCs w:val="20"/>
              </w:rPr>
            </w:pPr>
          </w:p>
        </w:tc>
        <w:tc>
          <w:tcPr>
            <w:tcW w:w="8086" w:type="dxa"/>
            <w:vAlign w:val="center"/>
          </w:tcPr>
          <w:p w14:paraId="7158C0BC" w14:textId="77777777" w:rsidR="002E4972" w:rsidRPr="00D96E64" w:rsidRDefault="002E4972" w:rsidP="00750019">
            <w:pPr>
              <w:rPr>
                <w:rFonts w:ascii="Arial Narrow" w:hAnsi="Arial Narrow"/>
                <w:b/>
                <w:bCs/>
                <w:sz w:val="20"/>
                <w:szCs w:val="20"/>
              </w:rPr>
            </w:pPr>
            <w:r w:rsidRPr="00D96E64">
              <w:rPr>
                <w:rFonts w:ascii="Arial Narrow" w:hAnsi="Arial Narrow"/>
                <w:b/>
                <w:bCs/>
                <w:color w:val="333333"/>
                <w:sz w:val="20"/>
                <w:szCs w:val="20"/>
              </w:rPr>
              <w:t>Clinical criteria:</w:t>
            </w:r>
          </w:p>
        </w:tc>
      </w:tr>
      <w:tr w:rsidR="002E4972" w:rsidRPr="00D96E64" w14:paraId="79BD8522" w14:textId="77777777" w:rsidTr="00750019">
        <w:tc>
          <w:tcPr>
            <w:tcW w:w="981" w:type="dxa"/>
            <w:gridSpan w:val="2"/>
            <w:vAlign w:val="center"/>
          </w:tcPr>
          <w:p w14:paraId="5981D0D7" w14:textId="04F89711" w:rsidR="002E4972" w:rsidRPr="00D96E64" w:rsidRDefault="002E4972" w:rsidP="00750019">
            <w:pPr>
              <w:jc w:val="center"/>
              <w:rPr>
                <w:rFonts w:ascii="Arial Narrow" w:hAnsi="Arial Narrow"/>
                <w:color w:val="333333"/>
                <w:sz w:val="20"/>
                <w:szCs w:val="20"/>
              </w:rPr>
            </w:pPr>
          </w:p>
        </w:tc>
        <w:tc>
          <w:tcPr>
            <w:tcW w:w="8086" w:type="dxa"/>
            <w:vAlign w:val="center"/>
          </w:tcPr>
          <w:p w14:paraId="6435A9BC" w14:textId="04B5F17A" w:rsidR="002E4972" w:rsidRPr="00D96E64" w:rsidRDefault="002E4972" w:rsidP="00750019">
            <w:pPr>
              <w:rPr>
                <w:rFonts w:ascii="Arial Narrow" w:hAnsi="Arial Narrow"/>
                <w:b/>
                <w:bCs/>
                <w:color w:val="333333"/>
                <w:sz w:val="20"/>
                <w:szCs w:val="20"/>
              </w:rPr>
            </w:pPr>
            <w:r w:rsidRPr="00D96E64">
              <w:rPr>
                <w:rFonts w:ascii="Arial Narrow" w:hAnsi="Arial Narrow"/>
                <w:sz w:val="20"/>
                <w:szCs w:val="20"/>
              </w:rPr>
              <w:t>The condition must be severe chronic immune (idiopathic) thrombocytopenic purpura (ITP)</w:t>
            </w:r>
          </w:p>
        </w:tc>
      </w:tr>
      <w:tr w:rsidR="002E4972" w:rsidRPr="00D96E64" w14:paraId="1CE04197" w14:textId="77777777" w:rsidTr="00750019">
        <w:tc>
          <w:tcPr>
            <w:tcW w:w="981" w:type="dxa"/>
            <w:gridSpan w:val="2"/>
            <w:vAlign w:val="center"/>
          </w:tcPr>
          <w:p w14:paraId="76A96282" w14:textId="77777777" w:rsidR="002E4972" w:rsidRPr="00D96E64" w:rsidRDefault="002E4972" w:rsidP="00750019">
            <w:pPr>
              <w:jc w:val="center"/>
              <w:rPr>
                <w:rFonts w:ascii="Arial Narrow" w:hAnsi="Arial Narrow"/>
                <w:color w:val="333333"/>
                <w:sz w:val="20"/>
                <w:szCs w:val="20"/>
              </w:rPr>
            </w:pPr>
          </w:p>
        </w:tc>
        <w:tc>
          <w:tcPr>
            <w:tcW w:w="8086" w:type="dxa"/>
            <w:vAlign w:val="center"/>
          </w:tcPr>
          <w:p w14:paraId="5B350A7D" w14:textId="77777777" w:rsidR="002E4972" w:rsidRPr="00D96E64" w:rsidRDefault="002E4972" w:rsidP="00750019">
            <w:pPr>
              <w:rPr>
                <w:rFonts w:ascii="Arial Narrow" w:hAnsi="Arial Narrow"/>
                <w:sz w:val="20"/>
                <w:szCs w:val="20"/>
              </w:rPr>
            </w:pPr>
            <w:r w:rsidRPr="00D96E64">
              <w:rPr>
                <w:rFonts w:ascii="Arial Narrow" w:hAnsi="Arial Narrow"/>
                <w:b/>
                <w:bCs/>
                <w:color w:val="333333"/>
                <w:sz w:val="20"/>
                <w:szCs w:val="20"/>
              </w:rPr>
              <w:t>AND</w:t>
            </w:r>
          </w:p>
        </w:tc>
      </w:tr>
      <w:tr w:rsidR="002E4972" w:rsidRPr="00D96E64" w14:paraId="629B8BD5" w14:textId="77777777" w:rsidTr="00750019">
        <w:tc>
          <w:tcPr>
            <w:tcW w:w="981" w:type="dxa"/>
            <w:gridSpan w:val="2"/>
            <w:vAlign w:val="center"/>
          </w:tcPr>
          <w:p w14:paraId="62411213" w14:textId="39735A1D" w:rsidR="002E4972" w:rsidRPr="00D96E64" w:rsidRDefault="002E4972" w:rsidP="00750019">
            <w:pPr>
              <w:jc w:val="center"/>
              <w:rPr>
                <w:rFonts w:ascii="Arial Narrow" w:hAnsi="Arial Narrow"/>
                <w:strike/>
                <w:color w:val="333333"/>
                <w:sz w:val="20"/>
                <w:szCs w:val="20"/>
              </w:rPr>
            </w:pPr>
          </w:p>
        </w:tc>
        <w:tc>
          <w:tcPr>
            <w:tcW w:w="8086" w:type="dxa"/>
            <w:vAlign w:val="center"/>
          </w:tcPr>
          <w:p w14:paraId="755F4308"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color w:val="333333"/>
                <w:sz w:val="20"/>
                <w:szCs w:val="20"/>
              </w:rPr>
              <w:t>Clinical criteria:</w:t>
            </w:r>
          </w:p>
        </w:tc>
      </w:tr>
      <w:tr w:rsidR="00300313" w:rsidRPr="00D96E64" w14:paraId="1498D698" w14:textId="77777777" w:rsidTr="00750019">
        <w:tc>
          <w:tcPr>
            <w:tcW w:w="981" w:type="dxa"/>
            <w:gridSpan w:val="2"/>
            <w:vAlign w:val="center"/>
          </w:tcPr>
          <w:p w14:paraId="04504306" w14:textId="4FC82AFC" w:rsidR="00300313" w:rsidRPr="008B1A74" w:rsidRDefault="00300313" w:rsidP="00300313">
            <w:pPr>
              <w:jc w:val="center"/>
              <w:rPr>
                <w:rFonts w:ascii="Arial Narrow" w:hAnsi="Arial Narrow"/>
                <w:color w:val="333333"/>
                <w:sz w:val="20"/>
                <w:szCs w:val="20"/>
              </w:rPr>
            </w:pPr>
          </w:p>
        </w:tc>
        <w:tc>
          <w:tcPr>
            <w:tcW w:w="8086" w:type="dxa"/>
            <w:vAlign w:val="center"/>
          </w:tcPr>
          <w:p w14:paraId="1627EC16" w14:textId="69E01C18" w:rsidR="00300313" w:rsidRPr="008848A3" w:rsidRDefault="00300313" w:rsidP="00300313">
            <w:pPr>
              <w:rPr>
                <w:rFonts w:ascii="Arial Narrow" w:hAnsi="Arial Narrow"/>
                <w:b/>
                <w:bCs/>
                <w:color w:val="333333"/>
                <w:sz w:val="20"/>
                <w:szCs w:val="20"/>
                <w:highlight w:val="yellow"/>
              </w:rPr>
            </w:pPr>
            <w:r w:rsidRPr="008848A3">
              <w:rPr>
                <w:rFonts w:ascii="Arial Narrow" w:hAnsi="Arial Narrow"/>
                <w:sz w:val="20"/>
                <w:szCs w:val="20"/>
              </w:rPr>
              <w:t>Patient must have demonstrated a sustained platelet response to PBS-subsidised treatment with this drug for this condition under the Initial treatment or Grandfather treatment restriction if the patient has not had a treatment break, confirmed through a pathology report from an Approved Pathology Authority; or</w:t>
            </w:r>
          </w:p>
        </w:tc>
      </w:tr>
      <w:tr w:rsidR="00300313" w:rsidRPr="00D96E64" w14:paraId="5D700E58" w14:textId="77777777" w:rsidTr="00750019">
        <w:tc>
          <w:tcPr>
            <w:tcW w:w="981" w:type="dxa"/>
            <w:gridSpan w:val="2"/>
            <w:vAlign w:val="center"/>
          </w:tcPr>
          <w:p w14:paraId="466D4D73" w14:textId="432DF129" w:rsidR="00300313" w:rsidRPr="00D96E64" w:rsidRDefault="00300313" w:rsidP="00300313">
            <w:pPr>
              <w:jc w:val="center"/>
              <w:rPr>
                <w:rFonts w:ascii="Arial Narrow" w:hAnsi="Arial Narrow"/>
                <w:color w:val="333333"/>
                <w:sz w:val="20"/>
                <w:szCs w:val="20"/>
              </w:rPr>
            </w:pPr>
          </w:p>
        </w:tc>
        <w:tc>
          <w:tcPr>
            <w:tcW w:w="8086" w:type="dxa"/>
            <w:vAlign w:val="center"/>
          </w:tcPr>
          <w:p w14:paraId="6A411283" w14:textId="3EBA1021" w:rsidR="00300313" w:rsidRPr="00662CEA" w:rsidRDefault="00300313" w:rsidP="00300313">
            <w:pPr>
              <w:rPr>
                <w:rFonts w:ascii="Arial Narrow" w:hAnsi="Arial Narrow"/>
                <w:sz w:val="20"/>
                <w:szCs w:val="20"/>
              </w:rPr>
            </w:pPr>
            <w:r w:rsidRPr="00662CEA">
              <w:rPr>
                <w:rFonts w:ascii="Arial Narrow" w:hAnsi="Arial Narrow"/>
                <w:sz w:val="20"/>
                <w:szCs w:val="20"/>
              </w:rPr>
              <w:t>Patient must have swapped treatment from romiplostim or eltrombopag under the Balance of Supply/Change of Therapy and demonstrated a sustained response, confirmed through a pathology report from and Approved Pathology Authority; or</w:t>
            </w:r>
          </w:p>
        </w:tc>
      </w:tr>
      <w:tr w:rsidR="00300313" w:rsidRPr="00D96E64" w14:paraId="57BE8EE0" w14:textId="77777777" w:rsidTr="00750019">
        <w:tc>
          <w:tcPr>
            <w:tcW w:w="981" w:type="dxa"/>
            <w:gridSpan w:val="2"/>
            <w:vAlign w:val="center"/>
          </w:tcPr>
          <w:p w14:paraId="2EE32F3F" w14:textId="54898510" w:rsidR="00300313" w:rsidRPr="008B1A74" w:rsidRDefault="00300313" w:rsidP="00300313">
            <w:pPr>
              <w:jc w:val="center"/>
              <w:rPr>
                <w:rFonts w:ascii="Arial Narrow" w:hAnsi="Arial Narrow"/>
                <w:color w:val="333333"/>
                <w:sz w:val="20"/>
                <w:szCs w:val="20"/>
              </w:rPr>
            </w:pPr>
          </w:p>
        </w:tc>
        <w:tc>
          <w:tcPr>
            <w:tcW w:w="8086" w:type="dxa"/>
            <w:vAlign w:val="center"/>
          </w:tcPr>
          <w:p w14:paraId="5C983F3A" w14:textId="749DF720" w:rsidR="00300313" w:rsidRPr="00662CEA" w:rsidRDefault="00300313" w:rsidP="00300313">
            <w:pPr>
              <w:rPr>
                <w:rFonts w:ascii="Arial Narrow" w:hAnsi="Arial Narrow"/>
                <w:sz w:val="20"/>
                <w:szCs w:val="20"/>
              </w:rPr>
            </w:pPr>
            <w:r w:rsidRPr="00662CEA">
              <w:rPr>
                <w:rFonts w:ascii="Arial Narrow" w:hAnsi="Arial Narrow"/>
                <w:sz w:val="20"/>
                <w:szCs w:val="20"/>
              </w:rPr>
              <w:t>Patient must have demonstrated a sustained platelet response to the most recent PBS-subsidised treatment with this drug for this condition prior to interrupted treatment, confirmed through a pathology report from an Approved Pathology Authority</w:t>
            </w:r>
          </w:p>
        </w:tc>
      </w:tr>
      <w:tr w:rsidR="002E4972" w:rsidRPr="00D96E64" w14:paraId="00F8425F" w14:textId="77777777" w:rsidTr="00750019">
        <w:tc>
          <w:tcPr>
            <w:tcW w:w="981" w:type="dxa"/>
            <w:gridSpan w:val="2"/>
            <w:vAlign w:val="center"/>
          </w:tcPr>
          <w:p w14:paraId="447C1C6A" w14:textId="77777777" w:rsidR="002E4972" w:rsidRPr="00D96E64" w:rsidRDefault="002E4972" w:rsidP="00750019">
            <w:pPr>
              <w:jc w:val="center"/>
              <w:rPr>
                <w:rFonts w:ascii="Arial Narrow" w:hAnsi="Arial Narrow"/>
                <w:color w:val="333333"/>
                <w:sz w:val="20"/>
                <w:szCs w:val="20"/>
              </w:rPr>
            </w:pPr>
          </w:p>
        </w:tc>
        <w:tc>
          <w:tcPr>
            <w:tcW w:w="8086" w:type="dxa"/>
            <w:vAlign w:val="center"/>
          </w:tcPr>
          <w:p w14:paraId="685ADDB4"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color w:val="333333"/>
                <w:sz w:val="20"/>
                <w:szCs w:val="20"/>
              </w:rPr>
              <w:t>AND</w:t>
            </w:r>
          </w:p>
        </w:tc>
      </w:tr>
      <w:tr w:rsidR="002E4972" w:rsidRPr="00D96E64" w14:paraId="648876E7" w14:textId="77777777" w:rsidTr="00750019">
        <w:tc>
          <w:tcPr>
            <w:tcW w:w="981" w:type="dxa"/>
            <w:gridSpan w:val="2"/>
            <w:vAlign w:val="center"/>
          </w:tcPr>
          <w:p w14:paraId="05FD819A" w14:textId="3AC2A87B" w:rsidR="002E4972" w:rsidRPr="00D96E64" w:rsidRDefault="002E4972" w:rsidP="00750019">
            <w:pPr>
              <w:jc w:val="center"/>
              <w:rPr>
                <w:rFonts w:ascii="Arial Narrow" w:hAnsi="Arial Narrow"/>
                <w:color w:val="333333"/>
                <w:sz w:val="20"/>
                <w:szCs w:val="20"/>
              </w:rPr>
            </w:pPr>
          </w:p>
        </w:tc>
        <w:tc>
          <w:tcPr>
            <w:tcW w:w="8086" w:type="dxa"/>
            <w:vAlign w:val="center"/>
          </w:tcPr>
          <w:p w14:paraId="6961B5CD"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color w:val="333333"/>
                <w:sz w:val="20"/>
                <w:szCs w:val="20"/>
              </w:rPr>
              <w:t>Clinical criteria:</w:t>
            </w:r>
          </w:p>
        </w:tc>
      </w:tr>
      <w:tr w:rsidR="002E4972" w:rsidRPr="00D96E64" w14:paraId="57762C7A" w14:textId="77777777" w:rsidTr="00750019">
        <w:tc>
          <w:tcPr>
            <w:tcW w:w="981" w:type="dxa"/>
            <w:gridSpan w:val="2"/>
            <w:vAlign w:val="center"/>
          </w:tcPr>
          <w:p w14:paraId="6246584E" w14:textId="58C63F37" w:rsidR="002E4972" w:rsidRPr="00D96E64" w:rsidRDefault="002E4972" w:rsidP="00750019">
            <w:pPr>
              <w:jc w:val="center"/>
              <w:rPr>
                <w:rFonts w:ascii="Arial Narrow" w:hAnsi="Arial Narrow"/>
                <w:color w:val="333333"/>
                <w:sz w:val="20"/>
                <w:szCs w:val="20"/>
              </w:rPr>
            </w:pPr>
          </w:p>
        </w:tc>
        <w:tc>
          <w:tcPr>
            <w:tcW w:w="8086" w:type="dxa"/>
            <w:vAlign w:val="center"/>
          </w:tcPr>
          <w:p w14:paraId="3FB680C0" w14:textId="3223B643" w:rsidR="002E4972" w:rsidRPr="00D96E64" w:rsidRDefault="002E4972" w:rsidP="00750019">
            <w:pPr>
              <w:rPr>
                <w:rFonts w:ascii="Arial Narrow" w:hAnsi="Arial Narrow"/>
                <w:b/>
                <w:bCs/>
                <w:color w:val="333333"/>
                <w:sz w:val="20"/>
                <w:szCs w:val="20"/>
              </w:rPr>
            </w:pPr>
            <w:r w:rsidRPr="00D96E64">
              <w:rPr>
                <w:rFonts w:ascii="Arial Narrow" w:hAnsi="Arial Narrow"/>
                <w:sz w:val="20"/>
                <w:szCs w:val="20"/>
              </w:rPr>
              <w:t>The treatment must be the sole PBS-subsidised thrombopoietin receptor agonist (TRA) for this condition</w:t>
            </w:r>
            <w:r w:rsidR="008B1A74">
              <w:rPr>
                <w:rFonts w:ascii="Arial Narrow" w:hAnsi="Arial Narrow"/>
                <w:sz w:val="20"/>
                <w:szCs w:val="20"/>
              </w:rPr>
              <w:t>.</w:t>
            </w:r>
          </w:p>
        </w:tc>
      </w:tr>
      <w:tr w:rsidR="002E4972" w:rsidRPr="00D96E64" w14:paraId="20995F1D" w14:textId="77777777" w:rsidTr="00750019">
        <w:tc>
          <w:tcPr>
            <w:tcW w:w="981" w:type="dxa"/>
            <w:gridSpan w:val="2"/>
            <w:vAlign w:val="center"/>
          </w:tcPr>
          <w:p w14:paraId="6A096415" w14:textId="4873F43A" w:rsidR="002E4972" w:rsidRPr="00D96E64" w:rsidRDefault="002E4972" w:rsidP="00750019">
            <w:pPr>
              <w:jc w:val="center"/>
              <w:rPr>
                <w:rFonts w:ascii="Arial Narrow" w:hAnsi="Arial Narrow"/>
                <w:color w:val="333333"/>
                <w:sz w:val="20"/>
                <w:szCs w:val="20"/>
              </w:rPr>
            </w:pPr>
          </w:p>
        </w:tc>
        <w:tc>
          <w:tcPr>
            <w:tcW w:w="8086" w:type="dxa"/>
            <w:vAlign w:val="center"/>
          </w:tcPr>
          <w:p w14:paraId="05517244" w14:textId="77777777" w:rsidR="002E4972" w:rsidRPr="00D96E64" w:rsidRDefault="002E4972" w:rsidP="00750019">
            <w:pPr>
              <w:rPr>
                <w:rFonts w:ascii="Arial Narrow" w:hAnsi="Arial Narrow"/>
                <w:sz w:val="20"/>
                <w:szCs w:val="20"/>
              </w:rPr>
            </w:pPr>
            <w:r w:rsidRPr="00D96E64">
              <w:rPr>
                <w:rFonts w:ascii="Arial Narrow" w:hAnsi="Arial Narrow"/>
                <w:b/>
                <w:bCs/>
                <w:color w:val="333333"/>
                <w:sz w:val="20"/>
                <w:szCs w:val="20"/>
              </w:rPr>
              <w:t xml:space="preserve">Prescribing Instructions: </w:t>
            </w:r>
            <w:r w:rsidRPr="00D96E64">
              <w:rPr>
                <w:rFonts w:ascii="Arial Narrow" w:hAnsi="Arial Narrow"/>
                <w:sz w:val="20"/>
                <w:szCs w:val="20"/>
              </w:rPr>
              <w:t>For the purposes of this restriction, a sustained response is defined as the patient having the ability to maintain a platelet count sufficient to prevent clinically significant bleeding based on clinical assessment.</w:t>
            </w:r>
          </w:p>
        </w:tc>
      </w:tr>
      <w:tr w:rsidR="002E4972" w:rsidRPr="00D96E64" w14:paraId="295E9918" w14:textId="77777777" w:rsidTr="00750019">
        <w:trPr>
          <w:trHeight w:val="49"/>
        </w:trPr>
        <w:tc>
          <w:tcPr>
            <w:tcW w:w="981" w:type="dxa"/>
            <w:gridSpan w:val="2"/>
            <w:vAlign w:val="center"/>
          </w:tcPr>
          <w:p w14:paraId="0A6C9DAB" w14:textId="77777777" w:rsidR="002E4972" w:rsidRPr="00D96E64" w:rsidRDefault="002E4972" w:rsidP="00750019">
            <w:pPr>
              <w:jc w:val="center"/>
              <w:rPr>
                <w:rFonts w:ascii="Arial Narrow" w:hAnsi="Arial Narrow"/>
                <w:color w:val="333333"/>
                <w:sz w:val="20"/>
                <w:szCs w:val="20"/>
              </w:rPr>
            </w:pPr>
          </w:p>
        </w:tc>
        <w:tc>
          <w:tcPr>
            <w:tcW w:w="8086" w:type="dxa"/>
            <w:vAlign w:val="center"/>
          </w:tcPr>
          <w:p w14:paraId="03E95495" w14:textId="1F13F7B1" w:rsidR="002E4972" w:rsidRPr="00D96E64" w:rsidRDefault="002E4972" w:rsidP="00750019">
            <w:pPr>
              <w:rPr>
                <w:rFonts w:ascii="Arial Narrow" w:hAnsi="Arial Narrow"/>
                <w:sz w:val="20"/>
                <w:szCs w:val="20"/>
              </w:rPr>
            </w:pPr>
            <w:r w:rsidRPr="00D96E64">
              <w:rPr>
                <w:rFonts w:ascii="Arial Narrow" w:hAnsi="Arial Narrow"/>
                <w:b/>
                <w:bCs/>
                <w:color w:val="333333"/>
                <w:sz w:val="20"/>
                <w:szCs w:val="20"/>
              </w:rPr>
              <w:t xml:space="preserve">Prescribing </w:t>
            </w:r>
            <w:r w:rsidRPr="00D96E64">
              <w:rPr>
                <w:rFonts w:ascii="Arial Narrow" w:hAnsi="Arial Narrow" w:cs="Aldhabi"/>
                <w:b/>
                <w:bCs/>
                <w:color w:val="333333"/>
                <w:sz w:val="20"/>
                <w:szCs w:val="20"/>
              </w:rPr>
              <w:t>Instructions:</w:t>
            </w:r>
            <w:r w:rsidRPr="00D96E64">
              <w:rPr>
                <w:rFonts w:ascii="Arial Narrow" w:hAnsi="Arial Narrow" w:cs="Aldhabi"/>
                <w:sz w:val="20"/>
                <w:szCs w:val="20"/>
              </w:rPr>
              <w:t xml:space="preserve"> </w:t>
            </w:r>
            <w:r w:rsidRPr="00D96E64">
              <w:rPr>
                <w:rFonts w:ascii="Arial Narrow" w:hAnsi="Arial Narrow"/>
                <w:sz w:val="20"/>
                <w:szCs w:val="20"/>
              </w:rPr>
              <w:t>The platelet count must be conducted no later than 4 weeks from the date of completion of the most recent PBS-subsidised course of treatment with this drug and must be documented in the patient’s medical records</w:t>
            </w:r>
            <w:r w:rsidR="008B1A74">
              <w:rPr>
                <w:rFonts w:ascii="Arial Narrow" w:hAnsi="Arial Narrow"/>
                <w:sz w:val="20"/>
                <w:szCs w:val="20"/>
              </w:rPr>
              <w:t>.</w:t>
            </w:r>
          </w:p>
        </w:tc>
      </w:tr>
      <w:tr w:rsidR="002E4972" w:rsidRPr="00D96E64" w14:paraId="62A713A9" w14:textId="77777777" w:rsidTr="00750019">
        <w:trPr>
          <w:trHeight w:val="49"/>
        </w:trPr>
        <w:tc>
          <w:tcPr>
            <w:tcW w:w="981" w:type="dxa"/>
            <w:gridSpan w:val="2"/>
            <w:vAlign w:val="center"/>
          </w:tcPr>
          <w:p w14:paraId="57490CE4" w14:textId="068261A8" w:rsidR="002E4972" w:rsidRPr="00D96E64" w:rsidRDefault="002E4972" w:rsidP="00750019">
            <w:pPr>
              <w:jc w:val="center"/>
              <w:rPr>
                <w:rFonts w:ascii="Arial Narrow" w:hAnsi="Arial Narrow"/>
                <w:color w:val="333333"/>
                <w:sz w:val="20"/>
                <w:szCs w:val="20"/>
              </w:rPr>
            </w:pPr>
          </w:p>
        </w:tc>
        <w:tc>
          <w:tcPr>
            <w:tcW w:w="8086" w:type="dxa"/>
            <w:vAlign w:val="center"/>
          </w:tcPr>
          <w:p w14:paraId="28807221" w14:textId="77777777" w:rsidR="002E4972" w:rsidRPr="00D96E64" w:rsidRDefault="002E4972" w:rsidP="00750019">
            <w:pPr>
              <w:rPr>
                <w:rFonts w:ascii="Arial Narrow" w:hAnsi="Arial Narrow"/>
                <w:sz w:val="20"/>
                <w:szCs w:val="20"/>
              </w:rPr>
            </w:pPr>
            <w:r w:rsidRPr="00D96E64">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5C5C4D1C" w14:textId="77777777" w:rsidR="002E4972" w:rsidRPr="00D96E64" w:rsidRDefault="002E4972" w:rsidP="0051694B">
      <w:pPr>
        <w:jc w:val="left"/>
        <w:rPr>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0"/>
        <w:gridCol w:w="491"/>
        <w:gridCol w:w="8086"/>
      </w:tblGrid>
      <w:tr w:rsidR="002E4972" w:rsidRPr="00D96E64" w14:paraId="3D066031" w14:textId="77777777" w:rsidTr="00750019">
        <w:tc>
          <w:tcPr>
            <w:tcW w:w="9067" w:type="dxa"/>
            <w:gridSpan w:val="3"/>
            <w:vAlign w:val="center"/>
          </w:tcPr>
          <w:p w14:paraId="1397AE4C" w14:textId="77777777" w:rsidR="002E4972" w:rsidRPr="00D96E64" w:rsidRDefault="002E4972" w:rsidP="00750019">
            <w:pPr>
              <w:rPr>
                <w:rFonts w:ascii="Arial Narrow" w:hAnsi="Arial Narrow"/>
                <w:b/>
                <w:bCs/>
                <w:color w:val="333333"/>
                <w:sz w:val="20"/>
                <w:szCs w:val="20"/>
              </w:rPr>
            </w:pPr>
            <w:bookmarkStart w:id="61" w:name="_Hlk110932604"/>
            <w:r w:rsidRPr="00D96E64">
              <w:rPr>
                <w:rFonts w:ascii="Arial Narrow" w:hAnsi="Arial Narrow"/>
                <w:b/>
                <w:bCs/>
                <w:color w:val="333333"/>
                <w:sz w:val="20"/>
                <w:szCs w:val="20"/>
              </w:rPr>
              <w:t xml:space="preserve">Restriction Summary [new] / Treatment of Concept: [new]  </w:t>
            </w:r>
          </w:p>
        </w:tc>
      </w:tr>
      <w:tr w:rsidR="002E4972" w:rsidRPr="00D96E64" w14:paraId="159E1F84" w14:textId="77777777" w:rsidTr="00750019">
        <w:tc>
          <w:tcPr>
            <w:tcW w:w="981" w:type="dxa"/>
            <w:gridSpan w:val="2"/>
            <w:vMerge w:val="restart"/>
          </w:tcPr>
          <w:p w14:paraId="38A515B0" w14:textId="77777777" w:rsidR="002E4972" w:rsidRPr="00D96E64" w:rsidRDefault="002E4972" w:rsidP="00750019">
            <w:pPr>
              <w:jc w:val="center"/>
              <w:rPr>
                <w:rFonts w:ascii="Arial Narrow" w:hAnsi="Arial Narrow"/>
                <w:b/>
                <w:sz w:val="20"/>
                <w:szCs w:val="20"/>
              </w:rPr>
            </w:pPr>
            <w:r w:rsidRPr="00D96E64">
              <w:rPr>
                <w:rFonts w:ascii="Arial Narrow" w:hAnsi="Arial Narrow"/>
                <w:b/>
                <w:sz w:val="20"/>
                <w:szCs w:val="20"/>
              </w:rPr>
              <w:t>Concept ID</w:t>
            </w:r>
          </w:p>
          <w:p w14:paraId="4DABD0BC" w14:textId="77777777" w:rsidR="002E4972" w:rsidRPr="00D96E64" w:rsidRDefault="002E4972" w:rsidP="00750019">
            <w:pPr>
              <w:jc w:val="center"/>
              <w:rPr>
                <w:rFonts w:ascii="Arial Narrow" w:hAnsi="Arial Narrow"/>
                <w:b/>
                <w:bCs/>
                <w:color w:val="333333"/>
                <w:sz w:val="20"/>
                <w:szCs w:val="20"/>
              </w:rPr>
            </w:pPr>
            <w:r w:rsidRPr="00D96E64">
              <w:rPr>
                <w:rFonts w:ascii="Arial Narrow" w:hAnsi="Arial Narrow"/>
                <w:sz w:val="20"/>
                <w:szCs w:val="20"/>
              </w:rPr>
              <w:t>(for internal Dept. use)</w:t>
            </w:r>
          </w:p>
        </w:tc>
        <w:tc>
          <w:tcPr>
            <w:tcW w:w="8086" w:type="dxa"/>
          </w:tcPr>
          <w:p w14:paraId="53739EC0" w14:textId="77777777" w:rsidR="002E4972" w:rsidRPr="00D96E64" w:rsidRDefault="002E4972" w:rsidP="00750019">
            <w:pPr>
              <w:rPr>
                <w:rFonts w:ascii="Arial Narrow" w:hAnsi="Arial Narrow"/>
                <w:b/>
                <w:bCs/>
                <w:color w:val="333333"/>
                <w:sz w:val="20"/>
                <w:szCs w:val="20"/>
              </w:rPr>
            </w:pPr>
            <w:r w:rsidRPr="00D96E64">
              <w:rPr>
                <w:rFonts w:ascii="Arial Narrow" w:hAnsi="Arial Narrow"/>
                <w:b/>
                <w:sz w:val="20"/>
                <w:szCs w:val="20"/>
              </w:rPr>
              <w:t xml:space="preserve">Category / Program: </w:t>
            </w:r>
            <w:r w:rsidRPr="00D96E64">
              <w:rPr>
                <w:rFonts w:ascii="Arial Narrow" w:hAnsi="Arial Narrow"/>
                <w:sz w:val="20"/>
                <w:szCs w:val="20"/>
              </w:rPr>
              <w:t xml:space="preserve">Section 100 – Highly Specialised Drugs Program  </w:t>
            </w:r>
          </w:p>
        </w:tc>
      </w:tr>
      <w:tr w:rsidR="002E4972" w:rsidRPr="00D96E64" w14:paraId="5B3AB5C8" w14:textId="77777777" w:rsidTr="00750019">
        <w:tc>
          <w:tcPr>
            <w:tcW w:w="981" w:type="dxa"/>
            <w:gridSpan w:val="2"/>
            <w:vMerge/>
          </w:tcPr>
          <w:p w14:paraId="6E2BD6C7" w14:textId="77777777" w:rsidR="002E4972" w:rsidRPr="00D96E64" w:rsidRDefault="002E4972" w:rsidP="00750019">
            <w:pPr>
              <w:jc w:val="center"/>
              <w:rPr>
                <w:rFonts w:ascii="Arial Narrow" w:hAnsi="Arial Narrow"/>
                <w:b/>
                <w:sz w:val="20"/>
                <w:szCs w:val="20"/>
              </w:rPr>
            </w:pPr>
          </w:p>
        </w:tc>
        <w:tc>
          <w:tcPr>
            <w:tcW w:w="8086" w:type="dxa"/>
          </w:tcPr>
          <w:p w14:paraId="22DB899B" w14:textId="77777777" w:rsidR="002E4972" w:rsidRPr="00D96E64" w:rsidRDefault="002E4972" w:rsidP="00750019">
            <w:pPr>
              <w:rPr>
                <w:rFonts w:ascii="Arial Narrow" w:hAnsi="Arial Narrow"/>
                <w:b/>
                <w:sz w:val="20"/>
                <w:szCs w:val="20"/>
              </w:rPr>
            </w:pPr>
            <w:r w:rsidRPr="00D96E64">
              <w:rPr>
                <w:rFonts w:ascii="Arial Narrow" w:hAnsi="Arial Narrow"/>
                <w:b/>
                <w:sz w:val="20"/>
                <w:szCs w:val="20"/>
              </w:rPr>
              <w:t>Prescriber type:</w:t>
            </w:r>
            <w:r w:rsidRPr="00D96E64">
              <w:rPr>
                <w:rFonts w:ascii="Arial Narrow" w:hAnsi="Arial Narrow"/>
                <w:sz w:val="20"/>
                <w:szCs w:val="20"/>
              </w:rPr>
              <w:t xml:space="preserve"> </w:t>
            </w:r>
            <w:r w:rsidRPr="00D96E64">
              <w:rPr>
                <w:rFonts w:ascii="Arial Narrow" w:hAnsi="Arial Narrow"/>
                <w:sz w:val="20"/>
                <w:szCs w:val="20"/>
              </w:rPr>
              <w:fldChar w:fldCharType="begin" w:fldLock="1">
                <w:ffData>
                  <w:name w:val=""/>
                  <w:enabled/>
                  <w:calcOnExit w:val="0"/>
                  <w:checkBox>
                    <w:sizeAuto/>
                    <w:default w:val="1"/>
                  </w:checkBox>
                </w:ffData>
              </w:fldChar>
            </w:r>
            <w:r w:rsidRPr="00D96E64">
              <w:rPr>
                <w:rFonts w:ascii="Arial Narrow" w:hAnsi="Arial Narrow"/>
                <w:sz w:val="20"/>
                <w:szCs w:val="20"/>
              </w:rPr>
              <w:instrText xml:space="preserve"> FORMCHECKBOX </w:instrText>
            </w:r>
            <w:r w:rsidR="0026219D">
              <w:rPr>
                <w:rFonts w:ascii="Arial Narrow" w:hAnsi="Arial Narrow"/>
                <w:sz w:val="20"/>
                <w:szCs w:val="20"/>
              </w:rPr>
            </w:r>
            <w:r w:rsidR="0026219D">
              <w:rPr>
                <w:rFonts w:ascii="Arial Narrow" w:hAnsi="Arial Narrow"/>
                <w:sz w:val="20"/>
                <w:szCs w:val="20"/>
              </w:rPr>
              <w:fldChar w:fldCharType="separate"/>
            </w:r>
            <w:r w:rsidRPr="00D96E64">
              <w:rPr>
                <w:rFonts w:ascii="Arial Narrow" w:hAnsi="Arial Narrow"/>
                <w:sz w:val="20"/>
                <w:szCs w:val="20"/>
              </w:rPr>
              <w:fldChar w:fldCharType="end"/>
            </w:r>
            <w:r w:rsidRPr="00D96E64">
              <w:rPr>
                <w:rFonts w:ascii="Arial Narrow" w:hAnsi="Arial Narrow"/>
                <w:sz w:val="20"/>
                <w:szCs w:val="20"/>
              </w:rPr>
              <w:t xml:space="preserve">Medical Practitioners   </w:t>
            </w:r>
          </w:p>
        </w:tc>
      </w:tr>
      <w:tr w:rsidR="002E4972" w:rsidRPr="00D96E64" w14:paraId="459749B6" w14:textId="77777777" w:rsidTr="00750019">
        <w:tc>
          <w:tcPr>
            <w:tcW w:w="981" w:type="dxa"/>
            <w:gridSpan w:val="2"/>
            <w:vMerge/>
          </w:tcPr>
          <w:p w14:paraId="765C9584" w14:textId="77777777" w:rsidR="002E4972" w:rsidRPr="00D96E64" w:rsidRDefault="002E4972" w:rsidP="00750019">
            <w:pPr>
              <w:jc w:val="center"/>
              <w:rPr>
                <w:rFonts w:ascii="Arial Narrow" w:hAnsi="Arial Narrow"/>
                <w:b/>
                <w:sz w:val="20"/>
                <w:szCs w:val="20"/>
              </w:rPr>
            </w:pPr>
          </w:p>
        </w:tc>
        <w:tc>
          <w:tcPr>
            <w:tcW w:w="8086" w:type="dxa"/>
          </w:tcPr>
          <w:p w14:paraId="58E0DD51" w14:textId="77777777" w:rsidR="002E4972" w:rsidRPr="00D96E64" w:rsidRDefault="002E4972" w:rsidP="00750019">
            <w:pPr>
              <w:rPr>
                <w:rFonts w:ascii="Arial Narrow" w:hAnsi="Arial Narrow"/>
                <w:b/>
                <w:sz w:val="20"/>
                <w:szCs w:val="20"/>
              </w:rPr>
            </w:pPr>
            <w:r w:rsidRPr="00D96E64">
              <w:rPr>
                <w:rFonts w:ascii="Arial Narrow" w:hAnsi="Arial Narrow"/>
                <w:b/>
                <w:sz w:val="20"/>
                <w:szCs w:val="20"/>
              </w:rPr>
              <w:t xml:space="preserve">Restriction type: </w:t>
            </w:r>
            <w:r w:rsidRPr="00D96E64">
              <w:rPr>
                <w:rFonts w:ascii="Arial Narrow" w:eastAsia="Calibri" w:hAnsi="Arial Narrow"/>
                <w:sz w:val="20"/>
                <w:szCs w:val="20"/>
              </w:rPr>
              <w:fldChar w:fldCharType="begin" w:fldLock="1">
                <w:ffData>
                  <w:name w:val=""/>
                  <w:enabled/>
                  <w:calcOnExit w:val="0"/>
                  <w:checkBox>
                    <w:sizeAuto/>
                    <w:default w:val="1"/>
                  </w:checkBox>
                </w:ffData>
              </w:fldChar>
            </w:r>
            <w:r w:rsidRPr="00D96E64">
              <w:rPr>
                <w:rFonts w:ascii="Arial Narrow" w:eastAsia="Calibri" w:hAnsi="Arial Narrow"/>
                <w:sz w:val="20"/>
                <w:szCs w:val="20"/>
              </w:rPr>
              <w:instrText xml:space="preserve"> FORMCHECKBOX </w:instrText>
            </w:r>
            <w:r w:rsidR="0026219D">
              <w:rPr>
                <w:rFonts w:ascii="Arial Narrow" w:eastAsia="Calibri" w:hAnsi="Arial Narrow"/>
                <w:sz w:val="20"/>
                <w:szCs w:val="20"/>
              </w:rPr>
            </w:r>
            <w:r w:rsidR="0026219D">
              <w:rPr>
                <w:rFonts w:ascii="Arial Narrow" w:eastAsia="Calibri" w:hAnsi="Arial Narrow"/>
                <w:sz w:val="20"/>
                <w:szCs w:val="20"/>
              </w:rPr>
              <w:fldChar w:fldCharType="separate"/>
            </w:r>
            <w:r w:rsidRPr="00D96E64">
              <w:rPr>
                <w:rFonts w:ascii="Arial Narrow" w:eastAsia="Calibri" w:hAnsi="Arial Narrow"/>
                <w:sz w:val="20"/>
                <w:szCs w:val="20"/>
              </w:rPr>
              <w:fldChar w:fldCharType="end"/>
            </w:r>
            <w:r w:rsidRPr="00D96E64">
              <w:rPr>
                <w:rFonts w:ascii="Arial Narrow" w:eastAsia="Calibri" w:hAnsi="Arial Narrow"/>
                <w:sz w:val="20"/>
                <w:szCs w:val="20"/>
              </w:rPr>
              <w:t>Authority Required – (Telephone /electronic)</w:t>
            </w:r>
          </w:p>
        </w:tc>
      </w:tr>
      <w:tr w:rsidR="0098531E" w:rsidRPr="00D96E64" w14:paraId="588612BE" w14:textId="77777777" w:rsidTr="00E80B73">
        <w:tc>
          <w:tcPr>
            <w:tcW w:w="490" w:type="dxa"/>
            <w:vMerge w:val="restart"/>
            <w:vAlign w:val="center"/>
          </w:tcPr>
          <w:p w14:paraId="5C711F84" w14:textId="53771D66" w:rsidR="0098531E" w:rsidRPr="0098531E" w:rsidRDefault="0098531E" w:rsidP="0098531E">
            <w:pPr>
              <w:jc w:val="center"/>
              <w:rPr>
                <w:rFonts w:ascii="Arial Narrow" w:hAnsi="Arial Narrow"/>
                <w:bCs/>
                <w:sz w:val="20"/>
                <w:szCs w:val="20"/>
              </w:rPr>
            </w:pPr>
          </w:p>
        </w:tc>
        <w:tc>
          <w:tcPr>
            <w:tcW w:w="491" w:type="dxa"/>
            <w:vAlign w:val="center"/>
          </w:tcPr>
          <w:p w14:paraId="7786028F" w14:textId="1BAFB44A" w:rsidR="0098531E" w:rsidRPr="00D96E64" w:rsidRDefault="0098531E" w:rsidP="0098531E">
            <w:pPr>
              <w:jc w:val="center"/>
              <w:rPr>
                <w:rFonts w:ascii="Arial Narrow" w:hAnsi="Arial Narrow"/>
                <w:b/>
                <w:sz w:val="20"/>
                <w:szCs w:val="20"/>
              </w:rPr>
            </w:pPr>
          </w:p>
        </w:tc>
        <w:tc>
          <w:tcPr>
            <w:tcW w:w="8086" w:type="dxa"/>
            <w:vAlign w:val="center"/>
          </w:tcPr>
          <w:p w14:paraId="6B1D27A0" w14:textId="466F4588" w:rsidR="0098531E" w:rsidRPr="00B638E7" w:rsidRDefault="0098531E" w:rsidP="0098531E">
            <w:pPr>
              <w:rPr>
                <w:rFonts w:ascii="Arial Narrow" w:hAnsi="Arial Narrow"/>
                <w:b/>
                <w:sz w:val="20"/>
                <w:szCs w:val="20"/>
              </w:rPr>
            </w:pPr>
            <w:r w:rsidRPr="00B638E7">
              <w:rPr>
                <w:rFonts w:ascii="Arial Narrow" w:hAnsi="Arial Narrow"/>
                <w:b/>
                <w:bCs/>
                <w:color w:val="333333"/>
                <w:sz w:val="20"/>
                <w:szCs w:val="20"/>
              </w:rPr>
              <w:t>Administrative Advice:</w:t>
            </w:r>
            <w:r w:rsidRPr="00B638E7">
              <w:rPr>
                <w:sz w:val="20"/>
                <w:szCs w:val="20"/>
              </w:rPr>
              <w:t xml:space="preserve"> </w:t>
            </w:r>
            <w:r w:rsidRPr="00B638E7">
              <w:rPr>
                <w:rFonts w:ascii="Arial Narrow" w:hAnsi="Arial Narrow"/>
                <w:sz w:val="20"/>
                <w:szCs w:val="20"/>
              </w:rPr>
              <w:t>No increase in the maximum number of repeats may be authorised.</w:t>
            </w:r>
          </w:p>
        </w:tc>
      </w:tr>
      <w:tr w:rsidR="0098531E" w:rsidRPr="00D96E64" w14:paraId="6B9E3A57" w14:textId="77777777" w:rsidTr="00F00C4B">
        <w:tc>
          <w:tcPr>
            <w:tcW w:w="490" w:type="dxa"/>
            <w:vMerge/>
            <w:vAlign w:val="center"/>
          </w:tcPr>
          <w:p w14:paraId="78FC0C6C" w14:textId="245B480B" w:rsidR="0098531E" w:rsidRPr="00D96E64" w:rsidRDefault="0098531E" w:rsidP="0098531E">
            <w:pPr>
              <w:jc w:val="center"/>
              <w:rPr>
                <w:rFonts w:ascii="Arial Narrow" w:hAnsi="Arial Narrow"/>
                <w:b/>
                <w:sz w:val="20"/>
                <w:szCs w:val="20"/>
              </w:rPr>
            </w:pPr>
          </w:p>
        </w:tc>
        <w:tc>
          <w:tcPr>
            <w:tcW w:w="491" w:type="dxa"/>
            <w:vAlign w:val="center"/>
          </w:tcPr>
          <w:p w14:paraId="4E8A4DD8" w14:textId="3EA43361" w:rsidR="0098531E" w:rsidRPr="00D96E64" w:rsidRDefault="0098531E" w:rsidP="0098531E">
            <w:pPr>
              <w:jc w:val="center"/>
              <w:rPr>
                <w:rFonts w:ascii="Arial Narrow" w:hAnsi="Arial Narrow"/>
                <w:b/>
                <w:sz w:val="20"/>
                <w:szCs w:val="20"/>
              </w:rPr>
            </w:pPr>
          </w:p>
        </w:tc>
        <w:tc>
          <w:tcPr>
            <w:tcW w:w="8086" w:type="dxa"/>
            <w:vAlign w:val="center"/>
          </w:tcPr>
          <w:p w14:paraId="2AD940F8" w14:textId="518F71B3" w:rsidR="0098531E" w:rsidRPr="00B638E7" w:rsidRDefault="0098531E" w:rsidP="0098531E">
            <w:pPr>
              <w:rPr>
                <w:rFonts w:ascii="Arial Narrow" w:hAnsi="Arial Narrow"/>
                <w:b/>
                <w:sz w:val="20"/>
                <w:szCs w:val="20"/>
              </w:rPr>
            </w:pPr>
            <w:r w:rsidRPr="00B638E7">
              <w:rPr>
                <w:rFonts w:ascii="Arial Narrow" w:hAnsi="Arial Narrow"/>
                <w:b/>
                <w:bCs/>
                <w:color w:val="333333"/>
                <w:sz w:val="20"/>
                <w:szCs w:val="20"/>
              </w:rPr>
              <w:t>Administrative Advice:</w:t>
            </w:r>
            <w:r w:rsidRPr="00B638E7">
              <w:rPr>
                <w:sz w:val="20"/>
                <w:szCs w:val="20"/>
              </w:rPr>
              <w:t xml:space="preserve"> </w:t>
            </w:r>
            <w:r w:rsidRPr="00B638E7">
              <w:rPr>
                <w:rFonts w:ascii="Arial Narrow" w:hAnsi="Arial Narrow"/>
                <w:sz w:val="20"/>
                <w:szCs w:val="20"/>
              </w:rPr>
              <w:t>Special Pricing Arrangements apply.</w:t>
            </w:r>
          </w:p>
        </w:tc>
      </w:tr>
      <w:tr w:rsidR="002E4972" w:rsidRPr="00D96E64" w14:paraId="12C92442" w14:textId="77777777" w:rsidTr="00750019">
        <w:tc>
          <w:tcPr>
            <w:tcW w:w="981" w:type="dxa"/>
            <w:gridSpan w:val="2"/>
            <w:vAlign w:val="center"/>
          </w:tcPr>
          <w:p w14:paraId="57F3AA6D" w14:textId="3C53E86E" w:rsidR="002E4972" w:rsidRPr="00D96E64" w:rsidRDefault="002E4972" w:rsidP="00750019">
            <w:pPr>
              <w:jc w:val="center"/>
              <w:rPr>
                <w:rFonts w:ascii="Arial Narrow" w:hAnsi="Arial Narrow"/>
                <w:b/>
                <w:sz w:val="20"/>
                <w:szCs w:val="20"/>
              </w:rPr>
            </w:pPr>
          </w:p>
        </w:tc>
        <w:tc>
          <w:tcPr>
            <w:tcW w:w="8086" w:type="dxa"/>
            <w:vAlign w:val="center"/>
          </w:tcPr>
          <w:p w14:paraId="39DDF33C" w14:textId="77777777" w:rsidR="002E4972" w:rsidRPr="00D96E64" w:rsidRDefault="002E4972" w:rsidP="00750019">
            <w:pPr>
              <w:rPr>
                <w:rFonts w:ascii="Arial Narrow" w:hAnsi="Arial Narrow"/>
                <w:b/>
                <w:sz w:val="20"/>
                <w:szCs w:val="20"/>
              </w:rPr>
            </w:pPr>
            <w:r w:rsidRPr="00D96E64">
              <w:rPr>
                <w:rFonts w:ascii="Arial Narrow" w:hAnsi="Arial Narrow"/>
                <w:b/>
                <w:bCs/>
                <w:color w:val="333333"/>
                <w:sz w:val="20"/>
                <w:szCs w:val="20"/>
              </w:rPr>
              <w:t>Indication:</w:t>
            </w:r>
            <w:r w:rsidRPr="00D96E64">
              <w:rPr>
                <w:rFonts w:ascii="Arial Narrow" w:hAnsi="Arial Narrow"/>
                <w:color w:val="333333"/>
                <w:sz w:val="20"/>
                <w:szCs w:val="20"/>
              </w:rPr>
              <w:t xml:space="preserve"> Severe thrombocytopenia</w:t>
            </w:r>
          </w:p>
        </w:tc>
      </w:tr>
      <w:tr w:rsidR="002E4972" w:rsidRPr="00D96E64" w14:paraId="2FBEABFE" w14:textId="77777777" w:rsidTr="00750019">
        <w:tc>
          <w:tcPr>
            <w:tcW w:w="981" w:type="dxa"/>
            <w:gridSpan w:val="2"/>
            <w:vAlign w:val="center"/>
          </w:tcPr>
          <w:p w14:paraId="4980BB30" w14:textId="77777777" w:rsidR="002E4972" w:rsidRPr="00D96E64" w:rsidRDefault="002E4972" w:rsidP="00750019">
            <w:pPr>
              <w:jc w:val="center"/>
              <w:rPr>
                <w:rFonts w:ascii="Arial Narrow" w:hAnsi="Arial Narrow"/>
                <w:color w:val="333333"/>
                <w:sz w:val="20"/>
                <w:szCs w:val="20"/>
              </w:rPr>
            </w:pPr>
          </w:p>
        </w:tc>
        <w:tc>
          <w:tcPr>
            <w:tcW w:w="8086" w:type="dxa"/>
            <w:vAlign w:val="center"/>
          </w:tcPr>
          <w:p w14:paraId="6A99F7A7" w14:textId="54A4847D" w:rsidR="002E4972" w:rsidRPr="00D96E64" w:rsidRDefault="002E4972" w:rsidP="00750019">
            <w:pPr>
              <w:rPr>
                <w:rFonts w:ascii="Arial Narrow" w:hAnsi="Arial Narrow"/>
                <w:b/>
                <w:bCs/>
                <w:color w:val="333333"/>
                <w:sz w:val="20"/>
                <w:szCs w:val="20"/>
              </w:rPr>
            </w:pPr>
            <w:r w:rsidRPr="00D96E64">
              <w:rPr>
                <w:rFonts w:ascii="Arial Narrow" w:hAnsi="Arial Narrow"/>
                <w:b/>
                <w:bCs/>
                <w:sz w:val="20"/>
                <w:szCs w:val="20"/>
              </w:rPr>
              <w:t>Treatment Phase:</w:t>
            </w:r>
            <w:r w:rsidRPr="00D96E64">
              <w:rPr>
                <w:rFonts w:ascii="Arial Narrow" w:hAnsi="Arial Narrow"/>
                <w:sz w:val="20"/>
                <w:szCs w:val="20"/>
              </w:rPr>
              <w:t xml:space="preserve"> Second or Subsequent Continuing treatment  </w:t>
            </w:r>
          </w:p>
        </w:tc>
      </w:tr>
      <w:tr w:rsidR="002E4972" w:rsidRPr="00D96E64" w14:paraId="481EC1BF" w14:textId="77777777" w:rsidTr="00750019">
        <w:tc>
          <w:tcPr>
            <w:tcW w:w="981" w:type="dxa"/>
            <w:gridSpan w:val="2"/>
            <w:vAlign w:val="center"/>
          </w:tcPr>
          <w:p w14:paraId="40D8FF72" w14:textId="7A0895C8" w:rsidR="002E4972" w:rsidRPr="00D96E64" w:rsidRDefault="002E4972" w:rsidP="00750019">
            <w:pPr>
              <w:jc w:val="center"/>
              <w:rPr>
                <w:rFonts w:ascii="Arial Narrow" w:hAnsi="Arial Narrow"/>
                <w:color w:val="333333"/>
                <w:sz w:val="20"/>
                <w:szCs w:val="20"/>
              </w:rPr>
            </w:pPr>
          </w:p>
        </w:tc>
        <w:tc>
          <w:tcPr>
            <w:tcW w:w="8086" w:type="dxa"/>
            <w:vAlign w:val="center"/>
          </w:tcPr>
          <w:p w14:paraId="5FCC9FE3" w14:textId="77777777" w:rsidR="002E4972" w:rsidRPr="00D96E64" w:rsidRDefault="002E4972" w:rsidP="00750019">
            <w:pPr>
              <w:rPr>
                <w:rFonts w:ascii="Arial Narrow" w:hAnsi="Arial Narrow"/>
                <w:b/>
                <w:bCs/>
                <w:sz w:val="20"/>
                <w:szCs w:val="20"/>
              </w:rPr>
            </w:pPr>
            <w:r w:rsidRPr="00D96E64">
              <w:rPr>
                <w:rFonts w:ascii="Arial Narrow" w:hAnsi="Arial Narrow"/>
                <w:b/>
                <w:bCs/>
                <w:color w:val="333333"/>
                <w:sz w:val="20"/>
                <w:szCs w:val="20"/>
              </w:rPr>
              <w:t>Clinical criteria:</w:t>
            </w:r>
          </w:p>
        </w:tc>
      </w:tr>
      <w:tr w:rsidR="002E4972" w:rsidRPr="00D96E64" w14:paraId="5C28F9EC" w14:textId="77777777" w:rsidTr="00750019">
        <w:tc>
          <w:tcPr>
            <w:tcW w:w="981" w:type="dxa"/>
            <w:gridSpan w:val="2"/>
            <w:vAlign w:val="center"/>
          </w:tcPr>
          <w:p w14:paraId="5EFBA702" w14:textId="366700FC" w:rsidR="002E4972" w:rsidRPr="00D96E64" w:rsidRDefault="002E4972" w:rsidP="00750019">
            <w:pPr>
              <w:jc w:val="center"/>
              <w:rPr>
                <w:rFonts w:ascii="Arial Narrow" w:hAnsi="Arial Narrow"/>
                <w:color w:val="333333"/>
                <w:sz w:val="20"/>
                <w:szCs w:val="20"/>
              </w:rPr>
            </w:pPr>
          </w:p>
        </w:tc>
        <w:tc>
          <w:tcPr>
            <w:tcW w:w="8086" w:type="dxa"/>
            <w:vAlign w:val="center"/>
          </w:tcPr>
          <w:p w14:paraId="7742E3C5" w14:textId="1895DA34" w:rsidR="002E4972" w:rsidRPr="00D96E64" w:rsidRDefault="002E4972" w:rsidP="00750019">
            <w:pPr>
              <w:rPr>
                <w:rFonts w:ascii="Arial Narrow" w:hAnsi="Arial Narrow"/>
                <w:b/>
                <w:bCs/>
                <w:color w:val="333333"/>
                <w:sz w:val="20"/>
                <w:szCs w:val="20"/>
              </w:rPr>
            </w:pPr>
            <w:r w:rsidRPr="00D96E64">
              <w:rPr>
                <w:rFonts w:ascii="Arial Narrow" w:hAnsi="Arial Narrow"/>
                <w:sz w:val="20"/>
                <w:szCs w:val="20"/>
              </w:rPr>
              <w:t>The condition must be severe chronic immune (idiopathic) thrombocytopenic purpura (ITP)</w:t>
            </w:r>
          </w:p>
        </w:tc>
      </w:tr>
      <w:tr w:rsidR="002E4972" w:rsidRPr="00D96E64" w14:paraId="2BC595A3" w14:textId="77777777" w:rsidTr="00750019">
        <w:tc>
          <w:tcPr>
            <w:tcW w:w="981" w:type="dxa"/>
            <w:gridSpan w:val="2"/>
            <w:vAlign w:val="center"/>
          </w:tcPr>
          <w:p w14:paraId="2B08A83B" w14:textId="77777777" w:rsidR="002E4972" w:rsidRPr="00D96E64" w:rsidRDefault="002E4972" w:rsidP="00750019">
            <w:pPr>
              <w:jc w:val="center"/>
              <w:rPr>
                <w:rFonts w:ascii="Arial Narrow" w:hAnsi="Arial Narrow"/>
                <w:color w:val="333333"/>
                <w:sz w:val="20"/>
                <w:szCs w:val="20"/>
              </w:rPr>
            </w:pPr>
          </w:p>
        </w:tc>
        <w:tc>
          <w:tcPr>
            <w:tcW w:w="8086" w:type="dxa"/>
            <w:vAlign w:val="center"/>
          </w:tcPr>
          <w:p w14:paraId="062A9C94" w14:textId="77777777" w:rsidR="002E4972" w:rsidRPr="00D96E64" w:rsidRDefault="002E4972" w:rsidP="00750019">
            <w:pPr>
              <w:rPr>
                <w:rFonts w:ascii="Arial Narrow" w:hAnsi="Arial Narrow"/>
                <w:sz w:val="20"/>
                <w:szCs w:val="20"/>
              </w:rPr>
            </w:pPr>
            <w:r w:rsidRPr="00D96E64">
              <w:rPr>
                <w:rFonts w:ascii="Arial Narrow" w:hAnsi="Arial Narrow"/>
                <w:b/>
                <w:bCs/>
                <w:color w:val="333333"/>
                <w:sz w:val="20"/>
                <w:szCs w:val="20"/>
              </w:rPr>
              <w:t>AND</w:t>
            </w:r>
          </w:p>
        </w:tc>
      </w:tr>
      <w:bookmarkEnd w:id="61"/>
      <w:tr w:rsidR="002E4972" w:rsidRPr="00D96E64" w14:paraId="4ADE8485" w14:textId="77777777" w:rsidTr="00750019">
        <w:tc>
          <w:tcPr>
            <w:tcW w:w="981" w:type="dxa"/>
            <w:gridSpan w:val="2"/>
            <w:vAlign w:val="center"/>
          </w:tcPr>
          <w:p w14:paraId="560A46B6" w14:textId="289D899B" w:rsidR="002E4972" w:rsidRPr="00D96E64" w:rsidRDefault="002E4972" w:rsidP="00750019">
            <w:pPr>
              <w:jc w:val="center"/>
              <w:rPr>
                <w:rFonts w:ascii="Arial Narrow" w:hAnsi="Arial Narrow"/>
                <w:color w:val="333333"/>
                <w:sz w:val="20"/>
                <w:szCs w:val="20"/>
              </w:rPr>
            </w:pPr>
          </w:p>
        </w:tc>
        <w:tc>
          <w:tcPr>
            <w:tcW w:w="8086" w:type="dxa"/>
            <w:vAlign w:val="center"/>
          </w:tcPr>
          <w:p w14:paraId="63478C4E"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color w:val="333333"/>
                <w:sz w:val="20"/>
                <w:szCs w:val="20"/>
              </w:rPr>
              <w:t>Clinical criteria:</w:t>
            </w:r>
          </w:p>
        </w:tc>
      </w:tr>
      <w:tr w:rsidR="002E4972" w:rsidRPr="00D96E64" w14:paraId="172A449A" w14:textId="77777777" w:rsidTr="00750019">
        <w:tc>
          <w:tcPr>
            <w:tcW w:w="981" w:type="dxa"/>
            <w:gridSpan w:val="2"/>
            <w:vAlign w:val="center"/>
          </w:tcPr>
          <w:p w14:paraId="558EC9A4" w14:textId="3EB4D2C7" w:rsidR="002E4972" w:rsidRPr="00D96E64" w:rsidRDefault="002E4972" w:rsidP="00750019">
            <w:pPr>
              <w:jc w:val="center"/>
              <w:rPr>
                <w:rFonts w:ascii="Arial Narrow" w:hAnsi="Arial Narrow"/>
                <w:color w:val="333333"/>
                <w:sz w:val="20"/>
                <w:szCs w:val="20"/>
              </w:rPr>
            </w:pPr>
          </w:p>
        </w:tc>
        <w:tc>
          <w:tcPr>
            <w:tcW w:w="8086" w:type="dxa"/>
            <w:vAlign w:val="center"/>
          </w:tcPr>
          <w:p w14:paraId="61DA84EC" w14:textId="77777777" w:rsidR="002E4972" w:rsidRPr="00D96E64" w:rsidRDefault="002E4972" w:rsidP="00750019">
            <w:pPr>
              <w:rPr>
                <w:rFonts w:ascii="Arial Narrow" w:hAnsi="Arial Narrow"/>
                <w:b/>
                <w:bCs/>
                <w:color w:val="333333"/>
                <w:sz w:val="20"/>
                <w:szCs w:val="20"/>
              </w:rPr>
            </w:pPr>
            <w:r w:rsidRPr="00D96E64">
              <w:rPr>
                <w:rFonts w:ascii="Arial Narrow" w:hAnsi="Arial Narrow"/>
                <w:sz w:val="20"/>
                <w:szCs w:val="20"/>
              </w:rPr>
              <w:t>Patient must have previously received PBS-subsidised treatment with this drug for this condition under first continuing or re-initiation of interrupted continuing treatment restriction</w:t>
            </w:r>
          </w:p>
        </w:tc>
      </w:tr>
      <w:tr w:rsidR="002E4972" w:rsidRPr="00D96E64" w14:paraId="57C49132" w14:textId="77777777" w:rsidTr="00750019">
        <w:tc>
          <w:tcPr>
            <w:tcW w:w="981" w:type="dxa"/>
            <w:gridSpan w:val="2"/>
            <w:vAlign w:val="center"/>
          </w:tcPr>
          <w:p w14:paraId="4B968CE1" w14:textId="77777777" w:rsidR="002E4972" w:rsidRPr="00D96E64" w:rsidRDefault="002E4972" w:rsidP="00750019">
            <w:pPr>
              <w:jc w:val="center"/>
              <w:rPr>
                <w:rFonts w:ascii="Arial Narrow" w:hAnsi="Arial Narrow"/>
                <w:color w:val="333333"/>
                <w:sz w:val="20"/>
                <w:szCs w:val="20"/>
              </w:rPr>
            </w:pPr>
          </w:p>
        </w:tc>
        <w:tc>
          <w:tcPr>
            <w:tcW w:w="8086" w:type="dxa"/>
            <w:vAlign w:val="center"/>
          </w:tcPr>
          <w:p w14:paraId="69A771C5"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color w:val="333333"/>
                <w:sz w:val="20"/>
                <w:szCs w:val="20"/>
              </w:rPr>
              <w:t>AND</w:t>
            </w:r>
          </w:p>
        </w:tc>
      </w:tr>
      <w:tr w:rsidR="002E4972" w:rsidRPr="00D96E64" w14:paraId="0ECA6D31" w14:textId="77777777" w:rsidTr="00750019">
        <w:tc>
          <w:tcPr>
            <w:tcW w:w="981" w:type="dxa"/>
            <w:gridSpan w:val="2"/>
            <w:vAlign w:val="center"/>
          </w:tcPr>
          <w:p w14:paraId="2B0303F5" w14:textId="3A070378" w:rsidR="002E4972" w:rsidRPr="00D96E64" w:rsidRDefault="002E4972" w:rsidP="00750019">
            <w:pPr>
              <w:jc w:val="center"/>
              <w:rPr>
                <w:rFonts w:ascii="Arial Narrow" w:hAnsi="Arial Narrow"/>
                <w:color w:val="333333"/>
                <w:sz w:val="20"/>
                <w:szCs w:val="20"/>
              </w:rPr>
            </w:pPr>
          </w:p>
        </w:tc>
        <w:tc>
          <w:tcPr>
            <w:tcW w:w="8086" w:type="dxa"/>
            <w:vAlign w:val="center"/>
          </w:tcPr>
          <w:p w14:paraId="2DBB8AD9"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color w:val="333333"/>
                <w:sz w:val="20"/>
                <w:szCs w:val="20"/>
              </w:rPr>
              <w:t>Clinical criteria:</w:t>
            </w:r>
          </w:p>
        </w:tc>
      </w:tr>
      <w:tr w:rsidR="002E4972" w:rsidRPr="00D96E64" w14:paraId="18EAAA3E" w14:textId="77777777" w:rsidTr="00750019">
        <w:tc>
          <w:tcPr>
            <w:tcW w:w="981" w:type="dxa"/>
            <w:gridSpan w:val="2"/>
            <w:vAlign w:val="center"/>
          </w:tcPr>
          <w:p w14:paraId="06CBB9C9" w14:textId="3A1CF101" w:rsidR="002E4972" w:rsidRPr="00D96E64" w:rsidRDefault="002E4972" w:rsidP="00750019">
            <w:pPr>
              <w:jc w:val="center"/>
              <w:rPr>
                <w:rFonts w:ascii="Arial Narrow" w:hAnsi="Arial Narrow"/>
                <w:color w:val="333333"/>
                <w:sz w:val="20"/>
                <w:szCs w:val="20"/>
              </w:rPr>
            </w:pPr>
          </w:p>
        </w:tc>
        <w:tc>
          <w:tcPr>
            <w:tcW w:w="8086" w:type="dxa"/>
            <w:vAlign w:val="center"/>
          </w:tcPr>
          <w:p w14:paraId="50A30459" w14:textId="5202026B" w:rsidR="002E4972" w:rsidRPr="00D96E64" w:rsidRDefault="002E4972" w:rsidP="00750019">
            <w:pPr>
              <w:rPr>
                <w:rFonts w:ascii="Arial Narrow" w:hAnsi="Arial Narrow"/>
                <w:b/>
                <w:bCs/>
                <w:color w:val="333333"/>
                <w:sz w:val="20"/>
                <w:szCs w:val="20"/>
              </w:rPr>
            </w:pPr>
            <w:r w:rsidRPr="00D96E64">
              <w:rPr>
                <w:rFonts w:ascii="Arial Narrow" w:hAnsi="Arial Narrow"/>
                <w:sz w:val="20"/>
                <w:szCs w:val="20"/>
              </w:rPr>
              <w:t xml:space="preserve">Patient must </w:t>
            </w:r>
            <w:r w:rsidR="008B1A74">
              <w:rPr>
                <w:rFonts w:ascii="Arial Narrow" w:hAnsi="Arial Narrow"/>
                <w:sz w:val="20"/>
                <w:szCs w:val="20"/>
              </w:rPr>
              <w:t xml:space="preserve">have </w:t>
            </w:r>
            <w:r w:rsidRPr="00D96E64">
              <w:rPr>
                <w:rFonts w:ascii="Arial Narrow" w:hAnsi="Arial Narrow"/>
                <w:sz w:val="20"/>
                <w:szCs w:val="20"/>
              </w:rPr>
              <w:t>demonstrated a continuing response to PBS-subsidised treatment with this drug</w:t>
            </w:r>
          </w:p>
        </w:tc>
      </w:tr>
      <w:tr w:rsidR="002E4972" w:rsidRPr="00D96E64" w14:paraId="0E6E3109" w14:textId="77777777" w:rsidTr="00750019">
        <w:tc>
          <w:tcPr>
            <w:tcW w:w="981" w:type="dxa"/>
            <w:gridSpan w:val="2"/>
            <w:vAlign w:val="center"/>
          </w:tcPr>
          <w:p w14:paraId="7D91D32D" w14:textId="77777777" w:rsidR="002E4972" w:rsidRPr="00D96E64" w:rsidRDefault="002E4972" w:rsidP="00750019">
            <w:pPr>
              <w:jc w:val="center"/>
              <w:rPr>
                <w:rFonts w:ascii="Arial Narrow" w:hAnsi="Arial Narrow"/>
                <w:color w:val="333333"/>
                <w:sz w:val="20"/>
                <w:szCs w:val="20"/>
              </w:rPr>
            </w:pPr>
          </w:p>
        </w:tc>
        <w:tc>
          <w:tcPr>
            <w:tcW w:w="8086" w:type="dxa"/>
            <w:vAlign w:val="center"/>
          </w:tcPr>
          <w:p w14:paraId="5E5F7090" w14:textId="77777777" w:rsidR="002E4972" w:rsidRPr="00D96E64" w:rsidRDefault="002E4972" w:rsidP="00750019">
            <w:pPr>
              <w:rPr>
                <w:rFonts w:ascii="Arial Narrow" w:hAnsi="Arial Narrow"/>
                <w:sz w:val="20"/>
                <w:szCs w:val="20"/>
              </w:rPr>
            </w:pPr>
            <w:r w:rsidRPr="00D96E64">
              <w:rPr>
                <w:rFonts w:ascii="Arial Narrow" w:hAnsi="Arial Narrow"/>
                <w:b/>
                <w:bCs/>
                <w:color w:val="333333"/>
                <w:sz w:val="20"/>
                <w:szCs w:val="20"/>
              </w:rPr>
              <w:t>AND</w:t>
            </w:r>
          </w:p>
        </w:tc>
      </w:tr>
      <w:tr w:rsidR="002E4972" w:rsidRPr="00D96E64" w14:paraId="13263D76" w14:textId="77777777" w:rsidTr="00750019">
        <w:tc>
          <w:tcPr>
            <w:tcW w:w="981" w:type="dxa"/>
            <w:gridSpan w:val="2"/>
            <w:vAlign w:val="center"/>
          </w:tcPr>
          <w:p w14:paraId="345BEF40" w14:textId="0356881C" w:rsidR="002E4972" w:rsidRPr="00D96E64" w:rsidRDefault="002E4972" w:rsidP="00750019">
            <w:pPr>
              <w:jc w:val="center"/>
              <w:rPr>
                <w:rFonts w:ascii="Arial Narrow" w:hAnsi="Arial Narrow"/>
                <w:color w:val="333333"/>
                <w:sz w:val="20"/>
                <w:szCs w:val="20"/>
              </w:rPr>
            </w:pPr>
          </w:p>
        </w:tc>
        <w:tc>
          <w:tcPr>
            <w:tcW w:w="8086" w:type="dxa"/>
            <w:vAlign w:val="center"/>
          </w:tcPr>
          <w:p w14:paraId="45F640F1"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color w:val="333333"/>
                <w:sz w:val="20"/>
                <w:szCs w:val="20"/>
              </w:rPr>
              <w:t>Clinical criteria:</w:t>
            </w:r>
          </w:p>
        </w:tc>
      </w:tr>
      <w:tr w:rsidR="002E4972" w:rsidRPr="00D96E64" w14:paraId="73C3D0F9" w14:textId="77777777" w:rsidTr="00750019">
        <w:tc>
          <w:tcPr>
            <w:tcW w:w="981" w:type="dxa"/>
            <w:gridSpan w:val="2"/>
            <w:vAlign w:val="center"/>
          </w:tcPr>
          <w:p w14:paraId="3D109E86" w14:textId="29B05E5C" w:rsidR="002E4972" w:rsidRPr="00D96E64" w:rsidRDefault="002E4972" w:rsidP="00750019">
            <w:pPr>
              <w:jc w:val="center"/>
              <w:rPr>
                <w:rFonts w:ascii="Arial Narrow" w:hAnsi="Arial Narrow"/>
                <w:color w:val="333333"/>
                <w:sz w:val="20"/>
                <w:szCs w:val="20"/>
              </w:rPr>
            </w:pPr>
          </w:p>
        </w:tc>
        <w:tc>
          <w:tcPr>
            <w:tcW w:w="8086" w:type="dxa"/>
            <w:vAlign w:val="center"/>
          </w:tcPr>
          <w:p w14:paraId="419E5F89" w14:textId="77777777" w:rsidR="002E4972" w:rsidRPr="00D96E64" w:rsidRDefault="002E4972" w:rsidP="00750019">
            <w:pPr>
              <w:rPr>
                <w:rFonts w:ascii="Arial Narrow" w:hAnsi="Arial Narrow"/>
                <w:b/>
                <w:bCs/>
                <w:color w:val="333333"/>
                <w:sz w:val="20"/>
                <w:szCs w:val="20"/>
              </w:rPr>
            </w:pPr>
            <w:r w:rsidRPr="00D96E64">
              <w:rPr>
                <w:rFonts w:ascii="Arial Narrow" w:hAnsi="Arial Narrow"/>
                <w:sz w:val="20"/>
                <w:szCs w:val="20"/>
              </w:rPr>
              <w:t>The treatment must be the sole PBS-subsidised thrombopoietin receptor agonist (TRA) for this condition</w:t>
            </w:r>
          </w:p>
        </w:tc>
      </w:tr>
      <w:tr w:rsidR="002E4972" w:rsidRPr="00D96E64" w14:paraId="2D835532" w14:textId="77777777" w:rsidTr="00750019">
        <w:tc>
          <w:tcPr>
            <w:tcW w:w="981" w:type="dxa"/>
            <w:gridSpan w:val="2"/>
            <w:vAlign w:val="center"/>
          </w:tcPr>
          <w:p w14:paraId="468E40D0" w14:textId="6E20AE22" w:rsidR="002E4972" w:rsidRPr="00D96E64" w:rsidRDefault="002E4972" w:rsidP="00750019">
            <w:pPr>
              <w:jc w:val="center"/>
              <w:rPr>
                <w:rFonts w:ascii="Arial Narrow" w:hAnsi="Arial Narrow"/>
                <w:color w:val="333333"/>
                <w:sz w:val="20"/>
                <w:szCs w:val="20"/>
              </w:rPr>
            </w:pPr>
          </w:p>
        </w:tc>
        <w:tc>
          <w:tcPr>
            <w:tcW w:w="8086" w:type="dxa"/>
            <w:vAlign w:val="center"/>
          </w:tcPr>
          <w:p w14:paraId="5A59439A" w14:textId="77777777" w:rsidR="002E4972" w:rsidRPr="00D96E64" w:rsidRDefault="002E4972" w:rsidP="00750019">
            <w:pPr>
              <w:rPr>
                <w:rFonts w:ascii="Arial Narrow" w:hAnsi="Arial Narrow"/>
                <w:sz w:val="20"/>
                <w:szCs w:val="20"/>
              </w:rPr>
            </w:pPr>
            <w:r w:rsidRPr="00D96E64">
              <w:rPr>
                <w:rFonts w:ascii="Arial Narrow" w:hAnsi="Arial Narrow"/>
                <w:b/>
                <w:bCs/>
                <w:color w:val="333333"/>
                <w:sz w:val="20"/>
                <w:szCs w:val="20"/>
              </w:rPr>
              <w:t xml:space="preserve">Prescribing Instructions: </w:t>
            </w:r>
            <w:r w:rsidRPr="00D96E64">
              <w:rPr>
                <w:rFonts w:ascii="Arial Narrow" w:hAnsi="Arial Narrow"/>
                <w:sz w:val="20"/>
                <w:szCs w:val="20"/>
              </w:rPr>
              <w:t>The platelet count must be no more than 4 weeks old at the time of application and must be documented in the patient’s medical records</w:t>
            </w:r>
          </w:p>
        </w:tc>
      </w:tr>
      <w:tr w:rsidR="002E4972" w:rsidRPr="00D96E64" w14:paraId="7BDBC015" w14:textId="77777777" w:rsidTr="00750019">
        <w:trPr>
          <w:trHeight w:val="49"/>
        </w:trPr>
        <w:tc>
          <w:tcPr>
            <w:tcW w:w="981" w:type="dxa"/>
            <w:gridSpan w:val="2"/>
            <w:vAlign w:val="center"/>
          </w:tcPr>
          <w:p w14:paraId="517C0ECE" w14:textId="0A944D10" w:rsidR="002E4972" w:rsidRPr="00D96E64" w:rsidRDefault="002E4972" w:rsidP="00750019">
            <w:pPr>
              <w:jc w:val="center"/>
              <w:rPr>
                <w:rFonts w:ascii="Arial Narrow" w:hAnsi="Arial Narrow"/>
                <w:color w:val="333333"/>
                <w:sz w:val="20"/>
                <w:szCs w:val="20"/>
              </w:rPr>
            </w:pPr>
          </w:p>
        </w:tc>
        <w:tc>
          <w:tcPr>
            <w:tcW w:w="8086" w:type="dxa"/>
            <w:vAlign w:val="center"/>
          </w:tcPr>
          <w:p w14:paraId="1F50DA84" w14:textId="77777777" w:rsidR="002E4972" w:rsidRPr="00D96E64" w:rsidRDefault="002E4972" w:rsidP="00750019">
            <w:pPr>
              <w:rPr>
                <w:rFonts w:ascii="Arial Narrow" w:hAnsi="Arial Narrow"/>
                <w:sz w:val="20"/>
                <w:szCs w:val="20"/>
              </w:rPr>
            </w:pPr>
            <w:r w:rsidRPr="00D96E64">
              <w:rPr>
                <w:rFonts w:ascii="Arial Narrow" w:hAnsi="Arial Narrow"/>
                <w:b/>
                <w:bCs/>
                <w:color w:val="333333"/>
                <w:sz w:val="20"/>
                <w:szCs w:val="20"/>
              </w:rPr>
              <w:t>Administrative Advice:</w:t>
            </w:r>
            <w:r w:rsidRPr="00D96E64">
              <w:rPr>
                <w:rFonts w:ascii="Arial Narrow" w:hAnsi="Arial Narrow"/>
                <w:sz w:val="20"/>
                <w:szCs w:val="20"/>
              </w:rPr>
              <w:t xml:space="preserve"> Applications for authorisation under this restriction may be made in real time using the Online PBS Authorities system (see </w:t>
            </w:r>
            <w:r w:rsidRPr="00D96E64">
              <w:rPr>
                <w:rFonts w:ascii="Arial Narrow" w:hAnsi="Arial Narrow"/>
                <w:b/>
                <w:bCs/>
                <w:sz w:val="20"/>
                <w:szCs w:val="20"/>
              </w:rPr>
              <w:t>www.</w:t>
            </w:r>
            <w:r w:rsidRPr="00D96E64">
              <w:rPr>
                <w:rFonts w:ascii="Arial Narrow" w:hAnsi="Arial Narrow"/>
                <w:sz w:val="20"/>
                <w:szCs w:val="20"/>
              </w:rPr>
              <w:t>servicesaustralia.gov.au/HPOS) or by telephone by contacting Services Australia on 1800 700 270 (hours of operation 8 a.m. to 5 p.m. Monday to Friday).</w:t>
            </w:r>
          </w:p>
        </w:tc>
      </w:tr>
      <w:tr w:rsidR="002E4972" w:rsidRPr="00D96E64" w14:paraId="2FDC711C" w14:textId="77777777" w:rsidTr="00750019">
        <w:tc>
          <w:tcPr>
            <w:tcW w:w="981" w:type="dxa"/>
            <w:gridSpan w:val="2"/>
            <w:vAlign w:val="center"/>
          </w:tcPr>
          <w:p w14:paraId="3864E66E" w14:textId="765D1894" w:rsidR="002E4972" w:rsidRPr="00D96E64" w:rsidRDefault="002E4972" w:rsidP="00750019">
            <w:pPr>
              <w:jc w:val="center"/>
              <w:rPr>
                <w:rFonts w:ascii="Arial Narrow" w:hAnsi="Arial Narrow"/>
                <w:color w:val="333333"/>
                <w:sz w:val="20"/>
                <w:szCs w:val="20"/>
              </w:rPr>
            </w:pPr>
          </w:p>
        </w:tc>
        <w:tc>
          <w:tcPr>
            <w:tcW w:w="8086" w:type="dxa"/>
            <w:vAlign w:val="center"/>
          </w:tcPr>
          <w:p w14:paraId="11E8ED18"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color w:val="333333"/>
                <w:sz w:val="20"/>
                <w:szCs w:val="20"/>
              </w:rPr>
              <w:t>Administrative Advice:</w:t>
            </w:r>
            <w:r w:rsidRPr="00D96E64">
              <w:rPr>
                <w:sz w:val="20"/>
                <w:szCs w:val="20"/>
              </w:rPr>
              <w:t xml:space="preserve"> </w:t>
            </w:r>
            <w:r w:rsidRPr="00D96E64">
              <w:rPr>
                <w:rFonts w:ascii="Arial Narrow" w:hAnsi="Arial Narrow"/>
                <w:sz w:val="20"/>
                <w:szCs w:val="20"/>
              </w:rPr>
              <w:t>No increase in the maximum number of repeats may be authorised.</w:t>
            </w:r>
          </w:p>
        </w:tc>
      </w:tr>
      <w:tr w:rsidR="002E4972" w:rsidRPr="00D96E64" w14:paraId="412615D1" w14:textId="77777777" w:rsidTr="00750019">
        <w:tc>
          <w:tcPr>
            <w:tcW w:w="981" w:type="dxa"/>
            <w:gridSpan w:val="2"/>
            <w:vAlign w:val="center"/>
          </w:tcPr>
          <w:p w14:paraId="36EC0C46" w14:textId="6C84E7B0" w:rsidR="002E4972" w:rsidRPr="00D96E64" w:rsidRDefault="002E4972" w:rsidP="00750019">
            <w:pPr>
              <w:jc w:val="center"/>
              <w:rPr>
                <w:rFonts w:ascii="Arial Narrow" w:hAnsi="Arial Narrow"/>
                <w:color w:val="333333"/>
                <w:sz w:val="20"/>
                <w:szCs w:val="20"/>
              </w:rPr>
            </w:pPr>
          </w:p>
        </w:tc>
        <w:tc>
          <w:tcPr>
            <w:tcW w:w="8086" w:type="dxa"/>
            <w:vAlign w:val="center"/>
          </w:tcPr>
          <w:p w14:paraId="189FAFC0"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color w:val="333333"/>
                <w:sz w:val="20"/>
                <w:szCs w:val="20"/>
              </w:rPr>
              <w:t>Administrative Advice:</w:t>
            </w:r>
            <w:r w:rsidRPr="00D96E64">
              <w:rPr>
                <w:sz w:val="20"/>
                <w:szCs w:val="20"/>
              </w:rPr>
              <w:t xml:space="preserve"> </w:t>
            </w:r>
            <w:r w:rsidRPr="00D96E64">
              <w:rPr>
                <w:rFonts w:ascii="Arial Narrow" w:hAnsi="Arial Narrow"/>
                <w:sz w:val="20"/>
                <w:szCs w:val="20"/>
              </w:rPr>
              <w:t>Special Pricing Arrangements apply.</w:t>
            </w:r>
          </w:p>
        </w:tc>
      </w:tr>
    </w:tbl>
    <w:p w14:paraId="7835EA6A" w14:textId="392156FF" w:rsidR="002D3244" w:rsidRDefault="002D3244" w:rsidP="002E4972">
      <w:pPr>
        <w:pStyle w:val="BodyText"/>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0"/>
        <w:gridCol w:w="491"/>
        <w:gridCol w:w="8086"/>
      </w:tblGrid>
      <w:tr w:rsidR="002E4972" w:rsidRPr="00D96E64" w14:paraId="03FE2F3B" w14:textId="77777777" w:rsidTr="00750019">
        <w:tc>
          <w:tcPr>
            <w:tcW w:w="9067" w:type="dxa"/>
            <w:gridSpan w:val="3"/>
            <w:vAlign w:val="center"/>
          </w:tcPr>
          <w:p w14:paraId="476EE2C3"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color w:val="333333"/>
                <w:sz w:val="20"/>
                <w:szCs w:val="20"/>
              </w:rPr>
              <w:t xml:space="preserve">Restriction Summary [new] / Treatment of Concept: [new]  </w:t>
            </w:r>
          </w:p>
        </w:tc>
      </w:tr>
      <w:tr w:rsidR="002E4972" w:rsidRPr="00D96E64" w14:paraId="6254085F" w14:textId="77777777" w:rsidTr="00750019">
        <w:tc>
          <w:tcPr>
            <w:tcW w:w="981" w:type="dxa"/>
            <w:gridSpan w:val="2"/>
            <w:vMerge w:val="restart"/>
          </w:tcPr>
          <w:p w14:paraId="49669C7C" w14:textId="77777777" w:rsidR="002E4972" w:rsidRPr="00D96E64" w:rsidRDefault="002E4972" w:rsidP="00750019">
            <w:pPr>
              <w:jc w:val="center"/>
              <w:rPr>
                <w:rFonts w:ascii="Arial Narrow" w:hAnsi="Arial Narrow"/>
                <w:b/>
                <w:sz w:val="20"/>
                <w:szCs w:val="20"/>
              </w:rPr>
            </w:pPr>
            <w:r w:rsidRPr="00D96E64">
              <w:rPr>
                <w:rFonts w:ascii="Arial Narrow" w:hAnsi="Arial Narrow"/>
                <w:b/>
                <w:sz w:val="20"/>
                <w:szCs w:val="20"/>
              </w:rPr>
              <w:t>Concept ID</w:t>
            </w:r>
          </w:p>
          <w:p w14:paraId="6898B1E4" w14:textId="77777777" w:rsidR="002E4972" w:rsidRPr="00D96E64" w:rsidRDefault="002E4972" w:rsidP="00750019">
            <w:pPr>
              <w:jc w:val="center"/>
              <w:rPr>
                <w:rFonts w:ascii="Arial Narrow" w:hAnsi="Arial Narrow"/>
                <w:b/>
                <w:bCs/>
                <w:color w:val="333333"/>
                <w:sz w:val="20"/>
                <w:szCs w:val="20"/>
              </w:rPr>
            </w:pPr>
            <w:r w:rsidRPr="00D96E64">
              <w:rPr>
                <w:rFonts w:ascii="Arial Narrow" w:hAnsi="Arial Narrow"/>
                <w:sz w:val="20"/>
                <w:szCs w:val="20"/>
              </w:rPr>
              <w:t>(for internal Dept. use)</w:t>
            </w:r>
          </w:p>
        </w:tc>
        <w:tc>
          <w:tcPr>
            <w:tcW w:w="8086" w:type="dxa"/>
          </w:tcPr>
          <w:p w14:paraId="44ED654D" w14:textId="77777777" w:rsidR="002E4972" w:rsidRPr="00D96E64" w:rsidRDefault="002E4972" w:rsidP="00750019">
            <w:pPr>
              <w:rPr>
                <w:rFonts w:ascii="Arial Narrow" w:hAnsi="Arial Narrow"/>
                <w:b/>
                <w:bCs/>
                <w:color w:val="333333"/>
                <w:sz w:val="20"/>
                <w:szCs w:val="20"/>
              </w:rPr>
            </w:pPr>
            <w:r w:rsidRPr="00D96E64">
              <w:rPr>
                <w:rFonts w:ascii="Arial Narrow" w:hAnsi="Arial Narrow"/>
                <w:b/>
                <w:sz w:val="20"/>
                <w:szCs w:val="20"/>
              </w:rPr>
              <w:t xml:space="preserve">Category / Program: </w:t>
            </w:r>
            <w:r w:rsidRPr="00D96E64">
              <w:rPr>
                <w:rFonts w:ascii="Arial Narrow" w:hAnsi="Arial Narrow"/>
                <w:sz w:val="20"/>
                <w:szCs w:val="20"/>
              </w:rPr>
              <w:t xml:space="preserve">Section 100 – Highly Specialised Drugs Program  </w:t>
            </w:r>
          </w:p>
        </w:tc>
      </w:tr>
      <w:tr w:rsidR="002E4972" w:rsidRPr="00D96E64" w14:paraId="36082201" w14:textId="77777777" w:rsidTr="00750019">
        <w:tc>
          <w:tcPr>
            <w:tcW w:w="981" w:type="dxa"/>
            <w:gridSpan w:val="2"/>
            <w:vMerge/>
          </w:tcPr>
          <w:p w14:paraId="4CD216B4" w14:textId="77777777" w:rsidR="002E4972" w:rsidRPr="00D96E64" w:rsidRDefault="002E4972" w:rsidP="00750019">
            <w:pPr>
              <w:jc w:val="center"/>
              <w:rPr>
                <w:rFonts w:ascii="Arial Narrow" w:hAnsi="Arial Narrow"/>
                <w:b/>
                <w:sz w:val="20"/>
                <w:szCs w:val="20"/>
              </w:rPr>
            </w:pPr>
          </w:p>
        </w:tc>
        <w:tc>
          <w:tcPr>
            <w:tcW w:w="8086" w:type="dxa"/>
          </w:tcPr>
          <w:p w14:paraId="32BDCA56" w14:textId="77777777" w:rsidR="002E4972" w:rsidRPr="00D96E64" w:rsidRDefault="002E4972" w:rsidP="00750019">
            <w:pPr>
              <w:rPr>
                <w:rFonts w:ascii="Arial Narrow" w:hAnsi="Arial Narrow"/>
                <w:b/>
                <w:sz w:val="20"/>
                <w:szCs w:val="20"/>
              </w:rPr>
            </w:pPr>
            <w:r w:rsidRPr="00D96E64">
              <w:rPr>
                <w:rFonts w:ascii="Arial Narrow" w:hAnsi="Arial Narrow"/>
                <w:b/>
                <w:sz w:val="20"/>
                <w:szCs w:val="20"/>
              </w:rPr>
              <w:t>Prescriber type:</w:t>
            </w:r>
            <w:r w:rsidRPr="00D96E64">
              <w:rPr>
                <w:rFonts w:ascii="Arial Narrow" w:hAnsi="Arial Narrow"/>
                <w:sz w:val="20"/>
                <w:szCs w:val="20"/>
              </w:rPr>
              <w:t xml:space="preserve"> </w:t>
            </w:r>
            <w:r w:rsidRPr="00D96E64">
              <w:rPr>
                <w:rFonts w:ascii="Arial Narrow" w:hAnsi="Arial Narrow"/>
                <w:sz w:val="20"/>
                <w:szCs w:val="20"/>
              </w:rPr>
              <w:fldChar w:fldCharType="begin" w:fldLock="1">
                <w:ffData>
                  <w:name w:val=""/>
                  <w:enabled/>
                  <w:calcOnExit w:val="0"/>
                  <w:checkBox>
                    <w:sizeAuto/>
                    <w:default w:val="1"/>
                  </w:checkBox>
                </w:ffData>
              </w:fldChar>
            </w:r>
            <w:r w:rsidRPr="00D96E64">
              <w:rPr>
                <w:rFonts w:ascii="Arial Narrow" w:hAnsi="Arial Narrow"/>
                <w:sz w:val="20"/>
                <w:szCs w:val="20"/>
              </w:rPr>
              <w:instrText xml:space="preserve"> FORMCHECKBOX </w:instrText>
            </w:r>
            <w:r w:rsidR="0026219D">
              <w:rPr>
                <w:rFonts w:ascii="Arial Narrow" w:hAnsi="Arial Narrow"/>
                <w:sz w:val="20"/>
                <w:szCs w:val="20"/>
              </w:rPr>
            </w:r>
            <w:r w:rsidR="0026219D">
              <w:rPr>
                <w:rFonts w:ascii="Arial Narrow" w:hAnsi="Arial Narrow"/>
                <w:sz w:val="20"/>
                <w:szCs w:val="20"/>
              </w:rPr>
              <w:fldChar w:fldCharType="separate"/>
            </w:r>
            <w:r w:rsidRPr="00D96E64">
              <w:rPr>
                <w:rFonts w:ascii="Arial Narrow" w:hAnsi="Arial Narrow"/>
                <w:sz w:val="20"/>
                <w:szCs w:val="20"/>
              </w:rPr>
              <w:fldChar w:fldCharType="end"/>
            </w:r>
            <w:r w:rsidRPr="00D96E64">
              <w:rPr>
                <w:rFonts w:ascii="Arial Narrow" w:hAnsi="Arial Narrow"/>
                <w:sz w:val="20"/>
                <w:szCs w:val="20"/>
              </w:rPr>
              <w:t xml:space="preserve">Medical Practitioners   </w:t>
            </w:r>
          </w:p>
        </w:tc>
      </w:tr>
      <w:tr w:rsidR="002E4972" w:rsidRPr="00D96E64" w14:paraId="578D76EB" w14:textId="77777777" w:rsidTr="00750019">
        <w:tc>
          <w:tcPr>
            <w:tcW w:w="981" w:type="dxa"/>
            <w:gridSpan w:val="2"/>
            <w:vMerge/>
          </w:tcPr>
          <w:p w14:paraId="710D5541" w14:textId="77777777" w:rsidR="002E4972" w:rsidRPr="00D96E64" w:rsidRDefault="002E4972" w:rsidP="00750019">
            <w:pPr>
              <w:jc w:val="center"/>
              <w:rPr>
                <w:rFonts w:ascii="Arial Narrow" w:hAnsi="Arial Narrow"/>
                <w:b/>
                <w:sz w:val="20"/>
                <w:szCs w:val="20"/>
              </w:rPr>
            </w:pPr>
          </w:p>
        </w:tc>
        <w:tc>
          <w:tcPr>
            <w:tcW w:w="8086" w:type="dxa"/>
          </w:tcPr>
          <w:p w14:paraId="278C971A" w14:textId="77777777" w:rsidR="002E4972" w:rsidRPr="00D96E64" w:rsidRDefault="002E4972" w:rsidP="00750019">
            <w:pPr>
              <w:rPr>
                <w:rFonts w:ascii="Arial Narrow" w:hAnsi="Arial Narrow"/>
                <w:b/>
                <w:sz w:val="20"/>
                <w:szCs w:val="20"/>
              </w:rPr>
            </w:pPr>
            <w:r w:rsidRPr="00D96E64">
              <w:rPr>
                <w:rFonts w:ascii="Arial Narrow" w:hAnsi="Arial Narrow"/>
                <w:b/>
                <w:sz w:val="20"/>
                <w:szCs w:val="20"/>
              </w:rPr>
              <w:t xml:space="preserve">Restriction type: </w:t>
            </w:r>
            <w:r w:rsidRPr="00D96E64">
              <w:rPr>
                <w:rFonts w:ascii="Arial Narrow" w:eastAsia="Calibri" w:hAnsi="Arial Narrow"/>
                <w:sz w:val="20"/>
                <w:szCs w:val="20"/>
              </w:rPr>
              <w:fldChar w:fldCharType="begin" w:fldLock="1">
                <w:ffData>
                  <w:name w:val=""/>
                  <w:enabled/>
                  <w:calcOnExit w:val="0"/>
                  <w:checkBox>
                    <w:sizeAuto/>
                    <w:default w:val="1"/>
                  </w:checkBox>
                </w:ffData>
              </w:fldChar>
            </w:r>
            <w:r w:rsidRPr="00D96E64">
              <w:rPr>
                <w:rFonts w:ascii="Arial Narrow" w:eastAsia="Calibri" w:hAnsi="Arial Narrow"/>
                <w:sz w:val="20"/>
                <w:szCs w:val="20"/>
              </w:rPr>
              <w:instrText xml:space="preserve"> FORMCHECKBOX </w:instrText>
            </w:r>
            <w:r w:rsidR="0026219D">
              <w:rPr>
                <w:rFonts w:ascii="Arial Narrow" w:eastAsia="Calibri" w:hAnsi="Arial Narrow"/>
                <w:sz w:val="20"/>
                <w:szCs w:val="20"/>
              </w:rPr>
            </w:r>
            <w:r w:rsidR="0026219D">
              <w:rPr>
                <w:rFonts w:ascii="Arial Narrow" w:eastAsia="Calibri" w:hAnsi="Arial Narrow"/>
                <w:sz w:val="20"/>
                <w:szCs w:val="20"/>
              </w:rPr>
              <w:fldChar w:fldCharType="separate"/>
            </w:r>
            <w:r w:rsidRPr="00D96E64">
              <w:rPr>
                <w:rFonts w:ascii="Arial Narrow" w:eastAsia="Calibri" w:hAnsi="Arial Narrow"/>
                <w:sz w:val="20"/>
                <w:szCs w:val="20"/>
              </w:rPr>
              <w:fldChar w:fldCharType="end"/>
            </w:r>
            <w:r w:rsidRPr="00D96E64">
              <w:rPr>
                <w:rFonts w:ascii="Arial Narrow" w:eastAsia="Calibri" w:hAnsi="Arial Narrow"/>
                <w:sz w:val="20"/>
                <w:szCs w:val="20"/>
              </w:rPr>
              <w:t>Authority Required – (Telephone /electronic)</w:t>
            </w:r>
          </w:p>
        </w:tc>
      </w:tr>
      <w:tr w:rsidR="0098531E" w:rsidRPr="00D96E64" w14:paraId="5B4E1E46" w14:textId="77777777" w:rsidTr="00CC15E3">
        <w:tc>
          <w:tcPr>
            <w:tcW w:w="490" w:type="dxa"/>
            <w:vMerge w:val="restart"/>
            <w:vAlign w:val="center"/>
          </w:tcPr>
          <w:p w14:paraId="1EECB2FF" w14:textId="7C5677E4" w:rsidR="0098531E" w:rsidRPr="00D96E64" w:rsidRDefault="0098531E" w:rsidP="0098531E">
            <w:pPr>
              <w:jc w:val="center"/>
              <w:rPr>
                <w:rFonts w:ascii="Arial Narrow" w:hAnsi="Arial Narrow"/>
                <w:b/>
                <w:sz w:val="20"/>
                <w:szCs w:val="20"/>
              </w:rPr>
            </w:pPr>
          </w:p>
        </w:tc>
        <w:tc>
          <w:tcPr>
            <w:tcW w:w="491" w:type="dxa"/>
            <w:vAlign w:val="center"/>
          </w:tcPr>
          <w:p w14:paraId="2530DB3D" w14:textId="1C4261C3" w:rsidR="0098531E" w:rsidRPr="00D96E64" w:rsidRDefault="0098531E" w:rsidP="0098531E">
            <w:pPr>
              <w:jc w:val="center"/>
              <w:rPr>
                <w:rFonts w:ascii="Arial Narrow" w:hAnsi="Arial Narrow"/>
                <w:b/>
                <w:sz w:val="20"/>
                <w:szCs w:val="20"/>
              </w:rPr>
            </w:pPr>
          </w:p>
        </w:tc>
        <w:tc>
          <w:tcPr>
            <w:tcW w:w="8086" w:type="dxa"/>
            <w:vAlign w:val="center"/>
          </w:tcPr>
          <w:p w14:paraId="5E576F1A" w14:textId="47B77522" w:rsidR="0098531E" w:rsidRPr="00B638E7" w:rsidRDefault="0098531E" w:rsidP="0098531E">
            <w:pPr>
              <w:rPr>
                <w:rFonts w:ascii="Arial Narrow" w:hAnsi="Arial Narrow"/>
                <w:b/>
                <w:sz w:val="20"/>
                <w:szCs w:val="20"/>
              </w:rPr>
            </w:pPr>
            <w:r w:rsidRPr="00B638E7">
              <w:rPr>
                <w:rFonts w:ascii="Arial Narrow" w:hAnsi="Arial Narrow"/>
                <w:b/>
                <w:bCs/>
                <w:color w:val="333333"/>
                <w:sz w:val="20"/>
                <w:szCs w:val="20"/>
              </w:rPr>
              <w:t>Administrative Advice:</w:t>
            </w:r>
            <w:r w:rsidRPr="00B638E7">
              <w:rPr>
                <w:sz w:val="20"/>
                <w:szCs w:val="20"/>
              </w:rPr>
              <w:t xml:space="preserve"> </w:t>
            </w:r>
            <w:r w:rsidRPr="00B638E7">
              <w:rPr>
                <w:rFonts w:ascii="Arial Narrow" w:hAnsi="Arial Narrow"/>
                <w:sz w:val="20"/>
                <w:szCs w:val="20"/>
              </w:rPr>
              <w:t>No increase in the maximum number of repeats may be authorised.</w:t>
            </w:r>
          </w:p>
        </w:tc>
      </w:tr>
      <w:tr w:rsidR="0098531E" w:rsidRPr="00D96E64" w14:paraId="70984F9D" w14:textId="77777777" w:rsidTr="00CC15E3">
        <w:tc>
          <w:tcPr>
            <w:tcW w:w="490" w:type="dxa"/>
            <w:vMerge/>
            <w:vAlign w:val="center"/>
          </w:tcPr>
          <w:p w14:paraId="2BF843D7" w14:textId="77777777" w:rsidR="0098531E" w:rsidRPr="00D96E64" w:rsidRDefault="0098531E" w:rsidP="0098531E">
            <w:pPr>
              <w:jc w:val="center"/>
              <w:rPr>
                <w:rFonts w:ascii="Arial Narrow" w:hAnsi="Arial Narrow"/>
                <w:b/>
                <w:sz w:val="20"/>
                <w:szCs w:val="20"/>
              </w:rPr>
            </w:pPr>
          </w:p>
        </w:tc>
        <w:tc>
          <w:tcPr>
            <w:tcW w:w="491" w:type="dxa"/>
            <w:vAlign w:val="center"/>
          </w:tcPr>
          <w:p w14:paraId="2AD9BF78" w14:textId="39AD3A1A" w:rsidR="0098531E" w:rsidRPr="00D96E64" w:rsidRDefault="0098531E" w:rsidP="0098531E">
            <w:pPr>
              <w:jc w:val="center"/>
              <w:rPr>
                <w:rFonts w:ascii="Arial Narrow" w:hAnsi="Arial Narrow"/>
                <w:b/>
                <w:sz w:val="20"/>
                <w:szCs w:val="20"/>
              </w:rPr>
            </w:pPr>
          </w:p>
        </w:tc>
        <w:tc>
          <w:tcPr>
            <w:tcW w:w="8086" w:type="dxa"/>
            <w:vAlign w:val="center"/>
          </w:tcPr>
          <w:p w14:paraId="7E933655" w14:textId="234D6EDE" w:rsidR="0098531E" w:rsidRPr="00B638E7" w:rsidRDefault="0098531E" w:rsidP="0098531E">
            <w:pPr>
              <w:rPr>
                <w:rFonts w:ascii="Arial Narrow" w:hAnsi="Arial Narrow"/>
                <w:b/>
                <w:sz w:val="20"/>
                <w:szCs w:val="20"/>
              </w:rPr>
            </w:pPr>
            <w:r w:rsidRPr="00B638E7">
              <w:rPr>
                <w:rFonts w:ascii="Arial Narrow" w:hAnsi="Arial Narrow"/>
                <w:b/>
                <w:bCs/>
                <w:color w:val="333333"/>
                <w:sz w:val="20"/>
                <w:szCs w:val="20"/>
              </w:rPr>
              <w:t>Administrative Advice:</w:t>
            </w:r>
            <w:r w:rsidRPr="00B638E7">
              <w:rPr>
                <w:sz w:val="20"/>
                <w:szCs w:val="20"/>
              </w:rPr>
              <w:t xml:space="preserve"> </w:t>
            </w:r>
            <w:r w:rsidRPr="00B638E7">
              <w:rPr>
                <w:rFonts w:ascii="Arial Narrow" w:hAnsi="Arial Narrow"/>
                <w:sz w:val="20"/>
                <w:szCs w:val="20"/>
              </w:rPr>
              <w:t>Special Pricing Arrangements apply.</w:t>
            </w:r>
          </w:p>
        </w:tc>
      </w:tr>
      <w:tr w:rsidR="0098531E" w:rsidRPr="00D96E64" w14:paraId="2DF16752" w14:textId="77777777" w:rsidTr="00750019">
        <w:tc>
          <w:tcPr>
            <w:tcW w:w="981" w:type="dxa"/>
            <w:gridSpan w:val="2"/>
            <w:vAlign w:val="center"/>
          </w:tcPr>
          <w:p w14:paraId="6917F13B" w14:textId="459ABD21" w:rsidR="0098531E" w:rsidRPr="00D96E64" w:rsidRDefault="0098531E" w:rsidP="0098531E">
            <w:pPr>
              <w:jc w:val="center"/>
              <w:rPr>
                <w:rFonts w:ascii="Arial Narrow" w:hAnsi="Arial Narrow"/>
                <w:b/>
                <w:sz w:val="20"/>
                <w:szCs w:val="20"/>
              </w:rPr>
            </w:pPr>
          </w:p>
        </w:tc>
        <w:tc>
          <w:tcPr>
            <w:tcW w:w="8086" w:type="dxa"/>
            <w:vAlign w:val="center"/>
          </w:tcPr>
          <w:p w14:paraId="568E58CC" w14:textId="77777777" w:rsidR="0098531E" w:rsidRPr="00D96E64" w:rsidRDefault="0098531E" w:rsidP="0098531E">
            <w:pPr>
              <w:rPr>
                <w:rFonts w:ascii="Arial Narrow" w:hAnsi="Arial Narrow"/>
                <w:b/>
                <w:sz w:val="20"/>
                <w:szCs w:val="20"/>
              </w:rPr>
            </w:pPr>
            <w:r w:rsidRPr="00D96E64">
              <w:rPr>
                <w:rFonts w:ascii="Arial Narrow" w:hAnsi="Arial Narrow"/>
                <w:b/>
                <w:bCs/>
                <w:color w:val="333333"/>
                <w:sz w:val="20"/>
                <w:szCs w:val="20"/>
              </w:rPr>
              <w:t>Indication:</w:t>
            </w:r>
            <w:r w:rsidRPr="00D96E64">
              <w:rPr>
                <w:rFonts w:ascii="Arial Narrow" w:hAnsi="Arial Narrow"/>
                <w:color w:val="333333"/>
                <w:sz w:val="20"/>
                <w:szCs w:val="20"/>
              </w:rPr>
              <w:t xml:space="preserve"> Severe thrombocytopenia</w:t>
            </w:r>
          </w:p>
        </w:tc>
      </w:tr>
      <w:tr w:rsidR="0098531E" w:rsidRPr="00D96E64" w14:paraId="2BAD2079" w14:textId="77777777" w:rsidTr="00750019">
        <w:tc>
          <w:tcPr>
            <w:tcW w:w="981" w:type="dxa"/>
            <w:gridSpan w:val="2"/>
            <w:vAlign w:val="center"/>
          </w:tcPr>
          <w:p w14:paraId="21158D22" w14:textId="77777777" w:rsidR="0098531E" w:rsidRPr="00D96E64" w:rsidRDefault="0098531E" w:rsidP="0098531E">
            <w:pPr>
              <w:jc w:val="center"/>
              <w:rPr>
                <w:rFonts w:ascii="Arial Narrow" w:hAnsi="Arial Narrow"/>
                <w:color w:val="333333"/>
                <w:sz w:val="20"/>
                <w:szCs w:val="20"/>
              </w:rPr>
            </w:pPr>
          </w:p>
        </w:tc>
        <w:tc>
          <w:tcPr>
            <w:tcW w:w="8086" w:type="dxa"/>
            <w:vAlign w:val="center"/>
          </w:tcPr>
          <w:p w14:paraId="52D40ABF" w14:textId="77777777" w:rsidR="0098531E" w:rsidRPr="00D96E64" w:rsidRDefault="0098531E" w:rsidP="0098531E">
            <w:pPr>
              <w:rPr>
                <w:rFonts w:ascii="Arial Narrow" w:hAnsi="Arial Narrow"/>
                <w:b/>
                <w:bCs/>
                <w:color w:val="333333"/>
                <w:sz w:val="20"/>
                <w:szCs w:val="20"/>
              </w:rPr>
            </w:pPr>
            <w:r w:rsidRPr="00D96E64">
              <w:rPr>
                <w:rFonts w:ascii="Arial Narrow" w:hAnsi="Arial Narrow"/>
                <w:b/>
                <w:bCs/>
                <w:sz w:val="20"/>
                <w:szCs w:val="20"/>
              </w:rPr>
              <w:t>Treatment Phase:</w:t>
            </w:r>
            <w:r w:rsidRPr="00D96E64">
              <w:rPr>
                <w:rFonts w:ascii="Arial Narrow" w:hAnsi="Arial Narrow"/>
                <w:sz w:val="20"/>
                <w:szCs w:val="20"/>
              </w:rPr>
              <w:t xml:space="preserve"> Balance of supply or change of therapy  </w:t>
            </w:r>
          </w:p>
        </w:tc>
      </w:tr>
      <w:tr w:rsidR="0098531E" w:rsidRPr="00D96E64" w14:paraId="7D8001EC" w14:textId="77777777" w:rsidTr="00750019">
        <w:tc>
          <w:tcPr>
            <w:tcW w:w="981" w:type="dxa"/>
            <w:gridSpan w:val="2"/>
            <w:vAlign w:val="center"/>
          </w:tcPr>
          <w:p w14:paraId="2BC388B1" w14:textId="5C5671FB" w:rsidR="0098531E" w:rsidRPr="00D96E64" w:rsidRDefault="0098531E" w:rsidP="0098531E">
            <w:pPr>
              <w:jc w:val="center"/>
              <w:rPr>
                <w:rFonts w:ascii="Arial Narrow" w:hAnsi="Arial Narrow"/>
                <w:color w:val="333333"/>
                <w:sz w:val="20"/>
                <w:szCs w:val="20"/>
              </w:rPr>
            </w:pPr>
          </w:p>
        </w:tc>
        <w:tc>
          <w:tcPr>
            <w:tcW w:w="8086" w:type="dxa"/>
            <w:vAlign w:val="center"/>
          </w:tcPr>
          <w:p w14:paraId="075FB3C3" w14:textId="77777777" w:rsidR="0098531E" w:rsidRPr="00D96E64" w:rsidRDefault="0098531E" w:rsidP="0098531E">
            <w:pPr>
              <w:rPr>
                <w:rFonts w:ascii="Arial Narrow" w:hAnsi="Arial Narrow"/>
                <w:b/>
                <w:bCs/>
                <w:sz w:val="20"/>
                <w:szCs w:val="20"/>
              </w:rPr>
            </w:pPr>
            <w:r w:rsidRPr="00D96E64">
              <w:rPr>
                <w:rFonts w:ascii="Arial Narrow" w:hAnsi="Arial Narrow"/>
                <w:b/>
                <w:bCs/>
                <w:color w:val="333333"/>
                <w:sz w:val="20"/>
                <w:szCs w:val="20"/>
              </w:rPr>
              <w:t>Clinical criteria:</w:t>
            </w:r>
          </w:p>
        </w:tc>
      </w:tr>
      <w:tr w:rsidR="0098531E" w:rsidRPr="00D96E64" w14:paraId="1AAB3B98" w14:textId="77777777" w:rsidTr="00750019">
        <w:tc>
          <w:tcPr>
            <w:tcW w:w="981" w:type="dxa"/>
            <w:gridSpan w:val="2"/>
            <w:vAlign w:val="center"/>
          </w:tcPr>
          <w:p w14:paraId="32D6C2E1" w14:textId="7B5F7F99" w:rsidR="0098531E" w:rsidRPr="00D96E64" w:rsidRDefault="0098531E" w:rsidP="0098531E">
            <w:pPr>
              <w:jc w:val="center"/>
              <w:rPr>
                <w:rFonts w:ascii="Arial Narrow" w:hAnsi="Arial Narrow"/>
                <w:color w:val="333333"/>
                <w:sz w:val="20"/>
                <w:szCs w:val="20"/>
              </w:rPr>
            </w:pPr>
          </w:p>
        </w:tc>
        <w:tc>
          <w:tcPr>
            <w:tcW w:w="8086" w:type="dxa"/>
            <w:vAlign w:val="center"/>
          </w:tcPr>
          <w:p w14:paraId="73FF0D39" w14:textId="47E0CD5D" w:rsidR="0098531E" w:rsidRPr="00D96E64" w:rsidRDefault="0098531E" w:rsidP="0098531E">
            <w:pPr>
              <w:rPr>
                <w:rFonts w:ascii="Arial Narrow" w:hAnsi="Arial Narrow"/>
                <w:b/>
                <w:bCs/>
                <w:color w:val="333333"/>
                <w:sz w:val="20"/>
                <w:szCs w:val="20"/>
              </w:rPr>
            </w:pPr>
            <w:r w:rsidRPr="00D96E64">
              <w:rPr>
                <w:rFonts w:ascii="Arial Narrow" w:hAnsi="Arial Narrow"/>
                <w:sz w:val="20"/>
                <w:szCs w:val="20"/>
              </w:rPr>
              <w:t>The condition must be severe chronic immune (idiopathic) thrombocytopenic purpura (ITP)</w:t>
            </w:r>
          </w:p>
        </w:tc>
      </w:tr>
      <w:tr w:rsidR="0098531E" w:rsidRPr="00D96E64" w14:paraId="1F87D0A5" w14:textId="77777777" w:rsidTr="00750019">
        <w:tc>
          <w:tcPr>
            <w:tcW w:w="981" w:type="dxa"/>
            <w:gridSpan w:val="2"/>
            <w:vAlign w:val="center"/>
          </w:tcPr>
          <w:p w14:paraId="361A01AC" w14:textId="77777777" w:rsidR="0098531E" w:rsidRPr="00D96E64" w:rsidRDefault="0098531E" w:rsidP="0098531E">
            <w:pPr>
              <w:jc w:val="center"/>
              <w:rPr>
                <w:rFonts w:ascii="Arial Narrow" w:hAnsi="Arial Narrow"/>
                <w:color w:val="333333"/>
                <w:sz w:val="20"/>
                <w:szCs w:val="20"/>
              </w:rPr>
            </w:pPr>
          </w:p>
        </w:tc>
        <w:tc>
          <w:tcPr>
            <w:tcW w:w="8086" w:type="dxa"/>
            <w:vAlign w:val="center"/>
          </w:tcPr>
          <w:p w14:paraId="1EBEF9F4" w14:textId="77777777" w:rsidR="0098531E" w:rsidRPr="00D96E64" w:rsidRDefault="0098531E" w:rsidP="0098531E">
            <w:pPr>
              <w:rPr>
                <w:rFonts w:ascii="Arial Narrow" w:hAnsi="Arial Narrow"/>
                <w:sz w:val="20"/>
                <w:szCs w:val="20"/>
              </w:rPr>
            </w:pPr>
            <w:r w:rsidRPr="00D96E64">
              <w:rPr>
                <w:rFonts w:ascii="Arial Narrow" w:hAnsi="Arial Narrow"/>
                <w:b/>
                <w:bCs/>
                <w:color w:val="333333"/>
                <w:sz w:val="20"/>
                <w:szCs w:val="20"/>
              </w:rPr>
              <w:t>AND</w:t>
            </w:r>
          </w:p>
        </w:tc>
      </w:tr>
      <w:tr w:rsidR="0098531E" w:rsidRPr="00D96E64" w14:paraId="03C7A8DC" w14:textId="77777777" w:rsidTr="00750019">
        <w:trPr>
          <w:trHeight w:val="49"/>
        </w:trPr>
        <w:tc>
          <w:tcPr>
            <w:tcW w:w="981" w:type="dxa"/>
            <w:gridSpan w:val="2"/>
            <w:vAlign w:val="center"/>
          </w:tcPr>
          <w:p w14:paraId="385C1CF6" w14:textId="19AF137C" w:rsidR="0098531E" w:rsidRPr="00D96E64" w:rsidRDefault="0098531E" w:rsidP="0098531E">
            <w:pPr>
              <w:jc w:val="center"/>
              <w:rPr>
                <w:rFonts w:ascii="Arial Narrow" w:hAnsi="Arial Narrow"/>
                <w:color w:val="333333"/>
                <w:sz w:val="20"/>
                <w:szCs w:val="20"/>
              </w:rPr>
            </w:pPr>
          </w:p>
        </w:tc>
        <w:tc>
          <w:tcPr>
            <w:tcW w:w="8086" w:type="dxa"/>
            <w:vAlign w:val="center"/>
          </w:tcPr>
          <w:p w14:paraId="40CFED19" w14:textId="77777777" w:rsidR="0098531E" w:rsidRPr="00D96E64" w:rsidRDefault="0098531E" w:rsidP="0098531E">
            <w:pPr>
              <w:rPr>
                <w:rFonts w:ascii="Arial Narrow" w:hAnsi="Arial Narrow"/>
                <w:b/>
                <w:bCs/>
                <w:color w:val="333333"/>
                <w:sz w:val="20"/>
                <w:szCs w:val="20"/>
              </w:rPr>
            </w:pPr>
            <w:r w:rsidRPr="00D96E64">
              <w:rPr>
                <w:rFonts w:ascii="Arial Narrow" w:hAnsi="Arial Narrow"/>
                <w:b/>
                <w:bCs/>
                <w:color w:val="333333"/>
                <w:sz w:val="20"/>
                <w:szCs w:val="20"/>
              </w:rPr>
              <w:t>Clinical criteria:</w:t>
            </w:r>
          </w:p>
        </w:tc>
      </w:tr>
      <w:tr w:rsidR="0098531E" w:rsidRPr="00D96E64" w14:paraId="12862CAE" w14:textId="77777777" w:rsidTr="00750019">
        <w:trPr>
          <w:trHeight w:val="49"/>
        </w:trPr>
        <w:tc>
          <w:tcPr>
            <w:tcW w:w="981" w:type="dxa"/>
            <w:gridSpan w:val="2"/>
            <w:vAlign w:val="center"/>
          </w:tcPr>
          <w:p w14:paraId="1DA5AC0F" w14:textId="6C8B3C1C" w:rsidR="0098531E" w:rsidRPr="00D96E64" w:rsidRDefault="0098531E" w:rsidP="0098531E">
            <w:pPr>
              <w:jc w:val="center"/>
              <w:rPr>
                <w:rFonts w:ascii="Arial Narrow" w:hAnsi="Arial Narrow"/>
                <w:color w:val="333333"/>
                <w:sz w:val="20"/>
                <w:szCs w:val="20"/>
              </w:rPr>
            </w:pPr>
          </w:p>
        </w:tc>
        <w:tc>
          <w:tcPr>
            <w:tcW w:w="8086" w:type="dxa"/>
            <w:vAlign w:val="center"/>
          </w:tcPr>
          <w:p w14:paraId="77C66E66" w14:textId="77777777" w:rsidR="0098531E" w:rsidRPr="00D96E64" w:rsidRDefault="0098531E" w:rsidP="0098531E">
            <w:pPr>
              <w:rPr>
                <w:rFonts w:ascii="Arial Narrow" w:hAnsi="Arial Narrow"/>
                <w:b/>
                <w:bCs/>
                <w:color w:val="333333"/>
                <w:sz w:val="20"/>
                <w:szCs w:val="20"/>
              </w:rPr>
            </w:pPr>
            <w:r w:rsidRPr="00D96E64">
              <w:rPr>
                <w:rFonts w:ascii="Arial Narrow" w:hAnsi="Arial Narrow"/>
                <w:sz w:val="20"/>
                <w:szCs w:val="20"/>
              </w:rPr>
              <w:t>The treatment must be the sole PBS-subsidised thrombopoietin receptor agonist (TRA) for this condition</w:t>
            </w:r>
          </w:p>
        </w:tc>
      </w:tr>
      <w:tr w:rsidR="0098531E" w:rsidRPr="00D96E64" w14:paraId="0BF6BF7F" w14:textId="77777777" w:rsidTr="00750019">
        <w:trPr>
          <w:trHeight w:val="49"/>
        </w:trPr>
        <w:tc>
          <w:tcPr>
            <w:tcW w:w="981" w:type="dxa"/>
            <w:gridSpan w:val="2"/>
            <w:vAlign w:val="center"/>
          </w:tcPr>
          <w:p w14:paraId="406CB8CC" w14:textId="77777777" w:rsidR="0098531E" w:rsidRPr="00D96E64" w:rsidRDefault="0098531E" w:rsidP="0098531E">
            <w:pPr>
              <w:jc w:val="center"/>
              <w:rPr>
                <w:rFonts w:ascii="Arial Narrow" w:hAnsi="Arial Narrow"/>
                <w:color w:val="333333"/>
                <w:sz w:val="20"/>
                <w:szCs w:val="20"/>
              </w:rPr>
            </w:pPr>
          </w:p>
        </w:tc>
        <w:tc>
          <w:tcPr>
            <w:tcW w:w="8086" w:type="dxa"/>
            <w:vAlign w:val="center"/>
          </w:tcPr>
          <w:p w14:paraId="25FA3CAF" w14:textId="77777777" w:rsidR="0098531E" w:rsidRPr="00D96E64" w:rsidRDefault="0098531E" w:rsidP="0098531E">
            <w:pPr>
              <w:rPr>
                <w:rFonts w:ascii="Arial Narrow" w:hAnsi="Arial Narrow"/>
                <w:b/>
                <w:bCs/>
                <w:color w:val="333333"/>
                <w:sz w:val="20"/>
                <w:szCs w:val="20"/>
              </w:rPr>
            </w:pPr>
            <w:r w:rsidRPr="00D96E64">
              <w:rPr>
                <w:rFonts w:ascii="Arial Narrow" w:hAnsi="Arial Narrow"/>
                <w:b/>
                <w:bCs/>
                <w:color w:val="333333"/>
                <w:sz w:val="20"/>
                <w:szCs w:val="20"/>
              </w:rPr>
              <w:t>AND</w:t>
            </w:r>
          </w:p>
        </w:tc>
      </w:tr>
      <w:tr w:rsidR="0098531E" w:rsidRPr="00D96E64" w14:paraId="0FEAF24C" w14:textId="77777777" w:rsidTr="00750019">
        <w:trPr>
          <w:trHeight w:val="49"/>
        </w:trPr>
        <w:tc>
          <w:tcPr>
            <w:tcW w:w="981" w:type="dxa"/>
            <w:gridSpan w:val="2"/>
            <w:vAlign w:val="center"/>
          </w:tcPr>
          <w:p w14:paraId="141D2E47" w14:textId="2F7B6C8B" w:rsidR="0098531E" w:rsidRPr="00D96E64" w:rsidRDefault="0098531E" w:rsidP="0098531E">
            <w:pPr>
              <w:jc w:val="center"/>
              <w:rPr>
                <w:rFonts w:ascii="Arial Narrow" w:hAnsi="Arial Narrow"/>
                <w:strike/>
                <w:color w:val="333333"/>
                <w:sz w:val="20"/>
                <w:szCs w:val="20"/>
              </w:rPr>
            </w:pPr>
          </w:p>
        </w:tc>
        <w:tc>
          <w:tcPr>
            <w:tcW w:w="8086" w:type="dxa"/>
            <w:vAlign w:val="center"/>
          </w:tcPr>
          <w:p w14:paraId="3E8503AE" w14:textId="77777777" w:rsidR="0098531E" w:rsidRPr="00D96E64" w:rsidRDefault="0098531E" w:rsidP="0098531E">
            <w:pPr>
              <w:rPr>
                <w:rFonts w:ascii="Arial Narrow" w:hAnsi="Arial Narrow"/>
                <w:b/>
                <w:bCs/>
                <w:color w:val="333333"/>
                <w:sz w:val="20"/>
                <w:szCs w:val="20"/>
              </w:rPr>
            </w:pPr>
            <w:r w:rsidRPr="00D96E64">
              <w:rPr>
                <w:rFonts w:ascii="Arial Narrow" w:hAnsi="Arial Narrow"/>
                <w:b/>
                <w:bCs/>
                <w:color w:val="333333"/>
                <w:sz w:val="20"/>
                <w:szCs w:val="20"/>
              </w:rPr>
              <w:t>Clinical criteria:</w:t>
            </w:r>
          </w:p>
        </w:tc>
      </w:tr>
      <w:tr w:rsidR="0098531E" w:rsidRPr="00D96E64" w14:paraId="25FF37CD" w14:textId="77777777" w:rsidTr="00750019">
        <w:trPr>
          <w:trHeight w:val="49"/>
        </w:trPr>
        <w:tc>
          <w:tcPr>
            <w:tcW w:w="981" w:type="dxa"/>
            <w:gridSpan w:val="2"/>
            <w:vAlign w:val="center"/>
          </w:tcPr>
          <w:p w14:paraId="435DF70B" w14:textId="348DE3A0" w:rsidR="0098531E" w:rsidRPr="00B638E7" w:rsidRDefault="0098531E" w:rsidP="0098531E">
            <w:pPr>
              <w:jc w:val="center"/>
              <w:rPr>
                <w:rFonts w:ascii="Arial Narrow" w:hAnsi="Arial Narrow"/>
                <w:color w:val="333333"/>
                <w:sz w:val="20"/>
                <w:szCs w:val="20"/>
              </w:rPr>
            </w:pPr>
          </w:p>
        </w:tc>
        <w:tc>
          <w:tcPr>
            <w:tcW w:w="8086" w:type="dxa"/>
            <w:vAlign w:val="center"/>
          </w:tcPr>
          <w:p w14:paraId="06DB4BFF" w14:textId="77777777" w:rsidR="0098531E" w:rsidRPr="00D96E64" w:rsidRDefault="0098531E" w:rsidP="0098531E">
            <w:pPr>
              <w:rPr>
                <w:rFonts w:ascii="Arial Narrow" w:hAnsi="Arial Narrow"/>
                <w:b/>
                <w:bCs/>
                <w:color w:val="333333"/>
                <w:sz w:val="20"/>
                <w:szCs w:val="20"/>
              </w:rPr>
            </w:pPr>
            <w:r w:rsidRPr="00D96E64">
              <w:rPr>
                <w:rFonts w:ascii="Arial Narrow" w:hAnsi="Arial Narrow"/>
                <w:sz w:val="20"/>
                <w:szCs w:val="20"/>
              </w:rPr>
              <w:t>Patient must have received insufficient therapy with this drug for this condition under the Initial treatment restriction OR</w:t>
            </w:r>
          </w:p>
        </w:tc>
      </w:tr>
      <w:tr w:rsidR="0098531E" w:rsidRPr="00D96E64" w14:paraId="319C18E9" w14:textId="77777777" w:rsidTr="00750019">
        <w:trPr>
          <w:trHeight w:val="49"/>
        </w:trPr>
        <w:tc>
          <w:tcPr>
            <w:tcW w:w="981" w:type="dxa"/>
            <w:gridSpan w:val="2"/>
            <w:vAlign w:val="center"/>
          </w:tcPr>
          <w:p w14:paraId="4B0C75DC" w14:textId="426248DE" w:rsidR="0098531E" w:rsidRPr="00B638E7" w:rsidRDefault="0098531E" w:rsidP="0098531E">
            <w:pPr>
              <w:jc w:val="center"/>
              <w:rPr>
                <w:rFonts w:ascii="Arial Narrow" w:hAnsi="Arial Narrow"/>
                <w:color w:val="333333"/>
                <w:sz w:val="20"/>
                <w:szCs w:val="20"/>
              </w:rPr>
            </w:pPr>
          </w:p>
        </w:tc>
        <w:tc>
          <w:tcPr>
            <w:tcW w:w="8086" w:type="dxa"/>
            <w:vAlign w:val="center"/>
          </w:tcPr>
          <w:p w14:paraId="38125037" w14:textId="77777777" w:rsidR="0098531E" w:rsidRPr="00D96E64" w:rsidRDefault="0098531E" w:rsidP="0098531E">
            <w:pPr>
              <w:rPr>
                <w:rFonts w:ascii="Arial Narrow" w:hAnsi="Arial Narrow"/>
                <w:b/>
                <w:bCs/>
                <w:color w:val="333333"/>
                <w:sz w:val="20"/>
                <w:szCs w:val="20"/>
              </w:rPr>
            </w:pPr>
            <w:r w:rsidRPr="00D96E64">
              <w:rPr>
                <w:rFonts w:ascii="Arial Narrow" w:hAnsi="Arial Narrow"/>
                <w:sz w:val="20"/>
                <w:szCs w:val="20"/>
              </w:rPr>
              <w:t>Patient must have received insufficient therapy with this drug for this condition under the First Continuing treatment or Re-initiation of interrupted continuing treatment restriction OR</w:t>
            </w:r>
          </w:p>
        </w:tc>
      </w:tr>
      <w:tr w:rsidR="0098531E" w:rsidRPr="00D96E64" w14:paraId="6719BA59" w14:textId="77777777" w:rsidTr="00750019">
        <w:trPr>
          <w:trHeight w:val="49"/>
        </w:trPr>
        <w:tc>
          <w:tcPr>
            <w:tcW w:w="981" w:type="dxa"/>
            <w:gridSpan w:val="2"/>
            <w:vAlign w:val="center"/>
          </w:tcPr>
          <w:p w14:paraId="4C746EB2" w14:textId="4F923B06" w:rsidR="0098531E" w:rsidRPr="00B638E7" w:rsidRDefault="0098531E" w:rsidP="0098531E">
            <w:pPr>
              <w:jc w:val="center"/>
              <w:rPr>
                <w:rFonts w:ascii="Arial Narrow" w:hAnsi="Arial Narrow"/>
                <w:color w:val="333333"/>
                <w:sz w:val="20"/>
                <w:szCs w:val="20"/>
              </w:rPr>
            </w:pPr>
          </w:p>
        </w:tc>
        <w:tc>
          <w:tcPr>
            <w:tcW w:w="8086" w:type="dxa"/>
            <w:vAlign w:val="center"/>
          </w:tcPr>
          <w:p w14:paraId="29C78A84" w14:textId="7F7D9FC8" w:rsidR="0098531E" w:rsidRPr="00D96E64" w:rsidRDefault="0098531E" w:rsidP="0098531E">
            <w:pPr>
              <w:rPr>
                <w:rFonts w:ascii="Arial Narrow" w:hAnsi="Arial Narrow"/>
                <w:b/>
                <w:bCs/>
                <w:color w:val="333333"/>
                <w:sz w:val="20"/>
                <w:szCs w:val="20"/>
              </w:rPr>
            </w:pPr>
            <w:r w:rsidRPr="00D96E64">
              <w:rPr>
                <w:rFonts w:ascii="Arial Narrow" w:hAnsi="Arial Narrow"/>
                <w:sz w:val="20"/>
                <w:szCs w:val="20"/>
              </w:rPr>
              <w:t xml:space="preserve">Patient must have received insufficient therapy with this drug for this condition under the Second and </w:t>
            </w:r>
            <w:r w:rsidR="00B82B97">
              <w:rPr>
                <w:rFonts w:ascii="Arial Narrow" w:hAnsi="Arial Narrow"/>
                <w:sz w:val="20"/>
                <w:szCs w:val="20"/>
              </w:rPr>
              <w:t>S</w:t>
            </w:r>
            <w:r w:rsidRPr="00D96E64">
              <w:rPr>
                <w:rFonts w:ascii="Arial Narrow" w:hAnsi="Arial Narrow"/>
                <w:sz w:val="20"/>
                <w:szCs w:val="20"/>
              </w:rPr>
              <w:t>ubsequent Continuing treatment restriction OR</w:t>
            </w:r>
          </w:p>
        </w:tc>
      </w:tr>
      <w:tr w:rsidR="0098531E" w:rsidRPr="00D96E64" w14:paraId="3F662D04" w14:textId="77777777" w:rsidTr="00750019">
        <w:trPr>
          <w:trHeight w:val="49"/>
        </w:trPr>
        <w:tc>
          <w:tcPr>
            <w:tcW w:w="981" w:type="dxa"/>
            <w:gridSpan w:val="2"/>
            <w:vAlign w:val="center"/>
          </w:tcPr>
          <w:p w14:paraId="610EE4B6" w14:textId="6DE5E4BF" w:rsidR="0098531E" w:rsidRPr="00D96E64" w:rsidRDefault="0098531E" w:rsidP="0098531E">
            <w:pPr>
              <w:jc w:val="center"/>
              <w:rPr>
                <w:rFonts w:ascii="Arial Narrow" w:hAnsi="Arial Narrow"/>
                <w:color w:val="333333"/>
                <w:sz w:val="20"/>
                <w:szCs w:val="20"/>
              </w:rPr>
            </w:pPr>
          </w:p>
        </w:tc>
        <w:tc>
          <w:tcPr>
            <w:tcW w:w="8086" w:type="dxa"/>
            <w:vAlign w:val="center"/>
          </w:tcPr>
          <w:p w14:paraId="1369080A" w14:textId="77777777" w:rsidR="0098531E" w:rsidRPr="00D96E64" w:rsidRDefault="0098531E" w:rsidP="0098531E">
            <w:pPr>
              <w:rPr>
                <w:rFonts w:ascii="Arial Narrow" w:hAnsi="Arial Narrow"/>
                <w:sz w:val="20"/>
                <w:szCs w:val="20"/>
              </w:rPr>
            </w:pPr>
            <w:r w:rsidRPr="00D96E64">
              <w:rPr>
                <w:rFonts w:ascii="Arial Narrow" w:hAnsi="Arial Narrow"/>
                <w:sz w:val="20"/>
                <w:szCs w:val="20"/>
              </w:rPr>
              <w:t>Patient must have received insufficient therapy with this drug for this condition under the Grandfather treatment restriction OR</w:t>
            </w:r>
          </w:p>
        </w:tc>
      </w:tr>
      <w:tr w:rsidR="0098531E" w:rsidRPr="00D96E64" w14:paraId="14AC839C" w14:textId="77777777" w:rsidTr="00750019">
        <w:trPr>
          <w:trHeight w:val="49"/>
        </w:trPr>
        <w:tc>
          <w:tcPr>
            <w:tcW w:w="981" w:type="dxa"/>
            <w:gridSpan w:val="2"/>
            <w:vAlign w:val="center"/>
          </w:tcPr>
          <w:p w14:paraId="4DD9D3EF" w14:textId="411B6E5E" w:rsidR="0098531E" w:rsidRPr="00D96E64" w:rsidRDefault="0098531E" w:rsidP="0098531E">
            <w:pPr>
              <w:jc w:val="center"/>
              <w:rPr>
                <w:rFonts w:ascii="Arial Narrow" w:hAnsi="Arial Narrow"/>
                <w:color w:val="333333"/>
                <w:sz w:val="20"/>
                <w:szCs w:val="20"/>
              </w:rPr>
            </w:pPr>
          </w:p>
        </w:tc>
        <w:tc>
          <w:tcPr>
            <w:tcW w:w="8086" w:type="dxa"/>
            <w:vAlign w:val="center"/>
          </w:tcPr>
          <w:p w14:paraId="38A45DBA" w14:textId="77777777" w:rsidR="0098531E" w:rsidRPr="00D96E64" w:rsidRDefault="0098531E" w:rsidP="0098531E">
            <w:pPr>
              <w:rPr>
                <w:rFonts w:ascii="Arial Narrow" w:hAnsi="Arial Narrow"/>
                <w:sz w:val="20"/>
                <w:szCs w:val="20"/>
              </w:rPr>
            </w:pPr>
            <w:r w:rsidRPr="00D96E64">
              <w:rPr>
                <w:rFonts w:ascii="Arial Narrow" w:hAnsi="Arial Narrow"/>
                <w:sz w:val="20"/>
                <w:szCs w:val="20"/>
              </w:rPr>
              <w:t>Patient must be swapping therapy from romiplostim or eltrombopag to this drug for this condition</w:t>
            </w:r>
          </w:p>
        </w:tc>
      </w:tr>
      <w:tr w:rsidR="0098531E" w:rsidRPr="00D96E64" w14:paraId="20BDD2E6" w14:textId="77777777" w:rsidTr="00750019">
        <w:tc>
          <w:tcPr>
            <w:tcW w:w="981" w:type="dxa"/>
            <w:gridSpan w:val="2"/>
            <w:vAlign w:val="center"/>
          </w:tcPr>
          <w:p w14:paraId="3941C5BF" w14:textId="77777777" w:rsidR="0098531E" w:rsidRPr="00D96E64" w:rsidRDefault="0098531E" w:rsidP="0098531E">
            <w:pPr>
              <w:jc w:val="center"/>
              <w:rPr>
                <w:rFonts w:ascii="Arial Narrow" w:hAnsi="Arial Narrow"/>
                <w:color w:val="333333"/>
                <w:sz w:val="20"/>
                <w:szCs w:val="20"/>
              </w:rPr>
            </w:pPr>
          </w:p>
        </w:tc>
        <w:tc>
          <w:tcPr>
            <w:tcW w:w="8086" w:type="dxa"/>
            <w:vAlign w:val="center"/>
          </w:tcPr>
          <w:p w14:paraId="2B4C1491" w14:textId="77777777" w:rsidR="0098531E" w:rsidRPr="00D96E64" w:rsidRDefault="0098531E" w:rsidP="0098531E">
            <w:pPr>
              <w:rPr>
                <w:rFonts w:ascii="Arial Narrow" w:hAnsi="Arial Narrow"/>
                <w:b/>
                <w:bCs/>
                <w:strike/>
                <w:color w:val="333333"/>
                <w:sz w:val="20"/>
                <w:szCs w:val="20"/>
              </w:rPr>
            </w:pPr>
            <w:r w:rsidRPr="00D96E64">
              <w:rPr>
                <w:rFonts w:ascii="Arial Narrow" w:hAnsi="Arial Narrow"/>
                <w:b/>
                <w:bCs/>
                <w:sz w:val="20"/>
                <w:szCs w:val="20"/>
              </w:rPr>
              <w:t>AND</w:t>
            </w:r>
          </w:p>
        </w:tc>
      </w:tr>
      <w:tr w:rsidR="0098531E" w:rsidRPr="00D96E64" w14:paraId="787A16F8" w14:textId="77777777" w:rsidTr="00750019">
        <w:tc>
          <w:tcPr>
            <w:tcW w:w="981" w:type="dxa"/>
            <w:gridSpan w:val="2"/>
            <w:vAlign w:val="center"/>
          </w:tcPr>
          <w:p w14:paraId="2D507B53" w14:textId="77777777" w:rsidR="0098531E" w:rsidRPr="00D96E64" w:rsidRDefault="0098531E" w:rsidP="0098531E">
            <w:pPr>
              <w:jc w:val="center"/>
              <w:rPr>
                <w:rFonts w:ascii="Arial Narrow" w:hAnsi="Arial Narrow"/>
                <w:color w:val="333333"/>
                <w:sz w:val="20"/>
                <w:szCs w:val="20"/>
              </w:rPr>
            </w:pPr>
          </w:p>
        </w:tc>
        <w:tc>
          <w:tcPr>
            <w:tcW w:w="8086" w:type="dxa"/>
            <w:vAlign w:val="center"/>
          </w:tcPr>
          <w:p w14:paraId="0397FAB8" w14:textId="77777777" w:rsidR="0098531E" w:rsidRPr="00D96E64" w:rsidRDefault="0098531E" w:rsidP="0098531E">
            <w:pPr>
              <w:rPr>
                <w:rFonts w:ascii="Arial Narrow" w:hAnsi="Arial Narrow"/>
                <w:b/>
                <w:bCs/>
                <w:sz w:val="20"/>
                <w:szCs w:val="20"/>
              </w:rPr>
            </w:pPr>
            <w:r w:rsidRPr="00D96E64">
              <w:rPr>
                <w:rFonts w:ascii="Arial Narrow" w:hAnsi="Arial Narrow"/>
                <w:b/>
                <w:bCs/>
                <w:sz w:val="20"/>
                <w:szCs w:val="20"/>
              </w:rPr>
              <w:t>Clinical criteria:</w:t>
            </w:r>
          </w:p>
        </w:tc>
      </w:tr>
      <w:tr w:rsidR="0098531E" w:rsidRPr="00D96E64" w14:paraId="3BC821A1" w14:textId="77777777" w:rsidTr="00750019">
        <w:tc>
          <w:tcPr>
            <w:tcW w:w="981" w:type="dxa"/>
            <w:gridSpan w:val="2"/>
            <w:vAlign w:val="center"/>
          </w:tcPr>
          <w:p w14:paraId="7ED015C9" w14:textId="5465E5E9" w:rsidR="0098531E" w:rsidRPr="00CC15E3" w:rsidRDefault="0098531E" w:rsidP="0098531E">
            <w:pPr>
              <w:jc w:val="center"/>
              <w:rPr>
                <w:rFonts w:ascii="Arial Narrow" w:hAnsi="Arial Narrow"/>
                <w:color w:val="333333"/>
                <w:sz w:val="20"/>
                <w:szCs w:val="20"/>
              </w:rPr>
            </w:pPr>
          </w:p>
        </w:tc>
        <w:tc>
          <w:tcPr>
            <w:tcW w:w="8086" w:type="dxa"/>
            <w:vAlign w:val="center"/>
          </w:tcPr>
          <w:p w14:paraId="0FE0BD3A" w14:textId="77777777" w:rsidR="0098531E" w:rsidRPr="00CC15E3" w:rsidRDefault="0098531E" w:rsidP="0098531E">
            <w:pPr>
              <w:rPr>
                <w:rFonts w:ascii="Arial Narrow" w:hAnsi="Arial Narrow"/>
                <w:sz w:val="20"/>
                <w:szCs w:val="20"/>
              </w:rPr>
            </w:pPr>
            <w:r w:rsidRPr="00CC15E3">
              <w:rPr>
                <w:rFonts w:ascii="Arial Narrow" w:hAnsi="Arial Narrow"/>
                <w:sz w:val="20"/>
                <w:szCs w:val="20"/>
              </w:rPr>
              <w:t>The treatment must provide no more than the balance of up to 24 weeks of treatment under this restriction.</w:t>
            </w:r>
          </w:p>
        </w:tc>
      </w:tr>
      <w:tr w:rsidR="0098531E" w:rsidRPr="00D96E64" w14:paraId="454B6E38" w14:textId="77777777" w:rsidTr="00750019">
        <w:tc>
          <w:tcPr>
            <w:tcW w:w="981" w:type="dxa"/>
            <w:gridSpan w:val="2"/>
            <w:vAlign w:val="center"/>
          </w:tcPr>
          <w:p w14:paraId="7AA45005" w14:textId="6F1E7FA0" w:rsidR="0098531E" w:rsidRPr="00D96E64" w:rsidRDefault="0098531E" w:rsidP="0098531E">
            <w:pPr>
              <w:jc w:val="center"/>
              <w:rPr>
                <w:rFonts w:ascii="Arial Narrow" w:hAnsi="Arial Narrow"/>
                <w:color w:val="333333"/>
                <w:sz w:val="20"/>
                <w:szCs w:val="20"/>
              </w:rPr>
            </w:pPr>
          </w:p>
        </w:tc>
        <w:tc>
          <w:tcPr>
            <w:tcW w:w="8086" w:type="dxa"/>
            <w:vAlign w:val="center"/>
          </w:tcPr>
          <w:p w14:paraId="0C9EDB30" w14:textId="77777777" w:rsidR="0098531E" w:rsidRPr="00D96E64" w:rsidRDefault="0098531E" w:rsidP="0098531E">
            <w:pPr>
              <w:rPr>
                <w:rFonts w:ascii="Arial Narrow" w:hAnsi="Arial Narrow"/>
                <w:b/>
                <w:bCs/>
                <w:strike/>
                <w:color w:val="333333"/>
                <w:sz w:val="20"/>
                <w:szCs w:val="20"/>
              </w:rPr>
            </w:pPr>
            <w:r w:rsidRPr="00D96E64">
              <w:rPr>
                <w:rFonts w:ascii="Arial Narrow" w:hAnsi="Arial Narrow"/>
                <w:b/>
                <w:bCs/>
                <w:color w:val="333333"/>
                <w:sz w:val="20"/>
                <w:szCs w:val="20"/>
              </w:rPr>
              <w:t>Administrative Advice:</w:t>
            </w:r>
            <w:r w:rsidRPr="00D96E64">
              <w:rPr>
                <w:rFonts w:ascii="Arial Narrow" w:hAnsi="Arial Narrow"/>
                <w:sz w:val="20"/>
                <w:szCs w:val="20"/>
              </w:rPr>
              <w:t xml:space="preserve"> Applications for authorisation under this restriction may be made in real time using the Online PBS Authorities system (see </w:t>
            </w:r>
            <w:r w:rsidRPr="00D96E64">
              <w:rPr>
                <w:rFonts w:ascii="Arial Narrow" w:hAnsi="Arial Narrow"/>
                <w:b/>
                <w:bCs/>
                <w:sz w:val="20"/>
                <w:szCs w:val="20"/>
              </w:rPr>
              <w:t>www</w:t>
            </w:r>
            <w:r w:rsidRPr="00D96E64">
              <w:rPr>
                <w:rFonts w:ascii="Arial Narrow" w:hAnsi="Arial Narrow"/>
                <w:sz w:val="20"/>
                <w:szCs w:val="20"/>
              </w:rPr>
              <w:t>.servicesaustralia.gov.au/HPOS) or by telephone by contacting Services Australia on 1800 700 270 (hours of operation 8 a.m. to 5 p.m. Monday to Friday).</w:t>
            </w:r>
          </w:p>
        </w:tc>
      </w:tr>
    </w:tbl>
    <w:p w14:paraId="60DC5BB3" w14:textId="77777777" w:rsidR="002E4972" w:rsidRPr="00D96E64" w:rsidRDefault="002E4972" w:rsidP="0051694B">
      <w:pPr>
        <w:jc w:val="left"/>
        <w:rPr>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0"/>
        <w:gridCol w:w="491"/>
        <w:gridCol w:w="8086"/>
      </w:tblGrid>
      <w:tr w:rsidR="002E4972" w:rsidRPr="00D96E64" w14:paraId="43412A5C" w14:textId="77777777" w:rsidTr="00750019">
        <w:tc>
          <w:tcPr>
            <w:tcW w:w="9067" w:type="dxa"/>
            <w:gridSpan w:val="3"/>
            <w:vAlign w:val="center"/>
          </w:tcPr>
          <w:p w14:paraId="1831A2D9"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color w:val="333333"/>
                <w:sz w:val="20"/>
                <w:szCs w:val="20"/>
              </w:rPr>
              <w:t xml:space="preserve">Restriction Summary [new] / Treatment of Concept: [new]  </w:t>
            </w:r>
          </w:p>
        </w:tc>
      </w:tr>
      <w:tr w:rsidR="002E4972" w:rsidRPr="00D96E64" w14:paraId="32F7D11C" w14:textId="77777777" w:rsidTr="00750019">
        <w:tc>
          <w:tcPr>
            <w:tcW w:w="981" w:type="dxa"/>
            <w:gridSpan w:val="2"/>
            <w:vMerge w:val="restart"/>
          </w:tcPr>
          <w:p w14:paraId="3602E8DC" w14:textId="77777777" w:rsidR="002E4972" w:rsidRPr="00D96E64" w:rsidRDefault="002E4972" w:rsidP="00750019">
            <w:pPr>
              <w:jc w:val="center"/>
              <w:rPr>
                <w:rFonts w:ascii="Arial Narrow" w:hAnsi="Arial Narrow"/>
                <w:b/>
                <w:sz w:val="20"/>
                <w:szCs w:val="20"/>
              </w:rPr>
            </w:pPr>
            <w:r w:rsidRPr="00D96E64">
              <w:rPr>
                <w:rFonts w:ascii="Arial Narrow" w:hAnsi="Arial Narrow"/>
                <w:b/>
                <w:sz w:val="20"/>
                <w:szCs w:val="20"/>
              </w:rPr>
              <w:t>Concept ID</w:t>
            </w:r>
          </w:p>
          <w:p w14:paraId="6A8DE03B" w14:textId="77777777" w:rsidR="002E4972" w:rsidRPr="00D96E64" w:rsidRDefault="002E4972" w:rsidP="00750019">
            <w:pPr>
              <w:jc w:val="center"/>
              <w:rPr>
                <w:rFonts w:ascii="Arial Narrow" w:hAnsi="Arial Narrow"/>
                <w:b/>
                <w:bCs/>
                <w:color w:val="333333"/>
                <w:sz w:val="20"/>
                <w:szCs w:val="20"/>
              </w:rPr>
            </w:pPr>
            <w:r w:rsidRPr="00D96E64">
              <w:rPr>
                <w:rFonts w:ascii="Arial Narrow" w:hAnsi="Arial Narrow"/>
                <w:sz w:val="20"/>
                <w:szCs w:val="20"/>
              </w:rPr>
              <w:t>(for internal Dept. use)</w:t>
            </w:r>
          </w:p>
        </w:tc>
        <w:tc>
          <w:tcPr>
            <w:tcW w:w="8086" w:type="dxa"/>
          </w:tcPr>
          <w:p w14:paraId="5FE017A4" w14:textId="77777777" w:rsidR="002E4972" w:rsidRPr="00D96E64" w:rsidRDefault="002E4972" w:rsidP="00750019">
            <w:pPr>
              <w:rPr>
                <w:rFonts w:ascii="Arial Narrow" w:hAnsi="Arial Narrow"/>
                <w:b/>
                <w:bCs/>
                <w:color w:val="333333"/>
                <w:sz w:val="20"/>
                <w:szCs w:val="20"/>
              </w:rPr>
            </w:pPr>
            <w:r w:rsidRPr="00D96E64">
              <w:rPr>
                <w:rFonts w:ascii="Arial Narrow" w:hAnsi="Arial Narrow"/>
                <w:b/>
                <w:sz w:val="20"/>
                <w:szCs w:val="20"/>
              </w:rPr>
              <w:t xml:space="preserve">Category / Program: </w:t>
            </w:r>
            <w:r w:rsidRPr="00D96E64">
              <w:rPr>
                <w:rFonts w:ascii="Arial Narrow" w:hAnsi="Arial Narrow"/>
                <w:sz w:val="20"/>
                <w:szCs w:val="20"/>
              </w:rPr>
              <w:t xml:space="preserve">Section 100 – Highly Specialised Drugs Program  </w:t>
            </w:r>
          </w:p>
        </w:tc>
      </w:tr>
      <w:tr w:rsidR="002E4972" w:rsidRPr="00D96E64" w14:paraId="1C5D1537" w14:textId="77777777" w:rsidTr="00750019">
        <w:tc>
          <w:tcPr>
            <w:tcW w:w="981" w:type="dxa"/>
            <w:gridSpan w:val="2"/>
            <w:vMerge/>
          </w:tcPr>
          <w:p w14:paraId="681DF38A" w14:textId="77777777" w:rsidR="002E4972" w:rsidRPr="00D96E64" w:rsidRDefault="002E4972" w:rsidP="00750019">
            <w:pPr>
              <w:jc w:val="center"/>
              <w:rPr>
                <w:rFonts w:ascii="Arial Narrow" w:hAnsi="Arial Narrow"/>
                <w:b/>
                <w:sz w:val="20"/>
                <w:szCs w:val="20"/>
              </w:rPr>
            </w:pPr>
          </w:p>
        </w:tc>
        <w:tc>
          <w:tcPr>
            <w:tcW w:w="8086" w:type="dxa"/>
          </w:tcPr>
          <w:p w14:paraId="6014E333" w14:textId="77777777" w:rsidR="002E4972" w:rsidRPr="00D96E64" w:rsidRDefault="002E4972" w:rsidP="00750019">
            <w:pPr>
              <w:rPr>
                <w:rFonts w:ascii="Arial Narrow" w:hAnsi="Arial Narrow"/>
                <w:b/>
                <w:sz w:val="20"/>
                <w:szCs w:val="20"/>
              </w:rPr>
            </w:pPr>
            <w:r w:rsidRPr="00D96E64">
              <w:rPr>
                <w:rFonts w:ascii="Arial Narrow" w:hAnsi="Arial Narrow"/>
                <w:b/>
                <w:sz w:val="20"/>
                <w:szCs w:val="20"/>
              </w:rPr>
              <w:t>Prescriber type:</w:t>
            </w:r>
            <w:r w:rsidRPr="00D96E64">
              <w:rPr>
                <w:rFonts w:ascii="Arial Narrow" w:hAnsi="Arial Narrow"/>
                <w:sz w:val="20"/>
                <w:szCs w:val="20"/>
              </w:rPr>
              <w:t xml:space="preserve"> </w:t>
            </w:r>
            <w:r w:rsidRPr="00D96E64">
              <w:rPr>
                <w:rFonts w:ascii="Arial Narrow" w:hAnsi="Arial Narrow"/>
                <w:sz w:val="20"/>
                <w:szCs w:val="20"/>
              </w:rPr>
              <w:fldChar w:fldCharType="begin" w:fldLock="1">
                <w:ffData>
                  <w:name w:val=""/>
                  <w:enabled/>
                  <w:calcOnExit w:val="0"/>
                  <w:checkBox>
                    <w:sizeAuto/>
                    <w:default w:val="1"/>
                  </w:checkBox>
                </w:ffData>
              </w:fldChar>
            </w:r>
            <w:r w:rsidRPr="00D96E64">
              <w:rPr>
                <w:rFonts w:ascii="Arial Narrow" w:hAnsi="Arial Narrow"/>
                <w:sz w:val="20"/>
                <w:szCs w:val="20"/>
              </w:rPr>
              <w:instrText xml:space="preserve"> FORMCHECKBOX </w:instrText>
            </w:r>
            <w:r w:rsidR="0026219D">
              <w:rPr>
                <w:rFonts w:ascii="Arial Narrow" w:hAnsi="Arial Narrow"/>
                <w:sz w:val="20"/>
                <w:szCs w:val="20"/>
              </w:rPr>
            </w:r>
            <w:r w:rsidR="0026219D">
              <w:rPr>
                <w:rFonts w:ascii="Arial Narrow" w:hAnsi="Arial Narrow"/>
                <w:sz w:val="20"/>
                <w:szCs w:val="20"/>
              </w:rPr>
              <w:fldChar w:fldCharType="separate"/>
            </w:r>
            <w:r w:rsidRPr="00D96E64">
              <w:rPr>
                <w:rFonts w:ascii="Arial Narrow" w:hAnsi="Arial Narrow"/>
                <w:sz w:val="20"/>
                <w:szCs w:val="20"/>
              </w:rPr>
              <w:fldChar w:fldCharType="end"/>
            </w:r>
            <w:r w:rsidRPr="00D96E64">
              <w:rPr>
                <w:rFonts w:ascii="Arial Narrow" w:hAnsi="Arial Narrow"/>
                <w:sz w:val="20"/>
                <w:szCs w:val="20"/>
              </w:rPr>
              <w:t xml:space="preserve">Medical Practitioners   </w:t>
            </w:r>
          </w:p>
        </w:tc>
      </w:tr>
      <w:tr w:rsidR="002E4972" w:rsidRPr="00D96E64" w14:paraId="21DA9C9D" w14:textId="77777777" w:rsidTr="00750019">
        <w:tc>
          <w:tcPr>
            <w:tcW w:w="981" w:type="dxa"/>
            <w:gridSpan w:val="2"/>
            <w:vMerge/>
          </w:tcPr>
          <w:p w14:paraId="3A0391DC" w14:textId="77777777" w:rsidR="002E4972" w:rsidRPr="00D96E64" w:rsidRDefault="002E4972" w:rsidP="00750019">
            <w:pPr>
              <w:jc w:val="center"/>
              <w:rPr>
                <w:rFonts w:ascii="Arial Narrow" w:hAnsi="Arial Narrow"/>
                <w:b/>
                <w:sz w:val="20"/>
                <w:szCs w:val="20"/>
              </w:rPr>
            </w:pPr>
          </w:p>
        </w:tc>
        <w:tc>
          <w:tcPr>
            <w:tcW w:w="8086" w:type="dxa"/>
          </w:tcPr>
          <w:p w14:paraId="35FF6536" w14:textId="49A61604" w:rsidR="002E4972" w:rsidRPr="00D96E64" w:rsidRDefault="002E4972" w:rsidP="00750019">
            <w:pPr>
              <w:rPr>
                <w:rFonts w:ascii="Arial Narrow" w:hAnsi="Arial Narrow"/>
                <w:b/>
                <w:sz w:val="20"/>
                <w:szCs w:val="20"/>
              </w:rPr>
            </w:pPr>
            <w:r w:rsidRPr="00D96E64">
              <w:rPr>
                <w:rFonts w:ascii="Arial Narrow" w:hAnsi="Arial Narrow"/>
                <w:b/>
                <w:sz w:val="20"/>
                <w:szCs w:val="20"/>
              </w:rPr>
              <w:t xml:space="preserve">Restriction type: </w:t>
            </w:r>
            <w:r w:rsidRPr="00D96E64">
              <w:rPr>
                <w:rFonts w:ascii="Arial Narrow" w:eastAsia="Calibri" w:hAnsi="Arial Narrow"/>
                <w:sz w:val="20"/>
                <w:szCs w:val="20"/>
              </w:rPr>
              <w:fldChar w:fldCharType="begin" w:fldLock="1">
                <w:ffData>
                  <w:name w:val=""/>
                  <w:enabled/>
                  <w:calcOnExit w:val="0"/>
                  <w:checkBox>
                    <w:sizeAuto/>
                    <w:default w:val="1"/>
                  </w:checkBox>
                </w:ffData>
              </w:fldChar>
            </w:r>
            <w:r w:rsidRPr="00D96E64">
              <w:rPr>
                <w:rFonts w:ascii="Arial Narrow" w:eastAsia="Calibri" w:hAnsi="Arial Narrow"/>
                <w:sz w:val="20"/>
                <w:szCs w:val="20"/>
              </w:rPr>
              <w:instrText xml:space="preserve"> FORMCHECKBOX </w:instrText>
            </w:r>
            <w:r w:rsidR="0026219D">
              <w:rPr>
                <w:rFonts w:ascii="Arial Narrow" w:eastAsia="Calibri" w:hAnsi="Arial Narrow"/>
                <w:sz w:val="20"/>
                <w:szCs w:val="20"/>
              </w:rPr>
            </w:r>
            <w:r w:rsidR="0026219D">
              <w:rPr>
                <w:rFonts w:ascii="Arial Narrow" w:eastAsia="Calibri" w:hAnsi="Arial Narrow"/>
                <w:sz w:val="20"/>
                <w:szCs w:val="20"/>
              </w:rPr>
              <w:fldChar w:fldCharType="separate"/>
            </w:r>
            <w:r w:rsidRPr="00D96E64">
              <w:rPr>
                <w:rFonts w:ascii="Arial Narrow" w:eastAsia="Calibri" w:hAnsi="Arial Narrow"/>
                <w:sz w:val="20"/>
                <w:szCs w:val="20"/>
              </w:rPr>
              <w:fldChar w:fldCharType="end"/>
            </w:r>
            <w:r w:rsidRPr="00D96E64">
              <w:rPr>
                <w:rFonts w:ascii="Arial Narrow" w:eastAsia="Calibri" w:hAnsi="Arial Narrow"/>
                <w:sz w:val="20"/>
                <w:szCs w:val="20"/>
              </w:rPr>
              <w:t>Authority Required – (in writing - legacy) - Postal/HPOS upload</w:t>
            </w:r>
          </w:p>
        </w:tc>
      </w:tr>
      <w:tr w:rsidR="00F87F86" w:rsidRPr="00D96E64" w14:paraId="7B33302D" w14:textId="77777777" w:rsidTr="00CC15E3">
        <w:tc>
          <w:tcPr>
            <w:tcW w:w="490" w:type="dxa"/>
            <w:vMerge w:val="restart"/>
            <w:vAlign w:val="center"/>
          </w:tcPr>
          <w:p w14:paraId="4C8EB395" w14:textId="768D05F4" w:rsidR="00F87F86" w:rsidRPr="00D96E64" w:rsidRDefault="00F87F86" w:rsidP="00F87F86">
            <w:pPr>
              <w:jc w:val="center"/>
              <w:rPr>
                <w:rFonts w:ascii="Arial Narrow" w:hAnsi="Arial Narrow"/>
                <w:b/>
                <w:sz w:val="20"/>
                <w:szCs w:val="20"/>
              </w:rPr>
            </w:pPr>
          </w:p>
        </w:tc>
        <w:tc>
          <w:tcPr>
            <w:tcW w:w="491" w:type="dxa"/>
            <w:vAlign w:val="center"/>
          </w:tcPr>
          <w:p w14:paraId="7F5D9CB7" w14:textId="1B2A4932" w:rsidR="00F87F86" w:rsidRPr="00D96E64" w:rsidRDefault="00F87F86" w:rsidP="00F87F86">
            <w:pPr>
              <w:jc w:val="center"/>
              <w:rPr>
                <w:rFonts w:ascii="Arial Narrow" w:hAnsi="Arial Narrow"/>
                <w:b/>
                <w:sz w:val="20"/>
                <w:szCs w:val="20"/>
              </w:rPr>
            </w:pPr>
          </w:p>
        </w:tc>
        <w:tc>
          <w:tcPr>
            <w:tcW w:w="8086" w:type="dxa"/>
            <w:vAlign w:val="center"/>
          </w:tcPr>
          <w:p w14:paraId="455223C6" w14:textId="503FE9F4" w:rsidR="00F87F86" w:rsidRPr="00CC15E3" w:rsidRDefault="00F87F86" w:rsidP="00F87F86">
            <w:pPr>
              <w:rPr>
                <w:rFonts w:ascii="Arial Narrow" w:hAnsi="Arial Narrow"/>
                <w:b/>
                <w:sz w:val="20"/>
                <w:szCs w:val="20"/>
              </w:rPr>
            </w:pPr>
            <w:r w:rsidRPr="00CC15E3">
              <w:rPr>
                <w:rFonts w:ascii="Arial Narrow" w:hAnsi="Arial Narrow"/>
                <w:b/>
                <w:bCs/>
                <w:color w:val="333333"/>
                <w:sz w:val="20"/>
                <w:szCs w:val="20"/>
              </w:rPr>
              <w:t>Administrative Advice:</w:t>
            </w:r>
            <w:r w:rsidRPr="00CC15E3">
              <w:rPr>
                <w:sz w:val="20"/>
                <w:szCs w:val="20"/>
              </w:rPr>
              <w:t xml:space="preserve"> </w:t>
            </w:r>
            <w:r w:rsidRPr="00CC15E3">
              <w:rPr>
                <w:rFonts w:ascii="Arial Narrow" w:hAnsi="Arial Narrow"/>
                <w:sz w:val="20"/>
                <w:szCs w:val="20"/>
              </w:rPr>
              <w:t>No increase in the maximum number of repeats may be authorised.</w:t>
            </w:r>
          </w:p>
        </w:tc>
      </w:tr>
      <w:tr w:rsidR="00F87F86" w:rsidRPr="00D96E64" w14:paraId="5115058C" w14:textId="77777777" w:rsidTr="00CC15E3">
        <w:tc>
          <w:tcPr>
            <w:tcW w:w="490" w:type="dxa"/>
            <w:vMerge/>
            <w:vAlign w:val="center"/>
          </w:tcPr>
          <w:p w14:paraId="58DB3F8D" w14:textId="77777777" w:rsidR="00F87F86" w:rsidRPr="00D96E64" w:rsidRDefault="00F87F86" w:rsidP="00F87F86">
            <w:pPr>
              <w:jc w:val="center"/>
              <w:rPr>
                <w:rFonts w:ascii="Arial Narrow" w:hAnsi="Arial Narrow"/>
                <w:b/>
                <w:sz w:val="20"/>
                <w:szCs w:val="20"/>
              </w:rPr>
            </w:pPr>
          </w:p>
        </w:tc>
        <w:tc>
          <w:tcPr>
            <w:tcW w:w="491" w:type="dxa"/>
            <w:vAlign w:val="center"/>
          </w:tcPr>
          <w:p w14:paraId="6DF77132" w14:textId="4046C57A" w:rsidR="00F87F86" w:rsidRPr="00D96E64" w:rsidRDefault="00F87F86" w:rsidP="00F87F86">
            <w:pPr>
              <w:jc w:val="center"/>
              <w:rPr>
                <w:rFonts w:ascii="Arial Narrow" w:hAnsi="Arial Narrow"/>
                <w:b/>
                <w:sz w:val="20"/>
                <w:szCs w:val="20"/>
              </w:rPr>
            </w:pPr>
          </w:p>
        </w:tc>
        <w:tc>
          <w:tcPr>
            <w:tcW w:w="8086" w:type="dxa"/>
            <w:vAlign w:val="center"/>
          </w:tcPr>
          <w:p w14:paraId="48BE8C31" w14:textId="5D7CCB43" w:rsidR="00F87F86" w:rsidRPr="00CC15E3" w:rsidRDefault="00F87F86" w:rsidP="00F87F86">
            <w:pPr>
              <w:rPr>
                <w:rFonts w:ascii="Arial Narrow" w:hAnsi="Arial Narrow"/>
                <w:b/>
                <w:sz w:val="20"/>
                <w:szCs w:val="20"/>
              </w:rPr>
            </w:pPr>
            <w:r w:rsidRPr="00CC15E3">
              <w:rPr>
                <w:rFonts w:ascii="Arial Narrow" w:hAnsi="Arial Narrow"/>
                <w:b/>
                <w:bCs/>
                <w:color w:val="333333"/>
                <w:sz w:val="20"/>
                <w:szCs w:val="20"/>
              </w:rPr>
              <w:t>Administrative Advice:</w:t>
            </w:r>
            <w:r w:rsidRPr="00CC15E3">
              <w:rPr>
                <w:sz w:val="20"/>
                <w:szCs w:val="20"/>
              </w:rPr>
              <w:t xml:space="preserve"> </w:t>
            </w:r>
            <w:r w:rsidRPr="00CC15E3">
              <w:rPr>
                <w:rFonts w:ascii="Arial Narrow" w:hAnsi="Arial Narrow"/>
                <w:sz w:val="20"/>
                <w:szCs w:val="20"/>
              </w:rPr>
              <w:t>Special Pricing Arrangements apply.</w:t>
            </w:r>
          </w:p>
        </w:tc>
      </w:tr>
      <w:tr w:rsidR="002E4972" w:rsidRPr="00D96E64" w14:paraId="2F8C6012" w14:textId="77777777" w:rsidTr="00750019">
        <w:tc>
          <w:tcPr>
            <w:tcW w:w="981" w:type="dxa"/>
            <w:gridSpan w:val="2"/>
            <w:vAlign w:val="center"/>
          </w:tcPr>
          <w:p w14:paraId="5AB6FE43" w14:textId="7612A9A4" w:rsidR="002E4972" w:rsidRPr="00D96E64" w:rsidRDefault="002E4972" w:rsidP="00750019">
            <w:pPr>
              <w:jc w:val="center"/>
              <w:rPr>
                <w:rFonts w:ascii="Arial Narrow" w:hAnsi="Arial Narrow"/>
                <w:b/>
                <w:sz w:val="20"/>
                <w:szCs w:val="20"/>
              </w:rPr>
            </w:pPr>
          </w:p>
        </w:tc>
        <w:tc>
          <w:tcPr>
            <w:tcW w:w="8086" w:type="dxa"/>
            <w:vAlign w:val="center"/>
          </w:tcPr>
          <w:p w14:paraId="39453844" w14:textId="77777777" w:rsidR="002E4972" w:rsidRPr="00D96E64" w:rsidRDefault="002E4972" w:rsidP="00750019">
            <w:pPr>
              <w:rPr>
                <w:rFonts w:ascii="Arial Narrow" w:hAnsi="Arial Narrow"/>
                <w:b/>
                <w:sz w:val="20"/>
                <w:szCs w:val="20"/>
              </w:rPr>
            </w:pPr>
            <w:r w:rsidRPr="00D96E64">
              <w:rPr>
                <w:rFonts w:ascii="Arial Narrow" w:hAnsi="Arial Narrow"/>
                <w:b/>
                <w:bCs/>
                <w:color w:val="333333"/>
                <w:sz w:val="20"/>
                <w:szCs w:val="20"/>
              </w:rPr>
              <w:t>Indication:</w:t>
            </w:r>
            <w:r w:rsidRPr="00D96E64">
              <w:rPr>
                <w:rFonts w:ascii="Arial Narrow" w:hAnsi="Arial Narrow"/>
                <w:color w:val="333333"/>
                <w:sz w:val="20"/>
                <w:szCs w:val="20"/>
              </w:rPr>
              <w:t xml:space="preserve"> Severe thrombocytopenia</w:t>
            </w:r>
          </w:p>
        </w:tc>
      </w:tr>
      <w:tr w:rsidR="002E4972" w:rsidRPr="00D96E64" w14:paraId="40A269A0" w14:textId="77777777" w:rsidTr="00750019">
        <w:tc>
          <w:tcPr>
            <w:tcW w:w="981" w:type="dxa"/>
            <w:gridSpan w:val="2"/>
            <w:vAlign w:val="center"/>
          </w:tcPr>
          <w:p w14:paraId="374E6470" w14:textId="77777777" w:rsidR="002E4972" w:rsidRPr="00D96E64" w:rsidRDefault="002E4972" w:rsidP="00750019">
            <w:pPr>
              <w:jc w:val="center"/>
              <w:rPr>
                <w:rFonts w:ascii="Arial Narrow" w:hAnsi="Arial Narrow"/>
                <w:color w:val="333333"/>
                <w:sz w:val="20"/>
                <w:szCs w:val="20"/>
              </w:rPr>
            </w:pPr>
          </w:p>
        </w:tc>
        <w:tc>
          <w:tcPr>
            <w:tcW w:w="8086" w:type="dxa"/>
            <w:vAlign w:val="center"/>
          </w:tcPr>
          <w:p w14:paraId="556FE49E"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sz w:val="20"/>
                <w:szCs w:val="20"/>
              </w:rPr>
              <w:t>Treatment Phase:</w:t>
            </w:r>
            <w:r w:rsidRPr="00D96E64">
              <w:rPr>
                <w:rFonts w:ascii="Arial Narrow" w:hAnsi="Arial Narrow"/>
                <w:sz w:val="20"/>
                <w:szCs w:val="20"/>
              </w:rPr>
              <w:t xml:space="preserve"> Grandfather treatment  </w:t>
            </w:r>
          </w:p>
        </w:tc>
      </w:tr>
      <w:tr w:rsidR="002E4972" w:rsidRPr="00D96E64" w14:paraId="7923D2B8" w14:textId="77777777" w:rsidTr="00750019">
        <w:tc>
          <w:tcPr>
            <w:tcW w:w="981" w:type="dxa"/>
            <w:gridSpan w:val="2"/>
            <w:vAlign w:val="center"/>
          </w:tcPr>
          <w:p w14:paraId="31BAEC01" w14:textId="4502EDFE" w:rsidR="002E4972" w:rsidRPr="00D96E64" w:rsidRDefault="002E4972" w:rsidP="00750019">
            <w:pPr>
              <w:jc w:val="center"/>
              <w:rPr>
                <w:rFonts w:ascii="Arial Narrow" w:hAnsi="Arial Narrow"/>
                <w:color w:val="333333"/>
                <w:sz w:val="20"/>
                <w:szCs w:val="20"/>
              </w:rPr>
            </w:pPr>
          </w:p>
        </w:tc>
        <w:tc>
          <w:tcPr>
            <w:tcW w:w="8086" w:type="dxa"/>
            <w:vAlign w:val="center"/>
          </w:tcPr>
          <w:p w14:paraId="6AFCA3C6" w14:textId="77777777" w:rsidR="002E4972" w:rsidRPr="00D96E64" w:rsidRDefault="002E4972" w:rsidP="00750019">
            <w:pPr>
              <w:rPr>
                <w:rFonts w:ascii="Arial Narrow" w:hAnsi="Arial Narrow"/>
                <w:b/>
                <w:bCs/>
                <w:sz w:val="20"/>
                <w:szCs w:val="20"/>
              </w:rPr>
            </w:pPr>
            <w:r w:rsidRPr="00D96E64">
              <w:rPr>
                <w:rFonts w:ascii="Arial Narrow" w:hAnsi="Arial Narrow"/>
                <w:b/>
                <w:bCs/>
                <w:color w:val="333333"/>
                <w:sz w:val="20"/>
                <w:szCs w:val="20"/>
              </w:rPr>
              <w:t>Clinical criteria:</w:t>
            </w:r>
          </w:p>
        </w:tc>
      </w:tr>
      <w:tr w:rsidR="002E4972" w:rsidRPr="00D96E64" w14:paraId="38137ECE" w14:textId="77777777" w:rsidTr="00750019">
        <w:tc>
          <w:tcPr>
            <w:tcW w:w="981" w:type="dxa"/>
            <w:gridSpan w:val="2"/>
            <w:vAlign w:val="center"/>
          </w:tcPr>
          <w:p w14:paraId="6E57DD58" w14:textId="1C70F507" w:rsidR="002E4972" w:rsidRPr="00D96E64" w:rsidRDefault="002E4972" w:rsidP="00750019">
            <w:pPr>
              <w:jc w:val="center"/>
              <w:rPr>
                <w:rFonts w:ascii="Arial Narrow" w:hAnsi="Arial Narrow"/>
                <w:color w:val="333333"/>
                <w:sz w:val="20"/>
                <w:szCs w:val="20"/>
              </w:rPr>
            </w:pPr>
          </w:p>
        </w:tc>
        <w:tc>
          <w:tcPr>
            <w:tcW w:w="8086" w:type="dxa"/>
            <w:vAlign w:val="center"/>
          </w:tcPr>
          <w:p w14:paraId="3BD36697" w14:textId="163345C6" w:rsidR="002E4972" w:rsidRPr="00D96E64" w:rsidRDefault="002E4972" w:rsidP="00750019">
            <w:pPr>
              <w:rPr>
                <w:rFonts w:ascii="Arial Narrow" w:hAnsi="Arial Narrow"/>
                <w:b/>
                <w:bCs/>
                <w:color w:val="333333"/>
                <w:sz w:val="20"/>
                <w:szCs w:val="20"/>
              </w:rPr>
            </w:pPr>
            <w:r w:rsidRPr="00D96E64">
              <w:rPr>
                <w:rFonts w:ascii="Arial Narrow" w:hAnsi="Arial Narrow"/>
                <w:sz w:val="20"/>
                <w:szCs w:val="20"/>
              </w:rPr>
              <w:t>The condition must be severe chronic immune (idiopathic) thrombocytopenic purpura (ITP)</w:t>
            </w:r>
          </w:p>
        </w:tc>
      </w:tr>
      <w:tr w:rsidR="002E4972" w:rsidRPr="00D96E64" w14:paraId="00B69C51" w14:textId="77777777" w:rsidTr="00750019">
        <w:tc>
          <w:tcPr>
            <w:tcW w:w="981" w:type="dxa"/>
            <w:gridSpan w:val="2"/>
            <w:vAlign w:val="center"/>
          </w:tcPr>
          <w:p w14:paraId="5EF47768" w14:textId="77777777" w:rsidR="002E4972" w:rsidRPr="00D96E64" w:rsidRDefault="002E4972" w:rsidP="00750019">
            <w:pPr>
              <w:jc w:val="center"/>
              <w:rPr>
                <w:rFonts w:ascii="Arial Narrow" w:hAnsi="Arial Narrow"/>
                <w:color w:val="333333"/>
                <w:sz w:val="20"/>
                <w:szCs w:val="20"/>
              </w:rPr>
            </w:pPr>
          </w:p>
        </w:tc>
        <w:tc>
          <w:tcPr>
            <w:tcW w:w="8086" w:type="dxa"/>
            <w:vAlign w:val="center"/>
          </w:tcPr>
          <w:p w14:paraId="6395B110" w14:textId="77777777" w:rsidR="002E4972" w:rsidRPr="00D96E64" w:rsidRDefault="002E4972" w:rsidP="00750019">
            <w:pPr>
              <w:rPr>
                <w:rFonts w:ascii="Arial Narrow" w:hAnsi="Arial Narrow"/>
                <w:sz w:val="20"/>
                <w:szCs w:val="20"/>
              </w:rPr>
            </w:pPr>
            <w:r w:rsidRPr="00D96E64">
              <w:rPr>
                <w:rFonts w:ascii="Arial Narrow" w:hAnsi="Arial Narrow"/>
                <w:b/>
                <w:bCs/>
                <w:color w:val="333333"/>
                <w:sz w:val="20"/>
                <w:szCs w:val="20"/>
              </w:rPr>
              <w:t>AND</w:t>
            </w:r>
          </w:p>
        </w:tc>
      </w:tr>
      <w:tr w:rsidR="002E4972" w:rsidRPr="00D96E64" w14:paraId="6A92F8C7" w14:textId="77777777" w:rsidTr="00750019">
        <w:trPr>
          <w:trHeight w:val="49"/>
        </w:trPr>
        <w:tc>
          <w:tcPr>
            <w:tcW w:w="981" w:type="dxa"/>
            <w:gridSpan w:val="2"/>
            <w:vAlign w:val="center"/>
          </w:tcPr>
          <w:p w14:paraId="7897794F" w14:textId="77777777" w:rsidR="002E4972" w:rsidRPr="00D96E64" w:rsidRDefault="002E4972" w:rsidP="00750019">
            <w:pPr>
              <w:jc w:val="center"/>
              <w:rPr>
                <w:rFonts w:ascii="Arial Narrow" w:hAnsi="Arial Narrow"/>
                <w:color w:val="333333"/>
                <w:sz w:val="20"/>
                <w:szCs w:val="20"/>
              </w:rPr>
            </w:pPr>
          </w:p>
        </w:tc>
        <w:tc>
          <w:tcPr>
            <w:tcW w:w="8086" w:type="dxa"/>
            <w:vAlign w:val="center"/>
          </w:tcPr>
          <w:p w14:paraId="6615BA25"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color w:val="333333"/>
                <w:sz w:val="20"/>
                <w:szCs w:val="20"/>
              </w:rPr>
              <w:t>Clinical criteria:</w:t>
            </w:r>
          </w:p>
        </w:tc>
      </w:tr>
      <w:tr w:rsidR="002E4972" w:rsidRPr="00D96E64" w14:paraId="2E8A9410" w14:textId="77777777" w:rsidTr="00750019">
        <w:trPr>
          <w:trHeight w:val="49"/>
        </w:trPr>
        <w:tc>
          <w:tcPr>
            <w:tcW w:w="981" w:type="dxa"/>
            <w:gridSpan w:val="2"/>
          </w:tcPr>
          <w:p w14:paraId="235ED43E" w14:textId="01C9A434" w:rsidR="002E4972" w:rsidRPr="00D96E64" w:rsidRDefault="002E4972" w:rsidP="00750019">
            <w:pPr>
              <w:jc w:val="center"/>
              <w:rPr>
                <w:rFonts w:ascii="Arial Narrow" w:hAnsi="Arial Narrow"/>
                <w:bCs/>
                <w:sz w:val="20"/>
                <w:szCs w:val="20"/>
              </w:rPr>
            </w:pPr>
          </w:p>
        </w:tc>
        <w:tc>
          <w:tcPr>
            <w:tcW w:w="8086" w:type="dxa"/>
          </w:tcPr>
          <w:p w14:paraId="08012239" w14:textId="0DCEDE2F" w:rsidR="002E4972" w:rsidRPr="00D96E64" w:rsidRDefault="002E4972" w:rsidP="00750019">
            <w:pPr>
              <w:rPr>
                <w:rFonts w:ascii="Arial Narrow" w:hAnsi="Arial Narrow"/>
                <w:sz w:val="20"/>
                <w:szCs w:val="20"/>
              </w:rPr>
            </w:pPr>
            <w:r w:rsidRPr="00D96E64">
              <w:rPr>
                <w:rFonts w:ascii="Arial Narrow" w:hAnsi="Arial Narrow"/>
                <w:sz w:val="20"/>
                <w:szCs w:val="20"/>
              </w:rPr>
              <w:t>Patient must have previously received non-PBS-subsidised treatment with this drug for this condition prior to [PBS listing date of avatrombopag]</w:t>
            </w:r>
          </w:p>
        </w:tc>
      </w:tr>
      <w:tr w:rsidR="002E4972" w:rsidRPr="00D96E64" w14:paraId="731EB15D" w14:textId="77777777" w:rsidTr="00750019">
        <w:trPr>
          <w:trHeight w:val="49"/>
        </w:trPr>
        <w:tc>
          <w:tcPr>
            <w:tcW w:w="981" w:type="dxa"/>
            <w:gridSpan w:val="2"/>
          </w:tcPr>
          <w:p w14:paraId="155EFBDD" w14:textId="77777777" w:rsidR="002E4972" w:rsidRPr="00D96E64" w:rsidRDefault="002E4972" w:rsidP="00750019">
            <w:pPr>
              <w:jc w:val="center"/>
              <w:rPr>
                <w:rFonts w:ascii="Arial Narrow" w:hAnsi="Arial Narrow"/>
                <w:bCs/>
                <w:sz w:val="20"/>
                <w:szCs w:val="20"/>
              </w:rPr>
            </w:pPr>
          </w:p>
        </w:tc>
        <w:tc>
          <w:tcPr>
            <w:tcW w:w="8086" w:type="dxa"/>
          </w:tcPr>
          <w:p w14:paraId="77F0FCC9" w14:textId="77777777" w:rsidR="002E4972" w:rsidRPr="00D96E64" w:rsidRDefault="002E4972" w:rsidP="00750019">
            <w:pPr>
              <w:rPr>
                <w:rFonts w:ascii="Arial Narrow" w:hAnsi="Arial Narrow"/>
                <w:b/>
                <w:bCs/>
                <w:sz w:val="20"/>
                <w:szCs w:val="20"/>
              </w:rPr>
            </w:pPr>
            <w:r w:rsidRPr="00D96E64">
              <w:rPr>
                <w:rFonts w:ascii="Arial Narrow" w:hAnsi="Arial Narrow"/>
                <w:b/>
                <w:bCs/>
                <w:sz w:val="20"/>
                <w:szCs w:val="20"/>
              </w:rPr>
              <w:t>AND</w:t>
            </w:r>
          </w:p>
        </w:tc>
      </w:tr>
      <w:tr w:rsidR="002E4972" w:rsidRPr="00D96E64" w14:paraId="5441162D" w14:textId="77777777" w:rsidTr="00750019">
        <w:trPr>
          <w:trHeight w:val="49"/>
        </w:trPr>
        <w:tc>
          <w:tcPr>
            <w:tcW w:w="981" w:type="dxa"/>
            <w:gridSpan w:val="2"/>
          </w:tcPr>
          <w:p w14:paraId="7B8730D9" w14:textId="77777777" w:rsidR="002E4972" w:rsidRPr="00D96E64" w:rsidRDefault="002E4972" w:rsidP="00750019">
            <w:pPr>
              <w:jc w:val="center"/>
              <w:rPr>
                <w:rFonts w:ascii="Arial Narrow" w:hAnsi="Arial Narrow"/>
                <w:bCs/>
                <w:sz w:val="20"/>
                <w:szCs w:val="20"/>
              </w:rPr>
            </w:pPr>
          </w:p>
        </w:tc>
        <w:tc>
          <w:tcPr>
            <w:tcW w:w="8086" w:type="dxa"/>
          </w:tcPr>
          <w:p w14:paraId="0C69DC9C" w14:textId="77777777" w:rsidR="002E4972" w:rsidRPr="00D96E64" w:rsidRDefault="002E4972" w:rsidP="00750019">
            <w:pPr>
              <w:rPr>
                <w:rFonts w:ascii="Arial Narrow" w:hAnsi="Arial Narrow"/>
                <w:b/>
                <w:bCs/>
                <w:sz w:val="20"/>
                <w:szCs w:val="20"/>
              </w:rPr>
            </w:pPr>
            <w:r w:rsidRPr="00D96E64">
              <w:rPr>
                <w:rFonts w:ascii="Arial Narrow" w:hAnsi="Arial Narrow"/>
                <w:b/>
                <w:bCs/>
                <w:color w:val="333333"/>
                <w:sz w:val="20"/>
                <w:szCs w:val="20"/>
              </w:rPr>
              <w:t>Clinical criteria:</w:t>
            </w:r>
          </w:p>
        </w:tc>
      </w:tr>
      <w:tr w:rsidR="002E4972" w:rsidRPr="00D96E64" w14:paraId="748607F4" w14:textId="77777777" w:rsidTr="00750019">
        <w:trPr>
          <w:trHeight w:val="49"/>
        </w:trPr>
        <w:tc>
          <w:tcPr>
            <w:tcW w:w="981" w:type="dxa"/>
            <w:gridSpan w:val="2"/>
          </w:tcPr>
          <w:p w14:paraId="5FFC9D74" w14:textId="1CDA5B02" w:rsidR="002E4972" w:rsidRPr="00D96E64" w:rsidRDefault="002E4972" w:rsidP="00750019">
            <w:pPr>
              <w:jc w:val="center"/>
              <w:rPr>
                <w:rFonts w:ascii="Arial Narrow" w:hAnsi="Arial Narrow"/>
                <w:bCs/>
                <w:sz w:val="20"/>
                <w:szCs w:val="20"/>
              </w:rPr>
            </w:pPr>
          </w:p>
        </w:tc>
        <w:tc>
          <w:tcPr>
            <w:tcW w:w="8086" w:type="dxa"/>
          </w:tcPr>
          <w:p w14:paraId="79315490" w14:textId="766E7DDF" w:rsidR="002E4972" w:rsidRPr="00D96E64" w:rsidRDefault="002E4972" w:rsidP="00750019">
            <w:pPr>
              <w:rPr>
                <w:rFonts w:ascii="Arial Narrow" w:hAnsi="Arial Narrow"/>
                <w:sz w:val="20"/>
                <w:szCs w:val="20"/>
              </w:rPr>
            </w:pPr>
            <w:r w:rsidRPr="00D96E64">
              <w:rPr>
                <w:rFonts w:ascii="Arial Narrow" w:hAnsi="Arial Narrow"/>
                <w:sz w:val="20"/>
                <w:szCs w:val="20"/>
              </w:rPr>
              <w:t>Patient must have failed to achieve an adequate response to, or intolerance to, corticosteroid therapy prior to initiating non-PBS-subsidised treatment with this drug for this condition</w:t>
            </w:r>
          </w:p>
        </w:tc>
      </w:tr>
      <w:tr w:rsidR="002E4972" w:rsidRPr="00D96E64" w14:paraId="486D4D05" w14:textId="77777777" w:rsidTr="00750019">
        <w:trPr>
          <w:trHeight w:val="49"/>
        </w:trPr>
        <w:tc>
          <w:tcPr>
            <w:tcW w:w="981" w:type="dxa"/>
            <w:gridSpan w:val="2"/>
          </w:tcPr>
          <w:p w14:paraId="54EC0E5B" w14:textId="77777777" w:rsidR="002E4972" w:rsidRPr="00D96E64" w:rsidRDefault="002E4972" w:rsidP="00750019">
            <w:pPr>
              <w:jc w:val="center"/>
              <w:rPr>
                <w:rFonts w:ascii="Arial Narrow" w:hAnsi="Arial Narrow"/>
                <w:bCs/>
                <w:sz w:val="20"/>
                <w:szCs w:val="20"/>
              </w:rPr>
            </w:pPr>
          </w:p>
        </w:tc>
        <w:tc>
          <w:tcPr>
            <w:tcW w:w="8086" w:type="dxa"/>
          </w:tcPr>
          <w:p w14:paraId="7EEF967E" w14:textId="77777777" w:rsidR="002E4972" w:rsidRPr="00D96E64" w:rsidRDefault="002E4972" w:rsidP="00750019">
            <w:pPr>
              <w:rPr>
                <w:rFonts w:ascii="Arial Narrow" w:hAnsi="Arial Narrow"/>
                <w:b/>
                <w:bCs/>
                <w:sz w:val="20"/>
                <w:szCs w:val="20"/>
              </w:rPr>
            </w:pPr>
            <w:r w:rsidRPr="00D96E64">
              <w:rPr>
                <w:rFonts w:ascii="Arial Narrow" w:hAnsi="Arial Narrow"/>
                <w:b/>
                <w:bCs/>
                <w:sz w:val="20"/>
                <w:szCs w:val="20"/>
              </w:rPr>
              <w:t>AND</w:t>
            </w:r>
          </w:p>
        </w:tc>
      </w:tr>
      <w:tr w:rsidR="002E4972" w:rsidRPr="00D96E64" w14:paraId="207AFBF7" w14:textId="77777777" w:rsidTr="00750019">
        <w:trPr>
          <w:trHeight w:val="49"/>
        </w:trPr>
        <w:tc>
          <w:tcPr>
            <w:tcW w:w="981" w:type="dxa"/>
            <w:gridSpan w:val="2"/>
          </w:tcPr>
          <w:p w14:paraId="24308C5D" w14:textId="77777777" w:rsidR="002E4972" w:rsidRPr="00D96E64" w:rsidRDefault="002E4972" w:rsidP="00750019">
            <w:pPr>
              <w:jc w:val="center"/>
              <w:rPr>
                <w:rFonts w:ascii="Arial Narrow" w:hAnsi="Arial Narrow"/>
                <w:bCs/>
                <w:sz w:val="20"/>
                <w:szCs w:val="20"/>
              </w:rPr>
            </w:pPr>
          </w:p>
        </w:tc>
        <w:tc>
          <w:tcPr>
            <w:tcW w:w="8086" w:type="dxa"/>
          </w:tcPr>
          <w:p w14:paraId="75859390" w14:textId="77777777" w:rsidR="002E4972" w:rsidRPr="00D96E64" w:rsidRDefault="002E4972" w:rsidP="00750019">
            <w:pPr>
              <w:rPr>
                <w:rFonts w:ascii="Arial Narrow" w:hAnsi="Arial Narrow"/>
                <w:b/>
                <w:bCs/>
                <w:sz w:val="20"/>
                <w:szCs w:val="20"/>
              </w:rPr>
            </w:pPr>
            <w:r w:rsidRPr="00D96E64">
              <w:rPr>
                <w:rFonts w:ascii="Arial Narrow" w:hAnsi="Arial Narrow"/>
                <w:b/>
                <w:bCs/>
                <w:color w:val="333333"/>
                <w:sz w:val="20"/>
                <w:szCs w:val="20"/>
              </w:rPr>
              <w:t>Clinical criteria:</w:t>
            </w:r>
          </w:p>
        </w:tc>
      </w:tr>
      <w:tr w:rsidR="002E4972" w:rsidRPr="00D96E64" w14:paraId="0CEF904A" w14:textId="77777777" w:rsidTr="00750019">
        <w:trPr>
          <w:trHeight w:val="49"/>
        </w:trPr>
        <w:tc>
          <w:tcPr>
            <w:tcW w:w="981" w:type="dxa"/>
            <w:gridSpan w:val="2"/>
          </w:tcPr>
          <w:p w14:paraId="292107ED" w14:textId="1FAA4157" w:rsidR="002E4972" w:rsidRPr="00D96E64" w:rsidRDefault="002E4972" w:rsidP="00750019">
            <w:pPr>
              <w:jc w:val="center"/>
              <w:rPr>
                <w:rFonts w:ascii="Arial Narrow" w:hAnsi="Arial Narrow"/>
                <w:bCs/>
                <w:sz w:val="20"/>
                <w:szCs w:val="20"/>
              </w:rPr>
            </w:pPr>
          </w:p>
        </w:tc>
        <w:tc>
          <w:tcPr>
            <w:tcW w:w="8086" w:type="dxa"/>
          </w:tcPr>
          <w:p w14:paraId="7339D6BA" w14:textId="6BBA286A" w:rsidR="002E4972" w:rsidRPr="00D96E64" w:rsidRDefault="002E4972" w:rsidP="00750019">
            <w:pPr>
              <w:rPr>
                <w:rFonts w:ascii="Arial Narrow" w:hAnsi="Arial Narrow"/>
                <w:sz w:val="20"/>
                <w:szCs w:val="20"/>
              </w:rPr>
            </w:pPr>
            <w:r w:rsidRPr="00D96E64">
              <w:rPr>
                <w:rFonts w:ascii="Arial Narrow" w:hAnsi="Arial Narrow"/>
                <w:sz w:val="20"/>
                <w:szCs w:val="20"/>
              </w:rPr>
              <w:t>Patient must have failed to achieve an adequate response to, or intolerance to, immunoglobulin therapy prior to initiating non-PBS-subsidised treatment with this drug for this condition</w:t>
            </w:r>
          </w:p>
        </w:tc>
      </w:tr>
      <w:tr w:rsidR="002E4972" w:rsidRPr="00D96E64" w14:paraId="38EE05DC" w14:textId="77777777" w:rsidTr="00750019">
        <w:trPr>
          <w:trHeight w:val="49"/>
        </w:trPr>
        <w:tc>
          <w:tcPr>
            <w:tcW w:w="981" w:type="dxa"/>
            <w:gridSpan w:val="2"/>
          </w:tcPr>
          <w:p w14:paraId="5D7F1DF4" w14:textId="77777777" w:rsidR="002E4972" w:rsidRPr="00D96E64" w:rsidRDefault="002E4972" w:rsidP="00750019">
            <w:pPr>
              <w:jc w:val="center"/>
              <w:rPr>
                <w:rFonts w:ascii="Arial Narrow" w:hAnsi="Arial Narrow"/>
                <w:bCs/>
                <w:sz w:val="20"/>
                <w:szCs w:val="20"/>
              </w:rPr>
            </w:pPr>
          </w:p>
        </w:tc>
        <w:tc>
          <w:tcPr>
            <w:tcW w:w="8086" w:type="dxa"/>
          </w:tcPr>
          <w:p w14:paraId="70AD06E2" w14:textId="77777777" w:rsidR="002E4972" w:rsidRPr="00D96E64" w:rsidRDefault="002E4972" w:rsidP="00750019">
            <w:pPr>
              <w:rPr>
                <w:rFonts w:ascii="Arial Narrow" w:hAnsi="Arial Narrow"/>
                <w:b/>
                <w:bCs/>
                <w:sz w:val="20"/>
                <w:szCs w:val="20"/>
              </w:rPr>
            </w:pPr>
            <w:r w:rsidRPr="00D96E64">
              <w:rPr>
                <w:rFonts w:ascii="Arial Narrow" w:hAnsi="Arial Narrow"/>
                <w:b/>
                <w:bCs/>
                <w:sz w:val="20"/>
                <w:szCs w:val="20"/>
              </w:rPr>
              <w:t>AND</w:t>
            </w:r>
          </w:p>
        </w:tc>
      </w:tr>
      <w:tr w:rsidR="002E4972" w:rsidRPr="00D96E64" w14:paraId="0B5DE194" w14:textId="77777777" w:rsidTr="00750019">
        <w:trPr>
          <w:trHeight w:val="49"/>
        </w:trPr>
        <w:tc>
          <w:tcPr>
            <w:tcW w:w="981" w:type="dxa"/>
            <w:gridSpan w:val="2"/>
          </w:tcPr>
          <w:p w14:paraId="1E63A935" w14:textId="77777777" w:rsidR="002E4972" w:rsidRPr="00D96E64" w:rsidRDefault="002E4972" w:rsidP="00750019">
            <w:pPr>
              <w:jc w:val="center"/>
              <w:rPr>
                <w:rFonts w:ascii="Arial Narrow" w:hAnsi="Arial Narrow"/>
                <w:bCs/>
                <w:sz w:val="20"/>
                <w:szCs w:val="20"/>
              </w:rPr>
            </w:pPr>
          </w:p>
        </w:tc>
        <w:tc>
          <w:tcPr>
            <w:tcW w:w="8086" w:type="dxa"/>
          </w:tcPr>
          <w:p w14:paraId="705F1963" w14:textId="77777777" w:rsidR="002E4972" w:rsidRPr="00D96E64" w:rsidRDefault="002E4972" w:rsidP="00750019">
            <w:pPr>
              <w:rPr>
                <w:rFonts w:ascii="Arial Narrow" w:hAnsi="Arial Narrow"/>
                <w:b/>
                <w:bCs/>
                <w:sz w:val="20"/>
                <w:szCs w:val="20"/>
              </w:rPr>
            </w:pPr>
            <w:r w:rsidRPr="00D96E64">
              <w:rPr>
                <w:rFonts w:ascii="Arial Narrow" w:hAnsi="Arial Narrow"/>
                <w:b/>
                <w:bCs/>
                <w:color w:val="333333"/>
                <w:sz w:val="20"/>
                <w:szCs w:val="20"/>
              </w:rPr>
              <w:t>Clinical criteria:</w:t>
            </w:r>
          </w:p>
        </w:tc>
      </w:tr>
      <w:tr w:rsidR="002E4972" w:rsidRPr="00D96E64" w14:paraId="0F4BBB61" w14:textId="77777777" w:rsidTr="00750019">
        <w:trPr>
          <w:trHeight w:val="49"/>
        </w:trPr>
        <w:tc>
          <w:tcPr>
            <w:tcW w:w="981" w:type="dxa"/>
            <w:gridSpan w:val="2"/>
          </w:tcPr>
          <w:p w14:paraId="2BA3B2EC" w14:textId="541E9DEB" w:rsidR="002E4972" w:rsidRPr="00D96E64" w:rsidRDefault="002E4972" w:rsidP="00750019">
            <w:pPr>
              <w:jc w:val="center"/>
              <w:rPr>
                <w:rFonts w:ascii="Arial Narrow" w:hAnsi="Arial Narrow"/>
                <w:bCs/>
                <w:sz w:val="20"/>
                <w:szCs w:val="20"/>
              </w:rPr>
            </w:pPr>
          </w:p>
        </w:tc>
        <w:tc>
          <w:tcPr>
            <w:tcW w:w="8086" w:type="dxa"/>
          </w:tcPr>
          <w:p w14:paraId="4213DE80" w14:textId="77777777" w:rsidR="002E4972" w:rsidRPr="00D96E64" w:rsidRDefault="002E4972" w:rsidP="00750019">
            <w:pPr>
              <w:rPr>
                <w:rFonts w:ascii="Arial Narrow" w:hAnsi="Arial Narrow"/>
                <w:sz w:val="20"/>
                <w:szCs w:val="20"/>
              </w:rPr>
            </w:pPr>
            <w:r w:rsidRPr="00D96E64">
              <w:rPr>
                <w:rFonts w:ascii="Arial Narrow" w:hAnsi="Arial Narrow"/>
                <w:sz w:val="20"/>
                <w:szCs w:val="20"/>
              </w:rPr>
              <w:t>Patient must have demonstrated a sustained platelet response to the non-PBS-subsidised treatment with this drug for this condition</w:t>
            </w:r>
          </w:p>
        </w:tc>
      </w:tr>
      <w:tr w:rsidR="002E4972" w:rsidRPr="00D96E64" w14:paraId="466F1E95" w14:textId="77777777" w:rsidTr="00750019">
        <w:trPr>
          <w:trHeight w:val="49"/>
        </w:trPr>
        <w:tc>
          <w:tcPr>
            <w:tcW w:w="981" w:type="dxa"/>
            <w:gridSpan w:val="2"/>
          </w:tcPr>
          <w:p w14:paraId="67603AC6" w14:textId="77777777" w:rsidR="002E4972" w:rsidRPr="00D96E64" w:rsidRDefault="002E4972" w:rsidP="00750019">
            <w:pPr>
              <w:jc w:val="center"/>
              <w:rPr>
                <w:rFonts w:ascii="Arial Narrow" w:hAnsi="Arial Narrow"/>
                <w:bCs/>
                <w:sz w:val="20"/>
                <w:szCs w:val="20"/>
              </w:rPr>
            </w:pPr>
          </w:p>
        </w:tc>
        <w:tc>
          <w:tcPr>
            <w:tcW w:w="8086" w:type="dxa"/>
          </w:tcPr>
          <w:p w14:paraId="71BBA328" w14:textId="77777777" w:rsidR="002E4972" w:rsidRPr="00D96E64" w:rsidRDefault="002E4972" w:rsidP="00750019">
            <w:pPr>
              <w:rPr>
                <w:rFonts w:ascii="Arial Narrow" w:hAnsi="Arial Narrow"/>
                <w:b/>
                <w:bCs/>
                <w:sz w:val="20"/>
                <w:szCs w:val="20"/>
              </w:rPr>
            </w:pPr>
            <w:r w:rsidRPr="00D96E64">
              <w:rPr>
                <w:rFonts w:ascii="Arial Narrow" w:hAnsi="Arial Narrow"/>
                <w:b/>
                <w:bCs/>
                <w:sz w:val="20"/>
                <w:szCs w:val="20"/>
              </w:rPr>
              <w:t>AND</w:t>
            </w:r>
          </w:p>
        </w:tc>
      </w:tr>
      <w:tr w:rsidR="002E4972" w:rsidRPr="00D96E64" w14:paraId="13B82D67" w14:textId="77777777" w:rsidTr="00750019">
        <w:trPr>
          <w:trHeight w:val="49"/>
        </w:trPr>
        <w:tc>
          <w:tcPr>
            <w:tcW w:w="981" w:type="dxa"/>
            <w:gridSpan w:val="2"/>
          </w:tcPr>
          <w:p w14:paraId="2FF50715" w14:textId="359D2EBE" w:rsidR="002E4972" w:rsidRPr="00D96E64" w:rsidRDefault="002E4972" w:rsidP="00750019">
            <w:pPr>
              <w:jc w:val="center"/>
              <w:rPr>
                <w:rFonts w:ascii="Arial Narrow" w:hAnsi="Arial Narrow"/>
                <w:bCs/>
                <w:sz w:val="20"/>
                <w:szCs w:val="20"/>
              </w:rPr>
            </w:pPr>
          </w:p>
        </w:tc>
        <w:tc>
          <w:tcPr>
            <w:tcW w:w="8086" w:type="dxa"/>
          </w:tcPr>
          <w:p w14:paraId="661D7902" w14:textId="77777777" w:rsidR="002E4972" w:rsidRPr="00D96E64" w:rsidRDefault="002E4972" w:rsidP="00750019">
            <w:pPr>
              <w:rPr>
                <w:rFonts w:ascii="Arial Narrow" w:hAnsi="Arial Narrow"/>
                <w:b/>
                <w:bCs/>
                <w:sz w:val="20"/>
                <w:szCs w:val="20"/>
              </w:rPr>
            </w:pPr>
            <w:r w:rsidRPr="00D96E64">
              <w:rPr>
                <w:rFonts w:ascii="Arial Narrow" w:hAnsi="Arial Narrow"/>
                <w:b/>
                <w:bCs/>
                <w:color w:val="333333"/>
                <w:sz w:val="20"/>
                <w:szCs w:val="20"/>
              </w:rPr>
              <w:t>Clinical criteria:</w:t>
            </w:r>
          </w:p>
        </w:tc>
      </w:tr>
      <w:tr w:rsidR="002E4972" w:rsidRPr="00D96E64" w14:paraId="23C49DB1" w14:textId="77777777" w:rsidTr="00750019">
        <w:trPr>
          <w:trHeight w:val="49"/>
        </w:trPr>
        <w:tc>
          <w:tcPr>
            <w:tcW w:w="981" w:type="dxa"/>
            <w:gridSpan w:val="2"/>
            <w:vAlign w:val="center"/>
          </w:tcPr>
          <w:p w14:paraId="1BB27C92" w14:textId="6A16F7DA" w:rsidR="002E4972" w:rsidRPr="00D96E64" w:rsidRDefault="002E4972" w:rsidP="00750019">
            <w:pPr>
              <w:jc w:val="center"/>
              <w:rPr>
                <w:rFonts w:ascii="Arial Narrow" w:hAnsi="Arial Narrow"/>
                <w:bCs/>
                <w:sz w:val="20"/>
                <w:szCs w:val="20"/>
              </w:rPr>
            </w:pPr>
          </w:p>
        </w:tc>
        <w:tc>
          <w:tcPr>
            <w:tcW w:w="8086" w:type="dxa"/>
            <w:vAlign w:val="center"/>
          </w:tcPr>
          <w:p w14:paraId="2961B0B3" w14:textId="77777777" w:rsidR="002E4972" w:rsidRPr="00D96E64" w:rsidRDefault="002E4972" w:rsidP="00750019">
            <w:pPr>
              <w:rPr>
                <w:rFonts w:ascii="Arial Narrow" w:hAnsi="Arial Narrow"/>
                <w:sz w:val="20"/>
                <w:szCs w:val="20"/>
              </w:rPr>
            </w:pPr>
            <w:r w:rsidRPr="00D96E64">
              <w:rPr>
                <w:rFonts w:ascii="Arial Narrow" w:hAnsi="Arial Narrow"/>
                <w:sz w:val="20"/>
                <w:szCs w:val="20"/>
              </w:rPr>
              <w:t>The treatment must be the sole PBS-subsidised thrombopoietin receptor agonist (TRA) for this condition</w:t>
            </w:r>
          </w:p>
        </w:tc>
      </w:tr>
      <w:tr w:rsidR="0098531E" w:rsidRPr="0098531E" w14:paraId="6525A5D6" w14:textId="77777777" w:rsidTr="00750019">
        <w:trPr>
          <w:trHeight w:val="49"/>
        </w:trPr>
        <w:tc>
          <w:tcPr>
            <w:tcW w:w="981" w:type="dxa"/>
            <w:gridSpan w:val="2"/>
            <w:vAlign w:val="center"/>
          </w:tcPr>
          <w:p w14:paraId="29B55065" w14:textId="77777777" w:rsidR="0098531E" w:rsidRPr="00B82B97" w:rsidRDefault="0098531E" w:rsidP="0098531E">
            <w:pPr>
              <w:jc w:val="center"/>
              <w:rPr>
                <w:rFonts w:ascii="Arial Narrow" w:hAnsi="Arial Narrow"/>
                <w:strike/>
                <w:color w:val="333333"/>
                <w:sz w:val="20"/>
                <w:szCs w:val="20"/>
              </w:rPr>
            </w:pPr>
          </w:p>
        </w:tc>
        <w:tc>
          <w:tcPr>
            <w:tcW w:w="8086" w:type="dxa"/>
            <w:vAlign w:val="center"/>
          </w:tcPr>
          <w:p w14:paraId="5960E461" w14:textId="77777777" w:rsidR="0098531E" w:rsidRPr="00B82B97" w:rsidRDefault="0098531E" w:rsidP="0098531E">
            <w:pPr>
              <w:rPr>
                <w:rFonts w:ascii="Arial Narrow" w:hAnsi="Arial Narrow"/>
                <w:sz w:val="20"/>
                <w:szCs w:val="20"/>
              </w:rPr>
            </w:pPr>
            <w:r w:rsidRPr="00B82B97">
              <w:rPr>
                <w:rFonts w:ascii="Arial Narrow" w:hAnsi="Arial Narrow"/>
                <w:b/>
                <w:bCs/>
                <w:color w:val="333333"/>
                <w:sz w:val="20"/>
                <w:szCs w:val="20"/>
              </w:rPr>
              <w:t>Prescribing Instructions:</w:t>
            </w:r>
          </w:p>
          <w:p w14:paraId="75263115" w14:textId="77777777" w:rsidR="0098531E" w:rsidRPr="00B82B97" w:rsidRDefault="0098531E" w:rsidP="0098531E">
            <w:pPr>
              <w:rPr>
                <w:rFonts w:ascii="Arial Narrow" w:hAnsi="Arial Narrow"/>
                <w:sz w:val="20"/>
                <w:szCs w:val="20"/>
              </w:rPr>
            </w:pPr>
            <w:r w:rsidRPr="00B82B97">
              <w:rPr>
                <w:rFonts w:ascii="Arial Narrow" w:hAnsi="Arial Narrow"/>
                <w:sz w:val="20"/>
                <w:szCs w:val="20"/>
              </w:rPr>
              <w:t>The authority application must be made in writing and must include:</w:t>
            </w:r>
          </w:p>
          <w:p w14:paraId="5535D648" w14:textId="77777777" w:rsidR="0098531E" w:rsidRPr="00B82B97" w:rsidRDefault="0098531E" w:rsidP="0098531E">
            <w:pPr>
              <w:rPr>
                <w:rFonts w:ascii="Arial Narrow" w:hAnsi="Arial Narrow"/>
                <w:sz w:val="20"/>
                <w:szCs w:val="20"/>
              </w:rPr>
            </w:pPr>
            <w:r w:rsidRPr="00B82B97">
              <w:rPr>
                <w:rFonts w:ascii="Arial Narrow" w:hAnsi="Arial Narrow"/>
                <w:sz w:val="20"/>
                <w:szCs w:val="20"/>
              </w:rPr>
              <w:t>(1) a completed authority prescription form,</w:t>
            </w:r>
          </w:p>
          <w:p w14:paraId="0D6A787A" w14:textId="77777777" w:rsidR="0098531E" w:rsidRPr="00B82B97" w:rsidRDefault="0098531E" w:rsidP="0098531E">
            <w:pPr>
              <w:rPr>
                <w:rFonts w:ascii="Arial Narrow" w:hAnsi="Arial Narrow"/>
                <w:sz w:val="20"/>
                <w:szCs w:val="20"/>
              </w:rPr>
            </w:pPr>
            <w:r w:rsidRPr="00B82B97">
              <w:rPr>
                <w:rFonts w:ascii="Arial Narrow" w:hAnsi="Arial Narrow"/>
                <w:sz w:val="20"/>
                <w:szCs w:val="20"/>
              </w:rPr>
              <w:t>(2) a completed Idiopathic Thrombocytopenic Purpura Initial PBS Authority Application - Supporting Information Form, and</w:t>
            </w:r>
          </w:p>
          <w:p w14:paraId="489C9E83" w14:textId="77777777" w:rsidR="0098531E" w:rsidRPr="00B82B97" w:rsidRDefault="0098531E" w:rsidP="0098531E">
            <w:pPr>
              <w:rPr>
                <w:rFonts w:ascii="Arial Narrow" w:hAnsi="Arial Narrow"/>
                <w:sz w:val="20"/>
                <w:szCs w:val="20"/>
              </w:rPr>
            </w:pPr>
            <w:r w:rsidRPr="00B82B97">
              <w:rPr>
                <w:rFonts w:ascii="Arial Narrow" w:hAnsi="Arial Narrow"/>
                <w:sz w:val="20"/>
                <w:szCs w:val="20"/>
              </w:rPr>
              <w:t>(3) details of a platelet count supporting the diagnosis of ITP.</w:t>
            </w:r>
          </w:p>
          <w:p w14:paraId="2BD9FF58" w14:textId="3B79D84A" w:rsidR="0098531E" w:rsidRPr="00B82B97" w:rsidRDefault="0098531E" w:rsidP="0098531E">
            <w:pPr>
              <w:rPr>
                <w:rFonts w:ascii="Arial Narrow" w:hAnsi="Arial Narrow"/>
                <w:strike/>
                <w:color w:val="333333"/>
                <w:sz w:val="20"/>
                <w:szCs w:val="20"/>
              </w:rPr>
            </w:pPr>
            <w:r w:rsidRPr="00B82B97">
              <w:rPr>
                <w:rFonts w:ascii="Arial Narrow" w:hAnsi="Arial Narrow"/>
                <w:sz w:val="20"/>
                <w:szCs w:val="20"/>
              </w:rPr>
              <w:t>All reports must be documented in the patient's medical records.</w:t>
            </w:r>
          </w:p>
        </w:tc>
      </w:tr>
      <w:tr w:rsidR="0098531E" w:rsidRPr="00D96E64" w14:paraId="143BDF21" w14:textId="77777777" w:rsidTr="00750019">
        <w:trPr>
          <w:trHeight w:val="49"/>
        </w:trPr>
        <w:tc>
          <w:tcPr>
            <w:tcW w:w="981" w:type="dxa"/>
            <w:gridSpan w:val="2"/>
            <w:vAlign w:val="center"/>
          </w:tcPr>
          <w:p w14:paraId="13A7833F" w14:textId="48E8C636" w:rsidR="0098531E" w:rsidRPr="00B82B97" w:rsidRDefault="0098531E" w:rsidP="0098531E">
            <w:pPr>
              <w:jc w:val="center"/>
              <w:rPr>
                <w:rFonts w:ascii="Arial Narrow" w:hAnsi="Arial Narrow"/>
                <w:bCs/>
                <w:sz w:val="20"/>
                <w:szCs w:val="20"/>
              </w:rPr>
            </w:pPr>
          </w:p>
        </w:tc>
        <w:tc>
          <w:tcPr>
            <w:tcW w:w="8086" w:type="dxa"/>
            <w:vAlign w:val="center"/>
          </w:tcPr>
          <w:p w14:paraId="1FC7E166" w14:textId="77777777" w:rsidR="0098531E" w:rsidRPr="00B82B97" w:rsidRDefault="0098531E" w:rsidP="0098531E">
            <w:pPr>
              <w:rPr>
                <w:rFonts w:ascii="Arial Narrow" w:hAnsi="Arial Narrow"/>
                <w:sz w:val="20"/>
                <w:szCs w:val="20"/>
              </w:rPr>
            </w:pPr>
            <w:r w:rsidRPr="00B82B97">
              <w:rPr>
                <w:rFonts w:ascii="Arial Narrow" w:hAnsi="Arial Narrow"/>
                <w:b/>
                <w:bCs/>
                <w:color w:val="333333"/>
                <w:sz w:val="20"/>
                <w:szCs w:val="20"/>
              </w:rPr>
              <w:t xml:space="preserve">Prescribing Instructions: </w:t>
            </w:r>
            <w:r w:rsidRPr="00B82B97">
              <w:rPr>
                <w:rFonts w:ascii="Arial Narrow" w:hAnsi="Arial Narrow"/>
                <w:sz w:val="20"/>
                <w:szCs w:val="20"/>
              </w:rPr>
              <w:t>The following criteria indicate failure to achieve an adequate response to corticosteroid and/or immunoglobulin therapy and must be demonstrated at the time of initial application;</w:t>
            </w:r>
          </w:p>
          <w:p w14:paraId="521EBE8D" w14:textId="77777777" w:rsidR="0098531E" w:rsidRPr="00B82B97" w:rsidRDefault="0098531E" w:rsidP="0098531E">
            <w:pPr>
              <w:rPr>
                <w:rFonts w:ascii="Arial Narrow" w:hAnsi="Arial Narrow"/>
                <w:sz w:val="20"/>
                <w:szCs w:val="20"/>
              </w:rPr>
            </w:pPr>
            <w:r w:rsidRPr="00B82B97">
              <w:rPr>
                <w:rFonts w:ascii="Arial Narrow" w:hAnsi="Arial Narrow"/>
                <w:sz w:val="20"/>
                <w:szCs w:val="20"/>
              </w:rPr>
              <w:t>(a) a platelet count of less than or equal to 20,000 million per L; OR</w:t>
            </w:r>
          </w:p>
          <w:p w14:paraId="1C62C568" w14:textId="22064849" w:rsidR="0098531E" w:rsidRPr="00B82B97" w:rsidRDefault="0098531E" w:rsidP="0098531E">
            <w:pPr>
              <w:rPr>
                <w:rFonts w:ascii="Arial Narrow" w:hAnsi="Arial Narrow"/>
                <w:b/>
                <w:bCs/>
                <w:sz w:val="20"/>
                <w:szCs w:val="20"/>
              </w:rPr>
            </w:pPr>
            <w:r w:rsidRPr="00B82B97">
              <w:rPr>
                <w:rFonts w:ascii="Arial Narrow" w:hAnsi="Arial Narrow"/>
                <w:sz w:val="20"/>
                <w:szCs w:val="20"/>
              </w:rPr>
              <w:t>(b) a platelet count of 20,000 million to 30,000 million per L, where the patient is experiencing significant bleeding or has a history of significant bleeding in this platelet range.</w:t>
            </w:r>
          </w:p>
        </w:tc>
      </w:tr>
      <w:tr w:rsidR="002E4972" w:rsidRPr="00D96E64" w14:paraId="50A26C11" w14:textId="77777777" w:rsidTr="00750019">
        <w:trPr>
          <w:trHeight w:val="49"/>
        </w:trPr>
        <w:tc>
          <w:tcPr>
            <w:tcW w:w="981" w:type="dxa"/>
            <w:gridSpan w:val="2"/>
          </w:tcPr>
          <w:p w14:paraId="57EBBF3E" w14:textId="63347D5C" w:rsidR="002E4972" w:rsidRPr="00B82B97" w:rsidRDefault="002E4972" w:rsidP="00750019">
            <w:pPr>
              <w:jc w:val="center"/>
              <w:rPr>
                <w:rFonts w:ascii="Arial Narrow" w:hAnsi="Arial Narrow"/>
                <w:bCs/>
                <w:sz w:val="20"/>
                <w:szCs w:val="20"/>
              </w:rPr>
            </w:pPr>
          </w:p>
        </w:tc>
        <w:tc>
          <w:tcPr>
            <w:tcW w:w="8086" w:type="dxa"/>
          </w:tcPr>
          <w:p w14:paraId="0A148797" w14:textId="34B79A54" w:rsidR="002E4972" w:rsidRPr="00B82B97" w:rsidRDefault="002E4972" w:rsidP="00750019">
            <w:pPr>
              <w:rPr>
                <w:rFonts w:ascii="Arial Narrow" w:hAnsi="Arial Narrow"/>
                <w:b/>
                <w:bCs/>
                <w:sz w:val="20"/>
                <w:szCs w:val="20"/>
              </w:rPr>
            </w:pPr>
            <w:r w:rsidRPr="00B82B97">
              <w:rPr>
                <w:rFonts w:ascii="Arial Narrow" w:hAnsi="Arial Narrow"/>
                <w:b/>
                <w:bCs/>
                <w:color w:val="333333"/>
                <w:sz w:val="20"/>
                <w:szCs w:val="20"/>
              </w:rPr>
              <w:t xml:space="preserve">Prescribing </w:t>
            </w:r>
            <w:r w:rsidRPr="00B82B97">
              <w:rPr>
                <w:rFonts w:ascii="Arial Narrow" w:hAnsi="Arial Narrow" w:cs="Aldhabi"/>
                <w:b/>
                <w:bCs/>
                <w:color w:val="333333"/>
                <w:sz w:val="20"/>
                <w:szCs w:val="20"/>
              </w:rPr>
              <w:t>Instructions:</w:t>
            </w:r>
            <w:r w:rsidRPr="00B82B97">
              <w:rPr>
                <w:rFonts w:ascii="Arial Narrow" w:hAnsi="Arial Narrow" w:cs="Aldhabi"/>
                <w:sz w:val="20"/>
                <w:szCs w:val="20"/>
              </w:rPr>
              <w:t xml:space="preserve"> The platelet count must have been no more than 4 weeks old at the time </w:t>
            </w:r>
            <w:r w:rsidRPr="00B82B97">
              <w:rPr>
                <w:rFonts w:ascii="Arial Narrow" w:hAnsi="Arial Narrow" w:cs="Aldhabi"/>
                <w:strike/>
                <w:sz w:val="20"/>
                <w:szCs w:val="20"/>
              </w:rPr>
              <w:t>of</w:t>
            </w:r>
            <w:r w:rsidRPr="00B82B97">
              <w:rPr>
                <w:rFonts w:ascii="Arial Narrow" w:hAnsi="Arial Narrow" w:cs="Aldhabi"/>
                <w:sz w:val="20"/>
                <w:szCs w:val="20"/>
              </w:rPr>
              <w:t xml:space="preserve"> that non-PBS-subsidised treatment with this drug was initiated</w:t>
            </w:r>
            <w:r w:rsidR="00F87F86" w:rsidRPr="00B82B97">
              <w:rPr>
                <w:rFonts w:ascii="Arial Narrow" w:hAnsi="Arial Narrow" w:cs="Aldhabi"/>
                <w:sz w:val="20"/>
                <w:szCs w:val="20"/>
              </w:rPr>
              <w:t xml:space="preserve"> and must be documented in the patient’s medical records</w:t>
            </w:r>
            <w:r w:rsidR="0080246B" w:rsidRPr="00B82B97">
              <w:rPr>
                <w:rFonts w:ascii="Arial Narrow" w:hAnsi="Arial Narrow" w:cs="Aldhabi"/>
                <w:sz w:val="20"/>
                <w:szCs w:val="20"/>
              </w:rPr>
              <w:t>.</w:t>
            </w:r>
          </w:p>
        </w:tc>
      </w:tr>
      <w:tr w:rsidR="002E4972" w:rsidRPr="00D96E64" w14:paraId="038FC2BD" w14:textId="77777777" w:rsidTr="00750019">
        <w:trPr>
          <w:trHeight w:val="49"/>
        </w:trPr>
        <w:tc>
          <w:tcPr>
            <w:tcW w:w="981" w:type="dxa"/>
            <w:gridSpan w:val="2"/>
            <w:vAlign w:val="center"/>
          </w:tcPr>
          <w:p w14:paraId="0218BB92" w14:textId="6FBA21D6" w:rsidR="002E4972" w:rsidRPr="00B82B97" w:rsidRDefault="002E4972" w:rsidP="00750019">
            <w:pPr>
              <w:jc w:val="center"/>
              <w:rPr>
                <w:rFonts w:ascii="Arial Narrow" w:hAnsi="Arial Narrow"/>
                <w:bCs/>
                <w:sz w:val="20"/>
                <w:szCs w:val="20"/>
              </w:rPr>
            </w:pPr>
          </w:p>
        </w:tc>
        <w:tc>
          <w:tcPr>
            <w:tcW w:w="8086" w:type="dxa"/>
            <w:vAlign w:val="center"/>
          </w:tcPr>
          <w:p w14:paraId="09E07907" w14:textId="77777777" w:rsidR="002E4972" w:rsidRPr="00B82B97" w:rsidRDefault="002E4972" w:rsidP="00750019">
            <w:pPr>
              <w:rPr>
                <w:rFonts w:ascii="Arial Narrow" w:hAnsi="Arial Narrow"/>
                <w:b/>
                <w:bCs/>
                <w:i/>
                <w:iCs/>
                <w:color w:val="333333"/>
                <w:sz w:val="20"/>
                <w:szCs w:val="20"/>
              </w:rPr>
            </w:pPr>
            <w:r w:rsidRPr="00B82B97">
              <w:rPr>
                <w:rFonts w:ascii="Arial Narrow" w:hAnsi="Arial Narrow"/>
                <w:b/>
                <w:bCs/>
                <w:color w:val="333333"/>
                <w:sz w:val="20"/>
                <w:szCs w:val="20"/>
              </w:rPr>
              <w:t xml:space="preserve">Prescribing Instructions: </w:t>
            </w:r>
            <w:r w:rsidRPr="00B82B97">
              <w:rPr>
                <w:rFonts w:ascii="Arial Narrow" w:hAnsi="Arial Narrow"/>
                <w:sz w:val="20"/>
                <w:szCs w:val="20"/>
              </w:rPr>
              <w:t>For the purposes of this restriction, a sustained response is defined as the patient having the ability to maintain a platelet count sufficient to prevent clinically significant bleeding based on clinical assessment.</w:t>
            </w:r>
          </w:p>
        </w:tc>
      </w:tr>
      <w:tr w:rsidR="002E4972" w:rsidRPr="00D96E64" w14:paraId="28BC3103" w14:textId="77777777" w:rsidTr="00750019">
        <w:trPr>
          <w:trHeight w:val="49"/>
        </w:trPr>
        <w:tc>
          <w:tcPr>
            <w:tcW w:w="981" w:type="dxa"/>
            <w:gridSpan w:val="2"/>
          </w:tcPr>
          <w:p w14:paraId="3D2E71D1" w14:textId="6E29C523" w:rsidR="002E4972" w:rsidRPr="00D96E64" w:rsidRDefault="002E4972" w:rsidP="00750019">
            <w:pPr>
              <w:jc w:val="center"/>
              <w:rPr>
                <w:rFonts w:ascii="Arial Narrow" w:hAnsi="Arial Narrow"/>
                <w:bCs/>
                <w:sz w:val="20"/>
                <w:szCs w:val="20"/>
              </w:rPr>
            </w:pPr>
          </w:p>
        </w:tc>
        <w:tc>
          <w:tcPr>
            <w:tcW w:w="8086" w:type="dxa"/>
          </w:tcPr>
          <w:p w14:paraId="39D12D1B" w14:textId="77777777" w:rsidR="002E4972" w:rsidRPr="00D96E64" w:rsidRDefault="002E4972" w:rsidP="00750019">
            <w:pPr>
              <w:rPr>
                <w:rFonts w:ascii="Arial Narrow" w:hAnsi="Arial Narrow"/>
                <w:color w:val="333333"/>
                <w:sz w:val="20"/>
                <w:szCs w:val="20"/>
              </w:rPr>
            </w:pPr>
            <w:r w:rsidRPr="00D96E64">
              <w:rPr>
                <w:rFonts w:ascii="Arial Narrow" w:hAnsi="Arial Narrow"/>
                <w:b/>
                <w:bCs/>
                <w:color w:val="333333"/>
                <w:sz w:val="20"/>
                <w:szCs w:val="20"/>
              </w:rPr>
              <w:t xml:space="preserve">Prescribing Instructions: </w:t>
            </w:r>
            <w:r w:rsidRPr="00D96E64">
              <w:rPr>
                <w:rFonts w:ascii="Arial Narrow" w:hAnsi="Arial Narrow"/>
                <w:color w:val="333333"/>
                <w:sz w:val="20"/>
                <w:szCs w:val="20"/>
              </w:rPr>
              <w:t>A Grandfathered patient may qualify for PBS-subsidised treatment under this restriction once only. For continuing PBS-subsidised treatment, a Grandfathered patient must qualify under the First Continuing treatment or Re-initiation of interrupted continuing treatment criteria.</w:t>
            </w:r>
          </w:p>
        </w:tc>
      </w:tr>
      <w:tr w:rsidR="002E4972" w:rsidRPr="00D96E64" w14:paraId="455D1FF0" w14:textId="77777777" w:rsidTr="00750019">
        <w:trPr>
          <w:trHeight w:val="49"/>
        </w:trPr>
        <w:tc>
          <w:tcPr>
            <w:tcW w:w="981" w:type="dxa"/>
            <w:gridSpan w:val="2"/>
          </w:tcPr>
          <w:p w14:paraId="56B10F83" w14:textId="537CCB0C" w:rsidR="002E4972" w:rsidRPr="00D96E64" w:rsidRDefault="002E4972" w:rsidP="00750019">
            <w:pPr>
              <w:jc w:val="center"/>
              <w:rPr>
                <w:rFonts w:ascii="Arial Narrow" w:hAnsi="Arial Narrow"/>
                <w:color w:val="333333"/>
                <w:sz w:val="20"/>
                <w:szCs w:val="20"/>
              </w:rPr>
            </w:pPr>
          </w:p>
        </w:tc>
        <w:tc>
          <w:tcPr>
            <w:tcW w:w="8086" w:type="dxa"/>
          </w:tcPr>
          <w:p w14:paraId="61AD031B"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sz w:val="20"/>
                <w:szCs w:val="20"/>
              </w:rPr>
              <w:t xml:space="preserve">Administrative advice: </w:t>
            </w:r>
            <w:r w:rsidRPr="00D96E64">
              <w:rPr>
                <w:rFonts w:ascii="Arial Narrow" w:hAnsi="Arial Narrow"/>
                <w:bCs/>
                <w:sz w:val="20"/>
                <w:szCs w:val="20"/>
              </w:rPr>
              <w:t>This grandfather restriction will cease to operate from 12 months after the date specified in the clinical criteria.</w:t>
            </w:r>
          </w:p>
        </w:tc>
      </w:tr>
      <w:tr w:rsidR="002E4972" w:rsidRPr="00D96E64" w14:paraId="7CE2C151" w14:textId="77777777" w:rsidTr="00750019">
        <w:trPr>
          <w:trHeight w:val="49"/>
        </w:trPr>
        <w:tc>
          <w:tcPr>
            <w:tcW w:w="981" w:type="dxa"/>
            <w:gridSpan w:val="2"/>
            <w:vAlign w:val="center"/>
          </w:tcPr>
          <w:p w14:paraId="6C996A58" w14:textId="3FCE283C" w:rsidR="002E4972" w:rsidRPr="00D96E64" w:rsidRDefault="002E4972" w:rsidP="00750019">
            <w:pPr>
              <w:jc w:val="center"/>
              <w:rPr>
                <w:rFonts w:ascii="Arial Narrow" w:hAnsi="Arial Narrow"/>
                <w:bCs/>
                <w:sz w:val="20"/>
                <w:szCs w:val="20"/>
              </w:rPr>
            </w:pPr>
          </w:p>
        </w:tc>
        <w:tc>
          <w:tcPr>
            <w:tcW w:w="8086" w:type="dxa"/>
            <w:vAlign w:val="center"/>
          </w:tcPr>
          <w:p w14:paraId="54919B04" w14:textId="77777777" w:rsidR="002E4972" w:rsidRPr="00D96E64" w:rsidRDefault="002E4972" w:rsidP="00750019">
            <w:pPr>
              <w:rPr>
                <w:rFonts w:ascii="Arial Narrow" w:hAnsi="Arial Narrow"/>
                <w:b/>
                <w:bCs/>
                <w:color w:val="333333"/>
                <w:sz w:val="20"/>
                <w:szCs w:val="20"/>
              </w:rPr>
            </w:pPr>
            <w:r w:rsidRPr="00D96E64">
              <w:rPr>
                <w:rFonts w:ascii="Arial Narrow" w:hAnsi="Arial Narrow"/>
                <w:b/>
                <w:bCs/>
                <w:color w:val="333333"/>
                <w:sz w:val="20"/>
                <w:szCs w:val="20"/>
              </w:rPr>
              <w:t>Administrative Advice:</w:t>
            </w:r>
            <w:r w:rsidRPr="00D96E64">
              <w:rPr>
                <w:sz w:val="20"/>
                <w:szCs w:val="20"/>
              </w:rPr>
              <w:t xml:space="preserve"> </w:t>
            </w:r>
          </w:p>
          <w:p w14:paraId="70F4DBC4" w14:textId="77777777" w:rsidR="002E4972" w:rsidRPr="00D96E64" w:rsidRDefault="002E4972" w:rsidP="00750019">
            <w:pPr>
              <w:rPr>
                <w:rFonts w:ascii="Arial Narrow" w:hAnsi="Arial Narrow"/>
                <w:sz w:val="20"/>
                <w:szCs w:val="20"/>
              </w:rPr>
            </w:pPr>
            <w:r w:rsidRPr="00D96E64">
              <w:rPr>
                <w:rFonts w:ascii="Arial Narrow" w:hAnsi="Arial Narrow"/>
                <w:sz w:val="20"/>
                <w:szCs w:val="20"/>
              </w:rPr>
              <w:t xml:space="preserve">Any queries concerning the arrangements to prescribe may be directed to Services Australia on 1800 700 270 (hours of operation 8 a.m. to 5 p.m. Monday to Friday). </w:t>
            </w:r>
          </w:p>
          <w:p w14:paraId="7C9FDCF2" w14:textId="77777777" w:rsidR="002E4972" w:rsidRPr="00D96E64" w:rsidRDefault="002E4972" w:rsidP="00750019">
            <w:pPr>
              <w:rPr>
                <w:rFonts w:ascii="Arial Narrow" w:hAnsi="Arial Narrow"/>
                <w:sz w:val="20"/>
                <w:szCs w:val="20"/>
              </w:rPr>
            </w:pPr>
          </w:p>
          <w:p w14:paraId="1BEC1BBD" w14:textId="6601E73D" w:rsidR="002E4972" w:rsidRPr="00D96E64" w:rsidRDefault="002E4972" w:rsidP="00750019">
            <w:pPr>
              <w:rPr>
                <w:rFonts w:ascii="Arial Narrow" w:hAnsi="Arial Narrow"/>
                <w:sz w:val="20"/>
                <w:szCs w:val="20"/>
              </w:rPr>
            </w:pPr>
            <w:r w:rsidRPr="00D96E64">
              <w:rPr>
                <w:rFonts w:ascii="Arial Narrow" w:hAnsi="Arial Narrow"/>
                <w:sz w:val="20"/>
                <w:szCs w:val="20"/>
              </w:rPr>
              <w:t xml:space="preserve">Prescribing information (including Authority Application forms and other relevant documentation as applicable) is available on the Services Australia website at </w:t>
            </w:r>
            <w:hyperlink r:id="rId12" w:history="1">
              <w:r w:rsidRPr="00D96E64">
                <w:rPr>
                  <w:rStyle w:val="Hyperlink"/>
                  <w:rFonts w:ascii="Arial Narrow" w:hAnsi="Arial Narrow"/>
                  <w:sz w:val="20"/>
                  <w:szCs w:val="20"/>
                </w:rPr>
                <w:t>www.servicesaustralia.gov.au</w:t>
              </w:r>
            </w:hyperlink>
            <w:r w:rsidRPr="00D96E64">
              <w:rPr>
                <w:rFonts w:ascii="Arial Narrow" w:hAnsi="Arial Narrow"/>
                <w:sz w:val="20"/>
                <w:szCs w:val="20"/>
              </w:rPr>
              <w:t xml:space="preserve">, </w:t>
            </w:r>
          </w:p>
          <w:p w14:paraId="4BF0E3D2" w14:textId="77777777" w:rsidR="002E4972" w:rsidRPr="00D96E64" w:rsidRDefault="002E4972" w:rsidP="00750019">
            <w:pPr>
              <w:rPr>
                <w:rFonts w:ascii="Arial Narrow" w:hAnsi="Arial Narrow"/>
                <w:sz w:val="20"/>
                <w:szCs w:val="20"/>
              </w:rPr>
            </w:pPr>
          </w:p>
          <w:p w14:paraId="4EAB251A" w14:textId="4FB71659" w:rsidR="002E4972" w:rsidRPr="00D96E64" w:rsidRDefault="002E4972" w:rsidP="00750019">
            <w:pPr>
              <w:rPr>
                <w:rFonts w:ascii="Arial Narrow" w:hAnsi="Arial Narrow"/>
                <w:sz w:val="20"/>
                <w:szCs w:val="20"/>
              </w:rPr>
            </w:pPr>
            <w:r w:rsidRPr="00D96E64">
              <w:rPr>
                <w:rFonts w:ascii="Arial Narrow" w:hAnsi="Arial Narrow"/>
                <w:sz w:val="20"/>
                <w:szCs w:val="20"/>
              </w:rPr>
              <w:t xml:space="preserve">Applications for authority to prescribe can be submitted online using the form upload facility in Health Professional Online Services (HPOS) at </w:t>
            </w:r>
            <w:hyperlink r:id="rId13" w:history="1">
              <w:r w:rsidRPr="00D96E64">
                <w:rPr>
                  <w:rStyle w:val="Hyperlink"/>
                  <w:rFonts w:ascii="Arial Narrow" w:hAnsi="Arial Narrow"/>
                  <w:sz w:val="20"/>
                  <w:szCs w:val="20"/>
                </w:rPr>
                <w:t>www.servicesaustralia.gov.au/hpos</w:t>
              </w:r>
            </w:hyperlink>
            <w:r w:rsidRPr="00D96E64">
              <w:rPr>
                <w:rFonts w:ascii="Arial Narrow" w:hAnsi="Arial Narrow"/>
                <w:sz w:val="20"/>
                <w:szCs w:val="20"/>
              </w:rPr>
              <w:t xml:space="preserve">, </w:t>
            </w:r>
          </w:p>
          <w:p w14:paraId="16BB2978" w14:textId="77777777" w:rsidR="002E4972" w:rsidRPr="00D96E64" w:rsidRDefault="002E4972" w:rsidP="00750019">
            <w:pPr>
              <w:rPr>
                <w:rFonts w:ascii="Arial Narrow" w:hAnsi="Arial Narrow"/>
                <w:sz w:val="20"/>
                <w:szCs w:val="20"/>
              </w:rPr>
            </w:pPr>
          </w:p>
          <w:p w14:paraId="25329DF6" w14:textId="77777777" w:rsidR="002E4972" w:rsidRPr="00D96E64" w:rsidRDefault="002E4972" w:rsidP="00750019">
            <w:pPr>
              <w:rPr>
                <w:rFonts w:ascii="Arial Narrow" w:hAnsi="Arial Narrow"/>
                <w:sz w:val="20"/>
                <w:szCs w:val="20"/>
              </w:rPr>
            </w:pPr>
            <w:r w:rsidRPr="00D96E64">
              <w:rPr>
                <w:rFonts w:ascii="Arial Narrow" w:hAnsi="Arial Narrow"/>
                <w:sz w:val="20"/>
                <w:szCs w:val="20"/>
              </w:rPr>
              <w:t>Or mailed to:</w:t>
            </w:r>
          </w:p>
          <w:p w14:paraId="21E2B724" w14:textId="77777777" w:rsidR="002E4972" w:rsidRPr="00D96E64" w:rsidRDefault="002E4972" w:rsidP="00750019">
            <w:pPr>
              <w:rPr>
                <w:rFonts w:ascii="Arial Narrow" w:hAnsi="Arial Narrow"/>
                <w:sz w:val="20"/>
                <w:szCs w:val="20"/>
              </w:rPr>
            </w:pPr>
            <w:r w:rsidRPr="00D96E64">
              <w:rPr>
                <w:rFonts w:ascii="Arial Narrow" w:hAnsi="Arial Narrow"/>
                <w:sz w:val="20"/>
                <w:szCs w:val="20"/>
              </w:rPr>
              <w:t xml:space="preserve">Services Australia, </w:t>
            </w:r>
          </w:p>
          <w:p w14:paraId="1198B294" w14:textId="77777777" w:rsidR="002E4972" w:rsidRPr="00D96E64" w:rsidRDefault="002E4972" w:rsidP="00750019">
            <w:pPr>
              <w:rPr>
                <w:rFonts w:ascii="Arial Narrow" w:hAnsi="Arial Narrow"/>
                <w:sz w:val="20"/>
                <w:szCs w:val="20"/>
              </w:rPr>
            </w:pPr>
            <w:r w:rsidRPr="00D96E64">
              <w:rPr>
                <w:rFonts w:ascii="Arial Narrow" w:hAnsi="Arial Narrow"/>
                <w:sz w:val="20"/>
                <w:szCs w:val="20"/>
              </w:rPr>
              <w:t xml:space="preserve">Complex Drugs, </w:t>
            </w:r>
          </w:p>
          <w:p w14:paraId="2A078AB8" w14:textId="77777777" w:rsidR="002E4972" w:rsidRPr="00D96E64" w:rsidRDefault="002E4972" w:rsidP="00750019">
            <w:pPr>
              <w:rPr>
                <w:rFonts w:ascii="Arial Narrow" w:hAnsi="Arial Narrow"/>
                <w:sz w:val="20"/>
                <w:szCs w:val="20"/>
              </w:rPr>
            </w:pPr>
            <w:r w:rsidRPr="00D96E64">
              <w:rPr>
                <w:rFonts w:ascii="Arial Narrow" w:hAnsi="Arial Narrow"/>
                <w:sz w:val="20"/>
                <w:szCs w:val="20"/>
              </w:rPr>
              <w:t xml:space="preserve">Reply Paid 9826, </w:t>
            </w:r>
          </w:p>
          <w:p w14:paraId="7E617C19" w14:textId="77777777" w:rsidR="002E4972" w:rsidRPr="00D96E64" w:rsidRDefault="002E4972" w:rsidP="00750019">
            <w:pPr>
              <w:rPr>
                <w:rFonts w:ascii="Arial Narrow" w:hAnsi="Arial Narrow"/>
                <w:b/>
                <w:bCs/>
                <w:sz w:val="20"/>
                <w:szCs w:val="20"/>
              </w:rPr>
            </w:pPr>
          </w:p>
        </w:tc>
      </w:tr>
    </w:tbl>
    <w:p w14:paraId="27ED47C7" w14:textId="16E0CFD4" w:rsidR="00BF7414" w:rsidRDefault="00BF7414" w:rsidP="00BF7414">
      <w:pPr>
        <w:pStyle w:val="3Bodytext"/>
        <w:ind w:left="0" w:firstLine="0"/>
        <w:rPr>
          <w:rFonts w:cs="Arial"/>
          <w:b/>
          <w:i/>
        </w:rPr>
      </w:pPr>
      <w:r>
        <w:rPr>
          <w:rFonts w:cs="Arial"/>
          <w:b/>
          <w:i/>
        </w:rPr>
        <w:t>Th</w:t>
      </w:r>
      <w:r w:rsidR="00F913DB">
        <w:rPr>
          <w:rFonts w:cs="Arial"/>
          <w:b/>
          <w:i/>
        </w:rPr>
        <w:t>ese</w:t>
      </w:r>
      <w:r>
        <w:rPr>
          <w:rFonts w:cs="Arial"/>
          <w:b/>
          <w:i/>
        </w:rPr>
        <w:t xml:space="preserve"> restriction</w:t>
      </w:r>
      <w:r w:rsidR="00F913DB">
        <w:rPr>
          <w:rFonts w:cs="Arial"/>
          <w:b/>
          <w:i/>
        </w:rPr>
        <w:t>s</w:t>
      </w:r>
      <w:r>
        <w:rPr>
          <w:rFonts w:cs="Arial"/>
          <w:b/>
          <w:i/>
        </w:rPr>
        <w:t xml:space="preserve"> may be subject to further review. Should there be any changes made to the restriction the Sponsor will be informed.</w:t>
      </w:r>
    </w:p>
    <w:p w14:paraId="774411B9" w14:textId="3BB27713" w:rsidR="00837E4E" w:rsidRDefault="00837E4E" w:rsidP="00837E4E">
      <w:pPr>
        <w:pStyle w:val="2-SectionHeading"/>
        <w:rPr>
          <w:bCs/>
          <w:lang w:val="en-GB"/>
        </w:rPr>
      </w:pPr>
      <w:r w:rsidRPr="00C07617">
        <w:t>Context for Decision</w:t>
      </w:r>
    </w:p>
    <w:p w14:paraId="0968DF25" w14:textId="77777777" w:rsidR="00837E4E" w:rsidRPr="007129F2" w:rsidRDefault="00837E4E" w:rsidP="00837E4E">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7454883" w14:textId="4557C417" w:rsidR="00837E4E" w:rsidRPr="00C07617" w:rsidRDefault="00837E4E" w:rsidP="00837E4E">
      <w:pPr>
        <w:pStyle w:val="2-SectionHeading"/>
      </w:pPr>
      <w:r>
        <w:lastRenderedPageBreak/>
        <w:t>Sponsor’s Comment</w:t>
      </w:r>
    </w:p>
    <w:p w14:paraId="4991BE73" w14:textId="48B8DA3D" w:rsidR="00837E4E" w:rsidRDefault="00EA41E6" w:rsidP="002278BC">
      <w:pPr>
        <w:spacing w:after="120"/>
        <w:ind w:left="720"/>
        <w:rPr>
          <w:snapToGrid w:val="0"/>
        </w:rPr>
      </w:pPr>
      <w:r w:rsidRPr="00EA41E6">
        <w:rPr>
          <w:rFonts w:asciiTheme="minorHAnsi" w:hAnsiTheme="minorHAnsi"/>
          <w:bCs/>
        </w:rPr>
        <w:t xml:space="preserve">Swedish Orphan Biovitrum Pty Ltd. </w:t>
      </w:r>
      <w:r w:rsidR="00B92757" w:rsidRPr="00B92757">
        <w:rPr>
          <w:rFonts w:asciiTheme="minorHAnsi" w:hAnsiTheme="minorHAnsi"/>
          <w:bCs/>
        </w:rPr>
        <w:t xml:space="preserve">welcomes the PBAC’s positive recommendation to list avatrombopag on the PBS for patients with ITP. </w:t>
      </w:r>
      <w:r w:rsidRPr="00EA41E6">
        <w:rPr>
          <w:rFonts w:asciiTheme="minorHAnsi" w:hAnsiTheme="minorHAnsi"/>
          <w:bCs/>
        </w:rPr>
        <w:t xml:space="preserve">Swedish Orphan Biovitrum Pty Ltd. </w:t>
      </w:r>
      <w:r w:rsidR="00B92757" w:rsidRPr="00B92757">
        <w:rPr>
          <w:rFonts w:asciiTheme="minorHAnsi" w:hAnsiTheme="minorHAnsi"/>
          <w:bCs/>
        </w:rPr>
        <w:t>looks forward to working with the Department of Health and Aged Care to provide timely access to patients in need</w:t>
      </w:r>
      <w:r w:rsidR="00B92757">
        <w:rPr>
          <w:rFonts w:asciiTheme="minorHAnsi" w:hAnsiTheme="minorHAnsi"/>
          <w:bCs/>
        </w:rPr>
        <w:t>.</w:t>
      </w:r>
    </w:p>
    <w:sectPr w:rsidR="00837E4E" w:rsidSect="00105A54">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5322" w14:textId="77777777" w:rsidR="0096259F" w:rsidRDefault="0096259F" w:rsidP="00124A51">
      <w:r>
        <w:separator/>
      </w:r>
    </w:p>
    <w:p w14:paraId="1954F36E" w14:textId="77777777" w:rsidR="0096259F" w:rsidRDefault="0096259F"/>
  </w:endnote>
  <w:endnote w:type="continuationSeparator" w:id="0">
    <w:p w14:paraId="332D0874" w14:textId="77777777" w:rsidR="0096259F" w:rsidRDefault="0096259F" w:rsidP="00124A51">
      <w:r>
        <w:continuationSeparator/>
      </w:r>
    </w:p>
    <w:p w14:paraId="61AA1B70" w14:textId="77777777" w:rsidR="0096259F" w:rsidRDefault="00962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27A3" w14:textId="77777777" w:rsidR="00E10198" w:rsidRDefault="00E10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C77CF9" w:rsidRDefault="00C77CF9" w:rsidP="00753B29">
    <w:pPr>
      <w:pStyle w:val="Footer"/>
      <w:jc w:val="center"/>
    </w:pPr>
  </w:p>
  <w:p w14:paraId="37484CD3" w14:textId="0C18E3C3" w:rsidR="00C77CF9" w:rsidRPr="005307B6" w:rsidRDefault="0026219D" w:rsidP="00753B29">
    <w:pPr>
      <w:pStyle w:val="Footer"/>
      <w:jc w:val="center"/>
      <w:rPr>
        <w:b/>
        <w:bCs/>
      </w:rPr>
    </w:pPr>
    <w:sdt>
      <w:sdtPr>
        <w:id w:val="1036156457"/>
        <w:docPartObj>
          <w:docPartGallery w:val="Page Numbers (Bottom of Page)"/>
          <w:docPartUnique/>
        </w:docPartObj>
      </w:sdtPr>
      <w:sdtEndPr>
        <w:rPr>
          <w:b/>
          <w:bCs/>
          <w:noProof/>
        </w:rPr>
      </w:sdtEndPr>
      <w:sdtContent>
        <w:r w:rsidR="00C77CF9" w:rsidRPr="005307B6">
          <w:rPr>
            <w:b/>
            <w:bCs/>
          </w:rPr>
          <w:fldChar w:fldCharType="begin"/>
        </w:r>
        <w:r w:rsidR="00C77CF9" w:rsidRPr="005307B6">
          <w:rPr>
            <w:b/>
            <w:bCs/>
          </w:rPr>
          <w:instrText xml:space="preserve"> PAGE   \* MERGEFORMAT </w:instrText>
        </w:r>
        <w:r w:rsidR="00C77CF9" w:rsidRPr="005307B6">
          <w:rPr>
            <w:b/>
            <w:bCs/>
          </w:rPr>
          <w:fldChar w:fldCharType="separate"/>
        </w:r>
        <w:r w:rsidR="00C77CF9" w:rsidRPr="005307B6">
          <w:rPr>
            <w:b/>
            <w:bCs/>
            <w:noProof/>
          </w:rPr>
          <w:t>2</w:t>
        </w:r>
        <w:r w:rsidR="00C77CF9" w:rsidRPr="005307B6">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A88D" w14:textId="77777777" w:rsidR="00E10198" w:rsidRDefault="00E10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364B" w14:textId="77777777" w:rsidR="0096259F" w:rsidRDefault="0096259F" w:rsidP="00124A51">
      <w:r>
        <w:separator/>
      </w:r>
    </w:p>
    <w:p w14:paraId="201ACA98" w14:textId="77777777" w:rsidR="0096259F" w:rsidRDefault="0096259F"/>
  </w:footnote>
  <w:footnote w:type="continuationSeparator" w:id="0">
    <w:p w14:paraId="6CDE6F82" w14:textId="77777777" w:rsidR="0096259F" w:rsidRDefault="0096259F" w:rsidP="00124A51">
      <w:r>
        <w:continuationSeparator/>
      </w:r>
    </w:p>
    <w:p w14:paraId="2C68B302" w14:textId="77777777" w:rsidR="0096259F" w:rsidRDefault="0096259F"/>
  </w:footnote>
  <w:footnote w:id="1">
    <w:p w14:paraId="420C5BFD" w14:textId="77777777" w:rsidR="00C77CF9" w:rsidRPr="00881290" w:rsidRDefault="00C77CF9" w:rsidP="00F40C47">
      <w:pPr>
        <w:jc w:val="left"/>
        <w:rPr>
          <w:rFonts w:asciiTheme="minorHAnsi" w:hAnsiTheme="minorHAnsi" w:cstheme="minorHAnsi"/>
          <w:sz w:val="20"/>
          <w:szCs w:val="20"/>
        </w:rPr>
      </w:pPr>
      <w:r w:rsidRPr="00881290">
        <w:rPr>
          <w:rFonts w:asciiTheme="minorHAnsi" w:hAnsiTheme="minorHAnsi" w:cstheme="minorHAnsi"/>
          <w:sz w:val="20"/>
          <w:szCs w:val="20"/>
        </w:rPr>
        <w:footnoteRef/>
      </w:r>
      <w:r w:rsidRPr="00881290">
        <w:rPr>
          <w:rFonts w:asciiTheme="minorHAnsi" w:hAnsiTheme="minorHAnsi" w:cstheme="minorHAnsi"/>
          <w:sz w:val="20"/>
          <w:szCs w:val="20"/>
        </w:rPr>
        <w:t xml:space="preserve"> PBAC Meeting Outcomes, https://www.pbs.gov.au/industry/listing/elements/pbac-meetings/pbac-outcomes/2022-05/May-2022-PBAC-Web-Outcomes.pdf</w:t>
      </w:r>
    </w:p>
  </w:footnote>
  <w:footnote w:id="2">
    <w:p w14:paraId="57324CE0" w14:textId="77777777" w:rsidR="00C77CF9" w:rsidRPr="00881290" w:rsidRDefault="00C77CF9" w:rsidP="00F40C47">
      <w:pPr>
        <w:jc w:val="left"/>
        <w:rPr>
          <w:sz w:val="20"/>
          <w:szCs w:val="20"/>
          <w:lang w:val="en-GB"/>
        </w:rPr>
      </w:pPr>
      <w:r w:rsidRPr="00881290">
        <w:rPr>
          <w:sz w:val="20"/>
          <w:szCs w:val="20"/>
        </w:rPr>
        <w:footnoteRef/>
      </w:r>
      <w:r w:rsidRPr="00881290">
        <w:rPr>
          <w:sz w:val="20"/>
          <w:szCs w:val="20"/>
        </w:rPr>
        <w:t xml:space="preserve"> </w:t>
      </w:r>
      <w:hyperlink r:id="rId1" w:history="1">
        <w:r w:rsidRPr="00881290">
          <w:rPr>
            <w:sz w:val="20"/>
            <w:szCs w:val="20"/>
          </w:rPr>
          <w:t>https://www.pbs.gov.au/medicine/item/5827Q</w:t>
        </w:r>
      </w:hyperlink>
      <w:r w:rsidRPr="00881290">
        <w:rPr>
          <w:sz w:val="20"/>
          <w:szCs w:val="20"/>
        </w:rPr>
        <w:t>, accessed 19 July, 2022.</w:t>
      </w:r>
    </w:p>
  </w:footnote>
  <w:footnote w:id="3">
    <w:p w14:paraId="39015F50" w14:textId="77777777" w:rsidR="00C77CF9" w:rsidRPr="00760649" w:rsidRDefault="00C77CF9" w:rsidP="00D3351D">
      <w:pPr>
        <w:rPr>
          <w:sz w:val="20"/>
          <w:szCs w:val="20"/>
        </w:rPr>
      </w:pPr>
      <w:r w:rsidRPr="00760649">
        <w:rPr>
          <w:sz w:val="20"/>
          <w:szCs w:val="20"/>
        </w:rPr>
        <w:footnoteRef/>
      </w:r>
      <w:r w:rsidRPr="00760649">
        <w:rPr>
          <w:sz w:val="20"/>
          <w:szCs w:val="20"/>
        </w:rPr>
        <w:t xml:space="preserve"> Choi P, Gordon J, Harvey M, Chong B. Presentation and outcome of idiopathic thrombocytopenic purpura in a single Australian centre</w:t>
      </w:r>
      <w:r w:rsidRPr="00760649">
        <w:rPr>
          <w:i/>
          <w:sz w:val="20"/>
          <w:szCs w:val="20"/>
        </w:rPr>
        <w:t>. Internal Med J</w:t>
      </w:r>
      <w:r w:rsidRPr="00760649">
        <w:rPr>
          <w:sz w:val="20"/>
          <w:szCs w:val="20"/>
        </w:rPr>
        <w:t xml:space="preserve"> 2012; 42:841-845.  </w:t>
      </w:r>
    </w:p>
  </w:footnote>
  <w:footnote w:id="4">
    <w:p w14:paraId="04B2606D" w14:textId="77777777" w:rsidR="00C77CF9" w:rsidRPr="00760649" w:rsidRDefault="00C77CF9" w:rsidP="00D3351D">
      <w:pPr>
        <w:rPr>
          <w:sz w:val="20"/>
          <w:szCs w:val="20"/>
        </w:rPr>
      </w:pPr>
      <w:r w:rsidRPr="00760649">
        <w:rPr>
          <w:sz w:val="20"/>
          <w:szCs w:val="20"/>
        </w:rPr>
        <w:footnoteRef/>
      </w:r>
      <w:r w:rsidRPr="00760649">
        <w:rPr>
          <w:sz w:val="20"/>
          <w:szCs w:val="20"/>
        </w:rPr>
        <w:t xml:space="preserve"> Choi P, Merriman E, Bennet A, et al. Consensus guidelines for the management of adult immune thrombocytopenia in Australia and New Zealand. </w:t>
      </w:r>
      <w:r w:rsidRPr="00760649">
        <w:rPr>
          <w:i/>
          <w:sz w:val="20"/>
          <w:szCs w:val="20"/>
        </w:rPr>
        <w:t>Med J Aust</w:t>
      </w:r>
      <w:r w:rsidRPr="00760649">
        <w:rPr>
          <w:sz w:val="20"/>
          <w:szCs w:val="20"/>
        </w:rPr>
        <w:t xml:space="preserve"> 2022; 216 (1): 43-52. </w:t>
      </w:r>
    </w:p>
  </w:footnote>
  <w:footnote w:id="5">
    <w:p w14:paraId="3A96143C" w14:textId="77777777" w:rsidR="00473D67" w:rsidRPr="00760649" w:rsidRDefault="00473D67" w:rsidP="00473D67">
      <w:pPr>
        <w:rPr>
          <w:sz w:val="20"/>
          <w:szCs w:val="20"/>
        </w:rPr>
      </w:pPr>
      <w:r w:rsidRPr="00760649">
        <w:rPr>
          <w:sz w:val="20"/>
          <w:szCs w:val="20"/>
        </w:rPr>
        <w:footnoteRef/>
      </w:r>
      <w:r w:rsidRPr="00760649">
        <w:rPr>
          <w:sz w:val="20"/>
          <w:szCs w:val="20"/>
        </w:rPr>
        <w:t xml:space="preserve"> </w:t>
      </w:r>
      <w:hyperlink r:id="rId2" w:history="1">
        <w:r w:rsidRPr="00760649">
          <w:rPr>
            <w:sz w:val="20"/>
            <w:szCs w:val="20"/>
          </w:rPr>
          <w:t>https://www.abs.gov.au/statistics/people/people-and-communities/cultural-diversity-census/2021</w:t>
        </w:r>
      </w:hyperlink>
      <w:r w:rsidRPr="00760649">
        <w:rPr>
          <w:sz w:val="20"/>
          <w:szCs w:val="20"/>
        </w:rPr>
        <w:t xml:space="preserve"> accessed 28 July, 2022. </w:t>
      </w:r>
    </w:p>
  </w:footnote>
  <w:footnote w:id="6">
    <w:p w14:paraId="2BE576C5" w14:textId="6A9136CE" w:rsidR="00C77CF9" w:rsidRPr="00794237" w:rsidRDefault="00C77CF9" w:rsidP="00045FF2">
      <w:pPr>
        <w:rPr>
          <w:sz w:val="20"/>
          <w:szCs w:val="20"/>
        </w:rPr>
      </w:pPr>
      <w:r w:rsidRPr="00794237">
        <w:rPr>
          <w:sz w:val="20"/>
          <w:szCs w:val="20"/>
        </w:rPr>
        <w:footnoteRef/>
      </w:r>
      <w:r w:rsidRPr="00794237">
        <w:rPr>
          <w:sz w:val="20"/>
          <w:szCs w:val="20"/>
        </w:rPr>
        <w:t xml:space="preserve"> Table</w:t>
      </w:r>
      <w:r w:rsidR="00EF2BB8">
        <w:rPr>
          <w:sz w:val="20"/>
          <w:szCs w:val="20"/>
        </w:rPr>
        <w:t xml:space="preserve"> </w:t>
      </w:r>
      <w:r w:rsidRPr="00794237">
        <w:rPr>
          <w:sz w:val="20"/>
          <w:szCs w:val="20"/>
        </w:rPr>
        <w:t xml:space="preserve">1, </w:t>
      </w:r>
      <w:hyperlink r:id="rId3" w:history="1">
        <w:r w:rsidRPr="00794237">
          <w:rPr>
            <w:sz w:val="20"/>
            <w:szCs w:val="20"/>
          </w:rPr>
          <w:t>https://apps.who.int/iris/handle/10665/37200</w:t>
        </w:r>
      </w:hyperlink>
      <w:r>
        <w:rPr>
          <w:sz w:val="20"/>
          <w:szCs w:val="20"/>
        </w:rPr>
        <w:t>.</w:t>
      </w:r>
      <w:r w:rsidRPr="00794237">
        <w:rPr>
          <w:sz w:val="20"/>
          <w:szCs w:val="20"/>
        </w:rPr>
        <w:t xml:space="preserve"> Accessed 21 July, 2022</w:t>
      </w:r>
    </w:p>
  </w:footnote>
  <w:footnote w:id="7">
    <w:p w14:paraId="6D92A9C0" w14:textId="7E585368" w:rsidR="00186C47" w:rsidRPr="00074B1A" w:rsidRDefault="00186C47">
      <w:pPr>
        <w:pStyle w:val="FootnoteText"/>
        <w:rPr>
          <w:sz w:val="18"/>
          <w:szCs w:val="18"/>
        </w:rPr>
      </w:pPr>
      <w:r w:rsidRPr="00074B1A">
        <w:rPr>
          <w:rStyle w:val="FootnoteReference"/>
          <w:sz w:val="18"/>
          <w:szCs w:val="18"/>
        </w:rPr>
        <w:footnoteRef/>
      </w:r>
      <w:r w:rsidRPr="00074B1A">
        <w:rPr>
          <w:sz w:val="18"/>
          <w:szCs w:val="18"/>
        </w:rPr>
        <w:t xml:space="preserve"> Li C, Li X, Huang F, Yang J, Wu A, Wang L, Qin D, Zou W, Wu J. Efficacy and safety of avatrombopag in patients with thrombocytopenia: a systematic review and meta-analysis of randomized controlled trials. Frontiers in Pharmacology. 2019 Jul 26;10:829.</w:t>
      </w:r>
    </w:p>
  </w:footnote>
  <w:footnote w:id="8">
    <w:p w14:paraId="60D3648F" w14:textId="0CDB2F73" w:rsidR="00186C47" w:rsidRPr="00074B1A" w:rsidRDefault="00186C47">
      <w:pPr>
        <w:pStyle w:val="FootnoteText"/>
        <w:rPr>
          <w:sz w:val="18"/>
          <w:szCs w:val="18"/>
        </w:rPr>
      </w:pPr>
      <w:r w:rsidRPr="00074B1A">
        <w:rPr>
          <w:rStyle w:val="FootnoteReference"/>
          <w:sz w:val="18"/>
          <w:szCs w:val="18"/>
        </w:rPr>
        <w:footnoteRef/>
      </w:r>
      <w:r w:rsidRPr="00074B1A">
        <w:rPr>
          <w:sz w:val="18"/>
          <w:szCs w:val="18"/>
        </w:rPr>
        <w:t xml:space="preserve"> Wojciechowski P, Wilson K, Nazir J, Pustułka I, Tytuła A, Smela B, Pochopien M, Vredenburg M, McCrae KR, Jurczak W. Efficacy and safety of avatrombopag in patients with chronic immune thrombocytopenia: a systematic literature review and network meta-analysis. Advances in therapy. 2021 Jun;38(6):3113-28.</w:t>
      </w:r>
    </w:p>
  </w:footnote>
  <w:footnote w:id="9">
    <w:p w14:paraId="781C2EE9" w14:textId="04943386" w:rsidR="00186C47" w:rsidRPr="00074B1A" w:rsidRDefault="00186C47">
      <w:pPr>
        <w:pStyle w:val="FootnoteText"/>
        <w:rPr>
          <w:sz w:val="18"/>
          <w:szCs w:val="18"/>
        </w:rPr>
      </w:pPr>
      <w:r w:rsidRPr="00074B1A">
        <w:rPr>
          <w:rStyle w:val="FootnoteReference"/>
          <w:sz w:val="18"/>
          <w:szCs w:val="18"/>
        </w:rPr>
        <w:footnoteRef/>
      </w:r>
      <w:r w:rsidRPr="00074B1A">
        <w:rPr>
          <w:sz w:val="18"/>
          <w:szCs w:val="18"/>
        </w:rPr>
        <w:t xml:space="preserve"> Deng J, Hu H, Huang F, Huang C, Huang Q, Wang L, Wu A, Yang J, Qin D, Zou W, Wu J. Comparative Efficacy and Safety of Thrombopoietin Receptor Agonists in Adults With Thrombocytopenia: A Systematic Review and Network Meta-analysis of Randomized Controlled Trial. Frontiers in pharmacology. 2021:1951.</w:t>
      </w:r>
    </w:p>
  </w:footnote>
  <w:footnote w:id="10">
    <w:p w14:paraId="5D885D5C" w14:textId="2E6B2D90" w:rsidR="00186C47" w:rsidRPr="00074B1A" w:rsidRDefault="00186C47">
      <w:pPr>
        <w:pStyle w:val="FootnoteText"/>
        <w:rPr>
          <w:sz w:val="18"/>
          <w:szCs w:val="18"/>
        </w:rPr>
      </w:pPr>
      <w:r w:rsidRPr="00074B1A">
        <w:rPr>
          <w:rStyle w:val="FootnoteReference"/>
          <w:sz w:val="18"/>
          <w:szCs w:val="18"/>
        </w:rPr>
        <w:footnoteRef/>
      </w:r>
      <w:r w:rsidRPr="00074B1A">
        <w:rPr>
          <w:sz w:val="18"/>
          <w:szCs w:val="18"/>
        </w:rPr>
        <w:t xml:space="preserve"> Yang R, Lin L, Yao H, Ji O, Shen Q. Therapeutic options for adult patients with previously treated immune thrombocytopenia–a systematic review and network meta-analysis. Hematology. 2019 Jan 1;24(1):290-9.</w:t>
      </w:r>
    </w:p>
  </w:footnote>
  <w:footnote w:id="11">
    <w:p w14:paraId="3C4F2BC7" w14:textId="6124DB58" w:rsidR="00186C47" w:rsidRPr="00074B1A" w:rsidRDefault="00186C47">
      <w:pPr>
        <w:pStyle w:val="FootnoteText"/>
        <w:rPr>
          <w:sz w:val="18"/>
          <w:szCs w:val="18"/>
        </w:rPr>
      </w:pPr>
      <w:r w:rsidRPr="00074B1A">
        <w:rPr>
          <w:rStyle w:val="FootnoteReference"/>
          <w:sz w:val="18"/>
          <w:szCs w:val="18"/>
        </w:rPr>
        <w:footnoteRef/>
      </w:r>
      <w:r w:rsidRPr="00074B1A">
        <w:rPr>
          <w:sz w:val="18"/>
          <w:szCs w:val="18"/>
        </w:rPr>
        <w:t xml:space="preserve"> Al‐Samkari H, Jiang D, Gernsheimer T, Liebman H, Lee S, Wojdyla M, Vredenburg M, Cuker A. Adults with immune thrombocytopenia who switched to avatrombopag following prior treatment with eltrombopag or romiplostim: A multicentre US study. British Journal of Haematology. 2022 May;197(3):359-66.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532C" w14:textId="77777777" w:rsidR="00E10198" w:rsidRDefault="00E10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58936F76" w:rsidR="00C77CF9" w:rsidRPr="00195452" w:rsidRDefault="00837E4E" w:rsidP="00167F3A">
    <w:pPr>
      <w:pStyle w:val="Header"/>
      <w:rPr>
        <w:rFonts w:asciiTheme="minorHAnsi" w:hAnsiTheme="minorHAnsi"/>
        <w:i/>
        <w:color w:val="808080"/>
      </w:rPr>
    </w:pPr>
    <w:r>
      <w:rPr>
        <w:rFonts w:asciiTheme="minorHAnsi" w:hAnsiTheme="minorHAnsi"/>
        <w:i/>
        <w:color w:val="808080"/>
      </w:rPr>
      <w:t>Public Summary Document</w:t>
    </w:r>
    <w:r w:rsidR="005307B6" w:rsidRPr="00056684">
      <w:rPr>
        <w:rFonts w:asciiTheme="minorHAnsi" w:hAnsiTheme="minorHAnsi"/>
        <w:i/>
        <w:color w:val="808080"/>
      </w:rPr>
      <w:t xml:space="preserve"> – </w:t>
    </w:r>
    <w:r w:rsidR="00C77CF9">
      <w:rPr>
        <w:rFonts w:asciiTheme="minorHAnsi" w:hAnsiTheme="minorHAnsi"/>
        <w:i/>
        <w:color w:val="808080"/>
      </w:rPr>
      <w:t xml:space="preserve">November 2022 </w:t>
    </w:r>
    <w:r w:rsidR="00C77CF9" w:rsidRPr="00195452">
      <w:rPr>
        <w:rFonts w:asciiTheme="minorHAnsi" w:hAnsiTheme="minorHAnsi"/>
        <w:i/>
        <w:color w:val="808080"/>
      </w:rPr>
      <w:t>PBAC Meeting</w:t>
    </w:r>
  </w:p>
  <w:p w14:paraId="03AF943B" w14:textId="77777777" w:rsidR="00C77CF9" w:rsidRPr="008C7ECB" w:rsidRDefault="00C77C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6664" w14:textId="77777777" w:rsidR="00E10198" w:rsidRDefault="00E10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A8B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F37924"/>
    <w:multiLevelType w:val="hybridMultilevel"/>
    <w:tmpl w:val="6712A1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50106"/>
    <w:multiLevelType w:val="hybridMultilevel"/>
    <w:tmpl w:val="D56645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877334"/>
    <w:multiLevelType w:val="hybridMultilevel"/>
    <w:tmpl w:val="DD7A2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8503E0"/>
    <w:multiLevelType w:val="hybridMultilevel"/>
    <w:tmpl w:val="9BAA742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F65F13"/>
    <w:multiLevelType w:val="multilevel"/>
    <w:tmpl w:val="36607B14"/>
    <w:lvl w:ilvl="0">
      <w:start w:val="1"/>
      <w:numFmt w:val="bullet"/>
      <w:lvlText w:val=""/>
      <w:lvlJc w:val="left"/>
      <w:pPr>
        <w:ind w:left="1080" w:hanging="36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42C8F"/>
    <w:multiLevelType w:val="hybridMultilevel"/>
    <w:tmpl w:val="6EF637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0152A9"/>
    <w:multiLevelType w:val="hybridMultilevel"/>
    <w:tmpl w:val="A38819F0"/>
    <w:lvl w:ilvl="0" w:tplc="901AB874">
      <w:start w:val="1"/>
      <w:numFmt w:val="decimal"/>
      <w:lvlText w:val="%1."/>
      <w:lvlJc w:val="left"/>
      <w:pPr>
        <w:tabs>
          <w:tab w:val="num" w:pos="720"/>
        </w:tabs>
        <w:ind w:left="720" w:hanging="360"/>
      </w:pPr>
    </w:lvl>
    <w:lvl w:ilvl="1" w:tplc="F424A4A8" w:tentative="1">
      <w:start w:val="1"/>
      <w:numFmt w:val="decimal"/>
      <w:lvlText w:val="%2."/>
      <w:lvlJc w:val="left"/>
      <w:pPr>
        <w:tabs>
          <w:tab w:val="num" w:pos="1440"/>
        </w:tabs>
        <w:ind w:left="1440" w:hanging="360"/>
      </w:pPr>
    </w:lvl>
    <w:lvl w:ilvl="2" w:tplc="386E2256" w:tentative="1">
      <w:start w:val="1"/>
      <w:numFmt w:val="decimal"/>
      <w:lvlText w:val="%3."/>
      <w:lvlJc w:val="left"/>
      <w:pPr>
        <w:tabs>
          <w:tab w:val="num" w:pos="2160"/>
        </w:tabs>
        <w:ind w:left="2160" w:hanging="360"/>
      </w:pPr>
    </w:lvl>
    <w:lvl w:ilvl="3" w:tplc="8286E30C" w:tentative="1">
      <w:start w:val="1"/>
      <w:numFmt w:val="decimal"/>
      <w:lvlText w:val="%4."/>
      <w:lvlJc w:val="left"/>
      <w:pPr>
        <w:tabs>
          <w:tab w:val="num" w:pos="2880"/>
        </w:tabs>
        <w:ind w:left="2880" w:hanging="360"/>
      </w:pPr>
    </w:lvl>
    <w:lvl w:ilvl="4" w:tplc="F6C20B0E" w:tentative="1">
      <w:start w:val="1"/>
      <w:numFmt w:val="decimal"/>
      <w:lvlText w:val="%5."/>
      <w:lvlJc w:val="left"/>
      <w:pPr>
        <w:tabs>
          <w:tab w:val="num" w:pos="3600"/>
        </w:tabs>
        <w:ind w:left="3600" w:hanging="360"/>
      </w:pPr>
    </w:lvl>
    <w:lvl w:ilvl="5" w:tplc="68447B92" w:tentative="1">
      <w:start w:val="1"/>
      <w:numFmt w:val="decimal"/>
      <w:lvlText w:val="%6."/>
      <w:lvlJc w:val="left"/>
      <w:pPr>
        <w:tabs>
          <w:tab w:val="num" w:pos="4320"/>
        </w:tabs>
        <w:ind w:left="4320" w:hanging="360"/>
      </w:pPr>
    </w:lvl>
    <w:lvl w:ilvl="6" w:tplc="13E6B02A" w:tentative="1">
      <w:start w:val="1"/>
      <w:numFmt w:val="decimal"/>
      <w:lvlText w:val="%7."/>
      <w:lvlJc w:val="left"/>
      <w:pPr>
        <w:tabs>
          <w:tab w:val="num" w:pos="5040"/>
        </w:tabs>
        <w:ind w:left="5040" w:hanging="360"/>
      </w:pPr>
    </w:lvl>
    <w:lvl w:ilvl="7" w:tplc="DDB89D9E" w:tentative="1">
      <w:start w:val="1"/>
      <w:numFmt w:val="decimal"/>
      <w:lvlText w:val="%8."/>
      <w:lvlJc w:val="left"/>
      <w:pPr>
        <w:tabs>
          <w:tab w:val="num" w:pos="5760"/>
        </w:tabs>
        <w:ind w:left="5760" w:hanging="360"/>
      </w:pPr>
    </w:lvl>
    <w:lvl w:ilvl="8" w:tplc="32C28AA4" w:tentative="1">
      <w:start w:val="1"/>
      <w:numFmt w:val="decimal"/>
      <w:lvlText w:val="%9."/>
      <w:lvlJc w:val="left"/>
      <w:pPr>
        <w:tabs>
          <w:tab w:val="num" w:pos="6480"/>
        </w:tabs>
        <w:ind w:left="6480" w:hanging="360"/>
      </w:pPr>
    </w:lvl>
  </w:abstractNum>
  <w:abstractNum w:abstractNumId="18" w15:restartNumberingAfterBreak="0">
    <w:nsid w:val="5F104424"/>
    <w:multiLevelType w:val="hybridMultilevel"/>
    <w:tmpl w:val="B04250F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A15F2B"/>
    <w:multiLevelType w:val="multilevel"/>
    <w:tmpl w:val="8D9650BC"/>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CE57E7"/>
    <w:multiLevelType w:val="multilevel"/>
    <w:tmpl w:val="FD1CA44E"/>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bullet"/>
      <w:lvlText w:val=""/>
      <w:lvlJc w:val="left"/>
      <w:pPr>
        <w:tabs>
          <w:tab w:val="num" w:pos="2880"/>
        </w:tabs>
        <w:ind w:left="2880" w:hanging="720"/>
      </w:pPr>
      <w:rPr>
        <w:rFonts w:ascii="Symbol" w:hAnsi="Symbol" w:hint="default"/>
      </w:r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5" w15:restartNumberingAfterBreak="0">
    <w:nsid w:val="7C663B23"/>
    <w:multiLevelType w:val="multilevel"/>
    <w:tmpl w:val="36607B14"/>
    <w:lvl w:ilvl="0">
      <w:start w:val="1"/>
      <w:numFmt w:val="bullet"/>
      <w:lvlText w:val=""/>
      <w:lvlJc w:val="left"/>
      <w:pPr>
        <w:ind w:left="1080" w:hanging="36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num w:numId="1">
    <w:abstractNumId w:val="23"/>
  </w:num>
  <w:num w:numId="2">
    <w:abstractNumId w:val="12"/>
  </w:num>
  <w:num w:numId="3">
    <w:abstractNumId w:val="13"/>
  </w:num>
  <w:num w:numId="4">
    <w:abstractNumId w:val="0"/>
  </w:num>
  <w:num w:numId="5">
    <w:abstractNumId w:val="23"/>
  </w:num>
  <w:num w:numId="6">
    <w:abstractNumId w:val="20"/>
  </w:num>
  <w:num w:numId="7">
    <w:abstractNumId w:val="11"/>
  </w:num>
  <w:num w:numId="8">
    <w:abstractNumId w:val="25"/>
  </w:num>
  <w:num w:numId="9">
    <w:abstractNumId w:val="22"/>
  </w:num>
  <w:num w:numId="10">
    <w:abstractNumId w:val="24"/>
  </w:num>
  <w:num w:numId="11">
    <w:abstractNumId w:val="18"/>
  </w:num>
  <w:num w:numId="12">
    <w:abstractNumId w:val="6"/>
  </w:num>
  <w:num w:numId="13">
    <w:abstractNumId w:val="14"/>
  </w:num>
  <w:num w:numId="14">
    <w:abstractNumId w:val="3"/>
  </w:num>
  <w:num w:numId="15">
    <w:abstractNumId w:val="2"/>
  </w:num>
  <w:num w:numId="16">
    <w:abstractNumId w:val="15"/>
  </w:num>
  <w:num w:numId="17">
    <w:abstractNumId w:val="16"/>
  </w:num>
  <w:num w:numId="18">
    <w:abstractNumId w:val="4"/>
  </w:num>
  <w:num w:numId="19">
    <w:abstractNumId w:val="1"/>
  </w:num>
  <w:num w:numId="20">
    <w:abstractNumId w:val="8"/>
  </w:num>
  <w:num w:numId="21">
    <w:abstractNumId w:val="10"/>
  </w:num>
  <w:num w:numId="22">
    <w:abstractNumId w:val="7"/>
  </w:num>
  <w:num w:numId="2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9"/>
  </w:num>
  <w:num w:numId="26">
    <w:abstractNumId w:val="23"/>
  </w:num>
  <w:num w:numId="27">
    <w:abstractNumId w:val="17"/>
  </w:num>
  <w:num w:numId="28">
    <w:abstractNumId w:val="5"/>
  </w:num>
  <w:num w:numId="29">
    <w:abstractNumId w:val="23"/>
  </w:num>
  <w:num w:numId="30">
    <w:abstractNumId w:val="23"/>
  </w:num>
  <w:num w:numId="3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6CE"/>
    <w:rsid w:val="00003499"/>
    <w:rsid w:val="000039B7"/>
    <w:rsid w:val="000056B9"/>
    <w:rsid w:val="0000639A"/>
    <w:rsid w:val="00013247"/>
    <w:rsid w:val="00015502"/>
    <w:rsid w:val="00015886"/>
    <w:rsid w:val="000162EF"/>
    <w:rsid w:val="000207C9"/>
    <w:rsid w:val="0002225F"/>
    <w:rsid w:val="00023763"/>
    <w:rsid w:val="00023BDD"/>
    <w:rsid w:val="00024EB5"/>
    <w:rsid w:val="000274B8"/>
    <w:rsid w:val="00027C6E"/>
    <w:rsid w:val="0003019A"/>
    <w:rsid w:val="00030DE3"/>
    <w:rsid w:val="00032021"/>
    <w:rsid w:val="00033863"/>
    <w:rsid w:val="00035695"/>
    <w:rsid w:val="00035DC0"/>
    <w:rsid w:val="00036829"/>
    <w:rsid w:val="00040895"/>
    <w:rsid w:val="000410A0"/>
    <w:rsid w:val="000435EE"/>
    <w:rsid w:val="00043C37"/>
    <w:rsid w:val="00045017"/>
    <w:rsid w:val="00045A2B"/>
    <w:rsid w:val="00045FF2"/>
    <w:rsid w:val="0004698F"/>
    <w:rsid w:val="00046D64"/>
    <w:rsid w:val="000508C2"/>
    <w:rsid w:val="000539D0"/>
    <w:rsid w:val="0005444F"/>
    <w:rsid w:val="00054621"/>
    <w:rsid w:val="000546D7"/>
    <w:rsid w:val="00054A8D"/>
    <w:rsid w:val="00056ECF"/>
    <w:rsid w:val="000604DF"/>
    <w:rsid w:val="00062324"/>
    <w:rsid w:val="000653B5"/>
    <w:rsid w:val="00066360"/>
    <w:rsid w:val="00066AF8"/>
    <w:rsid w:val="00067BA0"/>
    <w:rsid w:val="00070DCF"/>
    <w:rsid w:val="00071248"/>
    <w:rsid w:val="000720B9"/>
    <w:rsid w:val="00072D4C"/>
    <w:rsid w:val="000737F7"/>
    <w:rsid w:val="00074B1A"/>
    <w:rsid w:val="0007517B"/>
    <w:rsid w:val="00075783"/>
    <w:rsid w:val="0007672F"/>
    <w:rsid w:val="00076966"/>
    <w:rsid w:val="00076B54"/>
    <w:rsid w:val="000774F0"/>
    <w:rsid w:val="00080909"/>
    <w:rsid w:val="000812CA"/>
    <w:rsid w:val="00081E63"/>
    <w:rsid w:val="0008258D"/>
    <w:rsid w:val="000835A8"/>
    <w:rsid w:val="00083E99"/>
    <w:rsid w:val="0008423A"/>
    <w:rsid w:val="00084FA8"/>
    <w:rsid w:val="000856C5"/>
    <w:rsid w:val="00085C31"/>
    <w:rsid w:val="000902D9"/>
    <w:rsid w:val="00090C7E"/>
    <w:rsid w:val="000911AC"/>
    <w:rsid w:val="00092600"/>
    <w:rsid w:val="0009262B"/>
    <w:rsid w:val="00092AA3"/>
    <w:rsid w:val="00093310"/>
    <w:rsid w:val="0009445C"/>
    <w:rsid w:val="00095200"/>
    <w:rsid w:val="00095FE5"/>
    <w:rsid w:val="00096284"/>
    <w:rsid w:val="000A1BC0"/>
    <w:rsid w:val="000A2F9E"/>
    <w:rsid w:val="000A3E47"/>
    <w:rsid w:val="000A522B"/>
    <w:rsid w:val="000A6039"/>
    <w:rsid w:val="000A63F9"/>
    <w:rsid w:val="000A700D"/>
    <w:rsid w:val="000A70AE"/>
    <w:rsid w:val="000A7453"/>
    <w:rsid w:val="000A7D08"/>
    <w:rsid w:val="000B0121"/>
    <w:rsid w:val="000B05E0"/>
    <w:rsid w:val="000B0670"/>
    <w:rsid w:val="000B0E75"/>
    <w:rsid w:val="000B2DCB"/>
    <w:rsid w:val="000B52F2"/>
    <w:rsid w:val="000B5AB2"/>
    <w:rsid w:val="000B5CE0"/>
    <w:rsid w:val="000B6CAC"/>
    <w:rsid w:val="000B7612"/>
    <w:rsid w:val="000B78AE"/>
    <w:rsid w:val="000C0B9F"/>
    <w:rsid w:val="000C3DF9"/>
    <w:rsid w:val="000C4CF2"/>
    <w:rsid w:val="000C4EAE"/>
    <w:rsid w:val="000C537F"/>
    <w:rsid w:val="000C5CFE"/>
    <w:rsid w:val="000C6713"/>
    <w:rsid w:val="000C7122"/>
    <w:rsid w:val="000D1BFC"/>
    <w:rsid w:val="000D1D5D"/>
    <w:rsid w:val="000D21D3"/>
    <w:rsid w:val="000D281A"/>
    <w:rsid w:val="000D2848"/>
    <w:rsid w:val="000D2E03"/>
    <w:rsid w:val="000D326A"/>
    <w:rsid w:val="000D51FB"/>
    <w:rsid w:val="000D7094"/>
    <w:rsid w:val="000E0640"/>
    <w:rsid w:val="000E135D"/>
    <w:rsid w:val="000E1608"/>
    <w:rsid w:val="000F00BA"/>
    <w:rsid w:val="000F167F"/>
    <w:rsid w:val="000F316A"/>
    <w:rsid w:val="000F3C74"/>
    <w:rsid w:val="000F4BB8"/>
    <w:rsid w:val="000F4FA9"/>
    <w:rsid w:val="000F53FB"/>
    <w:rsid w:val="000F7127"/>
    <w:rsid w:val="000F75E7"/>
    <w:rsid w:val="000F796F"/>
    <w:rsid w:val="000F7B54"/>
    <w:rsid w:val="001000B3"/>
    <w:rsid w:val="00100F8A"/>
    <w:rsid w:val="00101C1A"/>
    <w:rsid w:val="00102259"/>
    <w:rsid w:val="0010452E"/>
    <w:rsid w:val="00104F4C"/>
    <w:rsid w:val="00105A54"/>
    <w:rsid w:val="00105AE2"/>
    <w:rsid w:val="001060C6"/>
    <w:rsid w:val="00106B80"/>
    <w:rsid w:val="001073F3"/>
    <w:rsid w:val="0011032E"/>
    <w:rsid w:val="0011348B"/>
    <w:rsid w:val="001149A9"/>
    <w:rsid w:val="00115982"/>
    <w:rsid w:val="00116C53"/>
    <w:rsid w:val="00121799"/>
    <w:rsid w:val="001222AE"/>
    <w:rsid w:val="001222FC"/>
    <w:rsid w:val="00123902"/>
    <w:rsid w:val="00124A51"/>
    <w:rsid w:val="00125E9E"/>
    <w:rsid w:val="00126621"/>
    <w:rsid w:val="00126B1D"/>
    <w:rsid w:val="001301E9"/>
    <w:rsid w:val="00131D82"/>
    <w:rsid w:val="00132B22"/>
    <w:rsid w:val="00132FDD"/>
    <w:rsid w:val="00133D36"/>
    <w:rsid w:val="00135D3D"/>
    <w:rsid w:val="00137645"/>
    <w:rsid w:val="0014015A"/>
    <w:rsid w:val="00140E99"/>
    <w:rsid w:val="001418C5"/>
    <w:rsid w:val="00141F99"/>
    <w:rsid w:val="001429DB"/>
    <w:rsid w:val="00143F67"/>
    <w:rsid w:val="00144CF0"/>
    <w:rsid w:val="00145234"/>
    <w:rsid w:val="00145492"/>
    <w:rsid w:val="00145540"/>
    <w:rsid w:val="001456B0"/>
    <w:rsid w:val="00147FDA"/>
    <w:rsid w:val="00150917"/>
    <w:rsid w:val="001547AB"/>
    <w:rsid w:val="0015541B"/>
    <w:rsid w:val="00156F8F"/>
    <w:rsid w:val="00157130"/>
    <w:rsid w:val="001576B1"/>
    <w:rsid w:val="00157B0C"/>
    <w:rsid w:val="00157BE3"/>
    <w:rsid w:val="0016047B"/>
    <w:rsid w:val="00160A4C"/>
    <w:rsid w:val="00162913"/>
    <w:rsid w:val="00163EFF"/>
    <w:rsid w:val="00163F66"/>
    <w:rsid w:val="0016478E"/>
    <w:rsid w:val="00164A52"/>
    <w:rsid w:val="00165EC4"/>
    <w:rsid w:val="001661FB"/>
    <w:rsid w:val="001671A0"/>
    <w:rsid w:val="0016767F"/>
    <w:rsid w:val="00167F3A"/>
    <w:rsid w:val="00170F46"/>
    <w:rsid w:val="00173565"/>
    <w:rsid w:val="00173A90"/>
    <w:rsid w:val="00173B07"/>
    <w:rsid w:val="001751FA"/>
    <w:rsid w:val="00181C10"/>
    <w:rsid w:val="00181D9C"/>
    <w:rsid w:val="001837FF"/>
    <w:rsid w:val="00183E8A"/>
    <w:rsid w:val="00184B0E"/>
    <w:rsid w:val="00186C47"/>
    <w:rsid w:val="0018752F"/>
    <w:rsid w:val="001923E3"/>
    <w:rsid w:val="00192BA9"/>
    <w:rsid w:val="00193838"/>
    <w:rsid w:val="00194289"/>
    <w:rsid w:val="00194AD8"/>
    <w:rsid w:val="00195222"/>
    <w:rsid w:val="00195452"/>
    <w:rsid w:val="00195544"/>
    <w:rsid w:val="001975D8"/>
    <w:rsid w:val="001A123C"/>
    <w:rsid w:val="001A178E"/>
    <w:rsid w:val="001A21AD"/>
    <w:rsid w:val="001A43FA"/>
    <w:rsid w:val="001A47C5"/>
    <w:rsid w:val="001A59FB"/>
    <w:rsid w:val="001A5E9E"/>
    <w:rsid w:val="001A5F82"/>
    <w:rsid w:val="001A6354"/>
    <w:rsid w:val="001A6366"/>
    <w:rsid w:val="001A793C"/>
    <w:rsid w:val="001A7AE8"/>
    <w:rsid w:val="001B13FB"/>
    <w:rsid w:val="001B204E"/>
    <w:rsid w:val="001B2372"/>
    <w:rsid w:val="001B2D80"/>
    <w:rsid w:val="001B3443"/>
    <w:rsid w:val="001B4D20"/>
    <w:rsid w:val="001B7F84"/>
    <w:rsid w:val="001C070C"/>
    <w:rsid w:val="001C1C52"/>
    <w:rsid w:val="001C2343"/>
    <w:rsid w:val="001C2498"/>
    <w:rsid w:val="001C2A9B"/>
    <w:rsid w:val="001C3DD6"/>
    <w:rsid w:val="001C4299"/>
    <w:rsid w:val="001C4874"/>
    <w:rsid w:val="001C5F94"/>
    <w:rsid w:val="001C6E66"/>
    <w:rsid w:val="001D0717"/>
    <w:rsid w:val="001D1100"/>
    <w:rsid w:val="001D11DA"/>
    <w:rsid w:val="001D1391"/>
    <w:rsid w:val="001D25D7"/>
    <w:rsid w:val="001D41AB"/>
    <w:rsid w:val="001D50B2"/>
    <w:rsid w:val="001D5674"/>
    <w:rsid w:val="001D67AF"/>
    <w:rsid w:val="001D71F4"/>
    <w:rsid w:val="001D7645"/>
    <w:rsid w:val="001E1E86"/>
    <w:rsid w:val="001E238E"/>
    <w:rsid w:val="001E2483"/>
    <w:rsid w:val="001E2B1E"/>
    <w:rsid w:val="001E2CFF"/>
    <w:rsid w:val="001E2D68"/>
    <w:rsid w:val="001E2F24"/>
    <w:rsid w:val="001E30D4"/>
    <w:rsid w:val="001E34DF"/>
    <w:rsid w:val="001E52EB"/>
    <w:rsid w:val="001E61D2"/>
    <w:rsid w:val="001E70F6"/>
    <w:rsid w:val="001E740C"/>
    <w:rsid w:val="001F1235"/>
    <w:rsid w:val="001F1CB3"/>
    <w:rsid w:val="001F38B5"/>
    <w:rsid w:val="001F4081"/>
    <w:rsid w:val="001F6264"/>
    <w:rsid w:val="001F7361"/>
    <w:rsid w:val="002011B0"/>
    <w:rsid w:val="00202632"/>
    <w:rsid w:val="002029BA"/>
    <w:rsid w:val="00203181"/>
    <w:rsid w:val="00203783"/>
    <w:rsid w:val="0020385F"/>
    <w:rsid w:val="00204085"/>
    <w:rsid w:val="0020647B"/>
    <w:rsid w:val="002068A0"/>
    <w:rsid w:val="00207021"/>
    <w:rsid w:val="0020732F"/>
    <w:rsid w:val="00207D00"/>
    <w:rsid w:val="002105C1"/>
    <w:rsid w:val="002116FD"/>
    <w:rsid w:val="00211B0C"/>
    <w:rsid w:val="00213EF5"/>
    <w:rsid w:val="00216BF5"/>
    <w:rsid w:val="00221889"/>
    <w:rsid w:val="00221A9B"/>
    <w:rsid w:val="00223B49"/>
    <w:rsid w:val="00223D5A"/>
    <w:rsid w:val="00224DD4"/>
    <w:rsid w:val="002265E6"/>
    <w:rsid w:val="002278A0"/>
    <w:rsid w:val="002278BC"/>
    <w:rsid w:val="00230921"/>
    <w:rsid w:val="002309CC"/>
    <w:rsid w:val="00230B42"/>
    <w:rsid w:val="00231710"/>
    <w:rsid w:val="00231BA9"/>
    <w:rsid w:val="0023205C"/>
    <w:rsid w:val="0023209F"/>
    <w:rsid w:val="00233C01"/>
    <w:rsid w:val="0023413C"/>
    <w:rsid w:val="002346F0"/>
    <w:rsid w:val="0023629D"/>
    <w:rsid w:val="00237255"/>
    <w:rsid w:val="002424AF"/>
    <w:rsid w:val="002439DC"/>
    <w:rsid w:val="002441D2"/>
    <w:rsid w:val="00244842"/>
    <w:rsid w:val="00244DC8"/>
    <w:rsid w:val="00245053"/>
    <w:rsid w:val="002458BA"/>
    <w:rsid w:val="00245CE9"/>
    <w:rsid w:val="0024636C"/>
    <w:rsid w:val="00247925"/>
    <w:rsid w:val="00250D04"/>
    <w:rsid w:val="00251006"/>
    <w:rsid w:val="00251D63"/>
    <w:rsid w:val="002524D5"/>
    <w:rsid w:val="00253B1D"/>
    <w:rsid w:val="00254DCF"/>
    <w:rsid w:val="0025534B"/>
    <w:rsid w:val="00255BB7"/>
    <w:rsid w:val="00255E08"/>
    <w:rsid w:val="00256EE8"/>
    <w:rsid w:val="00257541"/>
    <w:rsid w:val="00257A39"/>
    <w:rsid w:val="00257AC4"/>
    <w:rsid w:val="00257BBE"/>
    <w:rsid w:val="00261EEF"/>
    <w:rsid w:val="00262A1A"/>
    <w:rsid w:val="00262A87"/>
    <w:rsid w:val="00264D26"/>
    <w:rsid w:val="00267642"/>
    <w:rsid w:val="00267AEA"/>
    <w:rsid w:val="002700E6"/>
    <w:rsid w:val="00270179"/>
    <w:rsid w:val="00271CB8"/>
    <w:rsid w:val="0027294B"/>
    <w:rsid w:val="00273EB4"/>
    <w:rsid w:val="00274682"/>
    <w:rsid w:val="00275158"/>
    <w:rsid w:val="002756AC"/>
    <w:rsid w:val="00275768"/>
    <w:rsid w:val="00275C5A"/>
    <w:rsid w:val="00281014"/>
    <w:rsid w:val="002811CB"/>
    <w:rsid w:val="00285A00"/>
    <w:rsid w:val="00285BCE"/>
    <w:rsid w:val="0028665D"/>
    <w:rsid w:val="002A14AB"/>
    <w:rsid w:val="002A2ADE"/>
    <w:rsid w:val="002A2F50"/>
    <w:rsid w:val="002A569A"/>
    <w:rsid w:val="002A7943"/>
    <w:rsid w:val="002B05A1"/>
    <w:rsid w:val="002B0701"/>
    <w:rsid w:val="002B0886"/>
    <w:rsid w:val="002B09A4"/>
    <w:rsid w:val="002B1C1F"/>
    <w:rsid w:val="002B2533"/>
    <w:rsid w:val="002B432F"/>
    <w:rsid w:val="002B582E"/>
    <w:rsid w:val="002B62B3"/>
    <w:rsid w:val="002B6754"/>
    <w:rsid w:val="002B6CCE"/>
    <w:rsid w:val="002C0F67"/>
    <w:rsid w:val="002C22D4"/>
    <w:rsid w:val="002C2510"/>
    <w:rsid w:val="002C2775"/>
    <w:rsid w:val="002C27C1"/>
    <w:rsid w:val="002C36E3"/>
    <w:rsid w:val="002C4E52"/>
    <w:rsid w:val="002C5099"/>
    <w:rsid w:val="002C5889"/>
    <w:rsid w:val="002C58E2"/>
    <w:rsid w:val="002C69BD"/>
    <w:rsid w:val="002C71CE"/>
    <w:rsid w:val="002C7437"/>
    <w:rsid w:val="002C7A50"/>
    <w:rsid w:val="002D08F8"/>
    <w:rsid w:val="002D0F8B"/>
    <w:rsid w:val="002D1720"/>
    <w:rsid w:val="002D3244"/>
    <w:rsid w:val="002D577C"/>
    <w:rsid w:val="002D700B"/>
    <w:rsid w:val="002D7832"/>
    <w:rsid w:val="002E1071"/>
    <w:rsid w:val="002E15B9"/>
    <w:rsid w:val="002E2158"/>
    <w:rsid w:val="002E39CB"/>
    <w:rsid w:val="002E4697"/>
    <w:rsid w:val="002E46FE"/>
    <w:rsid w:val="002E4972"/>
    <w:rsid w:val="002E4F02"/>
    <w:rsid w:val="002E5375"/>
    <w:rsid w:val="002E7722"/>
    <w:rsid w:val="002F07BA"/>
    <w:rsid w:val="002F095B"/>
    <w:rsid w:val="002F0DA9"/>
    <w:rsid w:val="002F1014"/>
    <w:rsid w:val="002F1470"/>
    <w:rsid w:val="002F1E3B"/>
    <w:rsid w:val="002F23CD"/>
    <w:rsid w:val="002F6019"/>
    <w:rsid w:val="002F643C"/>
    <w:rsid w:val="002F71C0"/>
    <w:rsid w:val="002F74F1"/>
    <w:rsid w:val="002F799C"/>
    <w:rsid w:val="00300313"/>
    <w:rsid w:val="00300859"/>
    <w:rsid w:val="00301017"/>
    <w:rsid w:val="0030155F"/>
    <w:rsid w:val="0030587B"/>
    <w:rsid w:val="00306D98"/>
    <w:rsid w:val="00306F96"/>
    <w:rsid w:val="0030786C"/>
    <w:rsid w:val="00307C6C"/>
    <w:rsid w:val="0031031A"/>
    <w:rsid w:val="003103B8"/>
    <w:rsid w:val="00310981"/>
    <w:rsid w:val="00311D9B"/>
    <w:rsid w:val="003124D9"/>
    <w:rsid w:val="00312594"/>
    <w:rsid w:val="00315498"/>
    <w:rsid w:val="00316474"/>
    <w:rsid w:val="00321C51"/>
    <w:rsid w:val="00322107"/>
    <w:rsid w:val="00322355"/>
    <w:rsid w:val="00322846"/>
    <w:rsid w:val="00323C9C"/>
    <w:rsid w:val="00326DA7"/>
    <w:rsid w:val="003270E4"/>
    <w:rsid w:val="00330DAA"/>
    <w:rsid w:val="00330F5C"/>
    <w:rsid w:val="003366C9"/>
    <w:rsid w:val="003371B0"/>
    <w:rsid w:val="00340DF1"/>
    <w:rsid w:val="00351423"/>
    <w:rsid w:val="003517F9"/>
    <w:rsid w:val="00351BA9"/>
    <w:rsid w:val="00351D12"/>
    <w:rsid w:val="003529F2"/>
    <w:rsid w:val="00354BB5"/>
    <w:rsid w:val="00354F64"/>
    <w:rsid w:val="0035620E"/>
    <w:rsid w:val="003575BE"/>
    <w:rsid w:val="00360345"/>
    <w:rsid w:val="00361A05"/>
    <w:rsid w:val="003624C4"/>
    <w:rsid w:val="00363B00"/>
    <w:rsid w:val="003654AC"/>
    <w:rsid w:val="00366255"/>
    <w:rsid w:val="003710CF"/>
    <w:rsid w:val="00371ACF"/>
    <w:rsid w:val="0037358A"/>
    <w:rsid w:val="003742E7"/>
    <w:rsid w:val="003750F6"/>
    <w:rsid w:val="00375F06"/>
    <w:rsid w:val="00375F62"/>
    <w:rsid w:val="003760FC"/>
    <w:rsid w:val="00376B81"/>
    <w:rsid w:val="00377298"/>
    <w:rsid w:val="00377C75"/>
    <w:rsid w:val="00377E1B"/>
    <w:rsid w:val="00382F9E"/>
    <w:rsid w:val="0038353C"/>
    <w:rsid w:val="0038365C"/>
    <w:rsid w:val="0038369B"/>
    <w:rsid w:val="00383B78"/>
    <w:rsid w:val="00384406"/>
    <w:rsid w:val="00385769"/>
    <w:rsid w:val="00385A9D"/>
    <w:rsid w:val="00387121"/>
    <w:rsid w:val="00387316"/>
    <w:rsid w:val="00387EBB"/>
    <w:rsid w:val="003902B1"/>
    <w:rsid w:val="00390ECD"/>
    <w:rsid w:val="0039179C"/>
    <w:rsid w:val="00394D8E"/>
    <w:rsid w:val="0039602B"/>
    <w:rsid w:val="00396896"/>
    <w:rsid w:val="00396FD0"/>
    <w:rsid w:val="003A1906"/>
    <w:rsid w:val="003A1A7A"/>
    <w:rsid w:val="003A2392"/>
    <w:rsid w:val="003A2831"/>
    <w:rsid w:val="003A3CB6"/>
    <w:rsid w:val="003A3ED1"/>
    <w:rsid w:val="003A44DB"/>
    <w:rsid w:val="003A4C14"/>
    <w:rsid w:val="003A7360"/>
    <w:rsid w:val="003A74BD"/>
    <w:rsid w:val="003A75A0"/>
    <w:rsid w:val="003B3971"/>
    <w:rsid w:val="003B55D1"/>
    <w:rsid w:val="003B5B61"/>
    <w:rsid w:val="003B5E0E"/>
    <w:rsid w:val="003C06E9"/>
    <w:rsid w:val="003C1654"/>
    <w:rsid w:val="003C5542"/>
    <w:rsid w:val="003C7C15"/>
    <w:rsid w:val="003C7D19"/>
    <w:rsid w:val="003C7D2F"/>
    <w:rsid w:val="003D0C5A"/>
    <w:rsid w:val="003D17C7"/>
    <w:rsid w:val="003D1828"/>
    <w:rsid w:val="003D1DE4"/>
    <w:rsid w:val="003D1E9A"/>
    <w:rsid w:val="003D2422"/>
    <w:rsid w:val="003D2551"/>
    <w:rsid w:val="003D2E9D"/>
    <w:rsid w:val="003D39A1"/>
    <w:rsid w:val="003D3FBF"/>
    <w:rsid w:val="003D4A30"/>
    <w:rsid w:val="003D7452"/>
    <w:rsid w:val="003D79BB"/>
    <w:rsid w:val="003D7C98"/>
    <w:rsid w:val="003D7D9D"/>
    <w:rsid w:val="003E0543"/>
    <w:rsid w:val="003E3EDA"/>
    <w:rsid w:val="003E5603"/>
    <w:rsid w:val="003E568F"/>
    <w:rsid w:val="003E749E"/>
    <w:rsid w:val="003F00CB"/>
    <w:rsid w:val="003F20B3"/>
    <w:rsid w:val="003F4156"/>
    <w:rsid w:val="003F5ADF"/>
    <w:rsid w:val="00400B29"/>
    <w:rsid w:val="00402812"/>
    <w:rsid w:val="004042BB"/>
    <w:rsid w:val="0040504B"/>
    <w:rsid w:val="004059F4"/>
    <w:rsid w:val="00406BFE"/>
    <w:rsid w:val="004073D6"/>
    <w:rsid w:val="00407E95"/>
    <w:rsid w:val="00407FE5"/>
    <w:rsid w:val="004101B0"/>
    <w:rsid w:val="00410326"/>
    <w:rsid w:val="00410708"/>
    <w:rsid w:val="00410EC7"/>
    <w:rsid w:val="004110F4"/>
    <w:rsid w:val="00411B39"/>
    <w:rsid w:val="004127A7"/>
    <w:rsid w:val="00413A1E"/>
    <w:rsid w:val="00414476"/>
    <w:rsid w:val="00414C2E"/>
    <w:rsid w:val="004151CF"/>
    <w:rsid w:val="0041598F"/>
    <w:rsid w:val="00416364"/>
    <w:rsid w:val="0042047F"/>
    <w:rsid w:val="00420AA6"/>
    <w:rsid w:val="00420B9F"/>
    <w:rsid w:val="0042192C"/>
    <w:rsid w:val="00422260"/>
    <w:rsid w:val="0042413F"/>
    <w:rsid w:val="00424A18"/>
    <w:rsid w:val="0042700B"/>
    <w:rsid w:val="0043188F"/>
    <w:rsid w:val="004319F8"/>
    <w:rsid w:val="00431E55"/>
    <w:rsid w:val="004321EF"/>
    <w:rsid w:val="004321F6"/>
    <w:rsid w:val="00432A0F"/>
    <w:rsid w:val="00433044"/>
    <w:rsid w:val="00434088"/>
    <w:rsid w:val="00434783"/>
    <w:rsid w:val="004360AD"/>
    <w:rsid w:val="00437373"/>
    <w:rsid w:val="004375B9"/>
    <w:rsid w:val="00442457"/>
    <w:rsid w:val="004428D0"/>
    <w:rsid w:val="00444185"/>
    <w:rsid w:val="004443A7"/>
    <w:rsid w:val="0044442C"/>
    <w:rsid w:val="00445941"/>
    <w:rsid w:val="004464EB"/>
    <w:rsid w:val="00447D26"/>
    <w:rsid w:val="00447DFC"/>
    <w:rsid w:val="00455D45"/>
    <w:rsid w:val="004638D1"/>
    <w:rsid w:val="00464595"/>
    <w:rsid w:val="004658B5"/>
    <w:rsid w:val="00466284"/>
    <w:rsid w:val="00470DEC"/>
    <w:rsid w:val="00471EA5"/>
    <w:rsid w:val="00472674"/>
    <w:rsid w:val="00472A79"/>
    <w:rsid w:val="00473D67"/>
    <w:rsid w:val="00473F19"/>
    <w:rsid w:val="00474958"/>
    <w:rsid w:val="00475E22"/>
    <w:rsid w:val="004766E0"/>
    <w:rsid w:val="0047741F"/>
    <w:rsid w:val="0048088E"/>
    <w:rsid w:val="00480F2B"/>
    <w:rsid w:val="00480F86"/>
    <w:rsid w:val="00482720"/>
    <w:rsid w:val="0048341D"/>
    <w:rsid w:val="004835E7"/>
    <w:rsid w:val="004859E1"/>
    <w:rsid w:val="004867E2"/>
    <w:rsid w:val="00490B17"/>
    <w:rsid w:val="00491974"/>
    <w:rsid w:val="00491B3A"/>
    <w:rsid w:val="00491F6F"/>
    <w:rsid w:val="00492831"/>
    <w:rsid w:val="00492CFD"/>
    <w:rsid w:val="0049311A"/>
    <w:rsid w:val="00494207"/>
    <w:rsid w:val="00494DD5"/>
    <w:rsid w:val="004962D2"/>
    <w:rsid w:val="004A009E"/>
    <w:rsid w:val="004A0DA1"/>
    <w:rsid w:val="004A13D6"/>
    <w:rsid w:val="004A52E9"/>
    <w:rsid w:val="004A58E8"/>
    <w:rsid w:val="004A6040"/>
    <w:rsid w:val="004A6597"/>
    <w:rsid w:val="004A6D52"/>
    <w:rsid w:val="004A7848"/>
    <w:rsid w:val="004A793B"/>
    <w:rsid w:val="004B1CB4"/>
    <w:rsid w:val="004B1D9A"/>
    <w:rsid w:val="004B20D4"/>
    <w:rsid w:val="004B2F18"/>
    <w:rsid w:val="004B3DDB"/>
    <w:rsid w:val="004B44FD"/>
    <w:rsid w:val="004B5CFC"/>
    <w:rsid w:val="004B6F79"/>
    <w:rsid w:val="004B774D"/>
    <w:rsid w:val="004C1768"/>
    <w:rsid w:val="004C2AC2"/>
    <w:rsid w:val="004C4AED"/>
    <w:rsid w:val="004C6D79"/>
    <w:rsid w:val="004D127D"/>
    <w:rsid w:val="004D2C2D"/>
    <w:rsid w:val="004D430D"/>
    <w:rsid w:val="004D5EE6"/>
    <w:rsid w:val="004D69B5"/>
    <w:rsid w:val="004D7227"/>
    <w:rsid w:val="004D7B5E"/>
    <w:rsid w:val="004E0E7F"/>
    <w:rsid w:val="004E0EB8"/>
    <w:rsid w:val="004E18E9"/>
    <w:rsid w:val="004E2ADC"/>
    <w:rsid w:val="004E38D1"/>
    <w:rsid w:val="004E43B2"/>
    <w:rsid w:val="004F1D02"/>
    <w:rsid w:val="004F2679"/>
    <w:rsid w:val="004F290F"/>
    <w:rsid w:val="004F2950"/>
    <w:rsid w:val="004F2F21"/>
    <w:rsid w:val="004F3A7D"/>
    <w:rsid w:val="004F3AB4"/>
    <w:rsid w:val="004F3DE5"/>
    <w:rsid w:val="004F5B93"/>
    <w:rsid w:val="004F5D4E"/>
    <w:rsid w:val="004F6913"/>
    <w:rsid w:val="004F7865"/>
    <w:rsid w:val="0050174E"/>
    <w:rsid w:val="00501854"/>
    <w:rsid w:val="0050219B"/>
    <w:rsid w:val="00503A2D"/>
    <w:rsid w:val="00503F04"/>
    <w:rsid w:val="00503F17"/>
    <w:rsid w:val="00503F3A"/>
    <w:rsid w:val="00506911"/>
    <w:rsid w:val="00506928"/>
    <w:rsid w:val="005077EF"/>
    <w:rsid w:val="005107A7"/>
    <w:rsid w:val="00510AD1"/>
    <w:rsid w:val="00511AD5"/>
    <w:rsid w:val="00511DC7"/>
    <w:rsid w:val="005142C5"/>
    <w:rsid w:val="0051460E"/>
    <w:rsid w:val="0051501B"/>
    <w:rsid w:val="005152B5"/>
    <w:rsid w:val="00515886"/>
    <w:rsid w:val="00516667"/>
    <w:rsid w:val="0051694B"/>
    <w:rsid w:val="0052123C"/>
    <w:rsid w:val="00521319"/>
    <w:rsid w:val="0052226A"/>
    <w:rsid w:val="00522A82"/>
    <w:rsid w:val="00522BC8"/>
    <w:rsid w:val="00523C28"/>
    <w:rsid w:val="005242C9"/>
    <w:rsid w:val="005257D0"/>
    <w:rsid w:val="005307B6"/>
    <w:rsid w:val="0053176B"/>
    <w:rsid w:val="00533AE6"/>
    <w:rsid w:val="005341B3"/>
    <w:rsid w:val="00536F42"/>
    <w:rsid w:val="00537182"/>
    <w:rsid w:val="00541EDD"/>
    <w:rsid w:val="00542743"/>
    <w:rsid w:val="00542C2D"/>
    <w:rsid w:val="00546882"/>
    <w:rsid w:val="005478BD"/>
    <w:rsid w:val="005479E3"/>
    <w:rsid w:val="00550A6E"/>
    <w:rsid w:val="00551985"/>
    <w:rsid w:val="00552BD3"/>
    <w:rsid w:val="005532A0"/>
    <w:rsid w:val="005548AF"/>
    <w:rsid w:val="00555109"/>
    <w:rsid w:val="00556B35"/>
    <w:rsid w:val="0055741A"/>
    <w:rsid w:val="005611B7"/>
    <w:rsid w:val="005618D4"/>
    <w:rsid w:val="00563B30"/>
    <w:rsid w:val="005643F6"/>
    <w:rsid w:val="00564867"/>
    <w:rsid w:val="00565C79"/>
    <w:rsid w:val="00565DF0"/>
    <w:rsid w:val="0056696F"/>
    <w:rsid w:val="00572269"/>
    <w:rsid w:val="0057244A"/>
    <w:rsid w:val="00572F26"/>
    <w:rsid w:val="005750C5"/>
    <w:rsid w:val="005752DE"/>
    <w:rsid w:val="00575CE5"/>
    <w:rsid w:val="00575D60"/>
    <w:rsid w:val="00575D8D"/>
    <w:rsid w:val="00575EFA"/>
    <w:rsid w:val="00576972"/>
    <w:rsid w:val="00577248"/>
    <w:rsid w:val="00580BE6"/>
    <w:rsid w:val="00580D6B"/>
    <w:rsid w:val="005832A5"/>
    <w:rsid w:val="00583312"/>
    <w:rsid w:val="00583699"/>
    <w:rsid w:val="00585CDD"/>
    <w:rsid w:val="00587058"/>
    <w:rsid w:val="005912E2"/>
    <w:rsid w:val="00591957"/>
    <w:rsid w:val="0059431B"/>
    <w:rsid w:val="00597BF9"/>
    <w:rsid w:val="005A0C11"/>
    <w:rsid w:val="005A309A"/>
    <w:rsid w:val="005A373D"/>
    <w:rsid w:val="005A45E8"/>
    <w:rsid w:val="005A5F64"/>
    <w:rsid w:val="005B0B58"/>
    <w:rsid w:val="005B1287"/>
    <w:rsid w:val="005B4E53"/>
    <w:rsid w:val="005B5857"/>
    <w:rsid w:val="005B7CFA"/>
    <w:rsid w:val="005C19C4"/>
    <w:rsid w:val="005C1B83"/>
    <w:rsid w:val="005C1BFB"/>
    <w:rsid w:val="005C25FF"/>
    <w:rsid w:val="005C2CC0"/>
    <w:rsid w:val="005C2D55"/>
    <w:rsid w:val="005C3386"/>
    <w:rsid w:val="005C346B"/>
    <w:rsid w:val="005C5837"/>
    <w:rsid w:val="005C5ABC"/>
    <w:rsid w:val="005D0032"/>
    <w:rsid w:val="005D044D"/>
    <w:rsid w:val="005D0ABD"/>
    <w:rsid w:val="005D18AD"/>
    <w:rsid w:val="005D26B4"/>
    <w:rsid w:val="005D2D9C"/>
    <w:rsid w:val="005D3E1E"/>
    <w:rsid w:val="005D4D45"/>
    <w:rsid w:val="005D5F11"/>
    <w:rsid w:val="005E1995"/>
    <w:rsid w:val="005E39B6"/>
    <w:rsid w:val="005E40F9"/>
    <w:rsid w:val="005E5BCC"/>
    <w:rsid w:val="005E6CBC"/>
    <w:rsid w:val="005E72FF"/>
    <w:rsid w:val="005E73C0"/>
    <w:rsid w:val="005F07ED"/>
    <w:rsid w:val="005F1885"/>
    <w:rsid w:val="005F2706"/>
    <w:rsid w:val="005F6A8F"/>
    <w:rsid w:val="005F6BB7"/>
    <w:rsid w:val="005F7588"/>
    <w:rsid w:val="0060172F"/>
    <w:rsid w:val="00603DB9"/>
    <w:rsid w:val="00606FBA"/>
    <w:rsid w:val="00607669"/>
    <w:rsid w:val="006076F4"/>
    <w:rsid w:val="00607AFD"/>
    <w:rsid w:val="00610BF0"/>
    <w:rsid w:val="00611B12"/>
    <w:rsid w:val="006123FD"/>
    <w:rsid w:val="00612F97"/>
    <w:rsid w:val="0061345D"/>
    <w:rsid w:val="0061509C"/>
    <w:rsid w:val="0061549B"/>
    <w:rsid w:val="00616802"/>
    <w:rsid w:val="00617E12"/>
    <w:rsid w:val="00620C25"/>
    <w:rsid w:val="00620EC8"/>
    <w:rsid w:val="00621477"/>
    <w:rsid w:val="00621A83"/>
    <w:rsid w:val="00621ADA"/>
    <w:rsid w:val="00623F7B"/>
    <w:rsid w:val="006249B1"/>
    <w:rsid w:val="00624BD4"/>
    <w:rsid w:val="0063158F"/>
    <w:rsid w:val="00631D6B"/>
    <w:rsid w:val="00632183"/>
    <w:rsid w:val="0063244B"/>
    <w:rsid w:val="006330A1"/>
    <w:rsid w:val="0063479F"/>
    <w:rsid w:val="00634B1F"/>
    <w:rsid w:val="006353F0"/>
    <w:rsid w:val="006357B5"/>
    <w:rsid w:val="006364A1"/>
    <w:rsid w:val="0063678E"/>
    <w:rsid w:val="00637BFD"/>
    <w:rsid w:val="00637C5C"/>
    <w:rsid w:val="00641C4E"/>
    <w:rsid w:val="00641FB3"/>
    <w:rsid w:val="0064434C"/>
    <w:rsid w:val="006471CC"/>
    <w:rsid w:val="006472FE"/>
    <w:rsid w:val="00647A29"/>
    <w:rsid w:val="0065011D"/>
    <w:rsid w:val="0065079F"/>
    <w:rsid w:val="00650E9F"/>
    <w:rsid w:val="00652A28"/>
    <w:rsid w:val="0065379F"/>
    <w:rsid w:val="00653D57"/>
    <w:rsid w:val="00655A7B"/>
    <w:rsid w:val="00656188"/>
    <w:rsid w:val="0065715A"/>
    <w:rsid w:val="006610F1"/>
    <w:rsid w:val="00661C6B"/>
    <w:rsid w:val="00662CEA"/>
    <w:rsid w:val="00662D3E"/>
    <w:rsid w:val="006673E4"/>
    <w:rsid w:val="00667BE3"/>
    <w:rsid w:val="00671004"/>
    <w:rsid w:val="00671AA7"/>
    <w:rsid w:val="00672646"/>
    <w:rsid w:val="006736B0"/>
    <w:rsid w:val="00674E42"/>
    <w:rsid w:val="00676563"/>
    <w:rsid w:val="006813F8"/>
    <w:rsid w:val="00682112"/>
    <w:rsid w:val="00682A4E"/>
    <w:rsid w:val="00682BA6"/>
    <w:rsid w:val="00682E21"/>
    <w:rsid w:val="00685F31"/>
    <w:rsid w:val="00686957"/>
    <w:rsid w:val="006872BA"/>
    <w:rsid w:val="00690795"/>
    <w:rsid w:val="00691648"/>
    <w:rsid w:val="006917D7"/>
    <w:rsid w:val="00692E20"/>
    <w:rsid w:val="0069434C"/>
    <w:rsid w:val="00694F44"/>
    <w:rsid w:val="00696EF9"/>
    <w:rsid w:val="00696F51"/>
    <w:rsid w:val="006979A5"/>
    <w:rsid w:val="006A0081"/>
    <w:rsid w:val="006A016F"/>
    <w:rsid w:val="006A0DF7"/>
    <w:rsid w:val="006A2373"/>
    <w:rsid w:val="006A4321"/>
    <w:rsid w:val="006A43D9"/>
    <w:rsid w:val="006A4E60"/>
    <w:rsid w:val="006A6B99"/>
    <w:rsid w:val="006A7E5F"/>
    <w:rsid w:val="006B261B"/>
    <w:rsid w:val="006B2C90"/>
    <w:rsid w:val="006B35E6"/>
    <w:rsid w:val="006B465A"/>
    <w:rsid w:val="006B58A0"/>
    <w:rsid w:val="006B6DD0"/>
    <w:rsid w:val="006B7E6B"/>
    <w:rsid w:val="006C0399"/>
    <w:rsid w:val="006C2A8E"/>
    <w:rsid w:val="006C3255"/>
    <w:rsid w:val="006C3F26"/>
    <w:rsid w:val="006C6032"/>
    <w:rsid w:val="006C67BA"/>
    <w:rsid w:val="006D0D17"/>
    <w:rsid w:val="006D3C7D"/>
    <w:rsid w:val="006D4659"/>
    <w:rsid w:val="006D5D5F"/>
    <w:rsid w:val="006D68FB"/>
    <w:rsid w:val="006D6A3E"/>
    <w:rsid w:val="006D7324"/>
    <w:rsid w:val="006E2868"/>
    <w:rsid w:val="006E2D77"/>
    <w:rsid w:val="006E4282"/>
    <w:rsid w:val="006E4D08"/>
    <w:rsid w:val="006E6D4D"/>
    <w:rsid w:val="006F1386"/>
    <w:rsid w:val="006F306C"/>
    <w:rsid w:val="006F5CD8"/>
    <w:rsid w:val="006F63A5"/>
    <w:rsid w:val="006F6B20"/>
    <w:rsid w:val="007000E3"/>
    <w:rsid w:val="0070142B"/>
    <w:rsid w:val="00701739"/>
    <w:rsid w:val="007024D0"/>
    <w:rsid w:val="0070258F"/>
    <w:rsid w:val="0070276E"/>
    <w:rsid w:val="0070280E"/>
    <w:rsid w:val="00702F8F"/>
    <w:rsid w:val="007079FC"/>
    <w:rsid w:val="00711A36"/>
    <w:rsid w:val="007125D3"/>
    <w:rsid w:val="0071498B"/>
    <w:rsid w:val="00714C26"/>
    <w:rsid w:val="0071529C"/>
    <w:rsid w:val="007170DA"/>
    <w:rsid w:val="007172AD"/>
    <w:rsid w:val="00717546"/>
    <w:rsid w:val="007205D5"/>
    <w:rsid w:val="00720801"/>
    <w:rsid w:val="00722B1B"/>
    <w:rsid w:val="00723EEE"/>
    <w:rsid w:val="0072416F"/>
    <w:rsid w:val="00724902"/>
    <w:rsid w:val="00727C94"/>
    <w:rsid w:val="00731B0A"/>
    <w:rsid w:val="00731EAE"/>
    <w:rsid w:val="00733073"/>
    <w:rsid w:val="00733F8A"/>
    <w:rsid w:val="00734A2D"/>
    <w:rsid w:val="00735033"/>
    <w:rsid w:val="00735328"/>
    <w:rsid w:val="0073685B"/>
    <w:rsid w:val="00737425"/>
    <w:rsid w:val="007449BF"/>
    <w:rsid w:val="007463FE"/>
    <w:rsid w:val="00746BC0"/>
    <w:rsid w:val="0075095A"/>
    <w:rsid w:val="007510B4"/>
    <w:rsid w:val="00751B15"/>
    <w:rsid w:val="00752142"/>
    <w:rsid w:val="007523F9"/>
    <w:rsid w:val="0075357E"/>
    <w:rsid w:val="00753B29"/>
    <w:rsid w:val="00756E6D"/>
    <w:rsid w:val="007573E8"/>
    <w:rsid w:val="00760649"/>
    <w:rsid w:val="00760C4E"/>
    <w:rsid w:val="00760F9E"/>
    <w:rsid w:val="007616E6"/>
    <w:rsid w:val="00761B31"/>
    <w:rsid w:val="007627BE"/>
    <w:rsid w:val="00764F03"/>
    <w:rsid w:val="00764FF6"/>
    <w:rsid w:val="00765B1A"/>
    <w:rsid w:val="00765DC1"/>
    <w:rsid w:val="00777335"/>
    <w:rsid w:val="00780680"/>
    <w:rsid w:val="00782F63"/>
    <w:rsid w:val="007843F2"/>
    <w:rsid w:val="007846FA"/>
    <w:rsid w:val="00784936"/>
    <w:rsid w:val="00785A10"/>
    <w:rsid w:val="00785A9F"/>
    <w:rsid w:val="00785D06"/>
    <w:rsid w:val="00792481"/>
    <w:rsid w:val="007925DF"/>
    <w:rsid w:val="00794237"/>
    <w:rsid w:val="007979AC"/>
    <w:rsid w:val="007A08AA"/>
    <w:rsid w:val="007A0A12"/>
    <w:rsid w:val="007A132D"/>
    <w:rsid w:val="007A1345"/>
    <w:rsid w:val="007A1BD2"/>
    <w:rsid w:val="007A2DDB"/>
    <w:rsid w:val="007A44A0"/>
    <w:rsid w:val="007A5761"/>
    <w:rsid w:val="007A70BA"/>
    <w:rsid w:val="007B0D68"/>
    <w:rsid w:val="007B251D"/>
    <w:rsid w:val="007B3533"/>
    <w:rsid w:val="007B4F58"/>
    <w:rsid w:val="007B4FF2"/>
    <w:rsid w:val="007B528D"/>
    <w:rsid w:val="007B63CA"/>
    <w:rsid w:val="007B6CB0"/>
    <w:rsid w:val="007B77D1"/>
    <w:rsid w:val="007C07C7"/>
    <w:rsid w:val="007C1CD9"/>
    <w:rsid w:val="007C32EF"/>
    <w:rsid w:val="007C361D"/>
    <w:rsid w:val="007C3AC4"/>
    <w:rsid w:val="007C4172"/>
    <w:rsid w:val="007C4911"/>
    <w:rsid w:val="007C4B84"/>
    <w:rsid w:val="007C65FD"/>
    <w:rsid w:val="007C70FF"/>
    <w:rsid w:val="007C7C25"/>
    <w:rsid w:val="007D004F"/>
    <w:rsid w:val="007D035F"/>
    <w:rsid w:val="007D06B2"/>
    <w:rsid w:val="007D0B38"/>
    <w:rsid w:val="007D4BFA"/>
    <w:rsid w:val="007D5440"/>
    <w:rsid w:val="007D69EB"/>
    <w:rsid w:val="007E0A64"/>
    <w:rsid w:val="007E128F"/>
    <w:rsid w:val="007E3544"/>
    <w:rsid w:val="007F078B"/>
    <w:rsid w:val="007F0AFE"/>
    <w:rsid w:val="007F1017"/>
    <w:rsid w:val="007F23C6"/>
    <w:rsid w:val="007F4A3F"/>
    <w:rsid w:val="007F4A61"/>
    <w:rsid w:val="007F5255"/>
    <w:rsid w:val="007F5468"/>
    <w:rsid w:val="007F56CC"/>
    <w:rsid w:val="007F61C2"/>
    <w:rsid w:val="0080246B"/>
    <w:rsid w:val="00805142"/>
    <w:rsid w:val="00805A77"/>
    <w:rsid w:val="00805FCE"/>
    <w:rsid w:val="00807A8B"/>
    <w:rsid w:val="008101CD"/>
    <w:rsid w:val="00811383"/>
    <w:rsid w:val="00811919"/>
    <w:rsid w:val="00812149"/>
    <w:rsid w:val="00812CAC"/>
    <w:rsid w:val="00813F0D"/>
    <w:rsid w:val="00814491"/>
    <w:rsid w:val="0081599A"/>
    <w:rsid w:val="00816361"/>
    <w:rsid w:val="008166EF"/>
    <w:rsid w:val="00816FEF"/>
    <w:rsid w:val="00820A8C"/>
    <w:rsid w:val="008215FB"/>
    <w:rsid w:val="008220CC"/>
    <w:rsid w:val="00823174"/>
    <w:rsid w:val="00824441"/>
    <w:rsid w:val="008253F8"/>
    <w:rsid w:val="00825751"/>
    <w:rsid w:val="008264EB"/>
    <w:rsid w:val="008268CE"/>
    <w:rsid w:val="00827C23"/>
    <w:rsid w:val="00831AEE"/>
    <w:rsid w:val="00833B05"/>
    <w:rsid w:val="008347CF"/>
    <w:rsid w:val="008362B4"/>
    <w:rsid w:val="00836ACE"/>
    <w:rsid w:val="00837E4E"/>
    <w:rsid w:val="00840CA2"/>
    <w:rsid w:val="008428B0"/>
    <w:rsid w:val="0084374F"/>
    <w:rsid w:val="00844A22"/>
    <w:rsid w:val="00847703"/>
    <w:rsid w:val="00847DF5"/>
    <w:rsid w:val="008521A6"/>
    <w:rsid w:val="0085309D"/>
    <w:rsid w:val="00856897"/>
    <w:rsid w:val="00856E9A"/>
    <w:rsid w:val="0086018B"/>
    <w:rsid w:val="0086075D"/>
    <w:rsid w:val="00861386"/>
    <w:rsid w:val="0086153E"/>
    <w:rsid w:val="00862502"/>
    <w:rsid w:val="00862CC1"/>
    <w:rsid w:val="00863C66"/>
    <w:rsid w:val="008642A7"/>
    <w:rsid w:val="008660D4"/>
    <w:rsid w:val="00871FA9"/>
    <w:rsid w:val="008728E9"/>
    <w:rsid w:val="00876313"/>
    <w:rsid w:val="008801BD"/>
    <w:rsid w:val="00880883"/>
    <w:rsid w:val="00881290"/>
    <w:rsid w:val="008826E7"/>
    <w:rsid w:val="00882874"/>
    <w:rsid w:val="00882E3C"/>
    <w:rsid w:val="0088308A"/>
    <w:rsid w:val="00883787"/>
    <w:rsid w:val="008848A3"/>
    <w:rsid w:val="008855E4"/>
    <w:rsid w:val="00886CD2"/>
    <w:rsid w:val="00891C74"/>
    <w:rsid w:val="00891E6F"/>
    <w:rsid w:val="0089275D"/>
    <w:rsid w:val="00892A36"/>
    <w:rsid w:val="00892FFC"/>
    <w:rsid w:val="00893239"/>
    <w:rsid w:val="00894489"/>
    <w:rsid w:val="00894CD6"/>
    <w:rsid w:val="008963A5"/>
    <w:rsid w:val="00896D5D"/>
    <w:rsid w:val="008A0DFE"/>
    <w:rsid w:val="008A3158"/>
    <w:rsid w:val="008A3301"/>
    <w:rsid w:val="008A3363"/>
    <w:rsid w:val="008A3371"/>
    <w:rsid w:val="008A3C3E"/>
    <w:rsid w:val="008A79DE"/>
    <w:rsid w:val="008B1757"/>
    <w:rsid w:val="008B1A74"/>
    <w:rsid w:val="008B1C33"/>
    <w:rsid w:val="008B4B6F"/>
    <w:rsid w:val="008B7992"/>
    <w:rsid w:val="008B7D7E"/>
    <w:rsid w:val="008C010B"/>
    <w:rsid w:val="008C5610"/>
    <w:rsid w:val="008C5739"/>
    <w:rsid w:val="008C57A2"/>
    <w:rsid w:val="008C7282"/>
    <w:rsid w:val="008C7ECB"/>
    <w:rsid w:val="008D034E"/>
    <w:rsid w:val="008D2606"/>
    <w:rsid w:val="008D3B86"/>
    <w:rsid w:val="008D3CE9"/>
    <w:rsid w:val="008D43FD"/>
    <w:rsid w:val="008D4755"/>
    <w:rsid w:val="008D4C3D"/>
    <w:rsid w:val="008D5121"/>
    <w:rsid w:val="008D5E11"/>
    <w:rsid w:val="008D6721"/>
    <w:rsid w:val="008D743C"/>
    <w:rsid w:val="008E0D3C"/>
    <w:rsid w:val="008E1B9E"/>
    <w:rsid w:val="008E55AB"/>
    <w:rsid w:val="008E7A03"/>
    <w:rsid w:val="008F120A"/>
    <w:rsid w:val="008F24EC"/>
    <w:rsid w:val="008F27E0"/>
    <w:rsid w:val="008F48EB"/>
    <w:rsid w:val="008F4F0B"/>
    <w:rsid w:val="008F5825"/>
    <w:rsid w:val="008F77D5"/>
    <w:rsid w:val="00900BDC"/>
    <w:rsid w:val="00901595"/>
    <w:rsid w:val="00903B0A"/>
    <w:rsid w:val="009046C4"/>
    <w:rsid w:val="009056D8"/>
    <w:rsid w:val="009062A5"/>
    <w:rsid w:val="00907699"/>
    <w:rsid w:val="00910FA7"/>
    <w:rsid w:val="00911272"/>
    <w:rsid w:val="00911339"/>
    <w:rsid w:val="009135D6"/>
    <w:rsid w:val="00914C77"/>
    <w:rsid w:val="00915181"/>
    <w:rsid w:val="00915E90"/>
    <w:rsid w:val="00916689"/>
    <w:rsid w:val="00917B6F"/>
    <w:rsid w:val="00920FDF"/>
    <w:rsid w:val="0092183B"/>
    <w:rsid w:val="00921ACB"/>
    <w:rsid w:val="0092369B"/>
    <w:rsid w:val="00923D47"/>
    <w:rsid w:val="00934988"/>
    <w:rsid w:val="00937089"/>
    <w:rsid w:val="00940325"/>
    <w:rsid w:val="00940D5A"/>
    <w:rsid w:val="00942547"/>
    <w:rsid w:val="00944299"/>
    <w:rsid w:val="00944F8A"/>
    <w:rsid w:val="009478F3"/>
    <w:rsid w:val="009510A2"/>
    <w:rsid w:val="00952469"/>
    <w:rsid w:val="00953257"/>
    <w:rsid w:val="0095474C"/>
    <w:rsid w:val="00957D92"/>
    <w:rsid w:val="0096259F"/>
    <w:rsid w:val="00962CB9"/>
    <w:rsid w:val="00964312"/>
    <w:rsid w:val="00965B8A"/>
    <w:rsid w:val="0097071F"/>
    <w:rsid w:val="009717AC"/>
    <w:rsid w:val="009723AE"/>
    <w:rsid w:val="009751C1"/>
    <w:rsid w:val="00975560"/>
    <w:rsid w:val="009811F1"/>
    <w:rsid w:val="00983C4E"/>
    <w:rsid w:val="00983E57"/>
    <w:rsid w:val="00984DEF"/>
    <w:rsid w:val="0098531E"/>
    <w:rsid w:val="00985DE2"/>
    <w:rsid w:val="0098675D"/>
    <w:rsid w:val="00987BA4"/>
    <w:rsid w:val="00990A46"/>
    <w:rsid w:val="009926E0"/>
    <w:rsid w:val="0099451E"/>
    <w:rsid w:val="00995359"/>
    <w:rsid w:val="00996B1A"/>
    <w:rsid w:val="009A08BB"/>
    <w:rsid w:val="009A18F6"/>
    <w:rsid w:val="009A2DCC"/>
    <w:rsid w:val="009A3B64"/>
    <w:rsid w:val="009A5ABC"/>
    <w:rsid w:val="009A695B"/>
    <w:rsid w:val="009A7E50"/>
    <w:rsid w:val="009A7F10"/>
    <w:rsid w:val="009B08E7"/>
    <w:rsid w:val="009B3DC7"/>
    <w:rsid w:val="009B3E26"/>
    <w:rsid w:val="009B5528"/>
    <w:rsid w:val="009B55AB"/>
    <w:rsid w:val="009B56BE"/>
    <w:rsid w:val="009C1092"/>
    <w:rsid w:val="009C1271"/>
    <w:rsid w:val="009C3706"/>
    <w:rsid w:val="009C3A3A"/>
    <w:rsid w:val="009C4A76"/>
    <w:rsid w:val="009C6CEA"/>
    <w:rsid w:val="009C7B85"/>
    <w:rsid w:val="009D0254"/>
    <w:rsid w:val="009D1A64"/>
    <w:rsid w:val="009D3393"/>
    <w:rsid w:val="009D3F79"/>
    <w:rsid w:val="009D5B91"/>
    <w:rsid w:val="009D792E"/>
    <w:rsid w:val="009E0DFE"/>
    <w:rsid w:val="009E31F6"/>
    <w:rsid w:val="009E4C07"/>
    <w:rsid w:val="009E6E85"/>
    <w:rsid w:val="009E777F"/>
    <w:rsid w:val="009F53F6"/>
    <w:rsid w:val="009F6120"/>
    <w:rsid w:val="00A00D76"/>
    <w:rsid w:val="00A01184"/>
    <w:rsid w:val="00A01449"/>
    <w:rsid w:val="00A037C2"/>
    <w:rsid w:val="00A03D43"/>
    <w:rsid w:val="00A04380"/>
    <w:rsid w:val="00A04786"/>
    <w:rsid w:val="00A05472"/>
    <w:rsid w:val="00A05C32"/>
    <w:rsid w:val="00A0653F"/>
    <w:rsid w:val="00A11CD0"/>
    <w:rsid w:val="00A1240A"/>
    <w:rsid w:val="00A12DC1"/>
    <w:rsid w:val="00A13948"/>
    <w:rsid w:val="00A1555B"/>
    <w:rsid w:val="00A155C5"/>
    <w:rsid w:val="00A165B6"/>
    <w:rsid w:val="00A16AD8"/>
    <w:rsid w:val="00A17EE3"/>
    <w:rsid w:val="00A17F05"/>
    <w:rsid w:val="00A2021E"/>
    <w:rsid w:val="00A21C71"/>
    <w:rsid w:val="00A21C95"/>
    <w:rsid w:val="00A21CF3"/>
    <w:rsid w:val="00A246BC"/>
    <w:rsid w:val="00A24813"/>
    <w:rsid w:val="00A26978"/>
    <w:rsid w:val="00A27AEC"/>
    <w:rsid w:val="00A31536"/>
    <w:rsid w:val="00A3175E"/>
    <w:rsid w:val="00A320DB"/>
    <w:rsid w:val="00A3515F"/>
    <w:rsid w:val="00A35D16"/>
    <w:rsid w:val="00A37BCD"/>
    <w:rsid w:val="00A41689"/>
    <w:rsid w:val="00A42592"/>
    <w:rsid w:val="00A43283"/>
    <w:rsid w:val="00A433DD"/>
    <w:rsid w:val="00A43C59"/>
    <w:rsid w:val="00A4459D"/>
    <w:rsid w:val="00A452F2"/>
    <w:rsid w:val="00A46DFD"/>
    <w:rsid w:val="00A50ECD"/>
    <w:rsid w:val="00A518F3"/>
    <w:rsid w:val="00A52729"/>
    <w:rsid w:val="00A53675"/>
    <w:rsid w:val="00A556E4"/>
    <w:rsid w:val="00A564D7"/>
    <w:rsid w:val="00A56B6A"/>
    <w:rsid w:val="00A577E1"/>
    <w:rsid w:val="00A578DC"/>
    <w:rsid w:val="00A640E2"/>
    <w:rsid w:val="00A64D65"/>
    <w:rsid w:val="00A6725B"/>
    <w:rsid w:val="00A70605"/>
    <w:rsid w:val="00A71E3D"/>
    <w:rsid w:val="00A730CA"/>
    <w:rsid w:val="00A73134"/>
    <w:rsid w:val="00A73609"/>
    <w:rsid w:val="00A7365A"/>
    <w:rsid w:val="00A76001"/>
    <w:rsid w:val="00A77717"/>
    <w:rsid w:val="00A777B2"/>
    <w:rsid w:val="00A77923"/>
    <w:rsid w:val="00A825D4"/>
    <w:rsid w:val="00A828F6"/>
    <w:rsid w:val="00A82B73"/>
    <w:rsid w:val="00A8365F"/>
    <w:rsid w:val="00A86E8B"/>
    <w:rsid w:val="00A87164"/>
    <w:rsid w:val="00A871A9"/>
    <w:rsid w:val="00A93072"/>
    <w:rsid w:val="00A938BD"/>
    <w:rsid w:val="00A93953"/>
    <w:rsid w:val="00A94A0B"/>
    <w:rsid w:val="00A959D8"/>
    <w:rsid w:val="00A9639A"/>
    <w:rsid w:val="00AA08F8"/>
    <w:rsid w:val="00AA0FE2"/>
    <w:rsid w:val="00AA113D"/>
    <w:rsid w:val="00AA6BD5"/>
    <w:rsid w:val="00AA6BD8"/>
    <w:rsid w:val="00AA6C7D"/>
    <w:rsid w:val="00AA7FD6"/>
    <w:rsid w:val="00AB042A"/>
    <w:rsid w:val="00AB0806"/>
    <w:rsid w:val="00AB0A6B"/>
    <w:rsid w:val="00AB11AD"/>
    <w:rsid w:val="00AB1793"/>
    <w:rsid w:val="00AB19EF"/>
    <w:rsid w:val="00AB2495"/>
    <w:rsid w:val="00AB2D34"/>
    <w:rsid w:val="00AB3430"/>
    <w:rsid w:val="00AB37B9"/>
    <w:rsid w:val="00AB4AD1"/>
    <w:rsid w:val="00AB5866"/>
    <w:rsid w:val="00AB5E07"/>
    <w:rsid w:val="00AB7B62"/>
    <w:rsid w:val="00AB7CFA"/>
    <w:rsid w:val="00AC1B58"/>
    <w:rsid w:val="00AC45E9"/>
    <w:rsid w:val="00AC5B42"/>
    <w:rsid w:val="00AC5B48"/>
    <w:rsid w:val="00AC6727"/>
    <w:rsid w:val="00AD1450"/>
    <w:rsid w:val="00AD15E8"/>
    <w:rsid w:val="00AD356D"/>
    <w:rsid w:val="00AD6502"/>
    <w:rsid w:val="00AE0695"/>
    <w:rsid w:val="00AE24D0"/>
    <w:rsid w:val="00AE3E7E"/>
    <w:rsid w:val="00AE6B5D"/>
    <w:rsid w:val="00AE7E53"/>
    <w:rsid w:val="00AF0660"/>
    <w:rsid w:val="00AF1315"/>
    <w:rsid w:val="00AF19BF"/>
    <w:rsid w:val="00AF2359"/>
    <w:rsid w:val="00AF2DC3"/>
    <w:rsid w:val="00AF5722"/>
    <w:rsid w:val="00B00EE6"/>
    <w:rsid w:val="00B012B1"/>
    <w:rsid w:val="00B015DF"/>
    <w:rsid w:val="00B033E5"/>
    <w:rsid w:val="00B03A63"/>
    <w:rsid w:val="00B105DF"/>
    <w:rsid w:val="00B10AC5"/>
    <w:rsid w:val="00B129A4"/>
    <w:rsid w:val="00B163CF"/>
    <w:rsid w:val="00B201A4"/>
    <w:rsid w:val="00B201D1"/>
    <w:rsid w:val="00B206FC"/>
    <w:rsid w:val="00B213A6"/>
    <w:rsid w:val="00B21B5C"/>
    <w:rsid w:val="00B235B0"/>
    <w:rsid w:val="00B24DF6"/>
    <w:rsid w:val="00B25081"/>
    <w:rsid w:val="00B265F3"/>
    <w:rsid w:val="00B26AED"/>
    <w:rsid w:val="00B27A61"/>
    <w:rsid w:val="00B34FE2"/>
    <w:rsid w:val="00B35166"/>
    <w:rsid w:val="00B355A8"/>
    <w:rsid w:val="00B357D8"/>
    <w:rsid w:val="00B360F4"/>
    <w:rsid w:val="00B36A00"/>
    <w:rsid w:val="00B3792B"/>
    <w:rsid w:val="00B37BFC"/>
    <w:rsid w:val="00B40358"/>
    <w:rsid w:val="00B408AF"/>
    <w:rsid w:val="00B41614"/>
    <w:rsid w:val="00B42851"/>
    <w:rsid w:val="00B42F80"/>
    <w:rsid w:val="00B435CB"/>
    <w:rsid w:val="00B446E2"/>
    <w:rsid w:val="00B465EC"/>
    <w:rsid w:val="00B47DE5"/>
    <w:rsid w:val="00B501FF"/>
    <w:rsid w:val="00B505C8"/>
    <w:rsid w:val="00B50DB8"/>
    <w:rsid w:val="00B53654"/>
    <w:rsid w:val="00B53905"/>
    <w:rsid w:val="00B546DB"/>
    <w:rsid w:val="00B5490E"/>
    <w:rsid w:val="00B54B5B"/>
    <w:rsid w:val="00B5562E"/>
    <w:rsid w:val="00B55862"/>
    <w:rsid w:val="00B55D65"/>
    <w:rsid w:val="00B56305"/>
    <w:rsid w:val="00B5640E"/>
    <w:rsid w:val="00B57000"/>
    <w:rsid w:val="00B60939"/>
    <w:rsid w:val="00B60AFD"/>
    <w:rsid w:val="00B61141"/>
    <w:rsid w:val="00B62715"/>
    <w:rsid w:val="00B638E7"/>
    <w:rsid w:val="00B65611"/>
    <w:rsid w:val="00B67C93"/>
    <w:rsid w:val="00B70E8E"/>
    <w:rsid w:val="00B75DC4"/>
    <w:rsid w:val="00B76C92"/>
    <w:rsid w:val="00B80EFD"/>
    <w:rsid w:val="00B818A4"/>
    <w:rsid w:val="00B824D9"/>
    <w:rsid w:val="00B82B97"/>
    <w:rsid w:val="00B83739"/>
    <w:rsid w:val="00B84117"/>
    <w:rsid w:val="00B858F0"/>
    <w:rsid w:val="00B85AA2"/>
    <w:rsid w:val="00B8649C"/>
    <w:rsid w:val="00B8695D"/>
    <w:rsid w:val="00B8740C"/>
    <w:rsid w:val="00B874D6"/>
    <w:rsid w:val="00B87F0A"/>
    <w:rsid w:val="00B90D01"/>
    <w:rsid w:val="00B92757"/>
    <w:rsid w:val="00B92AA2"/>
    <w:rsid w:val="00B92D0B"/>
    <w:rsid w:val="00B94945"/>
    <w:rsid w:val="00B94DD6"/>
    <w:rsid w:val="00B95430"/>
    <w:rsid w:val="00BA10EE"/>
    <w:rsid w:val="00BA322D"/>
    <w:rsid w:val="00BA5FBB"/>
    <w:rsid w:val="00BA63FA"/>
    <w:rsid w:val="00BA76D3"/>
    <w:rsid w:val="00BB00B3"/>
    <w:rsid w:val="00BB0BDD"/>
    <w:rsid w:val="00BB176C"/>
    <w:rsid w:val="00BB2A73"/>
    <w:rsid w:val="00BB3A45"/>
    <w:rsid w:val="00BB4ACC"/>
    <w:rsid w:val="00BB703E"/>
    <w:rsid w:val="00BB732D"/>
    <w:rsid w:val="00BB7405"/>
    <w:rsid w:val="00BB7B8C"/>
    <w:rsid w:val="00BC0028"/>
    <w:rsid w:val="00BC1F2E"/>
    <w:rsid w:val="00BC24B2"/>
    <w:rsid w:val="00BC3438"/>
    <w:rsid w:val="00BC3631"/>
    <w:rsid w:val="00BC591F"/>
    <w:rsid w:val="00BC6897"/>
    <w:rsid w:val="00BC7B77"/>
    <w:rsid w:val="00BC7D6D"/>
    <w:rsid w:val="00BD056B"/>
    <w:rsid w:val="00BD2108"/>
    <w:rsid w:val="00BD2FDD"/>
    <w:rsid w:val="00BD68A3"/>
    <w:rsid w:val="00BD6938"/>
    <w:rsid w:val="00BD6CF3"/>
    <w:rsid w:val="00BD7F72"/>
    <w:rsid w:val="00BE0ECA"/>
    <w:rsid w:val="00BE11F7"/>
    <w:rsid w:val="00BE2180"/>
    <w:rsid w:val="00BE21F2"/>
    <w:rsid w:val="00BE4275"/>
    <w:rsid w:val="00BE76D4"/>
    <w:rsid w:val="00BF06AE"/>
    <w:rsid w:val="00BF0F95"/>
    <w:rsid w:val="00BF2433"/>
    <w:rsid w:val="00BF2E6E"/>
    <w:rsid w:val="00BF61C9"/>
    <w:rsid w:val="00BF6C94"/>
    <w:rsid w:val="00BF7414"/>
    <w:rsid w:val="00BF7635"/>
    <w:rsid w:val="00BF7712"/>
    <w:rsid w:val="00C00010"/>
    <w:rsid w:val="00C00424"/>
    <w:rsid w:val="00C00BB0"/>
    <w:rsid w:val="00C0199B"/>
    <w:rsid w:val="00C11025"/>
    <w:rsid w:val="00C1179F"/>
    <w:rsid w:val="00C127B9"/>
    <w:rsid w:val="00C128FA"/>
    <w:rsid w:val="00C12B8F"/>
    <w:rsid w:val="00C12C14"/>
    <w:rsid w:val="00C15F04"/>
    <w:rsid w:val="00C179B3"/>
    <w:rsid w:val="00C17E3F"/>
    <w:rsid w:val="00C200AA"/>
    <w:rsid w:val="00C21475"/>
    <w:rsid w:val="00C21D37"/>
    <w:rsid w:val="00C227E6"/>
    <w:rsid w:val="00C237ED"/>
    <w:rsid w:val="00C24632"/>
    <w:rsid w:val="00C24E21"/>
    <w:rsid w:val="00C25418"/>
    <w:rsid w:val="00C25D9C"/>
    <w:rsid w:val="00C269A3"/>
    <w:rsid w:val="00C2778B"/>
    <w:rsid w:val="00C31649"/>
    <w:rsid w:val="00C3434C"/>
    <w:rsid w:val="00C35031"/>
    <w:rsid w:val="00C35D48"/>
    <w:rsid w:val="00C40385"/>
    <w:rsid w:val="00C41768"/>
    <w:rsid w:val="00C4303F"/>
    <w:rsid w:val="00C44D11"/>
    <w:rsid w:val="00C450CA"/>
    <w:rsid w:val="00C475AA"/>
    <w:rsid w:val="00C47671"/>
    <w:rsid w:val="00C47840"/>
    <w:rsid w:val="00C47DB5"/>
    <w:rsid w:val="00C512EE"/>
    <w:rsid w:val="00C527C7"/>
    <w:rsid w:val="00C52F98"/>
    <w:rsid w:val="00C53C98"/>
    <w:rsid w:val="00C56FCF"/>
    <w:rsid w:val="00C57B6C"/>
    <w:rsid w:val="00C6030E"/>
    <w:rsid w:val="00C61A59"/>
    <w:rsid w:val="00C628A6"/>
    <w:rsid w:val="00C64277"/>
    <w:rsid w:val="00C64344"/>
    <w:rsid w:val="00C65108"/>
    <w:rsid w:val="00C65576"/>
    <w:rsid w:val="00C66165"/>
    <w:rsid w:val="00C662B7"/>
    <w:rsid w:val="00C6775C"/>
    <w:rsid w:val="00C7060A"/>
    <w:rsid w:val="00C7151A"/>
    <w:rsid w:val="00C717E3"/>
    <w:rsid w:val="00C71F60"/>
    <w:rsid w:val="00C72241"/>
    <w:rsid w:val="00C750C8"/>
    <w:rsid w:val="00C7560F"/>
    <w:rsid w:val="00C76115"/>
    <w:rsid w:val="00C765F3"/>
    <w:rsid w:val="00C77CF9"/>
    <w:rsid w:val="00C80A0E"/>
    <w:rsid w:val="00C8213F"/>
    <w:rsid w:val="00C82976"/>
    <w:rsid w:val="00C8303F"/>
    <w:rsid w:val="00C85154"/>
    <w:rsid w:val="00C85A70"/>
    <w:rsid w:val="00C85CD9"/>
    <w:rsid w:val="00C8797A"/>
    <w:rsid w:val="00C900B8"/>
    <w:rsid w:val="00C90197"/>
    <w:rsid w:val="00C90C71"/>
    <w:rsid w:val="00C91FD1"/>
    <w:rsid w:val="00C931CF"/>
    <w:rsid w:val="00C938CF"/>
    <w:rsid w:val="00C94053"/>
    <w:rsid w:val="00C941B8"/>
    <w:rsid w:val="00C952AB"/>
    <w:rsid w:val="00C9624D"/>
    <w:rsid w:val="00C969DA"/>
    <w:rsid w:val="00CA2C77"/>
    <w:rsid w:val="00CA444F"/>
    <w:rsid w:val="00CA51C6"/>
    <w:rsid w:val="00CA5245"/>
    <w:rsid w:val="00CA5985"/>
    <w:rsid w:val="00CA71F4"/>
    <w:rsid w:val="00CA7B09"/>
    <w:rsid w:val="00CB12A5"/>
    <w:rsid w:val="00CB1CAC"/>
    <w:rsid w:val="00CB2F2A"/>
    <w:rsid w:val="00CB31A3"/>
    <w:rsid w:val="00CB56EF"/>
    <w:rsid w:val="00CB587F"/>
    <w:rsid w:val="00CB5B1A"/>
    <w:rsid w:val="00CB6B22"/>
    <w:rsid w:val="00CB7F5F"/>
    <w:rsid w:val="00CC1263"/>
    <w:rsid w:val="00CC15E3"/>
    <w:rsid w:val="00CC1B39"/>
    <w:rsid w:val="00CC1BFA"/>
    <w:rsid w:val="00CC2E9F"/>
    <w:rsid w:val="00CC35EA"/>
    <w:rsid w:val="00CC3848"/>
    <w:rsid w:val="00CC3BE5"/>
    <w:rsid w:val="00CC6D5E"/>
    <w:rsid w:val="00CD00D8"/>
    <w:rsid w:val="00CD0200"/>
    <w:rsid w:val="00CD2A85"/>
    <w:rsid w:val="00CD3C7F"/>
    <w:rsid w:val="00CD3F77"/>
    <w:rsid w:val="00CD6ADC"/>
    <w:rsid w:val="00CD7193"/>
    <w:rsid w:val="00CD7A09"/>
    <w:rsid w:val="00CE38C8"/>
    <w:rsid w:val="00CE4C5D"/>
    <w:rsid w:val="00CE524F"/>
    <w:rsid w:val="00CE5852"/>
    <w:rsid w:val="00CE58CC"/>
    <w:rsid w:val="00CE6274"/>
    <w:rsid w:val="00CE77B6"/>
    <w:rsid w:val="00CF2854"/>
    <w:rsid w:val="00CF2B8D"/>
    <w:rsid w:val="00CF3A1B"/>
    <w:rsid w:val="00CF456B"/>
    <w:rsid w:val="00CF56D3"/>
    <w:rsid w:val="00CF5A22"/>
    <w:rsid w:val="00CF7091"/>
    <w:rsid w:val="00D0109A"/>
    <w:rsid w:val="00D0262E"/>
    <w:rsid w:val="00D03679"/>
    <w:rsid w:val="00D04868"/>
    <w:rsid w:val="00D05E3D"/>
    <w:rsid w:val="00D06139"/>
    <w:rsid w:val="00D110BD"/>
    <w:rsid w:val="00D13675"/>
    <w:rsid w:val="00D1375A"/>
    <w:rsid w:val="00D13B7B"/>
    <w:rsid w:val="00D141E1"/>
    <w:rsid w:val="00D147CC"/>
    <w:rsid w:val="00D149A8"/>
    <w:rsid w:val="00D15314"/>
    <w:rsid w:val="00D154EE"/>
    <w:rsid w:val="00D15B48"/>
    <w:rsid w:val="00D17D6C"/>
    <w:rsid w:val="00D2155B"/>
    <w:rsid w:val="00D226DD"/>
    <w:rsid w:val="00D23D11"/>
    <w:rsid w:val="00D244B6"/>
    <w:rsid w:val="00D26BBC"/>
    <w:rsid w:val="00D2754D"/>
    <w:rsid w:val="00D27B27"/>
    <w:rsid w:val="00D30D5B"/>
    <w:rsid w:val="00D31567"/>
    <w:rsid w:val="00D3351D"/>
    <w:rsid w:val="00D33BE9"/>
    <w:rsid w:val="00D33F93"/>
    <w:rsid w:val="00D357FF"/>
    <w:rsid w:val="00D424C7"/>
    <w:rsid w:val="00D43B2A"/>
    <w:rsid w:val="00D43CF1"/>
    <w:rsid w:val="00D43D6E"/>
    <w:rsid w:val="00D43D83"/>
    <w:rsid w:val="00D450B0"/>
    <w:rsid w:val="00D47575"/>
    <w:rsid w:val="00D51690"/>
    <w:rsid w:val="00D5243B"/>
    <w:rsid w:val="00D533EC"/>
    <w:rsid w:val="00D5439D"/>
    <w:rsid w:val="00D56A95"/>
    <w:rsid w:val="00D57F4E"/>
    <w:rsid w:val="00D6076E"/>
    <w:rsid w:val="00D61CC7"/>
    <w:rsid w:val="00D620FB"/>
    <w:rsid w:val="00D6371A"/>
    <w:rsid w:val="00D70F16"/>
    <w:rsid w:val="00D72617"/>
    <w:rsid w:val="00D72F57"/>
    <w:rsid w:val="00D743D6"/>
    <w:rsid w:val="00D76A44"/>
    <w:rsid w:val="00D815EF"/>
    <w:rsid w:val="00D81949"/>
    <w:rsid w:val="00D81F26"/>
    <w:rsid w:val="00D822E2"/>
    <w:rsid w:val="00D83A51"/>
    <w:rsid w:val="00D843F2"/>
    <w:rsid w:val="00D86231"/>
    <w:rsid w:val="00D91048"/>
    <w:rsid w:val="00D912AB"/>
    <w:rsid w:val="00D91923"/>
    <w:rsid w:val="00D923B1"/>
    <w:rsid w:val="00D93753"/>
    <w:rsid w:val="00D95C44"/>
    <w:rsid w:val="00D96E64"/>
    <w:rsid w:val="00DA00B5"/>
    <w:rsid w:val="00DA0153"/>
    <w:rsid w:val="00DA1DC3"/>
    <w:rsid w:val="00DA3167"/>
    <w:rsid w:val="00DA3D1B"/>
    <w:rsid w:val="00DA4005"/>
    <w:rsid w:val="00DA4DC3"/>
    <w:rsid w:val="00DA77A5"/>
    <w:rsid w:val="00DB0E36"/>
    <w:rsid w:val="00DB214C"/>
    <w:rsid w:val="00DB3DBF"/>
    <w:rsid w:val="00DB4743"/>
    <w:rsid w:val="00DB484F"/>
    <w:rsid w:val="00DB610E"/>
    <w:rsid w:val="00DB7A74"/>
    <w:rsid w:val="00DC04F6"/>
    <w:rsid w:val="00DC0690"/>
    <w:rsid w:val="00DC1D65"/>
    <w:rsid w:val="00DC3246"/>
    <w:rsid w:val="00DC3C57"/>
    <w:rsid w:val="00DC5501"/>
    <w:rsid w:val="00DC5DE4"/>
    <w:rsid w:val="00DC7154"/>
    <w:rsid w:val="00DC7E8A"/>
    <w:rsid w:val="00DD0F04"/>
    <w:rsid w:val="00DD0F78"/>
    <w:rsid w:val="00DD1665"/>
    <w:rsid w:val="00DD273C"/>
    <w:rsid w:val="00DD3F28"/>
    <w:rsid w:val="00DD4446"/>
    <w:rsid w:val="00DD4537"/>
    <w:rsid w:val="00DD4E15"/>
    <w:rsid w:val="00DD632F"/>
    <w:rsid w:val="00DE0F81"/>
    <w:rsid w:val="00DE2304"/>
    <w:rsid w:val="00DE3138"/>
    <w:rsid w:val="00DE37F8"/>
    <w:rsid w:val="00DE3A68"/>
    <w:rsid w:val="00DE4273"/>
    <w:rsid w:val="00DE4FCB"/>
    <w:rsid w:val="00DE5303"/>
    <w:rsid w:val="00DE5D07"/>
    <w:rsid w:val="00DE72A7"/>
    <w:rsid w:val="00DE7832"/>
    <w:rsid w:val="00DF051A"/>
    <w:rsid w:val="00DF18FC"/>
    <w:rsid w:val="00DF2C4F"/>
    <w:rsid w:val="00DF5D2B"/>
    <w:rsid w:val="00DF6341"/>
    <w:rsid w:val="00E0005C"/>
    <w:rsid w:val="00E00E8E"/>
    <w:rsid w:val="00E05630"/>
    <w:rsid w:val="00E0577B"/>
    <w:rsid w:val="00E06DBB"/>
    <w:rsid w:val="00E10149"/>
    <w:rsid w:val="00E10198"/>
    <w:rsid w:val="00E11340"/>
    <w:rsid w:val="00E122A1"/>
    <w:rsid w:val="00E16372"/>
    <w:rsid w:val="00E16AD8"/>
    <w:rsid w:val="00E17FFA"/>
    <w:rsid w:val="00E20E4D"/>
    <w:rsid w:val="00E20ED6"/>
    <w:rsid w:val="00E21358"/>
    <w:rsid w:val="00E2249B"/>
    <w:rsid w:val="00E22A0D"/>
    <w:rsid w:val="00E244F6"/>
    <w:rsid w:val="00E2486F"/>
    <w:rsid w:val="00E258DB"/>
    <w:rsid w:val="00E2719E"/>
    <w:rsid w:val="00E2771E"/>
    <w:rsid w:val="00E3097F"/>
    <w:rsid w:val="00E30BAD"/>
    <w:rsid w:val="00E311EF"/>
    <w:rsid w:val="00E31A39"/>
    <w:rsid w:val="00E32180"/>
    <w:rsid w:val="00E34948"/>
    <w:rsid w:val="00E36A03"/>
    <w:rsid w:val="00E37569"/>
    <w:rsid w:val="00E401B2"/>
    <w:rsid w:val="00E41E30"/>
    <w:rsid w:val="00E4281E"/>
    <w:rsid w:val="00E42F73"/>
    <w:rsid w:val="00E43D70"/>
    <w:rsid w:val="00E466F3"/>
    <w:rsid w:val="00E473A5"/>
    <w:rsid w:val="00E47B2C"/>
    <w:rsid w:val="00E509A8"/>
    <w:rsid w:val="00E51560"/>
    <w:rsid w:val="00E51821"/>
    <w:rsid w:val="00E53FC8"/>
    <w:rsid w:val="00E54347"/>
    <w:rsid w:val="00E55424"/>
    <w:rsid w:val="00E55915"/>
    <w:rsid w:val="00E55BB5"/>
    <w:rsid w:val="00E563E8"/>
    <w:rsid w:val="00E6002C"/>
    <w:rsid w:val="00E611DF"/>
    <w:rsid w:val="00E6399C"/>
    <w:rsid w:val="00E65E79"/>
    <w:rsid w:val="00E66BA2"/>
    <w:rsid w:val="00E67416"/>
    <w:rsid w:val="00E718B6"/>
    <w:rsid w:val="00E723BA"/>
    <w:rsid w:val="00E73581"/>
    <w:rsid w:val="00E752FB"/>
    <w:rsid w:val="00E76491"/>
    <w:rsid w:val="00E777FD"/>
    <w:rsid w:val="00E833F7"/>
    <w:rsid w:val="00E83BDF"/>
    <w:rsid w:val="00E85EDD"/>
    <w:rsid w:val="00E86FCC"/>
    <w:rsid w:val="00E877AA"/>
    <w:rsid w:val="00E87A1D"/>
    <w:rsid w:val="00E9094A"/>
    <w:rsid w:val="00E91D35"/>
    <w:rsid w:val="00E926A5"/>
    <w:rsid w:val="00E962CC"/>
    <w:rsid w:val="00E97457"/>
    <w:rsid w:val="00EA17C3"/>
    <w:rsid w:val="00EA1F06"/>
    <w:rsid w:val="00EA2A09"/>
    <w:rsid w:val="00EA2CAA"/>
    <w:rsid w:val="00EA3864"/>
    <w:rsid w:val="00EA41E6"/>
    <w:rsid w:val="00EA77EA"/>
    <w:rsid w:val="00EA7F1C"/>
    <w:rsid w:val="00EB1036"/>
    <w:rsid w:val="00EB15B6"/>
    <w:rsid w:val="00EB37F9"/>
    <w:rsid w:val="00EB3D06"/>
    <w:rsid w:val="00EB4916"/>
    <w:rsid w:val="00EB64AB"/>
    <w:rsid w:val="00EC00C9"/>
    <w:rsid w:val="00EC06FF"/>
    <w:rsid w:val="00EC0AB7"/>
    <w:rsid w:val="00EC0DD9"/>
    <w:rsid w:val="00EC0E42"/>
    <w:rsid w:val="00EC2649"/>
    <w:rsid w:val="00EC2BBF"/>
    <w:rsid w:val="00EC31ED"/>
    <w:rsid w:val="00EC5836"/>
    <w:rsid w:val="00EC688C"/>
    <w:rsid w:val="00ED12E3"/>
    <w:rsid w:val="00ED3A08"/>
    <w:rsid w:val="00ED4B04"/>
    <w:rsid w:val="00ED57EA"/>
    <w:rsid w:val="00ED5BD4"/>
    <w:rsid w:val="00EE07D3"/>
    <w:rsid w:val="00EE1996"/>
    <w:rsid w:val="00EE1C01"/>
    <w:rsid w:val="00EE22AF"/>
    <w:rsid w:val="00EF009B"/>
    <w:rsid w:val="00EF0171"/>
    <w:rsid w:val="00EF094B"/>
    <w:rsid w:val="00EF1B25"/>
    <w:rsid w:val="00EF1DA0"/>
    <w:rsid w:val="00EF2BB8"/>
    <w:rsid w:val="00EF40A9"/>
    <w:rsid w:val="00EF438D"/>
    <w:rsid w:val="00EF4747"/>
    <w:rsid w:val="00EF4BF8"/>
    <w:rsid w:val="00EF5028"/>
    <w:rsid w:val="00F01C37"/>
    <w:rsid w:val="00F02253"/>
    <w:rsid w:val="00F03C2E"/>
    <w:rsid w:val="00F04A66"/>
    <w:rsid w:val="00F04B4B"/>
    <w:rsid w:val="00F0516C"/>
    <w:rsid w:val="00F0541C"/>
    <w:rsid w:val="00F067A2"/>
    <w:rsid w:val="00F07B9E"/>
    <w:rsid w:val="00F1084F"/>
    <w:rsid w:val="00F1116F"/>
    <w:rsid w:val="00F11761"/>
    <w:rsid w:val="00F1263A"/>
    <w:rsid w:val="00F139C5"/>
    <w:rsid w:val="00F14E0C"/>
    <w:rsid w:val="00F156AF"/>
    <w:rsid w:val="00F15B77"/>
    <w:rsid w:val="00F15E73"/>
    <w:rsid w:val="00F17852"/>
    <w:rsid w:val="00F17A46"/>
    <w:rsid w:val="00F21236"/>
    <w:rsid w:val="00F229F3"/>
    <w:rsid w:val="00F239DF"/>
    <w:rsid w:val="00F24837"/>
    <w:rsid w:val="00F24F04"/>
    <w:rsid w:val="00F2575F"/>
    <w:rsid w:val="00F25BC6"/>
    <w:rsid w:val="00F27565"/>
    <w:rsid w:val="00F30ED6"/>
    <w:rsid w:val="00F310D4"/>
    <w:rsid w:val="00F31D5A"/>
    <w:rsid w:val="00F33975"/>
    <w:rsid w:val="00F33DE9"/>
    <w:rsid w:val="00F35E6D"/>
    <w:rsid w:val="00F3619A"/>
    <w:rsid w:val="00F37398"/>
    <w:rsid w:val="00F402C2"/>
    <w:rsid w:val="00F40AAA"/>
    <w:rsid w:val="00F40BA7"/>
    <w:rsid w:val="00F40C47"/>
    <w:rsid w:val="00F40F9D"/>
    <w:rsid w:val="00F41833"/>
    <w:rsid w:val="00F41ACD"/>
    <w:rsid w:val="00F432B3"/>
    <w:rsid w:val="00F438F8"/>
    <w:rsid w:val="00F447B6"/>
    <w:rsid w:val="00F46CB6"/>
    <w:rsid w:val="00F470AE"/>
    <w:rsid w:val="00F4756D"/>
    <w:rsid w:val="00F47DE8"/>
    <w:rsid w:val="00F542C1"/>
    <w:rsid w:val="00F550E3"/>
    <w:rsid w:val="00F55E73"/>
    <w:rsid w:val="00F55EDA"/>
    <w:rsid w:val="00F56C80"/>
    <w:rsid w:val="00F5700D"/>
    <w:rsid w:val="00F574F3"/>
    <w:rsid w:val="00F5769F"/>
    <w:rsid w:val="00F5783A"/>
    <w:rsid w:val="00F60092"/>
    <w:rsid w:val="00F60BA3"/>
    <w:rsid w:val="00F61C18"/>
    <w:rsid w:val="00F635B2"/>
    <w:rsid w:val="00F65F4B"/>
    <w:rsid w:val="00F67A69"/>
    <w:rsid w:val="00F70BFF"/>
    <w:rsid w:val="00F70C9D"/>
    <w:rsid w:val="00F73E08"/>
    <w:rsid w:val="00F74CD9"/>
    <w:rsid w:val="00F7588D"/>
    <w:rsid w:val="00F80A7B"/>
    <w:rsid w:val="00F80E5D"/>
    <w:rsid w:val="00F811BA"/>
    <w:rsid w:val="00F81E78"/>
    <w:rsid w:val="00F83916"/>
    <w:rsid w:val="00F851CE"/>
    <w:rsid w:val="00F87F86"/>
    <w:rsid w:val="00F91219"/>
    <w:rsid w:val="00F913DB"/>
    <w:rsid w:val="00F92444"/>
    <w:rsid w:val="00F9393E"/>
    <w:rsid w:val="00F9457E"/>
    <w:rsid w:val="00F958A4"/>
    <w:rsid w:val="00F96FD0"/>
    <w:rsid w:val="00F97A78"/>
    <w:rsid w:val="00F97EDA"/>
    <w:rsid w:val="00FA0B20"/>
    <w:rsid w:val="00FA24E7"/>
    <w:rsid w:val="00FA2AB2"/>
    <w:rsid w:val="00FA5EE6"/>
    <w:rsid w:val="00FA6CED"/>
    <w:rsid w:val="00FA7952"/>
    <w:rsid w:val="00FA7956"/>
    <w:rsid w:val="00FB0824"/>
    <w:rsid w:val="00FB2FCB"/>
    <w:rsid w:val="00FB4C9C"/>
    <w:rsid w:val="00FB7156"/>
    <w:rsid w:val="00FB7264"/>
    <w:rsid w:val="00FB7997"/>
    <w:rsid w:val="00FB7C55"/>
    <w:rsid w:val="00FC1074"/>
    <w:rsid w:val="00FC1884"/>
    <w:rsid w:val="00FC371D"/>
    <w:rsid w:val="00FC4D62"/>
    <w:rsid w:val="00FC5F0B"/>
    <w:rsid w:val="00FD2100"/>
    <w:rsid w:val="00FD436C"/>
    <w:rsid w:val="00FD446D"/>
    <w:rsid w:val="00FD4F2C"/>
    <w:rsid w:val="00FD6394"/>
    <w:rsid w:val="00FE0781"/>
    <w:rsid w:val="00FE0E6C"/>
    <w:rsid w:val="00FE1CDC"/>
    <w:rsid w:val="00FE70C3"/>
    <w:rsid w:val="00FE7D76"/>
    <w:rsid w:val="00FF0053"/>
    <w:rsid w:val="00FF1A8B"/>
    <w:rsid w:val="00FF2AD9"/>
    <w:rsid w:val="00FF359F"/>
    <w:rsid w:val="00FF3DCF"/>
    <w:rsid w:val="00FF492C"/>
    <w:rsid w:val="00FF4A21"/>
    <w:rsid w:val="00FF5AA3"/>
    <w:rsid w:val="00FF5AD8"/>
    <w:rsid w:val="00FF5B7F"/>
    <w:rsid w:val="00FF5C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_CC_Bullet,Bullet1,Bullet List,Section 5,Bullets Points,BulletList 1,Bulletlist1,BulletList1,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Char,_CC_Bullet Char,Bullet1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MSD Table Grid,HTAtableplain,Lash Style Table,Tabellengitternetz 9pt,Source table_,NICE instructions,RTI AMCP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1C070C"/>
    <w:pPr>
      <w:tabs>
        <w:tab w:val="left" w:pos="713"/>
        <w:tab w:val="left" w:pos="880"/>
        <w:tab w:val="right" w:leader="dot" w:pos="9016"/>
      </w:tabs>
      <w:spacing w:before="40" w:after="120"/>
      <w:ind w:left="221"/>
      <w:jc w:val="left"/>
    </w:pPr>
    <w:rPr>
      <w:iCs/>
      <w:noProof/>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1C070C"/>
    <w:pPr>
      <w:tabs>
        <w:tab w:val="right" w:leader="dot" w:pos="9016"/>
      </w:tabs>
      <w:spacing w:after="120"/>
      <w:ind w:left="442"/>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Bodytextbullet">
    <w:name w:val="Body text bullet"/>
    <w:basedOn w:val="BodyText"/>
    <w:link w:val="BodytextbulletChar"/>
    <w:uiPriority w:val="2"/>
    <w:qFormat/>
    <w:rsid w:val="00470DEC"/>
    <w:pPr>
      <w:spacing w:line="276" w:lineRule="auto"/>
    </w:pPr>
    <w:rPr>
      <w:rFonts w:asciiTheme="minorHAnsi" w:eastAsiaTheme="minorHAnsi" w:hAnsiTheme="minorHAnsi"/>
      <w:sz w:val="22"/>
      <w:szCs w:val="22"/>
      <w:lang w:eastAsia="en-US"/>
    </w:rPr>
  </w:style>
  <w:style w:type="character" w:customStyle="1" w:styleId="BodytextbulletChar">
    <w:name w:val="Body text bullet Char"/>
    <w:basedOn w:val="DefaultParagraphFont"/>
    <w:link w:val="Bodytextbullet"/>
    <w:uiPriority w:val="2"/>
    <w:rsid w:val="00470DEC"/>
    <w:rPr>
      <w:rFonts w:asciiTheme="minorHAnsi" w:eastAsiaTheme="minorHAnsi" w:hAnsiTheme="minorHAnsi" w:cs="Arial"/>
      <w:sz w:val="22"/>
      <w:szCs w:val="22"/>
      <w:lang w:eastAsia="en-US"/>
    </w:rPr>
  </w:style>
  <w:style w:type="paragraph" w:customStyle="1" w:styleId="Tabletextleft">
    <w:name w:val="Table text left"/>
    <w:basedOn w:val="Normal"/>
    <w:link w:val="TabletextleftChar"/>
    <w:qFormat/>
    <w:rsid w:val="000C0B9F"/>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0C0B9F"/>
    <w:rPr>
      <w:rFonts w:asciiTheme="minorHAnsi" w:hAnsiTheme="minorHAnsi"/>
      <w:sz w:val="18"/>
    </w:rPr>
  </w:style>
  <w:style w:type="paragraph" w:customStyle="1" w:styleId="Tableheadingleft">
    <w:name w:val="Table heading left"/>
    <w:basedOn w:val="Normal"/>
    <w:next w:val="Tabletextleft"/>
    <w:qFormat/>
    <w:rsid w:val="000C0B9F"/>
    <w:pPr>
      <w:spacing w:before="40" w:after="40"/>
      <w:jc w:val="left"/>
    </w:pPr>
    <w:rPr>
      <w:rFonts w:asciiTheme="minorHAnsi" w:eastAsiaTheme="minorHAnsi" w:hAnsiTheme="minorHAnsi" w:cs="Tahoma"/>
      <w:b/>
      <w:sz w:val="18"/>
      <w:szCs w:val="18"/>
      <w:lang w:val="de-DE" w:eastAsia="en-US"/>
    </w:rPr>
  </w:style>
  <w:style w:type="paragraph" w:customStyle="1" w:styleId="TableFigNotes">
    <w:name w:val="TableFigNotes"/>
    <w:basedOn w:val="Normal"/>
    <w:uiPriority w:val="4"/>
    <w:rsid w:val="000C0B9F"/>
    <w:pPr>
      <w:keepNext/>
      <w:keepLines/>
      <w:jc w:val="left"/>
    </w:pPr>
    <w:rPr>
      <w:rFonts w:cs="Tahoma"/>
      <w:color w:val="000000"/>
      <w:sz w:val="16"/>
      <w:szCs w:val="18"/>
      <w:lang w:val="en-US"/>
    </w:rPr>
  </w:style>
  <w:style w:type="paragraph" w:customStyle="1" w:styleId="TableFigNotes18">
    <w:name w:val="TableFigNotes+18"/>
    <w:basedOn w:val="BodyText"/>
    <w:next w:val="BodyText"/>
    <w:link w:val="TableFigNotes18Char"/>
    <w:uiPriority w:val="4"/>
    <w:qFormat/>
    <w:rsid w:val="002E4972"/>
    <w:pPr>
      <w:keepLines/>
      <w:spacing w:after="360" w:line="276" w:lineRule="auto"/>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2E4972"/>
    <w:rPr>
      <w:rFonts w:asciiTheme="minorHAnsi" w:eastAsiaTheme="minorHAnsi" w:hAnsiTheme="minorHAnsi" w:cs="Tahoma"/>
      <w:color w:val="000000"/>
      <w:sz w:val="16"/>
      <w:szCs w:val="18"/>
    </w:rPr>
  </w:style>
  <w:style w:type="paragraph" w:styleId="PlainText">
    <w:name w:val="Plain Text"/>
    <w:basedOn w:val="Normal"/>
    <w:link w:val="PlainTextChar"/>
    <w:uiPriority w:val="99"/>
    <w:semiHidden/>
    <w:unhideWhenUsed/>
    <w:rsid w:val="00CE5852"/>
    <w:pPr>
      <w:jc w:val="left"/>
    </w:pPr>
    <w:rPr>
      <w:rFonts w:eastAsiaTheme="minorHAnsi" w:cstheme="minorBidi"/>
      <w:sz w:val="22"/>
      <w:szCs w:val="21"/>
      <w:lang w:eastAsia="en-US"/>
    </w:rPr>
  </w:style>
  <w:style w:type="character" w:customStyle="1" w:styleId="PlainTextChar">
    <w:name w:val="Plain Text Char"/>
    <w:basedOn w:val="DefaultParagraphFont"/>
    <w:link w:val="PlainText"/>
    <w:uiPriority w:val="99"/>
    <w:semiHidden/>
    <w:rsid w:val="00CE5852"/>
    <w:rPr>
      <w:rFonts w:ascii="Calibri" w:eastAsiaTheme="minorHAnsi" w:hAnsi="Calibri" w:cstheme="minorBidi"/>
      <w:sz w:val="22"/>
      <w:szCs w:val="21"/>
      <w:lang w:eastAsia="en-US"/>
    </w:rPr>
  </w:style>
  <w:style w:type="paragraph" w:styleId="FootnoteText">
    <w:name w:val="footnote text"/>
    <w:basedOn w:val="Normal"/>
    <w:link w:val="FootnoteTextChar"/>
    <w:semiHidden/>
    <w:unhideWhenUsed/>
    <w:rsid w:val="00186C47"/>
    <w:rPr>
      <w:sz w:val="20"/>
      <w:szCs w:val="20"/>
    </w:rPr>
  </w:style>
  <w:style w:type="character" w:customStyle="1" w:styleId="FootnoteTextChar">
    <w:name w:val="Footnote Text Char"/>
    <w:basedOn w:val="DefaultParagraphFont"/>
    <w:link w:val="FootnoteText"/>
    <w:semiHidden/>
    <w:rsid w:val="00186C47"/>
    <w:rPr>
      <w:rFonts w:ascii="Calibri" w:hAnsi="Calibri" w:cs="Arial"/>
    </w:rPr>
  </w:style>
  <w:style w:type="character" w:styleId="FootnoteReference">
    <w:name w:val="footnote reference"/>
    <w:basedOn w:val="DefaultParagraphFont"/>
    <w:semiHidden/>
    <w:unhideWhenUsed/>
    <w:rsid w:val="00186C47"/>
    <w:rPr>
      <w:vertAlign w:val="superscript"/>
    </w:rPr>
  </w:style>
  <w:style w:type="paragraph" w:customStyle="1" w:styleId="EndNoteBibliography">
    <w:name w:val="EndNote Bibliography"/>
    <w:basedOn w:val="Normal"/>
    <w:link w:val="EndNoteBibliographyChar"/>
    <w:rsid w:val="000835A8"/>
    <w:rPr>
      <w:rFonts w:eastAsiaTheme="minorHAnsi" w:cs="Calibri"/>
      <w:noProof/>
      <w:sz w:val="22"/>
      <w:szCs w:val="22"/>
      <w:lang w:val="en-US" w:eastAsia="en-US"/>
    </w:rPr>
  </w:style>
  <w:style w:type="character" w:customStyle="1" w:styleId="EndNoteBibliographyChar">
    <w:name w:val="EndNote Bibliography Char"/>
    <w:basedOn w:val="DefaultParagraphFont"/>
    <w:link w:val="EndNoteBibliography"/>
    <w:rsid w:val="000835A8"/>
    <w:rPr>
      <w:rFonts w:ascii="Calibri" w:eastAsiaTheme="minorHAnsi" w:hAnsi="Calibri" w:cs="Calibri"/>
      <w:noProof/>
      <w:sz w:val="22"/>
      <w:szCs w:val="22"/>
      <w:lang w:val="en-US" w:eastAsia="en-US"/>
    </w:rPr>
  </w:style>
  <w:style w:type="paragraph" w:customStyle="1" w:styleId="3-SubsectionHeading">
    <w:name w:val="3-Subsection Heading"/>
    <w:basedOn w:val="Heading2"/>
    <w:next w:val="Normal"/>
    <w:link w:val="3-SubsectionHeadingChar"/>
    <w:qFormat/>
    <w:rsid w:val="00AB7B62"/>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AB7B62"/>
    <w:rPr>
      <w:rFonts w:asciiTheme="minorHAnsi" w:eastAsiaTheme="majorEastAsia" w:hAnsiTheme="minorHAnsi" w:cstheme="majorBidi"/>
      <w:b/>
      <w:i/>
      <w:snapToGrid/>
      <w:color w:val="365F91" w:themeColor="accent1" w:themeShade="BF"/>
      <w:spacing w:val="5"/>
      <w:kern w:val="28"/>
      <w:sz w:val="28"/>
      <w:szCs w:val="36"/>
      <w:lang w:eastAsia="en-US"/>
    </w:rPr>
  </w:style>
  <w:style w:type="character" w:customStyle="1" w:styleId="3BodytextChar">
    <w:name w:val="3. Body text Char"/>
    <w:basedOn w:val="DefaultParagraphFont"/>
    <w:link w:val="3Bodytext"/>
    <w:locked/>
    <w:rsid w:val="00BF7414"/>
    <w:rPr>
      <w:rFonts w:asciiTheme="minorHAnsi" w:eastAsiaTheme="minorHAnsi" w:hAnsiTheme="minorHAnsi" w:cstheme="minorBidi"/>
      <w:sz w:val="24"/>
      <w:szCs w:val="22"/>
    </w:rPr>
  </w:style>
  <w:style w:type="paragraph" w:customStyle="1" w:styleId="3Bodytext">
    <w:name w:val="3. Body text"/>
    <w:basedOn w:val="ListParagraph"/>
    <w:link w:val="3BodytextChar"/>
    <w:qFormat/>
    <w:rsid w:val="00BF7414"/>
    <w:pPr>
      <w:numPr>
        <w:numId w:val="0"/>
      </w:numPr>
      <w:ind w:left="720" w:hanging="720"/>
      <w:jc w:val="left"/>
    </w:pPr>
    <w:rPr>
      <w:rFonts w:eastAsiaTheme="minorHAnsi" w:cstheme="minorBidi"/>
      <w:snapToGrid/>
      <w:szCs w:val="22"/>
    </w:rPr>
  </w:style>
  <w:style w:type="paragraph" w:customStyle="1" w:styleId="Tablefootnote">
    <w:name w:val="Table footnote"/>
    <w:basedOn w:val="Normal"/>
    <w:link w:val="TablefootnoteChar"/>
    <w:autoRedefine/>
    <w:qFormat/>
    <w:rsid w:val="00472674"/>
    <w:pPr>
      <w:spacing w:after="120"/>
      <w:contextualSpacing/>
      <w:jc w:val="left"/>
    </w:pPr>
    <w:rPr>
      <w:rFonts w:ascii="Arial Narrow" w:hAnsi="Arial Narrow" w:cs="Times New Roman"/>
      <w:sz w:val="18"/>
      <w:szCs w:val="18"/>
      <w:lang w:eastAsia="en-US"/>
    </w:rPr>
  </w:style>
  <w:style w:type="character" w:customStyle="1" w:styleId="TablefootnoteChar">
    <w:name w:val="Table footnote Char"/>
    <w:basedOn w:val="DefaultParagraphFont"/>
    <w:link w:val="Tablefootnote"/>
    <w:rsid w:val="00472674"/>
    <w:rPr>
      <w:rFonts w:ascii="Arial Narrow" w:hAnsi="Arial Narrow"/>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17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7217198">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98548497">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650744147">
      <w:bodyDiv w:val="1"/>
      <w:marLeft w:val="0"/>
      <w:marRight w:val="0"/>
      <w:marTop w:val="0"/>
      <w:marBottom w:val="0"/>
      <w:divBdr>
        <w:top w:val="none" w:sz="0" w:space="0" w:color="auto"/>
        <w:left w:val="none" w:sz="0" w:space="0" w:color="auto"/>
        <w:bottom w:val="none" w:sz="0" w:space="0" w:color="auto"/>
        <w:right w:val="none" w:sz="0" w:space="0" w:color="auto"/>
      </w:divBdr>
      <w:divsChild>
        <w:div w:id="1264067345">
          <w:marLeft w:val="806"/>
          <w:marRight w:val="0"/>
          <w:marTop w:val="200"/>
          <w:marBottom w:val="0"/>
          <w:divBdr>
            <w:top w:val="none" w:sz="0" w:space="0" w:color="auto"/>
            <w:left w:val="none" w:sz="0" w:space="0" w:color="auto"/>
            <w:bottom w:val="none" w:sz="0" w:space="0" w:color="auto"/>
            <w:right w:val="none" w:sz="0" w:space="0" w:color="auto"/>
          </w:divBdr>
        </w:div>
      </w:divsChild>
    </w:div>
    <w:div w:id="1842237917">
      <w:bodyDiv w:val="1"/>
      <w:marLeft w:val="0"/>
      <w:marRight w:val="0"/>
      <w:marTop w:val="0"/>
      <w:marBottom w:val="0"/>
      <w:divBdr>
        <w:top w:val="none" w:sz="0" w:space="0" w:color="auto"/>
        <w:left w:val="none" w:sz="0" w:space="0" w:color="auto"/>
        <w:bottom w:val="none" w:sz="0" w:space="0" w:color="auto"/>
        <w:right w:val="none" w:sz="0" w:space="0" w:color="auto"/>
      </w:divBdr>
      <w:divsChild>
        <w:div w:id="2140606668">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dustry/listing/elements/pbac-meetings/psd/2010-03/Romiplostim_Mar_10.pdf;jsessionid=kon95ccgxtmk11uqjsi8cvyly/" TargetMode="External"/><Relationship Id="rId13" Type="http://schemas.openxmlformats.org/officeDocument/2006/relationships/hyperlink" Target="http://www.servicesaustralia.gov.au/hpo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rvicesaustralia.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po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rvicesaustralia.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bs.gov.au/info/industry/listing/elements/pbac-meetings/psd/2011-03/pbac-psd-eltrombopag-march1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apps.who.int/iris/handle/10665/37200" TargetMode="External"/><Relationship Id="rId2" Type="http://schemas.openxmlformats.org/officeDocument/2006/relationships/hyperlink" Target="https://www.abs.gov.au/statistics/people/people-and-communities/cultural-diversity-census/2021" TargetMode="External"/><Relationship Id="rId1" Type="http://schemas.openxmlformats.org/officeDocument/2006/relationships/hyperlink" Target="https://www.pbs.gov.au/medicine/item/5827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EBD92-66C3-A940-96F8-EADC858C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13570</Words>
  <Characters>78479</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2023-02-27T02:38:00Z</dcterms:created>
  <dcterms:modified xsi:type="dcterms:W3CDTF">2023-02-27T02:38:00Z</dcterms:modified>
</cp:coreProperties>
</file>