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0CC5" w14:textId="10B94C74" w:rsidR="000031BD" w:rsidRDefault="000031BD" w:rsidP="000031BD">
      <w:bookmarkStart w:id="0" w:name="_Toc113968807"/>
      <w:r w:rsidRPr="00A573A6">
        <w:rPr>
          <w:color w:val="FF0000"/>
        </w:rPr>
        <w:t xml:space="preserve">An addendum to </w:t>
      </w:r>
      <w:r>
        <w:rPr>
          <w:color w:val="FF0000"/>
        </w:rPr>
        <w:t>this Public Summary Document</w:t>
      </w:r>
      <w:r w:rsidRPr="00A573A6">
        <w:rPr>
          <w:color w:val="FF0000"/>
        </w:rPr>
        <w:t xml:space="preserve"> has been included at the end of the document.</w:t>
      </w:r>
    </w:p>
    <w:p w14:paraId="51C6701A" w14:textId="65F6242F" w:rsidR="00B60939" w:rsidRPr="007E61A0" w:rsidRDefault="006D0001" w:rsidP="004A6040">
      <w:pPr>
        <w:pStyle w:val="1-MainHeading"/>
      </w:pPr>
      <w:r w:rsidRPr="007E61A0">
        <w:t>5</w:t>
      </w:r>
      <w:r w:rsidR="00433044" w:rsidRPr="007E61A0">
        <w:t>.</w:t>
      </w:r>
      <w:r w:rsidRPr="007E61A0">
        <w:t>02</w:t>
      </w:r>
      <w:r w:rsidR="00163F66" w:rsidRPr="007E61A0">
        <w:tab/>
      </w:r>
      <w:r w:rsidR="007C79D6" w:rsidRPr="007E61A0">
        <w:t>DEUCRAVACITINIB</w:t>
      </w:r>
      <w:r w:rsidR="00163F66" w:rsidRPr="007E61A0">
        <w:t>,</w:t>
      </w:r>
      <w:r w:rsidR="00163F66" w:rsidRPr="007E61A0">
        <w:br/>
      </w:r>
      <w:r w:rsidR="007C79D6" w:rsidRPr="007E61A0">
        <w:t>Table</w:t>
      </w:r>
      <w:r w:rsidR="00586850" w:rsidRPr="007E61A0">
        <w:t>t</w:t>
      </w:r>
      <w:r w:rsidRPr="007E61A0">
        <w:t xml:space="preserve"> </w:t>
      </w:r>
      <w:r w:rsidR="007C79D6" w:rsidRPr="007E61A0">
        <w:t>6 mg</w:t>
      </w:r>
      <w:r w:rsidR="00163F66" w:rsidRPr="007E61A0">
        <w:t>,</w:t>
      </w:r>
      <w:r w:rsidR="00163F66" w:rsidRPr="007E61A0">
        <w:br/>
      </w:r>
      <w:r w:rsidR="007C79D6" w:rsidRPr="007E61A0">
        <w:t>Sotyk</w:t>
      </w:r>
      <w:r w:rsidR="00F770D1" w:rsidRPr="007E61A0">
        <w:t>t</w:t>
      </w:r>
      <w:r w:rsidR="007C79D6" w:rsidRPr="007E61A0">
        <w:t>u</w:t>
      </w:r>
      <w:r w:rsidR="00B60939" w:rsidRPr="007E61A0">
        <w:rPr>
          <w:vertAlign w:val="superscript"/>
        </w:rPr>
        <w:t>®</w:t>
      </w:r>
      <w:r w:rsidR="004A6040" w:rsidRPr="007E61A0">
        <w:t>,</w:t>
      </w:r>
      <w:r w:rsidR="004A6040" w:rsidRPr="007E61A0">
        <w:br/>
      </w:r>
      <w:r w:rsidR="007C79D6" w:rsidRPr="007E61A0">
        <w:t>Bristol-Myers Squibb Australia Pty Ltd</w:t>
      </w:r>
      <w:r w:rsidR="00B60939" w:rsidRPr="007E61A0">
        <w:t>.</w:t>
      </w:r>
      <w:bookmarkEnd w:id="0"/>
      <w:r w:rsidR="00F73E08" w:rsidRPr="007E61A0">
        <w:t xml:space="preserve"> </w:t>
      </w:r>
    </w:p>
    <w:p w14:paraId="11C00795" w14:textId="3DFB6D23" w:rsidR="00B50DB8" w:rsidRPr="007E61A0" w:rsidRDefault="00B50DB8" w:rsidP="004A6040">
      <w:pPr>
        <w:pStyle w:val="2-SectionHeading"/>
      </w:pPr>
      <w:bookmarkStart w:id="1" w:name="_Toc113968809"/>
      <w:r w:rsidRPr="007E61A0">
        <w:t xml:space="preserve">Purpose of </w:t>
      </w:r>
      <w:r w:rsidR="00CD7193" w:rsidRPr="007E61A0">
        <w:t>s</w:t>
      </w:r>
      <w:r w:rsidR="00BB3A45" w:rsidRPr="007E61A0">
        <w:t>ubmission</w:t>
      </w:r>
      <w:bookmarkEnd w:id="1"/>
    </w:p>
    <w:p w14:paraId="19414AA1" w14:textId="7FC2E675" w:rsidR="002C2775" w:rsidRPr="007E61A0" w:rsidRDefault="007170DA" w:rsidP="004E18E9">
      <w:pPr>
        <w:pStyle w:val="3-BodyText"/>
      </w:pPr>
      <w:r w:rsidRPr="007E61A0">
        <w:t xml:space="preserve">The </w:t>
      </w:r>
      <w:r w:rsidR="00F73E08" w:rsidRPr="007E61A0">
        <w:t xml:space="preserve">Category </w:t>
      </w:r>
      <w:r w:rsidR="006A3EAB" w:rsidRPr="007E61A0">
        <w:t>1</w:t>
      </w:r>
      <w:r w:rsidR="00F73E08" w:rsidRPr="007E61A0">
        <w:t xml:space="preserve"> </w:t>
      </w:r>
      <w:r w:rsidRPr="007E61A0">
        <w:t>submission requested</w:t>
      </w:r>
      <w:r w:rsidR="00192109" w:rsidRPr="007E61A0">
        <w:t xml:space="preserve"> an</w:t>
      </w:r>
      <w:r w:rsidRPr="007E61A0">
        <w:t xml:space="preserve"> </w:t>
      </w:r>
      <w:r w:rsidR="003F4D1C" w:rsidRPr="007E61A0">
        <w:t xml:space="preserve">Authority Required (STREAMLINED) </w:t>
      </w:r>
      <w:r w:rsidR="008B1757" w:rsidRPr="007E61A0">
        <w:t xml:space="preserve">listing for </w:t>
      </w:r>
      <w:r w:rsidR="003F4D1C" w:rsidRPr="007E61A0">
        <w:t>deucravacitinib</w:t>
      </w:r>
      <w:r w:rsidR="008B1757" w:rsidRPr="007E61A0">
        <w:t xml:space="preserve"> for </w:t>
      </w:r>
      <w:r w:rsidR="0050174E" w:rsidRPr="007E61A0">
        <w:t xml:space="preserve">the </w:t>
      </w:r>
      <w:r w:rsidR="008B1757" w:rsidRPr="007E61A0">
        <w:t xml:space="preserve">treatment of </w:t>
      </w:r>
      <w:r w:rsidR="003F4D1C" w:rsidRPr="007E61A0">
        <w:t xml:space="preserve">severe chronic plaque psoriasis </w:t>
      </w:r>
      <w:r w:rsidR="003E19AA" w:rsidRPr="007E61A0">
        <w:t xml:space="preserve">(CPP) </w:t>
      </w:r>
      <w:r w:rsidR="003F4D1C" w:rsidRPr="007E61A0">
        <w:t>in patients who have not responded to or have a contraindication or demonstrated intolerance to methotrexate</w:t>
      </w:r>
      <w:r w:rsidR="008B1757" w:rsidRPr="007E61A0">
        <w:t>.</w:t>
      </w:r>
      <w:r w:rsidR="008B1757" w:rsidRPr="007E61A0">
        <w:rPr>
          <w:color w:val="0066FF"/>
        </w:rPr>
        <w:t xml:space="preserve"> </w:t>
      </w:r>
    </w:p>
    <w:p w14:paraId="4E9FBCB5" w14:textId="26D4DBBF" w:rsidR="00C2778B" w:rsidRPr="007E61A0" w:rsidRDefault="005750C5" w:rsidP="004E18E9">
      <w:pPr>
        <w:pStyle w:val="3-BodyText"/>
      </w:pPr>
      <w:r w:rsidRPr="007E61A0">
        <w:t xml:space="preserve">Listing was requested on the basis of a cost-effectiveness analysis versus </w:t>
      </w:r>
      <w:r w:rsidR="003F4D1C" w:rsidRPr="007E61A0">
        <w:t>apremilast</w:t>
      </w:r>
      <w:r w:rsidRPr="007E61A0">
        <w:t xml:space="preserve">. </w:t>
      </w:r>
    </w:p>
    <w:p w14:paraId="3718DE61" w14:textId="46FBDADD" w:rsidR="008B1757" w:rsidRPr="007E61A0" w:rsidRDefault="00696EF9" w:rsidP="004A6040">
      <w:pPr>
        <w:pStyle w:val="TableFigureHeading"/>
        <w:rPr>
          <w:rStyle w:val="CommentReference"/>
          <w:b/>
          <w:szCs w:val="24"/>
        </w:rPr>
      </w:pPr>
      <w:bookmarkStart w:id="2" w:name="_Ref111075355"/>
      <w:r w:rsidRPr="007E61A0">
        <w:t xml:space="preserve">Table </w:t>
      </w:r>
      <w:fldSimple w:instr=" SEQ Table \* ARABIC " w:fldLock="1">
        <w:r w:rsidR="00EC7993">
          <w:rPr>
            <w:noProof/>
          </w:rPr>
          <w:t>1</w:t>
        </w:r>
      </w:fldSimple>
      <w:bookmarkEnd w:id="2"/>
      <w:r w:rsidRPr="007E61A0">
        <w:t>:</w:t>
      </w:r>
      <w:r w:rsidR="00BC591F" w:rsidRPr="007E61A0">
        <w:rPr>
          <w:rStyle w:val="CommentReference"/>
          <w:b/>
          <w:szCs w:val="24"/>
        </w:rPr>
        <w:t xml:space="preserve"> </w:t>
      </w:r>
      <w:r w:rsidR="008B1757" w:rsidRPr="007E61A0">
        <w:rPr>
          <w:rStyle w:val="CommentReference"/>
          <w:b/>
          <w:szCs w:val="24"/>
        </w:rPr>
        <w:t>Key components of the clinical issue addressed by the submission</w:t>
      </w:r>
      <w:r w:rsidR="007170DA" w:rsidRPr="007E61A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AA1039" w:rsidRPr="007E61A0" w14:paraId="569F5103" w14:textId="77777777" w:rsidTr="00575CD3">
        <w:trPr>
          <w:cantSplit/>
          <w:tblHeader/>
        </w:trPr>
        <w:tc>
          <w:tcPr>
            <w:tcW w:w="924" w:type="pct"/>
            <w:shd w:val="clear" w:color="auto" w:fill="auto"/>
          </w:tcPr>
          <w:p w14:paraId="501803FB" w14:textId="77777777" w:rsidR="008B1757" w:rsidRPr="007E61A0" w:rsidRDefault="008B1757" w:rsidP="00090561">
            <w:pPr>
              <w:pStyle w:val="In-tableHeading"/>
              <w:jc w:val="center"/>
              <w:rPr>
                <w:szCs w:val="20"/>
                <w:lang w:val="en-AU"/>
              </w:rPr>
            </w:pPr>
            <w:r w:rsidRPr="007E61A0">
              <w:rPr>
                <w:lang w:val="en-AU"/>
              </w:rPr>
              <w:t>Component</w:t>
            </w:r>
          </w:p>
        </w:tc>
        <w:tc>
          <w:tcPr>
            <w:tcW w:w="4076" w:type="pct"/>
            <w:shd w:val="clear" w:color="auto" w:fill="auto"/>
          </w:tcPr>
          <w:p w14:paraId="445D9EBB" w14:textId="77777777" w:rsidR="008B1757" w:rsidRPr="007E61A0" w:rsidRDefault="008B1757" w:rsidP="00090561">
            <w:pPr>
              <w:pStyle w:val="In-tableHeading"/>
              <w:jc w:val="center"/>
              <w:rPr>
                <w:lang w:val="en-AU"/>
              </w:rPr>
            </w:pPr>
            <w:r w:rsidRPr="007E61A0">
              <w:rPr>
                <w:lang w:val="en-AU"/>
              </w:rPr>
              <w:t>Description</w:t>
            </w:r>
          </w:p>
        </w:tc>
      </w:tr>
      <w:tr w:rsidR="00AA1039" w:rsidRPr="007E61A0" w14:paraId="2EB546E2" w14:textId="77777777" w:rsidTr="00575CD3">
        <w:trPr>
          <w:cantSplit/>
        </w:trPr>
        <w:tc>
          <w:tcPr>
            <w:tcW w:w="924" w:type="pct"/>
            <w:shd w:val="clear" w:color="auto" w:fill="auto"/>
          </w:tcPr>
          <w:p w14:paraId="38F3BB34" w14:textId="77777777" w:rsidR="00982DB6" w:rsidRPr="007E61A0" w:rsidRDefault="00982DB6" w:rsidP="00982DB6">
            <w:pPr>
              <w:pStyle w:val="TableText0"/>
            </w:pPr>
            <w:r w:rsidRPr="007E61A0">
              <w:t>Population</w:t>
            </w:r>
          </w:p>
        </w:tc>
        <w:tc>
          <w:tcPr>
            <w:tcW w:w="4076" w:type="pct"/>
            <w:vAlign w:val="center"/>
          </w:tcPr>
          <w:p w14:paraId="79618EEE" w14:textId="0C84B531" w:rsidR="00982DB6" w:rsidRPr="007E61A0" w:rsidRDefault="00982DB6" w:rsidP="00982DB6">
            <w:pPr>
              <w:pStyle w:val="TableText0"/>
              <w:rPr>
                <w:szCs w:val="20"/>
              </w:rPr>
            </w:pPr>
            <w:r w:rsidRPr="007E61A0">
              <w:t xml:space="preserve">Severe </w:t>
            </w:r>
            <w:r w:rsidR="000A5852" w:rsidRPr="007E61A0">
              <w:t>chronic plaque psoriasis</w:t>
            </w:r>
          </w:p>
        </w:tc>
      </w:tr>
      <w:tr w:rsidR="00AA1039" w:rsidRPr="007E61A0" w14:paraId="0CA523AF" w14:textId="77777777" w:rsidTr="00575CD3">
        <w:trPr>
          <w:cantSplit/>
        </w:trPr>
        <w:tc>
          <w:tcPr>
            <w:tcW w:w="924" w:type="pct"/>
            <w:shd w:val="clear" w:color="auto" w:fill="auto"/>
          </w:tcPr>
          <w:p w14:paraId="7B6D20D8" w14:textId="77777777" w:rsidR="00982DB6" w:rsidRPr="007E61A0" w:rsidRDefault="00982DB6" w:rsidP="00982DB6">
            <w:pPr>
              <w:pStyle w:val="TableText0"/>
            </w:pPr>
            <w:r w:rsidRPr="007E61A0">
              <w:t>Intervention</w:t>
            </w:r>
          </w:p>
        </w:tc>
        <w:tc>
          <w:tcPr>
            <w:tcW w:w="4076" w:type="pct"/>
            <w:vAlign w:val="center"/>
          </w:tcPr>
          <w:p w14:paraId="2491E905" w14:textId="3C1CC961" w:rsidR="00982DB6" w:rsidRPr="007E61A0" w:rsidRDefault="00982DB6" w:rsidP="00982DB6">
            <w:pPr>
              <w:pStyle w:val="TableText0"/>
            </w:pPr>
            <w:r w:rsidRPr="007E61A0">
              <w:t>Deucravacitinib</w:t>
            </w:r>
            <w:r w:rsidR="001A1BE1" w:rsidRPr="007E61A0">
              <w:t xml:space="preserve">, 6 mg </w:t>
            </w:r>
            <w:r w:rsidR="00EC6D64" w:rsidRPr="007E61A0">
              <w:t xml:space="preserve">orally </w:t>
            </w:r>
            <w:r w:rsidR="001A1BE1" w:rsidRPr="007E61A0">
              <w:t>once daily</w:t>
            </w:r>
          </w:p>
        </w:tc>
      </w:tr>
      <w:tr w:rsidR="00AA1039" w:rsidRPr="007E61A0" w14:paraId="0F81EBE4" w14:textId="77777777" w:rsidTr="00575CD3">
        <w:trPr>
          <w:cantSplit/>
        </w:trPr>
        <w:tc>
          <w:tcPr>
            <w:tcW w:w="924" w:type="pct"/>
            <w:shd w:val="clear" w:color="auto" w:fill="auto"/>
          </w:tcPr>
          <w:p w14:paraId="3656B343" w14:textId="77777777" w:rsidR="00982DB6" w:rsidRPr="007E61A0" w:rsidRDefault="00982DB6" w:rsidP="00982DB6">
            <w:pPr>
              <w:pStyle w:val="TableText0"/>
            </w:pPr>
            <w:r w:rsidRPr="007E61A0">
              <w:t>Comparator</w:t>
            </w:r>
          </w:p>
        </w:tc>
        <w:tc>
          <w:tcPr>
            <w:tcW w:w="4076" w:type="pct"/>
            <w:vAlign w:val="center"/>
          </w:tcPr>
          <w:p w14:paraId="3727DE24" w14:textId="005FC4E1" w:rsidR="00982DB6" w:rsidRPr="007E61A0" w:rsidRDefault="00982DB6" w:rsidP="00982DB6">
            <w:pPr>
              <w:pStyle w:val="TableText0"/>
            </w:pPr>
            <w:r w:rsidRPr="007E61A0">
              <w:t>Apremilast</w:t>
            </w:r>
            <w:r w:rsidR="00EC6D64" w:rsidRPr="007E61A0">
              <w:t>, 30 mg orally twice daily (after titration)</w:t>
            </w:r>
          </w:p>
        </w:tc>
      </w:tr>
      <w:tr w:rsidR="00AA1039" w:rsidRPr="007E61A0" w14:paraId="02F86F0D" w14:textId="77777777" w:rsidTr="00575CD3">
        <w:trPr>
          <w:cantSplit/>
        </w:trPr>
        <w:tc>
          <w:tcPr>
            <w:tcW w:w="924" w:type="pct"/>
            <w:shd w:val="clear" w:color="auto" w:fill="auto"/>
          </w:tcPr>
          <w:p w14:paraId="06433105" w14:textId="77777777" w:rsidR="00982DB6" w:rsidRPr="007E61A0" w:rsidRDefault="00982DB6" w:rsidP="00982DB6">
            <w:pPr>
              <w:pStyle w:val="TableText0"/>
            </w:pPr>
            <w:r w:rsidRPr="007E61A0">
              <w:t>Outcomes</w:t>
            </w:r>
          </w:p>
        </w:tc>
        <w:tc>
          <w:tcPr>
            <w:tcW w:w="4076" w:type="pct"/>
            <w:vAlign w:val="center"/>
          </w:tcPr>
          <w:p w14:paraId="6FB72530" w14:textId="78C7DECF" w:rsidR="00982DB6" w:rsidRPr="007E61A0" w:rsidRDefault="00982DB6" w:rsidP="00982DB6">
            <w:pPr>
              <w:pStyle w:val="TableText0"/>
            </w:pPr>
            <w:r w:rsidRPr="007E61A0">
              <w:t>Co-primary endpoints: sPGA 0/1 and PASI 75 at Week 16 and Week 24</w:t>
            </w:r>
            <w:r w:rsidR="00ED19BE" w:rsidRPr="007E61A0">
              <w:rPr>
                <w:vertAlign w:val="superscript"/>
              </w:rPr>
              <w:t>a</w:t>
            </w:r>
          </w:p>
          <w:p w14:paraId="5ABC4037" w14:textId="601AA4A9" w:rsidR="00982DB6" w:rsidRPr="007E61A0" w:rsidRDefault="00982DB6" w:rsidP="00982DB6">
            <w:pPr>
              <w:pStyle w:val="TableText0"/>
              <w:rPr>
                <w:rFonts w:eastAsia="Times New Roman" w:cs="Arial"/>
                <w:bCs w:val="0"/>
                <w:snapToGrid w:val="0"/>
                <w:szCs w:val="20"/>
              </w:rPr>
            </w:pPr>
            <w:r w:rsidRPr="007E61A0">
              <w:t>Secondary endpoints: sPGA 0, PASI 75, PASI 90, PASI 100, DLQI 0/1 at Week 16</w:t>
            </w:r>
          </w:p>
        </w:tc>
      </w:tr>
      <w:tr w:rsidR="00AA1039" w:rsidRPr="007E61A0" w14:paraId="22223890" w14:textId="77777777" w:rsidTr="00575CD3">
        <w:trPr>
          <w:cantSplit/>
        </w:trPr>
        <w:tc>
          <w:tcPr>
            <w:tcW w:w="924" w:type="pct"/>
            <w:shd w:val="clear" w:color="auto" w:fill="auto"/>
          </w:tcPr>
          <w:p w14:paraId="0FC8FCE0" w14:textId="77777777" w:rsidR="00982DB6" w:rsidRPr="007E61A0" w:rsidRDefault="00982DB6" w:rsidP="00982DB6">
            <w:pPr>
              <w:pStyle w:val="TableText0"/>
            </w:pPr>
            <w:r w:rsidRPr="007E61A0">
              <w:t>Clinical claim</w:t>
            </w:r>
          </w:p>
        </w:tc>
        <w:tc>
          <w:tcPr>
            <w:tcW w:w="4076" w:type="pct"/>
            <w:vAlign w:val="center"/>
          </w:tcPr>
          <w:p w14:paraId="2C99C4DE" w14:textId="22A03E6E" w:rsidR="00982DB6" w:rsidRPr="007E61A0" w:rsidRDefault="00982DB6" w:rsidP="00982DB6">
            <w:pPr>
              <w:pStyle w:val="TableText0"/>
              <w:rPr>
                <w:rFonts w:eastAsia="Times New Roman" w:cs="Arial"/>
                <w:bCs w:val="0"/>
                <w:snapToGrid w:val="0"/>
                <w:szCs w:val="20"/>
              </w:rPr>
            </w:pPr>
            <w:r w:rsidRPr="007E61A0">
              <w:t>Compared to apremilast, deucravacitinib is superior in terms of efficacy and non-inferior in terms of safety.</w:t>
            </w:r>
          </w:p>
        </w:tc>
      </w:tr>
    </w:tbl>
    <w:p w14:paraId="74615463" w14:textId="419C0FD8" w:rsidR="00982DB6" w:rsidRPr="007E61A0" w:rsidRDefault="00982DB6" w:rsidP="00982DB6">
      <w:pPr>
        <w:pStyle w:val="FooterTableFigure"/>
      </w:pPr>
      <w:r w:rsidRPr="007E61A0">
        <w:t>Source: Table 1, p17 of the submission.</w:t>
      </w:r>
      <w:r w:rsidR="00ED19BE" w:rsidRPr="007E61A0">
        <w:t xml:space="preserve"> </w:t>
      </w:r>
    </w:p>
    <w:p w14:paraId="527CA7F0" w14:textId="00339881" w:rsidR="004E43B2" w:rsidRPr="007E61A0" w:rsidRDefault="00982DB6" w:rsidP="004A6040">
      <w:pPr>
        <w:pStyle w:val="FooterTableFigure"/>
      </w:pPr>
      <w:r w:rsidRPr="007E61A0">
        <w:t>DLQI = Dermatology Life Quality Index; P</w:t>
      </w:r>
      <w:r w:rsidR="004D7738" w:rsidRPr="007E61A0">
        <w:t>AS</w:t>
      </w:r>
      <w:r w:rsidRPr="007E61A0">
        <w:t>I = Psoriasis Area Severity Index; sPGA = static Physician Global Assessment.</w:t>
      </w:r>
    </w:p>
    <w:p w14:paraId="5A7559BD" w14:textId="77777777" w:rsidR="00DF1F60" w:rsidRPr="007E61A0" w:rsidRDefault="00DF1F60" w:rsidP="00DF1F60">
      <w:pPr>
        <w:pStyle w:val="FooterTableFigure"/>
      </w:pPr>
      <w:bookmarkStart w:id="3" w:name="_Hlk110342498"/>
      <w:r w:rsidRPr="007E61A0">
        <w:rPr>
          <w:vertAlign w:val="superscript"/>
        </w:rPr>
        <w:t>a</w:t>
      </w:r>
      <w:r w:rsidRPr="007E61A0">
        <w:t xml:space="preserve"> Table 1 of the submission stated that the co-primary endpoints were measured at 16 and 24 weeks. However, the co-primary outcomes in the included trials were versus placebo at 16 weeks. </w:t>
      </w:r>
    </w:p>
    <w:p w14:paraId="6B4AB6C2" w14:textId="7F01D731" w:rsidR="005C25FF" w:rsidRPr="007E61A0" w:rsidRDefault="005C25FF" w:rsidP="004A6040">
      <w:pPr>
        <w:pStyle w:val="2-SectionHeading"/>
      </w:pPr>
      <w:bookmarkStart w:id="4" w:name="_Toc113968810"/>
      <w:bookmarkEnd w:id="3"/>
      <w:r w:rsidRPr="007E61A0">
        <w:t>Background</w:t>
      </w:r>
      <w:bookmarkEnd w:id="4"/>
    </w:p>
    <w:p w14:paraId="2C521D6D" w14:textId="78CF03EE" w:rsidR="005C25FF" w:rsidRPr="007E61A0" w:rsidRDefault="005C25FF" w:rsidP="004A6040">
      <w:pPr>
        <w:pStyle w:val="4-SubsectionHeading"/>
        <w:rPr>
          <w:i w:val="0"/>
        </w:rPr>
      </w:pPr>
      <w:bookmarkStart w:id="5" w:name="_Toc22897638"/>
      <w:bookmarkStart w:id="6" w:name="_Toc113968811"/>
      <w:r w:rsidRPr="007E61A0">
        <w:rPr>
          <w:i w:val="0"/>
        </w:rPr>
        <w:t>Registration status</w:t>
      </w:r>
      <w:bookmarkEnd w:id="5"/>
      <w:bookmarkEnd w:id="6"/>
    </w:p>
    <w:p w14:paraId="63488789" w14:textId="6E7B5A0B" w:rsidR="00F85AA6" w:rsidRPr="007E61A0" w:rsidRDefault="005C25FF" w:rsidP="00ED19BE">
      <w:pPr>
        <w:pStyle w:val="3-BodyText"/>
        <w:rPr>
          <w:color w:val="0066FF"/>
        </w:rPr>
      </w:pPr>
      <w:r w:rsidRPr="007E61A0">
        <w:t xml:space="preserve">The submission was made under </w:t>
      </w:r>
      <w:r w:rsidR="00E244F6" w:rsidRPr="007E61A0">
        <w:t xml:space="preserve">the </w:t>
      </w:r>
      <w:r w:rsidRPr="007E61A0">
        <w:t xml:space="preserve">TGA/PBAC Parallel Process. At the time of </w:t>
      </w:r>
      <w:r w:rsidR="00687562" w:rsidRPr="007E61A0">
        <w:t xml:space="preserve">PBAC consideration, the Clinical Evaluation Report(s), Delegate’s Overview and </w:t>
      </w:r>
      <w:r w:rsidR="00F45262" w:rsidRPr="007E61A0">
        <w:t>Advisory Committee on Medicines (</w:t>
      </w:r>
      <w:r w:rsidR="00687562" w:rsidRPr="007E61A0">
        <w:t>ACM</w:t>
      </w:r>
      <w:r w:rsidR="00F45262" w:rsidRPr="007E61A0">
        <w:t>)</w:t>
      </w:r>
      <w:r w:rsidR="00687562" w:rsidRPr="007E61A0">
        <w:t xml:space="preserve"> advice were available.</w:t>
      </w:r>
    </w:p>
    <w:p w14:paraId="24BD1D89" w14:textId="616525ED" w:rsidR="00F85AA6" w:rsidRPr="007E61A0" w:rsidRDefault="0097488C" w:rsidP="00ED19BE">
      <w:pPr>
        <w:pStyle w:val="3-BodyText"/>
      </w:pPr>
      <w:r w:rsidRPr="007E61A0">
        <w:t xml:space="preserve">The proposed TGA indication for deucravacitinib is “for the treatment of adult patients with moderate-to-severe plaque psoriasis who are candidates for systemic therapy or phototherapy”. </w:t>
      </w:r>
      <w:r w:rsidR="00BA1DA5" w:rsidRPr="007E61A0">
        <w:t xml:space="preserve">The TGA Delegate was supportive of approving deucravacitinib for the proposed indication. </w:t>
      </w:r>
    </w:p>
    <w:p w14:paraId="1399B2DE" w14:textId="6B03013D" w:rsidR="00F11C13" w:rsidRPr="007E61A0" w:rsidRDefault="00B50DB8" w:rsidP="00F11C13">
      <w:pPr>
        <w:pStyle w:val="2-SectionHeading"/>
      </w:pPr>
      <w:bookmarkStart w:id="7" w:name="_Toc107902078"/>
      <w:bookmarkStart w:id="8" w:name="_Toc113968813"/>
      <w:bookmarkEnd w:id="7"/>
      <w:r w:rsidRPr="007E61A0">
        <w:lastRenderedPageBreak/>
        <w:t>Requested listing</w:t>
      </w:r>
      <w:bookmarkEnd w:id="8"/>
    </w:p>
    <w:p w14:paraId="78522FCB" w14:textId="324EEC97" w:rsidR="00F11C13" w:rsidRPr="007E61A0" w:rsidRDefault="00F11C13" w:rsidP="0025475F">
      <w:pPr>
        <w:pStyle w:val="3-BodyText"/>
      </w:pPr>
      <w:bookmarkStart w:id="9" w:name="_Ref165463779"/>
      <w:r w:rsidRPr="007E61A0">
        <w:t>The requested listing is presented below. Suggestions and additions proposed by the Secretariat are in italics and suggested deletions are crossed out with strikethrough.</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2203"/>
        <w:gridCol w:w="812"/>
        <w:gridCol w:w="812"/>
        <w:gridCol w:w="812"/>
        <w:gridCol w:w="1834"/>
      </w:tblGrid>
      <w:tr w:rsidR="00AA1039" w:rsidRPr="007E61A0" w14:paraId="73E16E29" w14:textId="77777777" w:rsidTr="00EF6ADE">
        <w:trPr>
          <w:cantSplit/>
          <w:trHeight w:val="20"/>
        </w:trPr>
        <w:tc>
          <w:tcPr>
            <w:tcW w:w="1411" w:type="pct"/>
            <w:vAlign w:val="center"/>
          </w:tcPr>
          <w:p w14:paraId="4660296B" w14:textId="77777777" w:rsidR="00046D64" w:rsidRPr="007E61A0" w:rsidRDefault="00046D64" w:rsidP="008A664A">
            <w:pPr>
              <w:keepLines/>
              <w:jc w:val="center"/>
              <w:rPr>
                <w:rFonts w:ascii="Arial Narrow" w:hAnsi="Arial Narrow"/>
                <w:b/>
                <w:bCs/>
                <w:sz w:val="20"/>
                <w:szCs w:val="20"/>
              </w:rPr>
            </w:pPr>
            <w:bookmarkStart w:id="10" w:name="_Hlk104809055"/>
            <w:r w:rsidRPr="007E61A0">
              <w:rPr>
                <w:rFonts w:ascii="Arial Narrow" w:hAnsi="Arial Narrow"/>
                <w:b/>
                <w:bCs/>
                <w:sz w:val="20"/>
                <w:szCs w:val="20"/>
              </w:rPr>
              <w:t>MEDICINAL PRODUCT</w:t>
            </w:r>
          </w:p>
          <w:p w14:paraId="7221C2FD" w14:textId="77777777" w:rsidR="00046D64" w:rsidRPr="007E61A0" w:rsidRDefault="00046D64" w:rsidP="008A664A">
            <w:pPr>
              <w:keepLines/>
              <w:jc w:val="center"/>
              <w:rPr>
                <w:rFonts w:ascii="Arial Narrow" w:hAnsi="Arial Narrow"/>
                <w:b/>
                <w:sz w:val="20"/>
                <w:szCs w:val="20"/>
              </w:rPr>
            </w:pPr>
            <w:r w:rsidRPr="007E61A0">
              <w:rPr>
                <w:rFonts w:ascii="Arial Narrow" w:hAnsi="Arial Narrow"/>
                <w:b/>
                <w:bCs/>
                <w:sz w:val="20"/>
                <w:szCs w:val="20"/>
              </w:rPr>
              <w:t>medicinal product pack</w:t>
            </w:r>
          </w:p>
        </w:tc>
        <w:tc>
          <w:tcPr>
            <w:tcW w:w="1222" w:type="pct"/>
            <w:vAlign w:val="center"/>
          </w:tcPr>
          <w:p w14:paraId="14424AF1" w14:textId="3E598251" w:rsidR="00046D64" w:rsidRPr="007E61A0" w:rsidRDefault="00C61A59" w:rsidP="00090561">
            <w:pPr>
              <w:pStyle w:val="TableText0"/>
              <w:jc w:val="center"/>
              <w:rPr>
                <w:b/>
                <w:bCs w:val="0"/>
                <w:szCs w:val="20"/>
              </w:rPr>
            </w:pPr>
            <w:r w:rsidRPr="007E61A0">
              <w:rPr>
                <w:b/>
                <w:bCs w:val="0"/>
                <w:snapToGrid w:val="0"/>
              </w:rPr>
              <w:t>Dispensed Price for Max. Qty</w:t>
            </w:r>
          </w:p>
        </w:tc>
        <w:tc>
          <w:tcPr>
            <w:tcW w:w="450" w:type="pct"/>
            <w:vAlign w:val="center"/>
          </w:tcPr>
          <w:p w14:paraId="4E41A9BC" w14:textId="0E3A90D0" w:rsidR="00046D64" w:rsidRPr="007E61A0" w:rsidRDefault="00046D64" w:rsidP="00090561">
            <w:pPr>
              <w:keepLines/>
              <w:jc w:val="center"/>
              <w:rPr>
                <w:rFonts w:ascii="Arial Narrow" w:hAnsi="Arial Narrow"/>
                <w:b/>
                <w:sz w:val="20"/>
                <w:szCs w:val="20"/>
              </w:rPr>
            </w:pPr>
            <w:r w:rsidRPr="007E61A0">
              <w:rPr>
                <w:rFonts w:ascii="Arial Narrow" w:hAnsi="Arial Narrow"/>
                <w:b/>
                <w:sz w:val="20"/>
                <w:szCs w:val="20"/>
              </w:rPr>
              <w:t>Max. qty packs</w:t>
            </w:r>
          </w:p>
        </w:tc>
        <w:tc>
          <w:tcPr>
            <w:tcW w:w="450" w:type="pct"/>
            <w:vAlign w:val="center"/>
          </w:tcPr>
          <w:p w14:paraId="48197540" w14:textId="77777777" w:rsidR="00046D64" w:rsidRPr="007E61A0" w:rsidRDefault="00046D64" w:rsidP="00090561">
            <w:pPr>
              <w:keepLines/>
              <w:jc w:val="center"/>
              <w:rPr>
                <w:rFonts w:ascii="Arial Narrow" w:hAnsi="Arial Narrow"/>
                <w:b/>
                <w:sz w:val="20"/>
                <w:szCs w:val="20"/>
              </w:rPr>
            </w:pPr>
            <w:r w:rsidRPr="007E61A0">
              <w:rPr>
                <w:rFonts w:ascii="Arial Narrow" w:hAnsi="Arial Narrow"/>
                <w:b/>
                <w:sz w:val="20"/>
                <w:szCs w:val="20"/>
              </w:rPr>
              <w:t>Max. qty units</w:t>
            </w:r>
          </w:p>
        </w:tc>
        <w:tc>
          <w:tcPr>
            <w:tcW w:w="450" w:type="pct"/>
            <w:vAlign w:val="center"/>
          </w:tcPr>
          <w:p w14:paraId="13B3FDEE" w14:textId="77777777" w:rsidR="00046D64" w:rsidRPr="007E61A0" w:rsidRDefault="00046D64" w:rsidP="00090561">
            <w:pPr>
              <w:keepLines/>
              <w:jc w:val="center"/>
              <w:rPr>
                <w:rFonts w:ascii="Arial Narrow" w:hAnsi="Arial Narrow"/>
                <w:b/>
                <w:sz w:val="20"/>
                <w:szCs w:val="20"/>
              </w:rPr>
            </w:pPr>
            <w:r w:rsidRPr="007E61A0">
              <w:rPr>
                <w:rFonts w:ascii="Arial Narrow" w:hAnsi="Arial Narrow"/>
                <w:b/>
                <w:sz w:val="20"/>
                <w:szCs w:val="20"/>
              </w:rPr>
              <w:t>№.of</w:t>
            </w:r>
          </w:p>
          <w:p w14:paraId="7B215997" w14:textId="77777777" w:rsidR="00046D64" w:rsidRPr="007E61A0" w:rsidRDefault="00046D64" w:rsidP="00090561">
            <w:pPr>
              <w:keepLines/>
              <w:jc w:val="center"/>
              <w:rPr>
                <w:rFonts w:ascii="Arial Narrow" w:hAnsi="Arial Narrow"/>
                <w:b/>
                <w:sz w:val="20"/>
                <w:szCs w:val="20"/>
              </w:rPr>
            </w:pPr>
            <w:r w:rsidRPr="007E61A0">
              <w:rPr>
                <w:rFonts w:ascii="Arial Narrow" w:hAnsi="Arial Narrow"/>
                <w:b/>
                <w:sz w:val="20"/>
                <w:szCs w:val="20"/>
              </w:rPr>
              <w:t>Rpts</w:t>
            </w:r>
          </w:p>
        </w:tc>
        <w:tc>
          <w:tcPr>
            <w:tcW w:w="1016" w:type="pct"/>
            <w:vAlign w:val="center"/>
          </w:tcPr>
          <w:p w14:paraId="4976F6A8" w14:textId="77777777" w:rsidR="00046D64" w:rsidRPr="007E61A0" w:rsidRDefault="00046D64" w:rsidP="00090561">
            <w:pPr>
              <w:keepLines/>
              <w:jc w:val="center"/>
              <w:rPr>
                <w:rFonts w:ascii="Arial Narrow" w:hAnsi="Arial Narrow"/>
                <w:b/>
                <w:sz w:val="20"/>
                <w:szCs w:val="20"/>
              </w:rPr>
            </w:pPr>
            <w:r w:rsidRPr="007E61A0">
              <w:rPr>
                <w:rFonts w:ascii="Arial Narrow" w:hAnsi="Arial Narrow"/>
                <w:b/>
                <w:sz w:val="20"/>
                <w:szCs w:val="20"/>
              </w:rPr>
              <w:t>Available brands</w:t>
            </w:r>
          </w:p>
        </w:tc>
      </w:tr>
      <w:tr w:rsidR="00AA1039" w:rsidRPr="007E61A0" w14:paraId="40C1AD8E" w14:textId="77777777" w:rsidTr="00575CD3">
        <w:trPr>
          <w:cantSplit/>
          <w:trHeight w:val="20"/>
        </w:trPr>
        <w:tc>
          <w:tcPr>
            <w:tcW w:w="5000" w:type="pct"/>
            <w:gridSpan w:val="6"/>
            <w:vAlign w:val="center"/>
          </w:tcPr>
          <w:p w14:paraId="2A4C00A6" w14:textId="3B2CEC2F" w:rsidR="00046D64" w:rsidRPr="007E61A0" w:rsidRDefault="008E6CC1" w:rsidP="00A2021E">
            <w:pPr>
              <w:pStyle w:val="TableText0"/>
              <w:rPr>
                <w:rFonts w:cs="Arial"/>
                <w:szCs w:val="20"/>
              </w:rPr>
            </w:pPr>
            <w:r w:rsidRPr="007E61A0">
              <w:t>DEUCRAVACITINIB</w:t>
            </w:r>
          </w:p>
        </w:tc>
      </w:tr>
      <w:tr w:rsidR="00AA1039" w:rsidRPr="007E61A0" w14:paraId="1DC2CC67" w14:textId="77777777" w:rsidTr="00EF6ADE">
        <w:trPr>
          <w:cantSplit/>
          <w:trHeight w:val="20"/>
        </w:trPr>
        <w:tc>
          <w:tcPr>
            <w:tcW w:w="1411" w:type="pct"/>
            <w:vAlign w:val="center"/>
          </w:tcPr>
          <w:p w14:paraId="612C04D7" w14:textId="2A4EB0F6" w:rsidR="008E6CC1" w:rsidRPr="007E61A0" w:rsidRDefault="00F01836" w:rsidP="008E6CC1">
            <w:pPr>
              <w:pStyle w:val="TableText0"/>
              <w:rPr>
                <w:szCs w:val="20"/>
              </w:rPr>
            </w:pPr>
            <w:r w:rsidRPr="007E61A0">
              <w:t>D</w:t>
            </w:r>
            <w:r w:rsidR="008E6CC1" w:rsidRPr="007E61A0">
              <w:t>eucravacitinib 6 mg tablet, 28</w:t>
            </w:r>
          </w:p>
        </w:tc>
        <w:tc>
          <w:tcPr>
            <w:tcW w:w="1222" w:type="pct"/>
          </w:tcPr>
          <w:p w14:paraId="517621E6" w14:textId="77777777" w:rsidR="008E6CC1" w:rsidRPr="007E61A0" w:rsidRDefault="008E6CC1" w:rsidP="008E6CC1">
            <w:pPr>
              <w:pStyle w:val="TableText0"/>
            </w:pPr>
            <w:r w:rsidRPr="007E61A0">
              <w:t>$1,415.28 published price</w:t>
            </w:r>
          </w:p>
          <w:p w14:paraId="70C2874A" w14:textId="0059B87E" w:rsidR="008E6CC1" w:rsidRPr="007E61A0" w:rsidRDefault="008E6CC1" w:rsidP="008E6CC1">
            <w:pPr>
              <w:pStyle w:val="TableText0"/>
              <w:rPr>
                <w:szCs w:val="20"/>
              </w:rPr>
            </w:pPr>
            <w:r w:rsidRPr="007E61A0">
              <w:t>$</w:t>
            </w:r>
            <w:r w:rsidR="009942F6" w:rsidRPr="009942F6">
              <w:rPr>
                <w:color w:val="000000"/>
                <w:spacing w:val="64"/>
                <w:shd w:val="solid" w:color="000000" w:fill="000000"/>
                <w:fitText w:val="364" w:id="-1305212672"/>
                <w14:textFill>
                  <w14:solidFill>
                    <w14:srgbClr w14:val="000000">
                      <w14:alpha w14:val="100000"/>
                    </w14:srgbClr>
                  </w14:solidFill>
                </w14:textFill>
              </w:rPr>
              <w:t>|||</w:t>
            </w:r>
            <w:r w:rsidR="009942F6" w:rsidRPr="009942F6">
              <w:rPr>
                <w:color w:val="000000"/>
                <w:spacing w:val="2"/>
                <w:shd w:val="solid" w:color="000000" w:fill="000000"/>
                <w:fitText w:val="364" w:id="-1305212672"/>
                <w14:textFill>
                  <w14:solidFill>
                    <w14:srgbClr w14:val="000000">
                      <w14:alpha w14:val="100000"/>
                    </w14:srgbClr>
                  </w14:solidFill>
                </w14:textFill>
              </w:rPr>
              <w:t>|</w:t>
            </w:r>
            <w:r w:rsidRPr="007E61A0">
              <w:t xml:space="preserve"> effective price</w:t>
            </w:r>
          </w:p>
        </w:tc>
        <w:tc>
          <w:tcPr>
            <w:tcW w:w="450" w:type="pct"/>
            <w:vAlign w:val="center"/>
          </w:tcPr>
          <w:p w14:paraId="71CD2441" w14:textId="7FFEEFD0" w:rsidR="008E6CC1" w:rsidRPr="007E61A0" w:rsidRDefault="008E6CC1" w:rsidP="008E6CC1">
            <w:pPr>
              <w:pStyle w:val="TableText0"/>
              <w:jc w:val="center"/>
              <w:rPr>
                <w:szCs w:val="20"/>
              </w:rPr>
            </w:pPr>
            <w:r w:rsidRPr="007E61A0">
              <w:t>1</w:t>
            </w:r>
          </w:p>
        </w:tc>
        <w:tc>
          <w:tcPr>
            <w:tcW w:w="450" w:type="pct"/>
            <w:vAlign w:val="center"/>
          </w:tcPr>
          <w:p w14:paraId="65F4D3E9" w14:textId="10372B50" w:rsidR="008E6CC1" w:rsidRPr="007E61A0" w:rsidRDefault="008E6CC1" w:rsidP="008E6CC1">
            <w:pPr>
              <w:pStyle w:val="TableText0"/>
              <w:jc w:val="center"/>
              <w:rPr>
                <w:szCs w:val="20"/>
              </w:rPr>
            </w:pPr>
            <w:r w:rsidRPr="007E61A0">
              <w:rPr>
                <w:szCs w:val="20"/>
              </w:rPr>
              <w:t>28</w:t>
            </w:r>
          </w:p>
        </w:tc>
        <w:tc>
          <w:tcPr>
            <w:tcW w:w="450" w:type="pct"/>
            <w:vAlign w:val="center"/>
          </w:tcPr>
          <w:p w14:paraId="7C728D0C" w14:textId="2B2ED171" w:rsidR="008E6CC1" w:rsidRPr="007E61A0" w:rsidRDefault="008E6CC1" w:rsidP="008E6CC1">
            <w:pPr>
              <w:pStyle w:val="TableText0"/>
              <w:jc w:val="center"/>
              <w:rPr>
                <w:szCs w:val="20"/>
              </w:rPr>
            </w:pPr>
            <w:r w:rsidRPr="007E61A0">
              <w:t>5</w:t>
            </w:r>
          </w:p>
        </w:tc>
        <w:tc>
          <w:tcPr>
            <w:tcW w:w="1016" w:type="pct"/>
            <w:vAlign w:val="center"/>
          </w:tcPr>
          <w:p w14:paraId="519A0BC8" w14:textId="43926D9C" w:rsidR="008E6CC1" w:rsidRPr="007E61A0" w:rsidRDefault="008E6CC1" w:rsidP="008E6CC1">
            <w:pPr>
              <w:pStyle w:val="TableText0"/>
              <w:rPr>
                <w:szCs w:val="20"/>
              </w:rPr>
            </w:pPr>
            <w:r w:rsidRPr="007E61A0">
              <w:rPr>
                <w:szCs w:val="20"/>
              </w:rPr>
              <w:t>Sotyktu®</w:t>
            </w:r>
          </w:p>
        </w:tc>
      </w:tr>
      <w:tr w:rsidR="00AA1039" w:rsidRPr="007E61A0" w14:paraId="3EE8ABAE"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tcPr>
          <w:p w14:paraId="3B622315" w14:textId="705CF1F7" w:rsidR="003A4C14" w:rsidRPr="007E61A0" w:rsidRDefault="003A4C14" w:rsidP="002C36E3">
            <w:pPr>
              <w:pStyle w:val="TableText0"/>
              <w:keepLines/>
            </w:pPr>
            <w:bookmarkStart w:id="11" w:name="_Hlk104809470"/>
            <w:bookmarkEnd w:id="10"/>
            <w:r w:rsidRPr="007E61A0">
              <w:rPr>
                <w:b/>
              </w:rPr>
              <w:t xml:space="preserve">Category / Program: </w:t>
            </w:r>
            <w:r w:rsidRPr="007E61A0">
              <w:t>General Schedule</w:t>
            </w:r>
          </w:p>
        </w:tc>
      </w:tr>
      <w:tr w:rsidR="00AA1039" w:rsidRPr="007E61A0" w14:paraId="09416ED3"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tcPr>
          <w:p w14:paraId="7D2ED8D5" w14:textId="167DC453" w:rsidR="003A4C14" w:rsidRPr="007E61A0" w:rsidRDefault="003A4C14" w:rsidP="002C36E3">
            <w:pPr>
              <w:pStyle w:val="TableText0"/>
              <w:keepLines/>
              <w:rPr>
                <w:b/>
              </w:rPr>
            </w:pPr>
            <w:r w:rsidRPr="007E61A0">
              <w:rPr>
                <w:b/>
              </w:rPr>
              <w:t xml:space="preserve">Prescriber type: </w:t>
            </w:r>
            <w:r w:rsidRPr="007E61A0">
              <w:fldChar w:fldCharType="begin" w:fldLock="1">
                <w:ffData>
                  <w:name w:val="Check1"/>
                  <w:enabled/>
                  <w:calcOnExit w:val="0"/>
                  <w:checkBox>
                    <w:sizeAuto/>
                    <w:default w:val="0"/>
                  </w:checkBox>
                </w:ffData>
              </w:fldChar>
            </w:r>
            <w:r w:rsidRPr="007E61A0">
              <w:instrText xml:space="preserve"> FORMCHECKBOX </w:instrText>
            </w:r>
            <w:r w:rsidR="009C7BF6">
              <w:fldChar w:fldCharType="separate"/>
            </w:r>
            <w:r w:rsidRPr="007E61A0">
              <w:fldChar w:fldCharType="end"/>
            </w:r>
            <w:r w:rsidRPr="007E61A0">
              <w:t xml:space="preserve">Dental </w:t>
            </w:r>
            <w:r w:rsidR="008E6CC1" w:rsidRPr="007E61A0">
              <w:fldChar w:fldCharType="begin" w:fldLock="1">
                <w:ffData>
                  <w:name w:val=""/>
                  <w:enabled/>
                  <w:calcOnExit w:val="0"/>
                  <w:checkBox>
                    <w:sizeAuto/>
                    <w:default w:val="1"/>
                  </w:checkBox>
                </w:ffData>
              </w:fldChar>
            </w:r>
            <w:r w:rsidR="008E6CC1" w:rsidRPr="007E61A0">
              <w:instrText xml:space="preserve"> FORMCHECKBOX </w:instrText>
            </w:r>
            <w:r w:rsidR="009C7BF6">
              <w:fldChar w:fldCharType="separate"/>
            </w:r>
            <w:r w:rsidR="008E6CC1" w:rsidRPr="007E61A0">
              <w:fldChar w:fldCharType="end"/>
            </w:r>
            <w:r w:rsidRPr="007E61A0">
              <w:t xml:space="preserve">Medical Practitioners </w:t>
            </w:r>
            <w:r w:rsidRPr="007E61A0">
              <w:fldChar w:fldCharType="begin" w:fldLock="1">
                <w:ffData>
                  <w:name w:val="Check3"/>
                  <w:enabled/>
                  <w:calcOnExit w:val="0"/>
                  <w:checkBox>
                    <w:sizeAuto/>
                    <w:default w:val="0"/>
                  </w:checkBox>
                </w:ffData>
              </w:fldChar>
            </w:r>
            <w:r w:rsidRPr="007E61A0">
              <w:instrText xml:space="preserve"> FORMCHECKBOX </w:instrText>
            </w:r>
            <w:r w:rsidR="009C7BF6">
              <w:fldChar w:fldCharType="separate"/>
            </w:r>
            <w:r w:rsidRPr="007E61A0">
              <w:fldChar w:fldCharType="end"/>
            </w:r>
            <w:r w:rsidRPr="007E61A0">
              <w:t xml:space="preserve">Nurse practitioners </w:t>
            </w:r>
            <w:r w:rsidRPr="007E61A0">
              <w:fldChar w:fldCharType="begin" w:fldLock="1">
                <w:ffData>
                  <w:name w:val=""/>
                  <w:enabled/>
                  <w:calcOnExit w:val="0"/>
                  <w:checkBox>
                    <w:sizeAuto/>
                    <w:default w:val="0"/>
                  </w:checkBox>
                </w:ffData>
              </w:fldChar>
            </w:r>
            <w:r w:rsidRPr="007E61A0">
              <w:instrText xml:space="preserve"> FORMCHECKBOX </w:instrText>
            </w:r>
            <w:r w:rsidR="009C7BF6">
              <w:fldChar w:fldCharType="separate"/>
            </w:r>
            <w:r w:rsidRPr="007E61A0">
              <w:fldChar w:fldCharType="end"/>
            </w:r>
            <w:r w:rsidRPr="007E61A0">
              <w:t xml:space="preserve">Optometrists </w:t>
            </w:r>
            <w:r w:rsidRPr="007E61A0">
              <w:fldChar w:fldCharType="begin" w:fldLock="1">
                <w:ffData>
                  <w:name w:val="Check5"/>
                  <w:enabled/>
                  <w:calcOnExit w:val="0"/>
                  <w:checkBox>
                    <w:sizeAuto/>
                    <w:default w:val="0"/>
                  </w:checkBox>
                </w:ffData>
              </w:fldChar>
            </w:r>
            <w:r w:rsidRPr="007E61A0">
              <w:instrText xml:space="preserve"> FORMCHECKBOX </w:instrText>
            </w:r>
            <w:r w:rsidR="009C7BF6">
              <w:fldChar w:fldCharType="separate"/>
            </w:r>
            <w:r w:rsidRPr="007E61A0">
              <w:fldChar w:fldCharType="end"/>
            </w:r>
          </w:p>
        </w:tc>
      </w:tr>
      <w:tr w:rsidR="00AA1039" w:rsidRPr="007E61A0" w14:paraId="070CFDD2"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tcPr>
          <w:p w14:paraId="3320A955" w14:textId="0C7E2363" w:rsidR="003A4C14" w:rsidRPr="007E61A0" w:rsidRDefault="003A4C14" w:rsidP="002C36E3">
            <w:pPr>
              <w:pStyle w:val="TableText0"/>
              <w:keepLines/>
              <w:rPr>
                <w:rFonts w:eastAsia="Times New Roman"/>
              </w:rPr>
            </w:pPr>
            <w:r w:rsidRPr="007E61A0">
              <w:rPr>
                <w:b/>
              </w:rPr>
              <w:t xml:space="preserve">Restriction type: </w:t>
            </w:r>
            <w:r w:rsidR="008E6CC1" w:rsidRPr="007E61A0">
              <w:rPr>
                <w:rFonts w:eastAsia="Times New Roman"/>
              </w:rPr>
              <w:fldChar w:fldCharType="begin" w:fldLock="1">
                <w:ffData>
                  <w:name w:val=""/>
                  <w:enabled/>
                  <w:calcOnExit w:val="0"/>
                  <w:checkBox>
                    <w:sizeAuto/>
                    <w:default w:val="1"/>
                  </w:checkBox>
                </w:ffData>
              </w:fldChar>
            </w:r>
            <w:r w:rsidR="008E6CC1" w:rsidRPr="007E61A0">
              <w:rPr>
                <w:rFonts w:eastAsia="Times New Roman"/>
              </w:rPr>
              <w:instrText xml:space="preserve"> FORMCHECKBOX </w:instrText>
            </w:r>
            <w:r w:rsidR="009C7BF6">
              <w:rPr>
                <w:rFonts w:eastAsia="Times New Roman"/>
              </w:rPr>
            </w:r>
            <w:r w:rsidR="009C7BF6">
              <w:rPr>
                <w:rFonts w:eastAsia="Times New Roman"/>
              </w:rPr>
              <w:fldChar w:fldCharType="separate"/>
            </w:r>
            <w:r w:rsidR="008E6CC1" w:rsidRPr="007E61A0">
              <w:rPr>
                <w:rFonts w:eastAsia="Times New Roman"/>
              </w:rPr>
              <w:fldChar w:fldCharType="end"/>
            </w:r>
            <w:r w:rsidRPr="007E61A0">
              <w:rPr>
                <w:rFonts w:eastAsia="Times New Roman"/>
              </w:rPr>
              <w:t>Authority Required (STREAMLINED)</w:t>
            </w:r>
          </w:p>
        </w:tc>
      </w:tr>
      <w:tr w:rsidR="00AA1039" w:rsidRPr="007E61A0" w14:paraId="1C77854D"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58BBA51" w14:textId="658CCF6F" w:rsidR="003A4C14" w:rsidRPr="007E61A0" w:rsidRDefault="003A4C14" w:rsidP="002C36E3">
            <w:pPr>
              <w:pStyle w:val="TableText0"/>
              <w:keepLines/>
            </w:pPr>
            <w:r w:rsidRPr="007E61A0">
              <w:rPr>
                <w:b/>
              </w:rPr>
              <w:t xml:space="preserve">Episodicity: </w:t>
            </w:r>
            <w:r w:rsidR="001723B9" w:rsidRPr="007E61A0">
              <w:rPr>
                <w:bCs w:val="0"/>
              </w:rPr>
              <w:t>Chronic</w:t>
            </w:r>
          </w:p>
        </w:tc>
      </w:tr>
      <w:tr w:rsidR="00AA1039" w:rsidRPr="007E61A0" w14:paraId="5AD67CF6"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1A039CE" w14:textId="6397B534" w:rsidR="003A4C14" w:rsidRPr="007E61A0" w:rsidRDefault="003A4C14" w:rsidP="002C36E3">
            <w:pPr>
              <w:pStyle w:val="TableText0"/>
              <w:keepLines/>
              <w:rPr>
                <w:b/>
              </w:rPr>
            </w:pPr>
            <w:r w:rsidRPr="007E61A0">
              <w:rPr>
                <w:b/>
              </w:rPr>
              <w:t xml:space="preserve">Severity: </w:t>
            </w:r>
            <w:r w:rsidR="001723B9" w:rsidRPr="007E61A0">
              <w:rPr>
                <w:bCs w:val="0"/>
              </w:rPr>
              <w:t>Severe</w:t>
            </w:r>
          </w:p>
        </w:tc>
      </w:tr>
      <w:tr w:rsidR="00AA1039" w:rsidRPr="007E61A0" w14:paraId="4473716B"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C58C468" w14:textId="4F8D4E1B" w:rsidR="003A4C14" w:rsidRPr="007E61A0" w:rsidRDefault="003A4C14" w:rsidP="002C36E3">
            <w:pPr>
              <w:pStyle w:val="TableText0"/>
              <w:keepLines/>
              <w:rPr>
                <w:b/>
              </w:rPr>
            </w:pPr>
            <w:r w:rsidRPr="007E61A0">
              <w:rPr>
                <w:b/>
              </w:rPr>
              <w:t xml:space="preserve">Condition: </w:t>
            </w:r>
            <w:r w:rsidR="001723B9" w:rsidRPr="007E61A0">
              <w:rPr>
                <w:bCs w:val="0"/>
              </w:rPr>
              <w:t>Plaque psoriasis</w:t>
            </w:r>
          </w:p>
        </w:tc>
      </w:tr>
      <w:tr w:rsidR="00AA1039" w:rsidRPr="007E61A0" w14:paraId="5BFE3347"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296BDDA" w14:textId="47B1C282" w:rsidR="003A4C14" w:rsidRPr="007E61A0" w:rsidRDefault="003A4C14" w:rsidP="002C36E3">
            <w:pPr>
              <w:pStyle w:val="TableText0"/>
              <w:keepLines/>
            </w:pPr>
            <w:r w:rsidRPr="007E61A0">
              <w:rPr>
                <w:b/>
              </w:rPr>
              <w:t>Indication:</w:t>
            </w:r>
            <w:r w:rsidRPr="007E61A0">
              <w:t xml:space="preserve"> </w:t>
            </w:r>
            <w:r w:rsidR="001723B9" w:rsidRPr="007E61A0">
              <w:t>Severe chronic plaque psoriasis</w:t>
            </w:r>
          </w:p>
        </w:tc>
      </w:tr>
      <w:tr w:rsidR="00F11C13" w:rsidRPr="007E61A0" w14:paraId="6F9E0EBC"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7FEA199" w14:textId="77777777" w:rsidR="00F11C13" w:rsidRPr="007E61A0" w:rsidRDefault="00F11C13" w:rsidP="00F11C13">
            <w:pPr>
              <w:rPr>
                <w:rFonts w:ascii="Arial Narrow" w:hAnsi="Arial Narrow"/>
                <w:color w:val="333333"/>
                <w:sz w:val="20"/>
                <w:szCs w:val="20"/>
              </w:rPr>
            </w:pPr>
            <w:r w:rsidRPr="007E61A0">
              <w:rPr>
                <w:rFonts w:ascii="Arial Narrow" w:hAnsi="Arial Narrow"/>
                <w:b/>
                <w:bCs/>
                <w:color w:val="333333"/>
                <w:sz w:val="20"/>
                <w:szCs w:val="20"/>
              </w:rPr>
              <w:t>Administrative Advice:</w:t>
            </w:r>
          </w:p>
          <w:p w14:paraId="10ED0323" w14:textId="7E8A5068" w:rsidR="00F11C13" w:rsidRPr="007E61A0" w:rsidRDefault="00F11C13" w:rsidP="00F11C13">
            <w:pPr>
              <w:pStyle w:val="TableText0"/>
              <w:keepLines/>
              <w:rPr>
                <w:b/>
              </w:rPr>
            </w:pPr>
            <w:r w:rsidRPr="007E61A0">
              <w:rPr>
                <w:i/>
                <w:iCs/>
                <w:color w:val="000000" w:themeColor="text1"/>
                <w:szCs w:val="20"/>
              </w:rPr>
              <w:t>No increase in the maximum quantity or number of units may be authorised.</w:t>
            </w:r>
          </w:p>
        </w:tc>
      </w:tr>
      <w:tr w:rsidR="00F11C13" w:rsidRPr="007E61A0" w14:paraId="4741572E"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B3BA04B" w14:textId="77777777" w:rsidR="00F11C13" w:rsidRPr="007E61A0" w:rsidRDefault="00F11C13" w:rsidP="00F11C13">
            <w:pPr>
              <w:rPr>
                <w:rFonts w:ascii="Arial Narrow" w:hAnsi="Arial Narrow"/>
                <w:b/>
                <w:bCs/>
                <w:color w:val="333333"/>
                <w:sz w:val="20"/>
                <w:szCs w:val="20"/>
              </w:rPr>
            </w:pPr>
            <w:r w:rsidRPr="007E61A0">
              <w:rPr>
                <w:rFonts w:ascii="Arial Narrow" w:hAnsi="Arial Narrow"/>
                <w:b/>
                <w:bCs/>
                <w:color w:val="333333"/>
                <w:sz w:val="20"/>
                <w:szCs w:val="20"/>
              </w:rPr>
              <w:t>Administrative Advice:</w:t>
            </w:r>
          </w:p>
          <w:p w14:paraId="0C2D772B" w14:textId="5981101F" w:rsidR="00F11C13" w:rsidRPr="007E61A0" w:rsidRDefault="00F11C13" w:rsidP="00F11C13">
            <w:pPr>
              <w:pStyle w:val="TableText0"/>
              <w:keepLines/>
              <w:rPr>
                <w:b/>
              </w:rPr>
            </w:pPr>
            <w:r w:rsidRPr="007E61A0">
              <w:rPr>
                <w:i/>
                <w:iCs/>
                <w:color w:val="333333"/>
                <w:szCs w:val="20"/>
              </w:rPr>
              <w:t>No increase in the maximum number of repeats may be authorised.</w:t>
            </w:r>
          </w:p>
        </w:tc>
      </w:tr>
      <w:tr w:rsidR="00F11C13" w:rsidRPr="007E61A0" w14:paraId="25A95BF6"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7545BEA" w14:textId="77777777" w:rsidR="00F11C13" w:rsidRPr="007E61A0" w:rsidRDefault="00F11C13" w:rsidP="00F11C13">
            <w:pPr>
              <w:rPr>
                <w:rFonts w:ascii="Arial Narrow" w:hAnsi="Arial Narrow"/>
                <w:b/>
                <w:bCs/>
                <w:color w:val="333333"/>
                <w:sz w:val="20"/>
                <w:szCs w:val="20"/>
              </w:rPr>
            </w:pPr>
            <w:r w:rsidRPr="007E61A0">
              <w:rPr>
                <w:rFonts w:ascii="Arial Narrow" w:hAnsi="Arial Narrow"/>
                <w:b/>
                <w:bCs/>
                <w:color w:val="333333"/>
                <w:sz w:val="20"/>
                <w:szCs w:val="20"/>
              </w:rPr>
              <w:t>Administrative Advice:</w:t>
            </w:r>
          </w:p>
          <w:p w14:paraId="79073C83" w14:textId="0A56F402" w:rsidR="00F11C13" w:rsidRPr="007E61A0" w:rsidRDefault="00F11C13" w:rsidP="00F11C13">
            <w:pPr>
              <w:pStyle w:val="TableText0"/>
              <w:keepLines/>
              <w:rPr>
                <w:b/>
              </w:rPr>
            </w:pPr>
            <w:r w:rsidRPr="007E61A0">
              <w:rPr>
                <w:i/>
                <w:iCs/>
                <w:color w:val="333333"/>
                <w:szCs w:val="20"/>
              </w:rPr>
              <w:t>Special Pricing Arrangements apply.</w:t>
            </w:r>
          </w:p>
        </w:tc>
      </w:tr>
      <w:tr w:rsidR="00F11C13" w:rsidRPr="007E61A0" w14:paraId="3ABBD2EC"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D485398" w14:textId="77777777" w:rsidR="00F11C13" w:rsidRPr="007E61A0" w:rsidRDefault="00F11C13" w:rsidP="00F11C13">
            <w:pPr>
              <w:pStyle w:val="TableText0"/>
              <w:keepLines/>
            </w:pPr>
            <w:r w:rsidRPr="007E61A0">
              <w:rPr>
                <w:b/>
              </w:rPr>
              <w:t>Clinical criteria:</w:t>
            </w:r>
          </w:p>
        </w:tc>
      </w:tr>
      <w:tr w:rsidR="00F11C13" w:rsidRPr="007E61A0" w14:paraId="26BA494C"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3AF1E74" w14:textId="06E85319" w:rsidR="00F11C13" w:rsidRPr="007E61A0" w:rsidRDefault="00F11C13" w:rsidP="00F11C13">
            <w:pPr>
              <w:pStyle w:val="TableText0"/>
              <w:keepLines/>
            </w:pPr>
            <w:r w:rsidRPr="007E61A0">
              <w:t xml:space="preserve">Patient must have </w:t>
            </w:r>
            <w:r w:rsidR="00C013A1">
              <w:t xml:space="preserve">not </w:t>
            </w:r>
            <w:r w:rsidR="000618F4">
              <w:t>experienced</w:t>
            </w:r>
            <w:r w:rsidR="000618F4" w:rsidRPr="007E61A0">
              <w:t xml:space="preserve"> </w:t>
            </w:r>
            <w:r w:rsidRPr="007E61A0">
              <w:t>an adequate response after at least 6 weeks of treatment with methotrexate prior to initiating treatment with this drug; OR</w:t>
            </w:r>
          </w:p>
          <w:p w14:paraId="60300475" w14:textId="45D5DA30" w:rsidR="00F11C13" w:rsidRPr="007E61A0" w:rsidRDefault="00F11C13" w:rsidP="00F11C13">
            <w:pPr>
              <w:pStyle w:val="TableText0"/>
              <w:keepLines/>
            </w:pPr>
            <w:r w:rsidRPr="007E61A0">
              <w:t>Patient must have a contraindication to methotrexate according to the Therapeutic Goods Administration (TGA) approved Product Information; OR</w:t>
            </w:r>
          </w:p>
          <w:p w14:paraId="1A0AADCD" w14:textId="078228A0" w:rsidR="00F11C13" w:rsidRPr="007E61A0" w:rsidRDefault="00F11C13" w:rsidP="00F11C13">
            <w:pPr>
              <w:pStyle w:val="TableText0"/>
              <w:keepLines/>
            </w:pPr>
            <w:r w:rsidRPr="007E61A0">
              <w:t>Patient must have demonstrated severe intolerance of, or toxicity due to, methotrexate.</w:t>
            </w:r>
          </w:p>
        </w:tc>
      </w:tr>
      <w:tr w:rsidR="00F11C13" w:rsidRPr="007E61A0" w14:paraId="1541981C"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F3D1453" w14:textId="77777777" w:rsidR="00F11C13" w:rsidRPr="007E61A0" w:rsidRDefault="00F11C13" w:rsidP="00F11C13">
            <w:pPr>
              <w:pStyle w:val="TableText0"/>
              <w:keepLines/>
            </w:pPr>
            <w:r w:rsidRPr="007E61A0">
              <w:rPr>
                <w:b/>
              </w:rPr>
              <w:t>AND</w:t>
            </w:r>
          </w:p>
        </w:tc>
      </w:tr>
      <w:tr w:rsidR="00F11C13" w:rsidRPr="007E61A0" w14:paraId="018890B8"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9CB2648" w14:textId="77777777" w:rsidR="00F11C13" w:rsidRPr="007E61A0" w:rsidRDefault="00F11C13" w:rsidP="00F11C13">
            <w:pPr>
              <w:pStyle w:val="TableText0"/>
              <w:keepLines/>
            </w:pPr>
            <w:r w:rsidRPr="007E61A0">
              <w:rPr>
                <w:b/>
              </w:rPr>
              <w:t>Clinical criteria:</w:t>
            </w:r>
          </w:p>
        </w:tc>
      </w:tr>
      <w:tr w:rsidR="00F11C13" w:rsidRPr="007E61A0" w14:paraId="1096E289"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6929626" w14:textId="1A991012" w:rsidR="00F11C13" w:rsidRPr="007E61A0" w:rsidRDefault="00F11C13" w:rsidP="00F11C13">
            <w:pPr>
              <w:pStyle w:val="TableText0"/>
              <w:keepLines/>
            </w:pPr>
            <w:r w:rsidRPr="007E61A0">
              <w:t>The condition must have caused significant interference with quality of life.</w:t>
            </w:r>
          </w:p>
        </w:tc>
      </w:tr>
      <w:tr w:rsidR="00F11C13" w:rsidRPr="007E61A0" w14:paraId="080AC03A"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019C797" w14:textId="7FE58993" w:rsidR="00F11C13" w:rsidRPr="007E61A0" w:rsidRDefault="00F11C13" w:rsidP="00F11C13">
            <w:pPr>
              <w:pStyle w:val="TableText0"/>
              <w:keepLines/>
            </w:pPr>
            <w:r w:rsidRPr="007E61A0">
              <w:rPr>
                <w:b/>
              </w:rPr>
              <w:t>AND</w:t>
            </w:r>
          </w:p>
        </w:tc>
      </w:tr>
      <w:tr w:rsidR="00F11C13" w:rsidRPr="007E61A0" w14:paraId="41C94946"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1F7FD9E" w14:textId="23DBB9F3" w:rsidR="00F11C13" w:rsidRPr="007E61A0" w:rsidRDefault="00F11C13" w:rsidP="00F11C13">
            <w:pPr>
              <w:pStyle w:val="TableText0"/>
              <w:keepLines/>
            </w:pPr>
            <w:r w:rsidRPr="007E61A0">
              <w:rPr>
                <w:b/>
              </w:rPr>
              <w:t>Clinical criteria:</w:t>
            </w:r>
          </w:p>
        </w:tc>
      </w:tr>
      <w:tr w:rsidR="00F11C13" w:rsidRPr="007E61A0" w14:paraId="2452C45F"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6CF934D" w14:textId="58E5F334" w:rsidR="00F11C13" w:rsidRPr="007E61A0" w:rsidRDefault="00F11C13" w:rsidP="00F11C13">
            <w:pPr>
              <w:pStyle w:val="TableText0"/>
              <w:keepLines/>
            </w:pPr>
            <w:r w:rsidRPr="007E61A0">
              <w:t xml:space="preserve">Patient must not be undergoing concurrent PBS-subsidised treatment for psoriasis with each of: (i) a biological medicine, (ii) ciclosporin; </w:t>
            </w:r>
            <w:r w:rsidRPr="007E61A0">
              <w:rPr>
                <w:i/>
                <w:iCs/>
                <w:color w:val="333333"/>
                <w:szCs w:val="20"/>
              </w:rPr>
              <w:t>(iii) apremilast</w:t>
            </w:r>
          </w:p>
        </w:tc>
      </w:tr>
      <w:tr w:rsidR="00F11C13" w:rsidRPr="007E61A0" w14:paraId="1E0CC9FB"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E11057F" w14:textId="77777777" w:rsidR="00F11C13" w:rsidRPr="007E61A0" w:rsidRDefault="00F11C13" w:rsidP="00F11C13">
            <w:pPr>
              <w:pStyle w:val="TableText0"/>
              <w:keepLines/>
            </w:pPr>
            <w:r w:rsidRPr="007E61A0">
              <w:rPr>
                <w:b/>
              </w:rPr>
              <w:t>Treatment criteria:</w:t>
            </w:r>
          </w:p>
        </w:tc>
      </w:tr>
      <w:tr w:rsidR="00F11C13" w:rsidRPr="007E61A0" w14:paraId="3FEBA230"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3ACAB77" w14:textId="77777777" w:rsidR="00F11C13" w:rsidRPr="007E61A0" w:rsidRDefault="00F11C13" w:rsidP="00F11C13">
            <w:pPr>
              <w:pStyle w:val="TableText0"/>
              <w:keepLines/>
              <w:rPr>
                <w:vertAlign w:val="superscript"/>
              </w:rPr>
            </w:pPr>
            <w:r w:rsidRPr="007E61A0">
              <w:rPr>
                <w:strike/>
              </w:rPr>
              <w:t xml:space="preserve">Must be treated by a dermatologist. </w:t>
            </w:r>
            <w:r w:rsidRPr="007E61A0">
              <w:rPr>
                <w:strike/>
                <w:vertAlign w:val="superscript"/>
              </w:rPr>
              <w:t xml:space="preserve">b </w:t>
            </w:r>
          </w:p>
          <w:p w14:paraId="0730ED98" w14:textId="77777777" w:rsidR="00F11C13" w:rsidRPr="007E61A0" w:rsidRDefault="00F11C13" w:rsidP="00F11C13">
            <w:pPr>
              <w:pStyle w:val="TableText0"/>
              <w:keepLines/>
              <w:rPr>
                <w:i/>
                <w:iCs/>
              </w:rPr>
            </w:pPr>
            <w:r w:rsidRPr="007E61A0">
              <w:rPr>
                <w:i/>
                <w:iCs/>
              </w:rPr>
              <w:t>Must be treated by a medical practitioner who is either: (i) a dermatologist, (ii) an accredited dermatology registrar in consultation with a dermatologist; OR</w:t>
            </w:r>
          </w:p>
          <w:p w14:paraId="7B1796C3" w14:textId="77777777" w:rsidR="00F11C13" w:rsidRPr="007E61A0" w:rsidRDefault="00F11C13" w:rsidP="00F11C13">
            <w:pPr>
              <w:pStyle w:val="TableText0"/>
              <w:keepLines/>
              <w:rPr>
                <w:i/>
                <w:iCs/>
              </w:rPr>
            </w:pPr>
          </w:p>
          <w:p w14:paraId="5EECDD1E" w14:textId="52FFC008" w:rsidR="00F11C13" w:rsidRPr="007E61A0" w:rsidRDefault="00F11C13" w:rsidP="00F11C13">
            <w:pPr>
              <w:pStyle w:val="TableText0"/>
              <w:keepLines/>
            </w:pPr>
            <w:r w:rsidRPr="007E61A0">
              <w:rPr>
                <w:i/>
                <w:iCs/>
              </w:rPr>
              <w:t>Must be treated by a general practitioner who has been directed to continue treatment (not initiate treatment) by one of the above practitioner types</w:t>
            </w:r>
          </w:p>
        </w:tc>
      </w:tr>
      <w:tr w:rsidR="00F11C13" w:rsidRPr="007E61A0" w14:paraId="7499D438"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6292C6C" w14:textId="77777777" w:rsidR="00F11C13" w:rsidRPr="007E61A0" w:rsidRDefault="00F11C13" w:rsidP="00F11C13">
            <w:pPr>
              <w:pStyle w:val="TableText0"/>
              <w:keepLines/>
            </w:pPr>
            <w:r w:rsidRPr="007E61A0">
              <w:rPr>
                <w:b/>
              </w:rPr>
              <w:t>Population criteria:</w:t>
            </w:r>
          </w:p>
        </w:tc>
      </w:tr>
      <w:tr w:rsidR="00F11C13" w:rsidRPr="007E61A0" w14:paraId="53BCD500" w14:textId="77777777" w:rsidTr="00575CD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8E56768" w14:textId="36DA5A4E" w:rsidR="00F11C13" w:rsidRPr="007E61A0" w:rsidRDefault="00F11C13" w:rsidP="00F11C13">
            <w:pPr>
              <w:pStyle w:val="TableText0"/>
              <w:keepLines/>
            </w:pPr>
            <w:r w:rsidRPr="007E61A0">
              <w:t>Patient must be aged 18 years or older.</w:t>
            </w:r>
          </w:p>
        </w:tc>
      </w:tr>
      <w:bookmarkEnd w:id="11"/>
    </w:tbl>
    <w:p w14:paraId="4FD3E1EA" w14:textId="77777777" w:rsidR="0030711F" w:rsidRPr="007E61A0" w:rsidRDefault="0030711F" w:rsidP="00EF6ADE">
      <w:pPr>
        <w:pStyle w:val="ExecSumBodyText"/>
        <w:spacing w:after="0"/>
        <w:ind w:firstLine="0"/>
      </w:pPr>
    </w:p>
    <w:p w14:paraId="469CEB69" w14:textId="3D1587DC" w:rsidR="009745B6" w:rsidRPr="007E61A0" w:rsidRDefault="009745B6" w:rsidP="00F9393E">
      <w:pPr>
        <w:pStyle w:val="3-BodyText"/>
      </w:pPr>
      <w:r w:rsidRPr="007E61A0">
        <w:t>The submission requested a special pricing arrangement, with a published dispensed price for maximum quantity of $1,415.28.</w:t>
      </w:r>
      <w:r w:rsidR="00F9047F" w:rsidRPr="007E61A0">
        <w:t xml:space="preserve"> </w:t>
      </w:r>
      <w:r w:rsidR="00BA20E5" w:rsidRPr="007E61A0">
        <w:t xml:space="preserve">Given the effective price of apremilast was </w:t>
      </w:r>
      <w:r w:rsidR="00BA20E5" w:rsidRPr="007E61A0">
        <w:lastRenderedPageBreak/>
        <w:t xml:space="preserve">unknown, the submission proposed an effective price for deucravacitinib based on the published price of apremilast.  </w:t>
      </w:r>
    </w:p>
    <w:p w14:paraId="74BFD299" w14:textId="0A69CE9B" w:rsidR="00E10D02" w:rsidRPr="007E61A0" w:rsidRDefault="007B48A7" w:rsidP="00F9393E">
      <w:pPr>
        <w:pStyle w:val="3-BodyText"/>
      </w:pPr>
      <w:r w:rsidRPr="007E61A0">
        <w:t xml:space="preserve">The requested restriction is narrower than the proposed TGA indication, </w:t>
      </w:r>
      <w:r w:rsidR="00DF1F60" w:rsidRPr="007E61A0">
        <w:t xml:space="preserve">which does not require patients to have </w:t>
      </w:r>
      <w:r w:rsidR="00807970">
        <w:t>not responded</w:t>
      </w:r>
      <w:r w:rsidR="00DF1F60" w:rsidRPr="007E61A0">
        <w:t xml:space="preserve"> or be intolerant to methotrexate, or for the condition to have caused significant interference with quality of life. </w:t>
      </w:r>
      <w:r w:rsidR="00E10D02" w:rsidRPr="007E61A0">
        <w:t xml:space="preserve">The requested restriction is different to the </w:t>
      </w:r>
      <w:r w:rsidR="008877B7" w:rsidRPr="007E61A0">
        <w:t>population in the underlying clinical trials</w:t>
      </w:r>
      <w:r w:rsidR="00E10D02" w:rsidRPr="007E61A0">
        <w:t xml:space="preserve">, which does not include the three clinical criteria listed in the proposed PBS restriction but did include eligibility criteria for body surface area involvement, </w:t>
      </w:r>
      <w:r w:rsidR="00727075" w:rsidRPr="007E61A0">
        <w:t>Psoriasis Area Severity Index (</w:t>
      </w:r>
      <w:r w:rsidR="00E10D02" w:rsidRPr="007E61A0">
        <w:t>PASI</w:t>
      </w:r>
      <w:r w:rsidR="00727075" w:rsidRPr="007E61A0">
        <w:t>)</w:t>
      </w:r>
      <w:r w:rsidR="00E10D02" w:rsidRPr="007E61A0">
        <w:t xml:space="preserve"> score and </w:t>
      </w:r>
      <w:r w:rsidR="00727075" w:rsidRPr="007E61A0">
        <w:t>static Physician Global Assessment (</w:t>
      </w:r>
      <w:r w:rsidR="00E10D02" w:rsidRPr="007E61A0">
        <w:t>sPGA</w:t>
      </w:r>
      <w:r w:rsidR="00727075" w:rsidRPr="007E61A0">
        <w:t>)</w:t>
      </w:r>
      <w:r w:rsidR="00E10D02" w:rsidRPr="007E61A0">
        <w:t xml:space="preserve"> score.  </w:t>
      </w:r>
    </w:p>
    <w:p w14:paraId="2EDCD23E" w14:textId="4A213596" w:rsidR="00C6381D" w:rsidRPr="007E61A0" w:rsidRDefault="00C6381D" w:rsidP="00C6381D">
      <w:pPr>
        <w:pStyle w:val="3-BodyText"/>
      </w:pPr>
      <w:r w:rsidRPr="007E61A0">
        <w:t xml:space="preserve">In July 2020, the PBAC recommended reimbursement for apremilast to treat CPP based on a cost-minimisation approach with ciclosporin. To ensure the listing was consistent with the eligibility criteria for ciclosporin, the eligible population was required to have severe CPP, with significant interference to quality of life and have </w:t>
      </w:r>
      <w:r w:rsidR="00DE1C20">
        <w:t>not achieved adequate response to</w:t>
      </w:r>
      <w:r w:rsidR="00DE1C20" w:rsidRPr="007E61A0">
        <w:t xml:space="preserve"> </w:t>
      </w:r>
      <w:r w:rsidRPr="007E61A0">
        <w:t xml:space="preserve">prior treatment with methotrexate. The restriction does not include any eligibility criteria based on PASI score, DLQI or body surface area. </w:t>
      </w:r>
    </w:p>
    <w:p w14:paraId="18F9C9B2" w14:textId="4A100EEE" w:rsidR="003E7216" w:rsidRPr="007E61A0" w:rsidRDefault="00666C3D" w:rsidP="003E7216">
      <w:pPr>
        <w:pStyle w:val="3-BodyText"/>
        <w:rPr>
          <w:color w:val="0066FF"/>
        </w:rPr>
      </w:pPr>
      <w:r w:rsidRPr="007E61A0">
        <w:t>The PBS population proposed by the submission is the same as that of apremilast; limited to patients with severe CPP, with significant interference to quality of life, who have achieved an inadequate response to, or are unable to tolerate, methotrexate.</w:t>
      </w:r>
      <w:r w:rsidRPr="007E61A0" w:rsidDel="00195452">
        <w:t xml:space="preserve"> </w:t>
      </w:r>
    </w:p>
    <w:p w14:paraId="4DF2DE70" w14:textId="5878EAAC" w:rsidR="003E7216" w:rsidRPr="00EF6ADE" w:rsidRDefault="003E7216" w:rsidP="00EF6ADE">
      <w:pPr>
        <w:ind w:firstLine="709"/>
        <w:rPr>
          <w:rFonts w:asciiTheme="minorHAnsi" w:hAnsiTheme="minorHAnsi"/>
          <w:i/>
        </w:rPr>
      </w:pPr>
      <w:bookmarkStart w:id="12" w:name="_Hlk76375324"/>
      <w:r w:rsidRPr="007E61A0">
        <w:rPr>
          <w:rFonts w:asciiTheme="minorHAnsi" w:hAnsiTheme="minorHAnsi"/>
          <w:i/>
        </w:rPr>
        <w:t>For more detail on PBAC’s view, see section 7 PBAC outcome.</w:t>
      </w:r>
      <w:bookmarkEnd w:id="12"/>
    </w:p>
    <w:p w14:paraId="7075B85C" w14:textId="62A47B7B" w:rsidR="00B50DB8" w:rsidRPr="007E61A0" w:rsidDel="00195452" w:rsidRDefault="00203181" w:rsidP="004E18E9">
      <w:pPr>
        <w:pStyle w:val="2-SectionHeading"/>
      </w:pPr>
      <w:bookmarkStart w:id="13" w:name="_Toc113968814"/>
      <w:r w:rsidRPr="007E61A0" w:rsidDel="00195452">
        <w:t xml:space="preserve">Population and </w:t>
      </w:r>
      <w:r w:rsidR="008E0D3C" w:rsidRPr="007E61A0" w:rsidDel="00195452">
        <w:t>d</w:t>
      </w:r>
      <w:r w:rsidRPr="007E61A0" w:rsidDel="00195452">
        <w:t>isease</w:t>
      </w:r>
      <w:bookmarkEnd w:id="13"/>
    </w:p>
    <w:p w14:paraId="7353A9DF" w14:textId="36345904" w:rsidR="004D7738" w:rsidRPr="007E61A0" w:rsidRDefault="004D7738" w:rsidP="004E18E9">
      <w:pPr>
        <w:pStyle w:val="3-BodyText"/>
      </w:pPr>
      <w:r w:rsidRPr="007E61A0">
        <w:t>CPP is a chronic immune-mediated skin disorder characterised by the presence of disfiguring, scaling, and erythematous plaques. Patients with CPP experience reduced quality of life, partly because of the discomfort and disability caused by pain and itching, and partly because of the perceived social stigma associated with disfiguration.</w:t>
      </w:r>
    </w:p>
    <w:p w14:paraId="59616C66" w14:textId="4681FAFB" w:rsidR="004D7738" w:rsidRPr="007E61A0" w:rsidRDefault="003C7572" w:rsidP="004E18E9">
      <w:pPr>
        <w:pStyle w:val="3-BodyText"/>
      </w:pPr>
      <w:r w:rsidRPr="007E61A0">
        <w:t>Grading t</w:t>
      </w:r>
      <w:r w:rsidR="004D7738" w:rsidRPr="007E61A0">
        <w:t xml:space="preserve">he severity of disease </w:t>
      </w:r>
      <w:r w:rsidRPr="007E61A0">
        <w:t xml:space="preserve">as mild, moderate, and severe </w:t>
      </w:r>
      <w:r w:rsidR="004D7738" w:rsidRPr="007E61A0">
        <w:t xml:space="preserve">can be helpful in guiding management; however, there is some variation in </w:t>
      </w:r>
      <w:r w:rsidR="00F01836" w:rsidRPr="007E61A0">
        <w:t xml:space="preserve">the </w:t>
      </w:r>
      <w:r w:rsidR="004D7738" w:rsidRPr="007E61A0">
        <w:t>definition of severe CPP applied by regulatory bodies, reimbursement agencies and clinical practice guidelines.</w:t>
      </w:r>
    </w:p>
    <w:p w14:paraId="22209F37" w14:textId="73E3F53C" w:rsidR="004D7738" w:rsidRPr="007E61A0" w:rsidRDefault="004D7738" w:rsidP="004E18E9">
      <w:pPr>
        <w:pStyle w:val="3-BodyText"/>
      </w:pPr>
      <w:r w:rsidRPr="007E61A0">
        <w:t xml:space="preserve">Assessment of disease severity incorporates the grading of psoriasis symptoms using PASI score and quality of life using the Dermatology Life Quality Index (DLQI). </w:t>
      </w:r>
    </w:p>
    <w:p w14:paraId="76AFEBB4" w14:textId="5A695D3D" w:rsidR="004D7738" w:rsidRPr="007E61A0" w:rsidRDefault="000D6069" w:rsidP="004E18E9">
      <w:pPr>
        <w:pStyle w:val="3-BodyText"/>
      </w:pPr>
      <w:r w:rsidRPr="007E61A0">
        <w:t>The Australasian College of Dermatologists (ACD) consensus on treatment goals for psoriasis categorises patients in two main groups: mild to moderate and severe. According to the ACD consensus, mild to moderate plaque psoriasis is defined as PASI ≤10 and DLQI ≤10, while severe plaque psoriasis is defined as PASI &gt;10, or PASI ≤10 and DLQI &gt;10.</w:t>
      </w:r>
    </w:p>
    <w:p w14:paraId="1A060E3B" w14:textId="0D882BCA" w:rsidR="000D6069" w:rsidRPr="007E61A0" w:rsidRDefault="000D6069" w:rsidP="000D6069">
      <w:pPr>
        <w:pStyle w:val="3-BodyText"/>
      </w:pPr>
      <w:r w:rsidRPr="007E61A0">
        <w:lastRenderedPageBreak/>
        <w:t>The current PBS restrictions limit the use of</w:t>
      </w:r>
      <w:r w:rsidR="009A3A6C" w:rsidRPr="007E61A0">
        <w:t xml:space="preserve"> biologic or targeted synthetic disease modifying anti-rheumatic drugs (herein referred to as</w:t>
      </w:r>
      <w:r w:rsidRPr="007E61A0">
        <w:t xml:space="preserve"> </w:t>
      </w:r>
      <w:r w:rsidR="009A3A6C" w:rsidRPr="007E61A0">
        <w:t>‘</w:t>
      </w:r>
      <w:r w:rsidRPr="007E61A0">
        <w:t>biologics</w:t>
      </w:r>
      <w:r w:rsidR="009A3A6C" w:rsidRPr="007E61A0">
        <w:t>’)</w:t>
      </w:r>
      <w:r w:rsidRPr="007E61A0">
        <w:t xml:space="preserve"> to patients with:</w:t>
      </w:r>
    </w:p>
    <w:p w14:paraId="755CBBF5" w14:textId="0CDCAD50" w:rsidR="000D6069" w:rsidRPr="007E61A0" w:rsidRDefault="000D6069" w:rsidP="00FA6969">
      <w:pPr>
        <w:pStyle w:val="3-BodyText"/>
        <w:numPr>
          <w:ilvl w:val="0"/>
          <w:numId w:val="6"/>
        </w:numPr>
      </w:pPr>
      <w:r w:rsidRPr="007E61A0">
        <w:t>PASI greater than 15 (</w:t>
      </w:r>
      <w:r w:rsidR="00385BE0" w:rsidRPr="007E61A0">
        <w:t>t</w:t>
      </w:r>
      <w:r w:rsidRPr="007E61A0">
        <w:t>his is termed “severe” CPP in the PBS restriction, though terminology relating to mild, moderate, and severe CPP varies between guidelines); or</w:t>
      </w:r>
    </w:p>
    <w:p w14:paraId="01A38DA2" w14:textId="77777777" w:rsidR="000D6069" w:rsidRPr="007E61A0" w:rsidRDefault="000D6069" w:rsidP="00FA6969">
      <w:pPr>
        <w:pStyle w:val="3-BodyText"/>
        <w:numPr>
          <w:ilvl w:val="0"/>
          <w:numId w:val="6"/>
        </w:numPr>
      </w:pPr>
      <w:r w:rsidRPr="007E61A0">
        <w:t>CPP of the face, palm of hand or sole of foot, with two or more of the PASI symptom sub-scores (erythema, scale, and duration) rated as ‘severe’ or ‘very severe’; or 30% or more of the area is affected.</w:t>
      </w:r>
    </w:p>
    <w:p w14:paraId="172AC56E" w14:textId="2BD9CF09" w:rsidR="000D6069" w:rsidRPr="007E61A0" w:rsidRDefault="000D6069" w:rsidP="004E18E9">
      <w:pPr>
        <w:pStyle w:val="3-BodyText"/>
      </w:pPr>
      <w:r w:rsidRPr="007E61A0">
        <w:t>Both the PBS restriction and ACD consensus statement for biologics require that patients</w:t>
      </w:r>
      <w:r w:rsidR="00385BE0" w:rsidRPr="007E61A0">
        <w:t xml:space="preserve"> have</w:t>
      </w:r>
      <w:r w:rsidRPr="007E61A0">
        <w:t xml:space="preserve"> fail</w:t>
      </w:r>
      <w:r w:rsidR="00385BE0" w:rsidRPr="007E61A0">
        <w:t>ed</w:t>
      </w:r>
      <w:r w:rsidRPr="007E61A0">
        <w:t xml:space="preserve"> or are contraindicated to at least two systemic therapies or phototherapy.</w:t>
      </w:r>
    </w:p>
    <w:p w14:paraId="358FB849" w14:textId="6E25BAA2" w:rsidR="00CC4A0E" w:rsidRPr="007E61A0" w:rsidRDefault="00C13A10" w:rsidP="00531C52">
      <w:pPr>
        <w:pStyle w:val="3-BodyText"/>
      </w:pPr>
      <w:r w:rsidRPr="007E61A0">
        <w:t>In April 2018, the PBAC requested a cost-effectiveness review (CER) of biologics for severe CPP under the current PBS restrictions, and to consider the additional PBS population that meet the criteria of a baseline Psoriasis Area and Severity Index (PASI) ≥ 12 to ≤ 15 AND/OR a Dermatology Life Quality Index (DLQI) &gt; 10. At its consideration of the CER in July 2020, t</w:t>
      </w:r>
      <w:r w:rsidR="0022192A" w:rsidRPr="007E61A0">
        <w:t>he PBAC noted that the incremental cost effectiveness ratio (ICER) for the PASI &gt;15 subgroup was $15,000</w:t>
      </w:r>
      <w:r w:rsidR="006C365A" w:rsidRPr="007E61A0">
        <w:t xml:space="preserve"> </w:t>
      </w:r>
      <w:r w:rsidR="00BD1627" w:rsidRPr="007E61A0">
        <w:t>- $45,000</w:t>
      </w:r>
      <w:r w:rsidR="005A4FA0" w:rsidRPr="007E61A0">
        <w:t xml:space="preserve"> per additional quality-adjusted life-year gained (QALY), </w:t>
      </w:r>
      <w:r w:rsidR="00BD1627" w:rsidRPr="007E61A0">
        <w:t xml:space="preserve">while the ICER for the </w:t>
      </w:r>
      <w:r w:rsidR="0022192A" w:rsidRPr="007E61A0">
        <w:t>PASI ≥12 to ≤ 15 subgroup was $105,000</w:t>
      </w:r>
      <w:r w:rsidR="00531C52" w:rsidRPr="007E61A0">
        <w:t xml:space="preserve">/QALY - </w:t>
      </w:r>
      <w:r w:rsidR="0022192A" w:rsidRPr="007E61A0">
        <w:t>$200,000/QALY</w:t>
      </w:r>
      <w:r w:rsidR="00BD1627" w:rsidRPr="007E61A0">
        <w:t xml:space="preserve"> (paragraph 4.7, biologics for the treatment of</w:t>
      </w:r>
      <w:r w:rsidR="000A5852" w:rsidRPr="007E61A0">
        <w:t xml:space="preserve"> severe</w:t>
      </w:r>
      <w:r w:rsidR="00BD1627" w:rsidRPr="007E61A0">
        <w:t xml:space="preserve"> CPP cost-effectiveness review </w:t>
      </w:r>
      <w:r w:rsidR="00093CC2" w:rsidRPr="007E61A0">
        <w:t xml:space="preserve">public summary document </w:t>
      </w:r>
      <w:r w:rsidR="00093CC2">
        <w:t>(</w:t>
      </w:r>
      <w:r w:rsidR="00BD1627" w:rsidRPr="007E61A0">
        <w:t>PSD</w:t>
      </w:r>
      <w:r w:rsidR="00093CC2">
        <w:t>)</w:t>
      </w:r>
      <w:r w:rsidR="00BD1627" w:rsidRPr="007E61A0">
        <w:t>, July 2020 PBAC meeting). The PBAC noted that</w:t>
      </w:r>
      <w:r w:rsidR="0022192A" w:rsidRPr="007E61A0">
        <w:t xml:space="preserve"> a price reduction would be required in the PASI ≥ 12 to ≤ 15 subgroup to maintain the same ICER across both populations</w:t>
      </w:r>
      <w:r w:rsidR="00BD1627" w:rsidRPr="007E61A0">
        <w:t xml:space="preserve"> (paragraph 4.7, biologics for the treatment of</w:t>
      </w:r>
      <w:r w:rsidR="000A5852" w:rsidRPr="007E61A0">
        <w:t xml:space="preserve"> severe</w:t>
      </w:r>
      <w:r w:rsidR="00BD1627" w:rsidRPr="007E61A0">
        <w:t xml:space="preserve"> CPP cost-effectiveness review PSD, July 2020 PBAC meeting).</w:t>
      </w:r>
    </w:p>
    <w:p w14:paraId="41099F52" w14:textId="4D066D8C" w:rsidR="00755D2E" w:rsidRPr="007E61A0" w:rsidRDefault="007069E3" w:rsidP="00755D2E">
      <w:pPr>
        <w:pStyle w:val="3-BodyText"/>
      </w:pPr>
      <w:r w:rsidRPr="007E61A0">
        <w:t>The proposed place of deucravacitinib in the clinical management algorithm for severe CPP is after methotrexate and before biologic therapy, as an alternative to apremilast (</w:t>
      </w:r>
      <w:r w:rsidRPr="007E61A0">
        <w:fldChar w:fldCharType="begin" w:fldLock="1"/>
      </w:r>
      <w:r w:rsidRPr="007E61A0">
        <w:instrText xml:space="preserve"> REF _Ref110344899 \h  \* MERGEFORMAT </w:instrText>
      </w:r>
      <w:r w:rsidRPr="007E61A0">
        <w:fldChar w:fldCharType="separate"/>
      </w:r>
      <w:r w:rsidR="00EC7993" w:rsidRPr="007E61A0">
        <w:t xml:space="preserve">Figure </w:t>
      </w:r>
      <w:r w:rsidR="00EC7993">
        <w:t>1</w:t>
      </w:r>
      <w:r w:rsidRPr="007E61A0">
        <w:fldChar w:fldCharType="end"/>
      </w:r>
      <w:r w:rsidRPr="007E61A0">
        <w:t>)</w:t>
      </w:r>
      <w:r w:rsidR="00DF1F60" w:rsidRPr="007E61A0">
        <w:t>.</w:t>
      </w:r>
      <w:r w:rsidR="00755D2E" w:rsidRPr="007E61A0">
        <w:t xml:space="preserve"> The ACD consensus statement has not been updated since the PBS listing of apremilast</w:t>
      </w:r>
      <w:r w:rsidR="00BA20E5" w:rsidRPr="007E61A0">
        <w:t>.</w:t>
      </w:r>
      <w:r w:rsidR="009A3A6C" w:rsidRPr="007E61A0">
        <w:t xml:space="preserve"> </w:t>
      </w:r>
      <w:r w:rsidR="00755D2E" w:rsidRPr="007E61A0">
        <w:t>The potential for sequential use of apremilast and deucravacitinib was not addressed in the submission. The E</w:t>
      </w:r>
      <w:r w:rsidR="00EF6ADE">
        <w:t>conomic Sub-Committee (E</w:t>
      </w:r>
      <w:r w:rsidR="00755D2E" w:rsidRPr="007E61A0">
        <w:t>SC</w:t>
      </w:r>
      <w:r w:rsidR="00EF6ADE">
        <w:t>)</w:t>
      </w:r>
      <w:r w:rsidR="00755D2E" w:rsidRPr="007E61A0">
        <w:t xml:space="preserve"> considered the place of deucravacitinib in Australian clinical practice is uncertain</w:t>
      </w:r>
      <w:r w:rsidR="00687562" w:rsidRPr="007E61A0">
        <w:t>.</w:t>
      </w:r>
    </w:p>
    <w:p w14:paraId="74992C5A" w14:textId="2931F577" w:rsidR="000D6069" w:rsidRPr="007E61A0" w:rsidRDefault="000D6069" w:rsidP="00755D2E">
      <w:pPr>
        <w:pStyle w:val="3-BodyText"/>
        <w:numPr>
          <w:ilvl w:val="0"/>
          <w:numId w:val="0"/>
        </w:numPr>
      </w:pPr>
    </w:p>
    <w:p w14:paraId="7C7E0717" w14:textId="3EF9DB44" w:rsidR="000D6069" w:rsidRPr="007E61A0" w:rsidRDefault="000D6069" w:rsidP="000D6069">
      <w:pPr>
        <w:pStyle w:val="Caption"/>
      </w:pPr>
      <w:bookmarkStart w:id="14" w:name="_Ref110344899"/>
      <w:r w:rsidRPr="007E61A0">
        <w:lastRenderedPageBreak/>
        <w:t xml:space="preserve">Figure </w:t>
      </w:r>
      <w:fldSimple w:instr=" SEQ Figure \* ARABIC " w:fldLock="1">
        <w:r w:rsidR="00EC7993">
          <w:rPr>
            <w:noProof/>
          </w:rPr>
          <w:t>1</w:t>
        </w:r>
      </w:fldSimple>
      <w:bookmarkEnd w:id="14"/>
      <w:r w:rsidR="002C215E" w:rsidRPr="007E61A0">
        <w:t>:</w:t>
      </w:r>
      <w:r w:rsidRPr="007E61A0">
        <w:t xml:space="preserve"> Proposed clinical management algorithm for</w:t>
      </w:r>
      <w:r w:rsidR="007069E3" w:rsidRPr="007E61A0">
        <w:t xml:space="preserve"> severe chronic plaque psoriasis (CPP)</w:t>
      </w:r>
    </w:p>
    <w:p w14:paraId="63862CB1" w14:textId="7C76B26D" w:rsidR="000D6069" w:rsidRPr="007E61A0" w:rsidRDefault="000D6069" w:rsidP="000D6069">
      <w:pPr>
        <w:pStyle w:val="3-BodyText"/>
        <w:numPr>
          <w:ilvl w:val="0"/>
          <w:numId w:val="0"/>
        </w:numPr>
        <w:ind w:left="720"/>
        <w:rPr>
          <w:color w:val="0066FF"/>
        </w:rPr>
      </w:pPr>
      <w:r w:rsidRPr="007E61A0">
        <w:rPr>
          <w:noProof/>
        </w:rPr>
        <w:drawing>
          <wp:inline distT="0" distB="0" distL="0" distR="0" wp14:anchorId="3CEE14BB" wp14:editId="0A9C758E">
            <wp:extent cx="4734209" cy="3896139"/>
            <wp:effectExtent l="0" t="0" r="0" b="0"/>
            <wp:docPr id="54" name="Picture 54" descr="Figure 1: Proposed clinical management algorithm for severe chronic plaque psoriasis (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Figure 1: Proposed clinical management algorithm for severe chronic plaque psoriasis (C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6087" cy="3905914"/>
                    </a:xfrm>
                    <a:prstGeom prst="rect">
                      <a:avLst/>
                    </a:prstGeom>
                    <a:noFill/>
                    <a:ln>
                      <a:noFill/>
                    </a:ln>
                  </pic:spPr>
                </pic:pic>
              </a:graphicData>
            </a:graphic>
          </wp:inline>
        </w:drawing>
      </w:r>
    </w:p>
    <w:p w14:paraId="42DF47A9" w14:textId="77777777" w:rsidR="007069E3" w:rsidRPr="007E61A0" w:rsidRDefault="007069E3" w:rsidP="007069E3">
      <w:pPr>
        <w:pStyle w:val="FooterTableFigure"/>
      </w:pPr>
      <w:r w:rsidRPr="007E61A0">
        <w:t>Source: Figure 2, p29 of the submission.</w:t>
      </w:r>
    </w:p>
    <w:p w14:paraId="70A7FC20" w14:textId="0ACCF730" w:rsidR="007069E3" w:rsidRPr="007E61A0" w:rsidRDefault="007069E3" w:rsidP="007069E3">
      <w:pPr>
        <w:pStyle w:val="FooterTableFigure"/>
      </w:pPr>
      <w:r w:rsidRPr="007E61A0">
        <w:t>bDMARD = biologic disease modifying anti-rheumatic drug; CPP = chronic plaque psoriasis; PASI = Psoriasis Area Severity Index.</w:t>
      </w:r>
    </w:p>
    <w:p w14:paraId="6BA7F50D" w14:textId="3D168822" w:rsidR="00755D2E" w:rsidRPr="007E61A0" w:rsidRDefault="009611A0" w:rsidP="00755D2E">
      <w:pPr>
        <w:pStyle w:val="3-BodyText"/>
      </w:pPr>
      <w:r w:rsidRPr="007E61A0">
        <w:t>The ESC noted the sponsor’s advisory board stated that p</w:t>
      </w:r>
      <w:r w:rsidR="00755D2E" w:rsidRPr="007E61A0">
        <w:t>redicted use of deucravacitinib will vary depending on the individualised pathway of the patient and the intent of treatment (e.g., treatment to become eligible for biologic therapy, to achieve an efficacy endpoint, preference for oral medication, joint involvement).</w:t>
      </w:r>
      <w:r w:rsidRPr="007E61A0">
        <w:t xml:space="preserve"> The ESC considered that, unlike apremilast, deucravacitinib would not be used as a treatment to become eligible for biologic therapy due its longer time to maximum effect.  </w:t>
      </w:r>
    </w:p>
    <w:p w14:paraId="217256F5" w14:textId="21DC0D05" w:rsidR="003E7216" w:rsidRPr="007E61A0" w:rsidRDefault="007069E3" w:rsidP="003E7216">
      <w:pPr>
        <w:pStyle w:val="3-BodyText"/>
      </w:pPr>
      <w:r w:rsidRPr="007E61A0">
        <w:t>The principal pharmacologic action of deucravacitinib is achieved by selectively binding to the regulatory domain of tyrosine kinase 2 (TYK2) and stabilising an inhibitory interaction between the regulatory and the catalytic domains of the enzyme. This inhibits activation of TYK2 and its downstream functions in cells, including the signalling of cytokines involved in inflammatory and immune responses.</w:t>
      </w:r>
      <w:r w:rsidR="006A30B9" w:rsidRPr="007E61A0">
        <w:t xml:space="preserve"> At therapeutic doses, deucravacitinib blocks TYK2 without inhibiting Janus kinase (JAK) 1, JAK2, or JAK3, thus potentially avoiding adverse events associated with JAK inhibitors (tofacitinib, upadacitinib, and baricitinib). </w:t>
      </w:r>
      <w:r w:rsidRPr="007E61A0">
        <w:t>The mechanism of action for deucravacitinib is different to apremilast</w:t>
      </w:r>
      <w:r w:rsidR="0079017D" w:rsidRPr="007E61A0">
        <w:t>, which is a PDE-4 inhibitor</w:t>
      </w:r>
      <w:r w:rsidR="002D21C5" w:rsidRPr="007E61A0">
        <w:t>.</w:t>
      </w:r>
      <w:r w:rsidR="00E94ABF" w:rsidRPr="007E61A0">
        <w:t xml:space="preserve"> The ESC noted the TGA Delegate Overview had </w:t>
      </w:r>
      <w:r w:rsidR="00A368CC" w:rsidRPr="007E61A0">
        <w:t xml:space="preserve">stated that </w:t>
      </w:r>
      <w:r w:rsidR="00E94ABF" w:rsidRPr="007E61A0">
        <w:t xml:space="preserve">TYK2 is a member of the JAK family of non-receptor tyrosine kinases and that other small molecule drugs that inhibit the activity </w:t>
      </w:r>
      <w:r w:rsidR="00E94ABF" w:rsidRPr="007E61A0">
        <w:lastRenderedPageBreak/>
        <w:t xml:space="preserve">of JAKs have been implicated in increased reports of </w:t>
      </w:r>
      <w:r w:rsidR="00C13A10" w:rsidRPr="007E61A0">
        <w:t>major cardiac adverse cardiac events</w:t>
      </w:r>
      <w:r w:rsidR="00E94ABF" w:rsidRPr="007E61A0">
        <w:t xml:space="preserve">, malignancy, mortality, thromboembolic events, diverticulitis and gastrointestinal haemorrhage in several patient populations. The </w:t>
      </w:r>
      <w:r w:rsidR="00687562" w:rsidRPr="007E61A0">
        <w:t>ACM was of the view that although the mechanism of action seemed to be different to other available JAK inhibitors, there is no certainty of long-term safety yet. On that basis, the ACM recommended that, if approved, cautionary statements be included in the PI to the effect that although causality has not been firmly established, the data are not yet available to give certainty that deucravacitinib will be safter than other JAK-STAT agents approved for this condition.</w:t>
      </w:r>
      <w:r w:rsidR="00A368CC" w:rsidRPr="007E61A0">
        <w:t xml:space="preserve"> </w:t>
      </w:r>
    </w:p>
    <w:p w14:paraId="3AFA2568" w14:textId="77777777" w:rsidR="003E7216" w:rsidRPr="007E61A0" w:rsidRDefault="003E7216" w:rsidP="003E7216">
      <w:pPr>
        <w:ind w:firstLine="709"/>
        <w:rPr>
          <w:rFonts w:asciiTheme="minorHAnsi" w:hAnsiTheme="minorHAnsi"/>
          <w:i/>
        </w:rPr>
      </w:pPr>
      <w:r w:rsidRPr="007E61A0">
        <w:rPr>
          <w:rFonts w:asciiTheme="minorHAnsi" w:hAnsiTheme="minorHAnsi"/>
          <w:i/>
        </w:rPr>
        <w:t>For more detail on PBAC’s view, see section 7 PBAC outcome.</w:t>
      </w:r>
    </w:p>
    <w:p w14:paraId="51E5AE96" w14:textId="136A63B1" w:rsidR="00B50DB8" w:rsidRPr="007E61A0" w:rsidRDefault="00B50DB8" w:rsidP="004E18E9">
      <w:pPr>
        <w:pStyle w:val="2-SectionHeading"/>
      </w:pPr>
      <w:bookmarkStart w:id="15" w:name="_Toc113968815"/>
      <w:r w:rsidRPr="007E61A0">
        <w:t>Comparator</w:t>
      </w:r>
      <w:bookmarkEnd w:id="15"/>
    </w:p>
    <w:p w14:paraId="2F2134B7" w14:textId="76538CE2" w:rsidR="0006798C" w:rsidRPr="007E61A0" w:rsidRDefault="0006798C" w:rsidP="002E4F02">
      <w:pPr>
        <w:pStyle w:val="3-BodyText"/>
      </w:pPr>
      <w:r w:rsidRPr="007E61A0">
        <w:t>The submission nominated apremilast as the main comparator. The main arguments provided in support of this nomination were:</w:t>
      </w:r>
    </w:p>
    <w:p w14:paraId="563F8806" w14:textId="2E4B8E29" w:rsidR="0006798C" w:rsidRPr="007E61A0" w:rsidRDefault="0006798C" w:rsidP="00FA6969">
      <w:pPr>
        <w:pStyle w:val="3-BodyText"/>
        <w:numPr>
          <w:ilvl w:val="0"/>
          <w:numId w:val="7"/>
        </w:numPr>
      </w:pPr>
      <w:r w:rsidRPr="007E61A0">
        <w:t xml:space="preserve">Both are oral therapies positioned in patients with </w:t>
      </w:r>
      <w:r w:rsidR="000A5852" w:rsidRPr="007E61A0">
        <w:t>severe CPP</w:t>
      </w:r>
      <w:r w:rsidRPr="007E61A0">
        <w:t>.</w:t>
      </w:r>
    </w:p>
    <w:p w14:paraId="53D30683" w14:textId="4B45F7C8" w:rsidR="0006798C" w:rsidRPr="007E61A0" w:rsidRDefault="0006798C" w:rsidP="00FA6969">
      <w:pPr>
        <w:pStyle w:val="3-BodyText"/>
        <w:numPr>
          <w:ilvl w:val="0"/>
          <w:numId w:val="7"/>
        </w:numPr>
      </w:pPr>
      <w:r w:rsidRPr="007E61A0">
        <w:t>Apremilast is the therapy most likely to be replaced by deucravacitinib.</w:t>
      </w:r>
    </w:p>
    <w:p w14:paraId="7F4CDC26" w14:textId="77119361" w:rsidR="0043590E" w:rsidRPr="007E61A0" w:rsidRDefault="0043590E" w:rsidP="0043590E">
      <w:pPr>
        <w:pStyle w:val="3-BodyText"/>
      </w:pPr>
      <w:r w:rsidRPr="007E61A0">
        <w:t xml:space="preserve">The submission noted that ciclosporin is also used in patients with </w:t>
      </w:r>
      <w:r w:rsidR="000A5852" w:rsidRPr="007E61A0">
        <w:t xml:space="preserve">severe </w:t>
      </w:r>
      <w:r w:rsidRPr="007E61A0">
        <w:t xml:space="preserve">CPP who have </w:t>
      </w:r>
      <w:r w:rsidR="00493582">
        <w:t xml:space="preserve">not responded to </w:t>
      </w:r>
      <w:r w:rsidRPr="007E61A0">
        <w:t>methotrexate but expected that its use would have largely been replaced by apremilast. Further, the submission noted that since apremilast was listed based on a cost-minimisation</w:t>
      </w:r>
      <w:r w:rsidR="00731879" w:rsidRPr="007E61A0">
        <w:t xml:space="preserve"> approach</w:t>
      </w:r>
      <w:r w:rsidRPr="007E61A0">
        <w:t xml:space="preserve"> with ciclosporin a comparison between deucravacitinib </w:t>
      </w:r>
      <w:r w:rsidR="005A792F">
        <w:t xml:space="preserve">and ciclosporin </w:t>
      </w:r>
      <w:r w:rsidRPr="007E61A0">
        <w:t xml:space="preserve">would be redundant. </w:t>
      </w:r>
      <w:r w:rsidR="00E63C92" w:rsidRPr="007E61A0">
        <w:t xml:space="preserve"> </w:t>
      </w:r>
    </w:p>
    <w:p w14:paraId="221CE9B3" w14:textId="54FAE53E" w:rsidR="0043590E" w:rsidRPr="007E61A0" w:rsidRDefault="0043590E" w:rsidP="0043590E">
      <w:pPr>
        <w:pStyle w:val="3-BodyText"/>
      </w:pPr>
      <w:r w:rsidRPr="007E61A0">
        <w:t>Patients with s</w:t>
      </w:r>
      <w:r w:rsidR="000A5852" w:rsidRPr="007E61A0">
        <w:t xml:space="preserve">evere </w:t>
      </w:r>
      <w:r w:rsidRPr="007E61A0">
        <w:t>CPP are also eligible for phototherapy. Phototherapy for s</w:t>
      </w:r>
      <w:r w:rsidR="000A5852" w:rsidRPr="007E61A0">
        <w:t xml:space="preserve">evere </w:t>
      </w:r>
      <w:r w:rsidRPr="007E61A0">
        <w:t xml:space="preserve">CPP is listed on the MBS and could be considered a relevant </w:t>
      </w:r>
      <w:r w:rsidR="00EF48F4" w:rsidRPr="007E61A0">
        <w:t xml:space="preserve">alternative therapy </w:t>
      </w:r>
      <w:r w:rsidRPr="007E61A0">
        <w:t>for deucravacitinib.</w:t>
      </w:r>
      <w:r w:rsidR="006742E8" w:rsidRPr="007E61A0">
        <w:t xml:space="preserve"> No information was provided in the submission to inform a comparison of deucravacitinib and phototherapy.</w:t>
      </w:r>
    </w:p>
    <w:p w14:paraId="73CF5EF2" w14:textId="0DE63558" w:rsidR="00E97A09" w:rsidRPr="007E61A0" w:rsidRDefault="00050FAB" w:rsidP="00E97A09">
      <w:pPr>
        <w:pStyle w:val="3-BodyText"/>
      </w:pPr>
      <w:r w:rsidRPr="007E61A0">
        <w:t>The evaluation considered b</w:t>
      </w:r>
      <w:r w:rsidR="00E97A09" w:rsidRPr="007E61A0">
        <w:t xml:space="preserve">iologic </w:t>
      </w:r>
      <w:r w:rsidR="00FE26A6" w:rsidRPr="007E61A0">
        <w:t xml:space="preserve">therapies </w:t>
      </w:r>
      <w:r w:rsidR="00E97A09" w:rsidRPr="007E61A0">
        <w:t>for s</w:t>
      </w:r>
      <w:r w:rsidR="000A5852" w:rsidRPr="007E61A0">
        <w:t xml:space="preserve">evere </w:t>
      </w:r>
      <w:r w:rsidR="00E97A09" w:rsidRPr="007E61A0">
        <w:t xml:space="preserve">CPP may be </w:t>
      </w:r>
      <w:r w:rsidR="00EF48F4" w:rsidRPr="007E61A0">
        <w:t xml:space="preserve">considered a more appropriate main </w:t>
      </w:r>
      <w:r w:rsidR="00E97A09" w:rsidRPr="007E61A0">
        <w:t>comparator for deucravacitinib because:</w:t>
      </w:r>
    </w:p>
    <w:p w14:paraId="58FA0F99" w14:textId="27A3413F" w:rsidR="00DB73AF" w:rsidRPr="007E61A0" w:rsidRDefault="00E97A09" w:rsidP="00FA6969">
      <w:pPr>
        <w:pStyle w:val="ListParagraph"/>
        <w:numPr>
          <w:ilvl w:val="1"/>
          <w:numId w:val="12"/>
        </w:numPr>
      </w:pPr>
      <w:r w:rsidRPr="007E61A0">
        <w:t xml:space="preserve">Patients with chronic plaque psoriasis, PASI &gt;15, and who have failed two of phototherapy, methotrexate, ciclosporin, acitretin, and apremilast are eligible for biologic therapies. The </w:t>
      </w:r>
      <w:r w:rsidR="00AD4190">
        <w:t xml:space="preserve">proposed PBS </w:t>
      </w:r>
      <w:r w:rsidRPr="007E61A0">
        <w:t>population</w:t>
      </w:r>
      <w:r w:rsidR="00AD4190">
        <w:t xml:space="preserve"> </w:t>
      </w:r>
      <w:r w:rsidRPr="007E61A0">
        <w:t>for deucravacitinib and biologic therapies overlap.</w:t>
      </w:r>
    </w:p>
    <w:p w14:paraId="103E7FE1" w14:textId="4EC1BCBF" w:rsidR="00402D4E" w:rsidRPr="007E61A0" w:rsidRDefault="00E97A09" w:rsidP="00FA6969">
      <w:pPr>
        <w:pStyle w:val="ListParagraph"/>
        <w:numPr>
          <w:ilvl w:val="1"/>
          <w:numId w:val="12"/>
        </w:numPr>
      </w:pPr>
      <w:r w:rsidRPr="007E61A0">
        <w:t>A 2020 meta-analysis comparing biologics and oral treatments for plaque psoriasis showed apremilast was outperformed by biologics, many of which are PBS listed</w:t>
      </w:r>
      <w:r w:rsidR="002D21C5" w:rsidRPr="007E61A0">
        <w:t>.</w:t>
      </w:r>
      <w:r w:rsidRPr="007E61A0">
        <w:rPr>
          <w:rStyle w:val="FootnoteReference"/>
        </w:rPr>
        <w:footnoteReference w:id="1"/>
      </w:r>
      <w:r w:rsidRPr="007E61A0">
        <w:t xml:space="preserve"> If deucravacitinib demonstrates superior effectiveness to apremilast, more </w:t>
      </w:r>
      <w:r w:rsidRPr="007E61A0">
        <w:lastRenderedPageBreak/>
        <w:t xml:space="preserve">patients currently eligible for biologics may opt for </w:t>
      </w:r>
      <w:r w:rsidR="005078AF" w:rsidRPr="007E61A0">
        <w:t>this</w:t>
      </w:r>
      <w:r w:rsidRPr="007E61A0">
        <w:t xml:space="preserve"> oral</w:t>
      </w:r>
      <w:r w:rsidR="00164AB3" w:rsidRPr="007E61A0">
        <w:t xml:space="preserve"> </w:t>
      </w:r>
      <w:r w:rsidR="00DA2AF5" w:rsidRPr="007E61A0">
        <w:t xml:space="preserve">treatment </w:t>
      </w:r>
      <w:r w:rsidR="00164AB3" w:rsidRPr="007E61A0">
        <w:t>rather than for biologics</w:t>
      </w:r>
      <w:r w:rsidRPr="007E61A0">
        <w:t>.</w:t>
      </w:r>
    </w:p>
    <w:p w14:paraId="47D9B48A" w14:textId="37107CDA" w:rsidR="002C2775" w:rsidRPr="007E61A0" w:rsidRDefault="00E97A09" w:rsidP="002E4F02">
      <w:pPr>
        <w:pStyle w:val="3-BodyText"/>
      </w:pPr>
      <w:r w:rsidRPr="007E61A0">
        <w:t xml:space="preserve">If biologic </w:t>
      </w:r>
      <w:r w:rsidR="00FE26A6" w:rsidRPr="007E61A0">
        <w:t xml:space="preserve">therapies </w:t>
      </w:r>
      <w:r w:rsidRPr="007E61A0">
        <w:t xml:space="preserve">are not considered </w:t>
      </w:r>
      <w:r w:rsidR="008A54A9" w:rsidRPr="007E61A0">
        <w:t xml:space="preserve">to be a more appropriate main </w:t>
      </w:r>
      <w:r w:rsidR="00495733" w:rsidRPr="007E61A0">
        <w:t>comparator,</w:t>
      </w:r>
      <w:r w:rsidRPr="007E61A0">
        <w:t xml:space="preserve"> they </w:t>
      </w:r>
      <w:r w:rsidR="007E4E39" w:rsidRPr="007E61A0">
        <w:t xml:space="preserve">are likely to </w:t>
      </w:r>
      <w:r w:rsidRPr="007E61A0">
        <w:t>be used as subsequent therapies</w:t>
      </w:r>
      <w:r w:rsidR="00425ADF" w:rsidRPr="007E61A0">
        <w:t xml:space="preserve"> in eligible patients</w:t>
      </w:r>
      <w:r w:rsidR="00ED5BD4" w:rsidRPr="007E61A0">
        <w:t xml:space="preserve">. </w:t>
      </w:r>
      <w:r w:rsidR="00495733" w:rsidRPr="007E61A0">
        <w:t>T</w:t>
      </w:r>
      <w:r w:rsidR="00ED5BD4" w:rsidRPr="007E61A0">
        <w:t>his was</w:t>
      </w:r>
      <w:r w:rsidR="009D4020" w:rsidRPr="007E61A0">
        <w:t xml:space="preserve"> no</w:t>
      </w:r>
      <w:r w:rsidR="00ED5BD4" w:rsidRPr="007E61A0">
        <w:t xml:space="preserve">t captured in the trial </w:t>
      </w:r>
      <w:r w:rsidR="00495733" w:rsidRPr="007E61A0">
        <w:t xml:space="preserve">or financial estimates but was </w:t>
      </w:r>
      <w:r w:rsidR="001E548F" w:rsidRPr="007E61A0">
        <w:t xml:space="preserve">assumed </w:t>
      </w:r>
      <w:r w:rsidR="00ED5BD4" w:rsidRPr="007E61A0">
        <w:t>in the economic analysi</w:t>
      </w:r>
      <w:r w:rsidR="00495733" w:rsidRPr="007E61A0">
        <w:t>s</w:t>
      </w:r>
      <w:r w:rsidR="00ED5BD4" w:rsidRPr="007E61A0">
        <w:t>.</w:t>
      </w:r>
    </w:p>
    <w:p w14:paraId="406CBE94" w14:textId="1686FB34" w:rsidR="00755D2E" w:rsidRPr="007E61A0" w:rsidRDefault="000E23EB" w:rsidP="00755D2E">
      <w:pPr>
        <w:pStyle w:val="3-BodyText"/>
      </w:pPr>
      <w:r w:rsidRPr="007E61A0">
        <w:t>The Pre-Sub-Committee Response (PSCR) acknowledged the proposed deucravacitinib PBS indication theoretically overlaps with the PBS listings for biologics (in patients with PASI&gt;15), however argued that based on clinician feedback there is unlikely to be substitution of biologics by deucravacitinib in clinical practice. The PSCR also argued the clinical profile associated with deucravacitinib favours use prior to biologics, and patients with a strong aversion to needles are likely to already be using apremilast as an oral alternative, making apremilast the appropriate comparator in these patients, and patients currently treated with biologics are likely to continue treatment with biologics.</w:t>
      </w:r>
    </w:p>
    <w:p w14:paraId="7A649758" w14:textId="535FAD11" w:rsidR="003E7216" w:rsidRPr="007E61A0" w:rsidRDefault="000E23EB" w:rsidP="003E7216">
      <w:pPr>
        <w:pStyle w:val="3-BodyText"/>
      </w:pPr>
      <w:r w:rsidRPr="007E61A0">
        <w:t xml:space="preserve">The ESC considered that, whilst the proposed positioning of deucravacitinib was the same as apremilast, </w:t>
      </w:r>
      <w:r w:rsidR="0030711F" w:rsidRPr="007E61A0">
        <w:t xml:space="preserve">given the </w:t>
      </w:r>
      <w:r w:rsidRPr="007E61A0">
        <w:t>overlap with the population who may be considered for biologics</w:t>
      </w:r>
      <w:r w:rsidR="0030711F" w:rsidRPr="007E61A0">
        <w:t>,</w:t>
      </w:r>
      <w:r w:rsidR="00BA13D5" w:rsidRPr="007E61A0">
        <w:t xml:space="preserve"> </w:t>
      </w:r>
      <w:r w:rsidRPr="007E61A0">
        <w:t xml:space="preserve">biologic therapies should also be considered comparators. </w:t>
      </w:r>
      <w:r w:rsidR="00827581" w:rsidRPr="007E61A0">
        <w:t xml:space="preserve">The Pre-PBAC Response stated that while there may be a subgroup of patients in the proposed listing who have access to biologics, acknowledged that deucravacitinib may not be as efficacious as some biologics. </w:t>
      </w:r>
      <w:r w:rsidR="00AD4190">
        <w:t xml:space="preserve"> T</w:t>
      </w:r>
      <w:r w:rsidR="00827581" w:rsidRPr="007E61A0">
        <w:t xml:space="preserve">he Sponsor also stated that previous PBAC considerations of apremilast, in which theoretically a similar overlap exists, did not include any </w:t>
      </w:r>
      <w:r w:rsidR="001A6506" w:rsidRPr="007E61A0">
        <w:t>advice</w:t>
      </w:r>
      <w:r w:rsidR="00827581" w:rsidRPr="007E61A0">
        <w:t xml:space="preserve"> that biologics should be considered a comparator.</w:t>
      </w:r>
    </w:p>
    <w:p w14:paraId="4755600E" w14:textId="0E685724" w:rsidR="00827581" w:rsidRPr="007E61A0" w:rsidRDefault="004F1A99" w:rsidP="003E7216">
      <w:pPr>
        <w:pStyle w:val="3-BodyText"/>
      </w:pPr>
      <w:r w:rsidRPr="007E61A0">
        <w:t xml:space="preserve">The PBAC considered the place in therapy </w:t>
      </w:r>
      <w:r w:rsidR="00AD4190">
        <w:t xml:space="preserve">for deucravacitinib </w:t>
      </w:r>
      <w:r w:rsidRPr="007E61A0">
        <w:t xml:space="preserve">and most appropriate primary comparator(s) remained uncertain and further considered expert </w:t>
      </w:r>
      <w:r w:rsidR="008770D3" w:rsidRPr="007E61A0">
        <w:t xml:space="preserve">dermatologists’ </w:t>
      </w:r>
      <w:r w:rsidRPr="007E61A0">
        <w:t>clinical advice would be informative to resolve this issue.</w:t>
      </w:r>
    </w:p>
    <w:p w14:paraId="5E002ACE" w14:textId="77777777" w:rsidR="003E7216" w:rsidRPr="007E61A0" w:rsidRDefault="003E7216" w:rsidP="003E7216">
      <w:pPr>
        <w:ind w:firstLine="709"/>
        <w:rPr>
          <w:rFonts w:asciiTheme="minorHAnsi" w:hAnsiTheme="minorHAnsi"/>
          <w:i/>
        </w:rPr>
      </w:pPr>
      <w:r w:rsidRPr="007E61A0">
        <w:rPr>
          <w:rFonts w:asciiTheme="minorHAnsi" w:hAnsiTheme="minorHAnsi"/>
          <w:i/>
        </w:rPr>
        <w:t>For more detail on PBAC’s view, see section 7 PBAC outcome.</w:t>
      </w:r>
    </w:p>
    <w:p w14:paraId="7F9C27C8" w14:textId="77777777" w:rsidR="00223D5A" w:rsidRPr="007E61A0" w:rsidRDefault="00223D5A" w:rsidP="00223D5A">
      <w:pPr>
        <w:pStyle w:val="2-SectionHeading"/>
      </w:pPr>
      <w:bookmarkStart w:id="16" w:name="_Toc113968816"/>
      <w:bookmarkStart w:id="17" w:name="_Toc22897640"/>
      <w:r w:rsidRPr="007E61A0">
        <w:t>Consideration of the evidence</w:t>
      </w:r>
      <w:bookmarkEnd w:id="16"/>
    </w:p>
    <w:p w14:paraId="7FDDE561" w14:textId="77777777" w:rsidR="003E7216" w:rsidRPr="007E61A0" w:rsidRDefault="003E7216" w:rsidP="007C763B">
      <w:pPr>
        <w:pStyle w:val="3-SubsectionHeading"/>
        <w:outlineLvl w:val="1"/>
        <w:rPr>
          <w:lang w:eastAsia="en-AU"/>
        </w:rPr>
      </w:pPr>
      <w:bookmarkStart w:id="18" w:name="_Hlk76375935"/>
      <w:bookmarkStart w:id="19" w:name="_Toc113968817"/>
      <w:r w:rsidRPr="007E61A0">
        <w:rPr>
          <w:lang w:eastAsia="en-AU"/>
        </w:rPr>
        <w:t>Sponsor hearing</w:t>
      </w:r>
    </w:p>
    <w:p w14:paraId="1CC9D248" w14:textId="0B1ECEAA" w:rsidR="003E7216" w:rsidRPr="007E61A0" w:rsidRDefault="003E7216" w:rsidP="003E7216">
      <w:pPr>
        <w:widowControl w:val="0"/>
        <w:numPr>
          <w:ilvl w:val="1"/>
          <w:numId w:val="1"/>
        </w:numPr>
        <w:spacing w:after="120"/>
        <w:rPr>
          <w:rFonts w:cs="Calibri"/>
          <w:bCs/>
          <w:snapToGrid w:val="0"/>
        </w:rPr>
      </w:pPr>
      <w:r w:rsidRPr="007E61A0">
        <w:rPr>
          <w:rFonts w:cs="Calibri"/>
          <w:bCs/>
          <w:snapToGrid w:val="0"/>
        </w:rPr>
        <w:t>There was no hearing for this item.</w:t>
      </w:r>
    </w:p>
    <w:p w14:paraId="3BFFB261" w14:textId="77777777" w:rsidR="003E7216" w:rsidRPr="007E61A0" w:rsidRDefault="003E7216" w:rsidP="007C763B">
      <w:pPr>
        <w:pStyle w:val="3-SubsectionHeading"/>
        <w:outlineLvl w:val="1"/>
        <w:rPr>
          <w:lang w:eastAsia="en-AU"/>
        </w:rPr>
      </w:pPr>
      <w:r w:rsidRPr="007E61A0">
        <w:rPr>
          <w:lang w:eastAsia="en-AU"/>
        </w:rPr>
        <w:t>Consumer comments</w:t>
      </w:r>
    </w:p>
    <w:p w14:paraId="5B6B1385" w14:textId="44A1C3A1" w:rsidR="003E7216" w:rsidRPr="007E61A0" w:rsidRDefault="003E7216" w:rsidP="003E7216">
      <w:pPr>
        <w:widowControl w:val="0"/>
        <w:numPr>
          <w:ilvl w:val="1"/>
          <w:numId w:val="1"/>
        </w:numPr>
        <w:spacing w:after="120"/>
        <w:rPr>
          <w:rFonts w:asciiTheme="minorHAnsi" w:hAnsiTheme="minorHAnsi"/>
          <w:bCs/>
          <w:snapToGrid w:val="0"/>
        </w:rPr>
      </w:pPr>
      <w:bookmarkStart w:id="20" w:name="_Hlk76382618"/>
      <w:r w:rsidRPr="007E61A0">
        <w:rPr>
          <w:rFonts w:asciiTheme="minorHAnsi" w:hAnsiTheme="minorHAnsi"/>
          <w:bCs/>
          <w:snapToGrid w:val="0"/>
        </w:rPr>
        <w:t>The PBAC noted and welcomed the input from health care professionals (</w:t>
      </w:r>
      <w:r w:rsidR="007C763B" w:rsidRPr="007E61A0">
        <w:rPr>
          <w:rFonts w:asciiTheme="minorHAnsi" w:hAnsiTheme="minorHAnsi"/>
          <w:bCs/>
          <w:snapToGrid w:val="0"/>
        </w:rPr>
        <w:t>3</w:t>
      </w:r>
      <w:r w:rsidRPr="007E61A0">
        <w:rPr>
          <w:rFonts w:asciiTheme="minorHAnsi" w:hAnsiTheme="minorHAnsi"/>
          <w:bCs/>
          <w:snapToGrid w:val="0"/>
        </w:rPr>
        <w:t xml:space="preserve">) and organisations (1) via the Consumer Comments facility on the PBS website. The </w:t>
      </w:r>
      <w:r w:rsidR="007C763B" w:rsidRPr="007E61A0">
        <w:rPr>
          <w:rFonts w:asciiTheme="minorHAnsi" w:hAnsiTheme="minorHAnsi"/>
          <w:bCs/>
          <w:snapToGrid w:val="0"/>
        </w:rPr>
        <w:t xml:space="preserve">comments from health professionals noted patients with chronic plaque psoriasis often have poor quality of life due to their symptoms often being uncontrolled by topical treatments, and noted deucravacitinib is considered an option for this group to manage their symptoms and improve quality of life. The comments from health care professionals also noted while deucravacitinib is believed to be less efficient than </w:t>
      </w:r>
      <w:r w:rsidR="007C763B" w:rsidRPr="007E61A0">
        <w:rPr>
          <w:rFonts w:asciiTheme="minorHAnsi" w:hAnsiTheme="minorHAnsi"/>
          <w:bCs/>
          <w:snapToGrid w:val="0"/>
        </w:rPr>
        <w:lastRenderedPageBreak/>
        <w:t>some treatments for the management of severe plaque psoriasis (i.e. some biologics), deucravacitinib is considered a safe and effective oral alternative to injectable therapies.</w:t>
      </w:r>
    </w:p>
    <w:p w14:paraId="35D8BED1" w14:textId="3F47A0EA" w:rsidR="003E7216" w:rsidRPr="007E61A0" w:rsidRDefault="007C763B" w:rsidP="003E7216">
      <w:pPr>
        <w:widowControl w:val="0"/>
        <w:numPr>
          <w:ilvl w:val="1"/>
          <w:numId w:val="1"/>
        </w:numPr>
        <w:spacing w:after="120"/>
        <w:rPr>
          <w:rFonts w:asciiTheme="minorHAnsi" w:hAnsiTheme="minorHAnsi"/>
          <w:bCs/>
          <w:snapToGrid w:val="0"/>
        </w:rPr>
      </w:pPr>
      <w:bookmarkStart w:id="21" w:name="_Hlk97141415"/>
      <w:r w:rsidRPr="007E61A0">
        <w:rPr>
          <w:rFonts w:asciiTheme="minorHAnsi" w:hAnsiTheme="minorHAnsi"/>
          <w:bCs/>
          <w:snapToGrid w:val="0"/>
        </w:rPr>
        <w:t>The PBAC also noted the advice from Creaky Joints Australia</w:t>
      </w:r>
      <w:bookmarkEnd w:id="21"/>
      <w:r w:rsidRPr="007E61A0">
        <w:rPr>
          <w:rFonts w:asciiTheme="minorHAnsi" w:hAnsiTheme="minorHAnsi"/>
          <w:bCs/>
          <w:snapToGrid w:val="0"/>
        </w:rPr>
        <w:t>, which noted the impact of plaque psoriasis on patients’ lives and shared patient experiences</w:t>
      </w:r>
      <w:r w:rsidR="0081507E" w:rsidRPr="007E61A0">
        <w:rPr>
          <w:rFonts w:asciiTheme="minorHAnsi" w:hAnsiTheme="minorHAnsi"/>
          <w:bCs/>
          <w:snapToGrid w:val="0"/>
        </w:rPr>
        <w:t xml:space="preserve"> of living with the condition</w:t>
      </w:r>
      <w:r w:rsidRPr="007E61A0">
        <w:rPr>
          <w:rFonts w:asciiTheme="minorHAnsi" w:hAnsiTheme="minorHAnsi"/>
          <w:bCs/>
          <w:snapToGrid w:val="0"/>
        </w:rPr>
        <w:t>. The experiences highlighted the physical and mental impacts of plaque psoriasis,</w:t>
      </w:r>
      <w:r w:rsidR="0081507E" w:rsidRPr="007E61A0">
        <w:rPr>
          <w:rFonts w:asciiTheme="minorHAnsi" w:hAnsiTheme="minorHAnsi"/>
          <w:bCs/>
          <w:snapToGrid w:val="0"/>
        </w:rPr>
        <w:t xml:space="preserve"> including how the visible aspect of psoriasis leads to anxiety, depression and body image problems. The input also described the lack of effective treatment options for patients who cannot use biologics and noted </w:t>
      </w:r>
      <w:r w:rsidR="009A3A6C" w:rsidRPr="007E61A0">
        <w:rPr>
          <w:rFonts w:asciiTheme="minorHAnsi" w:hAnsiTheme="minorHAnsi"/>
          <w:bCs/>
          <w:snapToGrid w:val="0"/>
        </w:rPr>
        <w:t xml:space="preserve">some </w:t>
      </w:r>
      <w:r w:rsidR="0081507E" w:rsidRPr="007E61A0">
        <w:rPr>
          <w:rFonts w:asciiTheme="minorHAnsi" w:hAnsiTheme="minorHAnsi"/>
          <w:bCs/>
          <w:snapToGrid w:val="0"/>
        </w:rPr>
        <w:t>of the currently available systemic</w:t>
      </w:r>
      <w:r w:rsidR="009A3A6C" w:rsidRPr="007E61A0">
        <w:rPr>
          <w:rFonts w:asciiTheme="minorHAnsi" w:hAnsiTheme="minorHAnsi"/>
          <w:bCs/>
          <w:snapToGrid w:val="0"/>
        </w:rPr>
        <w:t xml:space="preserve"> non-biologic</w:t>
      </w:r>
      <w:r w:rsidR="0081507E" w:rsidRPr="007E61A0">
        <w:rPr>
          <w:rFonts w:asciiTheme="minorHAnsi" w:hAnsiTheme="minorHAnsi"/>
          <w:bCs/>
          <w:snapToGrid w:val="0"/>
        </w:rPr>
        <w:t xml:space="preserve"> treatment options have maximum safe durations of therapy, highlighting the need for an effective alternative to currently available biologic therapies, which may also have cost benefits to the PBS through delaying (or prevent the need in s</w:t>
      </w:r>
      <w:r w:rsidR="00050FAB" w:rsidRPr="007E61A0">
        <w:rPr>
          <w:rFonts w:asciiTheme="minorHAnsi" w:hAnsiTheme="minorHAnsi"/>
          <w:bCs/>
          <w:snapToGrid w:val="0"/>
        </w:rPr>
        <w:t>o</w:t>
      </w:r>
      <w:r w:rsidR="0081507E" w:rsidRPr="007E61A0">
        <w:rPr>
          <w:rFonts w:asciiTheme="minorHAnsi" w:hAnsiTheme="minorHAnsi"/>
          <w:bCs/>
          <w:snapToGrid w:val="0"/>
        </w:rPr>
        <w:t>me cases) biologic therapy.</w:t>
      </w:r>
    </w:p>
    <w:bookmarkEnd w:id="18"/>
    <w:bookmarkEnd w:id="20"/>
    <w:p w14:paraId="609C0765" w14:textId="36CCB6D1" w:rsidR="00B60939" w:rsidRPr="007E61A0" w:rsidRDefault="00B60939" w:rsidP="002E4F02">
      <w:pPr>
        <w:pStyle w:val="4-SubsectionHeading"/>
        <w:rPr>
          <w:iCs/>
        </w:rPr>
      </w:pPr>
      <w:r w:rsidRPr="007E61A0">
        <w:rPr>
          <w:iCs/>
        </w:rPr>
        <w:t>Clinical</w:t>
      </w:r>
      <w:r w:rsidR="00410E90" w:rsidRPr="007E61A0">
        <w:rPr>
          <w:iCs/>
        </w:rPr>
        <w:t xml:space="preserve"> </w:t>
      </w:r>
      <w:r w:rsidRPr="007E61A0">
        <w:rPr>
          <w:iCs/>
        </w:rPr>
        <w:t>trials</w:t>
      </w:r>
      <w:bookmarkEnd w:id="17"/>
      <w:bookmarkEnd w:id="19"/>
    </w:p>
    <w:p w14:paraId="4A5A1919" w14:textId="1E2B16E7" w:rsidR="000D0237" w:rsidRPr="007E61A0" w:rsidRDefault="00A73134" w:rsidP="002C5159">
      <w:pPr>
        <w:pStyle w:val="3-BodyText"/>
      </w:pPr>
      <w:r w:rsidRPr="007E61A0">
        <w:rPr>
          <w:snapToGrid/>
        </w:rPr>
        <w:t xml:space="preserve">The submission </w:t>
      </w:r>
      <w:r w:rsidR="00D5243B" w:rsidRPr="007E61A0">
        <w:rPr>
          <w:snapToGrid/>
        </w:rPr>
        <w:t>wa</w:t>
      </w:r>
      <w:r w:rsidRPr="007E61A0">
        <w:rPr>
          <w:snapToGrid/>
        </w:rPr>
        <w:t xml:space="preserve">s based on </w:t>
      </w:r>
      <w:r w:rsidR="002C5159" w:rsidRPr="007E61A0">
        <w:rPr>
          <w:snapToGrid/>
        </w:rPr>
        <w:t xml:space="preserve">two randomised trials comparing deucravacitinib (6 mg once daily) </w:t>
      </w:r>
      <w:r w:rsidR="000D0237" w:rsidRPr="007E61A0">
        <w:t>versus placebo and apremilast (30 mg t</w:t>
      </w:r>
      <w:r w:rsidR="009D4020" w:rsidRPr="007E61A0">
        <w:t>w</w:t>
      </w:r>
      <w:r w:rsidR="000D0237" w:rsidRPr="007E61A0">
        <w:t>ice daily) in patients with moderate-to-severe plaque psoriasis: POETYK 1 (n = 666)</w:t>
      </w:r>
      <w:r w:rsidR="002C5159" w:rsidRPr="007E61A0">
        <w:t xml:space="preserve"> and</w:t>
      </w:r>
      <w:r w:rsidR="002C5159" w:rsidRPr="007E61A0" w:rsidDel="002C5159">
        <w:t xml:space="preserve"> </w:t>
      </w:r>
      <w:r w:rsidR="000D0237" w:rsidRPr="007E61A0">
        <w:t>POETYK 2 (n = 1,020).</w:t>
      </w:r>
    </w:p>
    <w:p w14:paraId="0830B700" w14:textId="53B3E4D0" w:rsidR="00623A50" w:rsidRPr="007E61A0" w:rsidRDefault="009D4020" w:rsidP="002E4F02">
      <w:pPr>
        <w:pStyle w:val="3-BodyText"/>
      </w:pPr>
      <w:r w:rsidRPr="007E61A0">
        <w:t xml:space="preserve">The </w:t>
      </w:r>
      <w:r w:rsidR="00623A50" w:rsidRPr="007E61A0">
        <w:t>eligibility</w:t>
      </w:r>
      <w:r w:rsidRPr="007E61A0">
        <w:t xml:space="preserve"> criteria</w:t>
      </w:r>
      <w:r w:rsidR="00623A50" w:rsidRPr="007E61A0">
        <w:t xml:space="preserve"> were identical across the POETYK 1 and POETYK 2 trials.</w:t>
      </w:r>
    </w:p>
    <w:p w14:paraId="70688004" w14:textId="2FEE8A90" w:rsidR="00C22D7C" w:rsidRPr="007E61A0" w:rsidRDefault="005E6D6C" w:rsidP="002E4F02">
      <w:pPr>
        <w:pStyle w:val="3-BodyText"/>
      </w:pPr>
      <w:r w:rsidRPr="007E61A0">
        <w:t>Patients could have received, but were not required to receive, prior treatment with systemic non-biologics, immunosuppressants, phototherapy or biologic therapy. However, p</w:t>
      </w:r>
      <w:r w:rsidR="00997AC0" w:rsidRPr="007E61A0">
        <w:t>atients could not have received systemic non-biologics, immunosuppressants or phototherapy within four weeks of Day 1 of the study</w:t>
      </w:r>
      <w:r w:rsidR="002C5159" w:rsidRPr="007E61A0">
        <w:t xml:space="preserve"> or biologics within 3 to 6 months (depending on mechanism of action) of Day 1 of the study</w:t>
      </w:r>
      <w:r w:rsidR="00997AC0" w:rsidRPr="007E61A0">
        <w:t xml:space="preserve">. </w:t>
      </w:r>
      <w:r w:rsidR="00D23D25" w:rsidRPr="007E61A0">
        <w:t>As a result:</w:t>
      </w:r>
    </w:p>
    <w:p w14:paraId="09359230" w14:textId="46C605DB" w:rsidR="00D23D25" w:rsidRPr="007E61A0" w:rsidRDefault="00C22D7C" w:rsidP="00D23D25">
      <w:pPr>
        <w:pStyle w:val="3-BodyText"/>
        <w:numPr>
          <w:ilvl w:val="2"/>
          <w:numId w:val="1"/>
        </w:numPr>
        <w:ind w:left="1134" w:hanging="425"/>
      </w:pPr>
      <w:r w:rsidRPr="007E61A0">
        <w:t xml:space="preserve">The percentage of patients with prior systemic therapy use </w:t>
      </w:r>
      <w:r w:rsidR="002A2738" w:rsidRPr="007E61A0">
        <w:t xml:space="preserve">(biologic </w:t>
      </w:r>
      <w:r w:rsidR="0094721F" w:rsidRPr="007E61A0">
        <w:t>or</w:t>
      </w:r>
      <w:r w:rsidR="002A2738" w:rsidRPr="007E61A0">
        <w:t xml:space="preserve"> non-biologic) </w:t>
      </w:r>
      <w:r w:rsidRPr="007E61A0">
        <w:t>ranged from 60.6% to 64.9% in the POETYK 1 trial and 53.6% and 55.1% in the POETYK 2 trial.</w:t>
      </w:r>
    </w:p>
    <w:p w14:paraId="628AADF8" w14:textId="21AF345B" w:rsidR="00D23D25" w:rsidRPr="007E61A0" w:rsidRDefault="00D23D25" w:rsidP="00D23D25">
      <w:pPr>
        <w:pStyle w:val="3-BodyText"/>
        <w:numPr>
          <w:ilvl w:val="2"/>
          <w:numId w:val="1"/>
        </w:numPr>
        <w:ind w:left="1134" w:hanging="425"/>
      </w:pPr>
      <w:r w:rsidRPr="007E61A0">
        <w:t>The percentage of all patients receiving prior biologic therapy ranged from 38.0% to 39.2% in the POETYK 1 trial and 31.1</w:t>
      </w:r>
      <w:r w:rsidR="00666562" w:rsidRPr="007E61A0">
        <w:t>%</w:t>
      </w:r>
      <w:r w:rsidRPr="007E61A0">
        <w:t xml:space="preserve"> and 32.5% in the POETYK 2 trial (</w:t>
      </w:r>
      <w:r w:rsidR="00BE24D6" w:rsidRPr="007E61A0">
        <w:t>p82 of the POETYK 1 CSR, p96 of the POETYK 2 CSR</w:t>
      </w:r>
      <w:r w:rsidRPr="007E61A0">
        <w:t xml:space="preserve">). </w:t>
      </w:r>
    </w:p>
    <w:p w14:paraId="65AAD47C" w14:textId="2C446A9B" w:rsidR="00D21FF5" w:rsidRPr="007E61A0" w:rsidRDefault="00D21FF5" w:rsidP="00D23D25">
      <w:pPr>
        <w:pStyle w:val="3-BodyText"/>
      </w:pPr>
      <w:r w:rsidRPr="007E61A0">
        <w:t xml:space="preserve">Residual biologic </w:t>
      </w:r>
      <w:r w:rsidR="00FE26A6" w:rsidRPr="007E61A0">
        <w:t xml:space="preserve">therapy </w:t>
      </w:r>
      <w:r w:rsidRPr="007E61A0">
        <w:t>may confound the treatment effect across all arms in the POETYK 1 and POETYK 2 trials.</w:t>
      </w:r>
    </w:p>
    <w:p w14:paraId="098A3A24" w14:textId="4E58F98C" w:rsidR="00B43386" w:rsidRPr="007E61A0" w:rsidRDefault="00B43386" w:rsidP="002E4F02">
      <w:pPr>
        <w:pStyle w:val="3-BodyText"/>
      </w:pPr>
      <w:r w:rsidRPr="007E61A0">
        <w:t xml:space="preserve">The percentage of patients with prior systemic </w:t>
      </w:r>
      <w:r w:rsidR="0088531C" w:rsidRPr="007E61A0">
        <w:t xml:space="preserve">therapy </w:t>
      </w:r>
      <w:r w:rsidRPr="007E61A0">
        <w:t xml:space="preserve">in both trials is </w:t>
      </w:r>
      <w:r w:rsidR="00D23D25" w:rsidRPr="007E61A0">
        <w:t xml:space="preserve">also </w:t>
      </w:r>
      <w:r w:rsidRPr="007E61A0">
        <w:t xml:space="preserve">inconsistent with the proposed PBS restriction, which requires patients to have failed methotrexate before receiving deucravacitinib. In an Australian setting, 100% of patients will have had prior systemic </w:t>
      </w:r>
      <w:r w:rsidR="0088531C" w:rsidRPr="007E61A0">
        <w:t>therapy</w:t>
      </w:r>
      <w:r w:rsidR="0055382F" w:rsidRPr="007E61A0">
        <w:t xml:space="preserve"> (with methotrexate, unless contraindicated)</w:t>
      </w:r>
      <w:r w:rsidRPr="007E61A0">
        <w:t>. It is also inconsistent with the proposed clinical management algorithm, which positions deucravacitinib before treatment with biologics.</w:t>
      </w:r>
    </w:p>
    <w:p w14:paraId="35DC8F1E" w14:textId="6C232A37" w:rsidR="00D57240" w:rsidRPr="007E61A0" w:rsidRDefault="000D0237" w:rsidP="006D0001">
      <w:pPr>
        <w:pStyle w:val="3-BodyText"/>
      </w:pPr>
      <w:r w:rsidRPr="007E61A0">
        <w:lastRenderedPageBreak/>
        <w:t>The submission presented a meta-analysis of the POETYK 1 and POETYK 2 trials</w:t>
      </w:r>
      <w:r w:rsidR="00D57240" w:rsidRPr="007E61A0">
        <w:t>. The submission claimed that the baseline demographic disease, and prior therapy information were similar enough to warrant meta-analysis of their results. There were slight differences in race, duration of disease, location of psoriasis, and prior systemic therapy across the trials</w:t>
      </w:r>
      <w:r w:rsidR="009D4020" w:rsidRPr="007E61A0">
        <w:t>.</w:t>
      </w:r>
      <w:r w:rsidR="00D57240" w:rsidRPr="007E61A0">
        <w:t xml:space="preserve"> </w:t>
      </w:r>
      <w:r w:rsidR="009D4020" w:rsidRPr="007E61A0">
        <w:t>H</w:t>
      </w:r>
      <w:r w:rsidR="00D57240" w:rsidRPr="007E61A0">
        <w:t>owever</w:t>
      </w:r>
      <w:r w:rsidR="009D4020" w:rsidRPr="007E61A0">
        <w:t>,</w:t>
      </w:r>
      <w:r w:rsidR="00D57240" w:rsidRPr="007E61A0">
        <w:t xml:space="preserve"> the trials appear similar enough for a meta-analysis to be appropriate. </w:t>
      </w:r>
    </w:p>
    <w:p w14:paraId="46F29D06" w14:textId="40D484C5" w:rsidR="000D0237" w:rsidRPr="007E61A0" w:rsidRDefault="00D57240" w:rsidP="002E4F02">
      <w:pPr>
        <w:pStyle w:val="3-BodyText"/>
      </w:pPr>
      <w:bookmarkStart w:id="22" w:name="_Ref115941581"/>
      <w:r w:rsidRPr="007E61A0">
        <w:t xml:space="preserve">The submission presented </w:t>
      </w:r>
      <w:r w:rsidR="00714FE3" w:rsidRPr="007E61A0">
        <w:t>two subgroup analyses that attempted to address potential applicability issues between the POETYK 1 and POETYK 2 trials and the intended Australian population</w:t>
      </w:r>
      <w:r w:rsidR="00384BD8" w:rsidRPr="007E61A0">
        <w:t>:</w:t>
      </w:r>
      <w:bookmarkEnd w:id="22"/>
    </w:p>
    <w:p w14:paraId="095001B6" w14:textId="77777777" w:rsidR="00384BD8" w:rsidRPr="007E61A0" w:rsidRDefault="00384BD8" w:rsidP="00FA6969">
      <w:pPr>
        <w:pStyle w:val="3-BodyText"/>
        <w:numPr>
          <w:ilvl w:val="2"/>
          <w:numId w:val="13"/>
        </w:numPr>
        <w:ind w:left="1077" w:hanging="357"/>
      </w:pPr>
      <w:r w:rsidRPr="007E61A0">
        <w:t xml:space="preserve">Patients with high PASI baseline score (defined as PASI &gt; 15) and patients with low PASI baseline score (defined PASI ≤ 15); and </w:t>
      </w:r>
    </w:p>
    <w:p w14:paraId="21958A20" w14:textId="1CD743C8" w:rsidR="00384BD8" w:rsidRPr="007E61A0" w:rsidRDefault="00384BD8" w:rsidP="00FA6969">
      <w:pPr>
        <w:pStyle w:val="3-BodyText"/>
        <w:numPr>
          <w:ilvl w:val="2"/>
          <w:numId w:val="13"/>
        </w:numPr>
        <w:ind w:left="1077" w:hanging="357"/>
      </w:pPr>
      <w:r w:rsidRPr="007E61A0">
        <w:t>Patients with prior non-biologic therapy use at baseline and patients with no prior non-biologic therapy use at baseline.</w:t>
      </w:r>
    </w:p>
    <w:p w14:paraId="4DA81077" w14:textId="126D983A" w:rsidR="00402D4E" w:rsidRPr="007E61A0" w:rsidRDefault="00402D4E" w:rsidP="00402D4E">
      <w:pPr>
        <w:pStyle w:val="3-BodyText"/>
      </w:pPr>
      <w:r w:rsidRPr="007E61A0">
        <w:t>The treatment algorithm presented in the submission (</w:t>
      </w:r>
      <w:r w:rsidRPr="007E61A0">
        <w:fldChar w:fldCharType="begin" w:fldLock="1"/>
      </w:r>
      <w:r w:rsidRPr="007E61A0">
        <w:instrText xml:space="preserve"> REF _Ref110344899 \h  \* MERGEFORMAT </w:instrText>
      </w:r>
      <w:r w:rsidRPr="007E61A0">
        <w:fldChar w:fldCharType="separate"/>
      </w:r>
      <w:r w:rsidR="00EC7993" w:rsidRPr="007E61A0">
        <w:t xml:space="preserve">Figure </w:t>
      </w:r>
      <w:r w:rsidR="00EC7993">
        <w:t>1</w:t>
      </w:r>
      <w:r w:rsidRPr="007E61A0">
        <w:fldChar w:fldCharType="end"/>
      </w:r>
      <w:r w:rsidRPr="007E61A0">
        <w:t xml:space="preserve">) indicated that patients would </w:t>
      </w:r>
      <w:r w:rsidR="002C2D21" w:rsidRPr="007E61A0">
        <w:t xml:space="preserve">receive </w:t>
      </w:r>
      <w:r w:rsidRPr="007E61A0">
        <w:t xml:space="preserve">systemic non-biologic </w:t>
      </w:r>
      <w:r w:rsidR="00FE26A6" w:rsidRPr="007E61A0">
        <w:t xml:space="preserve">therapies </w:t>
      </w:r>
      <w:r w:rsidRPr="007E61A0">
        <w:t xml:space="preserve">(including deucravacitinib) before biologic </w:t>
      </w:r>
      <w:r w:rsidR="00FE26A6" w:rsidRPr="007E61A0">
        <w:t>therapy</w:t>
      </w:r>
      <w:r w:rsidRPr="007E61A0">
        <w:t xml:space="preserve">. Patients in the POETYK 1 and POETYK 2 trials who have already received biologic therapies may not be representative of the Australian population. </w:t>
      </w:r>
    </w:p>
    <w:p w14:paraId="2B59ABAC" w14:textId="5C3AA41E" w:rsidR="00862502" w:rsidRPr="007E61A0" w:rsidRDefault="00A73134" w:rsidP="002E4F02">
      <w:pPr>
        <w:pStyle w:val="3-BodyText"/>
      </w:pPr>
      <w:r w:rsidRPr="007E61A0">
        <w:rPr>
          <w:snapToGrid/>
        </w:rPr>
        <w:t xml:space="preserve">Details of the trials presented in the submission are provided in </w:t>
      </w:r>
      <w:r w:rsidR="00696EF9" w:rsidRPr="007E61A0">
        <w:rPr>
          <w:snapToGrid/>
        </w:rPr>
        <w:fldChar w:fldCharType="begin" w:fldLock="1"/>
      </w:r>
      <w:r w:rsidR="00696EF9" w:rsidRPr="007E61A0">
        <w:rPr>
          <w:snapToGrid/>
        </w:rPr>
        <w:instrText xml:space="preserve"> REF _Ref104803956 \h </w:instrText>
      </w:r>
      <w:r w:rsidR="00D30F50" w:rsidRPr="007E61A0">
        <w:rPr>
          <w:snapToGrid/>
        </w:rPr>
        <w:instrText xml:space="preserve"> \* MERGEFORMAT </w:instrText>
      </w:r>
      <w:r w:rsidR="00696EF9" w:rsidRPr="007E61A0">
        <w:rPr>
          <w:snapToGrid/>
        </w:rPr>
      </w:r>
      <w:r w:rsidR="00696EF9" w:rsidRPr="007E61A0">
        <w:rPr>
          <w:snapToGrid/>
        </w:rPr>
        <w:fldChar w:fldCharType="separate"/>
      </w:r>
      <w:r w:rsidR="00EC7993" w:rsidRPr="007E61A0">
        <w:t xml:space="preserve">Table </w:t>
      </w:r>
      <w:r w:rsidR="00EC7993">
        <w:t>2</w:t>
      </w:r>
      <w:r w:rsidR="00696EF9" w:rsidRPr="007E61A0">
        <w:rPr>
          <w:snapToGrid/>
        </w:rPr>
        <w:fldChar w:fldCharType="end"/>
      </w:r>
      <w:r w:rsidRPr="007E61A0">
        <w:rPr>
          <w:snapToGrid/>
        </w:rPr>
        <w:t>.</w:t>
      </w:r>
      <w:r w:rsidR="00BC591F" w:rsidRPr="007E61A0">
        <w:rPr>
          <w:snapToGrid/>
        </w:rPr>
        <w:t xml:space="preserve"> </w:t>
      </w:r>
    </w:p>
    <w:p w14:paraId="7DE3A286" w14:textId="3AC952E3" w:rsidR="008E0D3C" w:rsidRPr="007E61A0" w:rsidRDefault="00696EF9" w:rsidP="002E4F02">
      <w:pPr>
        <w:pStyle w:val="TableFigureHeading"/>
        <w:rPr>
          <w:rStyle w:val="CommentReference"/>
          <w:b/>
          <w:szCs w:val="24"/>
        </w:rPr>
      </w:pPr>
      <w:bookmarkStart w:id="23" w:name="_Ref104803956"/>
      <w:r w:rsidRPr="007E61A0">
        <w:t xml:space="preserve">Table </w:t>
      </w:r>
      <w:fldSimple w:instr=" SEQ Table \* ARABIC " w:fldLock="1">
        <w:r w:rsidR="00EC7993">
          <w:rPr>
            <w:noProof/>
          </w:rPr>
          <w:t>2</w:t>
        </w:r>
      </w:fldSimple>
      <w:bookmarkEnd w:id="23"/>
      <w:r w:rsidRPr="007E61A0">
        <w:t>:</w:t>
      </w:r>
      <w:r w:rsidR="00BC591F" w:rsidRPr="007E61A0">
        <w:rPr>
          <w:rStyle w:val="CommentReference"/>
          <w:b/>
          <w:szCs w:val="24"/>
        </w:rPr>
        <w:t xml:space="preserve"> </w:t>
      </w:r>
      <w:r w:rsidR="008E0D3C" w:rsidRPr="007E61A0">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4"/>
        <w:gridCol w:w="4225"/>
        <w:gridCol w:w="2528"/>
      </w:tblGrid>
      <w:tr w:rsidR="00534AF0" w:rsidRPr="007E61A0" w14:paraId="6ACD35C4" w14:textId="77777777" w:rsidTr="00575CD3">
        <w:trPr>
          <w:cantSplit/>
          <w:tblHeader/>
        </w:trPr>
        <w:tc>
          <w:tcPr>
            <w:tcW w:w="1255" w:type="pct"/>
            <w:tcBorders>
              <w:bottom w:val="single" w:sz="4" w:space="0" w:color="auto"/>
            </w:tcBorders>
            <w:vAlign w:val="center"/>
          </w:tcPr>
          <w:p w14:paraId="20DEEB23" w14:textId="77777777" w:rsidR="008E0D3C" w:rsidRPr="007E61A0" w:rsidRDefault="008E0D3C" w:rsidP="00090561">
            <w:pPr>
              <w:pStyle w:val="In-tableHeading"/>
              <w:jc w:val="center"/>
              <w:rPr>
                <w:lang w:val="en-AU"/>
              </w:rPr>
            </w:pPr>
            <w:r w:rsidRPr="007E61A0">
              <w:rPr>
                <w:lang w:val="en-AU"/>
              </w:rPr>
              <w:t>Trial ID</w:t>
            </w:r>
          </w:p>
        </w:tc>
        <w:tc>
          <w:tcPr>
            <w:tcW w:w="2343" w:type="pct"/>
            <w:tcBorders>
              <w:bottom w:val="single" w:sz="4" w:space="0" w:color="auto"/>
            </w:tcBorders>
            <w:vAlign w:val="center"/>
          </w:tcPr>
          <w:p w14:paraId="22EF6C51" w14:textId="77777777" w:rsidR="008E0D3C" w:rsidRPr="007E61A0" w:rsidRDefault="008E0D3C" w:rsidP="00090561">
            <w:pPr>
              <w:pStyle w:val="In-tableHeading"/>
              <w:jc w:val="center"/>
              <w:rPr>
                <w:lang w:val="en-AU"/>
              </w:rPr>
            </w:pPr>
            <w:r w:rsidRPr="007E61A0">
              <w:rPr>
                <w:lang w:val="en-AU"/>
              </w:rPr>
              <w:t>Protocol title/ Publication title</w:t>
            </w:r>
          </w:p>
        </w:tc>
        <w:tc>
          <w:tcPr>
            <w:tcW w:w="1402" w:type="pct"/>
            <w:tcBorders>
              <w:bottom w:val="single" w:sz="4" w:space="0" w:color="auto"/>
            </w:tcBorders>
            <w:vAlign w:val="center"/>
          </w:tcPr>
          <w:p w14:paraId="561B27A8" w14:textId="77777777" w:rsidR="008E0D3C" w:rsidRPr="007E61A0" w:rsidRDefault="008E0D3C" w:rsidP="00090561">
            <w:pPr>
              <w:pStyle w:val="In-tableHeading"/>
              <w:jc w:val="center"/>
              <w:rPr>
                <w:lang w:val="en-AU"/>
              </w:rPr>
            </w:pPr>
            <w:r w:rsidRPr="007E61A0">
              <w:rPr>
                <w:lang w:val="en-AU"/>
              </w:rPr>
              <w:t>Publication citation</w:t>
            </w:r>
          </w:p>
        </w:tc>
      </w:tr>
      <w:tr w:rsidR="00534AF0" w:rsidRPr="007E61A0" w14:paraId="298351BA" w14:textId="77777777" w:rsidTr="00575CD3">
        <w:trPr>
          <w:cantSplit/>
        </w:trPr>
        <w:tc>
          <w:tcPr>
            <w:tcW w:w="1255" w:type="pct"/>
            <w:vMerge w:val="restart"/>
            <w:tcBorders>
              <w:bottom w:val="nil"/>
            </w:tcBorders>
            <w:vAlign w:val="center"/>
          </w:tcPr>
          <w:p w14:paraId="3E74342C" w14:textId="77777777" w:rsidR="00ED1BC4" w:rsidRPr="007E61A0" w:rsidRDefault="00ED1BC4" w:rsidP="00ED1BC4">
            <w:pPr>
              <w:pStyle w:val="TableText0"/>
            </w:pPr>
            <w:r w:rsidRPr="007E61A0">
              <w:t>POETYK 1</w:t>
            </w:r>
          </w:p>
          <w:p w14:paraId="0B024FC2" w14:textId="77777777" w:rsidR="00ED1BC4" w:rsidRPr="007E61A0" w:rsidRDefault="00ED1BC4" w:rsidP="00ED1BC4">
            <w:pPr>
              <w:pStyle w:val="TableText0"/>
            </w:pPr>
            <w:r w:rsidRPr="007E61A0">
              <w:t>(IM011046)</w:t>
            </w:r>
          </w:p>
          <w:p w14:paraId="72BA7BCC" w14:textId="77777777" w:rsidR="00ED1BC4" w:rsidRPr="007E61A0" w:rsidRDefault="00ED1BC4" w:rsidP="00ED1BC4">
            <w:pPr>
              <w:pStyle w:val="TableText0"/>
            </w:pPr>
            <w:r w:rsidRPr="007E61A0">
              <w:t>NCT03624127</w:t>
            </w:r>
          </w:p>
          <w:p w14:paraId="5D9482F5" w14:textId="374635CB" w:rsidR="00DF6341" w:rsidRPr="007E61A0" w:rsidRDefault="00DF6341" w:rsidP="00ED1BC4">
            <w:pPr>
              <w:pStyle w:val="TableText0"/>
              <w:rPr>
                <w:szCs w:val="20"/>
              </w:rPr>
            </w:pPr>
          </w:p>
        </w:tc>
        <w:tc>
          <w:tcPr>
            <w:tcW w:w="2343" w:type="pct"/>
            <w:tcBorders>
              <w:bottom w:val="nil"/>
            </w:tcBorders>
            <w:vAlign w:val="center"/>
          </w:tcPr>
          <w:p w14:paraId="2570DA6E" w14:textId="4447539C" w:rsidR="002E4F02" w:rsidRPr="007E61A0" w:rsidRDefault="00ED1BC4" w:rsidP="00EC5836">
            <w:pPr>
              <w:pStyle w:val="TableText0"/>
            </w:pPr>
            <w:r w:rsidRPr="007E61A0">
              <w:t>A Multi-Center, Randomized, Double-Blind, Placebo- and Active Comparator-Controlled Phase 3 Study to Evaluate the Efficacy and Safety of BMS-986165 in Subjects with Moderate-to Severe Plaque Psoriasis</w:t>
            </w:r>
          </w:p>
        </w:tc>
        <w:tc>
          <w:tcPr>
            <w:tcW w:w="1402" w:type="pct"/>
            <w:tcBorders>
              <w:bottom w:val="nil"/>
            </w:tcBorders>
            <w:vAlign w:val="center"/>
          </w:tcPr>
          <w:p w14:paraId="7578773D" w14:textId="1261138A" w:rsidR="002E4F02" w:rsidRPr="007E61A0" w:rsidRDefault="00ED1BC4" w:rsidP="00EC5836">
            <w:pPr>
              <w:pStyle w:val="TableText0"/>
              <w:rPr>
                <w:rFonts w:ascii="Times" w:hAnsi="Times"/>
              </w:rPr>
            </w:pPr>
            <w:r w:rsidRPr="007E61A0">
              <w:t>CSR, August 2021</w:t>
            </w:r>
          </w:p>
        </w:tc>
      </w:tr>
      <w:tr w:rsidR="00534AF0" w:rsidRPr="007E61A0" w14:paraId="7F06C7BE" w14:textId="77777777" w:rsidTr="00575CD3">
        <w:trPr>
          <w:cantSplit/>
        </w:trPr>
        <w:tc>
          <w:tcPr>
            <w:tcW w:w="1255" w:type="pct"/>
            <w:vMerge/>
            <w:tcBorders>
              <w:top w:val="nil"/>
              <w:bottom w:val="single" w:sz="4" w:space="0" w:color="auto"/>
            </w:tcBorders>
            <w:vAlign w:val="center"/>
          </w:tcPr>
          <w:p w14:paraId="2DE31C12" w14:textId="7BFA1DAD" w:rsidR="002E4F02" w:rsidRPr="007E61A0" w:rsidRDefault="002E4F02" w:rsidP="00EC5836">
            <w:pPr>
              <w:pStyle w:val="TableText0"/>
              <w:jc w:val="center"/>
            </w:pPr>
          </w:p>
        </w:tc>
        <w:tc>
          <w:tcPr>
            <w:tcW w:w="2343" w:type="pct"/>
            <w:tcBorders>
              <w:top w:val="nil"/>
              <w:bottom w:val="single" w:sz="4" w:space="0" w:color="auto"/>
            </w:tcBorders>
            <w:vAlign w:val="center"/>
          </w:tcPr>
          <w:p w14:paraId="7CB8ADA9" w14:textId="14D340E3" w:rsidR="00054A8D" w:rsidRPr="007E61A0" w:rsidRDefault="00ED1BC4" w:rsidP="00C8303F">
            <w:pPr>
              <w:pStyle w:val="TableText0"/>
            </w:pPr>
            <w:r w:rsidRPr="007E61A0">
              <w:t>Armstrong A, Gooderham M, Warren RB et al. Efficacy and safety of deucravacitinib, an oral, selective tyrosine kinase 2 (TYK2) inhibitor, compared with placebo and apremilast in moderate to severe plaque psoriasis: Results from the phase 3 POETYK PSO-1 study</w:t>
            </w:r>
          </w:p>
        </w:tc>
        <w:tc>
          <w:tcPr>
            <w:tcW w:w="1402" w:type="pct"/>
            <w:tcBorders>
              <w:top w:val="nil"/>
              <w:bottom w:val="single" w:sz="4" w:space="0" w:color="auto"/>
            </w:tcBorders>
            <w:vAlign w:val="center"/>
          </w:tcPr>
          <w:p w14:paraId="53EB2567" w14:textId="4473E9F7" w:rsidR="002E4F02" w:rsidRPr="007E61A0" w:rsidRDefault="00ED1BC4" w:rsidP="00EC5836">
            <w:pPr>
              <w:pStyle w:val="TableText0"/>
            </w:pPr>
            <w:r w:rsidRPr="007E61A0">
              <w:t>Annals of the Rheumatic Diseases 2021; 80(SUPPL 1): 795-796.</w:t>
            </w:r>
          </w:p>
        </w:tc>
      </w:tr>
      <w:tr w:rsidR="00534AF0" w:rsidRPr="007E61A0" w14:paraId="74132A1A" w14:textId="77777777" w:rsidTr="00575CD3">
        <w:trPr>
          <w:cantSplit/>
        </w:trPr>
        <w:tc>
          <w:tcPr>
            <w:tcW w:w="1255" w:type="pct"/>
            <w:tcBorders>
              <w:bottom w:val="single" w:sz="4" w:space="0" w:color="auto"/>
            </w:tcBorders>
            <w:vAlign w:val="center"/>
          </w:tcPr>
          <w:p w14:paraId="1D41F9B8" w14:textId="77777777" w:rsidR="00ED1BC4" w:rsidRPr="007E61A0" w:rsidRDefault="00ED1BC4" w:rsidP="00ED1BC4">
            <w:pPr>
              <w:pStyle w:val="TableText0"/>
            </w:pPr>
            <w:r w:rsidRPr="007E61A0">
              <w:t>POETYK 2</w:t>
            </w:r>
          </w:p>
          <w:p w14:paraId="0715B7BA" w14:textId="77777777" w:rsidR="00ED1BC4" w:rsidRPr="007E61A0" w:rsidRDefault="00ED1BC4" w:rsidP="00ED1BC4">
            <w:pPr>
              <w:pStyle w:val="TableText0"/>
            </w:pPr>
            <w:r w:rsidRPr="007E61A0">
              <w:t>(IM011047)</w:t>
            </w:r>
          </w:p>
          <w:p w14:paraId="673610AB" w14:textId="77777777" w:rsidR="00ED1BC4" w:rsidRPr="007E61A0" w:rsidRDefault="00ED1BC4" w:rsidP="00ED1BC4">
            <w:pPr>
              <w:pStyle w:val="TableText0"/>
            </w:pPr>
            <w:r w:rsidRPr="007E61A0">
              <w:t>NCT03611751</w:t>
            </w:r>
          </w:p>
          <w:p w14:paraId="30BA87AC" w14:textId="1B8A8F81" w:rsidR="002E4F02" w:rsidRPr="007E61A0" w:rsidRDefault="002E4F02" w:rsidP="00ED1BC4">
            <w:pPr>
              <w:pStyle w:val="TableText0"/>
              <w:rPr>
                <w:rFonts w:ascii="Times" w:hAnsi="Times"/>
              </w:rPr>
            </w:pPr>
          </w:p>
        </w:tc>
        <w:tc>
          <w:tcPr>
            <w:tcW w:w="2343" w:type="pct"/>
            <w:tcBorders>
              <w:bottom w:val="single" w:sz="4" w:space="0" w:color="auto"/>
            </w:tcBorders>
            <w:vAlign w:val="center"/>
          </w:tcPr>
          <w:p w14:paraId="7EF3AEBB" w14:textId="42E8E95B" w:rsidR="002E4F02" w:rsidRPr="007E61A0" w:rsidRDefault="00ED1BC4" w:rsidP="00EC5836">
            <w:pPr>
              <w:pStyle w:val="TableText0"/>
              <w:rPr>
                <w:rFonts w:ascii="Times" w:hAnsi="Times"/>
              </w:rPr>
            </w:pPr>
            <w:r w:rsidRPr="007E61A0">
              <w:t>A Multi-Center, Randomized, Double-Blind, Placebo- and Active Comparator-Controlled Phase 3 Study with Randomized Withdrawal and Retreatment to Evaluate the Efficacy and Safety of BMS-986165 in Subjects with Moderate-to-Severe Plaque Psoriasis</w:t>
            </w:r>
          </w:p>
        </w:tc>
        <w:tc>
          <w:tcPr>
            <w:tcW w:w="1402" w:type="pct"/>
            <w:tcBorders>
              <w:bottom w:val="single" w:sz="4" w:space="0" w:color="auto"/>
            </w:tcBorders>
            <w:vAlign w:val="center"/>
          </w:tcPr>
          <w:p w14:paraId="65832AF0" w14:textId="69890F9B" w:rsidR="002E4F02" w:rsidRPr="007E61A0" w:rsidRDefault="00ED1BC4" w:rsidP="00EC5836">
            <w:pPr>
              <w:pStyle w:val="TableText0"/>
            </w:pPr>
            <w:r w:rsidRPr="007E61A0">
              <w:t>CSR, August 2021</w:t>
            </w:r>
          </w:p>
        </w:tc>
      </w:tr>
    </w:tbl>
    <w:p w14:paraId="4CD207F7" w14:textId="77777777" w:rsidR="00ED1BC4" w:rsidRPr="007E61A0" w:rsidRDefault="00ED1BC4" w:rsidP="00ED1BC4">
      <w:pPr>
        <w:pStyle w:val="FooterTableFigure"/>
      </w:pPr>
      <w:r w:rsidRPr="007E61A0">
        <w:t>Source: Table 14, p38 of the submission.</w:t>
      </w:r>
    </w:p>
    <w:p w14:paraId="52ACC895" w14:textId="33FC160C" w:rsidR="00ED1BC4" w:rsidRPr="007E61A0" w:rsidRDefault="00ED1BC4" w:rsidP="00ED1BC4">
      <w:pPr>
        <w:pStyle w:val="FooterTableFigure"/>
      </w:pPr>
      <w:r w:rsidRPr="007E61A0">
        <w:t>CSR = clinical study report.</w:t>
      </w:r>
    </w:p>
    <w:p w14:paraId="1DD06D7D" w14:textId="0A7D1C24" w:rsidR="007F1017" w:rsidRPr="007E61A0" w:rsidRDefault="008F120A" w:rsidP="00ED1BC4">
      <w:pPr>
        <w:pStyle w:val="3-BodyText"/>
        <w:rPr>
          <w:color w:val="0066FF"/>
        </w:rPr>
      </w:pPr>
      <w:r w:rsidRPr="007E61A0">
        <w:t>The key features of the direct randomised trial</w:t>
      </w:r>
      <w:r w:rsidR="0013042E" w:rsidRPr="007E61A0">
        <w:t xml:space="preserve">s </w:t>
      </w:r>
      <w:r w:rsidRPr="007E61A0">
        <w:t>are summarised in</w:t>
      </w:r>
      <w:r w:rsidR="00D6076E" w:rsidRPr="007E61A0">
        <w:t xml:space="preserve"> </w:t>
      </w:r>
      <w:r w:rsidR="00D6076E" w:rsidRPr="007E61A0">
        <w:fldChar w:fldCharType="begin" w:fldLock="1"/>
      </w:r>
      <w:r w:rsidR="00D6076E" w:rsidRPr="007E61A0">
        <w:instrText xml:space="preserve"> REF _Ref104804098 \h  \* MERGEFORMAT </w:instrText>
      </w:r>
      <w:r w:rsidR="00D6076E" w:rsidRPr="007E61A0">
        <w:fldChar w:fldCharType="separate"/>
      </w:r>
      <w:r w:rsidR="00EC7993" w:rsidRPr="00EC7993">
        <w:t>Table 3</w:t>
      </w:r>
      <w:r w:rsidR="00D6076E" w:rsidRPr="007E61A0">
        <w:fldChar w:fldCharType="end"/>
      </w:r>
      <w:r w:rsidRPr="007E61A0">
        <w:t>.</w:t>
      </w:r>
      <w:r w:rsidR="00BC591F" w:rsidRPr="007E61A0">
        <w:t xml:space="preserve"> </w:t>
      </w:r>
      <w:r w:rsidR="00F400F7" w:rsidRPr="007E61A0">
        <w:t>The economic analysis used pooled individual patient data from the POETYK trials for PASI 75, 90, and 100 response and proportion of patients with an absolute PASI score &gt;15 at weeks 8, 16, and 24.</w:t>
      </w:r>
    </w:p>
    <w:p w14:paraId="355E2F15" w14:textId="2EC17BF9" w:rsidR="007F1017" w:rsidRPr="007E61A0" w:rsidRDefault="00696EF9" w:rsidP="00290375">
      <w:pPr>
        <w:pStyle w:val="Caption"/>
        <w:rPr>
          <w:rStyle w:val="CommentReference"/>
          <w:rFonts w:eastAsiaTheme="majorEastAsia" w:cstheme="majorBidi"/>
          <w:b/>
          <w:szCs w:val="24"/>
        </w:rPr>
      </w:pPr>
      <w:bookmarkStart w:id="24" w:name="_Ref104804098"/>
      <w:r w:rsidRPr="007E61A0">
        <w:rPr>
          <w:rStyle w:val="CommentReference"/>
          <w:rFonts w:eastAsiaTheme="majorEastAsia" w:cstheme="majorBidi"/>
          <w:b/>
          <w:szCs w:val="24"/>
        </w:rPr>
        <w:lastRenderedPageBreak/>
        <w:t xml:space="preserve">Table </w:t>
      </w:r>
      <w:r w:rsidRPr="007E61A0">
        <w:rPr>
          <w:rStyle w:val="CommentReference"/>
          <w:rFonts w:eastAsiaTheme="majorEastAsia" w:cstheme="majorBidi"/>
          <w:b/>
          <w:szCs w:val="24"/>
        </w:rPr>
        <w:fldChar w:fldCharType="begin" w:fldLock="1"/>
      </w:r>
      <w:r w:rsidRPr="007E61A0">
        <w:rPr>
          <w:rStyle w:val="CommentReference"/>
          <w:rFonts w:eastAsiaTheme="majorEastAsia" w:cstheme="majorBidi"/>
          <w:b/>
          <w:szCs w:val="24"/>
        </w:rPr>
        <w:instrText xml:space="preserve"> SEQ Table \* ARABIC </w:instrText>
      </w:r>
      <w:r w:rsidRPr="007E61A0">
        <w:rPr>
          <w:rStyle w:val="CommentReference"/>
          <w:rFonts w:eastAsiaTheme="majorEastAsia" w:cstheme="majorBidi"/>
          <w:b/>
          <w:szCs w:val="24"/>
        </w:rPr>
        <w:fldChar w:fldCharType="separate"/>
      </w:r>
      <w:r w:rsidR="00EC7993">
        <w:rPr>
          <w:rStyle w:val="CommentReference"/>
          <w:rFonts w:eastAsiaTheme="majorEastAsia" w:cstheme="majorBidi"/>
          <w:b/>
          <w:noProof/>
          <w:szCs w:val="24"/>
        </w:rPr>
        <w:t>3</w:t>
      </w:r>
      <w:r w:rsidRPr="007E61A0">
        <w:rPr>
          <w:rStyle w:val="CommentReference"/>
          <w:rFonts w:eastAsiaTheme="majorEastAsia" w:cstheme="majorBidi"/>
          <w:b/>
          <w:szCs w:val="24"/>
        </w:rPr>
        <w:fldChar w:fldCharType="end"/>
      </w:r>
      <w:bookmarkEnd w:id="24"/>
      <w:r w:rsidR="00D6076E" w:rsidRPr="007E61A0">
        <w:rPr>
          <w:rStyle w:val="CommentReference"/>
          <w:rFonts w:eastAsiaTheme="majorEastAsia" w:cstheme="majorBidi"/>
          <w:b/>
          <w:szCs w:val="24"/>
        </w:rPr>
        <w:t xml:space="preserve">: </w:t>
      </w:r>
      <w:r w:rsidR="007F1017" w:rsidRPr="007E61A0">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5"/>
        <w:gridCol w:w="665"/>
        <w:gridCol w:w="893"/>
        <w:gridCol w:w="674"/>
        <w:gridCol w:w="2023"/>
        <w:gridCol w:w="2370"/>
        <w:gridCol w:w="1367"/>
      </w:tblGrid>
      <w:tr w:rsidR="00534AF0" w:rsidRPr="007E61A0" w14:paraId="53DD7CC6" w14:textId="744A5FCD" w:rsidTr="0059763F">
        <w:trPr>
          <w:cantSplit/>
          <w:tblHeader/>
        </w:trPr>
        <w:tc>
          <w:tcPr>
            <w:tcW w:w="568" w:type="pct"/>
            <w:shd w:val="clear" w:color="auto" w:fill="auto"/>
            <w:vAlign w:val="center"/>
          </w:tcPr>
          <w:p w14:paraId="794116BC" w14:textId="77777777" w:rsidR="0059763F" w:rsidRPr="007E61A0" w:rsidRDefault="0059763F" w:rsidP="00290375">
            <w:pPr>
              <w:pStyle w:val="In-tableHeading"/>
              <w:jc w:val="center"/>
              <w:rPr>
                <w:lang w:val="en-AU"/>
              </w:rPr>
            </w:pPr>
            <w:r w:rsidRPr="007E61A0">
              <w:rPr>
                <w:lang w:val="en-AU"/>
              </w:rPr>
              <w:t>Trial</w:t>
            </w:r>
          </w:p>
        </w:tc>
        <w:tc>
          <w:tcPr>
            <w:tcW w:w="369" w:type="pct"/>
            <w:shd w:val="clear" w:color="auto" w:fill="auto"/>
            <w:vAlign w:val="center"/>
          </w:tcPr>
          <w:p w14:paraId="51122FE5" w14:textId="77777777" w:rsidR="0059763F" w:rsidRPr="007E61A0" w:rsidRDefault="0059763F" w:rsidP="00290375">
            <w:pPr>
              <w:pStyle w:val="In-tableHeading"/>
              <w:jc w:val="center"/>
              <w:rPr>
                <w:lang w:val="en-AU"/>
              </w:rPr>
            </w:pPr>
            <w:r w:rsidRPr="007E61A0">
              <w:rPr>
                <w:lang w:val="en-AU"/>
              </w:rPr>
              <w:t>N</w:t>
            </w:r>
          </w:p>
        </w:tc>
        <w:tc>
          <w:tcPr>
            <w:tcW w:w="495" w:type="pct"/>
            <w:shd w:val="clear" w:color="auto" w:fill="auto"/>
            <w:vAlign w:val="center"/>
          </w:tcPr>
          <w:p w14:paraId="41C438EF" w14:textId="77777777" w:rsidR="0059763F" w:rsidRPr="007E61A0" w:rsidRDefault="0059763F" w:rsidP="00290375">
            <w:pPr>
              <w:pStyle w:val="In-tableHeading"/>
              <w:jc w:val="center"/>
              <w:rPr>
                <w:lang w:val="en-AU"/>
              </w:rPr>
            </w:pPr>
            <w:r w:rsidRPr="007E61A0">
              <w:rPr>
                <w:lang w:val="en-AU"/>
              </w:rPr>
              <w:t>Design/ duration</w:t>
            </w:r>
          </w:p>
        </w:tc>
        <w:tc>
          <w:tcPr>
            <w:tcW w:w="374" w:type="pct"/>
            <w:shd w:val="clear" w:color="auto" w:fill="auto"/>
            <w:vAlign w:val="center"/>
          </w:tcPr>
          <w:p w14:paraId="1FC91360" w14:textId="77777777" w:rsidR="0059763F" w:rsidRPr="007E61A0" w:rsidRDefault="0059763F" w:rsidP="00290375">
            <w:pPr>
              <w:pStyle w:val="In-tableHeading"/>
              <w:jc w:val="center"/>
              <w:rPr>
                <w:lang w:val="en-AU"/>
              </w:rPr>
            </w:pPr>
            <w:r w:rsidRPr="007E61A0">
              <w:rPr>
                <w:lang w:val="en-AU"/>
              </w:rPr>
              <w:t>Risk of bias</w:t>
            </w:r>
          </w:p>
        </w:tc>
        <w:tc>
          <w:tcPr>
            <w:tcW w:w="1122" w:type="pct"/>
            <w:shd w:val="clear" w:color="auto" w:fill="auto"/>
            <w:vAlign w:val="center"/>
          </w:tcPr>
          <w:p w14:paraId="7FF90896" w14:textId="77777777" w:rsidR="0059763F" w:rsidRPr="007E61A0" w:rsidRDefault="0059763F" w:rsidP="00290375">
            <w:pPr>
              <w:pStyle w:val="In-tableHeading"/>
              <w:jc w:val="center"/>
              <w:rPr>
                <w:lang w:val="en-AU"/>
              </w:rPr>
            </w:pPr>
            <w:r w:rsidRPr="007E61A0">
              <w:rPr>
                <w:lang w:val="en-AU"/>
              </w:rPr>
              <w:t>Patient population</w:t>
            </w:r>
          </w:p>
        </w:tc>
        <w:tc>
          <w:tcPr>
            <w:tcW w:w="1314" w:type="pct"/>
            <w:shd w:val="clear" w:color="auto" w:fill="auto"/>
            <w:vAlign w:val="center"/>
          </w:tcPr>
          <w:p w14:paraId="08C6F624" w14:textId="0F77D7DD" w:rsidR="0059763F" w:rsidRPr="007E61A0" w:rsidRDefault="0059763F" w:rsidP="00290375">
            <w:pPr>
              <w:pStyle w:val="In-tableHeading"/>
              <w:jc w:val="center"/>
              <w:rPr>
                <w:lang w:val="en-AU"/>
              </w:rPr>
            </w:pPr>
            <w:r w:rsidRPr="007E61A0">
              <w:rPr>
                <w:lang w:val="en-AU"/>
              </w:rPr>
              <w:t>Outcome(s)</w:t>
            </w:r>
          </w:p>
        </w:tc>
        <w:tc>
          <w:tcPr>
            <w:tcW w:w="758" w:type="pct"/>
          </w:tcPr>
          <w:p w14:paraId="644A2EB6" w14:textId="7D7CF2F8" w:rsidR="0059763F" w:rsidRPr="007E61A0" w:rsidRDefault="0059763F" w:rsidP="00290375">
            <w:pPr>
              <w:pStyle w:val="In-tableHeading"/>
              <w:jc w:val="center"/>
              <w:rPr>
                <w:lang w:val="en-AU"/>
              </w:rPr>
            </w:pPr>
            <w:r w:rsidRPr="007E61A0">
              <w:rPr>
                <w:lang w:val="en-AU"/>
              </w:rPr>
              <w:t>Use in modelled evaluation</w:t>
            </w:r>
          </w:p>
        </w:tc>
      </w:tr>
      <w:tr w:rsidR="00534AF0" w:rsidRPr="007E61A0" w14:paraId="2A03CD4B" w14:textId="0CEEE40C" w:rsidTr="0059763F">
        <w:trPr>
          <w:cantSplit/>
        </w:trPr>
        <w:tc>
          <w:tcPr>
            <w:tcW w:w="5000" w:type="pct"/>
            <w:gridSpan w:val="7"/>
            <w:shd w:val="clear" w:color="auto" w:fill="auto"/>
            <w:vAlign w:val="center"/>
          </w:tcPr>
          <w:p w14:paraId="43AF515D" w14:textId="39A554C3" w:rsidR="0059763F" w:rsidRPr="007E61A0" w:rsidRDefault="0059763F" w:rsidP="00290375">
            <w:pPr>
              <w:pStyle w:val="In-tableHeading"/>
              <w:rPr>
                <w:lang w:val="en-AU"/>
              </w:rPr>
            </w:pPr>
            <w:r w:rsidRPr="007E61A0">
              <w:rPr>
                <w:lang w:val="en-AU"/>
              </w:rPr>
              <w:t>Deucravacitinib versus apremilast and versus placebo</w:t>
            </w:r>
          </w:p>
        </w:tc>
      </w:tr>
      <w:tr w:rsidR="00534AF0" w:rsidRPr="007E61A0" w14:paraId="4EE88DCB" w14:textId="37D12EAF" w:rsidTr="0059763F">
        <w:trPr>
          <w:cantSplit/>
        </w:trPr>
        <w:tc>
          <w:tcPr>
            <w:tcW w:w="568" w:type="pct"/>
            <w:shd w:val="clear" w:color="auto" w:fill="auto"/>
            <w:vAlign w:val="center"/>
          </w:tcPr>
          <w:p w14:paraId="6EE77D33" w14:textId="6CE50F95" w:rsidR="0059763F" w:rsidRPr="007E61A0" w:rsidRDefault="0059763F" w:rsidP="00290375">
            <w:pPr>
              <w:pStyle w:val="TableText0"/>
            </w:pPr>
            <w:r w:rsidRPr="007E61A0">
              <w:t>POETYK 1</w:t>
            </w:r>
          </w:p>
        </w:tc>
        <w:tc>
          <w:tcPr>
            <w:tcW w:w="369" w:type="pct"/>
            <w:shd w:val="clear" w:color="auto" w:fill="auto"/>
            <w:vAlign w:val="center"/>
          </w:tcPr>
          <w:p w14:paraId="41BB0E41" w14:textId="2E911CB4" w:rsidR="0059763F" w:rsidRPr="007E61A0" w:rsidRDefault="0059763F" w:rsidP="00290375">
            <w:pPr>
              <w:pStyle w:val="TableText0"/>
              <w:jc w:val="center"/>
            </w:pPr>
            <w:r w:rsidRPr="007E61A0">
              <w:t>666</w:t>
            </w:r>
          </w:p>
        </w:tc>
        <w:tc>
          <w:tcPr>
            <w:tcW w:w="495" w:type="pct"/>
            <w:shd w:val="clear" w:color="auto" w:fill="auto"/>
            <w:vAlign w:val="center"/>
          </w:tcPr>
          <w:p w14:paraId="401EAFDA" w14:textId="4D9BD23E" w:rsidR="0059763F" w:rsidRPr="007E61A0" w:rsidRDefault="0059763F" w:rsidP="00290375">
            <w:pPr>
              <w:pStyle w:val="TableText0"/>
            </w:pPr>
            <w:r w:rsidRPr="007E61A0">
              <w:t>MC, R, DB</w:t>
            </w:r>
          </w:p>
          <w:p w14:paraId="744D08AC" w14:textId="6EDF52F9" w:rsidR="0059763F" w:rsidRPr="007E61A0" w:rsidRDefault="0059763F" w:rsidP="00290375">
            <w:pPr>
              <w:pStyle w:val="TableText0"/>
            </w:pPr>
            <w:r w:rsidRPr="007E61A0">
              <w:t>52 wks.</w:t>
            </w:r>
          </w:p>
        </w:tc>
        <w:tc>
          <w:tcPr>
            <w:tcW w:w="374" w:type="pct"/>
            <w:shd w:val="clear" w:color="auto" w:fill="auto"/>
            <w:vAlign w:val="center"/>
          </w:tcPr>
          <w:p w14:paraId="4A529D74" w14:textId="77777777" w:rsidR="0059763F" w:rsidRPr="007E61A0" w:rsidRDefault="0059763F" w:rsidP="00290375">
            <w:pPr>
              <w:pStyle w:val="TableText0"/>
            </w:pPr>
            <w:r w:rsidRPr="007E61A0">
              <w:t>Low</w:t>
            </w:r>
          </w:p>
        </w:tc>
        <w:tc>
          <w:tcPr>
            <w:tcW w:w="1122" w:type="pct"/>
            <w:shd w:val="clear" w:color="auto" w:fill="auto"/>
            <w:vAlign w:val="center"/>
          </w:tcPr>
          <w:p w14:paraId="7E902F23" w14:textId="41C7835B" w:rsidR="0059763F" w:rsidRPr="007E61A0" w:rsidRDefault="0059763F" w:rsidP="00290375">
            <w:pPr>
              <w:pStyle w:val="TableText0"/>
            </w:pPr>
            <w:r w:rsidRPr="007E61A0">
              <w:t>Aged ≥ 18 years</w:t>
            </w:r>
            <w:r w:rsidR="004F01BD" w:rsidRPr="007E61A0">
              <w:t xml:space="preserve"> with</w:t>
            </w:r>
            <w:r w:rsidRPr="007E61A0">
              <w:t xml:space="preserve"> moderate-to-severe plaque psoriasis,</w:t>
            </w:r>
            <w:r w:rsidR="004F01BD" w:rsidRPr="007E61A0">
              <w:t xml:space="preserve"> defined as</w:t>
            </w:r>
            <w:r w:rsidRPr="007E61A0">
              <w:t xml:space="preserve"> </w:t>
            </w:r>
          </w:p>
          <w:p w14:paraId="27EA19BF" w14:textId="1E0714CD" w:rsidR="0059763F" w:rsidRPr="007E61A0" w:rsidRDefault="0059763F" w:rsidP="00290375">
            <w:pPr>
              <w:pStyle w:val="TableText0"/>
            </w:pPr>
            <w:r w:rsidRPr="007E61A0">
              <w:t>PASI ≥12</w:t>
            </w:r>
            <w:r w:rsidR="004F01BD" w:rsidRPr="007E61A0">
              <w:t xml:space="preserve"> AND</w:t>
            </w:r>
          </w:p>
          <w:p w14:paraId="030E805D" w14:textId="10B5AEAE" w:rsidR="0059763F" w:rsidRPr="007E61A0" w:rsidRDefault="0059763F" w:rsidP="00290375">
            <w:pPr>
              <w:pStyle w:val="TableText0"/>
            </w:pPr>
            <w:r w:rsidRPr="007E61A0">
              <w:t>sPGA ≥3</w:t>
            </w:r>
            <w:r w:rsidR="004F01BD" w:rsidRPr="007E61A0">
              <w:t xml:space="preserve"> AND</w:t>
            </w:r>
          </w:p>
          <w:p w14:paraId="5E6F456D" w14:textId="22CE1DD0" w:rsidR="0059763F" w:rsidRPr="007E61A0" w:rsidRDefault="0059763F" w:rsidP="00290375">
            <w:pPr>
              <w:pStyle w:val="TableText0"/>
            </w:pPr>
            <w:r w:rsidRPr="007E61A0">
              <w:t>BSA involvement ≥10%</w:t>
            </w:r>
            <w:r w:rsidR="004F01BD" w:rsidRPr="007E61A0">
              <w:t>.</w:t>
            </w:r>
          </w:p>
        </w:tc>
        <w:tc>
          <w:tcPr>
            <w:tcW w:w="1314" w:type="pct"/>
            <w:shd w:val="clear" w:color="auto" w:fill="auto"/>
            <w:vAlign w:val="center"/>
          </w:tcPr>
          <w:p w14:paraId="30C89F0D" w14:textId="6C1B6E94" w:rsidR="0059763F" w:rsidRPr="007E61A0" w:rsidRDefault="0059763F" w:rsidP="00290375">
            <w:pPr>
              <w:pStyle w:val="TableText0"/>
            </w:pPr>
            <w:r w:rsidRPr="007E61A0">
              <w:t xml:space="preserve">Co-1º: sPGA 0/1 response </w:t>
            </w:r>
            <w:r w:rsidRPr="007E61A0">
              <w:rPr>
                <w:vertAlign w:val="superscript"/>
              </w:rPr>
              <w:t>a</w:t>
            </w:r>
            <w:r w:rsidRPr="007E61A0">
              <w:t xml:space="preserve">,  </w:t>
            </w:r>
          </w:p>
          <w:p w14:paraId="1B8A7CC2" w14:textId="66FC524F" w:rsidR="0059763F" w:rsidRPr="007E61A0" w:rsidRDefault="0059763F" w:rsidP="00290375">
            <w:pPr>
              <w:pStyle w:val="TableText0"/>
            </w:pPr>
            <w:r w:rsidRPr="007E61A0">
              <w:t xml:space="preserve">PASI 75 response </w:t>
            </w:r>
            <w:r w:rsidRPr="007E61A0">
              <w:rPr>
                <w:vertAlign w:val="superscript"/>
              </w:rPr>
              <w:t>a</w:t>
            </w:r>
          </w:p>
          <w:p w14:paraId="2AE0D972" w14:textId="2EBA7E11" w:rsidR="0059763F" w:rsidRPr="007E61A0" w:rsidRDefault="0059763F" w:rsidP="00290375">
            <w:pPr>
              <w:pStyle w:val="TableText0"/>
            </w:pPr>
            <w:r w:rsidRPr="007E61A0">
              <w:t xml:space="preserve">2º: sPGA 0/1 response </w:t>
            </w:r>
            <w:r w:rsidRPr="007E61A0">
              <w:rPr>
                <w:vertAlign w:val="superscript"/>
              </w:rPr>
              <w:t>b</w:t>
            </w:r>
            <w:r w:rsidRPr="007E61A0">
              <w:t xml:space="preserve">, </w:t>
            </w:r>
          </w:p>
          <w:p w14:paraId="0F02C262" w14:textId="28D4918B" w:rsidR="0059763F" w:rsidRPr="007E61A0" w:rsidRDefault="0059763F" w:rsidP="00290375">
            <w:pPr>
              <w:pStyle w:val="TableText0"/>
            </w:pPr>
            <w:r w:rsidRPr="007E61A0">
              <w:t xml:space="preserve">PASI 75 response </w:t>
            </w:r>
            <w:r w:rsidRPr="007E61A0">
              <w:rPr>
                <w:vertAlign w:val="superscript"/>
              </w:rPr>
              <w:t>b</w:t>
            </w:r>
            <w:r w:rsidRPr="007E61A0">
              <w:t>,</w:t>
            </w:r>
          </w:p>
          <w:p w14:paraId="20190265" w14:textId="710D6F3E" w:rsidR="0059763F" w:rsidRPr="007E61A0" w:rsidRDefault="0059763F" w:rsidP="00290375">
            <w:pPr>
              <w:pStyle w:val="TableText0"/>
            </w:pPr>
            <w:r w:rsidRPr="007E61A0">
              <w:t xml:space="preserve">sPGA 0 response </w:t>
            </w:r>
            <w:r w:rsidRPr="007E61A0">
              <w:rPr>
                <w:vertAlign w:val="superscript"/>
              </w:rPr>
              <w:t xml:space="preserve">a, </w:t>
            </w:r>
            <w:r w:rsidR="00D67EE3" w:rsidRPr="007E61A0">
              <w:rPr>
                <w:vertAlign w:val="superscript"/>
              </w:rPr>
              <w:t>b</w:t>
            </w:r>
            <w:r w:rsidRPr="007E61A0">
              <w:t>,</w:t>
            </w:r>
          </w:p>
          <w:p w14:paraId="77E7E684" w14:textId="2B3EB244" w:rsidR="0059763F" w:rsidRPr="007E61A0" w:rsidRDefault="0059763F" w:rsidP="00290375">
            <w:pPr>
              <w:pStyle w:val="TableText0"/>
            </w:pPr>
            <w:r w:rsidRPr="007E61A0">
              <w:t>PASI 90 response</w:t>
            </w:r>
            <w:r w:rsidRPr="007E61A0">
              <w:rPr>
                <w:vertAlign w:val="superscript"/>
              </w:rPr>
              <w:t xml:space="preserve"> a, </w:t>
            </w:r>
            <w:r w:rsidR="00D67EE3" w:rsidRPr="007E61A0">
              <w:rPr>
                <w:vertAlign w:val="superscript"/>
              </w:rPr>
              <w:t>b</w:t>
            </w:r>
            <w:r w:rsidRPr="007E61A0">
              <w:t>,</w:t>
            </w:r>
          </w:p>
          <w:p w14:paraId="45AD03CD" w14:textId="7FB676CE" w:rsidR="0059763F" w:rsidRPr="007E61A0" w:rsidRDefault="0059763F" w:rsidP="00290375">
            <w:pPr>
              <w:pStyle w:val="TableText0"/>
            </w:pPr>
            <w:r w:rsidRPr="007E61A0">
              <w:t>PASI 100 response</w:t>
            </w:r>
            <w:r w:rsidRPr="007E61A0">
              <w:rPr>
                <w:vertAlign w:val="superscript"/>
              </w:rPr>
              <w:t xml:space="preserve"> a, </w:t>
            </w:r>
            <w:r w:rsidR="00D67EE3" w:rsidRPr="007E61A0">
              <w:rPr>
                <w:vertAlign w:val="superscript"/>
              </w:rPr>
              <w:t>b</w:t>
            </w:r>
            <w:r w:rsidRPr="007E61A0">
              <w:t>,</w:t>
            </w:r>
          </w:p>
          <w:p w14:paraId="150A804C" w14:textId="15F8B9E5" w:rsidR="0059763F" w:rsidRPr="007E61A0" w:rsidRDefault="0059763F" w:rsidP="00290375">
            <w:pPr>
              <w:pStyle w:val="TableText0"/>
            </w:pPr>
            <w:r w:rsidRPr="007E61A0">
              <w:t>DLQI 0/1 score</w:t>
            </w:r>
            <w:r w:rsidRPr="007E61A0">
              <w:rPr>
                <w:vertAlign w:val="superscript"/>
              </w:rPr>
              <w:t xml:space="preserve"> a, </w:t>
            </w:r>
            <w:r w:rsidR="0098133F" w:rsidRPr="007E61A0">
              <w:rPr>
                <w:vertAlign w:val="superscript"/>
              </w:rPr>
              <w:t>b</w:t>
            </w:r>
            <w:r w:rsidRPr="007E61A0">
              <w:t>.</w:t>
            </w:r>
          </w:p>
        </w:tc>
        <w:tc>
          <w:tcPr>
            <w:tcW w:w="758" w:type="pct"/>
          </w:tcPr>
          <w:p w14:paraId="6EF8B781" w14:textId="36D4E8E4" w:rsidR="0059763F" w:rsidRPr="007E61A0" w:rsidRDefault="0059763F" w:rsidP="00290375">
            <w:pPr>
              <w:pStyle w:val="TableText0"/>
            </w:pPr>
            <w:r w:rsidRPr="007E61A0">
              <w:t>Used – IPD</w:t>
            </w:r>
          </w:p>
        </w:tc>
      </w:tr>
      <w:tr w:rsidR="00534AF0" w:rsidRPr="007E61A0" w14:paraId="13A6895C" w14:textId="56A4B816" w:rsidTr="0059763F">
        <w:trPr>
          <w:cantSplit/>
        </w:trPr>
        <w:tc>
          <w:tcPr>
            <w:tcW w:w="568" w:type="pct"/>
            <w:shd w:val="clear" w:color="auto" w:fill="auto"/>
            <w:vAlign w:val="center"/>
          </w:tcPr>
          <w:p w14:paraId="4A9488B3" w14:textId="4A830997" w:rsidR="0059763F" w:rsidRPr="007E61A0" w:rsidRDefault="0059763F" w:rsidP="00290375">
            <w:pPr>
              <w:pStyle w:val="TableText0"/>
            </w:pPr>
            <w:r w:rsidRPr="007E61A0">
              <w:t>POETYK 2</w:t>
            </w:r>
          </w:p>
        </w:tc>
        <w:tc>
          <w:tcPr>
            <w:tcW w:w="369" w:type="pct"/>
            <w:shd w:val="clear" w:color="auto" w:fill="auto"/>
            <w:vAlign w:val="center"/>
          </w:tcPr>
          <w:p w14:paraId="3F4D20B5" w14:textId="45B3A1CD" w:rsidR="0059763F" w:rsidRPr="007E61A0" w:rsidRDefault="0059763F" w:rsidP="00290375">
            <w:pPr>
              <w:pStyle w:val="TableText0"/>
              <w:jc w:val="center"/>
            </w:pPr>
            <w:r w:rsidRPr="007E61A0">
              <w:t>1,020</w:t>
            </w:r>
          </w:p>
        </w:tc>
        <w:tc>
          <w:tcPr>
            <w:tcW w:w="495" w:type="pct"/>
            <w:shd w:val="clear" w:color="auto" w:fill="auto"/>
            <w:vAlign w:val="center"/>
          </w:tcPr>
          <w:p w14:paraId="62196A4A" w14:textId="77777777" w:rsidR="0059763F" w:rsidRPr="007E61A0" w:rsidRDefault="0059763F" w:rsidP="00290375">
            <w:pPr>
              <w:pStyle w:val="TableText0"/>
            </w:pPr>
            <w:r w:rsidRPr="007E61A0">
              <w:t>MC, R, DB</w:t>
            </w:r>
          </w:p>
          <w:p w14:paraId="68D92FE7" w14:textId="087F1D36" w:rsidR="0059763F" w:rsidRPr="007E61A0" w:rsidRDefault="0059763F" w:rsidP="00290375">
            <w:pPr>
              <w:pStyle w:val="TableText0"/>
            </w:pPr>
            <w:r w:rsidRPr="007E61A0">
              <w:t>52 wks.</w:t>
            </w:r>
          </w:p>
        </w:tc>
        <w:tc>
          <w:tcPr>
            <w:tcW w:w="374" w:type="pct"/>
            <w:shd w:val="clear" w:color="auto" w:fill="auto"/>
            <w:vAlign w:val="center"/>
          </w:tcPr>
          <w:p w14:paraId="6F0F93F8" w14:textId="554C94D3" w:rsidR="0059763F" w:rsidRPr="007E61A0" w:rsidRDefault="0059763F" w:rsidP="00290375">
            <w:pPr>
              <w:pStyle w:val="TableText0"/>
            </w:pPr>
            <w:r w:rsidRPr="007E61A0">
              <w:t>Low</w:t>
            </w:r>
          </w:p>
        </w:tc>
        <w:tc>
          <w:tcPr>
            <w:tcW w:w="1122" w:type="pct"/>
            <w:shd w:val="clear" w:color="auto" w:fill="auto"/>
            <w:vAlign w:val="center"/>
          </w:tcPr>
          <w:p w14:paraId="29D0F59A" w14:textId="24FAF126" w:rsidR="0059763F" w:rsidRPr="007E61A0" w:rsidRDefault="0059763F" w:rsidP="00290375">
            <w:pPr>
              <w:pStyle w:val="TableText0"/>
            </w:pPr>
            <w:r w:rsidRPr="007E61A0">
              <w:t>Aged ≥ 18 years</w:t>
            </w:r>
            <w:r w:rsidR="004F01BD" w:rsidRPr="007E61A0">
              <w:t xml:space="preserve"> with</w:t>
            </w:r>
            <w:r w:rsidRPr="007E61A0">
              <w:t xml:space="preserve"> moderate-to-severe plaque psoriasis, </w:t>
            </w:r>
            <w:r w:rsidR="004F01BD" w:rsidRPr="007E61A0">
              <w:t>defined as</w:t>
            </w:r>
          </w:p>
          <w:p w14:paraId="506AE80A" w14:textId="4A021186" w:rsidR="0059763F" w:rsidRPr="007E61A0" w:rsidRDefault="0059763F" w:rsidP="00290375">
            <w:pPr>
              <w:pStyle w:val="TableText0"/>
            </w:pPr>
            <w:r w:rsidRPr="007E61A0">
              <w:t>PASI ≥12</w:t>
            </w:r>
            <w:r w:rsidR="004F01BD" w:rsidRPr="007E61A0">
              <w:t xml:space="preserve"> AND</w:t>
            </w:r>
          </w:p>
          <w:p w14:paraId="3054B255" w14:textId="4C672FE6" w:rsidR="0059763F" w:rsidRPr="007E61A0" w:rsidRDefault="0059763F" w:rsidP="00290375">
            <w:pPr>
              <w:pStyle w:val="TableText0"/>
            </w:pPr>
            <w:r w:rsidRPr="007E61A0">
              <w:t>sPGA ≥3</w:t>
            </w:r>
            <w:r w:rsidR="004F01BD" w:rsidRPr="007E61A0">
              <w:t xml:space="preserve"> AND</w:t>
            </w:r>
          </w:p>
          <w:p w14:paraId="43AC963E" w14:textId="0ADE5F72" w:rsidR="0059763F" w:rsidRPr="007E61A0" w:rsidRDefault="0059763F" w:rsidP="00290375">
            <w:pPr>
              <w:pStyle w:val="TableText0"/>
            </w:pPr>
            <w:r w:rsidRPr="007E61A0">
              <w:t>BSA involvement ≥10%</w:t>
            </w:r>
            <w:r w:rsidR="004F01BD" w:rsidRPr="007E61A0">
              <w:t>.</w:t>
            </w:r>
          </w:p>
        </w:tc>
        <w:tc>
          <w:tcPr>
            <w:tcW w:w="1314" w:type="pct"/>
            <w:shd w:val="clear" w:color="auto" w:fill="auto"/>
            <w:vAlign w:val="center"/>
          </w:tcPr>
          <w:p w14:paraId="3F12C887" w14:textId="73A5A659" w:rsidR="0059763F" w:rsidRPr="007E61A0" w:rsidRDefault="0059763F" w:rsidP="00290375">
            <w:pPr>
              <w:pStyle w:val="TableText0"/>
            </w:pPr>
            <w:r w:rsidRPr="007E61A0">
              <w:t xml:space="preserve">Co-1º: sPGA 0/1 response </w:t>
            </w:r>
            <w:r w:rsidRPr="007E61A0">
              <w:rPr>
                <w:vertAlign w:val="superscript"/>
              </w:rPr>
              <w:t>a</w:t>
            </w:r>
            <w:r w:rsidRPr="007E61A0">
              <w:t xml:space="preserve">,  </w:t>
            </w:r>
          </w:p>
          <w:p w14:paraId="4EA3CB6B" w14:textId="4E7E743E" w:rsidR="0059763F" w:rsidRPr="007E61A0" w:rsidRDefault="0059763F" w:rsidP="00290375">
            <w:pPr>
              <w:pStyle w:val="TableText0"/>
            </w:pPr>
            <w:r w:rsidRPr="007E61A0">
              <w:t xml:space="preserve">PASI 75 response </w:t>
            </w:r>
            <w:r w:rsidRPr="007E61A0">
              <w:rPr>
                <w:vertAlign w:val="superscript"/>
              </w:rPr>
              <w:t>a</w:t>
            </w:r>
          </w:p>
          <w:p w14:paraId="7CBFA2AE" w14:textId="773F2E13" w:rsidR="0059763F" w:rsidRPr="007E61A0" w:rsidRDefault="0059763F" w:rsidP="00290375">
            <w:pPr>
              <w:pStyle w:val="TableText0"/>
            </w:pPr>
            <w:r w:rsidRPr="007E61A0">
              <w:t xml:space="preserve">2º: sPGA 0/1 response </w:t>
            </w:r>
            <w:r w:rsidRPr="007E61A0">
              <w:rPr>
                <w:vertAlign w:val="superscript"/>
              </w:rPr>
              <w:t>c</w:t>
            </w:r>
            <w:r w:rsidRPr="007E61A0">
              <w:t xml:space="preserve">, </w:t>
            </w:r>
          </w:p>
          <w:p w14:paraId="5ED0F31B" w14:textId="52A145AD" w:rsidR="0059763F" w:rsidRPr="007E61A0" w:rsidRDefault="0059763F" w:rsidP="00290375">
            <w:pPr>
              <w:pStyle w:val="TableText0"/>
            </w:pPr>
            <w:r w:rsidRPr="007E61A0">
              <w:t>PASI 75 response</w:t>
            </w:r>
            <w:r w:rsidRPr="007E61A0">
              <w:rPr>
                <w:vertAlign w:val="superscript"/>
              </w:rPr>
              <w:t xml:space="preserve"> c</w:t>
            </w:r>
            <w:r w:rsidRPr="007E61A0">
              <w:t>,</w:t>
            </w:r>
          </w:p>
          <w:p w14:paraId="5BC7181F" w14:textId="0AFA4CEC" w:rsidR="0059763F" w:rsidRPr="007E61A0" w:rsidRDefault="0059763F" w:rsidP="00290375">
            <w:pPr>
              <w:pStyle w:val="TableText0"/>
            </w:pPr>
            <w:r w:rsidRPr="007E61A0">
              <w:t xml:space="preserve">sPGA 0 response </w:t>
            </w:r>
            <w:r w:rsidRPr="007E61A0">
              <w:rPr>
                <w:vertAlign w:val="superscript"/>
              </w:rPr>
              <w:t>a, c</w:t>
            </w:r>
            <w:r w:rsidRPr="007E61A0">
              <w:t>,</w:t>
            </w:r>
          </w:p>
          <w:p w14:paraId="110B436E" w14:textId="4FDFCA73" w:rsidR="0059763F" w:rsidRPr="007E61A0" w:rsidRDefault="0059763F" w:rsidP="00290375">
            <w:pPr>
              <w:pStyle w:val="TableText0"/>
            </w:pPr>
            <w:r w:rsidRPr="007E61A0">
              <w:t>PASI 90 response</w:t>
            </w:r>
            <w:r w:rsidRPr="007E61A0">
              <w:rPr>
                <w:vertAlign w:val="superscript"/>
              </w:rPr>
              <w:t xml:space="preserve"> a, c</w:t>
            </w:r>
            <w:r w:rsidRPr="007E61A0">
              <w:t>,</w:t>
            </w:r>
          </w:p>
          <w:p w14:paraId="7908E7F8" w14:textId="3BC9ED71" w:rsidR="0059763F" w:rsidRPr="007E61A0" w:rsidRDefault="0059763F" w:rsidP="00290375">
            <w:pPr>
              <w:pStyle w:val="TableText0"/>
            </w:pPr>
            <w:r w:rsidRPr="007E61A0">
              <w:t xml:space="preserve">PASI 100 response </w:t>
            </w:r>
            <w:r w:rsidRPr="007E61A0">
              <w:rPr>
                <w:vertAlign w:val="superscript"/>
              </w:rPr>
              <w:t>a, c</w:t>
            </w:r>
            <w:r w:rsidRPr="007E61A0">
              <w:t>,</w:t>
            </w:r>
          </w:p>
          <w:p w14:paraId="3175EA34" w14:textId="6D477BD4" w:rsidR="0059763F" w:rsidRPr="007E61A0" w:rsidRDefault="0059763F" w:rsidP="00290375">
            <w:pPr>
              <w:pStyle w:val="TableText0"/>
            </w:pPr>
            <w:r w:rsidRPr="007E61A0">
              <w:t>DLQI 0/1 score</w:t>
            </w:r>
            <w:r w:rsidRPr="007E61A0">
              <w:rPr>
                <w:vertAlign w:val="superscript"/>
              </w:rPr>
              <w:t xml:space="preserve"> a, c</w:t>
            </w:r>
            <w:r w:rsidRPr="007E61A0">
              <w:t>.</w:t>
            </w:r>
          </w:p>
        </w:tc>
        <w:tc>
          <w:tcPr>
            <w:tcW w:w="758" w:type="pct"/>
          </w:tcPr>
          <w:p w14:paraId="08371750" w14:textId="33843A6A" w:rsidR="0059763F" w:rsidRPr="007E61A0" w:rsidRDefault="0059763F" w:rsidP="00290375">
            <w:pPr>
              <w:pStyle w:val="TableText0"/>
            </w:pPr>
            <w:r w:rsidRPr="007E61A0">
              <w:t>Used – IPD</w:t>
            </w:r>
          </w:p>
        </w:tc>
      </w:tr>
      <w:tr w:rsidR="00534AF0" w:rsidRPr="007E61A0" w14:paraId="0F9290DD" w14:textId="4485FA14" w:rsidTr="0059763F">
        <w:trPr>
          <w:cantSplit/>
        </w:trPr>
        <w:tc>
          <w:tcPr>
            <w:tcW w:w="568" w:type="pct"/>
            <w:shd w:val="clear" w:color="auto" w:fill="auto"/>
            <w:vAlign w:val="center"/>
          </w:tcPr>
          <w:p w14:paraId="07CD5136" w14:textId="77777777" w:rsidR="0059763F" w:rsidRPr="007E61A0" w:rsidRDefault="0059763F" w:rsidP="00290375">
            <w:pPr>
              <w:pStyle w:val="TableText0"/>
            </w:pPr>
            <w:r w:rsidRPr="007E61A0">
              <w:t>Meta-analysis</w:t>
            </w:r>
          </w:p>
        </w:tc>
        <w:tc>
          <w:tcPr>
            <w:tcW w:w="369" w:type="pct"/>
            <w:shd w:val="clear" w:color="auto" w:fill="auto"/>
            <w:vAlign w:val="center"/>
          </w:tcPr>
          <w:p w14:paraId="6AB142BB" w14:textId="2DC82298" w:rsidR="0059763F" w:rsidRPr="007E61A0" w:rsidRDefault="0059763F" w:rsidP="00290375">
            <w:pPr>
              <w:pStyle w:val="TableText0"/>
              <w:jc w:val="center"/>
            </w:pPr>
            <w:r w:rsidRPr="007E61A0">
              <w:t>1,686</w:t>
            </w:r>
          </w:p>
        </w:tc>
        <w:tc>
          <w:tcPr>
            <w:tcW w:w="3305" w:type="pct"/>
            <w:gridSpan w:val="4"/>
            <w:shd w:val="clear" w:color="auto" w:fill="auto"/>
            <w:vAlign w:val="bottom"/>
          </w:tcPr>
          <w:p w14:paraId="6E5A0C30" w14:textId="70CBE5C9" w:rsidR="0059763F" w:rsidRPr="007E61A0" w:rsidRDefault="0059763F" w:rsidP="00290375">
            <w:pPr>
              <w:pStyle w:val="TableText0"/>
            </w:pPr>
            <w:r w:rsidRPr="007E61A0">
              <w:t>Included POETYK 1 and POETYK 2; subgroup analysis using baseline PASI score assessed PASI 75, 90 and 100 response; subgroup analysis using prior non-biologic systemic therapy assessed PASI 75 response.</w:t>
            </w:r>
          </w:p>
        </w:tc>
        <w:tc>
          <w:tcPr>
            <w:tcW w:w="758" w:type="pct"/>
          </w:tcPr>
          <w:p w14:paraId="62D7BCF0" w14:textId="4A98C73D" w:rsidR="0059763F" w:rsidRPr="007E61A0" w:rsidRDefault="0059763F" w:rsidP="00290375">
            <w:pPr>
              <w:pStyle w:val="TableText0"/>
            </w:pPr>
            <w:r w:rsidRPr="007E61A0">
              <w:t>Not used</w:t>
            </w:r>
          </w:p>
        </w:tc>
      </w:tr>
    </w:tbl>
    <w:p w14:paraId="560080D2" w14:textId="58FA405B" w:rsidR="00045017" w:rsidRPr="007E61A0" w:rsidRDefault="00045017" w:rsidP="00290375">
      <w:pPr>
        <w:pStyle w:val="FooterTableFigure"/>
        <w:keepNext/>
      </w:pPr>
      <w:r w:rsidRPr="007E61A0">
        <w:t>Source: Table</w:t>
      </w:r>
      <w:r w:rsidR="00A0610A" w:rsidRPr="007E61A0">
        <w:t>s 15</w:t>
      </w:r>
      <w:r w:rsidR="00F400F7" w:rsidRPr="007E61A0">
        <w:t>,</w:t>
      </w:r>
      <w:r w:rsidR="00A0610A" w:rsidRPr="007E61A0">
        <w:t xml:space="preserve"> 18</w:t>
      </w:r>
      <w:r w:rsidR="00F400F7" w:rsidRPr="007E61A0">
        <w:t xml:space="preserve"> &amp; 19</w:t>
      </w:r>
      <w:r w:rsidRPr="007E61A0">
        <w:t>, p</w:t>
      </w:r>
      <w:r w:rsidR="00A0610A" w:rsidRPr="007E61A0">
        <w:t>p39</w:t>
      </w:r>
      <w:r w:rsidR="00F400F7" w:rsidRPr="007E61A0">
        <w:t>,</w:t>
      </w:r>
      <w:r w:rsidR="00A0610A" w:rsidRPr="007E61A0">
        <w:t xml:space="preserve"> 45</w:t>
      </w:r>
      <w:r w:rsidR="00F400F7" w:rsidRPr="007E61A0">
        <w:t xml:space="preserve"> &amp; 49-50</w:t>
      </w:r>
      <w:r w:rsidRPr="007E61A0">
        <w:t xml:space="preserve"> of the submission.</w:t>
      </w:r>
      <w:r w:rsidR="003D0D44" w:rsidRPr="007E61A0">
        <w:t xml:space="preserve"> </w:t>
      </w:r>
      <w:r w:rsidR="004B1236" w:rsidRPr="007E61A0">
        <w:t>Table 3.5-1, pp38-41 of the POETYK 1 CSR, Table 3.5-1, pp</w:t>
      </w:r>
      <w:r w:rsidR="00D67EE3" w:rsidRPr="007E61A0">
        <w:t xml:space="preserve">46-49 of the POETYK 2 CSR. </w:t>
      </w:r>
    </w:p>
    <w:p w14:paraId="1095487C" w14:textId="29B946AD" w:rsidR="00620C25" w:rsidRPr="007E61A0" w:rsidRDefault="007A6794" w:rsidP="00290375">
      <w:pPr>
        <w:pStyle w:val="FooterTableFigure"/>
        <w:keepNext/>
      </w:pPr>
      <w:r w:rsidRPr="007E61A0">
        <w:t xml:space="preserve">Co-1º = co-primary; 2º = secondary; BSA = body surface area; </w:t>
      </w:r>
      <w:r w:rsidR="00620C25" w:rsidRPr="007E61A0">
        <w:t>DB = double blind;</w:t>
      </w:r>
      <w:r w:rsidRPr="007E61A0">
        <w:t xml:space="preserve"> DLQI = dermatology life quality index;</w:t>
      </w:r>
      <w:r w:rsidR="00984997" w:rsidRPr="007E61A0">
        <w:t xml:space="preserve"> IPD = individual patient data;</w:t>
      </w:r>
      <w:r w:rsidR="00620C25" w:rsidRPr="007E61A0">
        <w:t xml:space="preserve"> MC = multi-centre;</w:t>
      </w:r>
      <w:r w:rsidRPr="007E61A0">
        <w:t xml:space="preserve"> PASI = Psoriasis Area and Severity Index; </w:t>
      </w:r>
      <w:r w:rsidR="00620C25" w:rsidRPr="007E61A0">
        <w:t>R = randomised</w:t>
      </w:r>
      <w:r w:rsidRPr="007E61A0">
        <w:t>; sPGA = static Physician’s Global Assessment</w:t>
      </w:r>
      <w:r w:rsidR="00F770D1" w:rsidRPr="007E61A0">
        <w:t>; wks. = weeks</w:t>
      </w:r>
      <w:r w:rsidRPr="007E61A0">
        <w:t>.</w:t>
      </w:r>
    </w:p>
    <w:p w14:paraId="4303999F" w14:textId="48C505A1" w:rsidR="007A6794" w:rsidRPr="007E61A0" w:rsidRDefault="007A6794" w:rsidP="00290375">
      <w:pPr>
        <w:pStyle w:val="FooterTableFigure"/>
        <w:keepNext/>
      </w:pPr>
      <w:r w:rsidRPr="007E61A0">
        <w:rPr>
          <w:vertAlign w:val="superscript"/>
        </w:rPr>
        <w:t>a</w:t>
      </w:r>
      <w:r w:rsidRPr="007E61A0">
        <w:t xml:space="preserve"> Versus placebo at </w:t>
      </w:r>
      <w:r w:rsidR="00EE45CB" w:rsidRPr="007E61A0">
        <w:t xml:space="preserve">week </w:t>
      </w:r>
      <w:r w:rsidRPr="007E61A0">
        <w:t>16</w:t>
      </w:r>
      <w:r w:rsidR="00EE45CB" w:rsidRPr="007E61A0">
        <w:t>.</w:t>
      </w:r>
    </w:p>
    <w:p w14:paraId="6F873FE5" w14:textId="028E8F19" w:rsidR="007A6794" w:rsidRPr="007E61A0" w:rsidRDefault="007A6794" w:rsidP="00290375">
      <w:pPr>
        <w:pStyle w:val="FooterTableFigure"/>
        <w:keepNext/>
      </w:pPr>
      <w:r w:rsidRPr="007E61A0">
        <w:rPr>
          <w:vertAlign w:val="superscript"/>
        </w:rPr>
        <w:t>b</w:t>
      </w:r>
      <w:r w:rsidRPr="007E61A0">
        <w:t xml:space="preserve"> Versus apremilast at </w:t>
      </w:r>
      <w:r w:rsidR="00EE45CB" w:rsidRPr="007E61A0">
        <w:t>weeks 16, 24, and 52</w:t>
      </w:r>
      <w:r w:rsidR="000803B4" w:rsidRPr="007E61A0">
        <w:t>.</w:t>
      </w:r>
    </w:p>
    <w:p w14:paraId="772022F4" w14:textId="43ADEDF4" w:rsidR="00EE45CB" w:rsidRPr="007E61A0" w:rsidRDefault="00EE45CB" w:rsidP="00290375">
      <w:pPr>
        <w:pStyle w:val="FooterTableFigure"/>
        <w:keepNext/>
      </w:pPr>
      <w:r w:rsidRPr="007E61A0">
        <w:rPr>
          <w:vertAlign w:val="superscript"/>
        </w:rPr>
        <w:t>c</w:t>
      </w:r>
      <w:r w:rsidRPr="007E61A0">
        <w:t xml:space="preserve"> Versus apremilast at weeks 16 &amp; 24</w:t>
      </w:r>
      <w:r w:rsidR="0098133F" w:rsidRPr="007E61A0">
        <w:t xml:space="preserve">. </w:t>
      </w:r>
    </w:p>
    <w:p w14:paraId="57641113" w14:textId="7D4D8686" w:rsidR="00626504" w:rsidRPr="007E61A0" w:rsidRDefault="00626504" w:rsidP="00EC5836">
      <w:pPr>
        <w:pStyle w:val="3-BodyText"/>
      </w:pPr>
      <w:r w:rsidRPr="007E61A0">
        <w:t>The co-primary efficacy endpoints in both trials compare</w:t>
      </w:r>
      <w:r w:rsidR="009D4020" w:rsidRPr="007E61A0">
        <w:t>d</w:t>
      </w:r>
      <w:r w:rsidRPr="007E61A0">
        <w:t xml:space="preserve"> deucravacitinib with placebo, not apremilast. The</w:t>
      </w:r>
      <w:r w:rsidR="00392AF1" w:rsidRPr="007E61A0">
        <w:t xml:space="preserve"> comparative effectiveness of deucravacitinib and apremilast </w:t>
      </w:r>
      <w:r w:rsidR="009D4020" w:rsidRPr="007E61A0">
        <w:t>wa</w:t>
      </w:r>
      <w:r w:rsidR="00392AF1" w:rsidRPr="007E61A0">
        <w:t>s based on secondary outcomes in the POETYK 1 and POETYK 2 trials.</w:t>
      </w:r>
    </w:p>
    <w:p w14:paraId="0029EC66" w14:textId="3552D0FD" w:rsidR="002F46AB" w:rsidRPr="007E61A0" w:rsidRDefault="002F46AB" w:rsidP="002F46AB">
      <w:pPr>
        <w:pStyle w:val="3-BodyText"/>
      </w:pPr>
      <w:r w:rsidRPr="007E61A0">
        <w:t xml:space="preserve">The sPGA score is a 5-point scale of an average assessment of all psoriasis lesions based on erythema, scaling, and induration. The sPGA score determines psoriasis severity by allocating patents to categories: clear (0), almost clear (1), mild (2), moderate (3), or severe (4). An </w:t>
      </w:r>
      <w:r w:rsidR="00C1587A" w:rsidRPr="007E61A0">
        <w:t>s</w:t>
      </w:r>
      <w:r w:rsidRPr="007E61A0">
        <w:t>PGA 0/1 response is defined as an sPGA score of 0 or 1 in subjects with ≥ 2-point improvement from baseline.</w:t>
      </w:r>
    </w:p>
    <w:p w14:paraId="635EA679" w14:textId="77777777" w:rsidR="002F46AB" w:rsidRPr="007E61A0" w:rsidRDefault="002F46AB" w:rsidP="002F46AB">
      <w:pPr>
        <w:pStyle w:val="3-BodyText"/>
      </w:pPr>
      <w:r w:rsidRPr="007E61A0">
        <w:t>PASI refers to the average redness, thickness, and scaliness of psoriasis skin lesions, graded on a scale from 0-4 and weighted by the area of involvement. The PASI measure produces a score from 0-72, with higher scores indicating greater disease severity. PASI 75 refers to the proportion of patients who experienced at least a 75% improvement in PASI score since baseline, which allows the assessment of patients’ response to treatment.</w:t>
      </w:r>
    </w:p>
    <w:p w14:paraId="7B5AFC9F" w14:textId="0A0F6562" w:rsidR="006F066A" w:rsidRPr="007E61A0" w:rsidRDefault="006F066A" w:rsidP="00EC5836">
      <w:pPr>
        <w:pStyle w:val="3-BodyText"/>
        <w:rPr>
          <w:color w:val="0066FF"/>
        </w:rPr>
      </w:pPr>
      <w:r w:rsidRPr="007E61A0">
        <w:t xml:space="preserve">The study design </w:t>
      </w:r>
      <w:r w:rsidR="009D4020" w:rsidRPr="007E61A0">
        <w:t>for</w:t>
      </w:r>
      <w:r w:rsidRPr="007E61A0">
        <w:t xml:space="preserve"> both trials included treatment switching after week 16, some of which was based on treatment response. The POETYK 2 trial also included treatment withdrawal</w:t>
      </w:r>
      <w:r w:rsidR="006F3E7A" w:rsidRPr="007E61A0">
        <w:t xml:space="preserve"> after week 24 in some treatment arms</w:t>
      </w:r>
      <w:r w:rsidRPr="007E61A0">
        <w:t xml:space="preserve">. </w:t>
      </w:r>
      <w:r w:rsidR="00F47654" w:rsidRPr="007E61A0">
        <w:t>Although</w:t>
      </w:r>
      <w:r w:rsidRPr="007E61A0">
        <w:t xml:space="preserve"> the trials had a duration </w:t>
      </w:r>
      <w:r w:rsidRPr="007E61A0">
        <w:lastRenderedPageBreak/>
        <w:t>of 52 weeks</w:t>
      </w:r>
      <w:r w:rsidR="00F47654" w:rsidRPr="007E61A0">
        <w:t>,</w:t>
      </w:r>
      <w:r w:rsidRPr="007E61A0">
        <w:t xml:space="preserve"> the comparative evidence is limited to 16 weeks v</w:t>
      </w:r>
      <w:r w:rsidR="00F47654" w:rsidRPr="007E61A0">
        <w:t>ersus</w:t>
      </w:r>
      <w:r w:rsidRPr="007E61A0">
        <w:t xml:space="preserve"> placebo and 24 weeks v</w:t>
      </w:r>
      <w:r w:rsidR="00F47654" w:rsidRPr="007E61A0">
        <w:t>ersus</w:t>
      </w:r>
      <w:r w:rsidRPr="007E61A0">
        <w:t xml:space="preserve"> apremilast. </w:t>
      </w:r>
      <w:bookmarkStart w:id="25" w:name="_Hlk111081596"/>
      <w:r w:rsidRPr="007E61A0">
        <w:t>The comparative evidence presented is short relative to the chronic nature of s</w:t>
      </w:r>
      <w:r w:rsidR="000A5852" w:rsidRPr="007E61A0">
        <w:t>evere CPP</w:t>
      </w:r>
      <w:r w:rsidRPr="007E61A0">
        <w:t>. However, the duration of treatment/efficacy assessment is similar to that presented for apremilast in s</w:t>
      </w:r>
      <w:r w:rsidR="000A5852" w:rsidRPr="007E61A0">
        <w:t xml:space="preserve">evere </w:t>
      </w:r>
      <w:r w:rsidRPr="007E61A0">
        <w:t>CPP (</w:t>
      </w:r>
      <w:r w:rsidR="006F3E7A" w:rsidRPr="007E61A0">
        <w:t>paragraph 6.</w:t>
      </w:r>
      <w:r w:rsidR="00745162" w:rsidRPr="007E61A0">
        <w:t>5</w:t>
      </w:r>
      <w:r w:rsidRPr="007E61A0">
        <w:t>,</w:t>
      </w:r>
      <w:r w:rsidR="0015530D" w:rsidRPr="007E61A0">
        <w:t xml:space="preserve"> apremilast</w:t>
      </w:r>
      <w:r w:rsidR="00C7349A" w:rsidRPr="007E61A0">
        <w:t xml:space="preserve"> </w:t>
      </w:r>
      <w:r w:rsidR="000D29D4" w:rsidRPr="007E61A0">
        <w:t>PSD</w:t>
      </w:r>
      <w:r w:rsidR="0015530D" w:rsidRPr="007E61A0">
        <w:t>,</w:t>
      </w:r>
      <w:r w:rsidRPr="007E61A0">
        <w:t xml:space="preserve"> March 2015</w:t>
      </w:r>
      <w:r w:rsidR="0015530D" w:rsidRPr="007E61A0">
        <w:t xml:space="preserve"> PBAC meeting;</w:t>
      </w:r>
      <w:r w:rsidRPr="007E61A0">
        <w:t xml:space="preserve"> </w:t>
      </w:r>
      <w:r w:rsidR="0015530D" w:rsidRPr="007E61A0">
        <w:t>paragraph 6.7, apremilast</w:t>
      </w:r>
      <w:r w:rsidR="000D29D4" w:rsidRPr="007E61A0">
        <w:t xml:space="preserve"> PSD</w:t>
      </w:r>
      <w:r w:rsidR="0015530D" w:rsidRPr="007E61A0">
        <w:t xml:space="preserve">, </w:t>
      </w:r>
      <w:r w:rsidRPr="007E61A0">
        <w:t>November 2016</w:t>
      </w:r>
      <w:r w:rsidR="0015530D" w:rsidRPr="007E61A0">
        <w:t xml:space="preserve"> PBAC meeting</w:t>
      </w:r>
      <w:r w:rsidRPr="007E61A0">
        <w:t xml:space="preserve">, </w:t>
      </w:r>
      <w:r w:rsidR="0015530D" w:rsidRPr="007E61A0">
        <w:t>paragraph 6.</w:t>
      </w:r>
      <w:r w:rsidR="00745162" w:rsidRPr="007E61A0">
        <w:t>5</w:t>
      </w:r>
      <w:r w:rsidR="0015530D" w:rsidRPr="007E61A0">
        <w:t>, apremilast,</w:t>
      </w:r>
      <w:r w:rsidR="00640D4B" w:rsidRPr="007E61A0">
        <w:t xml:space="preserve"> </w:t>
      </w:r>
      <w:r w:rsidR="000D29D4" w:rsidRPr="007E61A0">
        <w:t>PSD</w:t>
      </w:r>
      <w:r w:rsidR="0015530D" w:rsidRPr="007E61A0">
        <w:t xml:space="preserve">, </w:t>
      </w:r>
      <w:r w:rsidRPr="007E61A0">
        <w:t xml:space="preserve">November 2017 PBAC </w:t>
      </w:r>
      <w:r w:rsidR="0015530D" w:rsidRPr="007E61A0">
        <w:t>m</w:t>
      </w:r>
      <w:r w:rsidRPr="007E61A0">
        <w:t>eeting).</w:t>
      </w:r>
      <w:bookmarkEnd w:id="25"/>
    </w:p>
    <w:p w14:paraId="0D24E327" w14:textId="1EFF7B59" w:rsidR="0015530D" w:rsidRPr="007E61A0" w:rsidRDefault="004B30E1" w:rsidP="00EC5836">
      <w:pPr>
        <w:pStyle w:val="3-BodyText"/>
      </w:pPr>
      <w:r w:rsidRPr="007E61A0">
        <w:t>PASI response is a clinically relevant outcome</w:t>
      </w:r>
      <w:r w:rsidR="00EB40A6" w:rsidRPr="007E61A0">
        <w:t>.</w:t>
      </w:r>
      <w:r w:rsidRPr="007E61A0">
        <w:rPr>
          <w:rStyle w:val="FootnoteReference"/>
        </w:rPr>
        <w:footnoteReference w:id="2"/>
      </w:r>
      <w:r w:rsidR="00D141E9" w:rsidRPr="007E61A0">
        <w:t xml:space="preserve"> The PBAC relied on PASI 75 response for the assessment of apremilast in s</w:t>
      </w:r>
      <w:r w:rsidR="000A5852" w:rsidRPr="007E61A0">
        <w:t xml:space="preserve">evere </w:t>
      </w:r>
      <w:r w:rsidR="00D141E9" w:rsidRPr="007E61A0">
        <w:t>CPP (paragraph 6.7, apremilast</w:t>
      </w:r>
      <w:r w:rsidR="000D29D4" w:rsidRPr="007E61A0">
        <w:t xml:space="preserve"> PSD</w:t>
      </w:r>
      <w:r w:rsidR="00D141E9" w:rsidRPr="007E61A0">
        <w:t>,</w:t>
      </w:r>
      <w:r w:rsidR="00C7349A" w:rsidRPr="007E61A0">
        <w:t xml:space="preserve"> </w:t>
      </w:r>
      <w:r w:rsidR="00D141E9" w:rsidRPr="007E61A0">
        <w:t>March 2015 PBAC meeting; paragraph 6.</w:t>
      </w:r>
      <w:r w:rsidR="00745162" w:rsidRPr="007E61A0">
        <w:t>9</w:t>
      </w:r>
      <w:r w:rsidR="00D141E9" w:rsidRPr="007E61A0">
        <w:t>, apremilast</w:t>
      </w:r>
      <w:r w:rsidR="000D29D4" w:rsidRPr="007E61A0">
        <w:t xml:space="preserve"> PSD</w:t>
      </w:r>
      <w:r w:rsidR="00D141E9" w:rsidRPr="007E61A0">
        <w:t>, November 2016 PBAC meeting, paragraph 6.6, apremilast</w:t>
      </w:r>
      <w:r w:rsidR="000D29D4" w:rsidRPr="007E61A0">
        <w:t xml:space="preserve"> PSD</w:t>
      </w:r>
      <w:r w:rsidR="00D141E9" w:rsidRPr="007E61A0">
        <w:t>,</w:t>
      </w:r>
      <w:r w:rsidR="00C7349A" w:rsidRPr="007E61A0">
        <w:t xml:space="preserve"> </w:t>
      </w:r>
      <w:r w:rsidR="00D141E9" w:rsidRPr="007E61A0">
        <w:t>November 2017 PBAC meeting).</w:t>
      </w:r>
    </w:p>
    <w:p w14:paraId="4A4FE085" w14:textId="1C5613CC" w:rsidR="00B60939" w:rsidRPr="007E61A0" w:rsidRDefault="00B60939" w:rsidP="00EC5836">
      <w:pPr>
        <w:pStyle w:val="4-SubsectionHeading"/>
        <w:rPr>
          <w:iCs/>
        </w:rPr>
      </w:pPr>
      <w:bookmarkStart w:id="26" w:name="_Toc22897641"/>
      <w:bookmarkStart w:id="27" w:name="_Toc113968818"/>
      <w:r w:rsidRPr="007E61A0">
        <w:rPr>
          <w:iCs/>
        </w:rPr>
        <w:t>Comparative effectiveness</w:t>
      </w:r>
      <w:bookmarkEnd w:id="26"/>
      <w:bookmarkEnd w:id="27"/>
    </w:p>
    <w:p w14:paraId="69598FF0" w14:textId="5EA69775" w:rsidR="00BC615C" w:rsidRPr="007E61A0" w:rsidRDefault="00BC615C" w:rsidP="00BC615C">
      <w:pPr>
        <w:pStyle w:val="5-SubsectionSubheading"/>
      </w:pPr>
      <w:bookmarkStart w:id="28" w:name="_Toc113968819"/>
      <w:r w:rsidRPr="007E61A0">
        <w:t>Whole trial analysis and meta-analysis</w:t>
      </w:r>
      <w:bookmarkEnd w:id="28"/>
    </w:p>
    <w:p w14:paraId="359904B7" w14:textId="6F6CA75C" w:rsidR="00434515" w:rsidRPr="007E61A0" w:rsidRDefault="00434515" w:rsidP="00434515">
      <w:pPr>
        <w:pStyle w:val="3-BodyText"/>
        <w:rPr>
          <w:b/>
          <w:bCs/>
        </w:rPr>
      </w:pPr>
      <w:r w:rsidRPr="007E61A0">
        <w:t xml:space="preserve">The results comparing key outcomes for deucravacitinib and apremilast are summarised in </w:t>
      </w:r>
      <w:r w:rsidR="0057533B" w:rsidRPr="007E61A0">
        <w:fldChar w:fldCharType="begin" w:fldLock="1"/>
      </w:r>
      <w:r w:rsidR="0057533B" w:rsidRPr="007E61A0">
        <w:instrText xml:space="preserve"> REF _Ref111219007 \h </w:instrText>
      </w:r>
      <w:r w:rsidR="003E7216" w:rsidRPr="007E61A0">
        <w:instrText xml:space="preserve"> \* MERGEFORMAT </w:instrText>
      </w:r>
      <w:r w:rsidR="0057533B" w:rsidRPr="007E61A0">
        <w:fldChar w:fldCharType="separate"/>
      </w:r>
      <w:r w:rsidR="00EC7993" w:rsidRPr="007E61A0">
        <w:t xml:space="preserve">Table </w:t>
      </w:r>
      <w:r w:rsidR="00EC7993">
        <w:t>4</w:t>
      </w:r>
      <w:r w:rsidR="0057533B" w:rsidRPr="007E61A0">
        <w:fldChar w:fldCharType="end"/>
      </w:r>
      <w:r w:rsidRPr="007E61A0">
        <w:t xml:space="preserve">. </w:t>
      </w:r>
    </w:p>
    <w:p w14:paraId="4A56B453" w14:textId="5700A30E" w:rsidR="00434515" w:rsidRPr="007E61A0" w:rsidRDefault="00434515" w:rsidP="00434515">
      <w:pPr>
        <w:pStyle w:val="TableFigureHeading"/>
      </w:pPr>
      <w:bookmarkStart w:id="29" w:name="_Ref111219007"/>
      <w:bookmarkStart w:id="30" w:name="_Ref111219002"/>
      <w:r w:rsidRPr="007E61A0">
        <w:lastRenderedPageBreak/>
        <w:t xml:space="preserve">Table </w:t>
      </w:r>
      <w:fldSimple w:instr=" SEQ Table \* ARABIC " w:fldLock="1">
        <w:r w:rsidR="00EC7993">
          <w:rPr>
            <w:noProof/>
          </w:rPr>
          <w:t>4</w:t>
        </w:r>
      </w:fldSimple>
      <w:bookmarkEnd w:id="29"/>
      <w:r w:rsidRPr="007E61A0">
        <w:t>: Whole trial and meta-analysis results: deucravacitinib and apremilast</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237"/>
        <w:gridCol w:w="1773"/>
        <w:gridCol w:w="1775"/>
        <w:gridCol w:w="1775"/>
        <w:gridCol w:w="1776"/>
      </w:tblGrid>
      <w:tr w:rsidR="00534AF0" w:rsidRPr="007E61A0" w14:paraId="76C568E6" w14:textId="77777777" w:rsidTr="00C02A08">
        <w:trPr>
          <w:tblHeader/>
        </w:trPr>
        <w:tc>
          <w:tcPr>
            <w:tcW w:w="378" w:type="pct"/>
            <w:vAlign w:val="center"/>
          </w:tcPr>
          <w:p w14:paraId="7B50B7CE" w14:textId="77777777" w:rsidR="00434515" w:rsidRPr="007E61A0" w:rsidRDefault="00434515" w:rsidP="006D0001">
            <w:pPr>
              <w:pStyle w:val="In-tableHeading"/>
              <w:jc w:val="center"/>
              <w:rPr>
                <w:lang w:val="en-AU"/>
              </w:rPr>
            </w:pPr>
            <w:r w:rsidRPr="007E61A0">
              <w:rPr>
                <w:lang w:val="en-AU"/>
              </w:rPr>
              <w:t>Time point</w:t>
            </w:r>
          </w:p>
        </w:tc>
        <w:tc>
          <w:tcPr>
            <w:tcW w:w="686" w:type="pct"/>
            <w:vAlign w:val="center"/>
          </w:tcPr>
          <w:p w14:paraId="62A84A00" w14:textId="77777777" w:rsidR="00434515" w:rsidRPr="007E61A0" w:rsidRDefault="00434515" w:rsidP="006D0001">
            <w:pPr>
              <w:pStyle w:val="TableFigureHeading"/>
              <w:jc w:val="center"/>
            </w:pPr>
            <w:r w:rsidRPr="007E61A0">
              <w:t>Trial ID</w:t>
            </w:r>
          </w:p>
        </w:tc>
        <w:tc>
          <w:tcPr>
            <w:tcW w:w="983" w:type="pct"/>
            <w:tcBorders>
              <w:bottom w:val="single" w:sz="4" w:space="0" w:color="auto"/>
            </w:tcBorders>
            <w:vAlign w:val="center"/>
          </w:tcPr>
          <w:p w14:paraId="6D2BDF0E" w14:textId="77777777" w:rsidR="00434515" w:rsidRPr="007E61A0" w:rsidRDefault="00434515" w:rsidP="006D0001">
            <w:pPr>
              <w:pStyle w:val="In-tableHeading"/>
              <w:jc w:val="center"/>
              <w:rPr>
                <w:lang w:val="en-AU"/>
              </w:rPr>
            </w:pPr>
            <w:r w:rsidRPr="007E61A0">
              <w:rPr>
                <w:lang w:val="en-AU"/>
              </w:rPr>
              <w:t>Deucravacitinib</w:t>
            </w:r>
          </w:p>
          <w:p w14:paraId="4718FBFE" w14:textId="77777777" w:rsidR="00434515" w:rsidRPr="007E61A0" w:rsidRDefault="00434515" w:rsidP="006D0001">
            <w:pPr>
              <w:pStyle w:val="In-tableHeading"/>
              <w:jc w:val="center"/>
              <w:rPr>
                <w:lang w:val="en-AU"/>
              </w:rPr>
            </w:pPr>
            <w:r w:rsidRPr="007E61A0">
              <w:rPr>
                <w:lang w:val="en-AU"/>
              </w:rPr>
              <w:t>n/N (%)</w:t>
            </w:r>
          </w:p>
        </w:tc>
        <w:tc>
          <w:tcPr>
            <w:tcW w:w="984" w:type="pct"/>
            <w:tcBorders>
              <w:bottom w:val="single" w:sz="4" w:space="0" w:color="auto"/>
            </w:tcBorders>
            <w:vAlign w:val="center"/>
          </w:tcPr>
          <w:p w14:paraId="24882C4C" w14:textId="04F743BD" w:rsidR="00434515" w:rsidRPr="007E61A0" w:rsidRDefault="005A4E83" w:rsidP="006D0001">
            <w:pPr>
              <w:pStyle w:val="In-tableHeading"/>
              <w:jc w:val="center"/>
              <w:rPr>
                <w:lang w:val="en-AU"/>
              </w:rPr>
            </w:pPr>
            <w:r w:rsidRPr="007E61A0">
              <w:rPr>
                <w:lang w:val="en-AU"/>
              </w:rPr>
              <w:t>Apremilast</w:t>
            </w:r>
          </w:p>
          <w:p w14:paraId="17181E1A" w14:textId="77777777" w:rsidR="00434515" w:rsidRPr="007E61A0" w:rsidRDefault="00434515" w:rsidP="006D0001">
            <w:pPr>
              <w:pStyle w:val="In-tableHeading"/>
              <w:jc w:val="center"/>
              <w:rPr>
                <w:lang w:val="en-AU"/>
              </w:rPr>
            </w:pPr>
            <w:r w:rsidRPr="007E61A0">
              <w:rPr>
                <w:lang w:val="en-AU"/>
              </w:rPr>
              <w:t>n/N (%)</w:t>
            </w:r>
          </w:p>
        </w:tc>
        <w:tc>
          <w:tcPr>
            <w:tcW w:w="984" w:type="pct"/>
            <w:tcBorders>
              <w:bottom w:val="single" w:sz="4" w:space="0" w:color="auto"/>
            </w:tcBorders>
            <w:vAlign w:val="center"/>
          </w:tcPr>
          <w:p w14:paraId="134791A8" w14:textId="77777777" w:rsidR="00434515" w:rsidRPr="007E61A0" w:rsidRDefault="00434515" w:rsidP="006D0001">
            <w:pPr>
              <w:pStyle w:val="In-tableHeading"/>
              <w:jc w:val="center"/>
              <w:rPr>
                <w:lang w:val="en-AU"/>
              </w:rPr>
            </w:pPr>
            <w:r w:rsidRPr="007E61A0">
              <w:rPr>
                <w:lang w:val="en-AU"/>
              </w:rPr>
              <w:t>Odds Ratio</w:t>
            </w:r>
          </w:p>
          <w:p w14:paraId="3BAB9513" w14:textId="77777777" w:rsidR="00434515" w:rsidRPr="007E61A0" w:rsidRDefault="00434515" w:rsidP="006D0001">
            <w:pPr>
              <w:pStyle w:val="In-tableHeading"/>
              <w:jc w:val="center"/>
              <w:rPr>
                <w:lang w:val="en-AU"/>
              </w:rPr>
            </w:pPr>
            <w:r w:rsidRPr="007E61A0">
              <w:rPr>
                <w:lang w:val="en-AU"/>
              </w:rPr>
              <w:t>(95% CI)</w:t>
            </w:r>
          </w:p>
        </w:tc>
        <w:tc>
          <w:tcPr>
            <w:tcW w:w="985" w:type="pct"/>
            <w:tcBorders>
              <w:bottom w:val="single" w:sz="4" w:space="0" w:color="auto"/>
            </w:tcBorders>
            <w:vAlign w:val="center"/>
          </w:tcPr>
          <w:p w14:paraId="4082D8D6" w14:textId="77777777" w:rsidR="00434515" w:rsidRPr="007E61A0" w:rsidRDefault="00434515" w:rsidP="006D0001">
            <w:pPr>
              <w:pStyle w:val="In-tableHeading"/>
              <w:jc w:val="center"/>
              <w:rPr>
                <w:lang w:val="en-AU"/>
              </w:rPr>
            </w:pPr>
            <w:r w:rsidRPr="007E61A0">
              <w:rPr>
                <w:lang w:val="en-AU"/>
              </w:rPr>
              <w:t>Risk difference (95% CI)</w:t>
            </w:r>
          </w:p>
        </w:tc>
      </w:tr>
      <w:tr w:rsidR="00534AF0" w:rsidRPr="007E61A0" w14:paraId="1C071C2D" w14:textId="77777777" w:rsidTr="006D0001">
        <w:tc>
          <w:tcPr>
            <w:tcW w:w="5000" w:type="pct"/>
            <w:gridSpan w:val="6"/>
            <w:vAlign w:val="center"/>
          </w:tcPr>
          <w:p w14:paraId="0E56339F" w14:textId="77777777" w:rsidR="00434515" w:rsidRPr="007E61A0" w:rsidRDefault="00434515" w:rsidP="006D0001">
            <w:pPr>
              <w:pStyle w:val="TableText0"/>
              <w:rPr>
                <w:b/>
                <w:bCs w:val="0"/>
              </w:rPr>
            </w:pPr>
            <w:r w:rsidRPr="007E61A0">
              <w:rPr>
                <w:b/>
                <w:bCs w:val="0"/>
              </w:rPr>
              <w:t>sPGA 0/1</w:t>
            </w:r>
          </w:p>
        </w:tc>
      </w:tr>
      <w:tr w:rsidR="00534AF0" w:rsidRPr="007E61A0" w14:paraId="1973D5ED" w14:textId="77777777" w:rsidTr="00C02A08">
        <w:tc>
          <w:tcPr>
            <w:tcW w:w="378" w:type="pct"/>
            <w:vMerge w:val="restart"/>
            <w:vAlign w:val="center"/>
          </w:tcPr>
          <w:p w14:paraId="57D0B3C7" w14:textId="77777777" w:rsidR="00434515" w:rsidRPr="007E61A0" w:rsidRDefault="00434515" w:rsidP="006D0001">
            <w:pPr>
              <w:pStyle w:val="TableText0"/>
            </w:pPr>
            <w:r w:rsidRPr="007E61A0">
              <w:t>Wk. 16</w:t>
            </w:r>
          </w:p>
        </w:tc>
        <w:tc>
          <w:tcPr>
            <w:tcW w:w="686" w:type="pct"/>
            <w:vAlign w:val="center"/>
          </w:tcPr>
          <w:p w14:paraId="7C8DB36E" w14:textId="77777777" w:rsidR="00434515" w:rsidRPr="007E61A0" w:rsidRDefault="00434515" w:rsidP="006D0001">
            <w:pPr>
              <w:pStyle w:val="TableText0"/>
            </w:pPr>
            <w:r w:rsidRPr="007E61A0">
              <w:t>POETYK 1</w:t>
            </w:r>
          </w:p>
        </w:tc>
        <w:tc>
          <w:tcPr>
            <w:tcW w:w="983" w:type="pct"/>
            <w:shd w:val="clear" w:color="auto" w:fill="auto"/>
            <w:vAlign w:val="center"/>
          </w:tcPr>
          <w:p w14:paraId="47CDF448" w14:textId="5467EA21" w:rsidR="00434515" w:rsidRPr="007E61A0" w:rsidRDefault="00434515" w:rsidP="006D0001">
            <w:pPr>
              <w:pStyle w:val="TableText0"/>
              <w:jc w:val="center"/>
            </w:pPr>
            <w:r w:rsidRPr="007E61A0">
              <w:t>178/332 (53.6)</w:t>
            </w:r>
          </w:p>
        </w:tc>
        <w:tc>
          <w:tcPr>
            <w:tcW w:w="984" w:type="pct"/>
            <w:shd w:val="clear" w:color="auto" w:fill="auto"/>
            <w:vAlign w:val="center"/>
          </w:tcPr>
          <w:p w14:paraId="43214BD1" w14:textId="77777777" w:rsidR="00434515" w:rsidRPr="007E61A0" w:rsidRDefault="00434515" w:rsidP="006D0001">
            <w:pPr>
              <w:pStyle w:val="TableText0"/>
              <w:jc w:val="center"/>
            </w:pPr>
            <w:r w:rsidRPr="007E61A0">
              <w:t>54/168 (32.1)</w:t>
            </w:r>
          </w:p>
        </w:tc>
        <w:tc>
          <w:tcPr>
            <w:tcW w:w="984" w:type="pct"/>
            <w:shd w:val="clear" w:color="000000" w:fill="FFFFFF"/>
            <w:vAlign w:val="center"/>
          </w:tcPr>
          <w:p w14:paraId="6F666CB6" w14:textId="77777777" w:rsidR="00434515" w:rsidRPr="007E61A0" w:rsidRDefault="00434515" w:rsidP="006D0001">
            <w:pPr>
              <w:pStyle w:val="TableText0"/>
              <w:jc w:val="center"/>
              <w:rPr>
                <w:b/>
                <w:bCs w:val="0"/>
              </w:rPr>
            </w:pPr>
            <w:r w:rsidRPr="007E61A0">
              <w:rPr>
                <w:b/>
                <w:bCs w:val="0"/>
              </w:rPr>
              <w:t>2.44 (1.65, 3.60)</w:t>
            </w:r>
          </w:p>
        </w:tc>
        <w:tc>
          <w:tcPr>
            <w:tcW w:w="985" w:type="pct"/>
            <w:shd w:val="clear" w:color="000000" w:fill="FFFFFF"/>
            <w:vAlign w:val="center"/>
          </w:tcPr>
          <w:p w14:paraId="47656F83" w14:textId="77777777" w:rsidR="00434515" w:rsidRPr="007E61A0" w:rsidRDefault="00434515" w:rsidP="006D0001">
            <w:pPr>
              <w:pStyle w:val="TableText0"/>
              <w:jc w:val="center"/>
              <w:rPr>
                <w:b/>
                <w:bCs w:val="0"/>
              </w:rPr>
            </w:pPr>
            <w:r w:rsidRPr="007E61A0">
              <w:rPr>
                <w:b/>
                <w:bCs w:val="0"/>
              </w:rPr>
              <w:t>0.21 (0.12, 0.30)</w:t>
            </w:r>
          </w:p>
        </w:tc>
      </w:tr>
      <w:tr w:rsidR="00534AF0" w:rsidRPr="007E61A0" w14:paraId="1D23DF0B" w14:textId="77777777" w:rsidTr="00C02A08">
        <w:tc>
          <w:tcPr>
            <w:tcW w:w="378" w:type="pct"/>
            <w:vMerge/>
            <w:vAlign w:val="center"/>
          </w:tcPr>
          <w:p w14:paraId="0BE296B4" w14:textId="77777777" w:rsidR="00434515" w:rsidRPr="007E61A0" w:rsidRDefault="00434515" w:rsidP="006D0001">
            <w:pPr>
              <w:pStyle w:val="TableText0"/>
            </w:pPr>
          </w:p>
        </w:tc>
        <w:tc>
          <w:tcPr>
            <w:tcW w:w="686" w:type="pct"/>
            <w:vAlign w:val="center"/>
          </w:tcPr>
          <w:p w14:paraId="0EBC3450" w14:textId="77777777" w:rsidR="00434515" w:rsidRPr="007E61A0" w:rsidRDefault="00434515" w:rsidP="006D0001">
            <w:pPr>
              <w:pStyle w:val="TableText0"/>
            </w:pPr>
            <w:r w:rsidRPr="007E61A0">
              <w:t>POETYK 2</w:t>
            </w:r>
          </w:p>
        </w:tc>
        <w:tc>
          <w:tcPr>
            <w:tcW w:w="983" w:type="pct"/>
            <w:tcBorders>
              <w:bottom w:val="single" w:sz="4" w:space="0" w:color="auto"/>
            </w:tcBorders>
            <w:shd w:val="clear" w:color="auto" w:fill="auto"/>
            <w:vAlign w:val="center"/>
          </w:tcPr>
          <w:p w14:paraId="6B823966" w14:textId="318DC6B6" w:rsidR="00434515" w:rsidRPr="007E61A0" w:rsidRDefault="00434515" w:rsidP="006D0001">
            <w:pPr>
              <w:pStyle w:val="TableText0"/>
              <w:jc w:val="center"/>
            </w:pPr>
            <w:r w:rsidRPr="007E61A0">
              <w:t>253/511 (49.5)</w:t>
            </w:r>
          </w:p>
        </w:tc>
        <w:tc>
          <w:tcPr>
            <w:tcW w:w="984" w:type="pct"/>
            <w:tcBorders>
              <w:bottom w:val="single" w:sz="4" w:space="0" w:color="auto"/>
            </w:tcBorders>
            <w:shd w:val="clear" w:color="auto" w:fill="auto"/>
            <w:vAlign w:val="center"/>
          </w:tcPr>
          <w:p w14:paraId="7DE0FB7B" w14:textId="77777777" w:rsidR="00434515" w:rsidRPr="007E61A0" w:rsidRDefault="00434515" w:rsidP="006D0001">
            <w:pPr>
              <w:pStyle w:val="TableText0"/>
              <w:jc w:val="center"/>
            </w:pPr>
            <w:r w:rsidRPr="007E61A0">
              <w:t>86/254 (33.9)</w:t>
            </w:r>
          </w:p>
        </w:tc>
        <w:tc>
          <w:tcPr>
            <w:tcW w:w="984" w:type="pct"/>
            <w:tcBorders>
              <w:bottom w:val="single" w:sz="4" w:space="0" w:color="auto"/>
            </w:tcBorders>
            <w:shd w:val="clear" w:color="000000" w:fill="FFFFFF"/>
            <w:vAlign w:val="center"/>
          </w:tcPr>
          <w:p w14:paraId="3B1CA095" w14:textId="77777777" w:rsidR="00434515" w:rsidRPr="007E61A0" w:rsidRDefault="00434515" w:rsidP="006D0001">
            <w:pPr>
              <w:pStyle w:val="TableText0"/>
              <w:jc w:val="center"/>
              <w:rPr>
                <w:b/>
                <w:bCs w:val="0"/>
              </w:rPr>
            </w:pPr>
            <w:r w:rsidRPr="007E61A0">
              <w:rPr>
                <w:b/>
                <w:bCs w:val="0"/>
              </w:rPr>
              <w:t>1.92 (1.40, 2.62)</w:t>
            </w:r>
          </w:p>
        </w:tc>
        <w:tc>
          <w:tcPr>
            <w:tcW w:w="985" w:type="pct"/>
            <w:tcBorders>
              <w:bottom w:val="single" w:sz="4" w:space="0" w:color="auto"/>
            </w:tcBorders>
            <w:shd w:val="clear" w:color="000000" w:fill="FFFFFF"/>
            <w:vAlign w:val="center"/>
          </w:tcPr>
          <w:p w14:paraId="54495A8E" w14:textId="77777777" w:rsidR="00434515" w:rsidRPr="007E61A0" w:rsidRDefault="00434515" w:rsidP="006D0001">
            <w:pPr>
              <w:pStyle w:val="TableText0"/>
              <w:jc w:val="center"/>
              <w:rPr>
                <w:b/>
                <w:bCs w:val="0"/>
              </w:rPr>
            </w:pPr>
            <w:r w:rsidRPr="007E61A0">
              <w:rPr>
                <w:b/>
                <w:bCs w:val="0"/>
              </w:rPr>
              <w:t>0.16 (0.08, 0.23)</w:t>
            </w:r>
          </w:p>
        </w:tc>
      </w:tr>
      <w:tr w:rsidR="00534AF0" w:rsidRPr="007E61A0" w14:paraId="01D45D93" w14:textId="77777777" w:rsidTr="00C02A08">
        <w:tc>
          <w:tcPr>
            <w:tcW w:w="378" w:type="pct"/>
            <w:vMerge/>
            <w:vAlign w:val="center"/>
          </w:tcPr>
          <w:p w14:paraId="04305A3A" w14:textId="77777777" w:rsidR="00434515" w:rsidRPr="007E61A0" w:rsidRDefault="00434515" w:rsidP="006D0001">
            <w:pPr>
              <w:pStyle w:val="TableText0"/>
            </w:pPr>
          </w:p>
        </w:tc>
        <w:tc>
          <w:tcPr>
            <w:tcW w:w="686" w:type="pct"/>
            <w:vMerge w:val="restart"/>
            <w:vAlign w:val="center"/>
          </w:tcPr>
          <w:p w14:paraId="4E022382" w14:textId="77777777" w:rsidR="00434515" w:rsidRPr="007E61A0" w:rsidRDefault="00434515" w:rsidP="006D0001">
            <w:pPr>
              <w:pStyle w:val="TableText0"/>
            </w:pPr>
            <w:r w:rsidRPr="007E61A0">
              <w:t>Meta-analysis</w:t>
            </w:r>
          </w:p>
        </w:tc>
        <w:tc>
          <w:tcPr>
            <w:tcW w:w="983" w:type="pct"/>
            <w:tcBorders>
              <w:top w:val="single" w:sz="4" w:space="0" w:color="auto"/>
            </w:tcBorders>
            <w:shd w:val="clear" w:color="auto" w:fill="auto"/>
            <w:vAlign w:val="center"/>
          </w:tcPr>
          <w:p w14:paraId="34272BE2" w14:textId="270CFBFA" w:rsidR="00434515" w:rsidRPr="007E61A0" w:rsidRDefault="00434515" w:rsidP="006D0001">
            <w:pPr>
              <w:pStyle w:val="TableText0"/>
              <w:jc w:val="center"/>
            </w:pPr>
            <w:r w:rsidRPr="007E61A0">
              <w:t>431/843 (51.1)</w:t>
            </w:r>
          </w:p>
        </w:tc>
        <w:tc>
          <w:tcPr>
            <w:tcW w:w="984" w:type="pct"/>
            <w:tcBorders>
              <w:top w:val="single" w:sz="4" w:space="0" w:color="auto"/>
            </w:tcBorders>
            <w:shd w:val="clear" w:color="auto" w:fill="auto"/>
            <w:vAlign w:val="center"/>
          </w:tcPr>
          <w:p w14:paraId="5DCB3F69" w14:textId="77777777" w:rsidR="00434515" w:rsidRPr="007E61A0" w:rsidRDefault="00434515" w:rsidP="006D0001">
            <w:pPr>
              <w:pStyle w:val="TableText0"/>
              <w:jc w:val="center"/>
            </w:pPr>
            <w:r w:rsidRPr="007E61A0">
              <w:t>140/422 (33.2)</w:t>
            </w:r>
          </w:p>
        </w:tc>
        <w:tc>
          <w:tcPr>
            <w:tcW w:w="984" w:type="pct"/>
            <w:tcBorders>
              <w:top w:val="single" w:sz="4" w:space="0" w:color="auto"/>
            </w:tcBorders>
            <w:shd w:val="clear" w:color="000000" w:fill="FFFFFF"/>
            <w:vAlign w:val="center"/>
          </w:tcPr>
          <w:p w14:paraId="594C95D4" w14:textId="77777777" w:rsidR="00434515" w:rsidRPr="007E61A0" w:rsidRDefault="00434515" w:rsidP="006D0001">
            <w:pPr>
              <w:pStyle w:val="TableText0"/>
              <w:jc w:val="center"/>
              <w:rPr>
                <w:b/>
                <w:bCs w:val="0"/>
              </w:rPr>
            </w:pPr>
            <w:r w:rsidRPr="007E61A0">
              <w:rPr>
                <w:b/>
                <w:bCs w:val="0"/>
              </w:rPr>
              <w:t>2.11 (1.65, 2.69)</w:t>
            </w:r>
          </w:p>
          <w:p w14:paraId="6A1CDB6D" w14:textId="77777777" w:rsidR="00434515" w:rsidRPr="007E61A0" w:rsidRDefault="00434515" w:rsidP="006D0001">
            <w:pPr>
              <w:pStyle w:val="TableText0"/>
              <w:jc w:val="center"/>
              <w:rPr>
                <w:b/>
                <w:bCs w:val="0"/>
              </w:rPr>
            </w:pPr>
            <w:r w:rsidRPr="007E61A0">
              <w:rPr>
                <w:b/>
                <w:bCs w:val="0"/>
              </w:rPr>
              <w:t>p &lt; 0.00001</w:t>
            </w:r>
          </w:p>
        </w:tc>
        <w:tc>
          <w:tcPr>
            <w:tcW w:w="985" w:type="pct"/>
            <w:tcBorders>
              <w:top w:val="single" w:sz="4" w:space="0" w:color="auto"/>
            </w:tcBorders>
            <w:shd w:val="clear" w:color="000000" w:fill="FFFFFF"/>
            <w:vAlign w:val="center"/>
          </w:tcPr>
          <w:p w14:paraId="701AD6A3" w14:textId="77777777" w:rsidR="00434515" w:rsidRPr="007E61A0" w:rsidRDefault="00434515" w:rsidP="006D0001">
            <w:pPr>
              <w:pStyle w:val="TableText0"/>
              <w:jc w:val="center"/>
              <w:rPr>
                <w:b/>
                <w:bCs w:val="0"/>
              </w:rPr>
            </w:pPr>
            <w:r w:rsidRPr="007E61A0">
              <w:rPr>
                <w:b/>
                <w:bCs w:val="0"/>
              </w:rPr>
              <w:t>0.18 (0.12, 0.24)</w:t>
            </w:r>
          </w:p>
          <w:p w14:paraId="50A91696" w14:textId="77777777" w:rsidR="00434515" w:rsidRPr="007E61A0" w:rsidRDefault="00434515" w:rsidP="006D0001">
            <w:pPr>
              <w:pStyle w:val="TableText0"/>
              <w:jc w:val="center"/>
              <w:rPr>
                <w:b/>
                <w:bCs w:val="0"/>
              </w:rPr>
            </w:pPr>
            <w:r w:rsidRPr="007E61A0">
              <w:rPr>
                <w:b/>
                <w:bCs w:val="0"/>
              </w:rPr>
              <w:t>p &lt; 0.00001</w:t>
            </w:r>
          </w:p>
        </w:tc>
      </w:tr>
      <w:tr w:rsidR="00534AF0" w:rsidRPr="007E61A0" w14:paraId="7149E7F6" w14:textId="77777777" w:rsidTr="00C02A08">
        <w:tc>
          <w:tcPr>
            <w:tcW w:w="378" w:type="pct"/>
            <w:vMerge/>
            <w:vAlign w:val="center"/>
          </w:tcPr>
          <w:p w14:paraId="4B168527" w14:textId="77777777" w:rsidR="00434515" w:rsidRPr="007E61A0" w:rsidRDefault="00434515" w:rsidP="006D0001">
            <w:pPr>
              <w:pStyle w:val="TableText0"/>
            </w:pPr>
          </w:p>
        </w:tc>
        <w:tc>
          <w:tcPr>
            <w:tcW w:w="686" w:type="pct"/>
            <w:vMerge/>
            <w:vAlign w:val="center"/>
          </w:tcPr>
          <w:p w14:paraId="39FEFE37" w14:textId="77777777" w:rsidR="00434515" w:rsidRPr="007E61A0" w:rsidRDefault="00434515" w:rsidP="006D0001">
            <w:pPr>
              <w:pStyle w:val="TableText0"/>
            </w:pPr>
          </w:p>
        </w:tc>
        <w:tc>
          <w:tcPr>
            <w:tcW w:w="1967" w:type="pct"/>
            <w:gridSpan w:val="2"/>
            <w:vAlign w:val="center"/>
          </w:tcPr>
          <w:p w14:paraId="066B54AF" w14:textId="77777777" w:rsidR="00434515" w:rsidRPr="007E61A0" w:rsidRDefault="00434515" w:rsidP="006D0001">
            <w:pPr>
              <w:pStyle w:val="TableText0"/>
            </w:pPr>
            <w:r w:rsidRPr="007E61A0">
              <w:t>Heterogeneity (I</w:t>
            </w:r>
            <w:r w:rsidRPr="007E61A0">
              <w:rPr>
                <w:vertAlign w:val="superscript"/>
              </w:rPr>
              <w:t>2</w:t>
            </w:r>
            <w:r w:rsidRPr="007E61A0">
              <w:t>); p-value</w:t>
            </w:r>
          </w:p>
        </w:tc>
        <w:tc>
          <w:tcPr>
            <w:tcW w:w="984" w:type="pct"/>
            <w:shd w:val="clear" w:color="000000" w:fill="FFFFFF"/>
            <w:vAlign w:val="center"/>
          </w:tcPr>
          <w:p w14:paraId="5E9C62BD" w14:textId="77777777" w:rsidR="00434515" w:rsidRPr="007E61A0" w:rsidRDefault="00434515" w:rsidP="006D0001">
            <w:pPr>
              <w:pStyle w:val="TableText0"/>
              <w:jc w:val="center"/>
              <w:rPr>
                <w:b/>
                <w:bCs w:val="0"/>
              </w:rPr>
            </w:pPr>
            <w:r w:rsidRPr="007E61A0">
              <w:t>0%; 0.34</w:t>
            </w:r>
          </w:p>
        </w:tc>
        <w:tc>
          <w:tcPr>
            <w:tcW w:w="985" w:type="pct"/>
            <w:shd w:val="clear" w:color="000000" w:fill="FFFFFF"/>
            <w:vAlign w:val="center"/>
          </w:tcPr>
          <w:p w14:paraId="3084CA19" w14:textId="77777777" w:rsidR="00434515" w:rsidRPr="007E61A0" w:rsidRDefault="00434515" w:rsidP="006D0001">
            <w:pPr>
              <w:pStyle w:val="TableText0"/>
              <w:jc w:val="center"/>
              <w:rPr>
                <w:b/>
                <w:bCs w:val="0"/>
              </w:rPr>
            </w:pPr>
            <w:r w:rsidRPr="007E61A0">
              <w:t>0%; 0.32</w:t>
            </w:r>
          </w:p>
        </w:tc>
      </w:tr>
      <w:tr w:rsidR="00534AF0" w:rsidRPr="007E61A0" w14:paraId="53E6BF5B" w14:textId="77777777" w:rsidTr="00C02A08">
        <w:tc>
          <w:tcPr>
            <w:tcW w:w="378" w:type="pct"/>
            <w:vMerge w:val="restart"/>
            <w:vAlign w:val="center"/>
          </w:tcPr>
          <w:p w14:paraId="3B54C220" w14:textId="77777777" w:rsidR="00434515" w:rsidRPr="007E61A0" w:rsidRDefault="00434515" w:rsidP="006D0001">
            <w:pPr>
              <w:pStyle w:val="TableText0"/>
            </w:pPr>
            <w:r w:rsidRPr="007E61A0">
              <w:t>Wk. 24</w:t>
            </w:r>
          </w:p>
        </w:tc>
        <w:tc>
          <w:tcPr>
            <w:tcW w:w="686" w:type="pct"/>
            <w:shd w:val="clear" w:color="auto" w:fill="auto"/>
            <w:vAlign w:val="center"/>
          </w:tcPr>
          <w:p w14:paraId="3DA825E9" w14:textId="77777777" w:rsidR="00434515" w:rsidRPr="007E61A0" w:rsidRDefault="00434515" w:rsidP="006D0001">
            <w:pPr>
              <w:pStyle w:val="TableText0"/>
            </w:pPr>
            <w:r w:rsidRPr="007E61A0">
              <w:t>POETYK 1</w:t>
            </w:r>
          </w:p>
        </w:tc>
        <w:tc>
          <w:tcPr>
            <w:tcW w:w="983" w:type="pct"/>
            <w:shd w:val="clear" w:color="auto" w:fill="auto"/>
            <w:vAlign w:val="center"/>
          </w:tcPr>
          <w:p w14:paraId="3680AEE8" w14:textId="382B60B7" w:rsidR="00434515" w:rsidRPr="007E61A0" w:rsidRDefault="00434515" w:rsidP="006D0001">
            <w:pPr>
              <w:pStyle w:val="TableText0"/>
              <w:jc w:val="center"/>
            </w:pPr>
            <w:r w:rsidRPr="007E61A0">
              <w:t>195/332 (58.7)</w:t>
            </w:r>
          </w:p>
        </w:tc>
        <w:tc>
          <w:tcPr>
            <w:tcW w:w="984" w:type="pct"/>
            <w:shd w:val="clear" w:color="auto" w:fill="auto"/>
            <w:vAlign w:val="center"/>
          </w:tcPr>
          <w:p w14:paraId="01C2C271" w14:textId="77777777" w:rsidR="00434515" w:rsidRPr="007E61A0" w:rsidRDefault="00434515" w:rsidP="006D0001">
            <w:pPr>
              <w:pStyle w:val="TableText0"/>
              <w:jc w:val="center"/>
            </w:pPr>
            <w:r w:rsidRPr="007E61A0">
              <w:t>52/168 (31.0)</w:t>
            </w:r>
          </w:p>
        </w:tc>
        <w:tc>
          <w:tcPr>
            <w:tcW w:w="984" w:type="pct"/>
            <w:shd w:val="clear" w:color="000000" w:fill="FFFFFF"/>
            <w:vAlign w:val="center"/>
          </w:tcPr>
          <w:p w14:paraId="27AA1975" w14:textId="77777777" w:rsidR="00434515" w:rsidRPr="007E61A0" w:rsidRDefault="00434515" w:rsidP="006D0001">
            <w:pPr>
              <w:pStyle w:val="TableText0"/>
              <w:jc w:val="center"/>
              <w:rPr>
                <w:b/>
                <w:bCs w:val="0"/>
              </w:rPr>
            </w:pPr>
            <w:r w:rsidRPr="007E61A0">
              <w:rPr>
                <w:b/>
                <w:bCs w:val="0"/>
              </w:rPr>
              <w:t>3.18 (2.14, 4.71)</w:t>
            </w:r>
          </w:p>
        </w:tc>
        <w:tc>
          <w:tcPr>
            <w:tcW w:w="985" w:type="pct"/>
            <w:shd w:val="clear" w:color="000000" w:fill="FFFFFF"/>
            <w:vAlign w:val="center"/>
          </w:tcPr>
          <w:p w14:paraId="439F5E05" w14:textId="77777777" w:rsidR="00434515" w:rsidRPr="007E61A0" w:rsidRDefault="00434515" w:rsidP="006D0001">
            <w:pPr>
              <w:pStyle w:val="TableText0"/>
              <w:jc w:val="center"/>
              <w:rPr>
                <w:b/>
                <w:bCs w:val="0"/>
              </w:rPr>
            </w:pPr>
            <w:r w:rsidRPr="007E61A0">
              <w:rPr>
                <w:b/>
                <w:bCs w:val="0"/>
              </w:rPr>
              <w:t>0.28 (0.19, 0.37)</w:t>
            </w:r>
          </w:p>
        </w:tc>
      </w:tr>
      <w:tr w:rsidR="00534AF0" w:rsidRPr="007E61A0" w14:paraId="7BD375E3" w14:textId="77777777" w:rsidTr="00C02A08">
        <w:tc>
          <w:tcPr>
            <w:tcW w:w="378" w:type="pct"/>
            <w:vMerge/>
            <w:vAlign w:val="center"/>
          </w:tcPr>
          <w:p w14:paraId="5647E238" w14:textId="77777777" w:rsidR="00434515" w:rsidRPr="007E61A0" w:rsidRDefault="00434515" w:rsidP="006D0001">
            <w:pPr>
              <w:pStyle w:val="TableText0"/>
            </w:pPr>
          </w:p>
        </w:tc>
        <w:tc>
          <w:tcPr>
            <w:tcW w:w="686" w:type="pct"/>
            <w:shd w:val="clear" w:color="auto" w:fill="auto"/>
            <w:vAlign w:val="center"/>
          </w:tcPr>
          <w:p w14:paraId="1EBE6838" w14:textId="77777777" w:rsidR="00434515" w:rsidRPr="007E61A0" w:rsidRDefault="00434515" w:rsidP="006D0001">
            <w:pPr>
              <w:pStyle w:val="TableText0"/>
            </w:pPr>
            <w:r w:rsidRPr="007E61A0">
              <w:t>POETYK 2</w:t>
            </w:r>
          </w:p>
        </w:tc>
        <w:tc>
          <w:tcPr>
            <w:tcW w:w="983" w:type="pct"/>
            <w:tcBorders>
              <w:bottom w:val="single" w:sz="4" w:space="0" w:color="auto"/>
            </w:tcBorders>
            <w:shd w:val="clear" w:color="auto" w:fill="auto"/>
            <w:vAlign w:val="center"/>
          </w:tcPr>
          <w:p w14:paraId="65500160" w14:textId="732A1D7A" w:rsidR="00434515" w:rsidRPr="007E61A0" w:rsidRDefault="00434515" w:rsidP="006D0001">
            <w:pPr>
              <w:pStyle w:val="TableText0"/>
              <w:jc w:val="center"/>
            </w:pPr>
            <w:r w:rsidRPr="007E61A0">
              <w:t>251/504 (49.8)</w:t>
            </w:r>
          </w:p>
        </w:tc>
        <w:tc>
          <w:tcPr>
            <w:tcW w:w="984" w:type="pct"/>
            <w:tcBorders>
              <w:bottom w:val="single" w:sz="4" w:space="0" w:color="auto"/>
            </w:tcBorders>
            <w:shd w:val="clear" w:color="auto" w:fill="auto"/>
            <w:vAlign w:val="center"/>
          </w:tcPr>
          <w:p w14:paraId="4951B7E9" w14:textId="77777777" w:rsidR="00434515" w:rsidRPr="007E61A0" w:rsidRDefault="00434515" w:rsidP="006D0001">
            <w:pPr>
              <w:pStyle w:val="TableText0"/>
              <w:jc w:val="center"/>
            </w:pPr>
            <w:r w:rsidRPr="007E61A0">
              <w:t>75/254 (29.5)</w:t>
            </w:r>
          </w:p>
        </w:tc>
        <w:tc>
          <w:tcPr>
            <w:tcW w:w="984" w:type="pct"/>
            <w:tcBorders>
              <w:bottom w:val="single" w:sz="4" w:space="0" w:color="auto"/>
            </w:tcBorders>
            <w:shd w:val="clear" w:color="000000" w:fill="FFFFFF"/>
            <w:vAlign w:val="center"/>
          </w:tcPr>
          <w:p w14:paraId="5F093F08" w14:textId="77777777" w:rsidR="00434515" w:rsidRPr="007E61A0" w:rsidRDefault="00434515" w:rsidP="006D0001">
            <w:pPr>
              <w:pStyle w:val="TableText0"/>
              <w:jc w:val="center"/>
              <w:rPr>
                <w:b/>
                <w:bCs w:val="0"/>
              </w:rPr>
            </w:pPr>
            <w:r w:rsidRPr="007E61A0">
              <w:rPr>
                <w:b/>
                <w:bCs w:val="0"/>
              </w:rPr>
              <w:t>2.37 (1.72, 3.26)</w:t>
            </w:r>
          </w:p>
        </w:tc>
        <w:tc>
          <w:tcPr>
            <w:tcW w:w="985" w:type="pct"/>
            <w:tcBorders>
              <w:bottom w:val="single" w:sz="4" w:space="0" w:color="auto"/>
            </w:tcBorders>
            <w:shd w:val="clear" w:color="000000" w:fill="FFFFFF"/>
            <w:vAlign w:val="center"/>
          </w:tcPr>
          <w:p w14:paraId="00C40A80" w14:textId="77777777" w:rsidR="00434515" w:rsidRPr="007E61A0" w:rsidRDefault="00434515" w:rsidP="006D0001">
            <w:pPr>
              <w:pStyle w:val="TableText0"/>
              <w:jc w:val="center"/>
              <w:rPr>
                <w:b/>
                <w:bCs w:val="0"/>
              </w:rPr>
            </w:pPr>
            <w:r w:rsidRPr="007E61A0">
              <w:rPr>
                <w:b/>
                <w:bCs w:val="0"/>
              </w:rPr>
              <w:t>0.20 (0.13, 0.27)</w:t>
            </w:r>
          </w:p>
        </w:tc>
      </w:tr>
      <w:tr w:rsidR="00534AF0" w:rsidRPr="007E61A0" w14:paraId="28574703" w14:textId="77777777" w:rsidTr="00C02A08">
        <w:tc>
          <w:tcPr>
            <w:tcW w:w="378" w:type="pct"/>
            <w:vMerge/>
            <w:vAlign w:val="center"/>
          </w:tcPr>
          <w:p w14:paraId="7A5E77CE" w14:textId="77777777" w:rsidR="00434515" w:rsidRPr="007E61A0" w:rsidRDefault="00434515" w:rsidP="006D0001">
            <w:pPr>
              <w:pStyle w:val="TableText0"/>
            </w:pPr>
          </w:p>
        </w:tc>
        <w:tc>
          <w:tcPr>
            <w:tcW w:w="686" w:type="pct"/>
            <w:vMerge w:val="restart"/>
            <w:vAlign w:val="center"/>
          </w:tcPr>
          <w:p w14:paraId="15270643" w14:textId="77777777" w:rsidR="00434515" w:rsidRPr="007E61A0" w:rsidRDefault="00434515" w:rsidP="006D0001">
            <w:pPr>
              <w:pStyle w:val="TableText0"/>
            </w:pPr>
            <w:r w:rsidRPr="007E61A0">
              <w:t>Meta-analysis</w:t>
            </w:r>
          </w:p>
        </w:tc>
        <w:tc>
          <w:tcPr>
            <w:tcW w:w="983" w:type="pct"/>
            <w:tcBorders>
              <w:top w:val="single" w:sz="4" w:space="0" w:color="auto"/>
            </w:tcBorders>
            <w:shd w:val="clear" w:color="auto" w:fill="auto"/>
            <w:vAlign w:val="center"/>
          </w:tcPr>
          <w:p w14:paraId="369D0D76" w14:textId="31B9B8B9" w:rsidR="00434515" w:rsidRPr="007E61A0" w:rsidRDefault="00434515" w:rsidP="006D0001">
            <w:pPr>
              <w:pStyle w:val="TableText0"/>
              <w:jc w:val="center"/>
            </w:pPr>
            <w:r w:rsidRPr="007E61A0">
              <w:t>446/836(53.3)</w:t>
            </w:r>
          </w:p>
        </w:tc>
        <w:tc>
          <w:tcPr>
            <w:tcW w:w="984" w:type="pct"/>
            <w:tcBorders>
              <w:top w:val="single" w:sz="4" w:space="0" w:color="auto"/>
            </w:tcBorders>
            <w:shd w:val="clear" w:color="auto" w:fill="auto"/>
            <w:vAlign w:val="center"/>
          </w:tcPr>
          <w:p w14:paraId="421A4228" w14:textId="77777777" w:rsidR="00434515" w:rsidRPr="007E61A0" w:rsidRDefault="00434515" w:rsidP="006D0001">
            <w:pPr>
              <w:pStyle w:val="TableText0"/>
              <w:jc w:val="center"/>
            </w:pPr>
            <w:r w:rsidRPr="007E61A0">
              <w:t>127/422 (30.1)</w:t>
            </w:r>
          </w:p>
        </w:tc>
        <w:tc>
          <w:tcPr>
            <w:tcW w:w="984" w:type="pct"/>
            <w:tcBorders>
              <w:top w:val="single" w:sz="4" w:space="0" w:color="auto"/>
            </w:tcBorders>
            <w:shd w:val="clear" w:color="000000" w:fill="FFFFFF"/>
            <w:vAlign w:val="center"/>
          </w:tcPr>
          <w:p w14:paraId="0468CDA7" w14:textId="77777777" w:rsidR="00434515" w:rsidRPr="007E61A0" w:rsidRDefault="00434515" w:rsidP="006D0001">
            <w:pPr>
              <w:pStyle w:val="TableText0"/>
              <w:jc w:val="center"/>
              <w:rPr>
                <w:b/>
                <w:bCs w:val="0"/>
              </w:rPr>
            </w:pPr>
            <w:r w:rsidRPr="007E61A0">
              <w:rPr>
                <w:b/>
                <w:bCs w:val="0"/>
              </w:rPr>
              <w:t>2.68 (2.02, 3.56)</w:t>
            </w:r>
          </w:p>
          <w:p w14:paraId="43A64055" w14:textId="77777777" w:rsidR="00434515" w:rsidRPr="007E61A0" w:rsidRDefault="00434515" w:rsidP="006D0001">
            <w:pPr>
              <w:pStyle w:val="TableText0"/>
              <w:jc w:val="center"/>
              <w:rPr>
                <w:b/>
                <w:bCs w:val="0"/>
              </w:rPr>
            </w:pPr>
            <w:r w:rsidRPr="007E61A0">
              <w:rPr>
                <w:b/>
                <w:bCs w:val="0"/>
              </w:rPr>
              <w:t>p &lt; 0.00001</w:t>
            </w:r>
          </w:p>
        </w:tc>
        <w:tc>
          <w:tcPr>
            <w:tcW w:w="985" w:type="pct"/>
            <w:tcBorders>
              <w:top w:val="single" w:sz="4" w:space="0" w:color="auto"/>
            </w:tcBorders>
            <w:shd w:val="clear" w:color="000000" w:fill="FFFFFF"/>
            <w:vAlign w:val="center"/>
          </w:tcPr>
          <w:p w14:paraId="5BFECD5A" w14:textId="77777777" w:rsidR="00434515" w:rsidRPr="007E61A0" w:rsidRDefault="00434515" w:rsidP="006D0001">
            <w:pPr>
              <w:pStyle w:val="TableText0"/>
              <w:jc w:val="center"/>
              <w:rPr>
                <w:b/>
                <w:bCs w:val="0"/>
              </w:rPr>
            </w:pPr>
            <w:r w:rsidRPr="007E61A0">
              <w:rPr>
                <w:b/>
                <w:bCs w:val="0"/>
              </w:rPr>
              <w:t>0.24 (0.16, 0.31)</w:t>
            </w:r>
          </w:p>
          <w:p w14:paraId="5918D2AE" w14:textId="77777777" w:rsidR="00434515" w:rsidRPr="007E61A0" w:rsidRDefault="00434515" w:rsidP="006D0001">
            <w:pPr>
              <w:pStyle w:val="TableText0"/>
              <w:jc w:val="center"/>
              <w:rPr>
                <w:b/>
                <w:bCs w:val="0"/>
              </w:rPr>
            </w:pPr>
            <w:r w:rsidRPr="007E61A0">
              <w:rPr>
                <w:b/>
                <w:bCs w:val="0"/>
              </w:rPr>
              <w:t>p &lt; 0.00001</w:t>
            </w:r>
          </w:p>
        </w:tc>
      </w:tr>
      <w:tr w:rsidR="00534AF0" w:rsidRPr="007E61A0" w14:paraId="4560232D" w14:textId="77777777" w:rsidTr="00C02A08">
        <w:tc>
          <w:tcPr>
            <w:tcW w:w="378" w:type="pct"/>
            <w:vMerge/>
            <w:vAlign w:val="center"/>
          </w:tcPr>
          <w:p w14:paraId="374C03D9" w14:textId="77777777" w:rsidR="00434515" w:rsidRPr="007E61A0" w:rsidRDefault="00434515" w:rsidP="006D0001">
            <w:pPr>
              <w:pStyle w:val="TableText0"/>
            </w:pPr>
          </w:p>
        </w:tc>
        <w:tc>
          <w:tcPr>
            <w:tcW w:w="686" w:type="pct"/>
            <w:vMerge/>
            <w:vAlign w:val="center"/>
          </w:tcPr>
          <w:p w14:paraId="7A3C79CA" w14:textId="77777777" w:rsidR="00434515" w:rsidRPr="007E61A0" w:rsidRDefault="00434515" w:rsidP="006D0001">
            <w:pPr>
              <w:pStyle w:val="TableText0"/>
            </w:pPr>
          </w:p>
        </w:tc>
        <w:tc>
          <w:tcPr>
            <w:tcW w:w="1967" w:type="pct"/>
            <w:gridSpan w:val="2"/>
            <w:vAlign w:val="center"/>
          </w:tcPr>
          <w:p w14:paraId="7D19320A" w14:textId="77777777" w:rsidR="00434515" w:rsidRPr="007E61A0" w:rsidRDefault="00434515" w:rsidP="006D0001">
            <w:pPr>
              <w:pStyle w:val="TableText0"/>
            </w:pPr>
            <w:r w:rsidRPr="007E61A0">
              <w:t>Heterogeneity (I</w:t>
            </w:r>
            <w:r w:rsidRPr="007E61A0">
              <w:rPr>
                <w:vertAlign w:val="superscript"/>
              </w:rPr>
              <w:t>2</w:t>
            </w:r>
            <w:r w:rsidRPr="007E61A0">
              <w:t>); p-value</w:t>
            </w:r>
          </w:p>
        </w:tc>
        <w:tc>
          <w:tcPr>
            <w:tcW w:w="984" w:type="pct"/>
            <w:shd w:val="clear" w:color="000000" w:fill="FFFFFF"/>
            <w:vAlign w:val="center"/>
          </w:tcPr>
          <w:p w14:paraId="4AA1ACFB" w14:textId="77777777" w:rsidR="00434515" w:rsidRPr="007E61A0" w:rsidRDefault="00434515" w:rsidP="006D0001">
            <w:pPr>
              <w:pStyle w:val="TableText0"/>
              <w:jc w:val="center"/>
              <w:rPr>
                <w:b/>
                <w:bCs w:val="0"/>
              </w:rPr>
            </w:pPr>
            <w:r w:rsidRPr="007E61A0">
              <w:t>22%; 0.26</w:t>
            </w:r>
          </w:p>
        </w:tc>
        <w:tc>
          <w:tcPr>
            <w:tcW w:w="985" w:type="pct"/>
            <w:shd w:val="clear" w:color="000000" w:fill="FFFFFF"/>
            <w:vAlign w:val="center"/>
          </w:tcPr>
          <w:p w14:paraId="3776030F" w14:textId="77777777" w:rsidR="00434515" w:rsidRPr="007E61A0" w:rsidRDefault="00434515" w:rsidP="006D0001">
            <w:pPr>
              <w:pStyle w:val="TableText0"/>
              <w:jc w:val="center"/>
              <w:rPr>
                <w:b/>
                <w:bCs w:val="0"/>
              </w:rPr>
            </w:pPr>
            <w:r w:rsidRPr="007E61A0">
              <w:t>41%; 0.19</w:t>
            </w:r>
          </w:p>
        </w:tc>
      </w:tr>
      <w:tr w:rsidR="00534AF0" w:rsidRPr="007E61A0" w14:paraId="6914B61B" w14:textId="77777777" w:rsidTr="006D0001">
        <w:tc>
          <w:tcPr>
            <w:tcW w:w="5000" w:type="pct"/>
            <w:gridSpan w:val="6"/>
            <w:vAlign w:val="center"/>
          </w:tcPr>
          <w:p w14:paraId="14324F31" w14:textId="77777777" w:rsidR="00434515" w:rsidRPr="007E61A0" w:rsidRDefault="00434515" w:rsidP="006D0001">
            <w:pPr>
              <w:pStyle w:val="TableText0"/>
              <w:rPr>
                <w:b/>
                <w:bCs w:val="0"/>
              </w:rPr>
            </w:pPr>
            <w:r w:rsidRPr="007E61A0">
              <w:rPr>
                <w:b/>
                <w:bCs w:val="0"/>
              </w:rPr>
              <w:t>PASI 75</w:t>
            </w:r>
          </w:p>
        </w:tc>
      </w:tr>
      <w:tr w:rsidR="00534AF0" w:rsidRPr="007E61A0" w14:paraId="18B1D5E3" w14:textId="77777777" w:rsidTr="006D0001">
        <w:tc>
          <w:tcPr>
            <w:tcW w:w="378" w:type="pct"/>
            <w:vMerge w:val="restart"/>
            <w:vAlign w:val="center"/>
          </w:tcPr>
          <w:p w14:paraId="5442B974" w14:textId="0DD85FE7" w:rsidR="00C02A08" w:rsidRPr="007E61A0" w:rsidRDefault="00C02A08" w:rsidP="00C02A08">
            <w:pPr>
              <w:pStyle w:val="TableText0"/>
            </w:pPr>
            <w:r w:rsidRPr="007E61A0">
              <w:t>Wk. 16</w:t>
            </w:r>
          </w:p>
        </w:tc>
        <w:tc>
          <w:tcPr>
            <w:tcW w:w="686" w:type="pct"/>
            <w:vAlign w:val="center"/>
          </w:tcPr>
          <w:p w14:paraId="1ED16944" w14:textId="2672B897" w:rsidR="00C02A08" w:rsidRPr="007E61A0" w:rsidRDefault="00C02A08" w:rsidP="00C02A08">
            <w:pPr>
              <w:pStyle w:val="TableText0"/>
            </w:pPr>
            <w:r w:rsidRPr="007E61A0">
              <w:t>POETYK 1</w:t>
            </w:r>
          </w:p>
        </w:tc>
        <w:tc>
          <w:tcPr>
            <w:tcW w:w="983" w:type="pct"/>
            <w:vAlign w:val="center"/>
          </w:tcPr>
          <w:p w14:paraId="62C00C2D" w14:textId="1A203F4A" w:rsidR="00C02A08" w:rsidRPr="007E61A0" w:rsidRDefault="00C02A08" w:rsidP="00C02A08">
            <w:pPr>
              <w:pStyle w:val="TableText0"/>
              <w:jc w:val="center"/>
            </w:pPr>
            <w:r w:rsidRPr="007E61A0">
              <w:t>194/332 (58.4)</w:t>
            </w:r>
          </w:p>
        </w:tc>
        <w:tc>
          <w:tcPr>
            <w:tcW w:w="984" w:type="pct"/>
            <w:vAlign w:val="center"/>
          </w:tcPr>
          <w:p w14:paraId="7C9FF635" w14:textId="6228C9D4" w:rsidR="00C02A08" w:rsidRPr="007E61A0" w:rsidRDefault="00C02A08" w:rsidP="00C02A08">
            <w:pPr>
              <w:pStyle w:val="TableText0"/>
              <w:jc w:val="center"/>
            </w:pPr>
            <w:r w:rsidRPr="007E61A0">
              <w:t>59/168 (35.1)</w:t>
            </w:r>
          </w:p>
        </w:tc>
        <w:tc>
          <w:tcPr>
            <w:tcW w:w="984" w:type="pct"/>
            <w:vAlign w:val="center"/>
          </w:tcPr>
          <w:p w14:paraId="1FB5439F" w14:textId="28D9E646" w:rsidR="00C02A08" w:rsidRPr="007E61A0" w:rsidRDefault="00C02A08" w:rsidP="00C02A08">
            <w:pPr>
              <w:pStyle w:val="TableText0"/>
              <w:jc w:val="center"/>
              <w:rPr>
                <w:b/>
                <w:bCs w:val="0"/>
              </w:rPr>
            </w:pPr>
            <w:r w:rsidRPr="007E61A0">
              <w:rPr>
                <w:b/>
                <w:bCs w:val="0"/>
              </w:rPr>
              <w:t>2.60 (1.77, 3.82)</w:t>
            </w:r>
          </w:p>
        </w:tc>
        <w:tc>
          <w:tcPr>
            <w:tcW w:w="985" w:type="pct"/>
            <w:vAlign w:val="center"/>
          </w:tcPr>
          <w:p w14:paraId="07EFE1B0" w14:textId="20FE1EBF" w:rsidR="00C02A08" w:rsidRPr="007E61A0" w:rsidRDefault="00C02A08" w:rsidP="00C02A08">
            <w:pPr>
              <w:pStyle w:val="TableText0"/>
              <w:jc w:val="center"/>
              <w:rPr>
                <w:b/>
                <w:bCs w:val="0"/>
              </w:rPr>
            </w:pPr>
            <w:r w:rsidRPr="007E61A0">
              <w:rPr>
                <w:b/>
                <w:bCs w:val="0"/>
              </w:rPr>
              <w:t>0.23 (0.14, 0.32)</w:t>
            </w:r>
          </w:p>
        </w:tc>
      </w:tr>
      <w:tr w:rsidR="00534AF0" w:rsidRPr="007E61A0" w14:paraId="6B396E3D" w14:textId="77777777" w:rsidTr="006D0001">
        <w:tc>
          <w:tcPr>
            <w:tcW w:w="378" w:type="pct"/>
            <w:vMerge/>
            <w:vAlign w:val="center"/>
          </w:tcPr>
          <w:p w14:paraId="104C37A7" w14:textId="77777777" w:rsidR="00C02A08" w:rsidRPr="007E61A0" w:rsidRDefault="00C02A08" w:rsidP="00C02A08">
            <w:pPr>
              <w:pStyle w:val="TableText0"/>
            </w:pPr>
          </w:p>
        </w:tc>
        <w:tc>
          <w:tcPr>
            <w:tcW w:w="686" w:type="pct"/>
            <w:vAlign w:val="center"/>
          </w:tcPr>
          <w:p w14:paraId="56FFBAC3" w14:textId="44A753A0" w:rsidR="00C02A08" w:rsidRPr="007E61A0" w:rsidRDefault="00C02A08" w:rsidP="00C02A08">
            <w:pPr>
              <w:pStyle w:val="TableText0"/>
            </w:pPr>
            <w:r w:rsidRPr="007E61A0">
              <w:t>POETYK 2</w:t>
            </w:r>
          </w:p>
        </w:tc>
        <w:tc>
          <w:tcPr>
            <w:tcW w:w="983" w:type="pct"/>
            <w:vAlign w:val="center"/>
          </w:tcPr>
          <w:p w14:paraId="2BACB46A" w14:textId="623FF112" w:rsidR="00C02A08" w:rsidRPr="007E61A0" w:rsidRDefault="00C02A08" w:rsidP="00C02A08">
            <w:pPr>
              <w:pStyle w:val="TableText0"/>
              <w:jc w:val="center"/>
            </w:pPr>
            <w:r w:rsidRPr="007E61A0">
              <w:t>271/511 (53.0)</w:t>
            </w:r>
          </w:p>
        </w:tc>
        <w:tc>
          <w:tcPr>
            <w:tcW w:w="984" w:type="pct"/>
            <w:vAlign w:val="center"/>
          </w:tcPr>
          <w:p w14:paraId="1B921DBA" w14:textId="4A103879" w:rsidR="00C02A08" w:rsidRPr="007E61A0" w:rsidRDefault="00C02A08" w:rsidP="00C02A08">
            <w:pPr>
              <w:pStyle w:val="TableText0"/>
              <w:jc w:val="center"/>
            </w:pPr>
            <w:r w:rsidRPr="007E61A0">
              <w:t>101/254 (39.8)</w:t>
            </w:r>
          </w:p>
        </w:tc>
        <w:tc>
          <w:tcPr>
            <w:tcW w:w="984" w:type="pct"/>
            <w:vAlign w:val="center"/>
          </w:tcPr>
          <w:p w14:paraId="4F8B2C88" w14:textId="12CF8BE5" w:rsidR="00C02A08" w:rsidRPr="007E61A0" w:rsidRDefault="00C02A08" w:rsidP="00C02A08">
            <w:pPr>
              <w:pStyle w:val="TableText0"/>
              <w:jc w:val="center"/>
              <w:rPr>
                <w:b/>
                <w:bCs w:val="0"/>
              </w:rPr>
            </w:pPr>
            <w:r w:rsidRPr="007E61A0">
              <w:rPr>
                <w:b/>
                <w:bCs w:val="0"/>
              </w:rPr>
              <w:t>1.71 (1.26, 2.32)</w:t>
            </w:r>
          </w:p>
        </w:tc>
        <w:tc>
          <w:tcPr>
            <w:tcW w:w="985" w:type="pct"/>
            <w:vAlign w:val="center"/>
          </w:tcPr>
          <w:p w14:paraId="29382D95" w14:textId="7B532D32" w:rsidR="00C02A08" w:rsidRPr="007E61A0" w:rsidRDefault="00C02A08" w:rsidP="00C02A08">
            <w:pPr>
              <w:pStyle w:val="TableText0"/>
              <w:jc w:val="center"/>
              <w:rPr>
                <w:b/>
                <w:bCs w:val="0"/>
              </w:rPr>
            </w:pPr>
            <w:r w:rsidRPr="007E61A0">
              <w:rPr>
                <w:b/>
                <w:bCs w:val="0"/>
              </w:rPr>
              <w:t>0.13 (0.06, 0.21)</w:t>
            </w:r>
          </w:p>
        </w:tc>
      </w:tr>
      <w:tr w:rsidR="00534AF0" w:rsidRPr="007E61A0" w14:paraId="7F4AB93D" w14:textId="77777777" w:rsidTr="006D0001">
        <w:tc>
          <w:tcPr>
            <w:tcW w:w="378" w:type="pct"/>
            <w:vMerge/>
            <w:vAlign w:val="center"/>
          </w:tcPr>
          <w:p w14:paraId="1520ACC2" w14:textId="77777777" w:rsidR="00C02A08" w:rsidRPr="007E61A0" w:rsidRDefault="00C02A08" w:rsidP="00C02A08">
            <w:pPr>
              <w:pStyle w:val="TableText0"/>
            </w:pPr>
          </w:p>
        </w:tc>
        <w:tc>
          <w:tcPr>
            <w:tcW w:w="686" w:type="pct"/>
            <w:vMerge w:val="restart"/>
            <w:vAlign w:val="center"/>
          </w:tcPr>
          <w:p w14:paraId="21904F4B" w14:textId="57AA6C90" w:rsidR="00C02A08" w:rsidRPr="007E61A0" w:rsidRDefault="00C02A08" w:rsidP="00C02A08">
            <w:pPr>
              <w:pStyle w:val="TableText0"/>
            </w:pPr>
            <w:r w:rsidRPr="007E61A0">
              <w:t xml:space="preserve">Meta-analysis </w:t>
            </w:r>
          </w:p>
        </w:tc>
        <w:tc>
          <w:tcPr>
            <w:tcW w:w="983" w:type="pct"/>
            <w:vAlign w:val="center"/>
          </w:tcPr>
          <w:p w14:paraId="383EA84B" w14:textId="6C533CB5" w:rsidR="00C02A08" w:rsidRPr="007E61A0" w:rsidRDefault="00C02A08" w:rsidP="00C02A08">
            <w:pPr>
              <w:pStyle w:val="TableText0"/>
              <w:jc w:val="center"/>
            </w:pPr>
            <w:r w:rsidRPr="007E61A0">
              <w:t>465/843 (55.2)</w:t>
            </w:r>
          </w:p>
        </w:tc>
        <w:tc>
          <w:tcPr>
            <w:tcW w:w="984" w:type="pct"/>
            <w:vAlign w:val="center"/>
          </w:tcPr>
          <w:p w14:paraId="56CB19FD" w14:textId="504CD4BA" w:rsidR="00C02A08" w:rsidRPr="007E61A0" w:rsidRDefault="00C02A08" w:rsidP="00C02A08">
            <w:pPr>
              <w:pStyle w:val="TableText0"/>
              <w:jc w:val="center"/>
            </w:pPr>
            <w:r w:rsidRPr="007E61A0">
              <w:t>160/422 (37.9)</w:t>
            </w:r>
          </w:p>
        </w:tc>
        <w:tc>
          <w:tcPr>
            <w:tcW w:w="984" w:type="pct"/>
            <w:vAlign w:val="center"/>
          </w:tcPr>
          <w:p w14:paraId="6273D429" w14:textId="77777777" w:rsidR="00C02A08" w:rsidRPr="007E61A0" w:rsidRDefault="00C02A08" w:rsidP="00C02A08">
            <w:pPr>
              <w:pStyle w:val="TableText0"/>
              <w:jc w:val="center"/>
              <w:rPr>
                <w:b/>
                <w:bCs w:val="0"/>
              </w:rPr>
            </w:pPr>
            <w:r w:rsidRPr="007E61A0">
              <w:rPr>
                <w:b/>
                <w:bCs w:val="0"/>
              </w:rPr>
              <w:t>2.07 (1.38, 3.12)</w:t>
            </w:r>
          </w:p>
          <w:p w14:paraId="48B0E975" w14:textId="5DA956B3" w:rsidR="0057533B" w:rsidRPr="007E61A0" w:rsidRDefault="0057533B" w:rsidP="00C02A08">
            <w:pPr>
              <w:pStyle w:val="TableText0"/>
              <w:jc w:val="center"/>
              <w:rPr>
                <w:b/>
                <w:bCs w:val="0"/>
              </w:rPr>
            </w:pPr>
            <w:r w:rsidRPr="007E61A0">
              <w:rPr>
                <w:b/>
                <w:bCs w:val="0"/>
              </w:rPr>
              <w:t>p = 0.0005</w:t>
            </w:r>
          </w:p>
        </w:tc>
        <w:tc>
          <w:tcPr>
            <w:tcW w:w="985" w:type="pct"/>
            <w:vAlign w:val="center"/>
          </w:tcPr>
          <w:p w14:paraId="56D928E4" w14:textId="77777777" w:rsidR="00C02A08" w:rsidRPr="007E61A0" w:rsidRDefault="00C02A08" w:rsidP="00C02A08">
            <w:pPr>
              <w:pStyle w:val="TableText0"/>
              <w:jc w:val="center"/>
              <w:rPr>
                <w:b/>
                <w:bCs w:val="0"/>
              </w:rPr>
            </w:pPr>
            <w:r w:rsidRPr="007E61A0">
              <w:rPr>
                <w:b/>
                <w:bCs w:val="0"/>
              </w:rPr>
              <w:t>0.18 (0.08, 0.28)</w:t>
            </w:r>
          </w:p>
          <w:p w14:paraId="45F91295" w14:textId="606D0ECE" w:rsidR="0057533B" w:rsidRPr="007E61A0" w:rsidRDefault="0057533B" w:rsidP="00C02A08">
            <w:pPr>
              <w:pStyle w:val="TableText0"/>
              <w:jc w:val="center"/>
              <w:rPr>
                <w:b/>
                <w:bCs w:val="0"/>
              </w:rPr>
            </w:pPr>
            <w:r w:rsidRPr="007E61A0">
              <w:rPr>
                <w:b/>
                <w:bCs w:val="0"/>
              </w:rPr>
              <w:t>p = 0.0003</w:t>
            </w:r>
          </w:p>
        </w:tc>
      </w:tr>
      <w:tr w:rsidR="00534AF0" w:rsidRPr="007E61A0" w14:paraId="4B9364A5" w14:textId="77777777" w:rsidTr="00C02A08">
        <w:tc>
          <w:tcPr>
            <w:tcW w:w="378" w:type="pct"/>
            <w:vMerge/>
            <w:vAlign w:val="center"/>
          </w:tcPr>
          <w:p w14:paraId="4F613861" w14:textId="77777777" w:rsidR="00C02A08" w:rsidRPr="007E61A0" w:rsidRDefault="00C02A08" w:rsidP="00C02A08">
            <w:pPr>
              <w:pStyle w:val="TableText0"/>
            </w:pPr>
          </w:p>
        </w:tc>
        <w:tc>
          <w:tcPr>
            <w:tcW w:w="686" w:type="pct"/>
            <w:vMerge/>
            <w:vAlign w:val="center"/>
          </w:tcPr>
          <w:p w14:paraId="5FBCC6FD" w14:textId="03B58CAE" w:rsidR="00C02A08" w:rsidRPr="007E61A0" w:rsidRDefault="00C02A08" w:rsidP="00C02A08">
            <w:pPr>
              <w:pStyle w:val="TableText0"/>
            </w:pPr>
          </w:p>
        </w:tc>
        <w:tc>
          <w:tcPr>
            <w:tcW w:w="1967" w:type="pct"/>
            <w:gridSpan w:val="2"/>
            <w:vAlign w:val="center"/>
          </w:tcPr>
          <w:p w14:paraId="4CC8F831" w14:textId="66E2AB4D" w:rsidR="00C02A08" w:rsidRPr="007E61A0" w:rsidRDefault="00C02A08" w:rsidP="00C02A08">
            <w:pPr>
              <w:pStyle w:val="TableText0"/>
            </w:pPr>
            <w:r w:rsidRPr="007E61A0">
              <w:t>Heterogeneity (I</w:t>
            </w:r>
            <w:r w:rsidRPr="007E61A0">
              <w:rPr>
                <w:vertAlign w:val="superscript"/>
              </w:rPr>
              <w:t>2</w:t>
            </w:r>
            <w:r w:rsidRPr="007E61A0">
              <w:t>); p-value</w:t>
            </w:r>
          </w:p>
        </w:tc>
        <w:tc>
          <w:tcPr>
            <w:tcW w:w="984" w:type="pct"/>
            <w:vAlign w:val="center"/>
          </w:tcPr>
          <w:p w14:paraId="54E6533B" w14:textId="59E12079" w:rsidR="00C02A08" w:rsidRPr="007E61A0" w:rsidRDefault="00C02A08" w:rsidP="00C02A08">
            <w:pPr>
              <w:pStyle w:val="TableText0"/>
              <w:jc w:val="center"/>
              <w:rPr>
                <w:b/>
                <w:bCs w:val="0"/>
              </w:rPr>
            </w:pPr>
            <w:r w:rsidRPr="007E61A0">
              <w:t>64%; 0.10</w:t>
            </w:r>
          </w:p>
        </w:tc>
        <w:tc>
          <w:tcPr>
            <w:tcW w:w="985" w:type="pct"/>
            <w:vAlign w:val="center"/>
          </w:tcPr>
          <w:p w14:paraId="2313D9B3" w14:textId="3521F202" w:rsidR="00C02A08" w:rsidRPr="007E61A0" w:rsidRDefault="00C02A08" w:rsidP="00C02A08">
            <w:pPr>
              <w:pStyle w:val="TableText0"/>
              <w:jc w:val="center"/>
              <w:rPr>
                <w:b/>
                <w:bCs w:val="0"/>
              </w:rPr>
            </w:pPr>
            <w:r w:rsidRPr="007E61A0">
              <w:t>65%; 0.09</w:t>
            </w:r>
          </w:p>
        </w:tc>
      </w:tr>
      <w:tr w:rsidR="00534AF0" w:rsidRPr="007E61A0" w14:paraId="64C37F1D" w14:textId="77777777" w:rsidTr="00C02A08">
        <w:tc>
          <w:tcPr>
            <w:tcW w:w="378" w:type="pct"/>
            <w:vMerge w:val="restart"/>
            <w:vAlign w:val="center"/>
          </w:tcPr>
          <w:p w14:paraId="5A9B298F" w14:textId="77777777" w:rsidR="00C02A08" w:rsidRPr="007E61A0" w:rsidRDefault="00C02A08" w:rsidP="00C02A08">
            <w:pPr>
              <w:pStyle w:val="TableText0"/>
            </w:pPr>
            <w:r w:rsidRPr="007E61A0">
              <w:t>Wk. 24</w:t>
            </w:r>
          </w:p>
        </w:tc>
        <w:tc>
          <w:tcPr>
            <w:tcW w:w="686" w:type="pct"/>
            <w:shd w:val="clear" w:color="auto" w:fill="auto"/>
            <w:vAlign w:val="center"/>
          </w:tcPr>
          <w:p w14:paraId="0D96478B" w14:textId="77777777" w:rsidR="00C02A08" w:rsidRPr="007E61A0" w:rsidRDefault="00C02A08" w:rsidP="00C02A08">
            <w:pPr>
              <w:pStyle w:val="TableText0"/>
            </w:pPr>
            <w:r w:rsidRPr="007E61A0">
              <w:t>POETYK 1</w:t>
            </w:r>
          </w:p>
        </w:tc>
        <w:tc>
          <w:tcPr>
            <w:tcW w:w="983" w:type="pct"/>
            <w:shd w:val="clear" w:color="auto" w:fill="auto"/>
            <w:vAlign w:val="center"/>
          </w:tcPr>
          <w:p w14:paraId="04B68472" w14:textId="3CF05E29" w:rsidR="00C02A08" w:rsidRPr="007E61A0" w:rsidRDefault="00C02A08" w:rsidP="00C02A08">
            <w:pPr>
              <w:pStyle w:val="TableText0"/>
              <w:jc w:val="center"/>
            </w:pPr>
            <w:r w:rsidRPr="007E61A0">
              <w:t>230/332 (69.3)</w:t>
            </w:r>
          </w:p>
        </w:tc>
        <w:tc>
          <w:tcPr>
            <w:tcW w:w="984" w:type="pct"/>
            <w:shd w:val="clear" w:color="auto" w:fill="auto"/>
            <w:vAlign w:val="center"/>
          </w:tcPr>
          <w:p w14:paraId="6903C3EE" w14:textId="77777777" w:rsidR="00C02A08" w:rsidRPr="007E61A0" w:rsidRDefault="00C02A08" w:rsidP="00C02A08">
            <w:pPr>
              <w:pStyle w:val="TableText0"/>
              <w:jc w:val="center"/>
            </w:pPr>
            <w:r w:rsidRPr="007E61A0">
              <w:t>64/168 (38.1)</w:t>
            </w:r>
          </w:p>
        </w:tc>
        <w:tc>
          <w:tcPr>
            <w:tcW w:w="984" w:type="pct"/>
            <w:shd w:val="clear" w:color="000000" w:fill="FFFFFF"/>
            <w:vAlign w:val="center"/>
          </w:tcPr>
          <w:p w14:paraId="50807C58" w14:textId="77777777" w:rsidR="00C02A08" w:rsidRPr="007E61A0" w:rsidRDefault="00C02A08" w:rsidP="00C02A08">
            <w:pPr>
              <w:pStyle w:val="TableText0"/>
              <w:jc w:val="center"/>
              <w:rPr>
                <w:b/>
                <w:bCs w:val="0"/>
              </w:rPr>
            </w:pPr>
            <w:r w:rsidRPr="007E61A0">
              <w:rPr>
                <w:b/>
                <w:bCs w:val="0"/>
              </w:rPr>
              <w:t>3.66 (2.48, 5.41)</w:t>
            </w:r>
          </w:p>
        </w:tc>
        <w:tc>
          <w:tcPr>
            <w:tcW w:w="985" w:type="pct"/>
            <w:shd w:val="clear" w:color="000000" w:fill="FFFFFF"/>
            <w:vAlign w:val="center"/>
          </w:tcPr>
          <w:p w14:paraId="6C2F119C" w14:textId="77777777" w:rsidR="00C02A08" w:rsidRPr="007E61A0" w:rsidRDefault="00C02A08" w:rsidP="00C02A08">
            <w:pPr>
              <w:pStyle w:val="TableText0"/>
              <w:jc w:val="center"/>
              <w:rPr>
                <w:b/>
                <w:bCs w:val="0"/>
              </w:rPr>
            </w:pPr>
            <w:r w:rsidRPr="007E61A0">
              <w:rPr>
                <w:b/>
                <w:bCs w:val="0"/>
              </w:rPr>
              <w:t>0.31 (0.22, 0.40)</w:t>
            </w:r>
          </w:p>
        </w:tc>
      </w:tr>
      <w:tr w:rsidR="00534AF0" w:rsidRPr="007E61A0" w14:paraId="163E820D" w14:textId="77777777" w:rsidTr="00C02A08">
        <w:tc>
          <w:tcPr>
            <w:tcW w:w="378" w:type="pct"/>
            <w:vMerge/>
            <w:vAlign w:val="center"/>
          </w:tcPr>
          <w:p w14:paraId="3AF055AD" w14:textId="77777777" w:rsidR="00C02A08" w:rsidRPr="007E61A0" w:rsidRDefault="00C02A08" w:rsidP="00C02A08">
            <w:pPr>
              <w:pStyle w:val="TableText0"/>
            </w:pPr>
          </w:p>
        </w:tc>
        <w:tc>
          <w:tcPr>
            <w:tcW w:w="686" w:type="pct"/>
            <w:shd w:val="clear" w:color="auto" w:fill="auto"/>
            <w:vAlign w:val="center"/>
          </w:tcPr>
          <w:p w14:paraId="31139508" w14:textId="77777777" w:rsidR="00C02A08" w:rsidRPr="007E61A0" w:rsidRDefault="00C02A08" w:rsidP="00C02A08">
            <w:pPr>
              <w:pStyle w:val="TableText0"/>
            </w:pPr>
            <w:r w:rsidRPr="007E61A0">
              <w:t>POETYK 2</w:t>
            </w:r>
          </w:p>
        </w:tc>
        <w:tc>
          <w:tcPr>
            <w:tcW w:w="983" w:type="pct"/>
            <w:tcBorders>
              <w:bottom w:val="single" w:sz="4" w:space="0" w:color="auto"/>
            </w:tcBorders>
            <w:shd w:val="clear" w:color="auto" w:fill="auto"/>
            <w:vAlign w:val="center"/>
          </w:tcPr>
          <w:p w14:paraId="2AE3274A" w14:textId="6C591346" w:rsidR="00C02A08" w:rsidRPr="007E61A0" w:rsidRDefault="00C02A08" w:rsidP="00C02A08">
            <w:pPr>
              <w:pStyle w:val="TableText0"/>
              <w:jc w:val="center"/>
            </w:pPr>
            <w:r w:rsidRPr="007E61A0">
              <w:t>296/504 (58.7)</w:t>
            </w:r>
          </w:p>
        </w:tc>
        <w:tc>
          <w:tcPr>
            <w:tcW w:w="984" w:type="pct"/>
            <w:tcBorders>
              <w:bottom w:val="single" w:sz="4" w:space="0" w:color="auto"/>
            </w:tcBorders>
            <w:shd w:val="clear" w:color="auto" w:fill="auto"/>
            <w:vAlign w:val="center"/>
          </w:tcPr>
          <w:p w14:paraId="6766FF8C" w14:textId="77777777" w:rsidR="00C02A08" w:rsidRPr="007E61A0" w:rsidRDefault="00C02A08" w:rsidP="00C02A08">
            <w:pPr>
              <w:pStyle w:val="TableText0"/>
              <w:jc w:val="center"/>
            </w:pPr>
            <w:r w:rsidRPr="007E61A0">
              <w:t>96/254 (37.8)</w:t>
            </w:r>
          </w:p>
        </w:tc>
        <w:tc>
          <w:tcPr>
            <w:tcW w:w="984" w:type="pct"/>
            <w:tcBorders>
              <w:bottom w:val="single" w:sz="4" w:space="0" w:color="auto"/>
            </w:tcBorders>
            <w:shd w:val="clear" w:color="000000" w:fill="FFFFFF"/>
            <w:vAlign w:val="center"/>
          </w:tcPr>
          <w:p w14:paraId="75668A81" w14:textId="77777777" w:rsidR="00C02A08" w:rsidRPr="007E61A0" w:rsidRDefault="00C02A08" w:rsidP="00C02A08">
            <w:pPr>
              <w:pStyle w:val="TableText0"/>
              <w:jc w:val="center"/>
              <w:rPr>
                <w:b/>
                <w:bCs w:val="0"/>
              </w:rPr>
            </w:pPr>
            <w:r w:rsidRPr="007E61A0">
              <w:rPr>
                <w:b/>
                <w:bCs w:val="0"/>
              </w:rPr>
              <w:t>2.34 (1.72, 3.19)</w:t>
            </w:r>
          </w:p>
        </w:tc>
        <w:tc>
          <w:tcPr>
            <w:tcW w:w="985" w:type="pct"/>
            <w:tcBorders>
              <w:bottom w:val="single" w:sz="4" w:space="0" w:color="auto"/>
            </w:tcBorders>
            <w:shd w:val="clear" w:color="000000" w:fill="FFFFFF"/>
            <w:vAlign w:val="center"/>
          </w:tcPr>
          <w:p w14:paraId="79DC5F3C" w14:textId="77777777" w:rsidR="00C02A08" w:rsidRPr="007E61A0" w:rsidRDefault="00C02A08" w:rsidP="00C02A08">
            <w:pPr>
              <w:pStyle w:val="TableText0"/>
              <w:jc w:val="center"/>
              <w:rPr>
                <w:b/>
                <w:bCs w:val="0"/>
              </w:rPr>
            </w:pPr>
            <w:r w:rsidRPr="007E61A0">
              <w:rPr>
                <w:b/>
                <w:bCs w:val="0"/>
              </w:rPr>
              <w:t>0.21 (0.14, 0.28)</w:t>
            </w:r>
          </w:p>
        </w:tc>
      </w:tr>
      <w:tr w:rsidR="00534AF0" w:rsidRPr="007E61A0" w14:paraId="3804B5C5" w14:textId="77777777" w:rsidTr="00C02A08">
        <w:tc>
          <w:tcPr>
            <w:tcW w:w="378" w:type="pct"/>
            <w:vMerge/>
            <w:vAlign w:val="center"/>
          </w:tcPr>
          <w:p w14:paraId="770FECEF" w14:textId="77777777" w:rsidR="00C02A08" w:rsidRPr="007E61A0" w:rsidRDefault="00C02A08" w:rsidP="00C02A08">
            <w:pPr>
              <w:pStyle w:val="TableText0"/>
            </w:pPr>
          </w:p>
        </w:tc>
        <w:tc>
          <w:tcPr>
            <w:tcW w:w="686" w:type="pct"/>
            <w:vMerge w:val="restart"/>
            <w:vAlign w:val="center"/>
          </w:tcPr>
          <w:p w14:paraId="39018037" w14:textId="77777777" w:rsidR="00C02A08" w:rsidRPr="007E61A0" w:rsidRDefault="00C02A08" w:rsidP="00C02A08">
            <w:pPr>
              <w:pStyle w:val="TableText0"/>
            </w:pPr>
            <w:r w:rsidRPr="007E61A0">
              <w:t>Meta-analysis</w:t>
            </w:r>
          </w:p>
        </w:tc>
        <w:tc>
          <w:tcPr>
            <w:tcW w:w="983" w:type="pct"/>
            <w:tcBorders>
              <w:top w:val="single" w:sz="4" w:space="0" w:color="auto"/>
            </w:tcBorders>
            <w:shd w:val="clear" w:color="auto" w:fill="auto"/>
            <w:vAlign w:val="center"/>
          </w:tcPr>
          <w:p w14:paraId="6F5AB710" w14:textId="3045501A" w:rsidR="00C02A08" w:rsidRPr="007E61A0" w:rsidRDefault="00C02A08" w:rsidP="00C02A08">
            <w:pPr>
              <w:pStyle w:val="TableText0"/>
              <w:jc w:val="center"/>
            </w:pPr>
            <w:r w:rsidRPr="007E61A0">
              <w:t>526/836(62.9)</w:t>
            </w:r>
          </w:p>
        </w:tc>
        <w:tc>
          <w:tcPr>
            <w:tcW w:w="984" w:type="pct"/>
            <w:tcBorders>
              <w:top w:val="single" w:sz="4" w:space="0" w:color="auto"/>
            </w:tcBorders>
            <w:shd w:val="clear" w:color="auto" w:fill="auto"/>
            <w:vAlign w:val="center"/>
          </w:tcPr>
          <w:p w14:paraId="062DE211" w14:textId="77777777" w:rsidR="00C02A08" w:rsidRPr="007E61A0" w:rsidRDefault="00C02A08" w:rsidP="00C02A08">
            <w:pPr>
              <w:pStyle w:val="TableText0"/>
              <w:jc w:val="center"/>
            </w:pPr>
            <w:r w:rsidRPr="007E61A0">
              <w:t>160/422 (37.9)</w:t>
            </w:r>
          </w:p>
        </w:tc>
        <w:tc>
          <w:tcPr>
            <w:tcW w:w="984" w:type="pct"/>
            <w:tcBorders>
              <w:top w:val="single" w:sz="4" w:space="0" w:color="auto"/>
            </w:tcBorders>
            <w:shd w:val="clear" w:color="000000" w:fill="FFFFFF"/>
            <w:vAlign w:val="center"/>
          </w:tcPr>
          <w:p w14:paraId="29466664" w14:textId="77777777" w:rsidR="00C02A08" w:rsidRPr="007E61A0" w:rsidRDefault="00C02A08" w:rsidP="00C02A08">
            <w:pPr>
              <w:pStyle w:val="TableText0"/>
              <w:jc w:val="center"/>
              <w:rPr>
                <w:b/>
                <w:bCs w:val="0"/>
              </w:rPr>
            </w:pPr>
            <w:r w:rsidRPr="007E61A0">
              <w:rPr>
                <w:b/>
                <w:bCs w:val="0"/>
              </w:rPr>
              <w:t>2.88 (1.86, 4.46)</w:t>
            </w:r>
          </w:p>
          <w:p w14:paraId="0CD2D75C" w14:textId="77777777" w:rsidR="00C02A08" w:rsidRPr="007E61A0" w:rsidRDefault="00C02A08" w:rsidP="00C02A08">
            <w:pPr>
              <w:pStyle w:val="TableText0"/>
              <w:jc w:val="center"/>
              <w:rPr>
                <w:b/>
                <w:bCs w:val="0"/>
              </w:rPr>
            </w:pPr>
            <w:r w:rsidRPr="007E61A0">
              <w:rPr>
                <w:b/>
                <w:bCs w:val="0"/>
              </w:rPr>
              <w:t>p &lt; 0.00001</w:t>
            </w:r>
          </w:p>
        </w:tc>
        <w:tc>
          <w:tcPr>
            <w:tcW w:w="985" w:type="pct"/>
            <w:tcBorders>
              <w:top w:val="single" w:sz="4" w:space="0" w:color="auto"/>
            </w:tcBorders>
            <w:shd w:val="clear" w:color="000000" w:fill="FFFFFF"/>
            <w:vAlign w:val="center"/>
          </w:tcPr>
          <w:p w14:paraId="0F9C8D69" w14:textId="77777777" w:rsidR="00C02A08" w:rsidRPr="007E61A0" w:rsidRDefault="00C02A08" w:rsidP="00C02A08">
            <w:pPr>
              <w:pStyle w:val="TableText0"/>
              <w:jc w:val="center"/>
              <w:rPr>
                <w:b/>
                <w:bCs w:val="0"/>
              </w:rPr>
            </w:pPr>
            <w:r w:rsidRPr="007E61A0">
              <w:rPr>
                <w:b/>
                <w:bCs w:val="0"/>
              </w:rPr>
              <w:t>0.26 (0.16, 0.36)</w:t>
            </w:r>
          </w:p>
          <w:p w14:paraId="03E9B656" w14:textId="77777777" w:rsidR="00C02A08" w:rsidRPr="007E61A0" w:rsidRDefault="00C02A08" w:rsidP="00C02A08">
            <w:pPr>
              <w:pStyle w:val="TableText0"/>
              <w:jc w:val="center"/>
              <w:rPr>
                <w:b/>
                <w:bCs w:val="0"/>
              </w:rPr>
            </w:pPr>
            <w:r w:rsidRPr="007E61A0">
              <w:rPr>
                <w:b/>
                <w:bCs w:val="0"/>
              </w:rPr>
              <w:t>p &lt; 0.00001</w:t>
            </w:r>
          </w:p>
        </w:tc>
      </w:tr>
      <w:tr w:rsidR="00534AF0" w:rsidRPr="007E61A0" w14:paraId="35D8B061" w14:textId="77777777" w:rsidTr="00C02A08">
        <w:tc>
          <w:tcPr>
            <w:tcW w:w="378" w:type="pct"/>
            <w:vMerge/>
            <w:vAlign w:val="center"/>
          </w:tcPr>
          <w:p w14:paraId="27BE06B5" w14:textId="77777777" w:rsidR="00C02A08" w:rsidRPr="007E61A0" w:rsidRDefault="00C02A08" w:rsidP="00C02A08">
            <w:pPr>
              <w:pStyle w:val="TableText0"/>
            </w:pPr>
          </w:p>
        </w:tc>
        <w:tc>
          <w:tcPr>
            <w:tcW w:w="686" w:type="pct"/>
            <w:vMerge/>
          </w:tcPr>
          <w:p w14:paraId="401413D0" w14:textId="77777777" w:rsidR="00C02A08" w:rsidRPr="007E61A0" w:rsidRDefault="00C02A08" w:rsidP="00C02A08">
            <w:pPr>
              <w:pStyle w:val="TableText0"/>
              <w:jc w:val="center"/>
            </w:pPr>
          </w:p>
        </w:tc>
        <w:tc>
          <w:tcPr>
            <w:tcW w:w="1967" w:type="pct"/>
            <w:gridSpan w:val="2"/>
            <w:tcBorders>
              <w:top w:val="single" w:sz="4" w:space="0" w:color="auto"/>
              <w:bottom w:val="single" w:sz="4" w:space="0" w:color="auto"/>
            </w:tcBorders>
            <w:shd w:val="clear" w:color="auto" w:fill="auto"/>
            <w:vAlign w:val="center"/>
          </w:tcPr>
          <w:p w14:paraId="5D48E608" w14:textId="77777777" w:rsidR="00C02A08" w:rsidRPr="007E61A0" w:rsidRDefault="00C02A08" w:rsidP="00C02A08">
            <w:pPr>
              <w:pStyle w:val="TableText0"/>
            </w:pPr>
            <w:r w:rsidRPr="007E61A0">
              <w:t>Heterogeneity (I</w:t>
            </w:r>
            <w:r w:rsidRPr="007E61A0">
              <w:rPr>
                <w:vertAlign w:val="superscript"/>
              </w:rPr>
              <w:t>2</w:t>
            </w:r>
            <w:r w:rsidRPr="007E61A0">
              <w:t>); p-value</w:t>
            </w:r>
          </w:p>
        </w:tc>
        <w:tc>
          <w:tcPr>
            <w:tcW w:w="984" w:type="pct"/>
            <w:shd w:val="clear" w:color="000000" w:fill="FFFFFF"/>
            <w:vAlign w:val="center"/>
          </w:tcPr>
          <w:p w14:paraId="50ADA815" w14:textId="77777777" w:rsidR="00C02A08" w:rsidRPr="007E61A0" w:rsidRDefault="00C02A08" w:rsidP="00C02A08">
            <w:pPr>
              <w:pStyle w:val="TableText0"/>
              <w:jc w:val="center"/>
              <w:rPr>
                <w:b/>
                <w:bCs w:val="0"/>
              </w:rPr>
            </w:pPr>
            <w:r w:rsidRPr="007E61A0">
              <w:t>68%; 0.08</w:t>
            </w:r>
          </w:p>
        </w:tc>
        <w:tc>
          <w:tcPr>
            <w:tcW w:w="985" w:type="pct"/>
            <w:shd w:val="clear" w:color="000000" w:fill="FFFFFF"/>
            <w:vAlign w:val="center"/>
          </w:tcPr>
          <w:p w14:paraId="31160C0A" w14:textId="77777777" w:rsidR="00C02A08" w:rsidRPr="007E61A0" w:rsidRDefault="00C02A08" w:rsidP="00C02A08">
            <w:pPr>
              <w:pStyle w:val="TableText0"/>
              <w:jc w:val="center"/>
              <w:rPr>
                <w:b/>
                <w:bCs w:val="0"/>
              </w:rPr>
            </w:pPr>
            <w:r w:rsidRPr="007E61A0">
              <w:t>67%; 0.08</w:t>
            </w:r>
          </w:p>
        </w:tc>
      </w:tr>
      <w:tr w:rsidR="00534AF0" w:rsidRPr="007E61A0" w14:paraId="12883D51" w14:textId="77777777" w:rsidTr="006D0001">
        <w:tc>
          <w:tcPr>
            <w:tcW w:w="5000" w:type="pct"/>
            <w:gridSpan w:val="6"/>
            <w:vAlign w:val="center"/>
          </w:tcPr>
          <w:p w14:paraId="54F33D6C" w14:textId="77777777" w:rsidR="00C02A08" w:rsidRPr="007E61A0" w:rsidRDefault="00C02A08" w:rsidP="00C02A08">
            <w:pPr>
              <w:pStyle w:val="TableText0"/>
              <w:rPr>
                <w:b/>
                <w:bCs w:val="0"/>
              </w:rPr>
            </w:pPr>
            <w:r w:rsidRPr="007E61A0">
              <w:rPr>
                <w:b/>
                <w:bCs w:val="0"/>
              </w:rPr>
              <w:t>DLQI 0/1</w:t>
            </w:r>
            <w:r w:rsidRPr="007E61A0">
              <w:t xml:space="preserve"> </w:t>
            </w:r>
            <w:r w:rsidRPr="007E61A0">
              <w:rPr>
                <w:vertAlign w:val="superscript"/>
              </w:rPr>
              <w:t>a</w:t>
            </w:r>
          </w:p>
        </w:tc>
      </w:tr>
      <w:tr w:rsidR="00534AF0" w:rsidRPr="007E61A0" w14:paraId="7BFBF00B" w14:textId="77777777" w:rsidTr="00C02A08">
        <w:tc>
          <w:tcPr>
            <w:tcW w:w="378" w:type="pct"/>
            <w:vMerge w:val="restart"/>
            <w:vAlign w:val="center"/>
          </w:tcPr>
          <w:p w14:paraId="0FA5012E" w14:textId="77777777" w:rsidR="00C02A08" w:rsidRPr="007E61A0" w:rsidRDefault="00C02A08" w:rsidP="00C02A08">
            <w:pPr>
              <w:pStyle w:val="TableText0"/>
            </w:pPr>
            <w:r w:rsidRPr="007E61A0">
              <w:t>Wk. 16</w:t>
            </w:r>
          </w:p>
        </w:tc>
        <w:tc>
          <w:tcPr>
            <w:tcW w:w="686" w:type="pct"/>
            <w:vAlign w:val="center"/>
          </w:tcPr>
          <w:p w14:paraId="482AF064" w14:textId="77777777" w:rsidR="00C02A08" w:rsidRPr="007E61A0" w:rsidRDefault="00C02A08" w:rsidP="00C02A08">
            <w:pPr>
              <w:pStyle w:val="TableText0"/>
            </w:pPr>
            <w:r w:rsidRPr="007E61A0">
              <w:t>POETYK 1</w:t>
            </w:r>
          </w:p>
        </w:tc>
        <w:tc>
          <w:tcPr>
            <w:tcW w:w="983" w:type="pct"/>
            <w:shd w:val="clear" w:color="auto" w:fill="auto"/>
            <w:vAlign w:val="center"/>
          </w:tcPr>
          <w:p w14:paraId="03C90690" w14:textId="6E1ED008" w:rsidR="00C02A08" w:rsidRPr="007E61A0" w:rsidRDefault="00C02A08" w:rsidP="00C02A08">
            <w:pPr>
              <w:pStyle w:val="TableText0"/>
              <w:jc w:val="center"/>
            </w:pPr>
            <w:r w:rsidRPr="007E61A0">
              <w:t>132/322 (41.0)</w:t>
            </w:r>
          </w:p>
        </w:tc>
        <w:tc>
          <w:tcPr>
            <w:tcW w:w="984" w:type="pct"/>
            <w:shd w:val="clear" w:color="auto" w:fill="auto"/>
            <w:vAlign w:val="center"/>
          </w:tcPr>
          <w:p w14:paraId="520D788F" w14:textId="77777777" w:rsidR="00C02A08" w:rsidRPr="007E61A0" w:rsidRDefault="00C02A08" w:rsidP="00C02A08">
            <w:pPr>
              <w:pStyle w:val="TableText0"/>
              <w:jc w:val="center"/>
            </w:pPr>
            <w:r w:rsidRPr="007E61A0">
              <w:t>46/161 (28.6)</w:t>
            </w:r>
          </w:p>
        </w:tc>
        <w:tc>
          <w:tcPr>
            <w:tcW w:w="984" w:type="pct"/>
            <w:shd w:val="clear" w:color="000000" w:fill="FFFFFF"/>
            <w:vAlign w:val="center"/>
          </w:tcPr>
          <w:p w14:paraId="69D6F344" w14:textId="77777777" w:rsidR="00C02A08" w:rsidRPr="007E61A0" w:rsidRDefault="00C02A08" w:rsidP="00C02A08">
            <w:pPr>
              <w:pStyle w:val="TableText0"/>
              <w:jc w:val="center"/>
              <w:rPr>
                <w:b/>
                <w:bCs w:val="0"/>
              </w:rPr>
            </w:pPr>
            <w:r w:rsidRPr="007E61A0">
              <w:rPr>
                <w:b/>
                <w:bCs w:val="0"/>
              </w:rPr>
              <w:t>1.74 (1.16, 2.61)</w:t>
            </w:r>
          </w:p>
        </w:tc>
        <w:tc>
          <w:tcPr>
            <w:tcW w:w="985" w:type="pct"/>
            <w:shd w:val="clear" w:color="000000" w:fill="FFFFFF"/>
            <w:vAlign w:val="center"/>
          </w:tcPr>
          <w:p w14:paraId="763F786D" w14:textId="77777777" w:rsidR="00C02A08" w:rsidRPr="007E61A0" w:rsidRDefault="00C02A08" w:rsidP="00C02A08">
            <w:pPr>
              <w:pStyle w:val="TableText0"/>
              <w:jc w:val="center"/>
              <w:rPr>
                <w:b/>
                <w:bCs w:val="0"/>
              </w:rPr>
            </w:pPr>
            <w:r w:rsidRPr="007E61A0">
              <w:rPr>
                <w:b/>
                <w:bCs w:val="0"/>
              </w:rPr>
              <w:t>0.12 (0.04, 0.21)</w:t>
            </w:r>
          </w:p>
        </w:tc>
      </w:tr>
      <w:tr w:rsidR="00534AF0" w:rsidRPr="007E61A0" w14:paraId="0081EEA3" w14:textId="77777777" w:rsidTr="00C02A08">
        <w:tc>
          <w:tcPr>
            <w:tcW w:w="378" w:type="pct"/>
            <w:vMerge/>
            <w:vAlign w:val="center"/>
          </w:tcPr>
          <w:p w14:paraId="0B34DF58" w14:textId="77777777" w:rsidR="00C02A08" w:rsidRPr="007E61A0" w:rsidRDefault="00C02A08" w:rsidP="00C02A08">
            <w:pPr>
              <w:pStyle w:val="TableText0"/>
            </w:pPr>
          </w:p>
        </w:tc>
        <w:tc>
          <w:tcPr>
            <w:tcW w:w="686" w:type="pct"/>
            <w:vAlign w:val="center"/>
          </w:tcPr>
          <w:p w14:paraId="0668E480" w14:textId="77777777" w:rsidR="00C02A08" w:rsidRPr="007E61A0" w:rsidRDefault="00C02A08" w:rsidP="00C02A08">
            <w:pPr>
              <w:pStyle w:val="TableText0"/>
            </w:pPr>
            <w:r w:rsidRPr="007E61A0">
              <w:t>POETYK 2</w:t>
            </w:r>
          </w:p>
        </w:tc>
        <w:tc>
          <w:tcPr>
            <w:tcW w:w="983" w:type="pct"/>
            <w:tcBorders>
              <w:bottom w:val="single" w:sz="4" w:space="0" w:color="auto"/>
            </w:tcBorders>
            <w:shd w:val="clear" w:color="auto" w:fill="auto"/>
            <w:vAlign w:val="center"/>
          </w:tcPr>
          <w:p w14:paraId="463AE539" w14:textId="2F1FB3E6" w:rsidR="00C02A08" w:rsidRPr="007E61A0" w:rsidRDefault="00C02A08" w:rsidP="00C02A08">
            <w:pPr>
              <w:pStyle w:val="TableText0"/>
              <w:jc w:val="center"/>
            </w:pPr>
            <w:r w:rsidRPr="007E61A0">
              <w:t>186/495 (37.6)</w:t>
            </w:r>
          </w:p>
        </w:tc>
        <w:tc>
          <w:tcPr>
            <w:tcW w:w="984" w:type="pct"/>
            <w:tcBorders>
              <w:bottom w:val="single" w:sz="4" w:space="0" w:color="auto"/>
            </w:tcBorders>
            <w:shd w:val="clear" w:color="auto" w:fill="auto"/>
            <w:vAlign w:val="center"/>
          </w:tcPr>
          <w:p w14:paraId="5C78A68E" w14:textId="77777777" w:rsidR="00C02A08" w:rsidRPr="007E61A0" w:rsidRDefault="00C02A08" w:rsidP="00C02A08">
            <w:pPr>
              <w:pStyle w:val="TableText0"/>
              <w:jc w:val="center"/>
            </w:pPr>
            <w:r w:rsidRPr="007E61A0">
              <w:t>57/247 (23.1)</w:t>
            </w:r>
          </w:p>
        </w:tc>
        <w:tc>
          <w:tcPr>
            <w:tcW w:w="984" w:type="pct"/>
            <w:tcBorders>
              <w:bottom w:val="single" w:sz="4" w:space="0" w:color="auto"/>
            </w:tcBorders>
            <w:shd w:val="clear" w:color="000000" w:fill="FFFFFF"/>
            <w:vAlign w:val="center"/>
          </w:tcPr>
          <w:p w14:paraId="1B9A7BA4" w14:textId="77777777" w:rsidR="00C02A08" w:rsidRPr="007E61A0" w:rsidRDefault="00C02A08" w:rsidP="00C02A08">
            <w:pPr>
              <w:pStyle w:val="TableText0"/>
              <w:jc w:val="center"/>
              <w:rPr>
                <w:b/>
                <w:bCs w:val="0"/>
              </w:rPr>
            </w:pPr>
            <w:r w:rsidRPr="007E61A0">
              <w:rPr>
                <w:b/>
                <w:bCs w:val="0"/>
              </w:rPr>
              <w:t>2.01 (1.42, 2.84)</w:t>
            </w:r>
          </w:p>
        </w:tc>
        <w:tc>
          <w:tcPr>
            <w:tcW w:w="985" w:type="pct"/>
            <w:tcBorders>
              <w:bottom w:val="single" w:sz="4" w:space="0" w:color="auto"/>
            </w:tcBorders>
            <w:shd w:val="clear" w:color="000000" w:fill="FFFFFF"/>
            <w:vAlign w:val="center"/>
          </w:tcPr>
          <w:p w14:paraId="10860531" w14:textId="77777777" w:rsidR="00C02A08" w:rsidRPr="007E61A0" w:rsidRDefault="00C02A08" w:rsidP="00C02A08">
            <w:pPr>
              <w:pStyle w:val="TableText0"/>
              <w:jc w:val="center"/>
              <w:rPr>
                <w:b/>
                <w:bCs w:val="0"/>
              </w:rPr>
            </w:pPr>
            <w:r w:rsidRPr="007E61A0">
              <w:rPr>
                <w:b/>
                <w:bCs w:val="0"/>
              </w:rPr>
              <w:t>0.14 (0.08, 0.21)</w:t>
            </w:r>
          </w:p>
        </w:tc>
      </w:tr>
      <w:tr w:rsidR="00534AF0" w:rsidRPr="007E61A0" w14:paraId="47E87263" w14:textId="77777777" w:rsidTr="00C02A08">
        <w:tc>
          <w:tcPr>
            <w:tcW w:w="378" w:type="pct"/>
            <w:vMerge/>
            <w:vAlign w:val="center"/>
          </w:tcPr>
          <w:p w14:paraId="13ACA1C8" w14:textId="77777777" w:rsidR="00C02A08" w:rsidRPr="007E61A0" w:rsidRDefault="00C02A08" w:rsidP="00C02A08">
            <w:pPr>
              <w:pStyle w:val="TableText0"/>
            </w:pPr>
          </w:p>
        </w:tc>
        <w:tc>
          <w:tcPr>
            <w:tcW w:w="686" w:type="pct"/>
            <w:vMerge w:val="restart"/>
            <w:vAlign w:val="center"/>
          </w:tcPr>
          <w:p w14:paraId="60C742D5" w14:textId="77777777" w:rsidR="00C02A08" w:rsidRPr="007E61A0" w:rsidRDefault="00C02A08" w:rsidP="00C02A08">
            <w:pPr>
              <w:pStyle w:val="TableText0"/>
            </w:pPr>
            <w:r w:rsidRPr="007E61A0">
              <w:t>Meta-analysis</w:t>
            </w:r>
          </w:p>
        </w:tc>
        <w:tc>
          <w:tcPr>
            <w:tcW w:w="983" w:type="pct"/>
            <w:tcBorders>
              <w:top w:val="single" w:sz="4" w:space="0" w:color="auto"/>
            </w:tcBorders>
            <w:shd w:val="clear" w:color="auto" w:fill="auto"/>
            <w:vAlign w:val="center"/>
          </w:tcPr>
          <w:p w14:paraId="78010F40" w14:textId="6E455518" w:rsidR="00C02A08" w:rsidRPr="007E61A0" w:rsidRDefault="00C02A08" w:rsidP="00C02A08">
            <w:pPr>
              <w:pStyle w:val="TableText0"/>
              <w:jc w:val="center"/>
            </w:pPr>
            <w:r w:rsidRPr="007E61A0">
              <w:t>318/817</w:t>
            </w:r>
            <w:r w:rsidR="00E91362" w:rsidRPr="007E61A0">
              <w:t xml:space="preserve"> </w:t>
            </w:r>
            <w:r w:rsidRPr="007E61A0">
              <w:t>(38.9)</w:t>
            </w:r>
          </w:p>
        </w:tc>
        <w:tc>
          <w:tcPr>
            <w:tcW w:w="984" w:type="pct"/>
            <w:tcBorders>
              <w:top w:val="single" w:sz="4" w:space="0" w:color="auto"/>
            </w:tcBorders>
            <w:shd w:val="clear" w:color="auto" w:fill="auto"/>
            <w:vAlign w:val="center"/>
          </w:tcPr>
          <w:p w14:paraId="5BB2FCF7" w14:textId="77777777" w:rsidR="00C02A08" w:rsidRPr="007E61A0" w:rsidRDefault="00C02A08" w:rsidP="00C02A08">
            <w:pPr>
              <w:pStyle w:val="TableText0"/>
              <w:jc w:val="center"/>
            </w:pPr>
            <w:r w:rsidRPr="007E61A0">
              <w:t>103/408 (25.2)</w:t>
            </w:r>
          </w:p>
        </w:tc>
        <w:tc>
          <w:tcPr>
            <w:tcW w:w="984" w:type="pct"/>
            <w:tcBorders>
              <w:top w:val="single" w:sz="4" w:space="0" w:color="auto"/>
            </w:tcBorders>
            <w:shd w:val="clear" w:color="000000" w:fill="FFFFFF"/>
            <w:vAlign w:val="center"/>
          </w:tcPr>
          <w:p w14:paraId="7C9F6D2A" w14:textId="77777777" w:rsidR="00C02A08" w:rsidRPr="007E61A0" w:rsidRDefault="00C02A08" w:rsidP="00C02A08">
            <w:pPr>
              <w:pStyle w:val="TableText0"/>
              <w:jc w:val="center"/>
              <w:rPr>
                <w:b/>
                <w:bCs w:val="0"/>
              </w:rPr>
            </w:pPr>
            <w:r w:rsidRPr="007E61A0">
              <w:rPr>
                <w:b/>
                <w:bCs w:val="0"/>
              </w:rPr>
              <w:t>1.89 (1.45, 2.46)</w:t>
            </w:r>
          </w:p>
          <w:p w14:paraId="0B2BD182" w14:textId="77777777" w:rsidR="00C02A08" w:rsidRPr="007E61A0" w:rsidRDefault="00C02A08" w:rsidP="00C02A08">
            <w:pPr>
              <w:pStyle w:val="TableText0"/>
              <w:jc w:val="center"/>
            </w:pPr>
            <w:r w:rsidRPr="007E61A0">
              <w:rPr>
                <w:b/>
                <w:bCs w:val="0"/>
              </w:rPr>
              <w:t>p &lt; 0.00001</w:t>
            </w:r>
          </w:p>
        </w:tc>
        <w:tc>
          <w:tcPr>
            <w:tcW w:w="985" w:type="pct"/>
            <w:tcBorders>
              <w:top w:val="single" w:sz="4" w:space="0" w:color="auto"/>
            </w:tcBorders>
            <w:shd w:val="clear" w:color="000000" w:fill="FFFFFF"/>
            <w:vAlign w:val="center"/>
          </w:tcPr>
          <w:p w14:paraId="2B111569" w14:textId="77777777" w:rsidR="00C02A08" w:rsidRPr="007E61A0" w:rsidRDefault="00C02A08" w:rsidP="00C02A08">
            <w:pPr>
              <w:pStyle w:val="TableText0"/>
              <w:jc w:val="center"/>
              <w:rPr>
                <w:b/>
                <w:bCs w:val="0"/>
              </w:rPr>
            </w:pPr>
            <w:r w:rsidRPr="007E61A0">
              <w:rPr>
                <w:b/>
                <w:bCs w:val="0"/>
              </w:rPr>
              <w:t>0.14 (0.08, 0.19)</w:t>
            </w:r>
          </w:p>
          <w:p w14:paraId="496F24ED" w14:textId="77777777" w:rsidR="00C02A08" w:rsidRPr="007E61A0" w:rsidRDefault="00C02A08" w:rsidP="00C02A08">
            <w:pPr>
              <w:pStyle w:val="TableText0"/>
              <w:jc w:val="center"/>
            </w:pPr>
            <w:r w:rsidRPr="007E61A0">
              <w:rPr>
                <w:b/>
                <w:bCs w:val="0"/>
              </w:rPr>
              <w:t>p &lt; 0.00001</w:t>
            </w:r>
          </w:p>
        </w:tc>
      </w:tr>
      <w:tr w:rsidR="00534AF0" w:rsidRPr="007E61A0" w14:paraId="6245A99C" w14:textId="77777777" w:rsidTr="00C02A08">
        <w:tc>
          <w:tcPr>
            <w:tcW w:w="378" w:type="pct"/>
            <w:vMerge/>
            <w:vAlign w:val="center"/>
          </w:tcPr>
          <w:p w14:paraId="3B791516" w14:textId="77777777" w:rsidR="00C02A08" w:rsidRPr="007E61A0" w:rsidRDefault="00C02A08" w:rsidP="00C02A08">
            <w:pPr>
              <w:pStyle w:val="TableText0"/>
            </w:pPr>
          </w:p>
        </w:tc>
        <w:tc>
          <w:tcPr>
            <w:tcW w:w="686" w:type="pct"/>
            <w:vMerge/>
          </w:tcPr>
          <w:p w14:paraId="2F2AADA8" w14:textId="77777777" w:rsidR="00C02A08" w:rsidRPr="007E61A0" w:rsidRDefault="00C02A08" w:rsidP="00C02A08">
            <w:pPr>
              <w:pStyle w:val="TableText0"/>
              <w:jc w:val="center"/>
            </w:pPr>
          </w:p>
        </w:tc>
        <w:tc>
          <w:tcPr>
            <w:tcW w:w="1967" w:type="pct"/>
            <w:gridSpan w:val="2"/>
            <w:tcBorders>
              <w:top w:val="single" w:sz="4" w:space="0" w:color="auto"/>
              <w:bottom w:val="single" w:sz="4" w:space="0" w:color="auto"/>
            </w:tcBorders>
            <w:shd w:val="clear" w:color="auto" w:fill="auto"/>
            <w:vAlign w:val="center"/>
          </w:tcPr>
          <w:p w14:paraId="1354D682" w14:textId="77777777" w:rsidR="00C02A08" w:rsidRPr="007E61A0" w:rsidRDefault="00C02A08" w:rsidP="00C02A08">
            <w:pPr>
              <w:pStyle w:val="TableText0"/>
            </w:pPr>
            <w:r w:rsidRPr="007E61A0">
              <w:t>Heterogeneity (I</w:t>
            </w:r>
            <w:r w:rsidRPr="007E61A0">
              <w:rPr>
                <w:vertAlign w:val="superscript"/>
              </w:rPr>
              <w:t>2</w:t>
            </w:r>
            <w:r w:rsidRPr="007E61A0">
              <w:t>); p-value</w:t>
            </w:r>
          </w:p>
        </w:tc>
        <w:tc>
          <w:tcPr>
            <w:tcW w:w="984" w:type="pct"/>
            <w:shd w:val="clear" w:color="000000" w:fill="FFFFFF"/>
            <w:vAlign w:val="center"/>
          </w:tcPr>
          <w:p w14:paraId="38B5EFDA" w14:textId="77777777" w:rsidR="00C02A08" w:rsidRPr="007E61A0" w:rsidRDefault="00C02A08" w:rsidP="00C02A08">
            <w:pPr>
              <w:pStyle w:val="TableText0"/>
              <w:jc w:val="center"/>
            </w:pPr>
            <w:r w:rsidRPr="007E61A0">
              <w:t>0%; 0.60</w:t>
            </w:r>
          </w:p>
        </w:tc>
        <w:tc>
          <w:tcPr>
            <w:tcW w:w="985" w:type="pct"/>
            <w:shd w:val="clear" w:color="000000" w:fill="FFFFFF"/>
            <w:vAlign w:val="center"/>
          </w:tcPr>
          <w:p w14:paraId="36BF41A2" w14:textId="77777777" w:rsidR="00C02A08" w:rsidRPr="007E61A0" w:rsidRDefault="00C02A08" w:rsidP="00C02A08">
            <w:pPr>
              <w:pStyle w:val="TableText0"/>
              <w:jc w:val="center"/>
            </w:pPr>
            <w:r w:rsidRPr="007E61A0">
              <w:t>0%; 0.71</w:t>
            </w:r>
          </w:p>
        </w:tc>
      </w:tr>
    </w:tbl>
    <w:p w14:paraId="2588A3A2" w14:textId="44F66A07" w:rsidR="00434515" w:rsidRPr="007E61A0" w:rsidRDefault="00434515" w:rsidP="00434515">
      <w:pPr>
        <w:pStyle w:val="FooterTableFigure"/>
        <w:rPr>
          <w:sz w:val="20"/>
        </w:rPr>
      </w:pPr>
      <w:r w:rsidRPr="007E61A0">
        <w:t>Source: Tables 27</w:t>
      </w:r>
      <w:r w:rsidR="0057533B" w:rsidRPr="007E61A0">
        <w:t>-</w:t>
      </w:r>
      <w:r w:rsidRPr="007E61A0">
        <w:t>30, 34 &amp; 45, pp64</w:t>
      </w:r>
      <w:r w:rsidR="0057533B" w:rsidRPr="007E61A0">
        <w:t>-</w:t>
      </w:r>
      <w:r w:rsidRPr="007E61A0">
        <w:t>67, 71 &amp; 101 of the submission.</w:t>
      </w:r>
    </w:p>
    <w:p w14:paraId="05FA4F27" w14:textId="77777777" w:rsidR="00434515" w:rsidRPr="007E61A0" w:rsidRDefault="00434515" w:rsidP="00434515">
      <w:pPr>
        <w:pStyle w:val="FooterTableFigure"/>
        <w:rPr>
          <w:rFonts w:eastAsia="Calibri"/>
        </w:rPr>
      </w:pPr>
      <w:r w:rsidRPr="007E61A0">
        <w:rPr>
          <w:rFonts w:eastAsia="Calibri"/>
        </w:rPr>
        <w:t>CI = confidence interval;</w:t>
      </w:r>
      <w:r w:rsidRPr="007E61A0">
        <w:t xml:space="preserve"> </w:t>
      </w:r>
      <w:r w:rsidRPr="007E61A0">
        <w:rPr>
          <w:rFonts w:eastAsia="Calibri"/>
        </w:rPr>
        <w:t>DLQI = dermatology life quality index; n = number of participants with event; N = total participants in group;</w:t>
      </w:r>
      <w:r w:rsidRPr="007E61A0">
        <w:t xml:space="preserve"> </w:t>
      </w:r>
      <w:r w:rsidRPr="007E61A0">
        <w:rPr>
          <w:rFonts w:eastAsia="Calibri"/>
        </w:rPr>
        <w:t xml:space="preserve">PASI = Psoriasis Area and Severity Index; sPGA = static Physician’s Global Assessment, wk. = week. </w:t>
      </w:r>
      <w:r w:rsidRPr="007E61A0">
        <w:rPr>
          <w:rFonts w:eastAsia="Calibri"/>
          <w:b/>
        </w:rPr>
        <w:t>Bold</w:t>
      </w:r>
      <w:r w:rsidRPr="007E61A0">
        <w:rPr>
          <w:rFonts w:eastAsia="Calibri"/>
        </w:rPr>
        <w:t xml:space="preserve"> indicates statistically significant results.</w:t>
      </w:r>
    </w:p>
    <w:p w14:paraId="6EBB41B7" w14:textId="7A42B344" w:rsidR="00434515" w:rsidRPr="007E61A0" w:rsidRDefault="00434515" w:rsidP="00434515">
      <w:pPr>
        <w:pStyle w:val="FooterTableFigure"/>
      </w:pPr>
      <w:r w:rsidRPr="007E61A0">
        <w:rPr>
          <w:vertAlign w:val="superscript"/>
        </w:rPr>
        <w:t>a</w:t>
      </w:r>
      <w:r w:rsidRPr="007E61A0">
        <w:t xml:space="preserve"> Non-responder imputation was used for binary endpoints for subjects who had discontinued treatment or study prior to timepoint of comparison or had missing endpoint data at timepoint of comparison.</w:t>
      </w:r>
    </w:p>
    <w:p w14:paraId="23102DCC" w14:textId="415924D9" w:rsidR="001856B9" w:rsidRPr="007E61A0" w:rsidRDefault="001856B9" w:rsidP="001856B9">
      <w:pPr>
        <w:pStyle w:val="3-BodyText"/>
      </w:pPr>
      <w:r w:rsidRPr="007E61A0">
        <w:t xml:space="preserve">A statistically significantly greater proportion of patients treated with deucravacitinib compared to apremilast achieved an sPGA score of 0 or 1 at week 16 in both trials (POETYK 1: </w:t>
      </w:r>
      <w:r w:rsidR="00710962" w:rsidRPr="007E61A0">
        <w:t>odds ratio (</w:t>
      </w:r>
      <w:r w:rsidRPr="007E61A0">
        <w:t>OR</w:t>
      </w:r>
      <w:r w:rsidR="00710962" w:rsidRPr="007E61A0">
        <w:t>)</w:t>
      </w:r>
      <w:r w:rsidRPr="007E61A0">
        <w:t xml:space="preserve"> [95% CI] =2.44 [1.65, 3.60]; POETYK 2: OR [95% CI] = 1.92 [1.40, 2.62]). </w:t>
      </w:r>
    </w:p>
    <w:p w14:paraId="3EB9AC99" w14:textId="6037AC71" w:rsidR="001856B9" w:rsidRPr="007E61A0" w:rsidRDefault="001856B9" w:rsidP="001856B9">
      <w:pPr>
        <w:pStyle w:val="3-BodyText"/>
      </w:pPr>
      <w:r w:rsidRPr="007E61A0">
        <w:t xml:space="preserve">Similarly, a statistically significantly greater proportion of patients treated with deucravacitinib compared to apremilast achieved a sPGA score of 0 or 1 at week 24 in both trials (POETYK 1: OR [95% CI] = 3.18 [2.14, 4.71]; POETYK 2: OR [95% CI] = 2.37 [1.72, 3.26]). </w:t>
      </w:r>
    </w:p>
    <w:p w14:paraId="741F39FA" w14:textId="7CEAD958" w:rsidR="001856B9" w:rsidRPr="007E61A0" w:rsidRDefault="001856B9" w:rsidP="001856B9">
      <w:pPr>
        <w:pStyle w:val="3-BodyText"/>
      </w:pPr>
      <w:r w:rsidRPr="007E61A0">
        <w:t xml:space="preserve">A statistically significantly greater proportion of patients treated with deucravacitinib compared to apremilast achieved a PASI 75 score at week 16 in both trials (POETYK 1: OR [95% CI] = 2.60 [1.77, 3.82]; POETYK 2: OR [95% CI] = 1.71 [1.26, 2.32]). </w:t>
      </w:r>
    </w:p>
    <w:p w14:paraId="6D002833" w14:textId="5AB644DA" w:rsidR="001856B9" w:rsidRPr="007E61A0" w:rsidRDefault="001856B9" w:rsidP="001856B9">
      <w:pPr>
        <w:pStyle w:val="3-BodyText"/>
      </w:pPr>
      <w:r w:rsidRPr="007E61A0">
        <w:lastRenderedPageBreak/>
        <w:t>When meta-analysed, the proportion of patients achieving PASI 75 at week 16 was 55.2% in the deucravacitinib arm and 37.9% in the apremilast arm. This difference was statistically significant in favour of deucravacitinib with an OR [95% CI] of 2.07 [1.38, 3.12].</w:t>
      </w:r>
    </w:p>
    <w:p w14:paraId="3A131A73" w14:textId="366DE54B" w:rsidR="001856B9" w:rsidRPr="007E61A0" w:rsidRDefault="001856B9" w:rsidP="001856B9">
      <w:pPr>
        <w:pStyle w:val="3-BodyText"/>
      </w:pPr>
      <w:r w:rsidRPr="007E61A0">
        <w:t xml:space="preserve">A statistically significantly greater proportion of patients treated with deucravacitinib compared to apremilast achieved a PASI 75 score at week 24 in both trials (POETYK 1: OR [95% CI] = 3.66 [2.48, 5.41]; POETYK 2: OR [95% CI] = 2.34 [1.72, 3.19]). </w:t>
      </w:r>
    </w:p>
    <w:p w14:paraId="09EA733D" w14:textId="1D7C41BA" w:rsidR="001856B9" w:rsidRPr="007E61A0" w:rsidRDefault="001856B9" w:rsidP="001856B9">
      <w:pPr>
        <w:pStyle w:val="3-BodyText"/>
      </w:pPr>
      <w:r w:rsidRPr="007E61A0">
        <w:t>When meta-analysed, the proportion of patients achieving PASI 75 at week 24 was 62.9% in the deucravacitinib arm and 37.9% in the apremilast arm. This difference was statistically significant in favour of deucravacitinib with an OR [95% CI] of 2.88 [1.86, 4.46].</w:t>
      </w:r>
    </w:p>
    <w:p w14:paraId="0253AD40" w14:textId="7A5B3AF0" w:rsidR="001856B9" w:rsidRPr="007E61A0" w:rsidRDefault="001856B9" w:rsidP="001856B9">
      <w:pPr>
        <w:pStyle w:val="3-BodyText"/>
      </w:pPr>
      <w:r w:rsidRPr="007E61A0">
        <w:t xml:space="preserve">A statistically significantly greater proportion of patients treated with deucravacitinib compared to apremilast achieved a DLQI score of 0 or 1 at week 16 in both trials (POETYK 1: OR [95% CI] =1.74 [1.16, 2.61]; POETYK 2: OR [95% CI] = 2.01 [1.42, 2.84]). </w:t>
      </w:r>
    </w:p>
    <w:p w14:paraId="757E902A" w14:textId="0C86370C" w:rsidR="00710962" w:rsidRPr="007E61A0" w:rsidRDefault="00710962" w:rsidP="001722B8">
      <w:pPr>
        <w:pStyle w:val="3-BodyText"/>
      </w:pPr>
      <w:r w:rsidRPr="007E61A0">
        <w:t>The magnitude of the treatment effect (OR and risk difference) differed between the POETYK 1 and POETYK 2 trials for each outcome; however, the tests for heterogeneity were non-significant (</w:t>
      </w:r>
      <w:r w:rsidRPr="007E61A0">
        <w:fldChar w:fldCharType="begin" w:fldLock="1"/>
      </w:r>
      <w:r w:rsidRPr="007E61A0">
        <w:instrText xml:space="preserve"> REF _Ref111219007 \h  \* MERGEFORMAT </w:instrText>
      </w:r>
      <w:r w:rsidRPr="007E61A0">
        <w:fldChar w:fldCharType="separate"/>
      </w:r>
      <w:r w:rsidR="00EC7993" w:rsidRPr="007E61A0">
        <w:t xml:space="preserve">Table </w:t>
      </w:r>
      <w:r w:rsidR="00EC7993">
        <w:t>4</w:t>
      </w:r>
      <w:r w:rsidRPr="007E61A0">
        <w:fldChar w:fldCharType="end"/>
      </w:r>
      <w:r w:rsidRPr="007E61A0">
        <w:t>).</w:t>
      </w:r>
    </w:p>
    <w:p w14:paraId="5B1E3E45" w14:textId="4BE85DFB" w:rsidR="00BC615C" w:rsidRPr="007E61A0" w:rsidRDefault="00BC615C" w:rsidP="00BC615C">
      <w:pPr>
        <w:pStyle w:val="5-SubsectionSubheading"/>
      </w:pPr>
      <w:bookmarkStart w:id="31" w:name="_Toc113968820"/>
      <w:r w:rsidRPr="007E61A0">
        <w:t>Subgroup analyses</w:t>
      </w:r>
      <w:bookmarkEnd w:id="31"/>
    </w:p>
    <w:p w14:paraId="412CFAD3" w14:textId="5298EB8B" w:rsidR="00331FAB" w:rsidRPr="007E61A0" w:rsidRDefault="00001EFC" w:rsidP="00EC5836">
      <w:pPr>
        <w:pStyle w:val="3-BodyText"/>
      </w:pPr>
      <w:r w:rsidRPr="007E61A0">
        <w:t xml:space="preserve">Subgroup </w:t>
      </w:r>
      <w:r w:rsidR="00DA3D16" w:rsidRPr="007E61A0">
        <w:t>analyses</w:t>
      </w:r>
      <w:r w:rsidR="00331FAB" w:rsidRPr="007E61A0">
        <w:t xml:space="preserve"> comparing PASI 75 response for deucravacitinib and apremilast at 16 weeks are summarised in </w:t>
      </w:r>
      <w:r w:rsidR="002F46AB" w:rsidRPr="007E61A0">
        <w:fldChar w:fldCharType="begin" w:fldLock="1"/>
      </w:r>
      <w:r w:rsidR="002F46AB" w:rsidRPr="007E61A0">
        <w:instrText xml:space="preserve"> REF _Ref111223305 \h </w:instrText>
      </w:r>
      <w:r w:rsidR="003E7216" w:rsidRPr="007E61A0">
        <w:instrText xml:space="preserve"> \* MERGEFORMAT </w:instrText>
      </w:r>
      <w:r w:rsidR="002F46AB" w:rsidRPr="007E61A0">
        <w:fldChar w:fldCharType="separate"/>
      </w:r>
      <w:r w:rsidR="00EC7993" w:rsidRPr="007E61A0">
        <w:t xml:space="preserve">Table </w:t>
      </w:r>
      <w:r w:rsidR="00EC7993">
        <w:t>5</w:t>
      </w:r>
      <w:r w:rsidR="002F46AB" w:rsidRPr="007E61A0">
        <w:fldChar w:fldCharType="end"/>
      </w:r>
      <w:r w:rsidR="00331FAB" w:rsidRPr="007E61A0">
        <w:t xml:space="preserve">. </w:t>
      </w:r>
    </w:p>
    <w:p w14:paraId="3C891A1F" w14:textId="2E8A2A0F" w:rsidR="00331FAB" w:rsidRPr="007E61A0" w:rsidRDefault="002F46AB" w:rsidP="002F46AB">
      <w:pPr>
        <w:pStyle w:val="Caption"/>
      </w:pPr>
      <w:bookmarkStart w:id="32" w:name="_Ref111223305"/>
      <w:r w:rsidRPr="007E61A0">
        <w:lastRenderedPageBreak/>
        <w:t xml:space="preserve">Table </w:t>
      </w:r>
      <w:fldSimple w:instr=" SEQ Table \* ARABIC " w:fldLock="1">
        <w:r w:rsidR="00EC7993">
          <w:rPr>
            <w:noProof/>
          </w:rPr>
          <w:t>5</w:t>
        </w:r>
      </w:fldSimple>
      <w:bookmarkEnd w:id="32"/>
      <w:r w:rsidRPr="007E61A0">
        <w:t>:</w:t>
      </w:r>
      <w:r w:rsidRPr="007E61A0">
        <w:rPr>
          <w:rStyle w:val="CommentReference"/>
          <w:b/>
          <w:szCs w:val="24"/>
        </w:rPr>
        <w:t xml:space="preserve"> </w:t>
      </w:r>
      <w:r w:rsidR="00331FAB" w:rsidRPr="007E61A0">
        <w:rPr>
          <w:rStyle w:val="CommentReference"/>
          <w:b/>
          <w:szCs w:val="24"/>
        </w:rPr>
        <w:t>Results of subgroup analyses: PASI 75 at week 16, deucravacitinib and apremilast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702"/>
        <w:gridCol w:w="1701"/>
        <w:gridCol w:w="1701"/>
        <w:gridCol w:w="1111"/>
        <w:gridCol w:w="1111"/>
      </w:tblGrid>
      <w:tr w:rsidR="001F5022" w:rsidRPr="007E61A0" w14:paraId="02D9413F" w14:textId="77777777" w:rsidTr="00575CD3">
        <w:trPr>
          <w:tblHeader/>
        </w:trPr>
        <w:tc>
          <w:tcPr>
            <w:tcW w:w="938" w:type="pct"/>
            <w:vAlign w:val="center"/>
          </w:tcPr>
          <w:p w14:paraId="14CA8B5E" w14:textId="77777777" w:rsidR="00331FAB" w:rsidRPr="007E61A0" w:rsidRDefault="00331FAB" w:rsidP="006D0001">
            <w:pPr>
              <w:pStyle w:val="In-tableHeading"/>
              <w:jc w:val="center"/>
              <w:rPr>
                <w:lang w:val="en-AU"/>
              </w:rPr>
            </w:pPr>
            <w:r w:rsidRPr="007E61A0">
              <w:rPr>
                <w:lang w:val="en-AU"/>
              </w:rPr>
              <w:t>Population</w:t>
            </w:r>
          </w:p>
        </w:tc>
        <w:tc>
          <w:tcPr>
            <w:tcW w:w="944" w:type="pct"/>
            <w:vAlign w:val="center"/>
          </w:tcPr>
          <w:p w14:paraId="395158A9" w14:textId="77777777" w:rsidR="00331FAB" w:rsidRPr="007E61A0" w:rsidRDefault="00331FAB" w:rsidP="006D0001">
            <w:pPr>
              <w:pStyle w:val="In-tableHeading"/>
              <w:jc w:val="center"/>
              <w:rPr>
                <w:lang w:val="en-AU"/>
              </w:rPr>
            </w:pPr>
            <w:r w:rsidRPr="007E61A0">
              <w:rPr>
                <w:lang w:val="en-AU"/>
              </w:rPr>
              <w:t>Trial ID</w:t>
            </w:r>
          </w:p>
        </w:tc>
        <w:tc>
          <w:tcPr>
            <w:tcW w:w="943" w:type="pct"/>
            <w:vAlign w:val="center"/>
          </w:tcPr>
          <w:p w14:paraId="00C31820" w14:textId="77777777" w:rsidR="00331FAB" w:rsidRPr="007E61A0" w:rsidRDefault="00331FAB" w:rsidP="006D0001">
            <w:pPr>
              <w:pStyle w:val="In-tableHeading"/>
              <w:jc w:val="center"/>
              <w:rPr>
                <w:lang w:val="en-AU"/>
              </w:rPr>
            </w:pPr>
            <w:r w:rsidRPr="007E61A0">
              <w:rPr>
                <w:lang w:val="en-AU"/>
              </w:rPr>
              <w:t>Deucravacitinib</w:t>
            </w:r>
          </w:p>
          <w:p w14:paraId="5781371A" w14:textId="77777777" w:rsidR="00331FAB" w:rsidRPr="007E61A0" w:rsidRDefault="00331FAB" w:rsidP="006D0001">
            <w:pPr>
              <w:pStyle w:val="In-tableHeading"/>
              <w:jc w:val="center"/>
              <w:rPr>
                <w:lang w:val="en-AU"/>
              </w:rPr>
            </w:pPr>
            <w:r w:rsidRPr="007E61A0">
              <w:rPr>
                <w:lang w:val="en-AU"/>
              </w:rPr>
              <w:t>n/N (%)</w:t>
            </w:r>
          </w:p>
        </w:tc>
        <w:tc>
          <w:tcPr>
            <w:tcW w:w="943" w:type="pct"/>
            <w:vAlign w:val="center"/>
          </w:tcPr>
          <w:p w14:paraId="132BB21F" w14:textId="77777777" w:rsidR="00331FAB" w:rsidRPr="007E61A0" w:rsidRDefault="00331FAB" w:rsidP="006D0001">
            <w:pPr>
              <w:pStyle w:val="In-tableHeading"/>
              <w:jc w:val="center"/>
              <w:rPr>
                <w:lang w:val="en-AU"/>
              </w:rPr>
            </w:pPr>
            <w:r w:rsidRPr="007E61A0">
              <w:rPr>
                <w:lang w:val="en-AU"/>
              </w:rPr>
              <w:t>Apremilast</w:t>
            </w:r>
          </w:p>
          <w:p w14:paraId="0E5D0DC1" w14:textId="77777777" w:rsidR="00331FAB" w:rsidRPr="007E61A0" w:rsidRDefault="00331FAB" w:rsidP="006D0001">
            <w:pPr>
              <w:pStyle w:val="In-tableHeading"/>
              <w:jc w:val="center"/>
              <w:rPr>
                <w:lang w:val="en-AU"/>
              </w:rPr>
            </w:pPr>
            <w:r w:rsidRPr="007E61A0">
              <w:rPr>
                <w:lang w:val="en-AU"/>
              </w:rPr>
              <w:t>n/N (%)</w:t>
            </w:r>
          </w:p>
        </w:tc>
        <w:tc>
          <w:tcPr>
            <w:tcW w:w="616" w:type="pct"/>
            <w:vAlign w:val="center"/>
          </w:tcPr>
          <w:p w14:paraId="22E56B53" w14:textId="77777777" w:rsidR="00331FAB" w:rsidRPr="007E61A0" w:rsidRDefault="00331FAB" w:rsidP="006D0001">
            <w:pPr>
              <w:pStyle w:val="In-tableHeading"/>
              <w:jc w:val="center"/>
              <w:rPr>
                <w:lang w:val="en-AU"/>
              </w:rPr>
            </w:pPr>
            <w:r w:rsidRPr="007E61A0">
              <w:rPr>
                <w:lang w:val="en-AU"/>
              </w:rPr>
              <w:t>OR (95% CI)</w:t>
            </w:r>
          </w:p>
        </w:tc>
        <w:tc>
          <w:tcPr>
            <w:tcW w:w="616" w:type="pct"/>
            <w:vAlign w:val="center"/>
          </w:tcPr>
          <w:p w14:paraId="56530A32" w14:textId="77777777" w:rsidR="00331FAB" w:rsidRPr="007E61A0" w:rsidRDefault="00331FAB" w:rsidP="006D0001">
            <w:pPr>
              <w:pStyle w:val="In-tableHeading"/>
              <w:jc w:val="center"/>
              <w:rPr>
                <w:lang w:val="en-AU"/>
              </w:rPr>
            </w:pPr>
            <w:r w:rsidRPr="007E61A0">
              <w:rPr>
                <w:lang w:val="en-AU"/>
              </w:rPr>
              <w:t xml:space="preserve">RD </w:t>
            </w:r>
          </w:p>
          <w:p w14:paraId="4ABAFF19" w14:textId="77777777" w:rsidR="00331FAB" w:rsidRPr="007E61A0" w:rsidRDefault="00331FAB" w:rsidP="006D0001">
            <w:pPr>
              <w:pStyle w:val="In-tableHeading"/>
              <w:jc w:val="center"/>
              <w:rPr>
                <w:lang w:val="en-AU"/>
              </w:rPr>
            </w:pPr>
            <w:r w:rsidRPr="007E61A0">
              <w:rPr>
                <w:lang w:val="en-AU"/>
              </w:rPr>
              <w:t>(95% CI)</w:t>
            </w:r>
          </w:p>
        </w:tc>
      </w:tr>
      <w:tr w:rsidR="001F5022" w:rsidRPr="007E61A0" w14:paraId="051404A1" w14:textId="77777777" w:rsidTr="00575CD3">
        <w:tc>
          <w:tcPr>
            <w:tcW w:w="5000" w:type="pct"/>
            <w:gridSpan w:val="6"/>
            <w:vAlign w:val="center"/>
          </w:tcPr>
          <w:p w14:paraId="34824814" w14:textId="0348CA50" w:rsidR="001577D6" w:rsidRPr="007E61A0" w:rsidRDefault="001577D6" w:rsidP="001577D6">
            <w:pPr>
              <w:pStyle w:val="TableText0"/>
              <w:rPr>
                <w:b/>
                <w:bCs w:val="0"/>
              </w:rPr>
            </w:pPr>
            <w:r w:rsidRPr="007E61A0">
              <w:rPr>
                <w:b/>
                <w:bCs w:val="0"/>
              </w:rPr>
              <w:t>Subgroup analysis 1: PASI baseline score (high versus low)</w:t>
            </w:r>
          </w:p>
        </w:tc>
      </w:tr>
      <w:tr w:rsidR="001F5022" w:rsidRPr="007E61A0" w14:paraId="024E7135" w14:textId="77777777" w:rsidTr="00575CD3">
        <w:tc>
          <w:tcPr>
            <w:tcW w:w="938" w:type="pct"/>
            <w:vMerge w:val="restart"/>
            <w:vAlign w:val="center"/>
          </w:tcPr>
          <w:p w14:paraId="6C025466" w14:textId="491363B1" w:rsidR="001577D6" w:rsidRPr="007E61A0" w:rsidRDefault="001577D6" w:rsidP="001577D6">
            <w:pPr>
              <w:pStyle w:val="TableText0"/>
              <w:rPr>
                <w:rFonts w:ascii="Times" w:hAnsi="Times"/>
              </w:rPr>
            </w:pPr>
            <w:r w:rsidRPr="007E61A0">
              <w:t>High baseline PASI score</w:t>
            </w:r>
            <w:r w:rsidR="00457A4E" w:rsidRPr="007E61A0">
              <w:t xml:space="preserve"> (PASI &gt;15)</w:t>
            </w:r>
            <w:r w:rsidR="007C225C" w:rsidRPr="007E61A0">
              <w:t xml:space="preserve"> </w:t>
            </w:r>
            <w:r w:rsidR="007C225C" w:rsidRPr="007E61A0">
              <w:rPr>
                <w:vertAlign w:val="superscript"/>
              </w:rPr>
              <w:t>a</w:t>
            </w:r>
          </w:p>
        </w:tc>
        <w:tc>
          <w:tcPr>
            <w:tcW w:w="944" w:type="pct"/>
            <w:vAlign w:val="center"/>
          </w:tcPr>
          <w:p w14:paraId="306CCAEF" w14:textId="77777777" w:rsidR="001577D6" w:rsidRPr="007E61A0" w:rsidRDefault="001577D6" w:rsidP="001577D6">
            <w:pPr>
              <w:pStyle w:val="TableText0"/>
              <w:rPr>
                <w:rFonts w:ascii="Times" w:hAnsi="Times"/>
              </w:rPr>
            </w:pPr>
            <w:r w:rsidRPr="007E61A0">
              <w:t>POETYK 1</w:t>
            </w:r>
          </w:p>
        </w:tc>
        <w:tc>
          <w:tcPr>
            <w:tcW w:w="943" w:type="pct"/>
            <w:vAlign w:val="center"/>
          </w:tcPr>
          <w:p w14:paraId="58B212A8" w14:textId="77777777" w:rsidR="001577D6" w:rsidRPr="007E61A0" w:rsidRDefault="001577D6" w:rsidP="001577D6">
            <w:pPr>
              <w:pStyle w:val="TableText0"/>
              <w:jc w:val="center"/>
              <w:rPr>
                <w:rFonts w:ascii="Times" w:hAnsi="Times"/>
              </w:rPr>
            </w:pPr>
            <w:r w:rsidRPr="007E61A0">
              <w:t>157/258 (60.9)</w:t>
            </w:r>
          </w:p>
        </w:tc>
        <w:tc>
          <w:tcPr>
            <w:tcW w:w="943" w:type="pct"/>
            <w:vAlign w:val="center"/>
          </w:tcPr>
          <w:p w14:paraId="42829D15" w14:textId="77777777" w:rsidR="001577D6" w:rsidRPr="007E61A0" w:rsidRDefault="001577D6" w:rsidP="001577D6">
            <w:pPr>
              <w:pStyle w:val="TableText0"/>
              <w:jc w:val="center"/>
              <w:rPr>
                <w:rFonts w:ascii="Times" w:hAnsi="Times"/>
              </w:rPr>
            </w:pPr>
            <w:r w:rsidRPr="007E61A0">
              <w:t>47/122 (38.5)</w:t>
            </w:r>
          </w:p>
        </w:tc>
        <w:tc>
          <w:tcPr>
            <w:tcW w:w="616" w:type="pct"/>
            <w:vAlign w:val="center"/>
          </w:tcPr>
          <w:p w14:paraId="27D1179B" w14:textId="77777777" w:rsidR="001577D6" w:rsidRPr="007E61A0" w:rsidRDefault="001577D6" w:rsidP="001577D6">
            <w:pPr>
              <w:pStyle w:val="TableText0"/>
              <w:jc w:val="center"/>
            </w:pPr>
            <w:r w:rsidRPr="007E61A0">
              <w:t xml:space="preserve">2.48 </w:t>
            </w:r>
          </w:p>
          <w:p w14:paraId="1B835B25" w14:textId="022AE734" w:rsidR="001577D6" w:rsidRPr="007E61A0" w:rsidRDefault="001577D6" w:rsidP="001577D6">
            <w:pPr>
              <w:pStyle w:val="TableText0"/>
              <w:jc w:val="center"/>
              <w:rPr>
                <w:rFonts w:ascii="Times" w:hAnsi="Times"/>
              </w:rPr>
            </w:pPr>
            <w:r w:rsidRPr="007E61A0">
              <w:t>(1.59, 3.86)</w:t>
            </w:r>
          </w:p>
        </w:tc>
        <w:tc>
          <w:tcPr>
            <w:tcW w:w="616" w:type="pct"/>
            <w:vAlign w:val="center"/>
          </w:tcPr>
          <w:p w14:paraId="194C5902" w14:textId="77777777" w:rsidR="001577D6" w:rsidRPr="007E61A0" w:rsidRDefault="001577D6" w:rsidP="001577D6">
            <w:pPr>
              <w:pStyle w:val="TableText0"/>
              <w:jc w:val="center"/>
            </w:pPr>
            <w:r w:rsidRPr="007E61A0">
              <w:t xml:space="preserve">0.22 </w:t>
            </w:r>
          </w:p>
          <w:p w14:paraId="20FF6EE8" w14:textId="372A396D" w:rsidR="001577D6" w:rsidRPr="007E61A0" w:rsidRDefault="001577D6" w:rsidP="001577D6">
            <w:pPr>
              <w:pStyle w:val="TableText0"/>
              <w:jc w:val="center"/>
              <w:rPr>
                <w:rFonts w:ascii="Times" w:hAnsi="Times"/>
              </w:rPr>
            </w:pPr>
            <w:r w:rsidRPr="007E61A0">
              <w:t>(0.12, 0.33)</w:t>
            </w:r>
          </w:p>
        </w:tc>
      </w:tr>
      <w:tr w:rsidR="001F5022" w:rsidRPr="007E61A0" w14:paraId="25CC49B1" w14:textId="77777777" w:rsidTr="00575CD3">
        <w:tc>
          <w:tcPr>
            <w:tcW w:w="938" w:type="pct"/>
            <w:vMerge/>
            <w:vAlign w:val="center"/>
          </w:tcPr>
          <w:p w14:paraId="1659B734" w14:textId="77777777" w:rsidR="001577D6" w:rsidRPr="007E61A0" w:rsidRDefault="001577D6" w:rsidP="001577D6">
            <w:pPr>
              <w:pStyle w:val="TableText0"/>
            </w:pPr>
          </w:p>
        </w:tc>
        <w:tc>
          <w:tcPr>
            <w:tcW w:w="944" w:type="pct"/>
            <w:vAlign w:val="center"/>
          </w:tcPr>
          <w:p w14:paraId="0AD5FB2C" w14:textId="77777777" w:rsidR="001577D6" w:rsidRPr="007E61A0" w:rsidRDefault="001577D6" w:rsidP="001577D6">
            <w:pPr>
              <w:pStyle w:val="TableText0"/>
              <w:rPr>
                <w:rFonts w:ascii="Times" w:hAnsi="Times"/>
              </w:rPr>
            </w:pPr>
            <w:r w:rsidRPr="007E61A0">
              <w:t>POETYK 2</w:t>
            </w:r>
          </w:p>
        </w:tc>
        <w:tc>
          <w:tcPr>
            <w:tcW w:w="943" w:type="pct"/>
            <w:vAlign w:val="center"/>
          </w:tcPr>
          <w:p w14:paraId="4E1170B8" w14:textId="77777777" w:rsidR="001577D6" w:rsidRPr="007E61A0" w:rsidRDefault="001577D6" w:rsidP="001577D6">
            <w:pPr>
              <w:pStyle w:val="TableText0"/>
              <w:jc w:val="center"/>
              <w:rPr>
                <w:rFonts w:ascii="Times" w:hAnsi="Times"/>
              </w:rPr>
            </w:pPr>
            <w:r w:rsidRPr="007E61A0">
              <w:t>212/384 (55.2)</w:t>
            </w:r>
          </w:p>
        </w:tc>
        <w:tc>
          <w:tcPr>
            <w:tcW w:w="943" w:type="pct"/>
            <w:vAlign w:val="center"/>
          </w:tcPr>
          <w:p w14:paraId="0E1E235B" w14:textId="77777777" w:rsidR="001577D6" w:rsidRPr="007E61A0" w:rsidRDefault="001577D6" w:rsidP="001577D6">
            <w:pPr>
              <w:pStyle w:val="TableText0"/>
              <w:jc w:val="center"/>
              <w:rPr>
                <w:rFonts w:ascii="Times" w:hAnsi="Times"/>
              </w:rPr>
            </w:pPr>
            <w:r w:rsidRPr="007E61A0">
              <w:t>80/202 (39.6)</w:t>
            </w:r>
          </w:p>
        </w:tc>
        <w:tc>
          <w:tcPr>
            <w:tcW w:w="616" w:type="pct"/>
            <w:vAlign w:val="center"/>
          </w:tcPr>
          <w:p w14:paraId="353F0BBD" w14:textId="77777777" w:rsidR="001577D6" w:rsidRPr="007E61A0" w:rsidRDefault="001577D6" w:rsidP="001577D6">
            <w:pPr>
              <w:pStyle w:val="TableText0"/>
              <w:jc w:val="center"/>
            </w:pPr>
            <w:r w:rsidRPr="007E61A0">
              <w:t xml:space="preserve">1.88 </w:t>
            </w:r>
          </w:p>
          <w:p w14:paraId="4EB2158B" w14:textId="49E83126" w:rsidR="001577D6" w:rsidRPr="007E61A0" w:rsidRDefault="001577D6" w:rsidP="001577D6">
            <w:pPr>
              <w:pStyle w:val="TableText0"/>
              <w:jc w:val="center"/>
              <w:rPr>
                <w:rFonts w:ascii="Times" w:hAnsi="Times"/>
              </w:rPr>
            </w:pPr>
            <w:r w:rsidRPr="007E61A0">
              <w:t>(1.33, 2.66)</w:t>
            </w:r>
          </w:p>
        </w:tc>
        <w:tc>
          <w:tcPr>
            <w:tcW w:w="616" w:type="pct"/>
            <w:vAlign w:val="center"/>
          </w:tcPr>
          <w:p w14:paraId="20F16511" w14:textId="77777777" w:rsidR="001577D6" w:rsidRPr="007E61A0" w:rsidRDefault="001577D6" w:rsidP="001577D6">
            <w:pPr>
              <w:pStyle w:val="TableText0"/>
              <w:jc w:val="center"/>
            </w:pPr>
            <w:r w:rsidRPr="007E61A0">
              <w:t xml:space="preserve">0.16 </w:t>
            </w:r>
          </w:p>
          <w:p w14:paraId="67BF0268" w14:textId="3355EB3F" w:rsidR="001577D6" w:rsidRPr="007E61A0" w:rsidRDefault="001577D6" w:rsidP="001577D6">
            <w:pPr>
              <w:pStyle w:val="TableText0"/>
              <w:jc w:val="center"/>
              <w:rPr>
                <w:rFonts w:ascii="Times" w:hAnsi="Times"/>
              </w:rPr>
            </w:pPr>
            <w:r w:rsidRPr="007E61A0">
              <w:t>(0.07, 0.24)</w:t>
            </w:r>
          </w:p>
        </w:tc>
      </w:tr>
      <w:tr w:rsidR="001F5022" w:rsidRPr="007E61A0" w14:paraId="255A54AE" w14:textId="77777777" w:rsidTr="00575CD3">
        <w:tc>
          <w:tcPr>
            <w:tcW w:w="938" w:type="pct"/>
            <w:vMerge/>
            <w:vAlign w:val="center"/>
          </w:tcPr>
          <w:p w14:paraId="2933D315" w14:textId="77777777" w:rsidR="001577D6" w:rsidRPr="007E61A0" w:rsidRDefault="001577D6" w:rsidP="001577D6">
            <w:pPr>
              <w:pStyle w:val="TableText0"/>
            </w:pPr>
          </w:p>
        </w:tc>
        <w:tc>
          <w:tcPr>
            <w:tcW w:w="944" w:type="pct"/>
            <w:vAlign w:val="center"/>
          </w:tcPr>
          <w:p w14:paraId="4435A6EB" w14:textId="77777777" w:rsidR="001577D6" w:rsidRPr="007E61A0" w:rsidRDefault="001577D6" w:rsidP="001577D6">
            <w:pPr>
              <w:pStyle w:val="TableText0"/>
              <w:rPr>
                <w:rFonts w:ascii="Times" w:hAnsi="Times"/>
              </w:rPr>
            </w:pPr>
            <w:r w:rsidRPr="007E61A0">
              <w:t>Meta-analysis of High PASI group</w:t>
            </w:r>
          </w:p>
        </w:tc>
        <w:tc>
          <w:tcPr>
            <w:tcW w:w="943" w:type="pct"/>
            <w:vAlign w:val="center"/>
          </w:tcPr>
          <w:p w14:paraId="59515A7D" w14:textId="77777777" w:rsidR="001577D6" w:rsidRPr="007E61A0" w:rsidRDefault="001577D6" w:rsidP="001577D6">
            <w:pPr>
              <w:pStyle w:val="TableText0"/>
              <w:jc w:val="center"/>
              <w:rPr>
                <w:rFonts w:ascii="Times" w:hAnsi="Times"/>
              </w:rPr>
            </w:pPr>
            <w:r w:rsidRPr="007E61A0">
              <w:t>369/642 (57.5)</w:t>
            </w:r>
          </w:p>
        </w:tc>
        <w:tc>
          <w:tcPr>
            <w:tcW w:w="943" w:type="pct"/>
            <w:vAlign w:val="center"/>
          </w:tcPr>
          <w:p w14:paraId="21095470" w14:textId="77777777" w:rsidR="001577D6" w:rsidRPr="007E61A0" w:rsidRDefault="001577D6" w:rsidP="001577D6">
            <w:pPr>
              <w:pStyle w:val="TableText0"/>
              <w:jc w:val="center"/>
              <w:rPr>
                <w:rFonts w:ascii="Times" w:hAnsi="Times"/>
              </w:rPr>
            </w:pPr>
            <w:r w:rsidRPr="007E61A0">
              <w:t>127/324 (39.2)</w:t>
            </w:r>
          </w:p>
        </w:tc>
        <w:tc>
          <w:tcPr>
            <w:tcW w:w="616" w:type="pct"/>
            <w:vAlign w:val="center"/>
          </w:tcPr>
          <w:p w14:paraId="7DF91D28" w14:textId="77777777" w:rsidR="001577D6" w:rsidRPr="007E61A0" w:rsidRDefault="001577D6" w:rsidP="001577D6">
            <w:pPr>
              <w:pStyle w:val="TableText0"/>
              <w:jc w:val="center"/>
            </w:pPr>
            <w:r w:rsidRPr="007E61A0">
              <w:t xml:space="preserve">2.09 </w:t>
            </w:r>
          </w:p>
          <w:p w14:paraId="58E08AE1" w14:textId="4F5542BB" w:rsidR="001577D6" w:rsidRPr="007E61A0" w:rsidRDefault="001577D6" w:rsidP="001577D6">
            <w:pPr>
              <w:pStyle w:val="TableText0"/>
              <w:jc w:val="center"/>
              <w:rPr>
                <w:rFonts w:ascii="Times" w:hAnsi="Times"/>
              </w:rPr>
            </w:pPr>
            <w:r w:rsidRPr="007E61A0">
              <w:t>(1.59, 2.74)</w:t>
            </w:r>
          </w:p>
        </w:tc>
        <w:tc>
          <w:tcPr>
            <w:tcW w:w="616" w:type="pct"/>
            <w:vAlign w:val="center"/>
          </w:tcPr>
          <w:p w14:paraId="393CC39D" w14:textId="77777777" w:rsidR="001577D6" w:rsidRPr="007E61A0" w:rsidRDefault="001577D6" w:rsidP="001577D6">
            <w:pPr>
              <w:pStyle w:val="TableText0"/>
              <w:jc w:val="center"/>
            </w:pPr>
            <w:r w:rsidRPr="007E61A0">
              <w:t xml:space="preserve">0.18 </w:t>
            </w:r>
          </w:p>
          <w:p w14:paraId="6B292AC2" w14:textId="03722D7D" w:rsidR="001577D6" w:rsidRPr="007E61A0" w:rsidRDefault="001577D6" w:rsidP="001577D6">
            <w:pPr>
              <w:pStyle w:val="TableText0"/>
              <w:jc w:val="center"/>
              <w:rPr>
                <w:rFonts w:ascii="Times" w:hAnsi="Times"/>
              </w:rPr>
            </w:pPr>
            <w:r w:rsidRPr="007E61A0">
              <w:t>(0.12, 0.25)</w:t>
            </w:r>
          </w:p>
        </w:tc>
      </w:tr>
      <w:tr w:rsidR="001F5022" w:rsidRPr="007E61A0" w14:paraId="23AA80EF" w14:textId="77777777" w:rsidTr="00575CD3">
        <w:tc>
          <w:tcPr>
            <w:tcW w:w="938" w:type="pct"/>
            <w:vMerge w:val="restart"/>
            <w:vAlign w:val="center"/>
          </w:tcPr>
          <w:p w14:paraId="777B5A25" w14:textId="148B9755" w:rsidR="007C225C" w:rsidRPr="007E61A0" w:rsidRDefault="007C225C" w:rsidP="007C225C">
            <w:pPr>
              <w:pStyle w:val="TableText0"/>
              <w:rPr>
                <w:rFonts w:ascii="Times" w:hAnsi="Times"/>
              </w:rPr>
            </w:pPr>
            <w:r w:rsidRPr="007E61A0">
              <w:t>Low baseline PASI score</w:t>
            </w:r>
            <w:r w:rsidR="00457A4E" w:rsidRPr="007E61A0">
              <w:t xml:space="preserve"> (PASI ≤15)</w:t>
            </w:r>
            <w:r w:rsidRPr="007E61A0">
              <w:rPr>
                <w:vertAlign w:val="superscript"/>
              </w:rPr>
              <w:t xml:space="preserve"> a</w:t>
            </w:r>
          </w:p>
        </w:tc>
        <w:tc>
          <w:tcPr>
            <w:tcW w:w="944" w:type="pct"/>
            <w:vAlign w:val="center"/>
          </w:tcPr>
          <w:p w14:paraId="523E266A" w14:textId="77777777" w:rsidR="007C225C" w:rsidRPr="007E61A0" w:rsidRDefault="007C225C" w:rsidP="007C225C">
            <w:pPr>
              <w:pStyle w:val="TableText0"/>
              <w:rPr>
                <w:rFonts w:ascii="Times" w:hAnsi="Times"/>
              </w:rPr>
            </w:pPr>
            <w:r w:rsidRPr="007E61A0">
              <w:t>POETYK 1</w:t>
            </w:r>
          </w:p>
        </w:tc>
        <w:tc>
          <w:tcPr>
            <w:tcW w:w="943" w:type="pct"/>
            <w:vAlign w:val="center"/>
          </w:tcPr>
          <w:p w14:paraId="35549CC8" w14:textId="77777777" w:rsidR="007C225C" w:rsidRPr="007E61A0" w:rsidRDefault="007C225C" w:rsidP="007C225C">
            <w:pPr>
              <w:pStyle w:val="TableText0"/>
              <w:jc w:val="center"/>
              <w:rPr>
                <w:rFonts w:ascii="Times" w:hAnsi="Times"/>
              </w:rPr>
            </w:pPr>
            <w:r w:rsidRPr="007E61A0">
              <w:t>37/74 (50.0)</w:t>
            </w:r>
          </w:p>
        </w:tc>
        <w:tc>
          <w:tcPr>
            <w:tcW w:w="943" w:type="pct"/>
            <w:vAlign w:val="center"/>
          </w:tcPr>
          <w:p w14:paraId="0A0F6A31" w14:textId="77777777" w:rsidR="007C225C" w:rsidRPr="007E61A0" w:rsidRDefault="007C225C" w:rsidP="007C225C">
            <w:pPr>
              <w:pStyle w:val="TableText0"/>
              <w:jc w:val="center"/>
              <w:rPr>
                <w:rFonts w:ascii="Times" w:hAnsi="Times"/>
              </w:rPr>
            </w:pPr>
            <w:r w:rsidRPr="007E61A0">
              <w:t>12/46 (26.1)</w:t>
            </w:r>
          </w:p>
        </w:tc>
        <w:tc>
          <w:tcPr>
            <w:tcW w:w="616" w:type="pct"/>
            <w:vAlign w:val="center"/>
          </w:tcPr>
          <w:p w14:paraId="0C69A2DC" w14:textId="77777777" w:rsidR="007C225C" w:rsidRPr="007E61A0" w:rsidRDefault="007C225C" w:rsidP="007C225C">
            <w:pPr>
              <w:pStyle w:val="TableText0"/>
              <w:jc w:val="center"/>
            </w:pPr>
            <w:r w:rsidRPr="007E61A0">
              <w:t xml:space="preserve">2.83 </w:t>
            </w:r>
          </w:p>
          <w:p w14:paraId="4B998938" w14:textId="32A6C2D2" w:rsidR="007C225C" w:rsidRPr="007E61A0" w:rsidRDefault="007C225C" w:rsidP="007C225C">
            <w:pPr>
              <w:pStyle w:val="TableText0"/>
              <w:jc w:val="center"/>
              <w:rPr>
                <w:rFonts w:ascii="Times" w:hAnsi="Times"/>
              </w:rPr>
            </w:pPr>
            <w:r w:rsidRPr="007E61A0">
              <w:t>(1.27, 6.31)</w:t>
            </w:r>
          </w:p>
        </w:tc>
        <w:tc>
          <w:tcPr>
            <w:tcW w:w="616" w:type="pct"/>
            <w:vAlign w:val="center"/>
          </w:tcPr>
          <w:p w14:paraId="5C320521" w14:textId="77777777" w:rsidR="007C225C" w:rsidRPr="007E61A0" w:rsidRDefault="007C225C" w:rsidP="007C225C">
            <w:pPr>
              <w:pStyle w:val="TableText0"/>
              <w:jc w:val="center"/>
            </w:pPr>
            <w:r w:rsidRPr="007E61A0">
              <w:t xml:space="preserve">0.24 </w:t>
            </w:r>
          </w:p>
          <w:p w14:paraId="05FBB063" w14:textId="2AF66866" w:rsidR="007C225C" w:rsidRPr="007E61A0" w:rsidRDefault="007C225C" w:rsidP="007C225C">
            <w:pPr>
              <w:pStyle w:val="TableText0"/>
              <w:jc w:val="center"/>
              <w:rPr>
                <w:rFonts w:ascii="Times" w:hAnsi="Times"/>
              </w:rPr>
            </w:pPr>
            <w:r w:rsidRPr="007E61A0">
              <w:t>(0.07, 0.41)</w:t>
            </w:r>
          </w:p>
        </w:tc>
      </w:tr>
      <w:tr w:rsidR="001F5022" w:rsidRPr="007E61A0" w14:paraId="4E8638CC" w14:textId="77777777" w:rsidTr="00575CD3">
        <w:tc>
          <w:tcPr>
            <w:tcW w:w="938" w:type="pct"/>
            <w:vMerge/>
            <w:vAlign w:val="center"/>
          </w:tcPr>
          <w:p w14:paraId="5F2128CA" w14:textId="77777777" w:rsidR="007C225C" w:rsidRPr="007E61A0" w:rsidRDefault="007C225C" w:rsidP="007C225C">
            <w:pPr>
              <w:pStyle w:val="TableText0"/>
            </w:pPr>
          </w:p>
        </w:tc>
        <w:tc>
          <w:tcPr>
            <w:tcW w:w="944" w:type="pct"/>
            <w:vAlign w:val="center"/>
          </w:tcPr>
          <w:p w14:paraId="1626B0AA" w14:textId="77777777" w:rsidR="007C225C" w:rsidRPr="007E61A0" w:rsidRDefault="007C225C" w:rsidP="007C225C">
            <w:pPr>
              <w:pStyle w:val="TableText0"/>
              <w:rPr>
                <w:rFonts w:ascii="Times" w:hAnsi="Times"/>
              </w:rPr>
            </w:pPr>
            <w:r w:rsidRPr="007E61A0">
              <w:t>POETYK 2</w:t>
            </w:r>
          </w:p>
        </w:tc>
        <w:tc>
          <w:tcPr>
            <w:tcW w:w="943" w:type="pct"/>
            <w:vAlign w:val="center"/>
          </w:tcPr>
          <w:p w14:paraId="65543715" w14:textId="77777777" w:rsidR="007C225C" w:rsidRPr="007E61A0" w:rsidRDefault="007C225C" w:rsidP="007C225C">
            <w:pPr>
              <w:pStyle w:val="TableText0"/>
              <w:jc w:val="center"/>
              <w:rPr>
                <w:rFonts w:ascii="Times" w:hAnsi="Times"/>
              </w:rPr>
            </w:pPr>
            <w:r w:rsidRPr="007E61A0">
              <w:t>59/127 (46.5)</w:t>
            </w:r>
          </w:p>
        </w:tc>
        <w:tc>
          <w:tcPr>
            <w:tcW w:w="943" w:type="pct"/>
            <w:vAlign w:val="center"/>
          </w:tcPr>
          <w:p w14:paraId="6AD20BD9" w14:textId="77777777" w:rsidR="007C225C" w:rsidRPr="007E61A0" w:rsidRDefault="007C225C" w:rsidP="007C225C">
            <w:pPr>
              <w:pStyle w:val="TableText0"/>
              <w:jc w:val="center"/>
              <w:rPr>
                <w:rFonts w:ascii="Times" w:hAnsi="Times"/>
              </w:rPr>
            </w:pPr>
            <w:r w:rsidRPr="007E61A0">
              <w:t>21/52 (40.4)</w:t>
            </w:r>
          </w:p>
        </w:tc>
        <w:tc>
          <w:tcPr>
            <w:tcW w:w="616" w:type="pct"/>
            <w:vAlign w:val="center"/>
          </w:tcPr>
          <w:p w14:paraId="171D8144" w14:textId="77777777" w:rsidR="007C225C" w:rsidRPr="007E61A0" w:rsidRDefault="007C225C" w:rsidP="007C225C">
            <w:pPr>
              <w:pStyle w:val="TableText0"/>
              <w:jc w:val="center"/>
            </w:pPr>
            <w:r w:rsidRPr="007E61A0">
              <w:t xml:space="preserve">1.28 </w:t>
            </w:r>
          </w:p>
          <w:p w14:paraId="61F4C3E0" w14:textId="5EB3505F" w:rsidR="007C225C" w:rsidRPr="007E61A0" w:rsidRDefault="007C225C" w:rsidP="007C225C">
            <w:pPr>
              <w:pStyle w:val="TableText0"/>
              <w:jc w:val="center"/>
              <w:rPr>
                <w:rFonts w:ascii="Times" w:hAnsi="Times"/>
              </w:rPr>
            </w:pPr>
            <w:r w:rsidRPr="007E61A0">
              <w:t>(0.67, 2.46)</w:t>
            </w:r>
          </w:p>
        </w:tc>
        <w:tc>
          <w:tcPr>
            <w:tcW w:w="616" w:type="pct"/>
            <w:vAlign w:val="center"/>
          </w:tcPr>
          <w:p w14:paraId="060B4EBB" w14:textId="77777777" w:rsidR="007C225C" w:rsidRPr="007E61A0" w:rsidRDefault="007C225C" w:rsidP="007C225C">
            <w:pPr>
              <w:pStyle w:val="TableText0"/>
              <w:jc w:val="center"/>
            </w:pPr>
            <w:r w:rsidRPr="007E61A0">
              <w:t xml:space="preserve">0.06 </w:t>
            </w:r>
          </w:p>
          <w:p w14:paraId="7AD8140D" w14:textId="6936D806" w:rsidR="007C225C" w:rsidRPr="007E61A0" w:rsidRDefault="007C225C" w:rsidP="007C225C">
            <w:pPr>
              <w:pStyle w:val="TableText0"/>
              <w:jc w:val="center"/>
              <w:rPr>
                <w:rFonts w:ascii="Times" w:hAnsi="Times"/>
              </w:rPr>
            </w:pPr>
            <w:r w:rsidRPr="007E61A0">
              <w:t>(-0.10, 0.22)</w:t>
            </w:r>
          </w:p>
        </w:tc>
      </w:tr>
      <w:tr w:rsidR="001F5022" w:rsidRPr="007E61A0" w14:paraId="5BFD40C3" w14:textId="77777777" w:rsidTr="00575CD3">
        <w:tc>
          <w:tcPr>
            <w:tcW w:w="938" w:type="pct"/>
            <w:vMerge/>
            <w:vAlign w:val="center"/>
          </w:tcPr>
          <w:p w14:paraId="0E3DD08A" w14:textId="77777777" w:rsidR="007C225C" w:rsidRPr="007E61A0" w:rsidRDefault="007C225C" w:rsidP="007C225C">
            <w:pPr>
              <w:pStyle w:val="TableText0"/>
            </w:pPr>
          </w:p>
        </w:tc>
        <w:tc>
          <w:tcPr>
            <w:tcW w:w="944" w:type="pct"/>
            <w:vAlign w:val="center"/>
          </w:tcPr>
          <w:p w14:paraId="7475FD38" w14:textId="77777777" w:rsidR="007C225C" w:rsidRPr="007E61A0" w:rsidRDefault="007C225C" w:rsidP="007C225C">
            <w:pPr>
              <w:pStyle w:val="TableText0"/>
              <w:rPr>
                <w:rFonts w:ascii="Times" w:hAnsi="Times"/>
              </w:rPr>
            </w:pPr>
            <w:r w:rsidRPr="007E61A0">
              <w:t>Meta-analysis of Low PASI group</w:t>
            </w:r>
          </w:p>
        </w:tc>
        <w:tc>
          <w:tcPr>
            <w:tcW w:w="943" w:type="pct"/>
            <w:vAlign w:val="center"/>
          </w:tcPr>
          <w:p w14:paraId="6D804B4C" w14:textId="77777777" w:rsidR="007C225C" w:rsidRPr="007E61A0" w:rsidRDefault="007C225C" w:rsidP="007C225C">
            <w:pPr>
              <w:pStyle w:val="TableText0"/>
              <w:jc w:val="center"/>
              <w:rPr>
                <w:rFonts w:ascii="Times" w:hAnsi="Times"/>
              </w:rPr>
            </w:pPr>
            <w:r w:rsidRPr="007E61A0">
              <w:t>96/201 (47.8)</w:t>
            </w:r>
          </w:p>
        </w:tc>
        <w:tc>
          <w:tcPr>
            <w:tcW w:w="943" w:type="pct"/>
            <w:vAlign w:val="center"/>
          </w:tcPr>
          <w:p w14:paraId="6DD5897C" w14:textId="77777777" w:rsidR="007C225C" w:rsidRPr="007E61A0" w:rsidRDefault="007C225C" w:rsidP="007C225C">
            <w:pPr>
              <w:pStyle w:val="TableText0"/>
              <w:jc w:val="center"/>
              <w:rPr>
                <w:rFonts w:ascii="Times" w:hAnsi="Times"/>
              </w:rPr>
            </w:pPr>
            <w:r w:rsidRPr="007E61A0">
              <w:t>33/98 (33.7)</w:t>
            </w:r>
          </w:p>
        </w:tc>
        <w:tc>
          <w:tcPr>
            <w:tcW w:w="616" w:type="pct"/>
            <w:vAlign w:val="center"/>
          </w:tcPr>
          <w:p w14:paraId="34084306" w14:textId="77777777" w:rsidR="007C225C" w:rsidRPr="007E61A0" w:rsidRDefault="007C225C" w:rsidP="007C225C">
            <w:pPr>
              <w:pStyle w:val="TableText0"/>
              <w:jc w:val="center"/>
            </w:pPr>
            <w:r w:rsidRPr="007E61A0">
              <w:t xml:space="preserve">1.84 </w:t>
            </w:r>
          </w:p>
          <w:p w14:paraId="3C000317" w14:textId="3FB15456" w:rsidR="007C225C" w:rsidRPr="007E61A0" w:rsidRDefault="007C225C" w:rsidP="007C225C">
            <w:pPr>
              <w:pStyle w:val="TableText0"/>
              <w:jc w:val="center"/>
              <w:rPr>
                <w:rFonts w:ascii="Times" w:hAnsi="Times"/>
              </w:rPr>
            </w:pPr>
            <w:r w:rsidRPr="007E61A0">
              <w:t>(0.85, 3.99)</w:t>
            </w:r>
          </w:p>
        </w:tc>
        <w:tc>
          <w:tcPr>
            <w:tcW w:w="616" w:type="pct"/>
            <w:vAlign w:val="center"/>
          </w:tcPr>
          <w:p w14:paraId="67834EE3" w14:textId="77777777" w:rsidR="007C225C" w:rsidRPr="007E61A0" w:rsidRDefault="007C225C" w:rsidP="007C225C">
            <w:pPr>
              <w:pStyle w:val="TableText0"/>
              <w:jc w:val="center"/>
            </w:pPr>
            <w:r w:rsidRPr="007E61A0">
              <w:t xml:space="preserve">0.15 </w:t>
            </w:r>
          </w:p>
          <w:p w14:paraId="337649E2" w14:textId="5DCADEE7" w:rsidR="007C225C" w:rsidRPr="007E61A0" w:rsidRDefault="007C225C" w:rsidP="007C225C">
            <w:pPr>
              <w:pStyle w:val="TableText0"/>
              <w:jc w:val="center"/>
              <w:rPr>
                <w:rFonts w:ascii="Times" w:hAnsi="Times"/>
              </w:rPr>
            </w:pPr>
            <w:r w:rsidRPr="007E61A0">
              <w:t>(-0.03, 0.32)</w:t>
            </w:r>
          </w:p>
        </w:tc>
      </w:tr>
      <w:tr w:rsidR="001F5022" w:rsidRPr="007E61A0" w14:paraId="078D92C0" w14:textId="77777777" w:rsidTr="00C02A08">
        <w:tc>
          <w:tcPr>
            <w:tcW w:w="1881" w:type="pct"/>
            <w:gridSpan w:val="2"/>
            <w:vAlign w:val="center"/>
          </w:tcPr>
          <w:p w14:paraId="2D0437AE" w14:textId="77777777" w:rsidR="007C225C" w:rsidRPr="007E61A0" w:rsidRDefault="007C225C" w:rsidP="007C225C">
            <w:pPr>
              <w:pStyle w:val="TableText0"/>
              <w:rPr>
                <w:rFonts w:ascii="Times" w:hAnsi="Times"/>
              </w:rPr>
            </w:pPr>
            <w:r w:rsidRPr="007E61A0">
              <w:t>Test for subgroup differences, p-value</w:t>
            </w:r>
          </w:p>
        </w:tc>
        <w:tc>
          <w:tcPr>
            <w:tcW w:w="943" w:type="pct"/>
            <w:vAlign w:val="center"/>
          </w:tcPr>
          <w:p w14:paraId="15D8EA9A" w14:textId="77777777" w:rsidR="007C225C" w:rsidRPr="007E61A0" w:rsidRDefault="007C225C" w:rsidP="007C225C">
            <w:pPr>
              <w:pStyle w:val="TableText0"/>
              <w:jc w:val="center"/>
              <w:rPr>
                <w:rFonts w:ascii="Times" w:hAnsi="Times"/>
              </w:rPr>
            </w:pPr>
            <w:r w:rsidRPr="007E61A0">
              <w:t>–</w:t>
            </w:r>
          </w:p>
        </w:tc>
        <w:tc>
          <w:tcPr>
            <w:tcW w:w="943" w:type="pct"/>
            <w:vAlign w:val="center"/>
          </w:tcPr>
          <w:p w14:paraId="3DACC7FF" w14:textId="77777777" w:rsidR="007C225C" w:rsidRPr="007E61A0" w:rsidRDefault="007C225C" w:rsidP="007C225C">
            <w:pPr>
              <w:pStyle w:val="TableText0"/>
              <w:jc w:val="center"/>
            </w:pPr>
            <w:r w:rsidRPr="007E61A0">
              <w:t>–</w:t>
            </w:r>
          </w:p>
        </w:tc>
        <w:tc>
          <w:tcPr>
            <w:tcW w:w="1232" w:type="pct"/>
            <w:gridSpan w:val="2"/>
            <w:vAlign w:val="center"/>
          </w:tcPr>
          <w:p w14:paraId="59FB405B" w14:textId="77777777" w:rsidR="007C225C" w:rsidRPr="007E61A0" w:rsidRDefault="007C225C" w:rsidP="007C225C">
            <w:pPr>
              <w:pStyle w:val="TableText0"/>
              <w:jc w:val="center"/>
            </w:pPr>
            <w:r w:rsidRPr="007E61A0">
              <w:t>0.76</w:t>
            </w:r>
          </w:p>
          <w:p w14:paraId="6A3F970A" w14:textId="77777777" w:rsidR="007C225C" w:rsidRPr="007E61A0" w:rsidRDefault="007C225C" w:rsidP="007C225C">
            <w:pPr>
              <w:pStyle w:val="TableText0"/>
              <w:jc w:val="center"/>
            </w:pPr>
            <w:r w:rsidRPr="007E61A0">
              <w:t>Based on OR = 0.76</w:t>
            </w:r>
          </w:p>
          <w:p w14:paraId="2881685D" w14:textId="24925943" w:rsidR="007C225C" w:rsidRPr="007E61A0" w:rsidRDefault="007C225C" w:rsidP="007C225C">
            <w:pPr>
              <w:pStyle w:val="TableText0"/>
              <w:jc w:val="center"/>
            </w:pPr>
            <w:r w:rsidRPr="007E61A0">
              <w:t>Based on RD = 0.71</w:t>
            </w:r>
          </w:p>
        </w:tc>
      </w:tr>
      <w:tr w:rsidR="001F5022" w:rsidRPr="007E61A0" w14:paraId="04FF37DD" w14:textId="77777777" w:rsidTr="00575CD3">
        <w:tc>
          <w:tcPr>
            <w:tcW w:w="5000" w:type="pct"/>
            <w:gridSpan w:val="6"/>
            <w:vAlign w:val="center"/>
          </w:tcPr>
          <w:p w14:paraId="5D4396DB" w14:textId="77777777" w:rsidR="007C225C" w:rsidRPr="007E61A0" w:rsidRDefault="007C225C" w:rsidP="007C225C">
            <w:pPr>
              <w:pStyle w:val="TableText0"/>
            </w:pPr>
            <w:r w:rsidRPr="007E61A0">
              <w:rPr>
                <w:b/>
                <w:bCs w:val="0"/>
                <w:szCs w:val="20"/>
              </w:rPr>
              <w:t>Subgroup analysis 2: prior non-biologic therapy (yes versus no)</w:t>
            </w:r>
          </w:p>
        </w:tc>
      </w:tr>
      <w:tr w:rsidR="001F5022" w:rsidRPr="007E61A0" w14:paraId="0E6E1705" w14:textId="77777777" w:rsidTr="00575CD3">
        <w:tc>
          <w:tcPr>
            <w:tcW w:w="938" w:type="pct"/>
            <w:vMerge w:val="restart"/>
            <w:vAlign w:val="center"/>
          </w:tcPr>
          <w:p w14:paraId="4E0EC6C4" w14:textId="3C0989C8" w:rsidR="007C225C" w:rsidRPr="007E61A0" w:rsidRDefault="007C225C" w:rsidP="007C225C">
            <w:pPr>
              <w:pStyle w:val="TableText0"/>
            </w:pPr>
            <w:r w:rsidRPr="007E61A0">
              <w:t>Prior non-biologic therapy</w:t>
            </w:r>
            <w:r w:rsidRPr="007E61A0">
              <w:rPr>
                <w:vertAlign w:val="superscript"/>
              </w:rPr>
              <w:t xml:space="preserve"> a</w:t>
            </w:r>
          </w:p>
        </w:tc>
        <w:tc>
          <w:tcPr>
            <w:tcW w:w="944" w:type="pct"/>
            <w:vAlign w:val="center"/>
          </w:tcPr>
          <w:p w14:paraId="27EC30DC" w14:textId="77777777" w:rsidR="007C225C" w:rsidRPr="007E61A0" w:rsidRDefault="007C225C" w:rsidP="007C225C">
            <w:pPr>
              <w:pStyle w:val="TableText0"/>
            </w:pPr>
            <w:r w:rsidRPr="007E61A0">
              <w:t>POETYK 1</w:t>
            </w:r>
          </w:p>
        </w:tc>
        <w:tc>
          <w:tcPr>
            <w:tcW w:w="943" w:type="pct"/>
            <w:vAlign w:val="center"/>
          </w:tcPr>
          <w:p w14:paraId="2B1B31BA" w14:textId="77777777" w:rsidR="007C225C" w:rsidRPr="007E61A0" w:rsidRDefault="007C225C" w:rsidP="007C225C">
            <w:pPr>
              <w:pStyle w:val="TableText0"/>
              <w:jc w:val="center"/>
            </w:pPr>
            <w:r w:rsidRPr="007E61A0">
              <w:t>46/70 (65.7)</w:t>
            </w:r>
          </w:p>
        </w:tc>
        <w:tc>
          <w:tcPr>
            <w:tcW w:w="943" w:type="pct"/>
            <w:vAlign w:val="center"/>
          </w:tcPr>
          <w:p w14:paraId="4D4F8330" w14:textId="77777777" w:rsidR="007C225C" w:rsidRPr="007E61A0" w:rsidRDefault="007C225C" w:rsidP="007C225C">
            <w:pPr>
              <w:pStyle w:val="TableText0"/>
              <w:jc w:val="center"/>
            </w:pPr>
            <w:r w:rsidRPr="007E61A0">
              <w:t>18/43 (41.9)</w:t>
            </w:r>
          </w:p>
        </w:tc>
        <w:tc>
          <w:tcPr>
            <w:tcW w:w="616" w:type="pct"/>
            <w:vAlign w:val="center"/>
          </w:tcPr>
          <w:p w14:paraId="7E68A160" w14:textId="77777777" w:rsidR="007C225C" w:rsidRPr="007E61A0" w:rsidRDefault="007C225C" w:rsidP="007C225C">
            <w:pPr>
              <w:pStyle w:val="TableText0"/>
              <w:jc w:val="center"/>
              <w:rPr>
                <w:szCs w:val="20"/>
              </w:rPr>
            </w:pPr>
            <w:r w:rsidRPr="007E61A0">
              <w:rPr>
                <w:szCs w:val="20"/>
              </w:rPr>
              <w:t xml:space="preserve">2.66 </w:t>
            </w:r>
          </w:p>
          <w:p w14:paraId="0F03D105" w14:textId="475298FC" w:rsidR="007C225C" w:rsidRPr="007E61A0" w:rsidRDefault="007C225C" w:rsidP="007C225C">
            <w:pPr>
              <w:pStyle w:val="TableText0"/>
              <w:jc w:val="center"/>
            </w:pPr>
            <w:r w:rsidRPr="007E61A0">
              <w:rPr>
                <w:szCs w:val="20"/>
              </w:rPr>
              <w:t>(1.22, 5.82)</w:t>
            </w:r>
          </w:p>
        </w:tc>
        <w:tc>
          <w:tcPr>
            <w:tcW w:w="616" w:type="pct"/>
            <w:vAlign w:val="center"/>
          </w:tcPr>
          <w:p w14:paraId="20766B16" w14:textId="77777777" w:rsidR="007C225C" w:rsidRPr="007E61A0" w:rsidRDefault="007C225C" w:rsidP="007C225C">
            <w:pPr>
              <w:pStyle w:val="TableText0"/>
              <w:jc w:val="center"/>
              <w:rPr>
                <w:szCs w:val="20"/>
              </w:rPr>
            </w:pPr>
            <w:r w:rsidRPr="007E61A0">
              <w:rPr>
                <w:szCs w:val="20"/>
              </w:rPr>
              <w:t xml:space="preserve">0.24 </w:t>
            </w:r>
          </w:p>
          <w:p w14:paraId="79F6DC4B" w14:textId="60CFD4CB" w:rsidR="007C225C" w:rsidRPr="007E61A0" w:rsidRDefault="007C225C" w:rsidP="007C225C">
            <w:pPr>
              <w:pStyle w:val="TableText0"/>
              <w:jc w:val="center"/>
            </w:pPr>
            <w:r w:rsidRPr="007E61A0">
              <w:rPr>
                <w:szCs w:val="20"/>
              </w:rPr>
              <w:t>(0.05, 0.42)</w:t>
            </w:r>
          </w:p>
        </w:tc>
      </w:tr>
      <w:tr w:rsidR="001F5022" w:rsidRPr="007E61A0" w14:paraId="28AAC532" w14:textId="77777777" w:rsidTr="00575CD3">
        <w:tc>
          <w:tcPr>
            <w:tcW w:w="938" w:type="pct"/>
            <w:vMerge/>
            <w:vAlign w:val="center"/>
          </w:tcPr>
          <w:p w14:paraId="3075D257" w14:textId="77777777" w:rsidR="007C225C" w:rsidRPr="007E61A0" w:rsidRDefault="007C225C" w:rsidP="007C225C">
            <w:pPr>
              <w:pStyle w:val="TableText0"/>
            </w:pPr>
          </w:p>
        </w:tc>
        <w:tc>
          <w:tcPr>
            <w:tcW w:w="944" w:type="pct"/>
            <w:vAlign w:val="center"/>
          </w:tcPr>
          <w:p w14:paraId="33131DEF" w14:textId="77777777" w:rsidR="007C225C" w:rsidRPr="007E61A0" w:rsidRDefault="007C225C" w:rsidP="007C225C">
            <w:pPr>
              <w:pStyle w:val="TableText0"/>
            </w:pPr>
            <w:r w:rsidRPr="007E61A0">
              <w:t>POETYK 2</w:t>
            </w:r>
          </w:p>
        </w:tc>
        <w:tc>
          <w:tcPr>
            <w:tcW w:w="943" w:type="pct"/>
            <w:vAlign w:val="center"/>
          </w:tcPr>
          <w:p w14:paraId="7F703ADA" w14:textId="77777777" w:rsidR="007C225C" w:rsidRPr="007E61A0" w:rsidRDefault="007C225C" w:rsidP="007C225C">
            <w:pPr>
              <w:pStyle w:val="TableText0"/>
              <w:jc w:val="center"/>
            </w:pPr>
            <w:r w:rsidRPr="007E61A0">
              <w:t>62/109 (56.9)</w:t>
            </w:r>
          </w:p>
        </w:tc>
        <w:tc>
          <w:tcPr>
            <w:tcW w:w="943" w:type="pct"/>
            <w:vAlign w:val="center"/>
          </w:tcPr>
          <w:p w14:paraId="0F8EC605" w14:textId="77777777" w:rsidR="007C225C" w:rsidRPr="007E61A0" w:rsidRDefault="007C225C" w:rsidP="007C225C">
            <w:pPr>
              <w:pStyle w:val="TableText0"/>
              <w:jc w:val="center"/>
            </w:pPr>
            <w:r w:rsidRPr="007E61A0">
              <w:t>27/61 (44.3)</w:t>
            </w:r>
          </w:p>
        </w:tc>
        <w:tc>
          <w:tcPr>
            <w:tcW w:w="616" w:type="pct"/>
            <w:vAlign w:val="center"/>
          </w:tcPr>
          <w:p w14:paraId="734F5500" w14:textId="77777777" w:rsidR="007C225C" w:rsidRPr="007E61A0" w:rsidRDefault="007C225C" w:rsidP="007C225C">
            <w:pPr>
              <w:pStyle w:val="TableText0"/>
              <w:jc w:val="center"/>
              <w:rPr>
                <w:szCs w:val="20"/>
              </w:rPr>
            </w:pPr>
            <w:r w:rsidRPr="007E61A0">
              <w:rPr>
                <w:szCs w:val="20"/>
              </w:rPr>
              <w:t xml:space="preserve">1.66 </w:t>
            </w:r>
          </w:p>
          <w:p w14:paraId="457CE121" w14:textId="05494B7A" w:rsidR="007C225C" w:rsidRPr="007E61A0" w:rsidRDefault="007C225C" w:rsidP="007C225C">
            <w:pPr>
              <w:pStyle w:val="TableText0"/>
              <w:jc w:val="center"/>
            </w:pPr>
            <w:r w:rsidRPr="007E61A0">
              <w:rPr>
                <w:szCs w:val="20"/>
              </w:rPr>
              <w:t>(0.88, 3.12)</w:t>
            </w:r>
          </w:p>
        </w:tc>
        <w:tc>
          <w:tcPr>
            <w:tcW w:w="616" w:type="pct"/>
            <w:vAlign w:val="center"/>
          </w:tcPr>
          <w:p w14:paraId="62D579D7" w14:textId="77777777" w:rsidR="007C225C" w:rsidRPr="007E61A0" w:rsidRDefault="007C225C" w:rsidP="007C225C">
            <w:pPr>
              <w:pStyle w:val="TableText0"/>
              <w:jc w:val="center"/>
              <w:rPr>
                <w:szCs w:val="20"/>
              </w:rPr>
            </w:pPr>
            <w:r w:rsidRPr="007E61A0">
              <w:rPr>
                <w:szCs w:val="20"/>
              </w:rPr>
              <w:t xml:space="preserve">0.13 </w:t>
            </w:r>
          </w:p>
          <w:p w14:paraId="32B0188E" w14:textId="481AA474" w:rsidR="007C225C" w:rsidRPr="007E61A0" w:rsidRDefault="007C225C" w:rsidP="007C225C">
            <w:pPr>
              <w:pStyle w:val="TableText0"/>
              <w:jc w:val="center"/>
            </w:pPr>
            <w:r w:rsidRPr="007E61A0">
              <w:rPr>
                <w:szCs w:val="20"/>
              </w:rPr>
              <w:t>(-0.03, 0.28)</w:t>
            </w:r>
          </w:p>
        </w:tc>
      </w:tr>
      <w:tr w:rsidR="001F5022" w:rsidRPr="007E61A0" w14:paraId="6EADEBB8" w14:textId="77777777" w:rsidTr="00575CD3">
        <w:tc>
          <w:tcPr>
            <w:tcW w:w="938" w:type="pct"/>
            <w:vMerge/>
            <w:vAlign w:val="center"/>
          </w:tcPr>
          <w:p w14:paraId="3A5BDF30" w14:textId="77777777" w:rsidR="007C225C" w:rsidRPr="007E61A0" w:rsidRDefault="007C225C" w:rsidP="007C225C">
            <w:pPr>
              <w:pStyle w:val="TableText0"/>
            </w:pPr>
          </w:p>
        </w:tc>
        <w:tc>
          <w:tcPr>
            <w:tcW w:w="944" w:type="pct"/>
            <w:vAlign w:val="center"/>
          </w:tcPr>
          <w:p w14:paraId="718E0DF9" w14:textId="77777777" w:rsidR="007C225C" w:rsidRPr="007E61A0" w:rsidRDefault="007C225C" w:rsidP="007C225C">
            <w:pPr>
              <w:pStyle w:val="TableText0"/>
            </w:pPr>
            <w:r w:rsidRPr="007E61A0">
              <w:t>Meta-analysis of prior non-biologics group</w:t>
            </w:r>
          </w:p>
        </w:tc>
        <w:tc>
          <w:tcPr>
            <w:tcW w:w="943" w:type="pct"/>
            <w:vAlign w:val="center"/>
          </w:tcPr>
          <w:p w14:paraId="71BB0BFB" w14:textId="77777777" w:rsidR="007C225C" w:rsidRPr="007E61A0" w:rsidRDefault="007C225C" w:rsidP="007C225C">
            <w:pPr>
              <w:pStyle w:val="TableText0"/>
              <w:jc w:val="center"/>
            </w:pPr>
            <w:r w:rsidRPr="007E61A0">
              <w:t>108/179 (60.3)</w:t>
            </w:r>
          </w:p>
        </w:tc>
        <w:tc>
          <w:tcPr>
            <w:tcW w:w="943" w:type="pct"/>
            <w:vAlign w:val="center"/>
          </w:tcPr>
          <w:p w14:paraId="2FC78635" w14:textId="77777777" w:rsidR="007C225C" w:rsidRPr="007E61A0" w:rsidRDefault="007C225C" w:rsidP="007C225C">
            <w:pPr>
              <w:pStyle w:val="TableText0"/>
              <w:jc w:val="center"/>
            </w:pPr>
            <w:r w:rsidRPr="007E61A0">
              <w:t>45/104 (43.3)</w:t>
            </w:r>
          </w:p>
        </w:tc>
        <w:tc>
          <w:tcPr>
            <w:tcW w:w="616" w:type="pct"/>
            <w:vAlign w:val="center"/>
          </w:tcPr>
          <w:p w14:paraId="147479FF" w14:textId="77777777" w:rsidR="007C225C" w:rsidRPr="007E61A0" w:rsidRDefault="007C225C" w:rsidP="007C225C">
            <w:pPr>
              <w:pStyle w:val="TableText0"/>
              <w:jc w:val="center"/>
              <w:rPr>
                <w:szCs w:val="20"/>
              </w:rPr>
            </w:pPr>
            <w:r w:rsidRPr="007E61A0">
              <w:rPr>
                <w:szCs w:val="20"/>
              </w:rPr>
              <w:t xml:space="preserve">2.00 </w:t>
            </w:r>
          </w:p>
          <w:p w14:paraId="5378DDD6" w14:textId="1398BCC2" w:rsidR="007C225C" w:rsidRPr="007E61A0" w:rsidRDefault="007C225C" w:rsidP="007C225C">
            <w:pPr>
              <w:pStyle w:val="TableText0"/>
              <w:jc w:val="center"/>
            </w:pPr>
            <w:r w:rsidRPr="007E61A0">
              <w:rPr>
                <w:szCs w:val="20"/>
              </w:rPr>
              <w:t>(1.22, 3.27)</w:t>
            </w:r>
          </w:p>
        </w:tc>
        <w:tc>
          <w:tcPr>
            <w:tcW w:w="616" w:type="pct"/>
            <w:vAlign w:val="center"/>
          </w:tcPr>
          <w:p w14:paraId="5EE34F67" w14:textId="77777777" w:rsidR="007C225C" w:rsidRPr="007E61A0" w:rsidRDefault="007C225C" w:rsidP="007C225C">
            <w:pPr>
              <w:pStyle w:val="TableText0"/>
              <w:jc w:val="center"/>
              <w:rPr>
                <w:szCs w:val="20"/>
              </w:rPr>
            </w:pPr>
            <w:r w:rsidRPr="007E61A0">
              <w:rPr>
                <w:szCs w:val="20"/>
              </w:rPr>
              <w:t xml:space="preserve">0.17 </w:t>
            </w:r>
          </w:p>
          <w:p w14:paraId="516A1B80" w14:textId="183C3954" w:rsidR="007C225C" w:rsidRPr="007E61A0" w:rsidRDefault="007C225C" w:rsidP="007C225C">
            <w:pPr>
              <w:pStyle w:val="TableText0"/>
              <w:jc w:val="center"/>
            </w:pPr>
            <w:r w:rsidRPr="007E61A0">
              <w:rPr>
                <w:szCs w:val="20"/>
              </w:rPr>
              <w:t>(0.05, 0.29)</w:t>
            </w:r>
          </w:p>
        </w:tc>
      </w:tr>
      <w:tr w:rsidR="001F5022" w:rsidRPr="007E61A0" w14:paraId="32B69769" w14:textId="77777777" w:rsidTr="00575CD3">
        <w:tc>
          <w:tcPr>
            <w:tcW w:w="938" w:type="pct"/>
            <w:vMerge w:val="restart"/>
            <w:vAlign w:val="center"/>
          </w:tcPr>
          <w:p w14:paraId="762D4374" w14:textId="5DED8649" w:rsidR="007C225C" w:rsidRPr="007E61A0" w:rsidRDefault="007C225C" w:rsidP="007C225C">
            <w:pPr>
              <w:pStyle w:val="TableText0"/>
            </w:pPr>
            <w:r w:rsidRPr="007E61A0">
              <w:t>No prior non-biologic therapy</w:t>
            </w:r>
            <w:r w:rsidRPr="007E61A0">
              <w:rPr>
                <w:vertAlign w:val="superscript"/>
              </w:rPr>
              <w:t xml:space="preserve"> a</w:t>
            </w:r>
          </w:p>
        </w:tc>
        <w:tc>
          <w:tcPr>
            <w:tcW w:w="944" w:type="pct"/>
            <w:vAlign w:val="center"/>
          </w:tcPr>
          <w:p w14:paraId="4181BD64" w14:textId="77777777" w:rsidR="007C225C" w:rsidRPr="007E61A0" w:rsidRDefault="007C225C" w:rsidP="007C225C">
            <w:pPr>
              <w:pStyle w:val="TableText0"/>
            </w:pPr>
            <w:r w:rsidRPr="007E61A0">
              <w:t>POETYK 1</w:t>
            </w:r>
          </w:p>
        </w:tc>
        <w:tc>
          <w:tcPr>
            <w:tcW w:w="943" w:type="pct"/>
            <w:tcBorders>
              <w:bottom w:val="single" w:sz="4" w:space="0" w:color="auto"/>
            </w:tcBorders>
            <w:vAlign w:val="center"/>
          </w:tcPr>
          <w:p w14:paraId="294B6FBC" w14:textId="77777777" w:rsidR="007C225C" w:rsidRPr="007E61A0" w:rsidRDefault="007C225C" w:rsidP="007C225C">
            <w:pPr>
              <w:pStyle w:val="TableText0"/>
              <w:jc w:val="center"/>
            </w:pPr>
            <w:r w:rsidRPr="007E61A0">
              <w:t>148/262 (56.5)</w:t>
            </w:r>
          </w:p>
        </w:tc>
        <w:tc>
          <w:tcPr>
            <w:tcW w:w="943" w:type="pct"/>
            <w:tcBorders>
              <w:bottom w:val="single" w:sz="4" w:space="0" w:color="auto"/>
            </w:tcBorders>
            <w:vAlign w:val="center"/>
          </w:tcPr>
          <w:p w14:paraId="4E0A40EF" w14:textId="77777777" w:rsidR="007C225C" w:rsidRPr="007E61A0" w:rsidRDefault="007C225C" w:rsidP="007C225C">
            <w:pPr>
              <w:pStyle w:val="TableText0"/>
              <w:jc w:val="center"/>
            </w:pPr>
            <w:r w:rsidRPr="007E61A0">
              <w:t>41/125 (32.8)</w:t>
            </w:r>
          </w:p>
        </w:tc>
        <w:tc>
          <w:tcPr>
            <w:tcW w:w="616" w:type="pct"/>
            <w:tcBorders>
              <w:bottom w:val="single" w:sz="4" w:space="0" w:color="auto"/>
            </w:tcBorders>
            <w:vAlign w:val="center"/>
          </w:tcPr>
          <w:p w14:paraId="7A69EF28" w14:textId="77777777" w:rsidR="007C225C" w:rsidRPr="007E61A0" w:rsidRDefault="007C225C" w:rsidP="007C225C">
            <w:pPr>
              <w:pStyle w:val="TableText0"/>
              <w:jc w:val="center"/>
              <w:rPr>
                <w:szCs w:val="20"/>
              </w:rPr>
            </w:pPr>
            <w:r w:rsidRPr="007E61A0">
              <w:rPr>
                <w:szCs w:val="20"/>
              </w:rPr>
              <w:t xml:space="preserve">2.66 </w:t>
            </w:r>
          </w:p>
          <w:p w14:paraId="4D08C5AB" w14:textId="3CC377D6" w:rsidR="007C225C" w:rsidRPr="007E61A0" w:rsidRDefault="007C225C" w:rsidP="007C225C">
            <w:pPr>
              <w:pStyle w:val="TableText0"/>
              <w:jc w:val="center"/>
            </w:pPr>
            <w:r w:rsidRPr="007E61A0">
              <w:rPr>
                <w:szCs w:val="20"/>
              </w:rPr>
              <w:t>(1.70, 4.16)</w:t>
            </w:r>
          </w:p>
        </w:tc>
        <w:tc>
          <w:tcPr>
            <w:tcW w:w="616" w:type="pct"/>
            <w:tcBorders>
              <w:bottom w:val="single" w:sz="4" w:space="0" w:color="auto"/>
            </w:tcBorders>
            <w:vAlign w:val="center"/>
          </w:tcPr>
          <w:p w14:paraId="64941FF0" w14:textId="77777777" w:rsidR="007C225C" w:rsidRPr="007E61A0" w:rsidRDefault="007C225C" w:rsidP="007C225C">
            <w:pPr>
              <w:pStyle w:val="TableText0"/>
              <w:jc w:val="center"/>
              <w:rPr>
                <w:szCs w:val="20"/>
              </w:rPr>
            </w:pPr>
            <w:r w:rsidRPr="007E61A0">
              <w:rPr>
                <w:szCs w:val="20"/>
              </w:rPr>
              <w:t xml:space="preserve">0.24 </w:t>
            </w:r>
          </w:p>
          <w:p w14:paraId="219A2CD4" w14:textId="72D231FD" w:rsidR="007C225C" w:rsidRPr="007E61A0" w:rsidRDefault="007C225C" w:rsidP="007C225C">
            <w:pPr>
              <w:pStyle w:val="TableText0"/>
              <w:jc w:val="center"/>
            </w:pPr>
            <w:r w:rsidRPr="007E61A0">
              <w:rPr>
                <w:szCs w:val="20"/>
              </w:rPr>
              <w:t>(0.14, 0.34)</w:t>
            </w:r>
          </w:p>
        </w:tc>
      </w:tr>
      <w:tr w:rsidR="001F5022" w:rsidRPr="007E61A0" w14:paraId="0B30C18F" w14:textId="77777777" w:rsidTr="00575CD3">
        <w:tc>
          <w:tcPr>
            <w:tcW w:w="938" w:type="pct"/>
            <w:vMerge/>
            <w:vAlign w:val="center"/>
          </w:tcPr>
          <w:p w14:paraId="21DB5B2E" w14:textId="77777777" w:rsidR="007C225C" w:rsidRPr="007E61A0" w:rsidRDefault="007C225C" w:rsidP="007C225C">
            <w:pPr>
              <w:pStyle w:val="TableText0"/>
            </w:pPr>
          </w:p>
        </w:tc>
        <w:tc>
          <w:tcPr>
            <w:tcW w:w="944" w:type="pct"/>
            <w:vAlign w:val="center"/>
          </w:tcPr>
          <w:p w14:paraId="7745CAD9" w14:textId="77777777" w:rsidR="007C225C" w:rsidRPr="007E61A0" w:rsidRDefault="007C225C" w:rsidP="007C225C">
            <w:pPr>
              <w:pStyle w:val="TableText0"/>
            </w:pPr>
            <w:r w:rsidRPr="007E61A0">
              <w:t>POETYK 2</w:t>
            </w:r>
          </w:p>
        </w:tc>
        <w:tc>
          <w:tcPr>
            <w:tcW w:w="943" w:type="pct"/>
            <w:tcBorders>
              <w:bottom w:val="single" w:sz="4" w:space="0" w:color="auto"/>
            </w:tcBorders>
            <w:vAlign w:val="center"/>
          </w:tcPr>
          <w:p w14:paraId="4B83F08D" w14:textId="77777777" w:rsidR="007C225C" w:rsidRPr="007E61A0" w:rsidRDefault="007C225C" w:rsidP="007C225C">
            <w:pPr>
              <w:pStyle w:val="TableText0"/>
              <w:jc w:val="center"/>
            </w:pPr>
            <w:r w:rsidRPr="007E61A0">
              <w:t>209/402 (52.0)</w:t>
            </w:r>
          </w:p>
        </w:tc>
        <w:tc>
          <w:tcPr>
            <w:tcW w:w="943" w:type="pct"/>
            <w:tcBorders>
              <w:bottom w:val="single" w:sz="4" w:space="0" w:color="auto"/>
            </w:tcBorders>
            <w:vAlign w:val="center"/>
          </w:tcPr>
          <w:p w14:paraId="1FB025AB" w14:textId="77777777" w:rsidR="007C225C" w:rsidRPr="007E61A0" w:rsidRDefault="007C225C" w:rsidP="007C225C">
            <w:pPr>
              <w:pStyle w:val="TableText0"/>
              <w:jc w:val="center"/>
            </w:pPr>
            <w:r w:rsidRPr="007E61A0">
              <w:t>74/193 (38.3)</w:t>
            </w:r>
          </w:p>
        </w:tc>
        <w:tc>
          <w:tcPr>
            <w:tcW w:w="616" w:type="pct"/>
            <w:tcBorders>
              <w:bottom w:val="single" w:sz="4" w:space="0" w:color="auto"/>
            </w:tcBorders>
            <w:vAlign w:val="center"/>
          </w:tcPr>
          <w:p w14:paraId="43A1DFCC" w14:textId="77777777" w:rsidR="007C225C" w:rsidRPr="007E61A0" w:rsidRDefault="007C225C" w:rsidP="007C225C">
            <w:pPr>
              <w:pStyle w:val="TableText0"/>
              <w:jc w:val="center"/>
              <w:rPr>
                <w:szCs w:val="20"/>
              </w:rPr>
            </w:pPr>
            <w:r w:rsidRPr="007E61A0">
              <w:rPr>
                <w:szCs w:val="20"/>
              </w:rPr>
              <w:t xml:space="preserve">1.74 </w:t>
            </w:r>
          </w:p>
          <w:p w14:paraId="3413644F" w14:textId="6C8AC76C" w:rsidR="007C225C" w:rsidRPr="007E61A0" w:rsidRDefault="007C225C" w:rsidP="007C225C">
            <w:pPr>
              <w:pStyle w:val="TableText0"/>
              <w:jc w:val="center"/>
            </w:pPr>
            <w:r w:rsidRPr="007E61A0">
              <w:rPr>
                <w:szCs w:val="20"/>
              </w:rPr>
              <w:t>(1.23, 2.47)</w:t>
            </w:r>
          </w:p>
        </w:tc>
        <w:tc>
          <w:tcPr>
            <w:tcW w:w="616" w:type="pct"/>
            <w:tcBorders>
              <w:bottom w:val="single" w:sz="4" w:space="0" w:color="auto"/>
            </w:tcBorders>
            <w:vAlign w:val="center"/>
          </w:tcPr>
          <w:p w14:paraId="66FC0450" w14:textId="77777777" w:rsidR="007C225C" w:rsidRPr="007E61A0" w:rsidRDefault="007C225C" w:rsidP="007C225C">
            <w:pPr>
              <w:pStyle w:val="TableText0"/>
              <w:jc w:val="center"/>
              <w:rPr>
                <w:szCs w:val="20"/>
              </w:rPr>
            </w:pPr>
            <w:r w:rsidRPr="007E61A0">
              <w:rPr>
                <w:szCs w:val="20"/>
              </w:rPr>
              <w:t xml:space="preserve">0.14 </w:t>
            </w:r>
          </w:p>
          <w:p w14:paraId="6D3E5431" w14:textId="6DDE2BAD" w:rsidR="007C225C" w:rsidRPr="007E61A0" w:rsidRDefault="007C225C" w:rsidP="007C225C">
            <w:pPr>
              <w:pStyle w:val="TableText0"/>
              <w:jc w:val="center"/>
            </w:pPr>
            <w:r w:rsidRPr="007E61A0">
              <w:rPr>
                <w:szCs w:val="20"/>
              </w:rPr>
              <w:t>(0.05, 0.22)</w:t>
            </w:r>
          </w:p>
        </w:tc>
      </w:tr>
      <w:tr w:rsidR="001F5022" w:rsidRPr="007E61A0" w14:paraId="140A30F1" w14:textId="77777777" w:rsidTr="00575CD3">
        <w:tc>
          <w:tcPr>
            <w:tcW w:w="938" w:type="pct"/>
            <w:vMerge/>
            <w:vAlign w:val="center"/>
          </w:tcPr>
          <w:p w14:paraId="687E31D6" w14:textId="77777777" w:rsidR="007C225C" w:rsidRPr="007E61A0" w:rsidRDefault="007C225C" w:rsidP="007C225C">
            <w:pPr>
              <w:pStyle w:val="TableText0"/>
            </w:pPr>
          </w:p>
        </w:tc>
        <w:tc>
          <w:tcPr>
            <w:tcW w:w="944" w:type="pct"/>
            <w:vAlign w:val="center"/>
          </w:tcPr>
          <w:p w14:paraId="4C4AC2FF" w14:textId="77777777" w:rsidR="007C225C" w:rsidRPr="007E61A0" w:rsidRDefault="007C225C" w:rsidP="007C225C">
            <w:pPr>
              <w:pStyle w:val="TableText0"/>
            </w:pPr>
            <w:r w:rsidRPr="007E61A0">
              <w:t>Meta-analysis of no prior non-biologics group</w:t>
            </w:r>
          </w:p>
        </w:tc>
        <w:tc>
          <w:tcPr>
            <w:tcW w:w="943" w:type="pct"/>
            <w:tcBorders>
              <w:top w:val="single" w:sz="4" w:space="0" w:color="auto"/>
            </w:tcBorders>
            <w:vAlign w:val="center"/>
          </w:tcPr>
          <w:p w14:paraId="6B278BD2" w14:textId="77777777" w:rsidR="007C225C" w:rsidRPr="007E61A0" w:rsidRDefault="007C225C" w:rsidP="007C225C">
            <w:pPr>
              <w:pStyle w:val="TableText0"/>
              <w:jc w:val="center"/>
            </w:pPr>
            <w:r w:rsidRPr="007E61A0">
              <w:t>357/664 (53.8)</w:t>
            </w:r>
          </w:p>
        </w:tc>
        <w:tc>
          <w:tcPr>
            <w:tcW w:w="943" w:type="pct"/>
            <w:tcBorders>
              <w:top w:val="single" w:sz="4" w:space="0" w:color="auto"/>
            </w:tcBorders>
            <w:vAlign w:val="center"/>
          </w:tcPr>
          <w:p w14:paraId="672BF9AA" w14:textId="77777777" w:rsidR="007C225C" w:rsidRPr="007E61A0" w:rsidRDefault="007C225C" w:rsidP="007C225C">
            <w:pPr>
              <w:pStyle w:val="TableText0"/>
              <w:jc w:val="center"/>
            </w:pPr>
            <w:r w:rsidRPr="007E61A0">
              <w:t>115/318 (36.2)</w:t>
            </w:r>
          </w:p>
        </w:tc>
        <w:tc>
          <w:tcPr>
            <w:tcW w:w="616" w:type="pct"/>
            <w:tcBorders>
              <w:top w:val="single" w:sz="4" w:space="0" w:color="auto"/>
            </w:tcBorders>
            <w:vAlign w:val="center"/>
          </w:tcPr>
          <w:p w14:paraId="1D15CAB3" w14:textId="77777777" w:rsidR="007C225C" w:rsidRPr="007E61A0" w:rsidRDefault="007C225C" w:rsidP="007C225C">
            <w:pPr>
              <w:pStyle w:val="TableText0"/>
              <w:jc w:val="center"/>
              <w:rPr>
                <w:szCs w:val="20"/>
              </w:rPr>
            </w:pPr>
            <w:r w:rsidRPr="007E61A0">
              <w:rPr>
                <w:szCs w:val="20"/>
              </w:rPr>
              <w:t xml:space="preserve">2.10 </w:t>
            </w:r>
          </w:p>
          <w:p w14:paraId="680DE3A1" w14:textId="193172DB" w:rsidR="007C225C" w:rsidRPr="007E61A0" w:rsidRDefault="007C225C" w:rsidP="007C225C">
            <w:pPr>
              <w:pStyle w:val="TableText0"/>
              <w:jc w:val="center"/>
            </w:pPr>
            <w:r w:rsidRPr="007E61A0">
              <w:rPr>
                <w:szCs w:val="20"/>
              </w:rPr>
              <w:t>(1.39, 3.18)</w:t>
            </w:r>
          </w:p>
        </w:tc>
        <w:tc>
          <w:tcPr>
            <w:tcW w:w="616" w:type="pct"/>
            <w:tcBorders>
              <w:top w:val="single" w:sz="4" w:space="0" w:color="auto"/>
            </w:tcBorders>
            <w:vAlign w:val="center"/>
          </w:tcPr>
          <w:p w14:paraId="77E296F0" w14:textId="77777777" w:rsidR="007C225C" w:rsidRPr="007E61A0" w:rsidRDefault="007C225C" w:rsidP="007C225C">
            <w:pPr>
              <w:pStyle w:val="TableText0"/>
              <w:jc w:val="center"/>
              <w:rPr>
                <w:szCs w:val="20"/>
              </w:rPr>
            </w:pPr>
            <w:r w:rsidRPr="007E61A0">
              <w:rPr>
                <w:szCs w:val="20"/>
              </w:rPr>
              <w:t xml:space="preserve">0.18 </w:t>
            </w:r>
          </w:p>
          <w:p w14:paraId="4AC57444" w14:textId="1420F4A2" w:rsidR="007C225C" w:rsidRPr="007E61A0" w:rsidRDefault="007C225C" w:rsidP="007C225C">
            <w:pPr>
              <w:pStyle w:val="TableText0"/>
              <w:jc w:val="center"/>
            </w:pPr>
            <w:r w:rsidRPr="007E61A0">
              <w:rPr>
                <w:szCs w:val="20"/>
              </w:rPr>
              <w:t>(0.08, 0.28)</w:t>
            </w:r>
          </w:p>
        </w:tc>
      </w:tr>
      <w:tr w:rsidR="001F5022" w:rsidRPr="007E61A0" w14:paraId="747E3FC2" w14:textId="77777777" w:rsidTr="00C02A08">
        <w:tc>
          <w:tcPr>
            <w:tcW w:w="1881" w:type="pct"/>
            <w:gridSpan w:val="2"/>
            <w:vAlign w:val="center"/>
          </w:tcPr>
          <w:p w14:paraId="31F35B94" w14:textId="77777777" w:rsidR="007C225C" w:rsidRPr="007E61A0" w:rsidRDefault="007C225C" w:rsidP="007C225C">
            <w:pPr>
              <w:pStyle w:val="TableText0"/>
            </w:pPr>
            <w:r w:rsidRPr="007E61A0">
              <w:t>Test for subgroup differences, p-value</w:t>
            </w:r>
          </w:p>
        </w:tc>
        <w:tc>
          <w:tcPr>
            <w:tcW w:w="943" w:type="pct"/>
            <w:vAlign w:val="center"/>
          </w:tcPr>
          <w:p w14:paraId="600CFD21" w14:textId="77777777" w:rsidR="007C225C" w:rsidRPr="007E61A0" w:rsidRDefault="007C225C" w:rsidP="007C225C">
            <w:pPr>
              <w:pStyle w:val="TableText0"/>
              <w:jc w:val="center"/>
            </w:pPr>
            <w:r w:rsidRPr="007E61A0">
              <w:t>–</w:t>
            </w:r>
          </w:p>
        </w:tc>
        <w:tc>
          <w:tcPr>
            <w:tcW w:w="943" w:type="pct"/>
            <w:vAlign w:val="center"/>
          </w:tcPr>
          <w:p w14:paraId="6D57B5F3" w14:textId="77777777" w:rsidR="007C225C" w:rsidRPr="007E61A0" w:rsidRDefault="007C225C" w:rsidP="007C225C">
            <w:pPr>
              <w:pStyle w:val="TableText0"/>
              <w:jc w:val="center"/>
            </w:pPr>
            <w:r w:rsidRPr="007E61A0">
              <w:t>–</w:t>
            </w:r>
          </w:p>
        </w:tc>
        <w:tc>
          <w:tcPr>
            <w:tcW w:w="1232" w:type="pct"/>
            <w:gridSpan w:val="2"/>
            <w:vAlign w:val="center"/>
          </w:tcPr>
          <w:p w14:paraId="40EF1184" w14:textId="77777777" w:rsidR="007C225C" w:rsidRPr="007E61A0" w:rsidRDefault="007C225C" w:rsidP="007C225C">
            <w:pPr>
              <w:pStyle w:val="TableText0"/>
              <w:jc w:val="center"/>
            </w:pPr>
            <w:r w:rsidRPr="007E61A0">
              <w:t>0.88</w:t>
            </w:r>
          </w:p>
          <w:p w14:paraId="0E8636EA" w14:textId="77777777" w:rsidR="007C225C" w:rsidRPr="007E61A0" w:rsidRDefault="007C225C" w:rsidP="007C225C">
            <w:pPr>
              <w:pStyle w:val="TableText0"/>
              <w:jc w:val="center"/>
            </w:pPr>
            <w:r w:rsidRPr="007E61A0">
              <w:t>Based on OR = 0.88</w:t>
            </w:r>
          </w:p>
          <w:p w14:paraId="58EC18BF" w14:textId="4DF56CD3" w:rsidR="007C225C" w:rsidRPr="007E61A0" w:rsidRDefault="007C225C" w:rsidP="007C225C">
            <w:pPr>
              <w:pStyle w:val="TableText0"/>
              <w:jc w:val="center"/>
            </w:pPr>
            <w:r w:rsidRPr="007E61A0">
              <w:t>Based on RD = 0.90</w:t>
            </w:r>
          </w:p>
        </w:tc>
      </w:tr>
    </w:tbl>
    <w:p w14:paraId="2A60F6A8" w14:textId="1354FD3A" w:rsidR="00331FAB" w:rsidRPr="007E61A0" w:rsidRDefault="00331FAB" w:rsidP="00331FAB">
      <w:pPr>
        <w:pStyle w:val="FooterTableFigure"/>
        <w:rPr>
          <w:sz w:val="20"/>
        </w:rPr>
      </w:pPr>
      <w:r w:rsidRPr="007E61A0">
        <w:t>Source: Tables 41 &amp; 42, pp98 &amp; 99 of the submission</w:t>
      </w:r>
      <w:r w:rsidR="007C225C" w:rsidRPr="007E61A0">
        <w:t xml:space="preserve">; Attachment 3 of the submission. </w:t>
      </w:r>
    </w:p>
    <w:p w14:paraId="5F01AE83" w14:textId="7C760A40" w:rsidR="00331FAB" w:rsidRPr="007E61A0" w:rsidRDefault="00331FAB" w:rsidP="00331FAB">
      <w:pPr>
        <w:pStyle w:val="FooterTableFigure"/>
        <w:rPr>
          <w:rStyle w:val="CommentReference"/>
          <w:b w:val="0"/>
          <w:szCs w:val="24"/>
        </w:rPr>
      </w:pPr>
      <w:r w:rsidRPr="007E61A0">
        <w:rPr>
          <w:rFonts w:eastAsia="Calibri"/>
        </w:rPr>
        <w:t>CI = confidence interval; n = number of participants with event; N = total participants in group; NR =not reported; OR = odds ratio; PASI = Psoriasis Area and Severity Index; RD = risk difference.</w:t>
      </w:r>
      <w:r w:rsidRPr="007E61A0">
        <w:rPr>
          <w:rStyle w:val="CommentReference"/>
          <w:b w:val="0"/>
          <w:szCs w:val="24"/>
        </w:rPr>
        <w:t xml:space="preserve"> </w:t>
      </w:r>
    </w:p>
    <w:p w14:paraId="5774431E" w14:textId="2CCBE2D7" w:rsidR="007C225C" w:rsidRPr="007E61A0" w:rsidRDefault="007C225C" w:rsidP="00331FAB">
      <w:pPr>
        <w:pStyle w:val="FooterTableFigure"/>
        <w:rPr>
          <w:rStyle w:val="CommentReference"/>
          <w:b w:val="0"/>
          <w:szCs w:val="24"/>
        </w:rPr>
      </w:pPr>
      <w:r w:rsidRPr="007E61A0">
        <w:rPr>
          <w:rStyle w:val="CommentReference"/>
          <w:b w:val="0"/>
          <w:szCs w:val="24"/>
          <w:vertAlign w:val="superscript"/>
        </w:rPr>
        <w:t>a</w:t>
      </w:r>
      <w:r w:rsidRPr="007E61A0">
        <w:rPr>
          <w:rStyle w:val="CommentReference"/>
          <w:b w:val="0"/>
          <w:szCs w:val="24"/>
        </w:rPr>
        <w:t xml:space="preserve"> </w:t>
      </w:r>
      <w:r w:rsidRPr="007E61A0">
        <w:rPr>
          <w:rFonts w:eastAsia="Calibri"/>
        </w:rPr>
        <w:t>The number of patients experiencing events in each subgroup was supported by IPD not provided with the submission and therefore could not be verified.</w:t>
      </w:r>
    </w:p>
    <w:p w14:paraId="70F7A81A" w14:textId="50945DF9" w:rsidR="00555F6F" w:rsidRPr="007E61A0" w:rsidRDefault="00555F6F" w:rsidP="00555F6F">
      <w:pPr>
        <w:pStyle w:val="3-BodyText"/>
      </w:pPr>
      <w:bookmarkStart w:id="33" w:name="_Toc22897642"/>
      <w:r w:rsidRPr="007E61A0">
        <w:t>The magnitude of the treatment effect</w:t>
      </w:r>
      <w:r w:rsidR="00457A4E" w:rsidRPr="007E61A0">
        <w:t xml:space="preserve"> (OR)</w:t>
      </w:r>
      <w:r w:rsidRPr="007E61A0">
        <w:t xml:space="preserve"> in favour of deucravacitinib relative to apremilast was larger in the high PASI subgroup compared to the low PASI subgroup for the proportion of patients achieving PASI 75. Notwithstanding, the test for subgroup differences for PASI 75 was not statistically significant (p=0.76). </w:t>
      </w:r>
    </w:p>
    <w:p w14:paraId="67F8F3A4" w14:textId="1456061B" w:rsidR="00555F6F" w:rsidRPr="007E61A0" w:rsidRDefault="00555F6F" w:rsidP="00555F6F">
      <w:pPr>
        <w:pStyle w:val="3-BodyText"/>
      </w:pPr>
      <w:r w:rsidRPr="007E61A0">
        <w:t xml:space="preserve">The magnitude of the treatment effect in favour of deucravacitinib relative to apremilast was similar in the prior non-biologic therapy subgroup compared to the  </w:t>
      </w:r>
      <w:r w:rsidR="00322453" w:rsidRPr="007E61A0">
        <w:t xml:space="preserve">subgroup with no prior </w:t>
      </w:r>
      <w:r w:rsidRPr="007E61A0">
        <w:t xml:space="preserve">non-biologic therapy for the proportion of patients achieving </w:t>
      </w:r>
      <w:r w:rsidRPr="007E61A0">
        <w:lastRenderedPageBreak/>
        <w:t xml:space="preserve">PASI 75. The test for subgroup differences for PASI 75 was not statistically significant (p=0.88). </w:t>
      </w:r>
    </w:p>
    <w:p w14:paraId="54A7C0B4" w14:textId="77777777" w:rsidR="00555F6F" w:rsidRPr="007E61A0" w:rsidRDefault="00555F6F" w:rsidP="00555F6F">
      <w:pPr>
        <w:pStyle w:val="3-BodyText"/>
      </w:pPr>
      <w:r w:rsidRPr="007E61A0">
        <w:t xml:space="preserve">The subgroup analyses suggest that the treatment effect observed for deucravacitinib versus apremilast is unlikely to be affected by baseline PASI score (&gt;15 versus </w:t>
      </w:r>
      <w:r w:rsidRPr="007E61A0">
        <w:rPr>
          <w:rFonts w:cstheme="minorHAnsi"/>
        </w:rPr>
        <w:t>≤</w:t>
      </w:r>
      <w:r w:rsidRPr="007E61A0">
        <w:t xml:space="preserve">15) or prior treatment with systemic non-biologic therapy. </w:t>
      </w:r>
    </w:p>
    <w:p w14:paraId="70A764F1" w14:textId="58081C7C" w:rsidR="00457A4E" w:rsidRPr="007E61A0" w:rsidRDefault="00457A4E" w:rsidP="00555F6F">
      <w:pPr>
        <w:pStyle w:val="3-BodyText"/>
      </w:pPr>
      <w:r w:rsidRPr="007E61A0">
        <w:t xml:space="preserve">As with the whole trial analysis, the magnitude of the treatment effect (OR and risk difference) differed between </w:t>
      </w:r>
      <w:r w:rsidR="0043049B" w:rsidRPr="007E61A0">
        <w:t>subgroups in the POETYK 1 and POETYK 2 trials for each outcome; however, the tests for heterogeneity were non-significant.</w:t>
      </w:r>
    </w:p>
    <w:p w14:paraId="2A7CEF6A" w14:textId="4334EB90" w:rsidR="00FC1CAB" w:rsidRPr="007E61A0" w:rsidRDefault="00555F6F" w:rsidP="00555F6F">
      <w:pPr>
        <w:pStyle w:val="3-BodyText"/>
      </w:pPr>
      <w:r w:rsidRPr="007E61A0">
        <w:t xml:space="preserve">Patients in the POETYK 1 and POETYK 2 trials who have already received biologic therapies may not be representative of the Australian population. </w:t>
      </w:r>
      <w:r w:rsidR="00574387" w:rsidRPr="007E61A0">
        <w:t>The evaluation noted a</w:t>
      </w:r>
      <w:r w:rsidRPr="007E61A0">
        <w:t xml:space="preserve"> subgroup analysis comparing patients with and without prior biologic therapy would be informative to assess whether there is a </w:t>
      </w:r>
      <w:r w:rsidRPr="007E61A0">
        <w:rPr>
          <w:rFonts w:eastAsia="Calibri"/>
        </w:rPr>
        <w:t>differential effect based on prior biologic therapy</w:t>
      </w:r>
      <w:r w:rsidRPr="007E61A0">
        <w:t>.</w:t>
      </w:r>
      <w:r w:rsidR="00B71252" w:rsidRPr="007E61A0">
        <w:t xml:space="preserve"> </w:t>
      </w:r>
    </w:p>
    <w:p w14:paraId="357BC36E" w14:textId="17AA9C4E" w:rsidR="003642B4" w:rsidRPr="007E61A0" w:rsidRDefault="003642B4" w:rsidP="00555F6F">
      <w:pPr>
        <w:pStyle w:val="3-BodyText"/>
      </w:pPr>
      <w:bookmarkStart w:id="34" w:name="_Ref119410709"/>
      <w:r w:rsidRPr="007E61A0">
        <w:t>The PSCR presented the results of an additional subgroup analysis on PASI 75 at week 16 considering patients with prior methotrexate but no prior biologic use, which the Sponsor considered to include patients most likely to use deucravacitinib in clinical practice. The PSCR noted these subgroup analyses of the pooled POETYK trial data show similar treatment effects for the prior methotrexate but no prior biologic use subgroup (OR = 1.90, 95%CI: 0.98, 3.66, p=0.06) and the complement subgroup (OR = 2.03, 95%CI: 1.57, 2.63, p&lt;0.0001) and noted these results were similar to that observed in Warren 2021</w:t>
      </w:r>
      <w:r w:rsidRPr="007E61A0">
        <w:rPr>
          <w:rStyle w:val="FootnoteReference"/>
        </w:rPr>
        <w:footnoteReference w:id="3"/>
      </w:r>
      <w:r w:rsidRPr="007E61A0">
        <w:t>.</w:t>
      </w:r>
      <w:bookmarkEnd w:id="34"/>
    </w:p>
    <w:p w14:paraId="61CC7D4C" w14:textId="073B0A1F" w:rsidR="00DC34AE" w:rsidRPr="007E61A0" w:rsidRDefault="003642B4" w:rsidP="003642B4">
      <w:pPr>
        <w:pStyle w:val="3-BodyText"/>
      </w:pPr>
      <w:r w:rsidRPr="007E61A0">
        <w:t>The PSCR also argued the 6-month washout period for patients who had received prior biologics would limit the potential impact of residual biologic therapy effects</w:t>
      </w:r>
      <w:r w:rsidR="00701119" w:rsidRPr="007E61A0">
        <w:t xml:space="preserve"> and further argued subgroup analyses from the POETYK trials demonstrate that the use of prior biologics was balanced across treatment arms and deucravacitinib maintains its benefit over apremilast in the subgroups most applicable to the proposed positioning (noted in the above paragraph)</w:t>
      </w:r>
      <w:r w:rsidRPr="007E61A0">
        <w:t xml:space="preserve">. </w:t>
      </w:r>
    </w:p>
    <w:p w14:paraId="4FA5D0AE" w14:textId="787F5489" w:rsidR="003642B4" w:rsidRPr="007E61A0" w:rsidRDefault="003642B4" w:rsidP="003642B4">
      <w:pPr>
        <w:pStyle w:val="3-BodyText"/>
      </w:pPr>
      <w:r w:rsidRPr="007E61A0">
        <w:t xml:space="preserve">The ESC noted the subgroup analyses by prior biologic use requested in the evaluation were not </w:t>
      </w:r>
      <w:r w:rsidR="00DC34AE" w:rsidRPr="007E61A0">
        <w:t xml:space="preserve">specifically </w:t>
      </w:r>
      <w:r w:rsidRPr="007E61A0">
        <w:t xml:space="preserve">provided in the PSCR </w:t>
      </w:r>
      <w:r w:rsidR="00DC34AE" w:rsidRPr="007E61A0">
        <w:t>but the Warren 2021 data provided alongside the PSCR included some relevant subgroup analyses. For the comparison of deucravacitinib vs apremilast, the ESC noted the treatment effect appeared to be larger in patients that had received prior biologic therapy</w:t>
      </w:r>
      <w:r w:rsidR="00755D2E" w:rsidRPr="007E61A0">
        <w:t xml:space="preserve"> but </w:t>
      </w:r>
      <w:r w:rsidR="00003B4A" w:rsidRPr="007E61A0">
        <w:t xml:space="preserve">the data had not been fully evaluated. </w:t>
      </w:r>
    </w:p>
    <w:p w14:paraId="71318FE1" w14:textId="187F4157" w:rsidR="00B71252" w:rsidRPr="007E61A0" w:rsidRDefault="00701119" w:rsidP="00B71252">
      <w:pPr>
        <w:pStyle w:val="3-BodyText"/>
      </w:pPr>
      <w:bookmarkStart w:id="35" w:name="_Ref115942043"/>
      <w:r w:rsidRPr="007E61A0">
        <w:lastRenderedPageBreak/>
        <w:t>Furthermore, g</w:t>
      </w:r>
      <w:r w:rsidR="00B71252" w:rsidRPr="007E61A0">
        <w:t xml:space="preserve">iven its view that biologics </w:t>
      </w:r>
      <w:r w:rsidR="009611A0" w:rsidRPr="007E61A0">
        <w:t xml:space="preserve">are </w:t>
      </w:r>
      <w:r w:rsidR="0030711F" w:rsidRPr="007E61A0">
        <w:t xml:space="preserve">also </w:t>
      </w:r>
      <w:r w:rsidR="00B71252" w:rsidRPr="007E61A0">
        <w:t>relevant comparators, the ESC considered it would be informative to assess the comparative effectiveness of deucravacitinib and alternative biologic therapies to assist in assessing the cost-effectiveness of deucravacitinib in the broader treatment landscape for severe</w:t>
      </w:r>
      <w:r w:rsidR="003767BB" w:rsidRPr="007E61A0">
        <w:t xml:space="preserve"> </w:t>
      </w:r>
      <w:r w:rsidR="00B71252" w:rsidRPr="007E61A0">
        <w:t xml:space="preserve">CPP. The ESC noted these additional analyses would likely require evaluation if the PBAC were to assess the comparative effectiveness and cost effectiveness of deucravacitinib and PBS listed biologic therapies for </w:t>
      </w:r>
      <w:r w:rsidR="000A5852" w:rsidRPr="007E61A0">
        <w:t xml:space="preserve">severe </w:t>
      </w:r>
      <w:r w:rsidR="00B71252" w:rsidRPr="007E61A0">
        <w:t>CPP.</w:t>
      </w:r>
      <w:bookmarkEnd w:id="35"/>
      <w:r w:rsidR="004F1A99" w:rsidRPr="007E61A0">
        <w:t xml:space="preserve"> The Pre-PBAC Response argued that as apremilast was the appropriate primary comparator and the proposed place in therapy was the most realistic, the clinical evidence and economic model were sufficient to assess the cost-effectiveness of deucravacitinib in CPP. The PBAC agreed with the ESC and considered biologics may be considered relevant comparators, however given the place in therapy was unclear, considered it was appropriate to seek expert clinical advice to consider these issues further.</w:t>
      </w:r>
    </w:p>
    <w:p w14:paraId="14242D87" w14:textId="77777777" w:rsidR="00BC615C" w:rsidRPr="007E61A0" w:rsidRDefault="00BC615C" w:rsidP="00BC615C">
      <w:pPr>
        <w:pStyle w:val="5-SubsectionSubheading"/>
      </w:pPr>
      <w:bookmarkStart w:id="36" w:name="_Toc113968821"/>
      <w:r w:rsidRPr="007E61A0">
        <w:t>Patient reported outcomes – Quality of life outcomes (utilities)</w:t>
      </w:r>
      <w:bookmarkEnd w:id="36"/>
    </w:p>
    <w:p w14:paraId="4AF36351" w14:textId="6AB759DB" w:rsidR="00BC615C" w:rsidRPr="007E61A0" w:rsidRDefault="00BC615C" w:rsidP="00BC615C">
      <w:pPr>
        <w:pStyle w:val="3-BodyText"/>
      </w:pPr>
      <w:r w:rsidRPr="007E61A0">
        <w:fldChar w:fldCharType="begin" w:fldLock="1"/>
      </w:r>
      <w:r w:rsidRPr="007E61A0">
        <w:instrText xml:space="preserve"> REF _Ref111223176 \h </w:instrText>
      </w:r>
      <w:r w:rsidR="00D30F50" w:rsidRPr="007E61A0">
        <w:instrText xml:space="preserve"> \* MERGEFORMAT </w:instrText>
      </w:r>
      <w:r w:rsidRPr="007E61A0">
        <w:fldChar w:fldCharType="separate"/>
      </w:r>
      <w:r w:rsidR="00EC7993" w:rsidRPr="007E61A0">
        <w:t xml:space="preserve">Table </w:t>
      </w:r>
      <w:r w:rsidR="00EC7993">
        <w:t>6</w:t>
      </w:r>
      <w:r w:rsidRPr="007E61A0">
        <w:fldChar w:fldCharType="end"/>
      </w:r>
      <w:r w:rsidRPr="007E61A0">
        <w:t xml:space="preserve"> shows the trial-based utilities </w:t>
      </w:r>
      <w:r w:rsidR="00574387" w:rsidRPr="007E61A0">
        <w:t xml:space="preserve">reported in the POETYK 1 and POETYK 2 trials </w:t>
      </w:r>
      <w:r w:rsidRPr="007E61A0">
        <w:t xml:space="preserve">used as a sensitivity analysis in the economic evaluation. </w:t>
      </w:r>
    </w:p>
    <w:p w14:paraId="7635FB01" w14:textId="66552BDE" w:rsidR="00BC615C" w:rsidRPr="007E61A0" w:rsidRDefault="00BC615C" w:rsidP="00BC615C">
      <w:pPr>
        <w:pStyle w:val="Caption"/>
      </w:pPr>
      <w:bookmarkStart w:id="37" w:name="_Ref111223176"/>
      <w:r w:rsidRPr="007E61A0">
        <w:t xml:space="preserve">Table </w:t>
      </w:r>
      <w:fldSimple w:instr=" SEQ Table \* ARABIC " w:fldLock="1">
        <w:r w:rsidR="00EC7993">
          <w:rPr>
            <w:noProof/>
          </w:rPr>
          <w:t>6</w:t>
        </w:r>
      </w:fldSimple>
      <w:bookmarkEnd w:id="37"/>
      <w:r w:rsidRPr="007E61A0">
        <w:t xml:space="preserve">: EQ-5D utility value summary statistics </w:t>
      </w:r>
      <w:r w:rsidR="0017144E" w:rsidRPr="007E61A0">
        <w:t xml:space="preserve">(baseline) </w:t>
      </w:r>
      <w:r w:rsidRPr="007E61A0">
        <w:t>from the POETYK 1 and POETYK 2 trials, PRO analysis set</w:t>
      </w:r>
      <w:r w:rsidRPr="007E61A0">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1930"/>
        <w:gridCol w:w="1930"/>
        <w:gridCol w:w="1930"/>
        <w:gridCol w:w="1931"/>
      </w:tblGrid>
      <w:tr w:rsidR="00BC615C" w:rsidRPr="007E61A0" w14:paraId="36B3CD6D" w14:textId="77777777" w:rsidTr="00F00537">
        <w:trPr>
          <w:cantSplit/>
          <w:tblHeader/>
        </w:trPr>
        <w:tc>
          <w:tcPr>
            <w:tcW w:w="719" w:type="pct"/>
            <w:vMerge w:val="restart"/>
            <w:vAlign w:val="center"/>
          </w:tcPr>
          <w:p w14:paraId="0FEB5ABD" w14:textId="77777777" w:rsidR="00BC615C" w:rsidRPr="007E61A0" w:rsidRDefault="00BC615C" w:rsidP="00F00537">
            <w:pPr>
              <w:pStyle w:val="In-tableHeading"/>
              <w:jc w:val="center"/>
              <w:rPr>
                <w:lang w:val="en-AU"/>
              </w:rPr>
            </w:pPr>
          </w:p>
        </w:tc>
        <w:tc>
          <w:tcPr>
            <w:tcW w:w="2140" w:type="pct"/>
            <w:gridSpan w:val="2"/>
          </w:tcPr>
          <w:p w14:paraId="5304C46C" w14:textId="77777777" w:rsidR="00BC615C" w:rsidRPr="007E61A0" w:rsidRDefault="00BC615C" w:rsidP="00F00537">
            <w:pPr>
              <w:pStyle w:val="In-tableHeading"/>
              <w:jc w:val="center"/>
              <w:rPr>
                <w:lang w:val="en-AU"/>
              </w:rPr>
            </w:pPr>
            <w:r w:rsidRPr="007E61A0">
              <w:rPr>
                <w:lang w:val="en-AU"/>
              </w:rPr>
              <w:t>Deucravacitinib</w:t>
            </w:r>
          </w:p>
        </w:tc>
        <w:tc>
          <w:tcPr>
            <w:tcW w:w="2141" w:type="pct"/>
            <w:gridSpan w:val="2"/>
          </w:tcPr>
          <w:p w14:paraId="78F0532D" w14:textId="77777777" w:rsidR="00BC615C" w:rsidRPr="007E61A0" w:rsidRDefault="00BC615C" w:rsidP="00F00537">
            <w:pPr>
              <w:pStyle w:val="In-tableHeading"/>
              <w:jc w:val="center"/>
              <w:rPr>
                <w:lang w:val="en-AU"/>
              </w:rPr>
            </w:pPr>
            <w:r w:rsidRPr="007E61A0">
              <w:rPr>
                <w:lang w:val="en-AU"/>
              </w:rPr>
              <w:t>Apremilast</w:t>
            </w:r>
          </w:p>
        </w:tc>
      </w:tr>
      <w:tr w:rsidR="00BC615C" w:rsidRPr="007E61A0" w14:paraId="44749430" w14:textId="77777777" w:rsidTr="00F00537">
        <w:trPr>
          <w:cantSplit/>
          <w:tblHeader/>
        </w:trPr>
        <w:tc>
          <w:tcPr>
            <w:tcW w:w="719" w:type="pct"/>
            <w:vMerge/>
            <w:vAlign w:val="center"/>
          </w:tcPr>
          <w:p w14:paraId="2ADC8D9D" w14:textId="77777777" w:rsidR="00BC615C" w:rsidRPr="007E61A0" w:rsidRDefault="00BC615C" w:rsidP="00F00537">
            <w:pPr>
              <w:pStyle w:val="TableText0"/>
            </w:pPr>
          </w:p>
        </w:tc>
        <w:tc>
          <w:tcPr>
            <w:tcW w:w="1070" w:type="pct"/>
          </w:tcPr>
          <w:p w14:paraId="6A3190A8" w14:textId="77777777" w:rsidR="00BC615C" w:rsidRPr="007E61A0" w:rsidRDefault="00BC615C" w:rsidP="00F00537">
            <w:pPr>
              <w:pStyle w:val="TableText0"/>
              <w:jc w:val="center"/>
            </w:pPr>
            <w:r w:rsidRPr="007E61A0">
              <w:t>n</w:t>
            </w:r>
          </w:p>
        </w:tc>
        <w:tc>
          <w:tcPr>
            <w:tcW w:w="1070" w:type="pct"/>
          </w:tcPr>
          <w:p w14:paraId="0A8767F5" w14:textId="77777777" w:rsidR="00BC615C" w:rsidRPr="007E61A0" w:rsidRDefault="00BC615C" w:rsidP="00F00537">
            <w:pPr>
              <w:pStyle w:val="TableText0"/>
              <w:jc w:val="center"/>
            </w:pPr>
            <w:r w:rsidRPr="007E61A0">
              <w:t>Mean (SD)</w:t>
            </w:r>
          </w:p>
        </w:tc>
        <w:tc>
          <w:tcPr>
            <w:tcW w:w="1070" w:type="pct"/>
          </w:tcPr>
          <w:p w14:paraId="07ABDD33" w14:textId="77777777" w:rsidR="00BC615C" w:rsidRPr="007E61A0" w:rsidRDefault="00BC615C" w:rsidP="00F00537">
            <w:pPr>
              <w:pStyle w:val="TableText0"/>
              <w:jc w:val="center"/>
            </w:pPr>
            <w:r w:rsidRPr="007E61A0">
              <w:t>n</w:t>
            </w:r>
          </w:p>
        </w:tc>
        <w:tc>
          <w:tcPr>
            <w:tcW w:w="1071" w:type="pct"/>
          </w:tcPr>
          <w:p w14:paraId="6751B408" w14:textId="77777777" w:rsidR="00BC615C" w:rsidRPr="007E61A0" w:rsidRDefault="00BC615C" w:rsidP="00F00537">
            <w:pPr>
              <w:pStyle w:val="TableText0"/>
              <w:jc w:val="center"/>
            </w:pPr>
            <w:r w:rsidRPr="007E61A0">
              <w:t>Mean (SD)</w:t>
            </w:r>
          </w:p>
        </w:tc>
      </w:tr>
      <w:tr w:rsidR="00BC615C" w:rsidRPr="007E61A0" w14:paraId="275F4408" w14:textId="77777777" w:rsidTr="00F00537">
        <w:trPr>
          <w:cantSplit/>
        </w:trPr>
        <w:tc>
          <w:tcPr>
            <w:tcW w:w="719" w:type="pct"/>
            <w:vAlign w:val="center"/>
          </w:tcPr>
          <w:p w14:paraId="4765C3E3" w14:textId="77777777" w:rsidR="00BC615C" w:rsidRPr="007E61A0" w:rsidRDefault="00BC615C" w:rsidP="00F00537">
            <w:pPr>
              <w:pStyle w:val="TableText0"/>
            </w:pPr>
            <w:r w:rsidRPr="007E61A0">
              <w:t>POETYK 1</w:t>
            </w:r>
          </w:p>
        </w:tc>
        <w:tc>
          <w:tcPr>
            <w:tcW w:w="1070" w:type="pct"/>
          </w:tcPr>
          <w:p w14:paraId="2618BC20" w14:textId="77777777" w:rsidR="00BC615C" w:rsidRPr="007E61A0" w:rsidRDefault="00BC615C" w:rsidP="00F00537">
            <w:pPr>
              <w:pStyle w:val="TableText0"/>
              <w:jc w:val="center"/>
            </w:pPr>
            <w:r w:rsidRPr="007E61A0">
              <w:t>323</w:t>
            </w:r>
          </w:p>
        </w:tc>
        <w:tc>
          <w:tcPr>
            <w:tcW w:w="1070" w:type="pct"/>
            <w:vAlign w:val="center"/>
          </w:tcPr>
          <w:p w14:paraId="1DF5D73E" w14:textId="77777777" w:rsidR="00BC615C" w:rsidRPr="007E61A0" w:rsidRDefault="00BC615C" w:rsidP="00F00537">
            <w:pPr>
              <w:pStyle w:val="TableText0"/>
              <w:jc w:val="center"/>
            </w:pPr>
            <w:r w:rsidRPr="007E61A0">
              <w:t>0.814 (0.1596)</w:t>
            </w:r>
          </w:p>
        </w:tc>
        <w:tc>
          <w:tcPr>
            <w:tcW w:w="1070" w:type="pct"/>
          </w:tcPr>
          <w:p w14:paraId="7B4F212A" w14:textId="77777777" w:rsidR="00BC615C" w:rsidRPr="007E61A0" w:rsidRDefault="00BC615C" w:rsidP="00F00537">
            <w:pPr>
              <w:pStyle w:val="TableText0"/>
              <w:jc w:val="center"/>
            </w:pPr>
            <w:r w:rsidRPr="007E61A0">
              <w:t>158</w:t>
            </w:r>
          </w:p>
        </w:tc>
        <w:tc>
          <w:tcPr>
            <w:tcW w:w="1071" w:type="pct"/>
            <w:vAlign w:val="center"/>
          </w:tcPr>
          <w:p w14:paraId="25B83894" w14:textId="77777777" w:rsidR="00BC615C" w:rsidRPr="007E61A0" w:rsidRDefault="00BC615C" w:rsidP="00F00537">
            <w:pPr>
              <w:pStyle w:val="TableText0"/>
              <w:jc w:val="center"/>
            </w:pPr>
            <w:r w:rsidRPr="007E61A0">
              <w:t>0.793 (0.2056)</w:t>
            </w:r>
          </w:p>
        </w:tc>
      </w:tr>
      <w:tr w:rsidR="00BC615C" w:rsidRPr="007E61A0" w14:paraId="4386F56A" w14:textId="77777777" w:rsidTr="00F00537">
        <w:trPr>
          <w:cantSplit/>
        </w:trPr>
        <w:tc>
          <w:tcPr>
            <w:tcW w:w="719" w:type="pct"/>
            <w:vAlign w:val="center"/>
          </w:tcPr>
          <w:p w14:paraId="0CC1BE93" w14:textId="77777777" w:rsidR="00BC615C" w:rsidRPr="007E61A0" w:rsidRDefault="00BC615C" w:rsidP="00F00537">
            <w:pPr>
              <w:pStyle w:val="TableText0"/>
            </w:pPr>
            <w:r w:rsidRPr="007E61A0">
              <w:t>POETYK 2</w:t>
            </w:r>
          </w:p>
        </w:tc>
        <w:tc>
          <w:tcPr>
            <w:tcW w:w="1070" w:type="pct"/>
          </w:tcPr>
          <w:p w14:paraId="7FB8D4CE" w14:textId="77777777" w:rsidR="00BC615C" w:rsidRPr="007E61A0" w:rsidRDefault="00BC615C" w:rsidP="00F00537">
            <w:pPr>
              <w:pStyle w:val="TableText0"/>
              <w:jc w:val="center"/>
            </w:pPr>
            <w:r w:rsidRPr="007E61A0">
              <w:t>482</w:t>
            </w:r>
          </w:p>
        </w:tc>
        <w:tc>
          <w:tcPr>
            <w:tcW w:w="1070" w:type="pct"/>
            <w:vAlign w:val="center"/>
          </w:tcPr>
          <w:p w14:paraId="70C8E702" w14:textId="77777777" w:rsidR="00BC615C" w:rsidRPr="007E61A0" w:rsidRDefault="00BC615C" w:rsidP="00F00537">
            <w:pPr>
              <w:pStyle w:val="TableText0"/>
              <w:jc w:val="center"/>
            </w:pPr>
            <w:r w:rsidRPr="007E61A0">
              <w:t>0.840 (0.1769)</w:t>
            </w:r>
          </w:p>
        </w:tc>
        <w:tc>
          <w:tcPr>
            <w:tcW w:w="1070" w:type="pct"/>
          </w:tcPr>
          <w:p w14:paraId="66532173" w14:textId="77777777" w:rsidR="00BC615C" w:rsidRPr="007E61A0" w:rsidRDefault="00BC615C" w:rsidP="00F00537">
            <w:pPr>
              <w:pStyle w:val="TableText0"/>
              <w:jc w:val="center"/>
            </w:pPr>
            <w:r w:rsidRPr="007E61A0">
              <w:t>243</w:t>
            </w:r>
          </w:p>
        </w:tc>
        <w:tc>
          <w:tcPr>
            <w:tcW w:w="1071" w:type="pct"/>
            <w:vAlign w:val="center"/>
          </w:tcPr>
          <w:p w14:paraId="1E371E02" w14:textId="77777777" w:rsidR="00BC615C" w:rsidRPr="007E61A0" w:rsidRDefault="00BC615C" w:rsidP="00F00537">
            <w:pPr>
              <w:pStyle w:val="TableText0"/>
              <w:jc w:val="center"/>
            </w:pPr>
            <w:r w:rsidRPr="007E61A0">
              <w:t>0.822 (0.1773)</w:t>
            </w:r>
          </w:p>
        </w:tc>
      </w:tr>
      <w:tr w:rsidR="00BC615C" w:rsidRPr="007E61A0" w14:paraId="018222AF" w14:textId="77777777" w:rsidTr="00F00537">
        <w:trPr>
          <w:cantSplit/>
        </w:trPr>
        <w:tc>
          <w:tcPr>
            <w:tcW w:w="719" w:type="pct"/>
            <w:vAlign w:val="center"/>
          </w:tcPr>
          <w:p w14:paraId="2B81B050" w14:textId="77777777" w:rsidR="00BC615C" w:rsidRPr="007E61A0" w:rsidRDefault="00BC615C" w:rsidP="00F00537">
            <w:pPr>
              <w:pStyle w:val="TableText0"/>
            </w:pPr>
            <w:r w:rsidRPr="007E61A0">
              <w:t>Pooled</w:t>
            </w:r>
          </w:p>
        </w:tc>
        <w:tc>
          <w:tcPr>
            <w:tcW w:w="1070" w:type="pct"/>
          </w:tcPr>
          <w:p w14:paraId="2955A782" w14:textId="77777777" w:rsidR="00BC615C" w:rsidRPr="007E61A0" w:rsidRDefault="00BC615C" w:rsidP="00F00537">
            <w:pPr>
              <w:pStyle w:val="TableText0"/>
              <w:jc w:val="center"/>
            </w:pPr>
            <w:r w:rsidRPr="007E61A0">
              <w:t>805</w:t>
            </w:r>
          </w:p>
        </w:tc>
        <w:tc>
          <w:tcPr>
            <w:tcW w:w="1070" w:type="pct"/>
            <w:vAlign w:val="center"/>
          </w:tcPr>
          <w:p w14:paraId="5607F3C7" w14:textId="77777777" w:rsidR="00BC615C" w:rsidRPr="007E61A0" w:rsidRDefault="00BC615C" w:rsidP="00F00537">
            <w:pPr>
              <w:pStyle w:val="TableText0"/>
              <w:jc w:val="center"/>
            </w:pPr>
            <w:r w:rsidRPr="007E61A0">
              <w:t>0.830 (0.1706)</w:t>
            </w:r>
          </w:p>
        </w:tc>
        <w:tc>
          <w:tcPr>
            <w:tcW w:w="1070" w:type="pct"/>
          </w:tcPr>
          <w:p w14:paraId="0A1FF310" w14:textId="77777777" w:rsidR="00BC615C" w:rsidRPr="007E61A0" w:rsidRDefault="00BC615C" w:rsidP="00F00537">
            <w:pPr>
              <w:pStyle w:val="TableText0"/>
              <w:jc w:val="center"/>
            </w:pPr>
            <w:r w:rsidRPr="007E61A0">
              <w:t>401</w:t>
            </w:r>
          </w:p>
        </w:tc>
        <w:tc>
          <w:tcPr>
            <w:tcW w:w="1071" w:type="pct"/>
            <w:vAlign w:val="center"/>
          </w:tcPr>
          <w:p w14:paraId="06BC5128" w14:textId="77777777" w:rsidR="00BC615C" w:rsidRPr="007E61A0" w:rsidRDefault="00BC615C" w:rsidP="00F00537">
            <w:pPr>
              <w:pStyle w:val="TableText0"/>
              <w:jc w:val="center"/>
            </w:pPr>
            <w:r w:rsidRPr="007E61A0">
              <w:t>0.810 (0.1892)</w:t>
            </w:r>
          </w:p>
        </w:tc>
      </w:tr>
    </w:tbl>
    <w:p w14:paraId="78793B0F" w14:textId="77777777" w:rsidR="00BC615C" w:rsidRPr="007E61A0" w:rsidRDefault="00BC615C" w:rsidP="00BC615C">
      <w:pPr>
        <w:pStyle w:val="FooterTableFigure"/>
        <w:keepNext/>
      </w:pPr>
      <w:r w:rsidRPr="007E61A0">
        <w:t>Source: Table 78, p149 of the submission</w:t>
      </w:r>
    </w:p>
    <w:p w14:paraId="5DDBA416" w14:textId="77777777" w:rsidR="00BC615C" w:rsidRPr="007E61A0" w:rsidRDefault="00BC615C" w:rsidP="00BC615C">
      <w:pPr>
        <w:pStyle w:val="FooterTableFigure"/>
        <w:keepNext/>
      </w:pPr>
      <w:r w:rsidRPr="007E61A0">
        <w:t>SD = standard deviation; n = number of participants reporting data; PRO = patient reported outcomes.</w:t>
      </w:r>
    </w:p>
    <w:p w14:paraId="4E32CC1D" w14:textId="77777777" w:rsidR="00BC615C" w:rsidRPr="007E61A0" w:rsidRDefault="00BC615C" w:rsidP="00BC615C">
      <w:pPr>
        <w:pStyle w:val="FooterTableFigure"/>
        <w:keepNext/>
      </w:pPr>
      <w:proofErr w:type="spellStart"/>
      <w:r w:rsidRPr="007E61A0">
        <w:rPr>
          <w:vertAlign w:val="superscript"/>
        </w:rPr>
        <w:t>a</w:t>
      </w:r>
      <w:proofErr w:type="spellEnd"/>
      <w:r w:rsidRPr="007E61A0">
        <w:t xml:space="preserve"> The PRO analysis set (PAS) is the subset of the full analysis set who completed at least one item at baseline and at least one item post baseline for the respective PRO instrument.</w:t>
      </w:r>
    </w:p>
    <w:p w14:paraId="1452C351" w14:textId="0D19F1B0" w:rsidR="00B60939" w:rsidRPr="007E61A0" w:rsidRDefault="00B60939" w:rsidP="00D86231">
      <w:pPr>
        <w:pStyle w:val="4-SubsectionHeading"/>
        <w:rPr>
          <w:iCs/>
        </w:rPr>
      </w:pPr>
      <w:bookmarkStart w:id="38" w:name="_Toc113968822"/>
      <w:r w:rsidRPr="007E61A0">
        <w:rPr>
          <w:iCs/>
        </w:rPr>
        <w:t>Comparative harms</w:t>
      </w:r>
      <w:bookmarkEnd w:id="33"/>
      <w:bookmarkEnd w:id="38"/>
    </w:p>
    <w:p w14:paraId="7A5984B3" w14:textId="77FE97B4" w:rsidR="00BD1AD5" w:rsidRPr="007E61A0" w:rsidRDefault="00BD1AD5" w:rsidP="00D86231">
      <w:pPr>
        <w:pStyle w:val="3-BodyText"/>
      </w:pPr>
      <w:r w:rsidRPr="007E61A0">
        <w:t xml:space="preserve">The results of key safety outcomes for deucravacitinib and apremilast at week 16 in the POETYK 1 and POETYK 2 trials are summarised in the </w:t>
      </w:r>
      <w:r w:rsidR="00D1392D" w:rsidRPr="007E61A0">
        <w:t>table</w:t>
      </w:r>
      <w:r w:rsidRPr="007E61A0">
        <w:t xml:space="preserve"> below. </w:t>
      </w:r>
    </w:p>
    <w:p w14:paraId="6F8A1C60" w14:textId="3A5772FA" w:rsidR="00A30F87" w:rsidRPr="007E61A0" w:rsidRDefault="00A30F87" w:rsidP="00A30F87">
      <w:pPr>
        <w:pStyle w:val="Caption"/>
      </w:pPr>
      <w:r w:rsidRPr="007E61A0">
        <w:lastRenderedPageBreak/>
        <w:t xml:space="preserve">Table </w:t>
      </w:r>
      <w:fldSimple w:instr=" SEQ Table \* ARABIC " w:fldLock="1">
        <w:r w:rsidR="00EC7993">
          <w:rPr>
            <w:noProof/>
          </w:rPr>
          <w:t>7</w:t>
        </w:r>
      </w:fldSimple>
      <w:r w:rsidR="00270178" w:rsidRPr="007E61A0">
        <w:t>: Summary safety outcomes: deucravacitinib and apremilast,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722"/>
        <w:gridCol w:w="1724"/>
        <w:gridCol w:w="1722"/>
        <w:gridCol w:w="1726"/>
      </w:tblGrid>
      <w:tr w:rsidR="00CB5649" w:rsidRPr="007E61A0" w14:paraId="31AE00FF" w14:textId="56E5F1FD" w:rsidTr="00B65CFA">
        <w:trPr>
          <w:cantSplit/>
          <w:tblHeader/>
        </w:trPr>
        <w:tc>
          <w:tcPr>
            <w:tcW w:w="1177" w:type="pct"/>
            <w:vAlign w:val="center"/>
          </w:tcPr>
          <w:p w14:paraId="2755CC26" w14:textId="77777777" w:rsidR="00CB5649" w:rsidRPr="007E61A0" w:rsidRDefault="00CB5649" w:rsidP="004570BF">
            <w:pPr>
              <w:pStyle w:val="In-tableHeading"/>
              <w:jc w:val="center"/>
              <w:rPr>
                <w:lang w:val="en-AU"/>
              </w:rPr>
            </w:pPr>
            <w:r w:rsidRPr="007E61A0">
              <w:rPr>
                <w:lang w:val="en-AU"/>
              </w:rPr>
              <w:t>Trial ID</w:t>
            </w:r>
          </w:p>
        </w:tc>
        <w:tc>
          <w:tcPr>
            <w:tcW w:w="955" w:type="pct"/>
            <w:vAlign w:val="center"/>
          </w:tcPr>
          <w:p w14:paraId="218596A3" w14:textId="7E7C31A3" w:rsidR="00CB5649" w:rsidRPr="007E61A0" w:rsidRDefault="00270178" w:rsidP="004570BF">
            <w:pPr>
              <w:pStyle w:val="In-tableHeading"/>
              <w:jc w:val="center"/>
              <w:rPr>
                <w:lang w:val="en-AU"/>
              </w:rPr>
            </w:pPr>
            <w:r w:rsidRPr="007E61A0">
              <w:rPr>
                <w:lang w:val="en-AU"/>
              </w:rPr>
              <w:t>Deucravacitinib</w:t>
            </w:r>
          </w:p>
          <w:p w14:paraId="1CF0B3F9" w14:textId="77777777" w:rsidR="00CB5649" w:rsidRPr="007E61A0" w:rsidRDefault="00CB5649" w:rsidP="004570BF">
            <w:pPr>
              <w:pStyle w:val="In-tableHeading"/>
              <w:jc w:val="center"/>
              <w:rPr>
                <w:lang w:val="en-AU"/>
              </w:rPr>
            </w:pPr>
            <w:r w:rsidRPr="007E61A0">
              <w:rPr>
                <w:lang w:val="en-AU"/>
              </w:rPr>
              <w:t>n with event/N (%)</w:t>
            </w:r>
          </w:p>
        </w:tc>
        <w:tc>
          <w:tcPr>
            <w:tcW w:w="956" w:type="pct"/>
            <w:vAlign w:val="center"/>
          </w:tcPr>
          <w:p w14:paraId="5935193E" w14:textId="6D1FD353" w:rsidR="00CB5649" w:rsidRPr="007E61A0" w:rsidRDefault="00270178" w:rsidP="004570BF">
            <w:pPr>
              <w:pStyle w:val="In-tableHeading"/>
              <w:jc w:val="center"/>
              <w:rPr>
                <w:lang w:val="en-AU"/>
              </w:rPr>
            </w:pPr>
            <w:r w:rsidRPr="007E61A0">
              <w:rPr>
                <w:lang w:val="en-AU"/>
              </w:rPr>
              <w:t>Apremilast</w:t>
            </w:r>
          </w:p>
          <w:p w14:paraId="65164BCB" w14:textId="77777777" w:rsidR="00CB5649" w:rsidRPr="007E61A0" w:rsidRDefault="00CB5649" w:rsidP="004570BF">
            <w:pPr>
              <w:pStyle w:val="In-tableHeading"/>
              <w:jc w:val="center"/>
              <w:rPr>
                <w:lang w:val="en-AU"/>
              </w:rPr>
            </w:pPr>
            <w:r w:rsidRPr="007E61A0">
              <w:rPr>
                <w:lang w:val="en-AU"/>
              </w:rPr>
              <w:t>n with event/N (%)</w:t>
            </w:r>
          </w:p>
        </w:tc>
        <w:tc>
          <w:tcPr>
            <w:tcW w:w="955" w:type="pct"/>
            <w:vAlign w:val="center"/>
          </w:tcPr>
          <w:p w14:paraId="236696A5" w14:textId="242F9E23" w:rsidR="00CB5649" w:rsidRPr="007E61A0" w:rsidRDefault="00CB5649" w:rsidP="004570BF">
            <w:pPr>
              <w:pStyle w:val="In-tableHeading"/>
              <w:jc w:val="center"/>
              <w:rPr>
                <w:lang w:val="en-AU"/>
              </w:rPr>
            </w:pPr>
            <w:r w:rsidRPr="007E61A0">
              <w:rPr>
                <w:lang w:val="en-AU"/>
              </w:rPr>
              <w:t>OR (95% CI)</w:t>
            </w:r>
          </w:p>
        </w:tc>
        <w:tc>
          <w:tcPr>
            <w:tcW w:w="957" w:type="pct"/>
            <w:vAlign w:val="center"/>
          </w:tcPr>
          <w:p w14:paraId="4E8157F1" w14:textId="3DEF81DF" w:rsidR="00CB5649" w:rsidRPr="007E61A0" w:rsidRDefault="00CB5649" w:rsidP="00CB5649">
            <w:pPr>
              <w:pStyle w:val="In-tableHeading"/>
              <w:jc w:val="center"/>
              <w:rPr>
                <w:lang w:val="en-AU"/>
              </w:rPr>
            </w:pPr>
            <w:r w:rsidRPr="007E61A0">
              <w:rPr>
                <w:lang w:val="en-AU"/>
              </w:rPr>
              <w:t>RD (95% CI)</w:t>
            </w:r>
          </w:p>
        </w:tc>
      </w:tr>
      <w:tr w:rsidR="00B65CFA" w:rsidRPr="007E61A0" w14:paraId="093C8366" w14:textId="53179B01" w:rsidTr="00B65CFA">
        <w:trPr>
          <w:cantSplit/>
        </w:trPr>
        <w:tc>
          <w:tcPr>
            <w:tcW w:w="5000" w:type="pct"/>
            <w:gridSpan w:val="5"/>
            <w:vAlign w:val="center"/>
          </w:tcPr>
          <w:p w14:paraId="4BA26921" w14:textId="1C06AA45" w:rsidR="00B65CFA" w:rsidRPr="007E61A0" w:rsidRDefault="00B65CFA" w:rsidP="00B65CFA">
            <w:pPr>
              <w:pStyle w:val="TableText0"/>
              <w:rPr>
                <w:b/>
                <w:bCs w:val="0"/>
              </w:rPr>
            </w:pPr>
            <w:r w:rsidRPr="007E61A0">
              <w:rPr>
                <w:b/>
                <w:bCs w:val="0"/>
              </w:rPr>
              <w:t>POETYK 1</w:t>
            </w:r>
          </w:p>
        </w:tc>
      </w:tr>
      <w:tr w:rsidR="00270178" w:rsidRPr="007E61A0" w14:paraId="699DE367" w14:textId="30A7E2D1" w:rsidTr="00B65CFA">
        <w:trPr>
          <w:cantSplit/>
        </w:trPr>
        <w:tc>
          <w:tcPr>
            <w:tcW w:w="1177" w:type="pct"/>
            <w:vAlign w:val="center"/>
          </w:tcPr>
          <w:p w14:paraId="7189A729" w14:textId="5EA920AE" w:rsidR="00270178" w:rsidRPr="007E61A0" w:rsidRDefault="00270178" w:rsidP="00270178">
            <w:pPr>
              <w:pStyle w:val="TableText0"/>
            </w:pPr>
            <w:r w:rsidRPr="007E61A0">
              <w:t>Deaths</w:t>
            </w:r>
          </w:p>
        </w:tc>
        <w:tc>
          <w:tcPr>
            <w:tcW w:w="955" w:type="pct"/>
            <w:tcBorders>
              <w:bottom w:val="single" w:sz="4" w:space="0" w:color="auto"/>
            </w:tcBorders>
            <w:vAlign w:val="center"/>
          </w:tcPr>
          <w:p w14:paraId="48DEB832" w14:textId="54B5B898" w:rsidR="00270178" w:rsidRPr="007E61A0" w:rsidRDefault="00270178" w:rsidP="00270178">
            <w:pPr>
              <w:pStyle w:val="TableText0"/>
              <w:jc w:val="center"/>
            </w:pPr>
            <w:r w:rsidRPr="007E61A0">
              <w:t>0/332 (0.0)</w:t>
            </w:r>
          </w:p>
        </w:tc>
        <w:tc>
          <w:tcPr>
            <w:tcW w:w="956" w:type="pct"/>
            <w:tcBorders>
              <w:bottom w:val="single" w:sz="4" w:space="0" w:color="auto"/>
            </w:tcBorders>
            <w:vAlign w:val="center"/>
          </w:tcPr>
          <w:p w14:paraId="234D2A03" w14:textId="5A77850C" w:rsidR="00270178" w:rsidRPr="007E61A0" w:rsidRDefault="00270178" w:rsidP="00270178">
            <w:pPr>
              <w:pStyle w:val="TableText0"/>
              <w:jc w:val="center"/>
            </w:pPr>
            <w:r w:rsidRPr="007E61A0">
              <w:t>0/168 (0.0)</w:t>
            </w:r>
          </w:p>
        </w:tc>
        <w:tc>
          <w:tcPr>
            <w:tcW w:w="955" w:type="pct"/>
            <w:vAlign w:val="center"/>
          </w:tcPr>
          <w:p w14:paraId="62517261" w14:textId="459FE199" w:rsidR="00270178" w:rsidRPr="007E61A0" w:rsidRDefault="00270178" w:rsidP="00270178">
            <w:pPr>
              <w:pStyle w:val="TableText0"/>
              <w:jc w:val="center"/>
            </w:pPr>
            <w:r w:rsidRPr="007E61A0">
              <w:t>NE</w:t>
            </w:r>
          </w:p>
        </w:tc>
        <w:tc>
          <w:tcPr>
            <w:tcW w:w="957" w:type="pct"/>
            <w:vAlign w:val="center"/>
          </w:tcPr>
          <w:p w14:paraId="33B53EDF" w14:textId="73700C6E" w:rsidR="00270178" w:rsidRPr="007E61A0" w:rsidRDefault="00270178" w:rsidP="00270178">
            <w:pPr>
              <w:pStyle w:val="TableText0"/>
              <w:jc w:val="center"/>
            </w:pPr>
            <w:r w:rsidRPr="007E61A0">
              <w:t xml:space="preserve">0.00 </w:t>
            </w:r>
            <w:r w:rsidR="00D1392D" w:rsidRPr="007E61A0">
              <w:t>(</w:t>
            </w:r>
            <w:r w:rsidRPr="007E61A0">
              <w:t>-0.01, 0.01</w:t>
            </w:r>
            <w:r w:rsidR="00D1392D" w:rsidRPr="007E61A0">
              <w:t>)</w:t>
            </w:r>
          </w:p>
        </w:tc>
      </w:tr>
      <w:tr w:rsidR="00B65CFA" w:rsidRPr="007E61A0" w14:paraId="45AF62B7" w14:textId="4B39CDC6" w:rsidTr="00B65CFA">
        <w:trPr>
          <w:cantSplit/>
        </w:trPr>
        <w:tc>
          <w:tcPr>
            <w:tcW w:w="1177" w:type="pct"/>
            <w:vAlign w:val="center"/>
          </w:tcPr>
          <w:p w14:paraId="6929E365" w14:textId="7C34CBA5" w:rsidR="00B65CFA" w:rsidRPr="007E61A0" w:rsidRDefault="00B65CFA" w:rsidP="00B65CFA">
            <w:pPr>
              <w:pStyle w:val="TableText0"/>
            </w:pPr>
            <w:r w:rsidRPr="007E61A0">
              <w:t>SAEs</w:t>
            </w:r>
          </w:p>
        </w:tc>
        <w:tc>
          <w:tcPr>
            <w:tcW w:w="955" w:type="pct"/>
            <w:vAlign w:val="center"/>
          </w:tcPr>
          <w:p w14:paraId="07059900" w14:textId="1854C7AB" w:rsidR="00B65CFA" w:rsidRPr="007E61A0" w:rsidRDefault="00B65CFA" w:rsidP="00B65CFA">
            <w:pPr>
              <w:pStyle w:val="TableText0"/>
              <w:jc w:val="center"/>
            </w:pPr>
            <w:r w:rsidRPr="007E61A0">
              <w:t>7/332 (2.1)</w:t>
            </w:r>
          </w:p>
        </w:tc>
        <w:tc>
          <w:tcPr>
            <w:tcW w:w="956" w:type="pct"/>
            <w:vAlign w:val="center"/>
          </w:tcPr>
          <w:p w14:paraId="7CCB3969" w14:textId="077CB00F" w:rsidR="00B65CFA" w:rsidRPr="007E61A0" w:rsidRDefault="00B65CFA" w:rsidP="00B65CFA">
            <w:pPr>
              <w:pStyle w:val="TableText0"/>
              <w:jc w:val="center"/>
            </w:pPr>
            <w:r w:rsidRPr="007E61A0">
              <w:t>4/168 (2.4)</w:t>
            </w:r>
          </w:p>
        </w:tc>
        <w:tc>
          <w:tcPr>
            <w:tcW w:w="955" w:type="pct"/>
            <w:vAlign w:val="center"/>
          </w:tcPr>
          <w:p w14:paraId="1B667BFD" w14:textId="60DCD0C5" w:rsidR="00B65CFA" w:rsidRPr="007E61A0" w:rsidRDefault="00B65CFA" w:rsidP="00B65CFA">
            <w:pPr>
              <w:pStyle w:val="TableText0"/>
              <w:jc w:val="center"/>
            </w:pPr>
            <w:r w:rsidRPr="007E61A0">
              <w:t xml:space="preserve">0.88 </w:t>
            </w:r>
            <w:r w:rsidR="00D1392D" w:rsidRPr="007E61A0">
              <w:t>(</w:t>
            </w:r>
            <w:r w:rsidRPr="007E61A0">
              <w:t>0.25, 3.06</w:t>
            </w:r>
            <w:r w:rsidR="00D1392D" w:rsidRPr="007E61A0">
              <w:t>)</w:t>
            </w:r>
          </w:p>
        </w:tc>
        <w:tc>
          <w:tcPr>
            <w:tcW w:w="957" w:type="pct"/>
            <w:vAlign w:val="center"/>
          </w:tcPr>
          <w:p w14:paraId="0397F9D4" w14:textId="1426C17D" w:rsidR="00B65CFA" w:rsidRPr="007E61A0" w:rsidRDefault="0095011B" w:rsidP="00B65CFA">
            <w:pPr>
              <w:pStyle w:val="TableText0"/>
              <w:jc w:val="center"/>
            </w:pPr>
            <w:r w:rsidRPr="007E61A0">
              <w:t>-</w:t>
            </w:r>
            <w:r w:rsidR="00B65CFA" w:rsidRPr="007E61A0">
              <w:t xml:space="preserve">0.00 </w:t>
            </w:r>
            <w:r w:rsidR="00D1392D" w:rsidRPr="007E61A0">
              <w:t>(</w:t>
            </w:r>
            <w:r w:rsidR="00B65CFA" w:rsidRPr="007E61A0">
              <w:t>-0.03, 0.02</w:t>
            </w:r>
            <w:r w:rsidR="00D1392D" w:rsidRPr="007E61A0">
              <w:t>)</w:t>
            </w:r>
          </w:p>
        </w:tc>
      </w:tr>
      <w:tr w:rsidR="00B65CFA" w:rsidRPr="007E61A0" w14:paraId="17EF59C0" w14:textId="77777777" w:rsidTr="00B65CFA">
        <w:trPr>
          <w:cantSplit/>
        </w:trPr>
        <w:tc>
          <w:tcPr>
            <w:tcW w:w="1177" w:type="pct"/>
            <w:vAlign w:val="center"/>
          </w:tcPr>
          <w:p w14:paraId="302B31C0" w14:textId="71EC8B1D" w:rsidR="00B65CFA" w:rsidRPr="007E61A0" w:rsidRDefault="00B65CFA" w:rsidP="00B65CFA">
            <w:pPr>
              <w:pStyle w:val="TableText0"/>
            </w:pPr>
            <w:r w:rsidRPr="007E61A0">
              <w:t>Related SAEs</w:t>
            </w:r>
          </w:p>
        </w:tc>
        <w:tc>
          <w:tcPr>
            <w:tcW w:w="955" w:type="pct"/>
            <w:vAlign w:val="center"/>
          </w:tcPr>
          <w:p w14:paraId="04207104" w14:textId="7D305138" w:rsidR="00B65CFA" w:rsidRPr="007E61A0" w:rsidRDefault="00B65CFA" w:rsidP="00B65CFA">
            <w:pPr>
              <w:pStyle w:val="TableText0"/>
              <w:jc w:val="center"/>
            </w:pPr>
            <w:r w:rsidRPr="007E61A0">
              <w:t>1/332 (0.3)</w:t>
            </w:r>
          </w:p>
        </w:tc>
        <w:tc>
          <w:tcPr>
            <w:tcW w:w="956" w:type="pct"/>
            <w:vAlign w:val="center"/>
          </w:tcPr>
          <w:p w14:paraId="6B9C46E5" w14:textId="41A8CB2D" w:rsidR="00B65CFA" w:rsidRPr="007E61A0" w:rsidRDefault="00B65CFA" w:rsidP="00B65CFA">
            <w:pPr>
              <w:pStyle w:val="TableText0"/>
              <w:jc w:val="center"/>
            </w:pPr>
            <w:r w:rsidRPr="007E61A0">
              <w:t>2/168 (1.2)</w:t>
            </w:r>
          </w:p>
        </w:tc>
        <w:tc>
          <w:tcPr>
            <w:tcW w:w="955" w:type="pct"/>
            <w:vAlign w:val="center"/>
          </w:tcPr>
          <w:p w14:paraId="6558B1FB" w14:textId="1035DBC5" w:rsidR="00B65CFA" w:rsidRPr="007E61A0" w:rsidRDefault="00B65CFA" w:rsidP="00B65CFA">
            <w:pPr>
              <w:pStyle w:val="TableText0"/>
              <w:jc w:val="center"/>
            </w:pPr>
            <w:r w:rsidRPr="007E61A0">
              <w:t xml:space="preserve">0.25 </w:t>
            </w:r>
            <w:r w:rsidR="00D1392D" w:rsidRPr="007E61A0">
              <w:t>(</w:t>
            </w:r>
            <w:r w:rsidRPr="007E61A0">
              <w:t>0.02, 2.79</w:t>
            </w:r>
            <w:r w:rsidR="00D1392D" w:rsidRPr="007E61A0">
              <w:t>)</w:t>
            </w:r>
          </w:p>
        </w:tc>
        <w:tc>
          <w:tcPr>
            <w:tcW w:w="957" w:type="pct"/>
            <w:vAlign w:val="center"/>
          </w:tcPr>
          <w:p w14:paraId="16B0CE84" w14:textId="2273F8DB" w:rsidR="00B65CFA" w:rsidRPr="007E61A0" w:rsidRDefault="00B65CFA" w:rsidP="00B65CFA">
            <w:pPr>
              <w:pStyle w:val="TableText0"/>
              <w:jc w:val="center"/>
            </w:pPr>
            <w:r w:rsidRPr="007E61A0">
              <w:t xml:space="preserve">-0.01 </w:t>
            </w:r>
            <w:r w:rsidR="00D1392D" w:rsidRPr="007E61A0">
              <w:t>(</w:t>
            </w:r>
            <w:r w:rsidRPr="007E61A0">
              <w:t>-0.03, 0.01</w:t>
            </w:r>
            <w:r w:rsidR="00D1392D" w:rsidRPr="007E61A0">
              <w:t>)</w:t>
            </w:r>
          </w:p>
        </w:tc>
      </w:tr>
      <w:tr w:rsidR="00B65CFA" w:rsidRPr="007E61A0" w14:paraId="6058ACAA" w14:textId="7857E5C5" w:rsidTr="00B65CFA">
        <w:trPr>
          <w:cantSplit/>
        </w:trPr>
        <w:tc>
          <w:tcPr>
            <w:tcW w:w="1177" w:type="pct"/>
            <w:vAlign w:val="center"/>
          </w:tcPr>
          <w:p w14:paraId="746ADD18" w14:textId="5B88F089" w:rsidR="00B65CFA" w:rsidRPr="007E61A0" w:rsidRDefault="00B65CFA" w:rsidP="00B65CFA">
            <w:pPr>
              <w:pStyle w:val="TableText0"/>
            </w:pPr>
            <w:r w:rsidRPr="007E61A0">
              <w:t>AEs</w:t>
            </w:r>
          </w:p>
        </w:tc>
        <w:tc>
          <w:tcPr>
            <w:tcW w:w="955" w:type="pct"/>
            <w:vAlign w:val="center"/>
          </w:tcPr>
          <w:p w14:paraId="42B0E106" w14:textId="7A506297" w:rsidR="00B65CFA" w:rsidRPr="007E61A0" w:rsidRDefault="00B65CFA" w:rsidP="00B65CFA">
            <w:pPr>
              <w:pStyle w:val="TableText0"/>
              <w:jc w:val="center"/>
            </w:pPr>
            <w:r w:rsidRPr="007E61A0">
              <w:t>176/332 (53.0)</w:t>
            </w:r>
          </w:p>
        </w:tc>
        <w:tc>
          <w:tcPr>
            <w:tcW w:w="956" w:type="pct"/>
            <w:vAlign w:val="center"/>
          </w:tcPr>
          <w:p w14:paraId="16B56E09" w14:textId="78E32C12" w:rsidR="00B65CFA" w:rsidRPr="007E61A0" w:rsidRDefault="00B65CFA" w:rsidP="00B65CFA">
            <w:pPr>
              <w:pStyle w:val="TableText0"/>
              <w:jc w:val="center"/>
            </w:pPr>
            <w:r w:rsidRPr="007E61A0">
              <w:t>93/168 (55.4)</w:t>
            </w:r>
          </w:p>
        </w:tc>
        <w:tc>
          <w:tcPr>
            <w:tcW w:w="955" w:type="pct"/>
            <w:vAlign w:val="center"/>
          </w:tcPr>
          <w:p w14:paraId="494B145A" w14:textId="4BF8E49A" w:rsidR="00B65CFA" w:rsidRPr="007E61A0" w:rsidRDefault="00B65CFA" w:rsidP="00B65CFA">
            <w:pPr>
              <w:pStyle w:val="TableText0"/>
              <w:jc w:val="center"/>
            </w:pPr>
            <w:r w:rsidRPr="007E61A0">
              <w:t xml:space="preserve">0.91 </w:t>
            </w:r>
            <w:r w:rsidR="00D1392D" w:rsidRPr="007E61A0">
              <w:t>(</w:t>
            </w:r>
            <w:r w:rsidRPr="007E61A0">
              <w:t>0.63, 1.32</w:t>
            </w:r>
            <w:r w:rsidR="00D1392D" w:rsidRPr="007E61A0">
              <w:t>)</w:t>
            </w:r>
          </w:p>
        </w:tc>
        <w:tc>
          <w:tcPr>
            <w:tcW w:w="957" w:type="pct"/>
            <w:vAlign w:val="center"/>
          </w:tcPr>
          <w:p w14:paraId="5F16B9C4" w14:textId="747D3A42" w:rsidR="00B65CFA" w:rsidRPr="007E61A0" w:rsidRDefault="00B65CFA" w:rsidP="00B65CFA">
            <w:pPr>
              <w:pStyle w:val="TableText0"/>
              <w:jc w:val="center"/>
            </w:pPr>
            <w:r w:rsidRPr="007E61A0">
              <w:t xml:space="preserve">-0.02 </w:t>
            </w:r>
            <w:r w:rsidR="00D1392D" w:rsidRPr="007E61A0">
              <w:t>(</w:t>
            </w:r>
            <w:r w:rsidRPr="007E61A0">
              <w:t>-0.12, 0.07</w:t>
            </w:r>
            <w:r w:rsidR="00D1392D" w:rsidRPr="007E61A0">
              <w:t>)</w:t>
            </w:r>
          </w:p>
        </w:tc>
      </w:tr>
      <w:tr w:rsidR="00B65CFA" w:rsidRPr="007E61A0" w14:paraId="7B4A33CB" w14:textId="77777777" w:rsidTr="00B65CFA">
        <w:trPr>
          <w:cantSplit/>
        </w:trPr>
        <w:tc>
          <w:tcPr>
            <w:tcW w:w="1177" w:type="pct"/>
            <w:vAlign w:val="center"/>
          </w:tcPr>
          <w:p w14:paraId="445FBEE2" w14:textId="5827D5EA" w:rsidR="00B65CFA" w:rsidRPr="007E61A0" w:rsidRDefault="00B65CFA" w:rsidP="00B65CFA">
            <w:pPr>
              <w:pStyle w:val="TableText0"/>
            </w:pPr>
            <w:r w:rsidRPr="007E61A0">
              <w:t>Related AEs</w:t>
            </w:r>
          </w:p>
        </w:tc>
        <w:tc>
          <w:tcPr>
            <w:tcW w:w="955" w:type="pct"/>
            <w:vAlign w:val="center"/>
          </w:tcPr>
          <w:p w14:paraId="282ACF7A" w14:textId="3CF29D84" w:rsidR="00B65CFA" w:rsidRPr="007E61A0" w:rsidRDefault="00B65CFA" w:rsidP="00B65CFA">
            <w:pPr>
              <w:pStyle w:val="TableText0"/>
              <w:jc w:val="center"/>
            </w:pPr>
            <w:r w:rsidRPr="007E61A0">
              <w:t>65/332 (19.6)</w:t>
            </w:r>
          </w:p>
        </w:tc>
        <w:tc>
          <w:tcPr>
            <w:tcW w:w="956" w:type="pct"/>
            <w:vAlign w:val="center"/>
          </w:tcPr>
          <w:p w14:paraId="0D6639F7" w14:textId="42919A75" w:rsidR="00B65CFA" w:rsidRPr="007E61A0" w:rsidRDefault="00B65CFA" w:rsidP="00B65CFA">
            <w:pPr>
              <w:pStyle w:val="TableText0"/>
              <w:jc w:val="center"/>
            </w:pPr>
            <w:r w:rsidRPr="007E61A0">
              <w:t>36/168 (21.4)</w:t>
            </w:r>
          </w:p>
        </w:tc>
        <w:tc>
          <w:tcPr>
            <w:tcW w:w="955" w:type="pct"/>
            <w:vAlign w:val="center"/>
          </w:tcPr>
          <w:p w14:paraId="25CA6683" w14:textId="594A8552" w:rsidR="00B65CFA" w:rsidRPr="007E61A0" w:rsidRDefault="00B65CFA" w:rsidP="00B65CFA">
            <w:pPr>
              <w:pStyle w:val="TableText0"/>
              <w:jc w:val="center"/>
            </w:pPr>
            <w:r w:rsidRPr="007E61A0">
              <w:t xml:space="preserve">0.89 </w:t>
            </w:r>
            <w:r w:rsidR="00D1392D" w:rsidRPr="007E61A0">
              <w:t>(</w:t>
            </w:r>
            <w:r w:rsidRPr="007E61A0">
              <w:t>0.56, 1.41</w:t>
            </w:r>
            <w:r w:rsidR="00D1392D" w:rsidRPr="007E61A0">
              <w:t>)</w:t>
            </w:r>
          </w:p>
        </w:tc>
        <w:tc>
          <w:tcPr>
            <w:tcW w:w="957" w:type="pct"/>
            <w:vAlign w:val="center"/>
          </w:tcPr>
          <w:p w14:paraId="60CB88C1" w14:textId="08D40F4A" w:rsidR="00B65CFA" w:rsidRPr="007E61A0" w:rsidRDefault="00B65CFA" w:rsidP="00B65CFA">
            <w:pPr>
              <w:pStyle w:val="TableText0"/>
              <w:jc w:val="center"/>
            </w:pPr>
            <w:r w:rsidRPr="007E61A0">
              <w:t xml:space="preserve">-0.02 </w:t>
            </w:r>
            <w:r w:rsidR="00D1392D" w:rsidRPr="007E61A0">
              <w:t>(</w:t>
            </w:r>
            <w:r w:rsidRPr="007E61A0">
              <w:t>-0.09, 0.06</w:t>
            </w:r>
            <w:r w:rsidR="00D1392D" w:rsidRPr="007E61A0">
              <w:t>)</w:t>
            </w:r>
          </w:p>
        </w:tc>
      </w:tr>
      <w:tr w:rsidR="00B65CFA" w:rsidRPr="007E61A0" w14:paraId="57E2351A" w14:textId="77777777" w:rsidTr="00B65CFA">
        <w:trPr>
          <w:cantSplit/>
        </w:trPr>
        <w:tc>
          <w:tcPr>
            <w:tcW w:w="1177" w:type="pct"/>
            <w:vAlign w:val="center"/>
          </w:tcPr>
          <w:p w14:paraId="6EBA6AD2" w14:textId="793C8AC4" w:rsidR="00B65CFA" w:rsidRPr="007E61A0" w:rsidRDefault="00B65CFA" w:rsidP="00B65CFA">
            <w:pPr>
              <w:pStyle w:val="TableText0"/>
            </w:pPr>
            <w:r w:rsidRPr="007E61A0">
              <w:t>Discontinued due to AEs</w:t>
            </w:r>
          </w:p>
        </w:tc>
        <w:tc>
          <w:tcPr>
            <w:tcW w:w="955" w:type="pct"/>
            <w:vAlign w:val="center"/>
          </w:tcPr>
          <w:p w14:paraId="00A0F4E0" w14:textId="04B5F14A" w:rsidR="00B65CFA" w:rsidRPr="007E61A0" w:rsidRDefault="00B65CFA" w:rsidP="00B65CFA">
            <w:pPr>
              <w:pStyle w:val="TableText0"/>
              <w:jc w:val="center"/>
            </w:pPr>
            <w:r w:rsidRPr="007E61A0">
              <w:t>6/332 (1.8)</w:t>
            </w:r>
          </w:p>
        </w:tc>
        <w:tc>
          <w:tcPr>
            <w:tcW w:w="956" w:type="pct"/>
            <w:vAlign w:val="center"/>
          </w:tcPr>
          <w:p w14:paraId="39DEEF25" w14:textId="52F65C3A" w:rsidR="00B65CFA" w:rsidRPr="007E61A0" w:rsidRDefault="00B65CFA" w:rsidP="00B65CFA">
            <w:pPr>
              <w:pStyle w:val="TableText0"/>
              <w:jc w:val="center"/>
            </w:pPr>
            <w:r w:rsidRPr="007E61A0">
              <w:t>10/168 (6.0)</w:t>
            </w:r>
          </w:p>
        </w:tc>
        <w:tc>
          <w:tcPr>
            <w:tcW w:w="955" w:type="pct"/>
            <w:vAlign w:val="center"/>
          </w:tcPr>
          <w:p w14:paraId="38893A01" w14:textId="3D834F20" w:rsidR="00B65CFA" w:rsidRPr="007E61A0" w:rsidRDefault="00D1392D" w:rsidP="00B65CFA">
            <w:pPr>
              <w:pStyle w:val="TableText0"/>
              <w:jc w:val="center"/>
            </w:pPr>
            <w:r w:rsidRPr="007E61A0">
              <w:t>0.29 (0.10, 0.81)</w:t>
            </w:r>
          </w:p>
        </w:tc>
        <w:tc>
          <w:tcPr>
            <w:tcW w:w="957" w:type="pct"/>
            <w:vAlign w:val="center"/>
          </w:tcPr>
          <w:p w14:paraId="03831C52" w14:textId="2D5164D8" w:rsidR="00B65CFA" w:rsidRPr="007E61A0" w:rsidRDefault="00D1392D" w:rsidP="00B65CFA">
            <w:pPr>
              <w:pStyle w:val="TableText0"/>
              <w:jc w:val="center"/>
            </w:pPr>
            <w:r w:rsidRPr="007E61A0">
              <w:t>-0.04 (-0.0</w:t>
            </w:r>
            <w:r w:rsidR="00712D6D" w:rsidRPr="007E61A0">
              <w:t>8</w:t>
            </w:r>
            <w:r w:rsidRPr="007E61A0">
              <w:t>, -0.01)</w:t>
            </w:r>
          </w:p>
        </w:tc>
      </w:tr>
      <w:tr w:rsidR="00B65CFA" w:rsidRPr="007E61A0" w14:paraId="1D4420FC" w14:textId="05E17025" w:rsidTr="00B65CFA">
        <w:trPr>
          <w:cantSplit/>
        </w:trPr>
        <w:tc>
          <w:tcPr>
            <w:tcW w:w="5000" w:type="pct"/>
            <w:gridSpan w:val="5"/>
            <w:vAlign w:val="center"/>
          </w:tcPr>
          <w:p w14:paraId="3497EA0C" w14:textId="22CD8B5E" w:rsidR="00B65CFA" w:rsidRPr="007E61A0" w:rsidRDefault="00B65CFA" w:rsidP="00B65CFA">
            <w:pPr>
              <w:pStyle w:val="TableText0"/>
              <w:rPr>
                <w:b/>
                <w:bCs w:val="0"/>
              </w:rPr>
            </w:pPr>
            <w:r w:rsidRPr="007E61A0">
              <w:rPr>
                <w:b/>
                <w:bCs w:val="0"/>
              </w:rPr>
              <w:t>POETYK 2</w:t>
            </w:r>
          </w:p>
        </w:tc>
      </w:tr>
      <w:tr w:rsidR="00B65CFA" w:rsidRPr="007E61A0" w14:paraId="43369909" w14:textId="42FAA773" w:rsidTr="00B65CFA">
        <w:trPr>
          <w:cantSplit/>
        </w:trPr>
        <w:tc>
          <w:tcPr>
            <w:tcW w:w="1177" w:type="pct"/>
            <w:vAlign w:val="center"/>
          </w:tcPr>
          <w:p w14:paraId="59B21958" w14:textId="2B5A585B" w:rsidR="00B65CFA" w:rsidRPr="007E61A0" w:rsidRDefault="00B65CFA" w:rsidP="00B65CFA">
            <w:pPr>
              <w:pStyle w:val="TableText0"/>
            </w:pPr>
            <w:r w:rsidRPr="007E61A0">
              <w:t>Deaths</w:t>
            </w:r>
          </w:p>
        </w:tc>
        <w:tc>
          <w:tcPr>
            <w:tcW w:w="955" w:type="pct"/>
            <w:vAlign w:val="center"/>
          </w:tcPr>
          <w:p w14:paraId="20832ED8" w14:textId="16356DE3" w:rsidR="00B65CFA" w:rsidRPr="007E61A0" w:rsidRDefault="00B65CFA" w:rsidP="00B65CFA">
            <w:pPr>
              <w:pStyle w:val="TableText0"/>
              <w:jc w:val="center"/>
            </w:pPr>
            <w:r w:rsidRPr="007E61A0">
              <w:t>1/510 (0.2)</w:t>
            </w:r>
          </w:p>
        </w:tc>
        <w:tc>
          <w:tcPr>
            <w:tcW w:w="956" w:type="pct"/>
            <w:vAlign w:val="center"/>
          </w:tcPr>
          <w:p w14:paraId="63A8E132" w14:textId="1AC55DC2" w:rsidR="00B65CFA" w:rsidRPr="007E61A0" w:rsidRDefault="00B65CFA" w:rsidP="00B65CFA">
            <w:pPr>
              <w:pStyle w:val="TableText0"/>
              <w:jc w:val="center"/>
            </w:pPr>
            <w:r w:rsidRPr="007E61A0">
              <w:t>1/254 (0.4)</w:t>
            </w:r>
          </w:p>
        </w:tc>
        <w:tc>
          <w:tcPr>
            <w:tcW w:w="955" w:type="pct"/>
            <w:vAlign w:val="center"/>
          </w:tcPr>
          <w:p w14:paraId="60D41500" w14:textId="3D7EA162" w:rsidR="00B65CFA" w:rsidRPr="007E61A0" w:rsidRDefault="00B65CFA" w:rsidP="00B65CFA">
            <w:pPr>
              <w:pStyle w:val="TableText0"/>
              <w:jc w:val="center"/>
            </w:pPr>
            <w:r w:rsidRPr="007E61A0">
              <w:t xml:space="preserve">0.50 </w:t>
            </w:r>
            <w:r w:rsidR="00D1392D" w:rsidRPr="007E61A0">
              <w:t>(</w:t>
            </w:r>
            <w:r w:rsidRPr="007E61A0">
              <w:t>0.03, 7.98</w:t>
            </w:r>
            <w:r w:rsidR="00D1392D" w:rsidRPr="007E61A0">
              <w:t>)</w:t>
            </w:r>
          </w:p>
        </w:tc>
        <w:tc>
          <w:tcPr>
            <w:tcW w:w="957" w:type="pct"/>
            <w:vAlign w:val="center"/>
          </w:tcPr>
          <w:p w14:paraId="24F6BF7F" w14:textId="303FAD9C" w:rsidR="00B65CFA" w:rsidRPr="007E61A0" w:rsidRDefault="00712D6D" w:rsidP="00B65CFA">
            <w:pPr>
              <w:pStyle w:val="TableText0"/>
              <w:jc w:val="center"/>
            </w:pPr>
            <w:r w:rsidRPr="007E61A0">
              <w:t>-</w:t>
            </w:r>
            <w:r w:rsidR="00B65CFA" w:rsidRPr="007E61A0">
              <w:t xml:space="preserve">0.00 </w:t>
            </w:r>
            <w:r w:rsidR="00D1392D" w:rsidRPr="007E61A0">
              <w:t>(</w:t>
            </w:r>
            <w:r w:rsidR="00B65CFA" w:rsidRPr="007E61A0">
              <w:t>-0.01, 0.01</w:t>
            </w:r>
            <w:r w:rsidR="00D1392D" w:rsidRPr="007E61A0">
              <w:t>)</w:t>
            </w:r>
          </w:p>
        </w:tc>
      </w:tr>
      <w:tr w:rsidR="00B65CFA" w:rsidRPr="007E61A0" w14:paraId="6979FD10" w14:textId="77777777" w:rsidTr="00B65CFA">
        <w:trPr>
          <w:cantSplit/>
        </w:trPr>
        <w:tc>
          <w:tcPr>
            <w:tcW w:w="1177" w:type="pct"/>
            <w:vAlign w:val="center"/>
          </w:tcPr>
          <w:p w14:paraId="38A4E848" w14:textId="43FC63D0" w:rsidR="00B65CFA" w:rsidRPr="007E61A0" w:rsidRDefault="00B65CFA" w:rsidP="00B65CFA">
            <w:pPr>
              <w:pStyle w:val="TableText0"/>
            </w:pPr>
            <w:r w:rsidRPr="007E61A0">
              <w:t>SAEs</w:t>
            </w:r>
          </w:p>
        </w:tc>
        <w:tc>
          <w:tcPr>
            <w:tcW w:w="955" w:type="pct"/>
            <w:vAlign w:val="center"/>
          </w:tcPr>
          <w:p w14:paraId="296FF630" w14:textId="0D32B589" w:rsidR="00B65CFA" w:rsidRPr="007E61A0" w:rsidRDefault="00B65CFA" w:rsidP="00B65CFA">
            <w:pPr>
              <w:pStyle w:val="TableText0"/>
              <w:jc w:val="center"/>
            </w:pPr>
            <w:r w:rsidRPr="007E61A0">
              <w:t>8/510 (1.6)</w:t>
            </w:r>
          </w:p>
        </w:tc>
        <w:tc>
          <w:tcPr>
            <w:tcW w:w="956" w:type="pct"/>
            <w:vAlign w:val="center"/>
          </w:tcPr>
          <w:p w14:paraId="474455B8" w14:textId="6D6B0EFA" w:rsidR="00B65CFA" w:rsidRPr="007E61A0" w:rsidRDefault="00B65CFA" w:rsidP="00B65CFA">
            <w:pPr>
              <w:pStyle w:val="TableText0"/>
              <w:jc w:val="center"/>
            </w:pPr>
            <w:r w:rsidRPr="007E61A0">
              <w:t>1/254 (0.4)</w:t>
            </w:r>
          </w:p>
        </w:tc>
        <w:tc>
          <w:tcPr>
            <w:tcW w:w="955" w:type="pct"/>
            <w:vAlign w:val="center"/>
          </w:tcPr>
          <w:p w14:paraId="23995C39" w14:textId="08FB25FD" w:rsidR="00B65CFA" w:rsidRPr="007E61A0" w:rsidRDefault="00B65CFA" w:rsidP="00B65CFA">
            <w:pPr>
              <w:pStyle w:val="TableText0"/>
              <w:jc w:val="center"/>
            </w:pPr>
            <w:r w:rsidRPr="007E61A0">
              <w:t xml:space="preserve">4.03 </w:t>
            </w:r>
            <w:r w:rsidR="00D1392D" w:rsidRPr="007E61A0">
              <w:t>(</w:t>
            </w:r>
            <w:r w:rsidRPr="007E61A0">
              <w:t>0.50, 32.41</w:t>
            </w:r>
            <w:r w:rsidR="00D1392D" w:rsidRPr="007E61A0">
              <w:t>)</w:t>
            </w:r>
          </w:p>
        </w:tc>
        <w:tc>
          <w:tcPr>
            <w:tcW w:w="957" w:type="pct"/>
            <w:vAlign w:val="center"/>
          </w:tcPr>
          <w:p w14:paraId="4D73AB28" w14:textId="0445E38C" w:rsidR="00B65CFA" w:rsidRPr="007E61A0" w:rsidRDefault="00B65CFA" w:rsidP="00B65CFA">
            <w:pPr>
              <w:pStyle w:val="TableText0"/>
              <w:jc w:val="center"/>
            </w:pPr>
            <w:r w:rsidRPr="007E61A0">
              <w:t xml:space="preserve">0.01 </w:t>
            </w:r>
            <w:r w:rsidR="00D1392D" w:rsidRPr="007E61A0">
              <w:t>(</w:t>
            </w:r>
            <w:r w:rsidRPr="007E61A0">
              <w:t>0.00, 0.03</w:t>
            </w:r>
            <w:r w:rsidR="00D1392D" w:rsidRPr="007E61A0">
              <w:t>)</w:t>
            </w:r>
          </w:p>
        </w:tc>
      </w:tr>
      <w:tr w:rsidR="00B65CFA" w:rsidRPr="007E61A0" w14:paraId="1D8741D6" w14:textId="77777777" w:rsidTr="00B65CFA">
        <w:trPr>
          <w:cantSplit/>
        </w:trPr>
        <w:tc>
          <w:tcPr>
            <w:tcW w:w="1177" w:type="pct"/>
            <w:vAlign w:val="center"/>
          </w:tcPr>
          <w:p w14:paraId="5CA6313A" w14:textId="448E0AB6" w:rsidR="00B65CFA" w:rsidRPr="007E61A0" w:rsidRDefault="00B65CFA" w:rsidP="00B65CFA">
            <w:pPr>
              <w:pStyle w:val="TableText0"/>
            </w:pPr>
            <w:r w:rsidRPr="007E61A0">
              <w:t>Related SAEs</w:t>
            </w:r>
          </w:p>
        </w:tc>
        <w:tc>
          <w:tcPr>
            <w:tcW w:w="955" w:type="pct"/>
            <w:vAlign w:val="center"/>
          </w:tcPr>
          <w:p w14:paraId="6EBB6ED6" w14:textId="69ABADA0" w:rsidR="00B65CFA" w:rsidRPr="007E61A0" w:rsidRDefault="00B65CFA" w:rsidP="00B65CFA">
            <w:pPr>
              <w:pStyle w:val="TableText0"/>
              <w:jc w:val="center"/>
            </w:pPr>
            <w:r w:rsidRPr="007E61A0">
              <w:t>1/510 (0.2)</w:t>
            </w:r>
          </w:p>
        </w:tc>
        <w:tc>
          <w:tcPr>
            <w:tcW w:w="956" w:type="pct"/>
            <w:vAlign w:val="center"/>
          </w:tcPr>
          <w:p w14:paraId="2797EFBF" w14:textId="7A30CF47" w:rsidR="00B65CFA" w:rsidRPr="007E61A0" w:rsidRDefault="00B65CFA" w:rsidP="00B65CFA">
            <w:pPr>
              <w:pStyle w:val="TableText0"/>
              <w:jc w:val="center"/>
            </w:pPr>
            <w:r w:rsidRPr="007E61A0">
              <w:t>0/254 (0.0)</w:t>
            </w:r>
          </w:p>
        </w:tc>
        <w:tc>
          <w:tcPr>
            <w:tcW w:w="955" w:type="pct"/>
            <w:vAlign w:val="center"/>
          </w:tcPr>
          <w:p w14:paraId="0AD52A5D" w14:textId="44B5C00B" w:rsidR="00B65CFA" w:rsidRPr="007E61A0" w:rsidRDefault="00B65CFA" w:rsidP="00B65CFA">
            <w:pPr>
              <w:pStyle w:val="TableText0"/>
              <w:jc w:val="center"/>
            </w:pPr>
            <w:r w:rsidRPr="007E61A0">
              <w:t xml:space="preserve">1.50 </w:t>
            </w:r>
            <w:r w:rsidR="00D1392D" w:rsidRPr="007E61A0">
              <w:t>(</w:t>
            </w:r>
            <w:r w:rsidRPr="007E61A0">
              <w:t>0.06, 36.92</w:t>
            </w:r>
            <w:r w:rsidR="00D1392D" w:rsidRPr="007E61A0">
              <w:t>)</w:t>
            </w:r>
          </w:p>
        </w:tc>
        <w:tc>
          <w:tcPr>
            <w:tcW w:w="957" w:type="pct"/>
            <w:vAlign w:val="center"/>
          </w:tcPr>
          <w:p w14:paraId="2EC6D933" w14:textId="45BA3043" w:rsidR="00B65CFA" w:rsidRPr="007E61A0" w:rsidRDefault="00B65CFA" w:rsidP="00B65CFA">
            <w:pPr>
              <w:pStyle w:val="TableText0"/>
              <w:jc w:val="center"/>
            </w:pPr>
            <w:r w:rsidRPr="007E61A0">
              <w:t xml:space="preserve">0.00 </w:t>
            </w:r>
            <w:r w:rsidR="00D1392D" w:rsidRPr="007E61A0">
              <w:t>(</w:t>
            </w:r>
            <w:r w:rsidRPr="007E61A0">
              <w:t>-0.01, 0.01</w:t>
            </w:r>
            <w:r w:rsidR="00D1392D" w:rsidRPr="007E61A0">
              <w:t>)</w:t>
            </w:r>
          </w:p>
        </w:tc>
      </w:tr>
      <w:tr w:rsidR="00B65CFA" w:rsidRPr="007E61A0" w14:paraId="5D445D67" w14:textId="77777777" w:rsidTr="00B65CFA">
        <w:trPr>
          <w:cantSplit/>
        </w:trPr>
        <w:tc>
          <w:tcPr>
            <w:tcW w:w="1177" w:type="pct"/>
            <w:vAlign w:val="center"/>
          </w:tcPr>
          <w:p w14:paraId="638DCA0E" w14:textId="183DD464" w:rsidR="00B65CFA" w:rsidRPr="007E61A0" w:rsidRDefault="00B65CFA" w:rsidP="00B65CFA">
            <w:pPr>
              <w:pStyle w:val="TableText0"/>
            </w:pPr>
            <w:r w:rsidRPr="007E61A0">
              <w:t>AEs</w:t>
            </w:r>
          </w:p>
        </w:tc>
        <w:tc>
          <w:tcPr>
            <w:tcW w:w="955" w:type="pct"/>
            <w:vAlign w:val="center"/>
          </w:tcPr>
          <w:p w14:paraId="518D6363" w14:textId="395D4511" w:rsidR="00B65CFA" w:rsidRPr="007E61A0" w:rsidRDefault="00B65CFA" w:rsidP="00B65CFA">
            <w:pPr>
              <w:pStyle w:val="TableText0"/>
              <w:jc w:val="center"/>
            </w:pPr>
            <w:r w:rsidRPr="007E61A0">
              <w:t>293/510 (57.5)</w:t>
            </w:r>
          </w:p>
        </w:tc>
        <w:tc>
          <w:tcPr>
            <w:tcW w:w="956" w:type="pct"/>
            <w:vAlign w:val="center"/>
          </w:tcPr>
          <w:p w14:paraId="382AA0CF" w14:textId="4A2F6BA0" w:rsidR="00B65CFA" w:rsidRPr="007E61A0" w:rsidRDefault="00B65CFA" w:rsidP="00B65CFA">
            <w:pPr>
              <w:pStyle w:val="TableText0"/>
              <w:jc w:val="center"/>
            </w:pPr>
            <w:r w:rsidRPr="007E61A0">
              <w:t>150/254 (59.1)</w:t>
            </w:r>
          </w:p>
        </w:tc>
        <w:tc>
          <w:tcPr>
            <w:tcW w:w="955" w:type="pct"/>
            <w:vAlign w:val="center"/>
          </w:tcPr>
          <w:p w14:paraId="566808DA" w14:textId="204882DD" w:rsidR="00B65CFA" w:rsidRPr="007E61A0" w:rsidRDefault="00B65CFA" w:rsidP="00B65CFA">
            <w:pPr>
              <w:pStyle w:val="TableText0"/>
              <w:jc w:val="center"/>
            </w:pPr>
            <w:r w:rsidRPr="007E61A0">
              <w:t xml:space="preserve">0.94 </w:t>
            </w:r>
            <w:r w:rsidR="00D1392D" w:rsidRPr="007E61A0">
              <w:t>(</w:t>
            </w:r>
            <w:r w:rsidRPr="007E61A0">
              <w:t>0.69, 1.27</w:t>
            </w:r>
            <w:r w:rsidR="00D1392D" w:rsidRPr="007E61A0">
              <w:t>)</w:t>
            </w:r>
          </w:p>
        </w:tc>
        <w:tc>
          <w:tcPr>
            <w:tcW w:w="957" w:type="pct"/>
            <w:vAlign w:val="center"/>
          </w:tcPr>
          <w:p w14:paraId="7028835C" w14:textId="5A75160F" w:rsidR="00B65CFA" w:rsidRPr="007E61A0" w:rsidRDefault="00B65CFA" w:rsidP="00B65CFA">
            <w:pPr>
              <w:pStyle w:val="TableText0"/>
              <w:jc w:val="center"/>
            </w:pPr>
            <w:r w:rsidRPr="007E61A0">
              <w:t xml:space="preserve">-0.02 </w:t>
            </w:r>
            <w:r w:rsidR="00D1392D" w:rsidRPr="007E61A0">
              <w:t>(</w:t>
            </w:r>
            <w:r w:rsidRPr="007E61A0">
              <w:t>-0.09, 0.06</w:t>
            </w:r>
            <w:r w:rsidR="00D1392D" w:rsidRPr="007E61A0">
              <w:t>)</w:t>
            </w:r>
          </w:p>
        </w:tc>
      </w:tr>
      <w:tr w:rsidR="00B65CFA" w:rsidRPr="007E61A0" w14:paraId="1D8B3F1E" w14:textId="77777777" w:rsidTr="00B65CFA">
        <w:trPr>
          <w:cantSplit/>
        </w:trPr>
        <w:tc>
          <w:tcPr>
            <w:tcW w:w="1177" w:type="pct"/>
            <w:vAlign w:val="center"/>
          </w:tcPr>
          <w:p w14:paraId="3683D44C" w14:textId="1709C5DD" w:rsidR="00B65CFA" w:rsidRPr="007E61A0" w:rsidRDefault="00B65CFA" w:rsidP="00B65CFA">
            <w:pPr>
              <w:pStyle w:val="TableText0"/>
            </w:pPr>
            <w:r w:rsidRPr="007E61A0">
              <w:t>Related AEs</w:t>
            </w:r>
          </w:p>
        </w:tc>
        <w:tc>
          <w:tcPr>
            <w:tcW w:w="955" w:type="pct"/>
            <w:vAlign w:val="center"/>
          </w:tcPr>
          <w:p w14:paraId="7A7434C8" w14:textId="2927E302" w:rsidR="00B65CFA" w:rsidRPr="007E61A0" w:rsidRDefault="00B65CFA" w:rsidP="00B65CFA">
            <w:pPr>
              <w:pStyle w:val="TableText0"/>
              <w:jc w:val="center"/>
            </w:pPr>
            <w:r w:rsidRPr="007E61A0">
              <w:t>99/510 (19.4)</w:t>
            </w:r>
          </w:p>
        </w:tc>
        <w:tc>
          <w:tcPr>
            <w:tcW w:w="956" w:type="pct"/>
            <w:vAlign w:val="center"/>
          </w:tcPr>
          <w:p w14:paraId="5719E04E" w14:textId="7A3C95B2" w:rsidR="00B65CFA" w:rsidRPr="007E61A0" w:rsidRDefault="00B65CFA" w:rsidP="00B65CFA">
            <w:pPr>
              <w:pStyle w:val="TableText0"/>
              <w:jc w:val="center"/>
            </w:pPr>
            <w:r w:rsidRPr="007E61A0">
              <w:t>73/254 (28.7)</w:t>
            </w:r>
          </w:p>
        </w:tc>
        <w:tc>
          <w:tcPr>
            <w:tcW w:w="955" w:type="pct"/>
            <w:vAlign w:val="center"/>
          </w:tcPr>
          <w:p w14:paraId="16BEEFB9" w14:textId="7A2DC06B" w:rsidR="00B65CFA" w:rsidRPr="007E61A0" w:rsidRDefault="00B65CFA" w:rsidP="00B65CFA">
            <w:pPr>
              <w:pStyle w:val="TableText0"/>
              <w:jc w:val="center"/>
            </w:pPr>
            <w:r w:rsidRPr="007E61A0">
              <w:t xml:space="preserve">0.60 </w:t>
            </w:r>
            <w:r w:rsidR="00D1392D" w:rsidRPr="007E61A0">
              <w:t>(</w:t>
            </w:r>
            <w:r w:rsidRPr="007E61A0">
              <w:t>0.42, 0.85</w:t>
            </w:r>
            <w:r w:rsidR="00D1392D" w:rsidRPr="007E61A0">
              <w:t>)</w:t>
            </w:r>
          </w:p>
        </w:tc>
        <w:tc>
          <w:tcPr>
            <w:tcW w:w="957" w:type="pct"/>
            <w:vAlign w:val="center"/>
          </w:tcPr>
          <w:p w14:paraId="35FF4873" w14:textId="0E53C51C" w:rsidR="00B65CFA" w:rsidRPr="007E61A0" w:rsidRDefault="00B65CFA" w:rsidP="00B65CFA">
            <w:pPr>
              <w:pStyle w:val="TableText0"/>
              <w:jc w:val="center"/>
            </w:pPr>
            <w:r w:rsidRPr="007E61A0">
              <w:t xml:space="preserve">-0.09 </w:t>
            </w:r>
            <w:r w:rsidR="00D1392D" w:rsidRPr="007E61A0">
              <w:t>(</w:t>
            </w:r>
            <w:r w:rsidRPr="007E61A0">
              <w:t>-0.16, -0.03</w:t>
            </w:r>
            <w:r w:rsidR="00D1392D" w:rsidRPr="007E61A0">
              <w:t>)</w:t>
            </w:r>
          </w:p>
        </w:tc>
      </w:tr>
      <w:tr w:rsidR="00B65CFA" w:rsidRPr="007E61A0" w14:paraId="271EE558" w14:textId="291D2103" w:rsidTr="00B65CFA">
        <w:trPr>
          <w:cantSplit/>
        </w:trPr>
        <w:tc>
          <w:tcPr>
            <w:tcW w:w="1177" w:type="pct"/>
            <w:vAlign w:val="center"/>
          </w:tcPr>
          <w:p w14:paraId="2099C7A9" w14:textId="6CF87856" w:rsidR="00B65CFA" w:rsidRPr="007E61A0" w:rsidRDefault="00B65CFA" w:rsidP="00B65CFA">
            <w:pPr>
              <w:pStyle w:val="TableText0"/>
            </w:pPr>
            <w:r w:rsidRPr="007E61A0">
              <w:t>Discontinued due to AEs</w:t>
            </w:r>
          </w:p>
        </w:tc>
        <w:tc>
          <w:tcPr>
            <w:tcW w:w="955" w:type="pct"/>
            <w:vAlign w:val="center"/>
          </w:tcPr>
          <w:p w14:paraId="468D6C9F" w14:textId="605185C3" w:rsidR="00B65CFA" w:rsidRPr="007E61A0" w:rsidRDefault="00B65CFA" w:rsidP="00B65CFA">
            <w:pPr>
              <w:pStyle w:val="TableText0"/>
              <w:jc w:val="center"/>
            </w:pPr>
            <w:r w:rsidRPr="007E61A0">
              <w:t>14/510 (2.</w:t>
            </w:r>
            <w:r w:rsidR="00956314" w:rsidRPr="007E61A0">
              <w:t>7</w:t>
            </w:r>
            <w:r w:rsidRPr="007E61A0">
              <w:t>)</w:t>
            </w:r>
          </w:p>
        </w:tc>
        <w:tc>
          <w:tcPr>
            <w:tcW w:w="956" w:type="pct"/>
            <w:vAlign w:val="center"/>
          </w:tcPr>
          <w:p w14:paraId="3A8CDB84" w14:textId="1B3F724D" w:rsidR="00B65CFA" w:rsidRPr="007E61A0" w:rsidRDefault="00B65CFA" w:rsidP="00B65CFA">
            <w:pPr>
              <w:pStyle w:val="TableText0"/>
              <w:jc w:val="center"/>
            </w:pPr>
            <w:r w:rsidRPr="007E61A0">
              <w:t>12/254 (4.7)</w:t>
            </w:r>
          </w:p>
        </w:tc>
        <w:tc>
          <w:tcPr>
            <w:tcW w:w="955" w:type="pct"/>
            <w:vAlign w:val="center"/>
          </w:tcPr>
          <w:p w14:paraId="48CE22EE" w14:textId="018FBEBD" w:rsidR="00B65CFA" w:rsidRPr="007E61A0" w:rsidRDefault="00D1392D" w:rsidP="00B65CFA">
            <w:pPr>
              <w:pStyle w:val="TableText0"/>
              <w:jc w:val="center"/>
            </w:pPr>
            <w:r w:rsidRPr="007E61A0">
              <w:t>0.57 (0.26, 1.25)</w:t>
            </w:r>
          </w:p>
        </w:tc>
        <w:tc>
          <w:tcPr>
            <w:tcW w:w="957" w:type="pct"/>
            <w:vAlign w:val="center"/>
          </w:tcPr>
          <w:p w14:paraId="5D883A91" w14:textId="0715BD9E" w:rsidR="00B65CFA" w:rsidRPr="007E61A0" w:rsidRDefault="00D1392D" w:rsidP="00B65CFA">
            <w:pPr>
              <w:pStyle w:val="TableText0"/>
              <w:jc w:val="center"/>
            </w:pPr>
            <w:r w:rsidRPr="007E61A0">
              <w:t>-0.02 (-0.05, 0.01)</w:t>
            </w:r>
          </w:p>
        </w:tc>
      </w:tr>
      <w:tr w:rsidR="00B65CFA" w:rsidRPr="007E61A0" w14:paraId="3FF59A38" w14:textId="77777777" w:rsidTr="00270178">
        <w:trPr>
          <w:cantSplit/>
        </w:trPr>
        <w:tc>
          <w:tcPr>
            <w:tcW w:w="5000" w:type="pct"/>
            <w:gridSpan w:val="5"/>
            <w:vAlign w:val="center"/>
          </w:tcPr>
          <w:p w14:paraId="6988CB8C" w14:textId="5966579B" w:rsidR="00B65CFA" w:rsidRPr="007E61A0" w:rsidRDefault="00B65CFA" w:rsidP="00B65CFA">
            <w:pPr>
              <w:pStyle w:val="TableText0"/>
              <w:rPr>
                <w:b/>
                <w:bCs w:val="0"/>
              </w:rPr>
            </w:pPr>
            <w:r w:rsidRPr="007E61A0">
              <w:rPr>
                <w:b/>
                <w:bCs w:val="0"/>
              </w:rPr>
              <w:t>Meta-analysis</w:t>
            </w:r>
          </w:p>
        </w:tc>
      </w:tr>
      <w:tr w:rsidR="00B65CFA" w:rsidRPr="007E61A0" w14:paraId="73C0ACE0" w14:textId="77777777" w:rsidTr="00B65CFA">
        <w:trPr>
          <w:cantSplit/>
        </w:trPr>
        <w:tc>
          <w:tcPr>
            <w:tcW w:w="1177" w:type="pct"/>
            <w:vAlign w:val="center"/>
          </w:tcPr>
          <w:p w14:paraId="5905E32D" w14:textId="3E0DFE29" w:rsidR="00B65CFA" w:rsidRPr="007E61A0" w:rsidRDefault="00B65CFA" w:rsidP="00B65CFA">
            <w:pPr>
              <w:pStyle w:val="TableText0"/>
            </w:pPr>
            <w:r w:rsidRPr="007E61A0">
              <w:t>Deaths</w:t>
            </w:r>
          </w:p>
        </w:tc>
        <w:tc>
          <w:tcPr>
            <w:tcW w:w="955" w:type="pct"/>
            <w:vAlign w:val="center"/>
          </w:tcPr>
          <w:p w14:paraId="51E929C9" w14:textId="0B5DB7B5" w:rsidR="00B65CFA" w:rsidRPr="007E61A0" w:rsidRDefault="00B65CFA" w:rsidP="00B65CFA">
            <w:pPr>
              <w:pStyle w:val="TableText0"/>
              <w:jc w:val="center"/>
            </w:pPr>
            <w:r w:rsidRPr="007E61A0">
              <w:t>1/842 (0.1)</w:t>
            </w:r>
          </w:p>
        </w:tc>
        <w:tc>
          <w:tcPr>
            <w:tcW w:w="956" w:type="pct"/>
            <w:vAlign w:val="center"/>
          </w:tcPr>
          <w:p w14:paraId="78F4E832" w14:textId="255D5A12" w:rsidR="00B65CFA" w:rsidRPr="007E61A0" w:rsidRDefault="00B65CFA" w:rsidP="00B65CFA">
            <w:pPr>
              <w:pStyle w:val="TableText0"/>
              <w:jc w:val="center"/>
            </w:pPr>
            <w:r w:rsidRPr="007E61A0">
              <w:t>1/422 (0.2)</w:t>
            </w:r>
          </w:p>
        </w:tc>
        <w:tc>
          <w:tcPr>
            <w:tcW w:w="955" w:type="pct"/>
            <w:vAlign w:val="center"/>
          </w:tcPr>
          <w:p w14:paraId="667CC0BF" w14:textId="46B409C5" w:rsidR="00B65CFA" w:rsidRPr="007E61A0" w:rsidRDefault="00B65CFA" w:rsidP="00B65CFA">
            <w:pPr>
              <w:pStyle w:val="TableText0"/>
              <w:jc w:val="center"/>
            </w:pPr>
            <w:r w:rsidRPr="007E61A0">
              <w:t xml:space="preserve">0.50 </w:t>
            </w:r>
            <w:r w:rsidR="00D1392D" w:rsidRPr="007E61A0">
              <w:t>(</w:t>
            </w:r>
            <w:r w:rsidRPr="007E61A0">
              <w:t>0.03, 7.98</w:t>
            </w:r>
            <w:r w:rsidR="00D1392D" w:rsidRPr="007E61A0">
              <w:t>)</w:t>
            </w:r>
          </w:p>
        </w:tc>
        <w:tc>
          <w:tcPr>
            <w:tcW w:w="957" w:type="pct"/>
            <w:vAlign w:val="center"/>
          </w:tcPr>
          <w:p w14:paraId="5AFB3F85" w14:textId="7BB8B9A2" w:rsidR="00B65CFA" w:rsidRPr="007E61A0" w:rsidRDefault="00B65CFA" w:rsidP="00B65CFA">
            <w:pPr>
              <w:pStyle w:val="TableText0"/>
              <w:jc w:val="center"/>
            </w:pPr>
            <w:r w:rsidRPr="007E61A0">
              <w:t xml:space="preserve">-0.00 </w:t>
            </w:r>
            <w:r w:rsidR="00D1392D" w:rsidRPr="007E61A0">
              <w:t>(</w:t>
            </w:r>
            <w:r w:rsidRPr="007E61A0">
              <w:t>-0.01, 0.01</w:t>
            </w:r>
            <w:r w:rsidR="00D1392D" w:rsidRPr="007E61A0">
              <w:t>)</w:t>
            </w:r>
          </w:p>
        </w:tc>
      </w:tr>
      <w:tr w:rsidR="00B65CFA" w:rsidRPr="007E61A0" w14:paraId="3EC7BFDA" w14:textId="77777777" w:rsidTr="00B65CFA">
        <w:trPr>
          <w:cantSplit/>
        </w:trPr>
        <w:tc>
          <w:tcPr>
            <w:tcW w:w="1177" w:type="pct"/>
            <w:vAlign w:val="center"/>
          </w:tcPr>
          <w:p w14:paraId="66935880" w14:textId="39DC42DC" w:rsidR="00B65CFA" w:rsidRPr="007E61A0" w:rsidRDefault="00B65CFA" w:rsidP="00B65CFA">
            <w:pPr>
              <w:pStyle w:val="TableText0"/>
            </w:pPr>
            <w:r w:rsidRPr="007E61A0">
              <w:t>SAEs</w:t>
            </w:r>
          </w:p>
        </w:tc>
        <w:tc>
          <w:tcPr>
            <w:tcW w:w="955" w:type="pct"/>
            <w:vAlign w:val="center"/>
          </w:tcPr>
          <w:p w14:paraId="3DB709B5" w14:textId="0B384E62" w:rsidR="00B65CFA" w:rsidRPr="007E61A0" w:rsidRDefault="00B65CFA" w:rsidP="00B65CFA">
            <w:pPr>
              <w:pStyle w:val="TableText0"/>
              <w:jc w:val="center"/>
            </w:pPr>
            <w:r w:rsidRPr="007E61A0">
              <w:t>15/842 (1.8)</w:t>
            </w:r>
          </w:p>
        </w:tc>
        <w:tc>
          <w:tcPr>
            <w:tcW w:w="956" w:type="pct"/>
            <w:vAlign w:val="center"/>
          </w:tcPr>
          <w:p w14:paraId="31FC2B1D" w14:textId="0A23CCA3" w:rsidR="00B65CFA" w:rsidRPr="007E61A0" w:rsidRDefault="00B65CFA" w:rsidP="00B65CFA">
            <w:pPr>
              <w:pStyle w:val="TableText0"/>
              <w:jc w:val="center"/>
            </w:pPr>
            <w:r w:rsidRPr="007E61A0">
              <w:t>5/422 (1.2)</w:t>
            </w:r>
          </w:p>
        </w:tc>
        <w:tc>
          <w:tcPr>
            <w:tcW w:w="955" w:type="pct"/>
            <w:vAlign w:val="center"/>
          </w:tcPr>
          <w:p w14:paraId="320EC084" w14:textId="511D3C05" w:rsidR="00B65CFA" w:rsidRPr="007E61A0" w:rsidRDefault="00B65CFA" w:rsidP="00B65CFA">
            <w:pPr>
              <w:pStyle w:val="TableText0"/>
              <w:jc w:val="center"/>
            </w:pPr>
            <w:r w:rsidRPr="007E61A0">
              <w:t xml:space="preserve">1.50 </w:t>
            </w:r>
            <w:r w:rsidR="00D1392D" w:rsidRPr="007E61A0">
              <w:t>(</w:t>
            </w:r>
            <w:r w:rsidRPr="007E61A0">
              <w:t>0.35, 6.40</w:t>
            </w:r>
            <w:r w:rsidR="00D1392D" w:rsidRPr="007E61A0">
              <w:t>)</w:t>
            </w:r>
          </w:p>
        </w:tc>
        <w:tc>
          <w:tcPr>
            <w:tcW w:w="957" w:type="pct"/>
            <w:vAlign w:val="center"/>
          </w:tcPr>
          <w:p w14:paraId="7AFC5EA4" w14:textId="0971D17A" w:rsidR="00B65CFA" w:rsidRPr="007E61A0" w:rsidRDefault="00B65CFA" w:rsidP="00B65CFA">
            <w:pPr>
              <w:pStyle w:val="TableText0"/>
              <w:jc w:val="center"/>
            </w:pPr>
            <w:r w:rsidRPr="007E61A0">
              <w:t xml:space="preserve">0.01 </w:t>
            </w:r>
            <w:r w:rsidR="00D1392D" w:rsidRPr="007E61A0">
              <w:t>(</w:t>
            </w:r>
            <w:r w:rsidRPr="007E61A0">
              <w:t>-0.00, 0.02</w:t>
            </w:r>
            <w:r w:rsidR="00D1392D" w:rsidRPr="007E61A0">
              <w:t>)</w:t>
            </w:r>
          </w:p>
        </w:tc>
      </w:tr>
      <w:tr w:rsidR="00B65CFA" w:rsidRPr="007E61A0" w14:paraId="4898E410" w14:textId="77777777" w:rsidTr="00B65CFA">
        <w:trPr>
          <w:cantSplit/>
        </w:trPr>
        <w:tc>
          <w:tcPr>
            <w:tcW w:w="1177" w:type="pct"/>
            <w:vAlign w:val="center"/>
          </w:tcPr>
          <w:p w14:paraId="0BACB1BA" w14:textId="51FDD533" w:rsidR="00B65CFA" w:rsidRPr="007E61A0" w:rsidRDefault="00B65CFA" w:rsidP="00B65CFA">
            <w:pPr>
              <w:pStyle w:val="TableText0"/>
            </w:pPr>
            <w:r w:rsidRPr="007E61A0">
              <w:t>Related SAEs</w:t>
            </w:r>
          </w:p>
        </w:tc>
        <w:tc>
          <w:tcPr>
            <w:tcW w:w="955" w:type="pct"/>
            <w:vAlign w:val="center"/>
          </w:tcPr>
          <w:p w14:paraId="7B2ADF5E" w14:textId="20A560DF" w:rsidR="00B65CFA" w:rsidRPr="007E61A0" w:rsidRDefault="00B65CFA" w:rsidP="00B65CFA">
            <w:pPr>
              <w:pStyle w:val="TableText0"/>
              <w:jc w:val="center"/>
            </w:pPr>
            <w:r w:rsidRPr="007E61A0">
              <w:t>2/842 (0.2)</w:t>
            </w:r>
          </w:p>
        </w:tc>
        <w:tc>
          <w:tcPr>
            <w:tcW w:w="956" w:type="pct"/>
            <w:vAlign w:val="center"/>
          </w:tcPr>
          <w:p w14:paraId="36C81F32" w14:textId="0382200F" w:rsidR="00B65CFA" w:rsidRPr="007E61A0" w:rsidRDefault="00B65CFA" w:rsidP="00B65CFA">
            <w:pPr>
              <w:pStyle w:val="TableText0"/>
              <w:jc w:val="center"/>
            </w:pPr>
            <w:r w:rsidRPr="007E61A0">
              <w:t>2/422 (0.5)</w:t>
            </w:r>
          </w:p>
        </w:tc>
        <w:tc>
          <w:tcPr>
            <w:tcW w:w="955" w:type="pct"/>
            <w:vAlign w:val="center"/>
          </w:tcPr>
          <w:p w14:paraId="3661995B" w14:textId="15FB1FAB" w:rsidR="00B65CFA" w:rsidRPr="007E61A0" w:rsidRDefault="00B65CFA" w:rsidP="00B65CFA">
            <w:pPr>
              <w:pStyle w:val="TableText0"/>
              <w:jc w:val="center"/>
            </w:pPr>
            <w:r w:rsidRPr="007E61A0">
              <w:t xml:space="preserve">0.48 </w:t>
            </w:r>
            <w:r w:rsidR="00D1392D" w:rsidRPr="007E61A0">
              <w:t>(</w:t>
            </w:r>
            <w:r w:rsidRPr="007E61A0">
              <w:t>0.07, 3.28</w:t>
            </w:r>
            <w:r w:rsidR="00D1392D" w:rsidRPr="007E61A0">
              <w:t>)</w:t>
            </w:r>
          </w:p>
        </w:tc>
        <w:tc>
          <w:tcPr>
            <w:tcW w:w="957" w:type="pct"/>
            <w:vAlign w:val="center"/>
          </w:tcPr>
          <w:p w14:paraId="594509E1" w14:textId="711357DD" w:rsidR="00B65CFA" w:rsidRPr="007E61A0" w:rsidRDefault="00B65CFA" w:rsidP="00B65CFA">
            <w:pPr>
              <w:pStyle w:val="TableText0"/>
              <w:jc w:val="center"/>
            </w:pPr>
            <w:r w:rsidRPr="007E61A0">
              <w:t xml:space="preserve">-0.00 </w:t>
            </w:r>
            <w:r w:rsidR="00D1392D" w:rsidRPr="007E61A0">
              <w:t>(</w:t>
            </w:r>
            <w:r w:rsidRPr="007E61A0">
              <w:t>-0.01, 0.01</w:t>
            </w:r>
            <w:r w:rsidR="00D1392D" w:rsidRPr="007E61A0">
              <w:t>)</w:t>
            </w:r>
          </w:p>
        </w:tc>
      </w:tr>
      <w:tr w:rsidR="00B65CFA" w:rsidRPr="007E61A0" w14:paraId="6DEC27A4" w14:textId="77777777" w:rsidTr="00B65CFA">
        <w:trPr>
          <w:cantSplit/>
        </w:trPr>
        <w:tc>
          <w:tcPr>
            <w:tcW w:w="1177" w:type="pct"/>
            <w:vAlign w:val="center"/>
          </w:tcPr>
          <w:p w14:paraId="5E0A42DA" w14:textId="11E8F938" w:rsidR="00B65CFA" w:rsidRPr="007E61A0" w:rsidRDefault="00B65CFA" w:rsidP="00B65CFA">
            <w:pPr>
              <w:pStyle w:val="TableText0"/>
            </w:pPr>
            <w:r w:rsidRPr="007E61A0">
              <w:t>AEs</w:t>
            </w:r>
          </w:p>
        </w:tc>
        <w:tc>
          <w:tcPr>
            <w:tcW w:w="955" w:type="pct"/>
            <w:vAlign w:val="center"/>
          </w:tcPr>
          <w:p w14:paraId="4AB39D01" w14:textId="7549D466" w:rsidR="00B65CFA" w:rsidRPr="007E61A0" w:rsidRDefault="00B65CFA" w:rsidP="00B65CFA">
            <w:pPr>
              <w:pStyle w:val="TableText0"/>
              <w:jc w:val="center"/>
            </w:pPr>
            <w:r w:rsidRPr="007E61A0">
              <w:t>469/842 (55.7)</w:t>
            </w:r>
          </w:p>
        </w:tc>
        <w:tc>
          <w:tcPr>
            <w:tcW w:w="956" w:type="pct"/>
            <w:vAlign w:val="center"/>
          </w:tcPr>
          <w:p w14:paraId="679B1A35" w14:textId="2C663189" w:rsidR="00B65CFA" w:rsidRPr="007E61A0" w:rsidRDefault="00B65CFA" w:rsidP="00B65CFA">
            <w:pPr>
              <w:pStyle w:val="TableText0"/>
              <w:jc w:val="center"/>
            </w:pPr>
            <w:r w:rsidRPr="007E61A0">
              <w:t>243/422 (57.6)</w:t>
            </w:r>
          </w:p>
        </w:tc>
        <w:tc>
          <w:tcPr>
            <w:tcW w:w="955" w:type="pct"/>
            <w:vAlign w:val="center"/>
          </w:tcPr>
          <w:p w14:paraId="44496435" w14:textId="0E83DBEC" w:rsidR="00B65CFA" w:rsidRPr="007E61A0" w:rsidRDefault="00B65CFA" w:rsidP="00B65CFA">
            <w:pPr>
              <w:pStyle w:val="TableText0"/>
              <w:jc w:val="center"/>
            </w:pPr>
            <w:r w:rsidRPr="007E61A0">
              <w:t xml:space="preserve">0.93 </w:t>
            </w:r>
            <w:r w:rsidR="00D1392D" w:rsidRPr="007E61A0">
              <w:t>(</w:t>
            </w:r>
            <w:r w:rsidRPr="007E61A0">
              <w:t>0.73, 1.17</w:t>
            </w:r>
            <w:r w:rsidR="00D1392D" w:rsidRPr="007E61A0">
              <w:t>)</w:t>
            </w:r>
          </w:p>
        </w:tc>
        <w:tc>
          <w:tcPr>
            <w:tcW w:w="957" w:type="pct"/>
            <w:vAlign w:val="center"/>
          </w:tcPr>
          <w:p w14:paraId="4E960FE2" w14:textId="488E66E3" w:rsidR="00B65CFA" w:rsidRPr="007E61A0" w:rsidRDefault="00B65CFA" w:rsidP="00B65CFA">
            <w:pPr>
              <w:pStyle w:val="TableText0"/>
              <w:jc w:val="center"/>
            </w:pPr>
            <w:r w:rsidRPr="007E61A0">
              <w:t xml:space="preserve">-0.02 </w:t>
            </w:r>
            <w:r w:rsidR="00D1392D" w:rsidRPr="007E61A0">
              <w:t>(</w:t>
            </w:r>
            <w:r w:rsidRPr="007E61A0">
              <w:t>-0.08, 0.04</w:t>
            </w:r>
            <w:r w:rsidR="00D1392D" w:rsidRPr="007E61A0">
              <w:t>)</w:t>
            </w:r>
          </w:p>
        </w:tc>
      </w:tr>
      <w:tr w:rsidR="00B65CFA" w:rsidRPr="007E61A0" w14:paraId="069378B5" w14:textId="77777777" w:rsidTr="00B65CFA">
        <w:trPr>
          <w:cantSplit/>
        </w:trPr>
        <w:tc>
          <w:tcPr>
            <w:tcW w:w="1177" w:type="pct"/>
            <w:vAlign w:val="center"/>
          </w:tcPr>
          <w:p w14:paraId="02A03BEA" w14:textId="31AD9E34" w:rsidR="00B65CFA" w:rsidRPr="007E61A0" w:rsidRDefault="00B65CFA" w:rsidP="00B65CFA">
            <w:pPr>
              <w:pStyle w:val="TableText0"/>
            </w:pPr>
            <w:r w:rsidRPr="007E61A0">
              <w:t>Related AEs</w:t>
            </w:r>
          </w:p>
        </w:tc>
        <w:tc>
          <w:tcPr>
            <w:tcW w:w="955" w:type="pct"/>
            <w:vAlign w:val="center"/>
          </w:tcPr>
          <w:p w14:paraId="5827325C" w14:textId="1E93361E" w:rsidR="00B65CFA" w:rsidRPr="007E61A0" w:rsidRDefault="00B65CFA" w:rsidP="00B65CFA">
            <w:pPr>
              <w:pStyle w:val="TableText0"/>
              <w:jc w:val="center"/>
            </w:pPr>
            <w:r w:rsidRPr="007E61A0">
              <w:t>164/842 (19.5)</w:t>
            </w:r>
          </w:p>
        </w:tc>
        <w:tc>
          <w:tcPr>
            <w:tcW w:w="956" w:type="pct"/>
            <w:vAlign w:val="center"/>
          </w:tcPr>
          <w:p w14:paraId="72C3CFA8" w14:textId="108FD399" w:rsidR="00B65CFA" w:rsidRPr="007E61A0" w:rsidRDefault="00B65CFA" w:rsidP="00B65CFA">
            <w:pPr>
              <w:pStyle w:val="TableText0"/>
              <w:jc w:val="center"/>
            </w:pPr>
            <w:r w:rsidRPr="007E61A0">
              <w:t>109/422 (25.8)</w:t>
            </w:r>
          </w:p>
        </w:tc>
        <w:tc>
          <w:tcPr>
            <w:tcW w:w="955" w:type="pct"/>
            <w:vAlign w:val="center"/>
          </w:tcPr>
          <w:p w14:paraId="5D0267E0" w14:textId="2F5469D3" w:rsidR="00B65CFA" w:rsidRPr="007E61A0" w:rsidRDefault="00B65CFA" w:rsidP="00B65CFA">
            <w:pPr>
              <w:pStyle w:val="TableText0"/>
              <w:jc w:val="center"/>
            </w:pPr>
            <w:r w:rsidRPr="007E61A0">
              <w:t xml:space="preserve">0.71 </w:t>
            </w:r>
            <w:r w:rsidR="00D1392D" w:rsidRPr="007E61A0">
              <w:t>(</w:t>
            </w:r>
            <w:r w:rsidRPr="007E61A0">
              <w:t>0.48, 1.05</w:t>
            </w:r>
            <w:r w:rsidR="00D1392D" w:rsidRPr="007E61A0">
              <w:t>)</w:t>
            </w:r>
          </w:p>
        </w:tc>
        <w:tc>
          <w:tcPr>
            <w:tcW w:w="957" w:type="pct"/>
            <w:vAlign w:val="center"/>
          </w:tcPr>
          <w:p w14:paraId="4057E25A" w14:textId="2154F359" w:rsidR="00B65CFA" w:rsidRPr="007E61A0" w:rsidRDefault="00B65CFA" w:rsidP="00B65CFA">
            <w:pPr>
              <w:pStyle w:val="TableText0"/>
              <w:jc w:val="center"/>
            </w:pPr>
            <w:r w:rsidRPr="007E61A0">
              <w:t xml:space="preserve">-0.06 </w:t>
            </w:r>
            <w:r w:rsidR="00D1392D" w:rsidRPr="007E61A0">
              <w:t>(</w:t>
            </w:r>
            <w:r w:rsidRPr="007E61A0">
              <w:t>-0.13, 0.01</w:t>
            </w:r>
            <w:r w:rsidR="00D1392D" w:rsidRPr="007E61A0">
              <w:t>)</w:t>
            </w:r>
          </w:p>
        </w:tc>
      </w:tr>
      <w:tr w:rsidR="00B65CFA" w:rsidRPr="007E61A0" w14:paraId="7BA3DD99" w14:textId="77777777" w:rsidTr="00B65CFA">
        <w:trPr>
          <w:cantSplit/>
        </w:trPr>
        <w:tc>
          <w:tcPr>
            <w:tcW w:w="1177" w:type="pct"/>
            <w:vAlign w:val="center"/>
          </w:tcPr>
          <w:p w14:paraId="52E5D98B" w14:textId="6C9B07F4" w:rsidR="00B65CFA" w:rsidRPr="007E61A0" w:rsidRDefault="00B65CFA" w:rsidP="00B65CFA">
            <w:pPr>
              <w:pStyle w:val="TableText0"/>
            </w:pPr>
            <w:r w:rsidRPr="007E61A0">
              <w:t>Discontinued due to AEs</w:t>
            </w:r>
          </w:p>
        </w:tc>
        <w:tc>
          <w:tcPr>
            <w:tcW w:w="955" w:type="pct"/>
            <w:vAlign w:val="center"/>
          </w:tcPr>
          <w:p w14:paraId="56D79218" w14:textId="33003E88" w:rsidR="00B65CFA" w:rsidRPr="007E61A0" w:rsidRDefault="00B65CFA" w:rsidP="00B65CFA">
            <w:pPr>
              <w:pStyle w:val="TableText0"/>
              <w:jc w:val="center"/>
            </w:pPr>
            <w:r w:rsidRPr="007E61A0">
              <w:t>20/842 (2.4)</w:t>
            </w:r>
          </w:p>
        </w:tc>
        <w:tc>
          <w:tcPr>
            <w:tcW w:w="956" w:type="pct"/>
            <w:vAlign w:val="center"/>
          </w:tcPr>
          <w:p w14:paraId="270C9270" w14:textId="2B6BB8C8" w:rsidR="00B65CFA" w:rsidRPr="007E61A0" w:rsidRDefault="00B65CFA" w:rsidP="00B65CFA">
            <w:pPr>
              <w:pStyle w:val="TableText0"/>
              <w:jc w:val="center"/>
            </w:pPr>
            <w:r w:rsidRPr="007E61A0">
              <w:t>22/422 (5.2)</w:t>
            </w:r>
          </w:p>
        </w:tc>
        <w:tc>
          <w:tcPr>
            <w:tcW w:w="955" w:type="pct"/>
            <w:vAlign w:val="center"/>
          </w:tcPr>
          <w:p w14:paraId="285AA5DC" w14:textId="429B2348" w:rsidR="00B65CFA" w:rsidRPr="007E61A0" w:rsidRDefault="00D1392D" w:rsidP="00B65CFA">
            <w:pPr>
              <w:pStyle w:val="TableText0"/>
              <w:jc w:val="center"/>
            </w:pPr>
            <w:r w:rsidRPr="007E61A0">
              <w:t>0.44 (0.23, 0.84)</w:t>
            </w:r>
          </w:p>
        </w:tc>
        <w:tc>
          <w:tcPr>
            <w:tcW w:w="957" w:type="pct"/>
            <w:vAlign w:val="center"/>
          </w:tcPr>
          <w:p w14:paraId="3899B43A" w14:textId="052A17AC" w:rsidR="00B65CFA" w:rsidRPr="007E61A0" w:rsidRDefault="00D1392D" w:rsidP="00B65CFA">
            <w:pPr>
              <w:pStyle w:val="TableText0"/>
              <w:jc w:val="center"/>
            </w:pPr>
            <w:r w:rsidRPr="007E61A0">
              <w:t>-0.03 (-0.05, -0.00)</w:t>
            </w:r>
          </w:p>
        </w:tc>
      </w:tr>
    </w:tbl>
    <w:p w14:paraId="584F0F1F" w14:textId="54BAF635" w:rsidR="00CB5649" w:rsidRPr="007E61A0" w:rsidRDefault="00CB5649" w:rsidP="00CB5649">
      <w:pPr>
        <w:pStyle w:val="FooterTableFigure"/>
        <w:rPr>
          <w:sz w:val="20"/>
        </w:rPr>
      </w:pPr>
      <w:r w:rsidRPr="007E61A0">
        <w:t>Source: Table</w:t>
      </w:r>
      <w:r w:rsidR="00270178" w:rsidRPr="007E61A0">
        <w:t xml:space="preserve"> 36</w:t>
      </w:r>
      <w:r w:rsidRPr="007E61A0">
        <w:t>, p</w:t>
      </w:r>
      <w:r w:rsidR="00270178" w:rsidRPr="007E61A0">
        <w:t>77</w:t>
      </w:r>
      <w:r w:rsidRPr="007E61A0">
        <w:t xml:space="preserve"> of the submission.</w:t>
      </w:r>
    </w:p>
    <w:p w14:paraId="2823963C" w14:textId="5F41EBE2" w:rsidR="00420FD6" w:rsidRPr="007E61A0" w:rsidRDefault="00CB5649" w:rsidP="00CB5649">
      <w:pPr>
        <w:pStyle w:val="FooterTableFigure"/>
      </w:pPr>
      <w:r w:rsidRPr="007E61A0">
        <w:rPr>
          <w:rFonts w:eastAsia="Calibri"/>
        </w:rPr>
        <w:t>CI = confidence interval; n = number of participants reporting data; N = total participants in group;</w:t>
      </w:r>
      <w:r w:rsidR="00270178" w:rsidRPr="007E61A0">
        <w:rPr>
          <w:rFonts w:eastAsia="Calibri"/>
        </w:rPr>
        <w:t xml:space="preserve"> NE = not estimable; OR = odds ratio;</w:t>
      </w:r>
      <w:r w:rsidRPr="007E61A0">
        <w:rPr>
          <w:rFonts w:eastAsia="Calibri"/>
        </w:rPr>
        <w:t xml:space="preserve"> RD = risk difference</w:t>
      </w:r>
      <w:r w:rsidR="00270178" w:rsidRPr="007E61A0">
        <w:rPr>
          <w:rFonts w:eastAsia="Calibri"/>
        </w:rPr>
        <w:t>.</w:t>
      </w:r>
    </w:p>
    <w:p w14:paraId="6A246050" w14:textId="1AA4FEEA" w:rsidR="00132A7C" w:rsidRPr="007E61A0" w:rsidRDefault="00132A7C" w:rsidP="00FD7E76">
      <w:pPr>
        <w:pStyle w:val="3-BodyText"/>
      </w:pPr>
      <w:r w:rsidRPr="007E61A0">
        <w:t xml:space="preserve">Two important potential </w:t>
      </w:r>
      <w:r w:rsidR="00F64956" w:rsidRPr="007E61A0">
        <w:t xml:space="preserve">safety </w:t>
      </w:r>
      <w:r w:rsidRPr="007E61A0">
        <w:t xml:space="preserve">risks were identified in the submission: serious infections and malignancies. </w:t>
      </w:r>
      <w:r w:rsidR="00DA3913" w:rsidRPr="007E61A0">
        <w:t>A meta-analysis of infection events</w:t>
      </w:r>
      <w:r w:rsidR="00C816A5" w:rsidRPr="007E61A0">
        <w:t xml:space="preserve"> at week 16</w:t>
      </w:r>
      <w:r w:rsidR="00DA3913" w:rsidRPr="007E61A0">
        <w:t xml:space="preserve"> across both trials produced an OR [95% CI] of 2.06 [0.34, 12.52]</w:t>
      </w:r>
      <w:r w:rsidR="0028371F" w:rsidRPr="007E61A0">
        <w:t xml:space="preserve"> (favouring apremilast)</w:t>
      </w:r>
      <w:r w:rsidR="00C816A5" w:rsidRPr="007E61A0">
        <w:t>, although the difference was not statistically significant (p=0.43)</w:t>
      </w:r>
      <w:r w:rsidR="00DA3913" w:rsidRPr="007E61A0">
        <w:t>.</w:t>
      </w:r>
      <w:r w:rsidR="00C816A5" w:rsidRPr="007E61A0">
        <w:t xml:space="preserve"> A meta-analysis of malignancy events across the POETYK trials at week 16 produced an OR [95% CI] of 0.37 [0.03, 5.41]</w:t>
      </w:r>
      <w:r w:rsidR="0028371F" w:rsidRPr="007E61A0">
        <w:t xml:space="preserve"> (favouring deucravacitinib)</w:t>
      </w:r>
      <w:r w:rsidR="00C816A5" w:rsidRPr="007E61A0">
        <w:t>, although the difference was not statistically significant (p = 0.47).</w:t>
      </w:r>
    </w:p>
    <w:p w14:paraId="0D821464" w14:textId="39AD3C2D" w:rsidR="00527CC1" w:rsidRPr="007E61A0" w:rsidRDefault="00527CC1" w:rsidP="00527CC1">
      <w:pPr>
        <w:pStyle w:val="3-BodyText"/>
      </w:pPr>
      <w:bookmarkStart w:id="39" w:name="_Hlk112792907"/>
      <w:r w:rsidRPr="007E61A0">
        <w:t xml:space="preserve">In addition, two important potential safety risks are listed in the apremilast PI: depression, and diarrhoea, nausea and vomiting. </w:t>
      </w:r>
      <w:bookmarkEnd w:id="39"/>
      <w:r w:rsidR="00C816A5" w:rsidRPr="007E61A0">
        <w:t>A meta-analysis of the POETYK trials concluded that 12.0% of deucravacitinib patients and 25.8% of apremilast patients experienced a gastrointestinal disorder at week 16. A meta-analysis produced an OR [95% CI] of 0.40 [0.28, 0.56],</w:t>
      </w:r>
      <w:r w:rsidR="00D85D5F" w:rsidRPr="007E61A0">
        <w:t xml:space="preserve"> favouring deucravacitinib (p&lt;0.00001)</w:t>
      </w:r>
      <w:r w:rsidR="00C816A5" w:rsidRPr="007E61A0">
        <w:t>.</w:t>
      </w:r>
      <w:r w:rsidR="00D85D5F" w:rsidRPr="007E61A0">
        <w:t xml:space="preserve">  A meta-analysis of the POETYK trials for depression at week 16 conducted during the evaluation found no difference between deucravacitinib and apremilast (OR = </w:t>
      </w:r>
      <w:r w:rsidR="00661917" w:rsidRPr="007E61A0">
        <w:t xml:space="preserve">3.00, </w:t>
      </w:r>
      <w:r w:rsidR="00D85D5F" w:rsidRPr="007E61A0">
        <w:t>95% CI: 0.</w:t>
      </w:r>
      <w:r w:rsidR="00661917" w:rsidRPr="007E61A0">
        <w:t>36</w:t>
      </w:r>
      <w:r w:rsidR="00D85D5F" w:rsidRPr="007E61A0">
        <w:t xml:space="preserve">, </w:t>
      </w:r>
      <w:r w:rsidR="00661917" w:rsidRPr="007E61A0">
        <w:t>25.12</w:t>
      </w:r>
      <w:r w:rsidR="00295EE2" w:rsidRPr="007E61A0">
        <w:t>;</w:t>
      </w:r>
      <w:r w:rsidR="00D85D5F" w:rsidRPr="007E61A0">
        <w:t xml:space="preserve"> p = 0.</w:t>
      </w:r>
      <w:r w:rsidR="00661917" w:rsidRPr="007E61A0">
        <w:t>11</w:t>
      </w:r>
      <w:r w:rsidR="00D85D5F" w:rsidRPr="007E61A0">
        <w:t>).</w:t>
      </w:r>
    </w:p>
    <w:p w14:paraId="398171BA" w14:textId="72E5F4D7" w:rsidR="00527CC1" w:rsidRPr="007E61A0" w:rsidRDefault="00527CC1" w:rsidP="00EA5034">
      <w:pPr>
        <w:pStyle w:val="3-BodyText"/>
      </w:pPr>
      <w:r w:rsidRPr="007E61A0">
        <w:t>Overall, the adverse event profile of deucravacitinib was similar to apremilast in the POETYK 1 and POETYK 2 trials. However, the trial duration may not be long enough to capture increased rates of long-term issues such as infection</w:t>
      </w:r>
      <w:r w:rsidR="00125002" w:rsidRPr="007E61A0">
        <w:t>,</w:t>
      </w:r>
      <w:r w:rsidRPr="007E61A0">
        <w:t xml:space="preserve"> malignancy</w:t>
      </w:r>
      <w:r w:rsidR="00125002" w:rsidRPr="007E61A0">
        <w:t xml:space="preserve">, and </w:t>
      </w:r>
      <w:r w:rsidR="00125002" w:rsidRPr="007E61A0">
        <w:lastRenderedPageBreak/>
        <w:t>depression</w:t>
      </w:r>
      <w:r w:rsidRPr="007E61A0">
        <w:t>. There was no long-term follow-up safety data provided with the submission.</w:t>
      </w:r>
    </w:p>
    <w:p w14:paraId="04908C7F" w14:textId="415B9B7D" w:rsidR="007F1017" w:rsidRPr="007E61A0" w:rsidRDefault="007F1017" w:rsidP="00D86231">
      <w:pPr>
        <w:pStyle w:val="4-SubsectionHeading"/>
        <w:rPr>
          <w:iCs/>
        </w:rPr>
      </w:pPr>
      <w:bookmarkStart w:id="40" w:name="_Toc22897643"/>
      <w:bookmarkStart w:id="41" w:name="_Toc113968823"/>
      <w:r w:rsidRPr="007E61A0">
        <w:rPr>
          <w:iCs/>
        </w:rPr>
        <w:t>Benefits/harms</w:t>
      </w:r>
      <w:bookmarkEnd w:id="40"/>
      <w:bookmarkEnd w:id="41"/>
    </w:p>
    <w:p w14:paraId="1CB772FF" w14:textId="55582931" w:rsidR="00E723BA" w:rsidRPr="007E61A0" w:rsidRDefault="00EC00C9" w:rsidP="00D2155B">
      <w:pPr>
        <w:pStyle w:val="3-BodyText"/>
        <w:rPr>
          <w:rStyle w:val="CommentReference"/>
          <w:color w:val="0066FF"/>
        </w:rPr>
      </w:pPr>
      <w:r w:rsidRPr="007E61A0">
        <w:t xml:space="preserve">A summary of the comparative benefits and harms for </w:t>
      </w:r>
      <w:r w:rsidR="002E0E73" w:rsidRPr="007E61A0">
        <w:t>deucravacitinib</w:t>
      </w:r>
      <w:r w:rsidRPr="007E61A0">
        <w:t xml:space="preserve"> versus </w:t>
      </w:r>
      <w:r w:rsidR="002E0E73" w:rsidRPr="007E61A0">
        <w:t>apremilast</w:t>
      </w:r>
      <w:r w:rsidRPr="007E61A0">
        <w:t xml:space="preserve"> is presented in</w:t>
      </w:r>
      <w:r w:rsidR="00E16AD8" w:rsidRPr="007E61A0">
        <w:t xml:space="preserve"> </w:t>
      </w:r>
      <w:r w:rsidR="00E16AD8" w:rsidRPr="007E61A0">
        <w:fldChar w:fldCharType="begin" w:fldLock="1"/>
      </w:r>
      <w:r w:rsidR="00E16AD8" w:rsidRPr="007E61A0">
        <w:instrText xml:space="preserve"> REF _Ref104805037 \h </w:instrText>
      </w:r>
      <w:r w:rsidR="003E7216" w:rsidRPr="007E61A0">
        <w:instrText xml:space="preserve"> \* MERGEFORMAT </w:instrText>
      </w:r>
      <w:r w:rsidR="00E16AD8" w:rsidRPr="007E61A0">
        <w:fldChar w:fldCharType="separate"/>
      </w:r>
      <w:r w:rsidR="00EC7993" w:rsidRPr="007E61A0">
        <w:t xml:space="preserve">Table </w:t>
      </w:r>
      <w:r w:rsidR="00EC7993">
        <w:t>8</w:t>
      </w:r>
      <w:r w:rsidR="00E16AD8" w:rsidRPr="007E61A0">
        <w:fldChar w:fldCharType="end"/>
      </w:r>
      <w:r w:rsidRPr="007E61A0">
        <w:t>.</w:t>
      </w:r>
    </w:p>
    <w:p w14:paraId="04AC1B54" w14:textId="74ACDE56" w:rsidR="00B62715" w:rsidRPr="007E61A0" w:rsidRDefault="00D6076E" w:rsidP="00D6076E">
      <w:pPr>
        <w:pStyle w:val="Caption"/>
        <w:rPr>
          <w:rStyle w:val="CommentReference"/>
          <w:b/>
          <w:szCs w:val="24"/>
        </w:rPr>
      </w:pPr>
      <w:bookmarkStart w:id="42" w:name="_Ref104805037"/>
      <w:r w:rsidRPr="007E61A0">
        <w:t xml:space="preserve">Table </w:t>
      </w:r>
      <w:fldSimple w:instr=" SEQ Table \* ARABIC " w:fldLock="1">
        <w:r w:rsidR="00EC7993">
          <w:rPr>
            <w:noProof/>
          </w:rPr>
          <w:t>8</w:t>
        </w:r>
      </w:fldSimple>
      <w:bookmarkEnd w:id="42"/>
      <w:r w:rsidRPr="007E61A0">
        <w:t xml:space="preserve">: </w:t>
      </w:r>
      <w:r w:rsidR="00B62715" w:rsidRPr="007E61A0">
        <w:rPr>
          <w:rStyle w:val="CommentReference"/>
          <w:b/>
          <w:szCs w:val="24"/>
        </w:rPr>
        <w:t xml:space="preserve">Summary of comparative benefits and harms for </w:t>
      </w:r>
      <w:r w:rsidR="006B7DFC" w:rsidRPr="007E61A0">
        <w:rPr>
          <w:rStyle w:val="CommentReference"/>
          <w:b/>
          <w:szCs w:val="24"/>
        </w:rPr>
        <w:t>deucravacitinib</w:t>
      </w:r>
      <w:r w:rsidR="00B62715" w:rsidRPr="007E61A0">
        <w:rPr>
          <w:rStyle w:val="CommentReference"/>
          <w:b/>
          <w:szCs w:val="24"/>
        </w:rPr>
        <w:t xml:space="preserve"> and </w:t>
      </w:r>
      <w:r w:rsidR="006B7DFC" w:rsidRPr="007E61A0">
        <w:rPr>
          <w:rStyle w:val="CommentReference"/>
          <w:b/>
          <w:szCs w:val="24"/>
        </w:rPr>
        <w:t>apremilast</w:t>
      </w:r>
    </w:p>
    <w:tbl>
      <w:tblPr>
        <w:tblW w:w="5000" w:type="pct"/>
        <w:tblCellMar>
          <w:left w:w="28" w:type="dxa"/>
          <w:right w:w="28" w:type="dxa"/>
        </w:tblCellMar>
        <w:tblLook w:val="04A0" w:firstRow="1" w:lastRow="0" w:firstColumn="1" w:lastColumn="0" w:noHBand="0" w:noVBand="1"/>
      </w:tblPr>
      <w:tblGrid>
        <w:gridCol w:w="1976"/>
        <w:gridCol w:w="1416"/>
        <w:gridCol w:w="1277"/>
        <w:gridCol w:w="1279"/>
        <w:gridCol w:w="851"/>
        <w:gridCol w:w="2218"/>
      </w:tblGrid>
      <w:tr w:rsidR="0084188A" w:rsidRPr="007E61A0" w14:paraId="0AEC7DE3" w14:textId="7E257F59" w:rsidTr="00D47444">
        <w:trPr>
          <w:trHeight w:val="150"/>
          <w:tblHeader/>
        </w:trPr>
        <w:tc>
          <w:tcPr>
            <w:tcW w:w="10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A122BB" w14:textId="77777777" w:rsidR="0084188A" w:rsidRPr="007E61A0" w:rsidRDefault="0084188A" w:rsidP="00090561">
            <w:pPr>
              <w:pStyle w:val="In-tableHeading"/>
              <w:jc w:val="center"/>
              <w:rPr>
                <w:lang w:val="en-AU"/>
              </w:rPr>
            </w:pPr>
            <w:r w:rsidRPr="007E61A0">
              <w:rPr>
                <w:lang w:val="en-AU"/>
              </w:rPr>
              <w:t>Trial</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3931FCE4" w14:textId="2D4941A6" w:rsidR="0084188A" w:rsidRPr="007E61A0" w:rsidRDefault="0084188A" w:rsidP="00090561">
            <w:pPr>
              <w:pStyle w:val="In-tableHeading"/>
              <w:jc w:val="center"/>
              <w:rPr>
                <w:lang w:val="en-AU"/>
              </w:rPr>
            </w:pPr>
            <w:r w:rsidRPr="007E61A0">
              <w:rPr>
                <w:lang w:val="en-AU"/>
              </w:rPr>
              <w:t>DEUC</w:t>
            </w:r>
          </w:p>
          <w:p w14:paraId="15BE4923" w14:textId="12EC1878" w:rsidR="0084188A" w:rsidRPr="007E61A0" w:rsidRDefault="0084188A" w:rsidP="00090561">
            <w:pPr>
              <w:pStyle w:val="In-tableHeading"/>
              <w:jc w:val="center"/>
              <w:rPr>
                <w:lang w:val="en-AU"/>
              </w:rPr>
            </w:pPr>
            <w:r w:rsidRPr="007E61A0">
              <w:rPr>
                <w:lang w:val="en-AU"/>
              </w:rPr>
              <w:t>n/N</w:t>
            </w:r>
          </w:p>
        </w:tc>
        <w:tc>
          <w:tcPr>
            <w:tcW w:w="708" w:type="pct"/>
            <w:vMerge w:val="restart"/>
            <w:tcBorders>
              <w:top w:val="single" w:sz="4" w:space="0" w:color="auto"/>
              <w:left w:val="single" w:sz="4" w:space="0" w:color="auto"/>
              <w:right w:val="single" w:sz="4" w:space="0" w:color="auto"/>
            </w:tcBorders>
            <w:vAlign w:val="center"/>
          </w:tcPr>
          <w:p w14:paraId="12B66743" w14:textId="77777777" w:rsidR="0084188A" w:rsidRPr="007E61A0" w:rsidRDefault="0084188A" w:rsidP="00090561">
            <w:pPr>
              <w:pStyle w:val="In-tableHeading"/>
              <w:jc w:val="center"/>
              <w:rPr>
                <w:lang w:val="en-AU"/>
              </w:rPr>
            </w:pPr>
            <w:r w:rsidRPr="007E61A0">
              <w:rPr>
                <w:lang w:val="en-AU"/>
              </w:rPr>
              <w:t>APM</w:t>
            </w:r>
          </w:p>
          <w:p w14:paraId="57F0F076" w14:textId="7AA440F0" w:rsidR="0084188A" w:rsidRPr="007E61A0" w:rsidRDefault="0084188A" w:rsidP="00090561">
            <w:pPr>
              <w:pStyle w:val="In-tableHeading"/>
              <w:jc w:val="center"/>
              <w:rPr>
                <w:lang w:val="en-AU"/>
              </w:rPr>
            </w:pPr>
            <w:r w:rsidRPr="007E61A0">
              <w:rPr>
                <w:lang w:val="en-AU"/>
              </w:rPr>
              <w:t>n/N</w:t>
            </w:r>
          </w:p>
        </w:tc>
        <w:tc>
          <w:tcPr>
            <w:tcW w:w="1181" w:type="pct"/>
            <w:gridSpan w:val="2"/>
            <w:tcBorders>
              <w:top w:val="single" w:sz="4" w:space="0" w:color="auto"/>
              <w:left w:val="single" w:sz="4" w:space="0" w:color="auto"/>
              <w:bottom w:val="single" w:sz="4" w:space="0" w:color="auto"/>
              <w:right w:val="single" w:sz="4" w:space="0" w:color="auto"/>
            </w:tcBorders>
            <w:vAlign w:val="center"/>
          </w:tcPr>
          <w:p w14:paraId="646C99FD" w14:textId="348A5DC8" w:rsidR="0084188A" w:rsidRPr="007E61A0" w:rsidRDefault="0084188A" w:rsidP="00090561">
            <w:pPr>
              <w:pStyle w:val="In-tableHeading"/>
              <w:jc w:val="center"/>
              <w:rPr>
                <w:lang w:val="en-AU"/>
              </w:rPr>
            </w:pPr>
            <w:r w:rsidRPr="007E61A0">
              <w:rPr>
                <w:lang w:val="en-AU"/>
              </w:rPr>
              <w:t>Event rate/100 patients/16 weeks*</w:t>
            </w:r>
          </w:p>
        </w:tc>
        <w:tc>
          <w:tcPr>
            <w:tcW w:w="1230" w:type="pct"/>
            <w:vMerge w:val="restart"/>
            <w:tcBorders>
              <w:top w:val="single" w:sz="4" w:space="0" w:color="auto"/>
              <w:left w:val="single" w:sz="4" w:space="0" w:color="auto"/>
              <w:right w:val="single" w:sz="4" w:space="0" w:color="auto"/>
            </w:tcBorders>
            <w:vAlign w:val="center"/>
          </w:tcPr>
          <w:p w14:paraId="7F936753" w14:textId="281167D2" w:rsidR="0084188A" w:rsidRPr="007E61A0" w:rsidRDefault="0084188A" w:rsidP="00F2208B">
            <w:pPr>
              <w:pStyle w:val="In-tableHeading"/>
              <w:jc w:val="center"/>
              <w:rPr>
                <w:lang w:val="en-AU"/>
              </w:rPr>
            </w:pPr>
            <w:r w:rsidRPr="007E61A0">
              <w:rPr>
                <w:lang w:val="en-AU"/>
              </w:rPr>
              <w:t>RD</w:t>
            </w:r>
            <w:r w:rsidR="00D47444">
              <w:rPr>
                <w:lang w:val="en-AU"/>
              </w:rPr>
              <w:t xml:space="preserve"> </w:t>
            </w:r>
            <w:r w:rsidRPr="007E61A0">
              <w:rPr>
                <w:lang w:val="en-AU"/>
              </w:rPr>
              <w:t>(95% CI)</w:t>
            </w:r>
          </w:p>
        </w:tc>
      </w:tr>
      <w:tr w:rsidR="0084188A" w:rsidRPr="007E61A0" w14:paraId="2BC84D66" w14:textId="54EFCDDE" w:rsidTr="00D47444">
        <w:trPr>
          <w:trHeight w:val="64"/>
        </w:trPr>
        <w:tc>
          <w:tcPr>
            <w:tcW w:w="10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A62E81" w14:textId="77777777" w:rsidR="0084188A" w:rsidRPr="007E61A0" w:rsidRDefault="0084188A" w:rsidP="00D2155B">
            <w:pPr>
              <w:pStyle w:val="In-tableHeading"/>
              <w:jc w:val="center"/>
              <w:rPr>
                <w:lang w:val="en-AU"/>
              </w:rPr>
            </w:pPr>
          </w:p>
        </w:tc>
        <w:tc>
          <w:tcPr>
            <w:tcW w:w="785" w:type="pct"/>
            <w:vMerge/>
            <w:tcBorders>
              <w:top w:val="single" w:sz="4" w:space="0" w:color="auto"/>
              <w:left w:val="single" w:sz="4" w:space="0" w:color="auto"/>
              <w:bottom w:val="single" w:sz="4" w:space="0" w:color="auto"/>
              <w:right w:val="single" w:sz="4" w:space="0" w:color="auto"/>
            </w:tcBorders>
            <w:vAlign w:val="center"/>
          </w:tcPr>
          <w:p w14:paraId="5B52D7D0" w14:textId="77777777" w:rsidR="0084188A" w:rsidRPr="007E61A0" w:rsidRDefault="0084188A" w:rsidP="00D2155B">
            <w:pPr>
              <w:pStyle w:val="In-tableHeading"/>
              <w:jc w:val="center"/>
              <w:rPr>
                <w:lang w:val="en-AU"/>
              </w:rPr>
            </w:pPr>
          </w:p>
        </w:tc>
        <w:tc>
          <w:tcPr>
            <w:tcW w:w="708" w:type="pct"/>
            <w:vMerge/>
            <w:tcBorders>
              <w:left w:val="single" w:sz="4" w:space="0" w:color="auto"/>
              <w:bottom w:val="single" w:sz="4" w:space="0" w:color="auto"/>
              <w:right w:val="single" w:sz="4" w:space="0" w:color="auto"/>
            </w:tcBorders>
            <w:vAlign w:val="center"/>
          </w:tcPr>
          <w:p w14:paraId="7C44587B" w14:textId="77777777" w:rsidR="0084188A" w:rsidRPr="007E61A0" w:rsidRDefault="0084188A" w:rsidP="00D2155B">
            <w:pPr>
              <w:pStyle w:val="In-tableHeading"/>
              <w:jc w:val="center"/>
              <w:rPr>
                <w:lang w:val="en-AU"/>
              </w:rPr>
            </w:pPr>
          </w:p>
        </w:tc>
        <w:tc>
          <w:tcPr>
            <w:tcW w:w="709" w:type="pct"/>
            <w:tcBorders>
              <w:top w:val="single" w:sz="4" w:space="0" w:color="auto"/>
              <w:left w:val="single" w:sz="4" w:space="0" w:color="auto"/>
              <w:bottom w:val="single" w:sz="4" w:space="0" w:color="auto"/>
              <w:right w:val="single" w:sz="4" w:space="0" w:color="auto"/>
            </w:tcBorders>
            <w:vAlign w:val="center"/>
          </w:tcPr>
          <w:p w14:paraId="1A8E703E" w14:textId="5145C285" w:rsidR="0084188A" w:rsidRPr="007E61A0" w:rsidRDefault="0084188A" w:rsidP="00D2155B">
            <w:pPr>
              <w:pStyle w:val="In-tableHeading"/>
              <w:jc w:val="center"/>
              <w:rPr>
                <w:lang w:val="en-AU"/>
              </w:rPr>
            </w:pPr>
            <w:r w:rsidRPr="007E61A0">
              <w:rPr>
                <w:lang w:val="en-AU"/>
              </w:rPr>
              <w:t>DEUC</w:t>
            </w:r>
          </w:p>
        </w:tc>
        <w:tc>
          <w:tcPr>
            <w:tcW w:w="472" w:type="pct"/>
            <w:tcBorders>
              <w:top w:val="single" w:sz="4" w:space="0" w:color="auto"/>
              <w:left w:val="single" w:sz="4" w:space="0" w:color="auto"/>
              <w:bottom w:val="single" w:sz="4" w:space="0" w:color="auto"/>
              <w:right w:val="single" w:sz="4" w:space="0" w:color="auto"/>
            </w:tcBorders>
            <w:vAlign w:val="center"/>
          </w:tcPr>
          <w:p w14:paraId="4AB0EBBD" w14:textId="090F6470" w:rsidR="0084188A" w:rsidRPr="007E61A0" w:rsidRDefault="0084188A" w:rsidP="00D2155B">
            <w:pPr>
              <w:pStyle w:val="In-tableHeading"/>
              <w:jc w:val="center"/>
              <w:rPr>
                <w:lang w:val="en-AU"/>
              </w:rPr>
            </w:pPr>
            <w:r w:rsidRPr="007E61A0">
              <w:rPr>
                <w:lang w:val="en-AU"/>
              </w:rPr>
              <w:t>APM</w:t>
            </w:r>
          </w:p>
        </w:tc>
        <w:tc>
          <w:tcPr>
            <w:tcW w:w="1230" w:type="pct"/>
            <w:vMerge/>
            <w:tcBorders>
              <w:left w:val="single" w:sz="4" w:space="0" w:color="auto"/>
              <w:bottom w:val="single" w:sz="4" w:space="0" w:color="auto"/>
              <w:right w:val="single" w:sz="4" w:space="0" w:color="auto"/>
            </w:tcBorders>
            <w:vAlign w:val="center"/>
          </w:tcPr>
          <w:p w14:paraId="0EB99B16" w14:textId="77777777" w:rsidR="0084188A" w:rsidRPr="007E61A0" w:rsidRDefault="0084188A" w:rsidP="00D2155B">
            <w:pPr>
              <w:pStyle w:val="In-tableHeading"/>
              <w:jc w:val="center"/>
              <w:rPr>
                <w:lang w:val="en-AU"/>
              </w:rPr>
            </w:pPr>
          </w:p>
        </w:tc>
      </w:tr>
      <w:tr w:rsidR="001F5022" w:rsidRPr="007E61A0" w14:paraId="54718D2E" w14:textId="017F61E1" w:rsidTr="00290375">
        <w:tc>
          <w:tcPr>
            <w:tcW w:w="5000" w:type="pct"/>
            <w:gridSpan w:val="6"/>
            <w:tcBorders>
              <w:top w:val="single" w:sz="4" w:space="0" w:color="auto"/>
              <w:left w:val="single" w:sz="4" w:space="0" w:color="auto"/>
              <w:bottom w:val="double" w:sz="4" w:space="0" w:color="auto"/>
              <w:right w:val="single" w:sz="4" w:space="0" w:color="auto"/>
            </w:tcBorders>
          </w:tcPr>
          <w:p w14:paraId="0EDAA1C6" w14:textId="54B497BE" w:rsidR="00F2208B" w:rsidRPr="007E61A0" w:rsidRDefault="00F2208B" w:rsidP="00D2155B">
            <w:pPr>
              <w:pStyle w:val="In-tableHeading"/>
              <w:rPr>
                <w:lang w:val="en-AU"/>
              </w:rPr>
            </w:pPr>
            <w:r w:rsidRPr="007E61A0">
              <w:rPr>
                <w:lang w:val="en-AU"/>
              </w:rPr>
              <w:t>Benefits</w:t>
            </w:r>
          </w:p>
        </w:tc>
      </w:tr>
      <w:tr w:rsidR="001F5022" w:rsidRPr="007E61A0" w14:paraId="383DC5CE" w14:textId="747CE2C6" w:rsidTr="00290375">
        <w:tc>
          <w:tcPr>
            <w:tcW w:w="5000" w:type="pct"/>
            <w:gridSpan w:val="6"/>
            <w:tcBorders>
              <w:top w:val="double" w:sz="4" w:space="0" w:color="auto"/>
              <w:left w:val="single" w:sz="4" w:space="0" w:color="auto"/>
              <w:bottom w:val="single" w:sz="4" w:space="0" w:color="auto"/>
              <w:right w:val="single" w:sz="4" w:space="0" w:color="auto"/>
            </w:tcBorders>
          </w:tcPr>
          <w:p w14:paraId="7614B3F5" w14:textId="5A574427" w:rsidR="001F5022" w:rsidRPr="007E61A0" w:rsidRDefault="001F5022" w:rsidP="001F5022">
            <w:pPr>
              <w:pStyle w:val="In-tableHeading"/>
              <w:rPr>
                <w:lang w:val="en-AU"/>
              </w:rPr>
            </w:pPr>
            <w:r w:rsidRPr="007E61A0">
              <w:rPr>
                <w:lang w:val="en-AU"/>
              </w:rPr>
              <w:t>sPGA 0/1 score</w:t>
            </w:r>
          </w:p>
        </w:tc>
      </w:tr>
      <w:tr w:rsidR="0084188A" w:rsidRPr="007E61A0" w14:paraId="20423A16" w14:textId="1348C780" w:rsidTr="00D47444">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34DA3DB0" w14:textId="3F2D03AE" w:rsidR="0084188A" w:rsidRPr="007E61A0" w:rsidRDefault="0084188A" w:rsidP="001F5022">
            <w:pPr>
              <w:pStyle w:val="TableText0"/>
            </w:pPr>
            <w:r w:rsidRPr="007E61A0">
              <w:t>Meta-analysis</w:t>
            </w:r>
          </w:p>
        </w:tc>
        <w:tc>
          <w:tcPr>
            <w:tcW w:w="785" w:type="pct"/>
            <w:tcBorders>
              <w:top w:val="single" w:sz="4" w:space="0" w:color="auto"/>
              <w:bottom w:val="single" w:sz="4" w:space="0" w:color="auto"/>
              <w:right w:val="single" w:sz="4" w:space="0" w:color="auto"/>
            </w:tcBorders>
            <w:vAlign w:val="center"/>
          </w:tcPr>
          <w:p w14:paraId="337D5836" w14:textId="3CF2FB0F" w:rsidR="0084188A" w:rsidRPr="007E61A0" w:rsidRDefault="0084188A" w:rsidP="001F5022">
            <w:pPr>
              <w:pStyle w:val="TableText0"/>
              <w:jc w:val="center"/>
            </w:pPr>
            <w:r w:rsidRPr="007E61A0">
              <w:t xml:space="preserve">431/843 </w:t>
            </w:r>
          </w:p>
        </w:tc>
        <w:tc>
          <w:tcPr>
            <w:tcW w:w="708" w:type="pct"/>
            <w:tcBorders>
              <w:left w:val="single" w:sz="4" w:space="0" w:color="auto"/>
              <w:bottom w:val="single" w:sz="4" w:space="0" w:color="auto"/>
              <w:right w:val="single" w:sz="4" w:space="0" w:color="auto"/>
            </w:tcBorders>
            <w:vAlign w:val="center"/>
          </w:tcPr>
          <w:p w14:paraId="492DAC2E" w14:textId="54FD625E" w:rsidR="0084188A" w:rsidRPr="007E61A0" w:rsidRDefault="0084188A" w:rsidP="001F5022">
            <w:pPr>
              <w:pStyle w:val="TableText0"/>
              <w:jc w:val="center"/>
            </w:pPr>
            <w:r w:rsidRPr="007E61A0">
              <w:t xml:space="preserve">140/422 </w:t>
            </w:r>
          </w:p>
        </w:tc>
        <w:tc>
          <w:tcPr>
            <w:tcW w:w="709" w:type="pct"/>
            <w:tcBorders>
              <w:top w:val="single" w:sz="4" w:space="0" w:color="auto"/>
              <w:left w:val="single" w:sz="4" w:space="0" w:color="auto"/>
              <w:bottom w:val="single" w:sz="4" w:space="0" w:color="auto"/>
              <w:right w:val="single" w:sz="4" w:space="0" w:color="auto"/>
            </w:tcBorders>
            <w:vAlign w:val="center"/>
          </w:tcPr>
          <w:p w14:paraId="5A396522" w14:textId="4E16E408" w:rsidR="0084188A" w:rsidRPr="007E61A0" w:rsidRDefault="0084188A" w:rsidP="001F5022">
            <w:pPr>
              <w:pStyle w:val="TableText0"/>
              <w:jc w:val="center"/>
            </w:pPr>
            <w:r w:rsidRPr="007E61A0">
              <w:t>51.1</w:t>
            </w:r>
          </w:p>
        </w:tc>
        <w:tc>
          <w:tcPr>
            <w:tcW w:w="472" w:type="pct"/>
            <w:tcBorders>
              <w:top w:val="single" w:sz="4" w:space="0" w:color="auto"/>
              <w:left w:val="single" w:sz="4" w:space="0" w:color="auto"/>
              <w:bottom w:val="single" w:sz="4" w:space="0" w:color="auto"/>
              <w:right w:val="single" w:sz="4" w:space="0" w:color="auto"/>
            </w:tcBorders>
            <w:vAlign w:val="center"/>
          </w:tcPr>
          <w:p w14:paraId="66E9B16D" w14:textId="5F36E444" w:rsidR="0084188A" w:rsidRPr="007E61A0" w:rsidRDefault="0084188A" w:rsidP="001F5022">
            <w:pPr>
              <w:pStyle w:val="TableText0"/>
              <w:jc w:val="center"/>
            </w:pPr>
            <w:r w:rsidRPr="007E61A0">
              <w:t>33.2</w:t>
            </w:r>
          </w:p>
        </w:tc>
        <w:tc>
          <w:tcPr>
            <w:tcW w:w="1230" w:type="pct"/>
            <w:tcBorders>
              <w:top w:val="single" w:sz="4" w:space="0" w:color="auto"/>
              <w:left w:val="single" w:sz="4" w:space="0" w:color="auto"/>
              <w:bottom w:val="single" w:sz="4" w:space="0" w:color="auto"/>
              <w:right w:val="single" w:sz="4" w:space="0" w:color="auto"/>
            </w:tcBorders>
            <w:vAlign w:val="center"/>
          </w:tcPr>
          <w:p w14:paraId="6A1A38F6" w14:textId="75DFFEF0" w:rsidR="0084188A" w:rsidRPr="007E61A0" w:rsidRDefault="0084188A" w:rsidP="00D47444">
            <w:pPr>
              <w:pStyle w:val="TableText0"/>
              <w:jc w:val="center"/>
            </w:pPr>
            <w:r w:rsidRPr="007E61A0">
              <w:rPr>
                <w:b/>
                <w:bCs w:val="0"/>
              </w:rPr>
              <w:t>0.18</w:t>
            </w:r>
            <w:r w:rsidR="00D47444">
              <w:rPr>
                <w:b/>
                <w:bCs w:val="0"/>
              </w:rPr>
              <w:t xml:space="preserve"> </w:t>
            </w:r>
            <w:r w:rsidRPr="007E61A0">
              <w:rPr>
                <w:b/>
                <w:bCs w:val="0"/>
              </w:rPr>
              <w:t>(0.12, 0.24)</w:t>
            </w:r>
          </w:p>
        </w:tc>
      </w:tr>
      <w:tr w:rsidR="001F5022" w:rsidRPr="007E61A0" w14:paraId="1C205487" w14:textId="77777777" w:rsidTr="00290375">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84D65B" w14:textId="21DE2356" w:rsidR="001F5022" w:rsidRPr="007E61A0" w:rsidRDefault="001F5022" w:rsidP="001F5022">
            <w:pPr>
              <w:pStyle w:val="TableText0"/>
              <w:rPr>
                <w:b/>
                <w:bCs w:val="0"/>
              </w:rPr>
            </w:pPr>
            <w:r w:rsidRPr="007E61A0">
              <w:rPr>
                <w:b/>
                <w:bCs w:val="0"/>
              </w:rPr>
              <w:t>PASI 75 response</w:t>
            </w:r>
          </w:p>
        </w:tc>
      </w:tr>
      <w:tr w:rsidR="0084188A" w:rsidRPr="007E61A0" w14:paraId="7AE02164" w14:textId="77777777" w:rsidTr="00D47444">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01C3623A" w14:textId="0973F6B5" w:rsidR="0084188A" w:rsidRPr="007E61A0" w:rsidRDefault="0084188A" w:rsidP="001F5022">
            <w:pPr>
              <w:pStyle w:val="TableText0"/>
            </w:pPr>
            <w:r w:rsidRPr="007E61A0">
              <w:t>Meta-analysis</w:t>
            </w:r>
          </w:p>
        </w:tc>
        <w:tc>
          <w:tcPr>
            <w:tcW w:w="785" w:type="pct"/>
            <w:tcBorders>
              <w:top w:val="single" w:sz="4" w:space="0" w:color="auto"/>
              <w:bottom w:val="single" w:sz="4" w:space="0" w:color="auto"/>
              <w:right w:val="single" w:sz="4" w:space="0" w:color="auto"/>
            </w:tcBorders>
            <w:shd w:val="clear" w:color="auto" w:fill="auto"/>
            <w:vAlign w:val="center"/>
          </w:tcPr>
          <w:p w14:paraId="3F9BFA47" w14:textId="40CC283D" w:rsidR="0084188A" w:rsidRPr="007E61A0" w:rsidRDefault="0084188A" w:rsidP="001F5022">
            <w:pPr>
              <w:pStyle w:val="TableText0"/>
              <w:jc w:val="center"/>
            </w:pPr>
            <w:r w:rsidRPr="007E61A0">
              <w:t xml:space="preserve">465/843 </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034809" w14:textId="6E645F89" w:rsidR="0084188A" w:rsidRPr="007E61A0" w:rsidRDefault="0084188A" w:rsidP="001F5022">
            <w:pPr>
              <w:pStyle w:val="TableText0"/>
              <w:jc w:val="center"/>
              <w:rPr>
                <w:b/>
                <w:bCs w:val="0"/>
              </w:rPr>
            </w:pPr>
            <w:r w:rsidRPr="007E61A0">
              <w:t xml:space="preserve">160/422 </w:t>
            </w:r>
          </w:p>
        </w:tc>
        <w:tc>
          <w:tcPr>
            <w:tcW w:w="709" w:type="pct"/>
            <w:tcBorders>
              <w:top w:val="single" w:sz="4" w:space="0" w:color="auto"/>
              <w:left w:val="single" w:sz="4" w:space="0" w:color="auto"/>
              <w:bottom w:val="single" w:sz="4" w:space="0" w:color="auto"/>
              <w:right w:val="single" w:sz="4" w:space="0" w:color="auto"/>
            </w:tcBorders>
            <w:vAlign w:val="center"/>
          </w:tcPr>
          <w:p w14:paraId="17EF3114" w14:textId="60552875" w:rsidR="0084188A" w:rsidRPr="007E61A0" w:rsidRDefault="0084188A" w:rsidP="001F5022">
            <w:pPr>
              <w:pStyle w:val="TableText0"/>
              <w:jc w:val="center"/>
            </w:pPr>
            <w:r w:rsidRPr="007E61A0">
              <w:t>55.1</w:t>
            </w:r>
          </w:p>
        </w:tc>
        <w:tc>
          <w:tcPr>
            <w:tcW w:w="472" w:type="pct"/>
            <w:tcBorders>
              <w:top w:val="single" w:sz="4" w:space="0" w:color="auto"/>
              <w:left w:val="single" w:sz="4" w:space="0" w:color="auto"/>
              <w:bottom w:val="single" w:sz="4" w:space="0" w:color="auto"/>
              <w:right w:val="single" w:sz="4" w:space="0" w:color="auto"/>
            </w:tcBorders>
            <w:vAlign w:val="center"/>
          </w:tcPr>
          <w:p w14:paraId="4E3A7B65" w14:textId="3DFDE9BE" w:rsidR="0084188A" w:rsidRPr="007E61A0" w:rsidRDefault="0084188A" w:rsidP="001F5022">
            <w:pPr>
              <w:pStyle w:val="TableText0"/>
              <w:jc w:val="center"/>
            </w:pPr>
            <w:r w:rsidRPr="007E61A0">
              <w:t>37.9</w:t>
            </w:r>
          </w:p>
        </w:tc>
        <w:tc>
          <w:tcPr>
            <w:tcW w:w="1230" w:type="pct"/>
            <w:tcBorders>
              <w:top w:val="single" w:sz="4" w:space="0" w:color="auto"/>
              <w:left w:val="single" w:sz="4" w:space="0" w:color="auto"/>
              <w:bottom w:val="single" w:sz="4" w:space="0" w:color="auto"/>
              <w:right w:val="single" w:sz="4" w:space="0" w:color="auto"/>
            </w:tcBorders>
            <w:vAlign w:val="center"/>
          </w:tcPr>
          <w:p w14:paraId="349CB532" w14:textId="7E223C7E" w:rsidR="0084188A" w:rsidRPr="007E61A0" w:rsidRDefault="0084188A" w:rsidP="001F5022">
            <w:pPr>
              <w:pStyle w:val="TableText0"/>
              <w:jc w:val="center"/>
              <w:rPr>
                <w:b/>
                <w:bCs w:val="0"/>
              </w:rPr>
            </w:pPr>
            <w:r w:rsidRPr="007E61A0">
              <w:rPr>
                <w:b/>
                <w:bCs w:val="0"/>
              </w:rPr>
              <w:t>0.18</w:t>
            </w:r>
            <w:r w:rsidR="00D47444">
              <w:rPr>
                <w:b/>
                <w:bCs w:val="0"/>
              </w:rPr>
              <w:t xml:space="preserve"> </w:t>
            </w:r>
            <w:r w:rsidRPr="007E61A0">
              <w:rPr>
                <w:b/>
                <w:bCs w:val="0"/>
              </w:rPr>
              <w:t>(0.08, 0.28)</w:t>
            </w:r>
          </w:p>
        </w:tc>
      </w:tr>
      <w:tr w:rsidR="001F5022" w:rsidRPr="007E61A0" w14:paraId="4C81FAF0" w14:textId="1C75017C" w:rsidTr="00290375">
        <w:tc>
          <w:tcPr>
            <w:tcW w:w="5000" w:type="pct"/>
            <w:gridSpan w:val="6"/>
            <w:tcBorders>
              <w:top w:val="single" w:sz="4" w:space="0" w:color="auto"/>
              <w:left w:val="single" w:sz="4" w:space="0" w:color="auto"/>
              <w:bottom w:val="single" w:sz="4" w:space="0" w:color="auto"/>
              <w:right w:val="single" w:sz="4" w:space="0" w:color="auto"/>
            </w:tcBorders>
          </w:tcPr>
          <w:p w14:paraId="4FC6A586" w14:textId="27FB903B" w:rsidR="001F5022" w:rsidRPr="007E61A0" w:rsidRDefault="001F5022" w:rsidP="001F5022">
            <w:pPr>
              <w:pStyle w:val="TableText0"/>
              <w:rPr>
                <w:b/>
                <w:bCs w:val="0"/>
              </w:rPr>
            </w:pPr>
            <w:r w:rsidRPr="007E61A0">
              <w:rPr>
                <w:b/>
                <w:bCs w:val="0"/>
              </w:rPr>
              <w:t>DLQI 0/1 score</w:t>
            </w:r>
            <w:r w:rsidRPr="007E61A0">
              <w:t xml:space="preserve"> </w:t>
            </w:r>
            <w:r w:rsidRPr="007E61A0">
              <w:rPr>
                <w:vertAlign w:val="superscript"/>
              </w:rPr>
              <w:t>a</w:t>
            </w:r>
          </w:p>
        </w:tc>
      </w:tr>
      <w:tr w:rsidR="0084188A" w:rsidRPr="007E61A0" w14:paraId="31DC50BA" w14:textId="12C8D75B" w:rsidTr="00D47444">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50CACA48" w14:textId="36D95A33" w:rsidR="0084188A" w:rsidRPr="007E61A0" w:rsidRDefault="0084188A" w:rsidP="001F5022">
            <w:pPr>
              <w:pStyle w:val="TableText0"/>
            </w:pPr>
            <w:r w:rsidRPr="007E61A0">
              <w:t>Meta-analysis</w:t>
            </w:r>
          </w:p>
        </w:tc>
        <w:tc>
          <w:tcPr>
            <w:tcW w:w="785" w:type="pct"/>
            <w:tcBorders>
              <w:top w:val="single" w:sz="4" w:space="0" w:color="auto"/>
              <w:bottom w:val="single" w:sz="4" w:space="0" w:color="auto"/>
              <w:right w:val="single" w:sz="4" w:space="0" w:color="auto"/>
            </w:tcBorders>
            <w:shd w:val="clear" w:color="auto" w:fill="auto"/>
            <w:vAlign w:val="center"/>
          </w:tcPr>
          <w:p w14:paraId="0EBF1CA0" w14:textId="5ED11DEA" w:rsidR="0084188A" w:rsidRPr="007E61A0" w:rsidRDefault="0084188A" w:rsidP="001F5022">
            <w:pPr>
              <w:pStyle w:val="TableText0"/>
              <w:jc w:val="center"/>
            </w:pPr>
            <w:r w:rsidRPr="007E61A0">
              <w:t xml:space="preserve">318/817 </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ECC5CCE" w14:textId="68B836CB" w:rsidR="0084188A" w:rsidRPr="007E61A0" w:rsidRDefault="0084188A" w:rsidP="001F5022">
            <w:pPr>
              <w:pStyle w:val="TableText0"/>
              <w:jc w:val="center"/>
            </w:pPr>
            <w:r w:rsidRPr="007E61A0">
              <w:t>103/408</w:t>
            </w:r>
          </w:p>
        </w:tc>
        <w:tc>
          <w:tcPr>
            <w:tcW w:w="709" w:type="pct"/>
            <w:tcBorders>
              <w:top w:val="single" w:sz="4" w:space="0" w:color="auto"/>
              <w:left w:val="single" w:sz="4" w:space="0" w:color="auto"/>
              <w:bottom w:val="single" w:sz="4" w:space="0" w:color="auto"/>
              <w:right w:val="single" w:sz="4" w:space="0" w:color="auto"/>
            </w:tcBorders>
            <w:vAlign w:val="center"/>
          </w:tcPr>
          <w:p w14:paraId="25CB2ED1" w14:textId="240DA36D" w:rsidR="0084188A" w:rsidRPr="007E61A0" w:rsidRDefault="0084188A" w:rsidP="001F5022">
            <w:pPr>
              <w:pStyle w:val="TableText0"/>
              <w:jc w:val="center"/>
            </w:pPr>
            <w:r w:rsidRPr="007E61A0">
              <w:t>38.9</w:t>
            </w:r>
          </w:p>
        </w:tc>
        <w:tc>
          <w:tcPr>
            <w:tcW w:w="472" w:type="pct"/>
            <w:tcBorders>
              <w:top w:val="single" w:sz="4" w:space="0" w:color="auto"/>
              <w:left w:val="single" w:sz="4" w:space="0" w:color="auto"/>
              <w:bottom w:val="single" w:sz="4" w:space="0" w:color="auto"/>
              <w:right w:val="single" w:sz="4" w:space="0" w:color="auto"/>
            </w:tcBorders>
            <w:vAlign w:val="center"/>
          </w:tcPr>
          <w:p w14:paraId="7ECFDE77" w14:textId="0ED620F8" w:rsidR="0084188A" w:rsidRPr="007E61A0" w:rsidRDefault="0084188A" w:rsidP="001F5022">
            <w:pPr>
              <w:pStyle w:val="TableText0"/>
              <w:jc w:val="center"/>
            </w:pPr>
            <w:r w:rsidRPr="007E61A0">
              <w:t>25.2</w:t>
            </w:r>
          </w:p>
        </w:tc>
        <w:tc>
          <w:tcPr>
            <w:tcW w:w="1230" w:type="pct"/>
            <w:tcBorders>
              <w:top w:val="single" w:sz="4" w:space="0" w:color="auto"/>
              <w:left w:val="single" w:sz="4" w:space="0" w:color="auto"/>
              <w:bottom w:val="single" w:sz="4" w:space="0" w:color="auto"/>
              <w:right w:val="single" w:sz="4" w:space="0" w:color="auto"/>
            </w:tcBorders>
            <w:vAlign w:val="center"/>
          </w:tcPr>
          <w:p w14:paraId="3DFA7116" w14:textId="7439C440" w:rsidR="0084188A" w:rsidRPr="007E61A0" w:rsidRDefault="0084188A" w:rsidP="001F5022">
            <w:pPr>
              <w:pStyle w:val="TableText0"/>
              <w:jc w:val="center"/>
            </w:pPr>
            <w:r w:rsidRPr="007E61A0">
              <w:rPr>
                <w:b/>
                <w:bCs w:val="0"/>
              </w:rPr>
              <w:t>0.14</w:t>
            </w:r>
            <w:r w:rsidR="00D47444">
              <w:rPr>
                <w:b/>
                <w:bCs w:val="0"/>
              </w:rPr>
              <w:t xml:space="preserve"> </w:t>
            </w:r>
            <w:r w:rsidRPr="007E61A0">
              <w:rPr>
                <w:b/>
                <w:bCs w:val="0"/>
              </w:rPr>
              <w:t>(0.08, 0.19)</w:t>
            </w:r>
          </w:p>
        </w:tc>
      </w:tr>
      <w:tr w:rsidR="001F5022" w:rsidRPr="007E61A0" w14:paraId="4CB55A42" w14:textId="4BD12738" w:rsidTr="00290375">
        <w:tc>
          <w:tcPr>
            <w:tcW w:w="5000" w:type="pct"/>
            <w:gridSpan w:val="6"/>
            <w:tcBorders>
              <w:top w:val="single" w:sz="4" w:space="0" w:color="auto"/>
              <w:left w:val="single" w:sz="4" w:space="0" w:color="auto"/>
              <w:bottom w:val="single" w:sz="4" w:space="0" w:color="auto"/>
              <w:right w:val="single" w:sz="4" w:space="0" w:color="auto"/>
            </w:tcBorders>
            <w:vAlign w:val="center"/>
          </w:tcPr>
          <w:p w14:paraId="31DA5B19" w14:textId="7E6B87A2" w:rsidR="001F5022" w:rsidRPr="007E61A0" w:rsidRDefault="001F5022" w:rsidP="001F5022">
            <w:pPr>
              <w:pStyle w:val="In-tableHeading"/>
              <w:rPr>
                <w:lang w:val="en-AU"/>
              </w:rPr>
            </w:pPr>
            <w:r w:rsidRPr="007E61A0">
              <w:rPr>
                <w:lang w:val="en-AU"/>
              </w:rPr>
              <w:t xml:space="preserve">Harms </w:t>
            </w:r>
          </w:p>
        </w:tc>
      </w:tr>
      <w:tr w:rsidR="0084188A" w:rsidRPr="007E61A0" w14:paraId="75B2E922" w14:textId="20E59A10" w:rsidTr="00D47444">
        <w:trPr>
          <w:trHeight w:val="70"/>
        </w:trPr>
        <w:tc>
          <w:tcPr>
            <w:tcW w:w="10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47F8C" w14:textId="77777777" w:rsidR="0084188A" w:rsidRPr="007E61A0" w:rsidRDefault="0084188A" w:rsidP="001F5022">
            <w:pPr>
              <w:pStyle w:val="In-tableHeading"/>
              <w:rPr>
                <w:lang w:val="en-AU"/>
              </w:rPr>
            </w:pP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5D1245E5" w14:textId="6D258F8D" w:rsidR="0084188A" w:rsidRPr="007E61A0" w:rsidRDefault="0084188A" w:rsidP="001F5022">
            <w:pPr>
              <w:pStyle w:val="In-tableHeading"/>
              <w:jc w:val="center"/>
              <w:rPr>
                <w:lang w:val="en-AU"/>
              </w:rPr>
            </w:pPr>
            <w:r w:rsidRPr="007E61A0">
              <w:rPr>
                <w:lang w:val="en-AU"/>
              </w:rPr>
              <w:t>DEUC</w:t>
            </w:r>
          </w:p>
          <w:p w14:paraId="18AE1B71" w14:textId="21103E21" w:rsidR="0084188A" w:rsidRPr="007E61A0" w:rsidRDefault="0084188A" w:rsidP="001F5022">
            <w:pPr>
              <w:pStyle w:val="In-tableHeading"/>
              <w:jc w:val="center"/>
              <w:rPr>
                <w:lang w:val="en-AU"/>
              </w:rPr>
            </w:pPr>
            <w:r w:rsidRPr="007E61A0">
              <w:rPr>
                <w:lang w:val="en-AU"/>
              </w:rPr>
              <w:t>n/N</w:t>
            </w:r>
          </w:p>
        </w:tc>
        <w:tc>
          <w:tcPr>
            <w:tcW w:w="708" w:type="pct"/>
            <w:vMerge w:val="restart"/>
            <w:tcBorders>
              <w:top w:val="single" w:sz="4" w:space="0" w:color="auto"/>
              <w:left w:val="single" w:sz="4" w:space="0" w:color="auto"/>
              <w:right w:val="single" w:sz="4" w:space="0" w:color="auto"/>
            </w:tcBorders>
            <w:vAlign w:val="center"/>
          </w:tcPr>
          <w:p w14:paraId="024DCE50" w14:textId="77777777" w:rsidR="0084188A" w:rsidRPr="007E61A0" w:rsidRDefault="0084188A" w:rsidP="001F5022">
            <w:pPr>
              <w:pStyle w:val="In-tableHeading"/>
              <w:jc w:val="center"/>
              <w:rPr>
                <w:lang w:val="en-AU"/>
              </w:rPr>
            </w:pPr>
            <w:r w:rsidRPr="007E61A0">
              <w:rPr>
                <w:lang w:val="en-AU"/>
              </w:rPr>
              <w:t>APM</w:t>
            </w:r>
          </w:p>
          <w:p w14:paraId="3087DD90" w14:textId="7DF08663" w:rsidR="0084188A" w:rsidRPr="007E61A0" w:rsidRDefault="0084188A" w:rsidP="001F5022">
            <w:pPr>
              <w:pStyle w:val="In-tableHeading"/>
              <w:jc w:val="center"/>
              <w:rPr>
                <w:lang w:val="en-AU"/>
              </w:rPr>
            </w:pPr>
            <w:r w:rsidRPr="007E61A0">
              <w:rPr>
                <w:lang w:val="en-AU"/>
              </w:rPr>
              <w:t>n/N</w:t>
            </w:r>
          </w:p>
        </w:tc>
        <w:tc>
          <w:tcPr>
            <w:tcW w:w="1181" w:type="pct"/>
            <w:gridSpan w:val="2"/>
            <w:tcBorders>
              <w:top w:val="single" w:sz="4" w:space="0" w:color="auto"/>
              <w:left w:val="single" w:sz="4" w:space="0" w:color="auto"/>
              <w:bottom w:val="single" w:sz="4" w:space="0" w:color="auto"/>
              <w:right w:val="single" w:sz="4" w:space="0" w:color="auto"/>
            </w:tcBorders>
            <w:vAlign w:val="center"/>
          </w:tcPr>
          <w:p w14:paraId="2D89440A" w14:textId="2DF38752" w:rsidR="0084188A" w:rsidRPr="007E61A0" w:rsidRDefault="0084188A" w:rsidP="001F5022">
            <w:pPr>
              <w:pStyle w:val="In-tableHeading"/>
              <w:jc w:val="center"/>
              <w:rPr>
                <w:lang w:val="en-AU"/>
              </w:rPr>
            </w:pPr>
            <w:r w:rsidRPr="007E61A0">
              <w:rPr>
                <w:lang w:val="en-AU"/>
              </w:rPr>
              <w:t>Event rate/100 patients/16 weeks*</w:t>
            </w:r>
          </w:p>
        </w:tc>
        <w:tc>
          <w:tcPr>
            <w:tcW w:w="1230" w:type="pct"/>
            <w:vMerge w:val="restart"/>
            <w:tcBorders>
              <w:top w:val="single" w:sz="4" w:space="0" w:color="auto"/>
              <w:left w:val="single" w:sz="4" w:space="0" w:color="auto"/>
              <w:right w:val="single" w:sz="4" w:space="0" w:color="auto"/>
            </w:tcBorders>
            <w:vAlign w:val="center"/>
          </w:tcPr>
          <w:p w14:paraId="23541255" w14:textId="3EC8A3F4" w:rsidR="0084188A" w:rsidRPr="007E61A0" w:rsidRDefault="0084188A" w:rsidP="001F5022">
            <w:pPr>
              <w:pStyle w:val="In-tableHeading"/>
              <w:jc w:val="center"/>
              <w:rPr>
                <w:lang w:val="en-AU"/>
              </w:rPr>
            </w:pPr>
            <w:r w:rsidRPr="007E61A0">
              <w:rPr>
                <w:lang w:val="en-AU"/>
              </w:rPr>
              <w:t>RD</w:t>
            </w:r>
            <w:r w:rsidR="00D47444">
              <w:rPr>
                <w:lang w:val="en-AU"/>
              </w:rPr>
              <w:t xml:space="preserve"> </w:t>
            </w:r>
            <w:r w:rsidRPr="007E61A0">
              <w:rPr>
                <w:lang w:val="en-AU"/>
              </w:rPr>
              <w:t>(95% CI)</w:t>
            </w:r>
          </w:p>
        </w:tc>
      </w:tr>
      <w:tr w:rsidR="0084188A" w:rsidRPr="007E61A0" w14:paraId="479B77C6" w14:textId="6B501B65" w:rsidTr="00D47444">
        <w:trPr>
          <w:trHeight w:val="64"/>
        </w:trPr>
        <w:tc>
          <w:tcPr>
            <w:tcW w:w="1096" w:type="pct"/>
            <w:vMerge/>
            <w:tcBorders>
              <w:top w:val="single" w:sz="4" w:space="0" w:color="auto"/>
              <w:left w:val="single" w:sz="4" w:space="0" w:color="auto"/>
              <w:bottom w:val="double" w:sz="4" w:space="0" w:color="auto"/>
              <w:right w:val="single" w:sz="4" w:space="0" w:color="auto"/>
            </w:tcBorders>
            <w:shd w:val="clear" w:color="auto" w:fill="auto"/>
            <w:vAlign w:val="center"/>
          </w:tcPr>
          <w:p w14:paraId="6BA6A81F" w14:textId="77777777" w:rsidR="0084188A" w:rsidRPr="007E61A0" w:rsidRDefault="0084188A" w:rsidP="001F5022">
            <w:pPr>
              <w:pStyle w:val="In-tableHeading"/>
              <w:rPr>
                <w:lang w:val="en-AU"/>
              </w:rPr>
            </w:pPr>
          </w:p>
        </w:tc>
        <w:tc>
          <w:tcPr>
            <w:tcW w:w="785" w:type="pct"/>
            <w:vMerge/>
            <w:tcBorders>
              <w:top w:val="single" w:sz="4" w:space="0" w:color="auto"/>
              <w:left w:val="single" w:sz="4" w:space="0" w:color="auto"/>
              <w:bottom w:val="double" w:sz="4" w:space="0" w:color="auto"/>
              <w:right w:val="single" w:sz="4" w:space="0" w:color="auto"/>
            </w:tcBorders>
            <w:vAlign w:val="center"/>
          </w:tcPr>
          <w:p w14:paraId="738CA751" w14:textId="77777777" w:rsidR="0084188A" w:rsidRPr="007E61A0" w:rsidRDefault="0084188A" w:rsidP="001F5022">
            <w:pPr>
              <w:pStyle w:val="In-tableHeading"/>
              <w:rPr>
                <w:lang w:val="en-AU"/>
              </w:rPr>
            </w:pPr>
          </w:p>
        </w:tc>
        <w:tc>
          <w:tcPr>
            <w:tcW w:w="708" w:type="pct"/>
            <w:vMerge/>
            <w:tcBorders>
              <w:left w:val="single" w:sz="4" w:space="0" w:color="auto"/>
              <w:bottom w:val="double" w:sz="4" w:space="0" w:color="auto"/>
              <w:right w:val="single" w:sz="4" w:space="0" w:color="auto"/>
            </w:tcBorders>
            <w:vAlign w:val="center"/>
          </w:tcPr>
          <w:p w14:paraId="5D0C185E" w14:textId="77777777" w:rsidR="0084188A" w:rsidRPr="007E61A0" w:rsidRDefault="0084188A" w:rsidP="001F5022">
            <w:pPr>
              <w:pStyle w:val="In-tableHeading"/>
              <w:jc w:val="center"/>
              <w:rPr>
                <w:lang w:val="en-AU"/>
              </w:rPr>
            </w:pPr>
          </w:p>
        </w:tc>
        <w:tc>
          <w:tcPr>
            <w:tcW w:w="709" w:type="pct"/>
            <w:tcBorders>
              <w:top w:val="single" w:sz="4" w:space="0" w:color="auto"/>
              <w:left w:val="single" w:sz="4" w:space="0" w:color="auto"/>
              <w:bottom w:val="double" w:sz="4" w:space="0" w:color="auto"/>
              <w:right w:val="single" w:sz="4" w:space="0" w:color="auto"/>
            </w:tcBorders>
            <w:vAlign w:val="center"/>
          </w:tcPr>
          <w:p w14:paraId="6C5E3022" w14:textId="674BABD6" w:rsidR="0084188A" w:rsidRPr="007E61A0" w:rsidRDefault="0084188A" w:rsidP="001F5022">
            <w:pPr>
              <w:pStyle w:val="In-tableHeading"/>
              <w:jc w:val="center"/>
              <w:rPr>
                <w:lang w:val="en-AU"/>
              </w:rPr>
            </w:pPr>
            <w:r w:rsidRPr="007E61A0">
              <w:rPr>
                <w:lang w:val="en-AU"/>
              </w:rPr>
              <w:t>DEUC</w:t>
            </w:r>
          </w:p>
        </w:tc>
        <w:tc>
          <w:tcPr>
            <w:tcW w:w="472" w:type="pct"/>
            <w:tcBorders>
              <w:top w:val="single" w:sz="4" w:space="0" w:color="auto"/>
              <w:left w:val="single" w:sz="4" w:space="0" w:color="auto"/>
              <w:bottom w:val="double" w:sz="4" w:space="0" w:color="auto"/>
              <w:right w:val="single" w:sz="4" w:space="0" w:color="auto"/>
            </w:tcBorders>
            <w:vAlign w:val="center"/>
          </w:tcPr>
          <w:p w14:paraId="0B50134F" w14:textId="55072429" w:rsidR="0084188A" w:rsidRPr="007E61A0" w:rsidRDefault="0084188A" w:rsidP="001F5022">
            <w:pPr>
              <w:pStyle w:val="In-tableHeading"/>
              <w:jc w:val="center"/>
              <w:rPr>
                <w:lang w:val="en-AU"/>
              </w:rPr>
            </w:pPr>
            <w:r w:rsidRPr="007E61A0">
              <w:rPr>
                <w:lang w:val="en-AU"/>
              </w:rPr>
              <w:t>APM</w:t>
            </w:r>
          </w:p>
        </w:tc>
        <w:tc>
          <w:tcPr>
            <w:tcW w:w="1230" w:type="pct"/>
            <w:vMerge/>
            <w:tcBorders>
              <w:left w:val="single" w:sz="4" w:space="0" w:color="auto"/>
              <w:bottom w:val="double" w:sz="4" w:space="0" w:color="auto"/>
              <w:right w:val="single" w:sz="4" w:space="0" w:color="auto"/>
            </w:tcBorders>
            <w:vAlign w:val="center"/>
          </w:tcPr>
          <w:p w14:paraId="7B37EDB2" w14:textId="77777777" w:rsidR="0084188A" w:rsidRPr="007E61A0" w:rsidRDefault="0084188A" w:rsidP="001F5022">
            <w:pPr>
              <w:pStyle w:val="In-tableHeading"/>
              <w:rPr>
                <w:lang w:val="en-AU"/>
              </w:rPr>
            </w:pPr>
          </w:p>
        </w:tc>
      </w:tr>
      <w:tr w:rsidR="001F5022" w:rsidRPr="007E61A0" w14:paraId="1290D3E1" w14:textId="2BA6B72F" w:rsidTr="00290375">
        <w:tc>
          <w:tcPr>
            <w:tcW w:w="5000" w:type="pct"/>
            <w:gridSpan w:val="6"/>
            <w:tcBorders>
              <w:top w:val="double" w:sz="4" w:space="0" w:color="auto"/>
              <w:left w:val="single" w:sz="4" w:space="0" w:color="auto"/>
              <w:bottom w:val="single" w:sz="4" w:space="0" w:color="auto"/>
              <w:right w:val="single" w:sz="4" w:space="0" w:color="auto"/>
            </w:tcBorders>
          </w:tcPr>
          <w:p w14:paraId="35CE40BE" w14:textId="17F479DF" w:rsidR="001F5022" w:rsidRPr="007E61A0" w:rsidRDefault="001F5022" w:rsidP="001F5022">
            <w:pPr>
              <w:pStyle w:val="In-tableHeading"/>
              <w:jc w:val="both"/>
              <w:rPr>
                <w:lang w:val="en-AU"/>
              </w:rPr>
            </w:pPr>
            <w:r w:rsidRPr="007E61A0">
              <w:rPr>
                <w:lang w:val="en-AU"/>
              </w:rPr>
              <w:t>Infection</w:t>
            </w:r>
          </w:p>
        </w:tc>
      </w:tr>
      <w:tr w:rsidR="0084188A" w:rsidRPr="007E61A0" w14:paraId="572E193B" w14:textId="44969B7B" w:rsidTr="00D47444">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591D19B5" w14:textId="4EC6C61C" w:rsidR="0084188A" w:rsidRPr="007E61A0" w:rsidRDefault="0084188A" w:rsidP="001F5022">
            <w:pPr>
              <w:pStyle w:val="TableText0"/>
            </w:pPr>
            <w:r w:rsidRPr="007E61A0">
              <w:t>Meta-analysis</w:t>
            </w:r>
          </w:p>
        </w:tc>
        <w:tc>
          <w:tcPr>
            <w:tcW w:w="785" w:type="pct"/>
            <w:tcBorders>
              <w:top w:val="single" w:sz="4" w:space="0" w:color="auto"/>
              <w:right w:val="single" w:sz="4" w:space="0" w:color="auto"/>
            </w:tcBorders>
            <w:shd w:val="clear" w:color="auto" w:fill="auto"/>
            <w:vAlign w:val="center"/>
          </w:tcPr>
          <w:p w14:paraId="4C700CB8" w14:textId="3FB0E810" w:rsidR="0084188A" w:rsidRPr="007E61A0" w:rsidRDefault="0084188A" w:rsidP="001F5022">
            <w:pPr>
              <w:pStyle w:val="TableText0"/>
              <w:jc w:val="center"/>
            </w:pPr>
            <w:r w:rsidRPr="007E61A0">
              <w:t>6/842</w:t>
            </w:r>
          </w:p>
        </w:tc>
        <w:tc>
          <w:tcPr>
            <w:tcW w:w="708" w:type="pct"/>
            <w:tcBorders>
              <w:top w:val="single" w:sz="4" w:space="0" w:color="auto"/>
              <w:left w:val="single" w:sz="4" w:space="0" w:color="auto"/>
              <w:right w:val="single" w:sz="4" w:space="0" w:color="auto"/>
            </w:tcBorders>
            <w:shd w:val="clear" w:color="auto" w:fill="auto"/>
            <w:vAlign w:val="center"/>
          </w:tcPr>
          <w:p w14:paraId="4825B13D" w14:textId="7AA5DEE6" w:rsidR="0084188A" w:rsidRPr="007E61A0" w:rsidRDefault="0084188A" w:rsidP="001F5022">
            <w:pPr>
              <w:pStyle w:val="TableText0"/>
              <w:jc w:val="center"/>
            </w:pPr>
            <w:r w:rsidRPr="007E61A0">
              <w:t>1/422</w:t>
            </w:r>
          </w:p>
        </w:tc>
        <w:tc>
          <w:tcPr>
            <w:tcW w:w="709" w:type="pct"/>
            <w:tcBorders>
              <w:top w:val="single" w:sz="4" w:space="0" w:color="auto"/>
              <w:left w:val="single" w:sz="4" w:space="0" w:color="auto"/>
              <w:bottom w:val="single" w:sz="4" w:space="0" w:color="auto"/>
              <w:right w:val="single" w:sz="4" w:space="0" w:color="auto"/>
            </w:tcBorders>
            <w:vAlign w:val="center"/>
          </w:tcPr>
          <w:p w14:paraId="56FA6411" w14:textId="30A34C60" w:rsidR="0084188A" w:rsidRPr="007E61A0" w:rsidRDefault="0084188A" w:rsidP="001F5022">
            <w:pPr>
              <w:pStyle w:val="TableText0"/>
              <w:jc w:val="center"/>
            </w:pPr>
            <w:r w:rsidRPr="007E61A0">
              <w:t>0.7</w:t>
            </w:r>
          </w:p>
        </w:tc>
        <w:tc>
          <w:tcPr>
            <w:tcW w:w="472" w:type="pct"/>
            <w:tcBorders>
              <w:top w:val="single" w:sz="4" w:space="0" w:color="auto"/>
              <w:left w:val="single" w:sz="4" w:space="0" w:color="auto"/>
              <w:bottom w:val="single" w:sz="4" w:space="0" w:color="auto"/>
              <w:right w:val="single" w:sz="4" w:space="0" w:color="auto"/>
            </w:tcBorders>
            <w:vAlign w:val="center"/>
          </w:tcPr>
          <w:p w14:paraId="5EDDCB36" w14:textId="5F61E179" w:rsidR="0084188A" w:rsidRPr="007E61A0" w:rsidRDefault="0084188A" w:rsidP="001F5022">
            <w:pPr>
              <w:pStyle w:val="TableText0"/>
              <w:jc w:val="center"/>
            </w:pPr>
            <w:r w:rsidRPr="007E61A0">
              <w:t>0.2</w:t>
            </w:r>
          </w:p>
        </w:tc>
        <w:tc>
          <w:tcPr>
            <w:tcW w:w="1230" w:type="pct"/>
            <w:tcBorders>
              <w:top w:val="single" w:sz="4" w:space="0" w:color="auto"/>
              <w:left w:val="single" w:sz="4" w:space="0" w:color="auto"/>
              <w:bottom w:val="single" w:sz="4" w:space="0" w:color="auto"/>
              <w:right w:val="single" w:sz="4" w:space="0" w:color="auto"/>
            </w:tcBorders>
            <w:vAlign w:val="center"/>
          </w:tcPr>
          <w:p w14:paraId="60D78B15" w14:textId="7822AB2E" w:rsidR="0084188A" w:rsidRPr="007E61A0" w:rsidRDefault="0084188A" w:rsidP="001F5022">
            <w:pPr>
              <w:pStyle w:val="TableText0"/>
              <w:jc w:val="center"/>
            </w:pPr>
            <w:r w:rsidRPr="007E61A0">
              <w:t>0.00</w:t>
            </w:r>
            <w:r w:rsidR="00D47444">
              <w:t xml:space="preserve"> </w:t>
            </w:r>
            <w:r w:rsidRPr="007E61A0">
              <w:t>(-0.00, 0.01)</w:t>
            </w:r>
          </w:p>
        </w:tc>
      </w:tr>
      <w:tr w:rsidR="008D28E7" w:rsidRPr="007E61A0" w14:paraId="34126315" w14:textId="77777777" w:rsidTr="008D28E7">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26658B" w14:textId="22B874AF" w:rsidR="008D28E7" w:rsidRPr="007E61A0" w:rsidRDefault="008D28E7" w:rsidP="008D28E7">
            <w:pPr>
              <w:pStyle w:val="TableText0"/>
              <w:rPr>
                <w:b/>
                <w:bCs w:val="0"/>
              </w:rPr>
            </w:pPr>
            <w:r w:rsidRPr="007E61A0">
              <w:rPr>
                <w:b/>
                <w:bCs w:val="0"/>
              </w:rPr>
              <w:t>Gastrointestinal disorders</w:t>
            </w:r>
          </w:p>
        </w:tc>
      </w:tr>
      <w:tr w:rsidR="0084188A" w:rsidRPr="007E61A0" w14:paraId="67234772" w14:textId="77777777" w:rsidTr="00D47444">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1ABE7B3F" w14:textId="184F65A2" w:rsidR="0084188A" w:rsidRPr="007E61A0" w:rsidRDefault="0084188A" w:rsidP="008D28E7">
            <w:pPr>
              <w:pStyle w:val="TableText0"/>
            </w:pPr>
            <w:r w:rsidRPr="007E61A0">
              <w:t>Meta-analysis</w:t>
            </w:r>
          </w:p>
        </w:tc>
        <w:tc>
          <w:tcPr>
            <w:tcW w:w="785" w:type="pct"/>
            <w:tcBorders>
              <w:top w:val="single" w:sz="4" w:space="0" w:color="auto"/>
              <w:right w:val="single" w:sz="4" w:space="0" w:color="auto"/>
            </w:tcBorders>
            <w:shd w:val="clear" w:color="auto" w:fill="auto"/>
            <w:vAlign w:val="center"/>
          </w:tcPr>
          <w:p w14:paraId="188AE858" w14:textId="718A7983" w:rsidR="0084188A" w:rsidRPr="007E61A0" w:rsidRDefault="0084188A" w:rsidP="008D28E7">
            <w:pPr>
              <w:pStyle w:val="TableText0"/>
              <w:jc w:val="center"/>
            </w:pPr>
            <w:r w:rsidRPr="007E61A0">
              <w:t>101/842</w:t>
            </w:r>
          </w:p>
        </w:tc>
        <w:tc>
          <w:tcPr>
            <w:tcW w:w="708" w:type="pct"/>
            <w:tcBorders>
              <w:top w:val="single" w:sz="4" w:space="0" w:color="auto"/>
              <w:left w:val="single" w:sz="4" w:space="0" w:color="auto"/>
              <w:right w:val="single" w:sz="4" w:space="0" w:color="auto"/>
            </w:tcBorders>
            <w:shd w:val="clear" w:color="auto" w:fill="auto"/>
            <w:vAlign w:val="center"/>
          </w:tcPr>
          <w:p w14:paraId="3946FB48" w14:textId="49EC51D5" w:rsidR="0084188A" w:rsidRPr="007E61A0" w:rsidRDefault="0084188A" w:rsidP="008D28E7">
            <w:pPr>
              <w:pStyle w:val="TableText0"/>
              <w:jc w:val="center"/>
            </w:pPr>
            <w:r w:rsidRPr="007E61A0">
              <w:t>109/422</w:t>
            </w:r>
          </w:p>
        </w:tc>
        <w:tc>
          <w:tcPr>
            <w:tcW w:w="709" w:type="pct"/>
            <w:tcBorders>
              <w:top w:val="single" w:sz="4" w:space="0" w:color="auto"/>
              <w:left w:val="single" w:sz="4" w:space="0" w:color="auto"/>
              <w:bottom w:val="single" w:sz="4" w:space="0" w:color="auto"/>
              <w:right w:val="single" w:sz="4" w:space="0" w:color="auto"/>
            </w:tcBorders>
            <w:vAlign w:val="center"/>
          </w:tcPr>
          <w:p w14:paraId="7322BD30" w14:textId="404384B1" w:rsidR="0084188A" w:rsidRPr="007E61A0" w:rsidRDefault="0084188A" w:rsidP="008D28E7">
            <w:pPr>
              <w:pStyle w:val="TableText0"/>
              <w:jc w:val="center"/>
            </w:pPr>
            <w:r w:rsidRPr="007E61A0">
              <w:t>12.0</w:t>
            </w:r>
          </w:p>
        </w:tc>
        <w:tc>
          <w:tcPr>
            <w:tcW w:w="472" w:type="pct"/>
            <w:tcBorders>
              <w:top w:val="single" w:sz="4" w:space="0" w:color="auto"/>
              <w:left w:val="single" w:sz="4" w:space="0" w:color="auto"/>
              <w:bottom w:val="single" w:sz="4" w:space="0" w:color="auto"/>
              <w:right w:val="single" w:sz="4" w:space="0" w:color="auto"/>
            </w:tcBorders>
            <w:vAlign w:val="center"/>
          </w:tcPr>
          <w:p w14:paraId="16C0D7F2" w14:textId="7E23D890" w:rsidR="0084188A" w:rsidRPr="007E61A0" w:rsidRDefault="0084188A" w:rsidP="008D28E7">
            <w:pPr>
              <w:pStyle w:val="TableText0"/>
              <w:jc w:val="center"/>
            </w:pPr>
            <w:r w:rsidRPr="007E61A0">
              <w:t>25.8</w:t>
            </w:r>
          </w:p>
        </w:tc>
        <w:tc>
          <w:tcPr>
            <w:tcW w:w="1230" w:type="pct"/>
            <w:tcBorders>
              <w:top w:val="single" w:sz="4" w:space="0" w:color="auto"/>
              <w:left w:val="single" w:sz="4" w:space="0" w:color="auto"/>
              <w:bottom w:val="single" w:sz="4" w:space="0" w:color="auto"/>
              <w:right w:val="single" w:sz="4" w:space="0" w:color="auto"/>
            </w:tcBorders>
            <w:vAlign w:val="center"/>
          </w:tcPr>
          <w:p w14:paraId="7F291BFA" w14:textId="4F4D7811" w:rsidR="0084188A" w:rsidRPr="007E61A0" w:rsidRDefault="0084188A" w:rsidP="008D28E7">
            <w:pPr>
              <w:pStyle w:val="TableText0"/>
              <w:jc w:val="center"/>
            </w:pPr>
            <w:r w:rsidRPr="007E61A0">
              <w:t>-0.14 (-0.19, -0.09)</w:t>
            </w:r>
          </w:p>
        </w:tc>
      </w:tr>
      <w:tr w:rsidR="008D28E7" w:rsidRPr="007E61A0" w14:paraId="757277C4" w14:textId="77777777" w:rsidTr="00734BE8">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2FD7B0" w14:textId="25838BF6" w:rsidR="008D28E7" w:rsidRPr="007E61A0" w:rsidRDefault="008D28E7" w:rsidP="008D28E7">
            <w:pPr>
              <w:pStyle w:val="TableText0"/>
              <w:rPr>
                <w:b/>
                <w:bCs w:val="0"/>
              </w:rPr>
            </w:pPr>
            <w:r w:rsidRPr="007E61A0">
              <w:rPr>
                <w:b/>
                <w:bCs w:val="0"/>
              </w:rPr>
              <w:t>Depression</w:t>
            </w:r>
          </w:p>
        </w:tc>
      </w:tr>
      <w:tr w:rsidR="0084188A" w:rsidRPr="007E61A0" w14:paraId="5F674110" w14:textId="77777777" w:rsidTr="00D47444">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628C0F99" w14:textId="590C6CB3" w:rsidR="0084188A" w:rsidRPr="007E61A0" w:rsidRDefault="0084188A" w:rsidP="008D28E7">
            <w:pPr>
              <w:pStyle w:val="TableText0"/>
            </w:pPr>
            <w:r w:rsidRPr="007E61A0">
              <w:t>Meta-analysis</w:t>
            </w:r>
          </w:p>
        </w:tc>
        <w:tc>
          <w:tcPr>
            <w:tcW w:w="785" w:type="pct"/>
            <w:tcBorders>
              <w:top w:val="single" w:sz="4" w:space="0" w:color="auto"/>
              <w:bottom w:val="single" w:sz="4" w:space="0" w:color="auto"/>
              <w:right w:val="single" w:sz="4" w:space="0" w:color="auto"/>
            </w:tcBorders>
            <w:shd w:val="clear" w:color="auto" w:fill="auto"/>
            <w:vAlign w:val="center"/>
          </w:tcPr>
          <w:p w14:paraId="323F5B8A" w14:textId="0049C77A" w:rsidR="0084188A" w:rsidRPr="007E61A0" w:rsidRDefault="0084188A" w:rsidP="008D28E7">
            <w:pPr>
              <w:pStyle w:val="TableText0"/>
              <w:jc w:val="center"/>
            </w:pPr>
            <w:r w:rsidRPr="007E61A0">
              <w:t>5/842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FC1FB59" w14:textId="21E49D4E" w:rsidR="0084188A" w:rsidRPr="007E61A0" w:rsidRDefault="0084188A" w:rsidP="008D28E7">
            <w:pPr>
              <w:pStyle w:val="TableText0"/>
              <w:jc w:val="center"/>
            </w:pPr>
            <w:r w:rsidRPr="007E61A0">
              <w:t>0/422</w:t>
            </w:r>
          </w:p>
        </w:tc>
        <w:tc>
          <w:tcPr>
            <w:tcW w:w="709" w:type="pct"/>
            <w:tcBorders>
              <w:top w:val="single" w:sz="4" w:space="0" w:color="auto"/>
              <w:left w:val="single" w:sz="4" w:space="0" w:color="auto"/>
              <w:bottom w:val="single" w:sz="4" w:space="0" w:color="auto"/>
              <w:right w:val="single" w:sz="4" w:space="0" w:color="auto"/>
            </w:tcBorders>
            <w:vAlign w:val="center"/>
          </w:tcPr>
          <w:p w14:paraId="1FD43956" w14:textId="21F78FB8" w:rsidR="0084188A" w:rsidRPr="007E61A0" w:rsidRDefault="0084188A" w:rsidP="008D28E7">
            <w:pPr>
              <w:pStyle w:val="TableText0"/>
              <w:jc w:val="center"/>
            </w:pPr>
            <w:r w:rsidRPr="007E61A0">
              <w:t>0.6</w:t>
            </w:r>
          </w:p>
        </w:tc>
        <w:tc>
          <w:tcPr>
            <w:tcW w:w="472" w:type="pct"/>
            <w:tcBorders>
              <w:top w:val="single" w:sz="4" w:space="0" w:color="auto"/>
              <w:left w:val="single" w:sz="4" w:space="0" w:color="auto"/>
              <w:bottom w:val="single" w:sz="4" w:space="0" w:color="auto"/>
              <w:right w:val="single" w:sz="4" w:space="0" w:color="auto"/>
            </w:tcBorders>
            <w:vAlign w:val="center"/>
          </w:tcPr>
          <w:p w14:paraId="2BA84DF8" w14:textId="77E75DB6" w:rsidR="0084188A" w:rsidRPr="007E61A0" w:rsidRDefault="0084188A" w:rsidP="008D28E7">
            <w:pPr>
              <w:pStyle w:val="TableText0"/>
              <w:jc w:val="center"/>
            </w:pPr>
            <w:r w:rsidRPr="007E61A0">
              <w:t>0.0</w:t>
            </w:r>
          </w:p>
        </w:tc>
        <w:tc>
          <w:tcPr>
            <w:tcW w:w="1230" w:type="pct"/>
            <w:tcBorders>
              <w:top w:val="single" w:sz="4" w:space="0" w:color="auto"/>
              <w:left w:val="single" w:sz="4" w:space="0" w:color="auto"/>
              <w:bottom w:val="single" w:sz="4" w:space="0" w:color="auto"/>
              <w:right w:val="single" w:sz="4" w:space="0" w:color="auto"/>
            </w:tcBorders>
            <w:vAlign w:val="center"/>
          </w:tcPr>
          <w:p w14:paraId="72C3DFA2" w14:textId="6A03FC70" w:rsidR="0084188A" w:rsidRPr="007E61A0" w:rsidRDefault="0084188A" w:rsidP="008D28E7">
            <w:pPr>
              <w:pStyle w:val="TableText0"/>
              <w:jc w:val="center"/>
            </w:pPr>
            <w:r w:rsidRPr="007E61A0">
              <w:t>0.01</w:t>
            </w:r>
            <w:r w:rsidR="00D47444">
              <w:t xml:space="preserve"> </w:t>
            </w:r>
            <w:r w:rsidRPr="007E61A0">
              <w:t>(-0.00, 0.01)</w:t>
            </w:r>
          </w:p>
        </w:tc>
      </w:tr>
    </w:tbl>
    <w:p w14:paraId="6E2286D0" w14:textId="5A972419" w:rsidR="00620C25" w:rsidRPr="007E61A0" w:rsidRDefault="00620C25" w:rsidP="00620C25">
      <w:pPr>
        <w:pStyle w:val="FooterTableFigure"/>
        <w:rPr>
          <w:sz w:val="20"/>
        </w:rPr>
      </w:pPr>
      <w:r w:rsidRPr="007E61A0">
        <w:t>Source: Table</w:t>
      </w:r>
      <w:r w:rsidR="00F2208B" w:rsidRPr="007E61A0">
        <w:t xml:space="preserve">s </w:t>
      </w:r>
      <w:r w:rsidR="00766183" w:rsidRPr="007E61A0">
        <w:t xml:space="preserve">27, </w:t>
      </w:r>
      <w:r w:rsidR="00F2208B" w:rsidRPr="007E61A0">
        <w:t>28</w:t>
      </w:r>
      <w:r w:rsidR="00766183" w:rsidRPr="007E61A0">
        <w:t>, 34 &amp; 39,</w:t>
      </w:r>
      <w:r w:rsidRPr="007E61A0">
        <w:t xml:space="preserve"> pp</w:t>
      </w:r>
      <w:r w:rsidR="00766183" w:rsidRPr="007E61A0">
        <w:t xml:space="preserve">64, </w:t>
      </w:r>
      <w:r w:rsidR="00F2208B" w:rsidRPr="007E61A0">
        <w:t>65</w:t>
      </w:r>
      <w:r w:rsidR="00766183" w:rsidRPr="007E61A0">
        <w:t>, 71 &amp; 87-90</w:t>
      </w:r>
      <w:r w:rsidRPr="007E61A0">
        <w:t xml:space="preserve"> of the submission.</w:t>
      </w:r>
    </w:p>
    <w:p w14:paraId="67D9843F" w14:textId="1A8F1121" w:rsidR="00620C25" w:rsidRPr="007E61A0" w:rsidRDefault="006B7DFC" w:rsidP="00620C25">
      <w:pPr>
        <w:pStyle w:val="FooterTableFigure"/>
        <w:rPr>
          <w:b/>
          <w:bCs/>
        </w:rPr>
      </w:pPr>
      <w:r w:rsidRPr="007E61A0">
        <w:t>APM = apremilast; DEUC = deucravacitinib;</w:t>
      </w:r>
      <w:r w:rsidR="00AB38E0" w:rsidRPr="007E61A0">
        <w:t xml:space="preserve"> DLQI = dermatology life quality index;</w:t>
      </w:r>
      <w:r w:rsidRPr="007E61A0">
        <w:t xml:space="preserve"> </w:t>
      </w:r>
      <w:r w:rsidR="00620C25" w:rsidRPr="007E61A0">
        <w:t xml:space="preserve">HR = hazard ratio; </w:t>
      </w:r>
      <w:r w:rsidR="00AB38E0" w:rsidRPr="007E61A0">
        <w:t xml:space="preserve">PASI, Psoriasis Area and Severity Index; </w:t>
      </w:r>
      <w:r w:rsidR="00620C25" w:rsidRPr="007E61A0">
        <w:t>RD = risk difference; RR = risk ratio</w:t>
      </w:r>
      <w:r w:rsidR="00AB38E0" w:rsidRPr="007E61A0">
        <w:t>; sPGA, static Physician’s Global Assessment.</w:t>
      </w:r>
      <w:r w:rsidR="007434DC" w:rsidRPr="007E61A0">
        <w:t xml:space="preserve"> </w:t>
      </w:r>
      <w:r w:rsidR="007434DC" w:rsidRPr="007E61A0">
        <w:rPr>
          <w:rFonts w:eastAsia="Calibri"/>
          <w:b/>
        </w:rPr>
        <w:t>Bold</w:t>
      </w:r>
      <w:r w:rsidR="007434DC" w:rsidRPr="007E61A0">
        <w:rPr>
          <w:rFonts w:eastAsia="Calibri"/>
        </w:rPr>
        <w:t xml:space="preserve"> indicates statistically significant results.</w:t>
      </w:r>
    </w:p>
    <w:p w14:paraId="1EB63D1C" w14:textId="0209A97D" w:rsidR="00B62715" w:rsidRPr="007E61A0" w:rsidRDefault="00B62715" w:rsidP="00D2155B">
      <w:pPr>
        <w:pStyle w:val="FooterTableFigure"/>
      </w:pPr>
      <w:r w:rsidRPr="007E61A0">
        <w:t xml:space="preserve">* </w:t>
      </w:r>
      <w:r w:rsidR="007F1526" w:rsidRPr="007E61A0">
        <w:t>D</w:t>
      </w:r>
      <w:r w:rsidRPr="007E61A0">
        <w:t>uration of follow-up</w:t>
      </w:r>
      <w:r w:rsidR="007F1526" w:rsidRPr="007E61A0">
        <w:t>: 52 weeks in the POETYK 1 and POETYK 2 trials, event rates calculated based on results at 16 weeks.</w:t>
      </w:r>
    </w:p>
    <w:p w14:paraId="47B7DBAE" w14:textId="53BB4F4A" w:rsidR="002D5C3A" w:rsidRPr="007E61A0" w:rsidRDefault="002D5C3A" w:rsidP="00D2155B">
      <w:pPr>
        <w:pStyle w:val="FooterTableFigure"/>
      </w:pPr>
      <w:r w:rsidRPr="007E61A0">
        <w:rPr>
          <w:vertAlign w:val="superscript"/>
        </w:rPr>
        <w:t>a</w:t>
      </w:r>
      <w:r w:rsidRPr="007E61A0">
        <w:t xml:space="preserve"> Non-responder imputation was used for binary endpoints for subjects who had discontinued treatment or study prior to timepoint of comparison or had missing endpoint data at timepoint of comparison.</w:t>
      </w:r>
    </w:p>
    <w:p w14:paraId="2720AC53" w14:textId="5EBC8B63" w:rsidR="00FC1884" w:rsidRPr="007E61A0" w:rsidRDefault="00EC00C9" w:rsidP="00E9094A">
      <w:pPr>
        <w:pStyle w:val="3-BodyText"/>
      </w:pPr>
      <w:r w:rsidRPr="007E61A0">
        <w:t xml:space="preserve">On the basis of direct evidence presented by the submission, for every 100 patients treated with </w:t>
      </w:r>
      <w:r w:rsidR="00AB38E0" w:rsidRPr="007E61A0">
        <w:t xml:space="preserve">deucravacitinib </w:t>
      </w:r>
      <w:r w:rsidRPr="007E61A0">
        <w:t xml:space="preserve">in comparison </w:t>
      </w:r>
      <w:r w:rsidR="006D68FB" w:rsidRPr="007E61A0">
        <w:t xml:space="preserve">with </w:t>
      </w:r>
      <w:r w:rsidR="00AB38E0" w:rsidRPr="007E61A0">
        <w:t>apremilast</w:t>
      </w:r>
      <w:r w:rsidR="00422260" w:rsidRPr="007E61A0">
        <w:t xml:space="preserve"> over a </w:t>
      </w:r>
      <w:r w:rsidR="00AB38E0" w:rsidRPr="007E61A0">
        <w:t>16</w:t>
      </w:r>
      <w:r w:rsidR="003A6E36" w:rsidRPr="007E61A0">
        <w:t>-</w:t>
      </w:r>
      <w:r w:rsidR="00AB38E0" w:rsidRPr="007E61A0">
        <w:t>week (4 month) period:</w:t>
      </w:r>
    </w:p>
    <w:p w14:paraId="1D93E2C6" w14:textId="4A10325F" w:rsidR="00FC1884" w:rsidRPr="007E61A0" w:rsidRDefault="00FC1884" w:rsidP="00181C10">
      <w:pPr>
        <w:pStyle w:val="ListParagraph"/>
        <w:ind w:left="1134"/>
      </w:pPr>
      <w:r w:rsidRPr="007E61A0">
        <w:t>Approximately 1</w:t>
      </w:r>
      <w:r w:rsidR="00921FD6" w:rsidRPr="007E61A0">
        <w:t>8</w:t>
      </w:r>
      <w:r w:rsidRPr="007E61A0">
        <w:t xml:space="preserve"> additional patients would have </w:t>
      </w:r>
      <w:r w:rsidR="00AB38E0" w:rsidRPr="007E61A0">
        <w:t>a PASI 75 response</w:t>
      </w:r>
      <w:r w:rsidR="001C2A9B" w:rsidRPr="007E61A0">
        <w:t>.</w:t>
      </w:r>
    </w:p>
    <w:p w14:paraId="4D6F9667" w14:textId="3FE2A827" w:rsidR="00FC1884" w:rsidRPr="007E61A0" w:rsidRDefault="00FC1884" w:rsidP="00181C10">
      <w:pPr>
        <w:pStyle w:val="ListParagraph"/>
        <w:ind w:left="1134"/>
      </w:pPr>
      <w:r w:rsidRPr="007E61A0">
        <w:t xml:space="preserve">Approximately </w:t>
      </w:r>
      <w:r w:rsidR="00AB38E0" w:rsidRPr="007E61A0">
        <w:t>18 additional</w:t>
      </w:r>
      <w:r w:rsidRPr="007E61A0">
        <w:t xml:space="preserve"> patients woul</w:t>
      </w:r>
      <w:r w:rsidR="001C2A9B" w:rsidRPr="007E61A0">
        <w:t xml:space="preserve">d have </w:t>
      </w:r>
      <w:r w:rsidR="00AB38E0" w:rsidRPr="007E61A0">
        <w:t>an sPGA score of zero or one.</w:t>
      </w:r>
    </w:p>
    <w:p w14:paraId="0A4863FD" w14:textId="274DC10C" w:rsidR="003A6E36" w:rsidRPr="007E61A0" w:rsidRDefault="003A6E36" w:rsidP="00181C10">
      <w:pPr>
        <w:pStyle w:val="ListParagraph"/>
        <w:ind w:left="1134"/>
      </w:pPr>
      <w:r w:rsidRPr="007E61A0">
        <w:t>Approximately 14 additional patients would have a DLQI score of zero or one.</w:t>
      </w:r>
    </w:p>
    <w:p w14:paraId="76114D51" w14:textId="6CE9D14E" w:rsidR="00E478B6" w:rsidRPr="007E61A0" w:rsidRDefault="00E478B6" w:rsidP="00E478B6">
      <w:pPr>
        <w:pStyle w:val="ListParagraph"/>
        <w:ind w:left="1134"/>
      </w:pPr>
      <w:r w:rsidRPr="007E61A0">
        <w:t xml:space="preserve">Approximately 14 fewer patients would experience gastrointestinal disorders (such as nausea, vomiting, and diarrhoea) </w:t>
      </w:r>
    </w:p>
    <w:p w14:paraId="7A1772B6" w14:textId="23BB3145" w:rsidR="00B60939" w:rsidRPr="007E61A0" w:rsidRDefault="00B60939" w:rsidP="00E9094A">
      <w:pPr>
        <w:pStyle w:val="4-SubsectionHeading"/>
        <w:rPr>
          <w:iCs/>
        </w:rPr>
      </w:pPr>
      <w:bookmarkStart w:id="43" w:name="_Toc22897644"/>
      <w:bookmarkStart w:id="44" w:name="_Toc113968824"/>
      <w:r w:rsidRPr="007E61A0">
        <w:rPr>
          <w:iCs/>
        </w:rPr>
        <w:t>Clinical claim</w:t>
      </w:r>
      <w:bookmarkEnd w:id="43"/>
      <w:bookmarkEnd w:id="44"/>
    </w:p>
    <w:p w14:paraId="07E20A3D" w14:textId="4E0D9768" w:rsidR="001577D6" w:rsidRPr="007E61A0" w:rsidRDefault="00C62E03" w:rsidP="001577D6">
      <w:pPr>
        <w:pStyle w:val="3-BodyText"/>
        <w:rPr>
          <w:rFonts w:eastAsia="Calibri"/>
        </w:rPr>
      </w:pPr>
      <w:r w:rsidRPr="007E61A0">
        <w:rPr>
          <w:rFonts w:eastAsia="Calibri"/>
        </w:rPr>
        <w:t xml:space="preserve">The submission described deucravacitinib as superior in terms of efficacy compared with apremilast based on sPGA 0/1 score and PASI 75 at week 16. </w:t>
      </w:r>
      <w:r w:rsidR="00C75BD1" w:rsidRPr="007E61A0">
        <w:rPr>
          <w:rFonts w:eastAsia="Calibri"/>
        </w:rPr>
        <w:t>Th</w:t>
      </w:r>
      <w:r w:rsidR="006E2EF9" w:rsidRPr="007E61A0">
        <w:rPr>
          <w:rFonts w:eastAsia="Calibri"/>
        </w:rPr>
        <w:t xml:space="preserve">e ESC considered </w:t>
      </w:r>
      <w:r w:rsidR="006E2EF9" w:rsidRPr="007E61A0">
        <w:rPr>
          <w:rFonts w:eastAsia="Calibri"/>
        </w:rPr>
        <w:lastRenderedPageBreak/>
        <w:t>the</w:t>
      </w:r>
      <w:r w:rsidR="00C75BD1" w:rsidRPr="007E61A0">
        <w:rPr>
          <w:rFonts w:eastAsia="Calibri"/>
        </w:rPr>
        <w:t xml:space="preserve"> claim </w:t>
      </w:r>
      <w:r w:rsidR="00711134" w:rsidRPr="007E61A0">
        <w:rPr>
          <w:rFonts w:eastAsia="Calibri"/>
        </w:rPr>
        <w:t>was</w:t>
      </w:r>
      <w:r w:rsidR="00C75BD1" w:rsidRPr="007E61A0">
        <w:rPr>
          <w:rFonts w:eastAsia="Calibri"/>
        </w:rPr>
        <w:t xml:space="preserve"> reasonable</w:t>
      </w:r>
      <w:r w:rsidR="001577D6" w:rsidRPr="007E61A0">
        <w:rPr>
          <w:rFonts w:eastAsia="Calibri"/>
        </w:rPr>
        <w:t xml:space="preserve">. </w:t>
      </w:r>
      <w:r w:rsidR="006E2EF9" w:rsidRPr="007E61A0">
        <w:rPr>
          <w:rFonts w:eastAsia="Calibri"/>
        </w:rPr>
        <w:t xml:space="preserve">However, the ESC also considered it would be informative to assess the comparative effectiveness of deucravacitinib and PBS-listed biologics for </w:t>
      </w:r>
      <w:r w:rsidR="000A5852" w:rsidRPr="007E61A0">
        <w:rPr>
          <w:rFonts w:eastAsia="Calibri"/>
        </w:rPr>
        <w:t xml:space="preserve">severe </w:t>
      </w:r>
      <w:r w:rsidR="006E2EF9" w:rsidRPr="007E61A0">
        <w:rPr>
          <w:rFonts w:eastAsia="Calibri"/>
        </w:rPr>
        <w:t xml:space="preserve">CPP (as discussed in paragraph </w:t>
      </w:r>
      <w:r w:rsidR="007B33FA" w:rsidRPr="007E61A0">
        <w:rPr>
          <w:rFonts w:eastAsia="Calibri"/>
        </w:rPr>
        <w:fldChar w:fldCharType="begin" w:fldLock="1"/>
      </w:r>
      <w:r w:rsidR="007B33FA" w:rsidRPr="007E61A0">
        <w:rPr>
          <w:rFonts w:eastAsia="Calibri"/>
        </w:rPr>
        <w:instrText xml:space="preserve"> REF _Ref115942043 \r \h </w:instrText>
      </w:r>
      <w:r w:rsidR="003E7216" w:rsidRPr="007E61A0">
        <w:rPr>
          <w:rFonts w:eastAsia="Calibri"/>
        </w:rPr>
        <w:instrText xml:space="preserve"> \* MERGEFORMAT </w:instrText>
      </w:r>
      <w:r w:rsidR="007B33FA" w:rsidRPr="007E61A0">
        <w:rPr>
          <w:rFonts w:eastAsia="Calibri"/>
        </w:rPr>
      </w:r>
      <w:r w:rsidR="007B33FA" w:rsidRPr="007E61A0">
        <w:rPr>
          <w:rFonts w:eastAsia="Calibri"/>
        </w:rPr>
        <w:fldChar w:fldCharType="separate"/>
      </w:r>
      <w:r w:rsidR="00EC7993">
        <w:rPr>
          <w:rFonts w:eastAsia="Calibri"/>
        </w:rPr>
        <w:t>6.37</w:t>
      </w:r>
      <w:r w:rsidR="007B33FA" w:rsidRPr="007E61A0">
        <w:rPr>
          <w:rFonts w:eastAsia="Calibri"/>
        </w:rPr>
        <w:fldChar w:fldCharType="end"/>
      </w:r>
      <w:r w:rsidR="006E2EF9" w:rsidRPr="007E61A0">
        <w:rPr>
          <w:rFonts w:eastAsia="Calibri"/>
        </w:rPr>
        <w:t xml:space="preserve"> above).</w:t>
      </w:r>
    </w:p>
    <w:p w14:paraId="6B7A7531" w14:textId="296F6C89" w:rsidR="00CA4829" w:rsidRPr="007E61A0" w:rsidRDefault="006E161B" w:rsidP="001577D6">
      <w:pPr>
        <w:pStyle w:val="3-BodyText"/>
        <w:rPr>
          <w:rFonts w:eastAsia="Calibri"/>
        </w:rPr>
      </w:pPr>
      <w:bookmarkStart w:id="45" w:name="_Ref115941880"/>
      <w:r w:rsidRPr="007E61A0">
        <w:rPr>
          <w:rFonts w:eastAsia="Calibri"/>
        </w:rPr>
        <w:t>However, i</w:t>
      </w:r>
      <w:r w:rsidR="00CA4829" w:rsidRPr="007E61A0">
        <w:rPr>
          <w:rFonts w:eastAsia="Calibri"/>
        </w:rPr>
        <w:t>n the POETYK 1 and POETYK 2 trials, 39% and 32% of patients had received prior biologic therapy, respectively</w:t>
      </w:r>
      <w:r w:rsidRPr="007E61A0">
        <w:rPr>
          <w:rFonts w:eastAsia="Calibri"/>
        </w:rPr>
        <w:t>, whereas the proposed Australian clinical management algorithm positions deucravacitinib before treatment with biologics</w:t>
      </w:r>
      <w:r w:rsidR="00CA4829" w:rsidRPr="007E61A0">
        <w:rPr>
          <w:rFonts w:eastAsia="Calibri"/>
        </w:rPr>
        <w:t>. Differences between the trial populations and the proposed Australian population in terms of prior biologic therapy may limit the applicability of the trial results.</w:t>
      </w:r>
      <w:bookmarkEnd w:id="45"/>
      <w:r w:rsidR="0017144E" w:rsidRPr="007E61A0">
        <w:rPr>
          <w:rFonts w:eastAsia="Calibri"/>
        </w:rPr>
        <w:t xml:space="preserve"> The ESC considered these applicability issues result in uncertainty regarding the treatment effect that might be observed in clinical practi</w:t>
      </w:r>
      <w:r w:rsidR="004C7CA9" w:rsidRPr="007E61A0">
        <w:rPr>
          <w:rFonts w:eastAsia="Calibri"/>
        </w:rPr>
        <w:t>c</w:t>
      </w:r>
      <w:r w:rsidR="0017144E" w:rsidRPr="007E61A0">
        <w:rPr>
          <w:rFonts w:eastAsia="Calibri"/>
        </w:rPr>
        <w:t xml:space="preserve">e. </w:t>
      </w:r>
      <w:r w:rsidR="004C7CA9" w:rsidRPr="007E61A0">
        <w:rPr>
          <w:rFonts w:eastAsia="Calibri"/>
        </w:rPr>
        <w:t>The Pre-PBAC Response noted the PSCR presented additional subgroup analyses (by prior methotrexate and no prior biologic use) which indicated the treatment effect relative to apremilast was maintained in the proposed PBS population</w:t>
      </w:r>
      <w:r w:rsidR="001A6506" w:rsidRPr="007E61A0">
        <w:rPr>
          <w:rFonts w:eastAsia="Calibri"/>
        </w:rPr>
        <w:t xml:space="preserve"> (paragraph </w:t>
      </w:r>
      <w:r w:rsidR="001A6506" w:rsidRPr="007E61A0">
        <w:rPr>
          <w:rFonts w:eastAsia="Calibri"/>
        </w:rPr>
        <w:fldChar w:fldCharType="begin" w:fldLock="1"/>
      </w:r>
      <w:r w:rsidR="001A6506" w:rsidRPr="007E61A0">
        <w:rPr>
          <w:rFonts w:eastAsia="Calibri"/>
        </w:rPr>
        <w:instrText xml:space="preserve"> REF _Ref119410709 \r \h </w:instrText>
      </w:r>
      <w:r w:rsidR="001A6506" w:rsidRPr="007E61A0">
        <w:rPr>
          <w:rFonts w:eastAsia="Calibri"/>
        </w:rPr>
      </w:r>
      <w:r w:rsidR="001A6506" w:rsidRPr="007E61A0">
        <w:rPr>
          <w:rFonts w:eastAsia="Calibri"/>
        </w:rPr>
        <w:fldChar w:fldCharType="separate"/>
      </w:r>
      <w:r w:rsidR="00EC7993">
        <w:rPr>
          <w:rFonts w:eastAsia="Calibri"/>
        </w:rPr>
        <w:t>6.34</w:t>
      </w:r>
      <w:r w:rsidR="001A6506" w:rsidRPr="007E61A0">
        <w:rPr>
          <w:rFonts w:eastAsia="Calibri"/>
        </w:rPr>
        <w:fldChar w:fldCharType="end"/>
      </w:r>
      <w:r w:rsidR="001A6506" w:rsidRPr="007E61A0">
        <w:rPr>
          <w:rFonts w:eastAsia="Calibri"/>
        </w:rPr>
        <w:t xml:space="preserve"> refers)</w:t>
      </w:r>
      <w:r w:rsidR="004C7CA9" w:rsidRPr="007E61A0">
        <w:rPr>
          <w:rFonts w:eastAsia="Calibri"/>
        </w:rPr>
        <w:t>.</w:t>
      </w:r>
    </w:p>
    <w:p w14:paraId="0C60B844" w14:textId="336A2C8B" w:rsidR="00FA6969" w:rsidRPr="007E61A0" w:rsidRDefault="00C62E03" w:rsidP="00FA6969">
      <w:pPr>
        <w:pStyle w:val="3-BodyText"/>
        <w:rPr>
          <w:rFonts w:eastAsia="Calibri"/>
        </w:rPr>
      </w:pPr>
      <w:r w:rsidRPr="007E61A0">
        <w:rPr>
          <w:rFonts w:eastAsia="Calibri"/>
        </w:rPr>
        <w:t>The submission described deucravacitinib as non-inferior in terms of safety compared to apremilast based on safety outcomes. Th</w:t>
      </w:r>
      <w:r w:rsidR="00711134" w:rsidRPr="007E61A0">
        <w:rPr>
          <w:rFonts w:eastAsia="Calibri"/>
        </w:rPr>
        <w:t>e</w:t>
      </w:r>
      <w:r w:rsidRPr="007E61A0">
        <w:rPr>
          <w:rFonts w:eastAsia="Calibri"/>
        </w:rPr>
        <w:t xml:space="preserve"> </w:t>
      </w:r>
      <w:r w:rsidR="00711134" w:rsidRPr="007E61A0">
        <w:rPr>
          <w:rFonts w:eastAsia="Calibri"/>
        </w:rPr>
        <w:t xml:space="preserve">evaluation considered this </w:t>
      </w:r>
      <w:r w:rsidRPr="007E61A0">
        <w:rPr>
          <w:rFonts w:eastAsia="Calibri"/>
        </w:rPr>
        <w:t>claim was adequately supported</w:t>
      </w:r>
      <w:r w:rsidR="00711134" w:rsidRPr="007E61A0">
        <w:t xml:space="preserve">; </w:t>
      </w:r>
      <w:r w:rsidR="00711134" w:rsidRPr="007E61A0">
        <w:rPr>
          <w:rFonts w:eastAsia="Calibri"/>
        </w:rPr>
        <w:t>h</w:t>
      </w:r>
      <w:r w:rsidR="006E161B" w:rsidRPr="007E61A0">
        <w:rPr>
          <w:rFonts w:eastAsia="Calibri"/>
        </w:rPr>
        <w:t>owever, there is a lack of long-term safety data for deucravacitinib.</w:t>
      </w:r>
      <w:r w:rsidR="00711134" w:rsidRPr="007E61A0">
        <w:rPr>
          <w:rFonts w:eastAsia="Calibri"/>
        </w:rPr>
        <w:t xml:space="preserve"> </w:t>
      </w:r>
    </w:p>
    <w:p w14:paraId="15D90C43" w14:textId="3090BB33" w:rsidR="00FA6969" w:rsidRPr="007E61A0" w:rsidRDefault="00FA6969" w:rsidP="00FA6969">
      <w:pPr>
        <w:widowControl w:val="0"/>
        <w:numPr>
          <w:ilvl w:val="1"/>
          <w:numId w:val="1"/>
        </w:numPr>
        <w:spacing w:after="120"/>
        <w:rPr>
          <w:rFonts w:asciiTheme="minorHAnsi" w:hAnsiTheme="minorHAnsi"/>
          <w:snapToGrid w:val="0"/>
          <w:szCs w:val="20"/>
        </w:rPr>
      </w:pPr>
      <w:bookmarkStart w:id="46" w:name="_Hlk76376200"/>
      <w:r w:rsidRPr="007E61A0">
        <w:rPr>
          <w:rFonts w:asciiTheme="minorHAnsi" w:hAnsiTheme="minorHAnsi"/>
          <w:iCs/>
          <w:snapToGrid w:val="0"/>
        </w:rPr>
        <w:t>The</w:t>
      </w:r>
      <w:r w:rsidRPr="007E61A0">
        <w:rPr>
          <w:rFonts w:asciiTheme="minorHAnsi" w:hAnsiTheme="minorHAnsi"/>
          <w:snapToGrid w:val="0"/>
          <w:szCs w:val="20"/>
        </w:rPr>
        <w:t xml:space="preserve"> PBAC considered that the claim of superior comparative effectiveness</w:t>
      </w:r>
      <w:r w:rsidR="004C7CA9" w:rsidRPr="007E61A0">
        <w:rPr>
          <w:rFonts w:asciiTheme="minorHAnsi" w:hAnsiTheme="minorHAnsi"/>
          <w:snapToGrid w:val="0"/>
          <w:szCs w:val="20"/>
        </w:rPr>
        <w:t xml:space="preserve"> to apremilast</w:t>
      </w:r>
      <w:r w:rsidRPr="007E61A0">
        <w:rPr>
          <w:rFonts w:asciiTheme="minorHAnsi" w:hAnsiTheme="minorHAnsi"/>
          <w:snapToGrid w:val="0"/>
          <w:szCs w:val="20"/>
        </w:rPr>
        <w:t xml:space="preserve"> was reasonable</w:t>
      </w:r>
      <w:r w:rsidR="004C7CA9" w:rsidRPr="007E61A0">
        <w:rPr>
          <w:rFonts w:asciiTheme="minorHAnsi" w:hAnsiTheme="minorHAnsi"/>
          <w:snapToGrid w:val="0"/>
          <w:szCs w:val="20"/>
        </w:rPr>
        <w:t>; however, given the place in therapy was uncertain and likely overlapped with biologics to an uncertain degree, the PBAC considered a claim versus biologics may also merit consideration, and noted no evidence was presented in the submission to assess such a claim.</w:t>
      </w:r>
    </w:p>
    <w:p w14:paraId="42B8243B" w14:textId="0CAD1417" w:rsidR="00FA6969" w:rsidRPr="007E61A0" w:rsidRDefault="00FA6969" w:rsidP="00FA6969">
      <w:pPr>
        <w:widowControl w:val="0"/>
        <w:numPr>
          <w:ilvl w:val="1"/>
          <w:numId w:val="1"/>
        </w:numPr>
        <w:spacing w:after="120"/>
        <w:rPr>
          <w:rFonts w:asciiTheme="minorHAnsi" w:hAnsiTheme="minorHAnsi"/>
          <w:snapToGrid w:val="0"/>
          <w:szCs w:val="20"/>
        </w:rPr>
      </w:pPr>
      <w:r w:rsidRPr="007E61A0">
        <w:rPr>
          <w:rFonts w:asciiTheme="minorHAnsi" w:hAnsiTheme="minorHAnsi"/>
          <w:snapToGrid w:val="0"/>
          <w:szCs w:val="20"/>
        </w:rPr>
        <w:t>The PBAC considered that the claim of non-inferior comparative safety</w:t>
      </w:r>
      <w:r w:rsidR="004C7CA9" w:rsidRPr="007E61A0">
        <w:rPr>
          <w:rFonts w:asciiTheme="minorHAnsi" w:hAnsiTheme="minorHAnsi"/>
          <w:snapToGrid w:val="0"/>
          <w:szCs w:val="20"/>
        </w:rPr>
        <w:t xml:space="preserve"> to apremil</w:t>
      </w:r>
      <w:r w:rsidR="001A6506" w:rsidRPr="007E61A0">
        <w:rPr>
          <w:rFonts w:asciiTheme="minorHAnsi" w:hAnsiTheme="minorHAnsi"/>
          <w:snapToGrid w:val="0"/>
          <w:szCs w:val="20"/>
        </w:rPr>
        <w:t>a</w:t>
      </w:r>
      <w:r w:rsidR="004C7CA9" w:rsidRPr="007E61A0">
        <w:rPr>
          <w:rFonts w:asciiTheme="minorHAnsi" w:hAnsiTheme="minorHAnsi"/>
          <w:snapToGrid w:val="0"/>
          <w:szCs w:val="20"/>
        </w:rPr>
        <w:t>st</w:t>
      </w:r>
      <w:r w:rsidRPr="007E61A0">
        <w:rPr>
          <w:rFonts w:asciiTheme="minorHAnsi" w:hAnsiTheme="minorHAnsi"/>
          <w:snapToGrid w:val="0"/>
          <w:szCs w:val="20"/>
        </w:rPr>
        <w:t xml:space="preserve"> was reasonable</w:t>
      </w:r>
      <w:r w:rsidR="004C7CA9" w:rsidRPr="007E61A0">
        <w:rPr>
          <w:rFonts w:asciiTheme="minorHAnsi" w:hAnsiTheme="minorHAnsi"/>
          <w:snapToGrid w:val="0"/>
          <w:szCs w:val="20"/>
        </w:rPr>
        <w:t>, however noted there was a lack of long-term safety data for deucravacitinib and the TYK2 class of therapies.</w:t>
      </w:r>
    </w:p>
    <w:p w14:paraId="74A1172E" w14:textId="128C170E" w:rsidR="00B60939" w:rsidRPr="007E61A0" w:rsidRDefault="00B60939" w:rsidP="00E9094A">
      <w:pPr>
        <w:pStyle w:val="4-SubsectionHeading"/>
        <w:rPr>
          <w:iCs/>
        </w:rPr>
      </w:pPr>
      <w:bookmarkStart w:id="47" w:name="_Toc22897645"/>
      <w:bookmarkStart w:id="48" w:name="_Toc113968825"/>
      <w:bookmarkEnd w:id="46"/>
      <w:r w:rsidRPr="007E61A0">
        <w:rPr>
          <w:iCs/>
        </w:rPr>
        <w:t>Economic analysis</w:t>
      </w:r>
      <w:bookmarkEnd w:id="47"/>
      <w:bookmarkEnd w:id="48"/>
      <w:r w:rsidR="00491B3A" w:rsidRPr="007E61A0">
        <w:rPr>
          <w:iCs/>
        </w:rPr>
        <w:t xml:space="preserve"> </w:t>
      </w:r>
    </w:p>
    <w:p w14:paraId="17FC8F2C" w14:textId="590E3724" w:rsidR="00DA10BD" w:rsidRPr="007E61A0" w:rsidRDefault="00DA10BD" w:rsidP="00DA10BD">
      <w:pPr>
        <w:pStyle w:val="3-BodyText"/>
        <w:rPr>
          <w:b/>
          <w:bCs/>
          <w:color w:val="0066FF"/>
        </w:rPr>
      </w:pPr>
      <w:r w:rsidRPr="007E61A0">
        <w:t>The submission presented a cost-utility analysis. This is consistent with the claim of superior comparative clinical effectiveness and non-inferior safety of deucravacitinib versus apremilast in patients with s</w:t>
      </w:r>
      <w:r w:rsidR="000A5852" w:rsidRPr="007E61A0">
        <w:t xml:space="preserve">evere </w:t>
      </w:r>
      <w:r w:rsidRPr="007E61A0">
        <w:t xml:space="preserve">CPP. </w:t>
      </w:r>
    </w:p>
    <w:p w14:paraId="4F0D3C96" w14:textId="61D6EFEC" w:rsidR="00DA10BD" w:rsidRPr="007E61A0" w:rsidRDefault="00DA10BD" w:rsidP="00DA10BD">
      <w:pPr>
        <w:pStyle w:val="3-BodyText"/>
        <w:rPr>
          <w:b/>
          <w:bCs/>
          <w:color w:val="0066FF"/>
        </w:rPr>
      </w:pPr>
      <w:r w:rsidRPr="007E61A0">
        <w:fldChar w:fldCharType="begin" w:fldLock="1"/>
      </w:r>
      <w:r w:rsidRPr="007E61A0">
        <w:instrText xml:space="preserve"> REF _Ref110237411 \h </w:instrText>
      </w:r>
      <w:r w:rsidR="003E7216" w:rsidRPr="007E61A0">
        <w:instrText xml:space="preserve"> \* MERGEFORMAT </w:instrText>
      </w:r>
      <w:r w:rsidRPr="007E61A0">
        <w:fldChar w:fldCharType="separate"/>
      </w:r>
      <w:r w:rsidR="00EC7993" w:rsidRPr="007E61A0">
        <w:t xml:space="preserve">Table </w:t>
      </w:r>
      <w:r w:rsidR="00EC7993">
        <w:t>9</w:t>
      </w:r>
      <w:r w:rsidRPr="007E61A0">
        <w:fldChar w:fldCharType="end"/>
      </w:r>
      <w:r w:rsidRPr="007E61A0">
        <w:t xml:space="preserve"> provides a summary of the key components of the model.</w:t>
      </w:r>
      <w:r w:rsidRPr="007E61A0">
        <w:rPr>
          <w:color w:val="0066FF"/>
        </w:rPr>
        <w:t xml:space="preserve"> </w:t>
      </w:r>
    </w:p>
    <w:p w14:paraId="49DA29C6" w14:textId="0C6CCB27" w:rsidR="00DA10BD" w:rsidRPr="007E61A0" w:rsidRDefault="00DA10BD" w:rsidP="00734BE8">
      <w:pPr>
        <w:pStyle w:val="Caption"/>
        <w:jc w:val="left"/>
        <w:rPr>
          <w:rStyle w:val="CommentReference"/>
          <w:b/>
          <w:szCs w:val="24"/>
        </w:rPr>
      </w:pPr>
      <w:bookmarkStart w:id="49" w:name="_Ref110237411"/>
      <w:r w:rsidRPr="007E61A0">
        <w:lastRenderedPageBreak/>
        <w:t xml:space="preserve">Table </w:t>
      </w:r>
      <w:fldSimple w:instr=" SEQ Table \* ARABIC " w:fldLock="1">
        <w:r w:rsidR="00EC7993">
          <w:rPr>
            <w:noProof/>
          </w:rPr>
          <w:t>9</w:t>
        </w:r>
      </w:fldSimple>
      <w:bookmarkEnd w:id="49"/>
      <w:r w:rsidRPr="007E61A0">
        <w:t>:</w:t>
      </w:r>
      <w:r w:rsidRPr="007E61A0">
        <w:rPr>
          <w:rStyle w:val="CommentReference"/>
          <w:b/>
          <w:szCs w:val="24"/>
        </w:rPr>
        <w:t xml:space="preserve"> Summary of model structure, key </w:t>
      </w:r>
      <w:proofErr w:type="gramStart"/>
      <w:r w:rsidRPr="007E61A0">
        <w:rPr>
          <w:rStyle w:val="CommentReference"/>
          <w:b/>
          <w:szCs w:val="24"/>
        </w:rPr>
        <w:t>inputs</w:t>
      </w:r>
      <w:proofErr w:type="gramEnd"/>
      <w:r w:rsidRPr="007E61A0">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5"/>
        <w:gridCol w:w="3663"/>
        <w:gridCol w:w="4059"/>
      </w:tblGrid>
      <w:tr w:rsidR="00DA10BD" w:rsidRPr="007E61A0" w14:paraId="1EB4E7BD" w14:textId="77777777" w:rsidTr="00734BE8">
        <w:trPr>
          <w:cantSplit/>
          <w:tblHeader/>
        </w:trPr>
        <w:tc>
          <w:tcPr>
            <w:tcW w:w="718" w:type="pct"/>
            <w:shd w:val="clear" w:color="auto" w:fill="auto"/>
            <w:vAlign w:val="center"/>
          </w:tcPr>
          <w:p w14:paraId="51815E41" w14:textId="77777777" w:rsidR="00DA10BD" w:rsidRPr="007E61A0" w:rsidRDefault="00DA10BD" w:rsidP="00734BE8">
            <w:pPr>
              <w:pStyle w:val="In-tableHeading"/>
              <w:jc w:val="center"/>
              <w:rPr>
                <w:lang w:val="en-AU"/>
              </w:rPr>
            </w:pPr>
            <w:r w:rsidRPr="007E61A0">
              <w:rPr>
                <w:lang w:val="en-AU"/>
              </w:rPr>
              <w:t>Component</w:t>
            </w:r>
          </w:p>
        </w:tc>
        <w:tc>
          <w:tcPr>
            <w:tcW w:w="2031" w:type="pct"/>
            <w:shd w:val="clear" w:color="auto" w:fill="auto"/>
            <w:vAlign w:val="center"/>
          </w:tcPr>
          <w:p w14:paraId="6B09CED5" w14:textId="77777777" w:rsidR="00DA10BD" w:rsidRPr="007E61A0" w:rsidRDefault="00DA10BD" w:rsidP="00734BE8">
            <w:pPr>
              <w:pStyle w:val="In-tableHeading"/>
              <w:jc w:val="center"/>
              <w:rPr>
                <w:lang w:val="en-AU"/>
              </w:rPr>
            </w:pPr>
            <w:r w:rsidRPr="007E61A0">
              <w:rPr>
                <w:lang w:val="en-AU"/>
              </w:rPr>
              <w:t>Summary</w:t>
            </w:r>
          </w:p>
        </w:tc>
        <w:tc>
          <w:tcPr>
            <w:tcW w:w="2251" w:type="pct"/>
          </w:tcPr>
          <w:p w14:paraId="7250BECE" w14:textId="77777777" w:rsidR="00DA10BD" w:rsidRPr="007E61A0" w:rsidRDefault="00DA10BD" w:rsidP="00734BE8">
            <w:pPr>
              <w:pStyle w:val="In-tableHeading"/>
              <w:jc w:val="center"/>
              <w:rPr>
                <w:lang w:val="en-AU"/>
              </w:rPr>
            </w:pPr>
            <w:r w:rsidRPr="007E61A0">
              <w:rPr>
                <w:lang w:val="en-AU"/>
              </w:rPr>
              <w:t>Justification/Comments</w:t>
            </w:r>
          </w:p>
        </w:tc>
      </w:tr>
      <w:tr w:rsidR="00DA10BD" w:rsidRPr="007E61A0" w14:paraId="0254EB5A" w14:textId="77777777" w:rsidTr="00734BE8">
        <w:trPr>
          <w:cantSplit/>
        </w:trPr>
        <w:tc>
          <w:tcPr>
            <w:tcW w:w="718" w:type="pct"/>
            <w:shd w:val="clear" w:color="auto" w:fill="auto"/>
            <w:vAlign w:val="center"/>
          </w:tcPr>
          <w:p w14:paraId="1D2AFDBA" w14:textId="77777777" w:rsidR="00DA10BD" w:rsidRPr="007E61A0" w:rsidRDefault="00DA10BD" w:rsidP="00734BE8">
            <w:pPr>
              <w:pStyle w:val="TableText0"/>
              <w:widowControl w:val="0"/>
            </w:pPr>
            <w:r w:rsidRPr="007E61A0">
              <w:t>Type of analysis</w:t>
            </w:r>
          </w:p>
        </w:tc>
        <w:tc>
          <w:tcPr>
            <w:tcW w:w="2031" w:type="pct"/>
            <w:shd w:val="clear" w:color="auto" w:fill="auto"/>
            <w:vAlign w:val="center"/>
          </w:tcPr>
          <w:p w14:paraId="155487AA" w14:textId="77777777" w:rsidR="00DA10BD" w:rsidRPr="007E61A0" w:rsidRDefault="00DA10BD" w:rsidP="00734BE8">
            <w:pPr>
              <w:pStyle w:val="TableText0"/>
              <w:widowControl w:val="0"/>
            </w:pPr>
            <w:r w:rsidRPr="007E61A0">
              <w:t>Cost-utility analysis</w:t>
            </w:r>
          </w:p>
        </w:tc>
        <w:tc>
          <w:tcPr>
            <w:tcW w:w="2251" w:type="pct"/>
          </w:tcPr>
          <w:p w14:paraId="66E535FC" w14:textId="77777777" w:rsidR="00DA10BD" w:rsidRPr="007E61A0" w:rsidRDefault="00DA10BD" w:rsidP="00734BE8">
            <w:pPr>
              <w:pStyle w:val="TableText0"/>
              <w:widowControl w:val="0"/>
            </w:pPr>
            <w:r w:rsidRPr="007E61A0">
              <w:t>This is consistent with the submission’s clinical claim.</w:t>
            </w:r>
          </w:p>
        </w:tc>
      </w:tr>
      <w:tr w:rsidR="00DA10BD" w:rsidRPr="007E61A0" w14:paraId="4F14BDE7" w14:textId="77777777" w:rsidTr="00734BE8">
        <w:trPr>
          <w:cantSplit/>
        </w:trPr>
        <w:tc>
          <w:tcPr>
            <w:tcW w:w="718" w:type="pct"/>
            <w:shd w:val="clear" w:color="auto" w:fill="auto"/>
            <w:vAlign w:val="center"/>
          </w:tcPr>
          <w:p w14:paraId="0ED59744" w14:textId="77777777" w:rsidR="00DA10BD" w:rsidRPr="007E61A0" w:rsidRDefault="00DA10BD" w:rsidP="00734BE8">
            <w:pPr>
              <w:pStyle w:val="TableText0"/>
              <w:widowControl w:val="0"/>
            </w:pPr>
            <w:r w:rsidRPr="007E61A0">
              <w:t>Time horizon</w:t>
            </w:r>
          </w:p>
        </w:tc>
        <w:tc>
          <w:tcPr>
            <w:tcW w:w="2031" w:type="pct"/>
            <w:shd w:val="clear" w:color="auto" w:fill="auto"/>
            <w:vAlign w:val="center"/>
          </w:tcPr>
          <w:p w14:paraId="3318CEB1" w14:textId="77777777" w:rsidR="00DA10BD" w:rsidRPr="007E61A0" w:rsidRDefault="00DA10BD" w:rsidP="00734BE8">
            <w:pPr>
              <w:pStyle w:val="TableText0"/>
              <w:widowControl w:val="0"/>
            </w:pPr>
            <w:r w:rsidRPr="007E61A0">
              <w:t>5 years in the model base case versus 24 weeks comparative data in the POETYK 1 and POETYK 2 trials</w:t>
            </w:r>
          </w:p>
        </w:tc>
        <w:tc>
          <w:tcPr>
            <w:tcW w:w="2251" w:type="pct"/>
          </w:tcPr>
          <w:p w14:paraId="59BE359D" w14:textId="77777777" w:rsidR="00DA10BD" w:rsidRPr="007E61A0" w:rsidRDefault="00DA10BD" w:rsidP="00734BE8">
            <w:pPr>
              <w:keepNext/>
              <w:jc w:val="left"/>
              <w:rPr>
                <w:rFonts w:ascii="Arial Narrow" w:eastAsiaTheme="majorEastAsia" w:hAnsi="Arial Narrow" w:cstheme="majorBidi"/>
                <w:bCs/>
                <w:sz w:val="20"/>
              </w:rPr>
            </w:pPr>
            <w:r w:rsidRPr="007E61A0">
              <w:rPr>
                <w:rFonts w:ascii="Arial Narrow" w:eastAsiaTheme="majorEastAsia" w:hAnsi="Arial Narrow" w:cstheme="majorBidi"/>
                <w:bCs/>
                <w:sz w:val="20"/>
              </w:rPr>
              <w:t>Considered sufficient to capture the downstream treatment implications; consistent with the PBAC cost-effectiveness review of biologics; sensitivity analyses (2 years, 10 years, lifetime) were conducted.</w:t>
            </w:r>
          </w:p>
          <w:p w14:paraId="711BB5A7" w14:textId="77777777" w:rsidR="00DA10BD" w:rsidRPr="007E61A0" w:rsidRDefault="00DA10BD" w:rsidP="00734BE8">
            <w:pPr>
              <w:keepNext/>
            </w:pPr>
            <w:r w:rsidRPr="007E61A0">
              <w:rPr>
                <w:rFonts w:ascii="Arial Narrow" w:eastAsiaTheme="majorEastAsia" w:hAnsi="Arial Narrow" w:cstheme="majorBidi"/>
                <w:bCs/>
                <w:sz w:val="20"/>
              </w:rPr>
              <w:t>The five-year time horizon in the model was long relative to the 24 weeks of comparative data in the POETYK 1 and POETYK 2 trials.</w:t>
            </w:r>
          </w:p>
        </w:tc>
      </w:tr>
      <w:tr w:rsidR="00DA10BD" w:rsidRPr="007E61A0" w14:paraId="3F168E95" w14:textId="77777777" w:rsidTr="00734BE8">
        <w:trPr>
          <w:cantSplit/>
        </w:trPr>
        <w:tc>
          <w:tcPr>
            <w:tcW w:w="718" w:type="pct"/>
            <w:shd w:val="clear" w:color="auto" w:fill="auto"/>
            <w:vAlign w:val="center"/>
          </w:tcPr>
          <w:p w14:paraId="69C63908" w14:textId="77777777" w:rsidR="00DA10BD" w:rsidRPr="007E61A0" w:rsidRDefault="00DA10BD" w:rsidP="00734BE8">
            <w:pPr>
              <w:pStyle w:val="TableText0"/>
              <w:widowControl w:val="0"/>
            </w:pPr>
            <w:r w:rsidRPr="007E61A0">
              <w:t>Outcomes</w:t>
            </w:r>
          </w:p>
        </w:tc>
        <w:tc>
          <w:tcPr>
            <w:tcW w:w="2031" w:type="pct"/>
            <w:shd w:val="clear" w:color="auto" w:fill="auto"/>
            <w:vAlign w:val="center"/>
          </w:tcPr>
          <w:p w14:paraId="7486DA3E" w14:textId="77777777" w:rsidR="00DA10BD" w:rsidRPr="007E61A0" w:rsidRDefault="00DA10BD" w:rsidP="00734BE8">
            <w:pPr>
              <w:pStyle w:val="TableText0"/>
              <w:widowControl w:val="0"/>
            </w:pPr>
            <w:r w:rsidRPr="007E61A0">
              <w:t xml:space="preserve">PASI response, mortality, life years, QALYs </w:t>
            </w:r>
          </w:p>
        </w:tc>
        <w:tc>
          <w:tcPr>
            <w:tcW w:w="2251" w:type="pct"/>
          </w:tcPr>
          <w:p w14:paraId="746F83C4" w14:textId="4FE00D77" w:rsidR="00DA10BD" w:rsidRPr="007E61A0" w:rsidRDefault="00DA10BD" w:rsidP="00734BE8">
            <w:pPr>
              <w:pStyle w:val="TableText0"/>
              <w:widowControl w:val="0"/>
            </w:pPr>
            <w:r w:rsidRPr="007E61A0">
              <w:t>The submission considered the use of PASI response to capture treatment effectiveness was appropriate as it was the outcome most used in economic evaluations in s</w:t>
            </w:r>
            <w:r w:rsidR="000A5852" w:rsidRPr="007E61A0">
              <w:t xml:space="preserve">evere </w:t>
            </w:r>
            <w:r w:rsidRPr="007E61A0">
              <w:t>CPP and PASI 75 response was a primary outcome in the pivotal POETYK trials.</w:t>
            </w:r>
          </w:p>
          <w:p w14:paraId="751EF128" w14:textId="170CD7F0" w:rsidR="00DA10BD" w:rsidRPr="007E61A0" w:rsidRDefault="00DA10BD" w:rsidP="00734BE8">
            <w:pPr>
              <w:pStyle w:val="TableText0"/>
              <w:widowControl w:val="0"/>
            </w:pPr>
            <w:r w:rsidRPr="007E61A0">
              <w:t xml:space="preserve">These outcomes are reasonable. PASI 75 response at 16 weeks was also the key outcome in the apremilast resubmission considered at the July 2020 PBAC Meeting (Table 1, apremilast, </w:t>
            </w:r>
            <w:r w:rsidR="00AE5AA0" w:rsidRPr="007E61A0">
              <w:t>PSD</w:t>
            </w:r>
            <w:r w:rsidRPr="007E61A0">
              <w:t>, July 2020 PBAC Meeting).</w:t>
            </w:r>
          </w:p>
        </w:tc>
      </w:tr>
      <w:tr w:rsidR="00DA10BD" w:rsidRPr="007E61A0" w14:paraId="28A14F69" w14:textId="77777777" w:rsidTr="00734BE8">
        <w:trPr>
          <w:cantSplit/>
        </w:trPr>
        <w:tc>
          <w:tcPr>
            <w:tcW w:w="718" w:type="pct"/>
            <w:shd w:val="clear" w:color="auto" w:fill="auto"/>
            <w:vAlign w:val="center"/>
          </w:tcPr>
          <w:p w14:paraId="5F68B821" w14:textId="77777777" w:rsidR="00DA10BD" w:rsidRPr="007E61A0" w:rsidRDefault="00DA10BD" w:rsidP="006D0001">
            <w:pPr>
              <w:pStyle w:val="TableText0"/>
              <w:keepNext w:val="0"/>
              <w:widowControl w:val="0"/>
            </w:pPr>
            <w:r w:rsidRPr="007E61A0">
              <w:t>Methods used to generate results</w:t>
            </w:r>
          </w:p>
        </w:tc>
        <w:tc>
          <w:tcPr>
            <w:tcW w:w="2031" w:type="pct"/>
            <w:shd w:val="clear" w:color="auto" w:fill="auto"/>
            <w:vAlign w:val="center"/>
          </w:tcPr>
          <w:p w14:paraId="4F6CA733" w14:textId="77777777" w:rsidR="00DA10BD" w:rsidRPr="007E61A0" w:rsidRDefault="00DA10BD" w:rsidP="006D0001">
            <w:pPr>
              <w:pStyle w:val="TableText0"/>
              <w:keepNext w:val="0"/>
              <w:widowControl w:val="0"/>
            </w:pPr>
            <w:r w:rsidRPr="007E61A0">
              <w:t>Markov cohort</w:t>
            </w:r>
          </w:p>
        </w:tc>
        <w:tc>
          <w:tcPr>
            <w:tcW w:w="2251" w:type="pct"/>
          </w:tcPr>
          <w:p w14:paraId="165727DF" w14:textId="77777777" w:rsidR="00DA10BD" w:rsidRPr="007E61A0" w:rsidRDefault="00DA10BD" w:rsidP="006D0001">
            <w:pPr>
              <w:pStyle w:val="TableText0"/>
              <w:keepNext w:val="0"/>
              <w:widowControl w:val="0"/>
            </w:pPr>
            <w:r w:rsidRPr="007E61A0">
              <w:t>This is appropriate and consistent with most economic evaluations identified in the review.</w:t>
            </w:r>
          </w:p>
        </w:tc>
      </w:tr>
      <w:tr w:rsidR="00DA10BD" w:rsidRPr="007E61A0" w14:paraId="74776823" w14:textId="77777777" w:rsidTr="00734BE8">
        <w:trPr>
          <w:cantSplit/>
        </w:trPr>
        <w:tc>
          <w:tcPr>
            <w:tcW w:w="718" w:type="pct"/>
            <w:shd w:val="clear" w:color="auto" w:fill="auto"/>
            <w:vAlign w:val="center"/>
          </w:tcPr>
          <w:p w14:paraId="4F7027DD" w14:textId="77777777" w:rsidR="00DA10BD" w:rsidRPr="007E61A0" w:rsidRDefault="00DA10BD" w:rsidP="006D0001">
            <w:pPr>
              <w:pStyle w:val="TableText0"/>
              <w:keepNext w:val="0"/>
              <w:widowControl w:val="0"/>
            </w:pPr>
            <w:r w:rsidRPr="007E61A0">
              <w:t>Health states</w:t>
            </w:r>
          </w:p>
        </w:tc>
        <w:tc>
          <w:tcPr>
            <w:tcW w:w="2031" w:type="pct"/>
            <w:shd w:val="clear" w:color="auto" w:fill="auto"/>
            <w:vAlign w:val="center"/>
          </w:tcPr>
          <w:p w14:paraId="1CB63662" w14:textId="77777777" w:rsidR="00DA10BD" w:rsidRPr="007E61A0" w:rsidRDefault="00DA10BD" w:rsidP="006D0001">
            <w:pPr>
              <w:pStyle w:val="TableText0"/>
              <w:keepNext w:val="0"/>
              <w:widowControl w:val="0"/>
            </w:pPr>
            <w:r w:rsidRPr="007E61A0">
              <w:t>16 mutually exclusive health states:</w:t>
            </w:r>
          </w:p>
          <w:p w14:paraId="15511310" w14:textId="77777777" w:rsidR="00DA10BD" w:rsidRPr="007E61A0" w:rsidRDefault="00DA10BD" w:rsidP="00FA6969">
            <w:pPr>
              <w:pStyle w:val="TableText0"/>
              <w:keepNext w:val="0"/>
              <w:widowControl w:val="0"/>
              <w:numPr>
                <w:ilvl w:val="0"/>
                <w:numId w:val="8"/>
              </w:numPr>
              <w:ind w:left="357" w:hanging="357"/>
            </w:pPr>
            <w:r w:rsidRPr="007E61A0">
              <w:t>1L treatment</w:t>
            </w:r>
            <w:r w:rsidRPr="007E61A0">
              <w:rPr>
                <w:vertAlign w:val="superscript"/>
              </w:rPr>
              <w:t>a</w:t>
            </w:r>
            <w:r w:rsidRPr="007E61A0">
              <w:t xml:space="preserve"> (5 states: PASI &lt;50, 50 to &lt;75, 75 to &lt;90, 90 to &lt;100, 100 responses)</w:t>
            </w:r>
          </w:p>
          <w:p w14:paraId="62550EE6" w14:textId="77777777" w:rsidR="00DA10BD" w:rsidRPr="007E61A0" w:rsidRDefault="00DA10BD" w:rsidP="00FA6969">
            <w:pPr>
              <w:pStyle w:val="TableText0"/>
              <w:keepNext w:val="0"/>
              <w:widowControl w:val="0"/>
              <w:numPr>
                <w:ilvl w:val="0"/>
                <w:numId w:val="8"/>
              </w:numPr>
              <w:ind w:left="357" w:hanging="357"/>
            </w:pPr>
            <w:r w:rsidRPr="007E61A0">
              <w:t>bDMARD (5 states: PASI &lt;50, 50 to &lt;75, 75 to &lt;90, 90 to &lt;100, 100 responses)</w:t>
            </w:r>
          </w:p>
          <w:p w14:paraId="74296F55" w14:textId="77777777" w:rsidR="00DA10BD" w:rsidRPr="007E61A0" w:rsidRDefault="00DA10BD" w:rsidP="00FA6969">
            <w:pPr>
              <w:pStyle w:val="TableText0"/>
              <w:keepNext w:val="0"/>
              <w:widowControl w:val="0"/>
              <w:numPr>
                <w:ilvl w:val="0"/>
                <w:numId w:val="8"/>
              </w:numPr>
              <w:ind w:left="357" w:hanging="357"/>
            </w:pPr>
            <w:r w:rsidRPr="007E61A0">
              <w:t>BSC (5 states: PASI &lt;50, 50 to &lt;75, 75 to &lt;90, 90 to &lt;100, 100 responses)</w:t>
            </w:r>
          </w:p>
          <w:p w14:paraId="74A111A7" w14:textId="77777777" w:rsidR="00DA10BD" w:rsidRPr="007E61A0" w:rsidRDefault="00DA10BD" w:rsidP="00FA6969">
            <w:pPr>
              <w:pStyle w:val="TableText0"/>
              <w:keepNext w:val="0"/>
              <w:widowControl w:val="0"/>
              <w:numPr>
                <w:ilvl w:val="0"/>
                <w:numId w:val="8"/>
              </w:numPr>
              <w:ind w:left="357" w:hanging="357"/>
            </w:pPr>
            <w:r w:rsidRPr="007E61A0">
              <w:t>Death</w:t>
            </w:r>
          </w:p>
        </w:tc>
        <w:tc>
          <w:tcPr>
            <w:tcW w:w="2251" w:type="pct"/>
          </w:tcPr>
          <w:p w14:paraId="622F2495" w14:textId="77777777" w:rsidR="00DA10BD" w:rsidRPr="007E61A0" w:rsidRDefault="00DA10BD" w:rsidP="006D0001">
            <w:pPr>
              <w:pStyle w:val="TableText0"/>
              <w:keepNext w:val="0"/>
              <w:widowControl w:val="0"/>
            </w:pPr>
            <w:r w:rsidRPr="007E61A0">
              <w:t>To capture key clinical outcomes and management algorithm in Australia.</w:t>
            </w:r>
          </w:p>
          <w:p w14:paraId="459B5E24" w14:textId="4B8DC1A4" w:rsidR="00DA10BD" w:rsidRPr="007E61A0" w:rsidRDefault="00DA10BD" w:rsidP="006D0001">
            <w:pPr>
              <w:pStyle w:val="TableText0"/>
              <w:keepNext w:val="0"/>
              <w:widowControl w:val="0"/>
            </w:pPr>
            <w:r w:rsidRPr="007E61A0">
              <w:t xml:space="preserve">The </w:t>
            </w:r>
            <w:r w:rsidR="0017144E" w:rsidRPr="007E61A0">
              <w:t xml:space="preserve">ESC noted the large </w:t>
            </w:r>
            <w:r w:rsidRPr="007E61A0">
              <w:t>number of health states used in the economic model</w:t>
            </w:r>
            <w:r w:rsidR="0017144E" w:rsidRPr="007E61A0">
              <w:t xml:space="preserve">. </w:t>
            </w:r>
          </w:p>
        </w:tc>
      </w:tr>
      <w:tr w:rsidR="00DA10BD" w:rsidRPr="007E61A0" w14:paraId="4D3483BE" w14:textId="77777777" w:rsidTr="00734BE8">
        <w:trPr>
          <w:cantSplit/>
        </w:trPr>
        <w:tc>
          <w:tcPr>
            <w:tcW w:w="718" w:type="pct"/>
            <w:shd w:val="clear" w:color="auto" w:fill="auto"/>
            <w:vAlign w:val="center"/>
          </w:tcPr>
          <w:p w14:paraId="23E2F77C" w14:textId="77777777" w:rsidR="00DA10BD" w:rsidRPr="007E61A0" w:rsidRDefault="00DA10BD" w:rsidP="006D0001">
            <w:pPr>
              <w:pStyle w:val="TableText0"/>
              <w:keepNext w:val="0"/>
              <w:widowControl w:val="0"/>
            </w:pPr>
            <w:r w:rsidRPr="007E61A0">
              <w:t>Cycle length</w:t>
            </w:r>
          </w:p>
        </w:tc>
        <w:tc>
          <w:tcPr>
            <w:tcW w:w="2031" w:type="pct"/>
            <w:shd w:val="clear" w:color="auto" w:fill="auto"/>
            <w:vAlign w:val="center"/>
          </w:tcPr>
          <w:p w14:paraId="553D11C2" w14:textId="77777777" w:rsidR="00DA10BD" w:rsidRPr="007E61A0" w:rsidRDefault="00DA10BD" w:rsidP="006D0001">
            <w:pPr>
              <w:pStyle w:val="TableText0"/>
              <w:keepNext w:val="0"/>
              <w:widowControl w:val="0"/>
            </w:pPr>
            <w:r w:rsidRPr="007E61A0">
              <w:t xml:space="preserve">8 weeks </w:t>
            </w:r>
          </w:p>
        </w:tc>
        <w:tc>
          <w:tcPr>
            <w:tcW w:w="2251" w:type="pct"/>
          </w:tcPr>
          <w:p w14:paraId="22DF24C8" w14:textId="77777777" w:rsidR="00DA10BD" w:rsidRPr="007E61A0" w:rsidRDefault="00DA10BD" w:rsidP="006D0001">
            <w:pPr>
              <w:pStyle w:val="TableText0"/>
              <w:keepNext w:val="0"/>
              <w:widowControl w:val="0"/>
            </w:pPr>
            <w:r w:rsidRPr="007E61A0">
              <w:t>To capture key time points from clinical trials and clinical practice where patients with PASI score &gt;15 would be eligible for biologics after a minimum of six weeks of treatment.</w:t>
            </w:r>
          </w:p>
          <w:p w14:paraId="6592D64F" w14:textId="739959BE" w:rsidR="00DA10BD" w:rsidRPr="007E61A0" w:rsidRDefault="00DA10BD" w:rsidP="006D0001">
            <w:pPr>
              <w:pStyle w:val="TableText0"/>
              <w:keepNext w:val="0"/>
              <w:widowControl w:val="0"/>
            </w:pPr>
            <w:r w:rsidRPr="007E61A0">
              <w:t>While eight weeks may</w:t>
            </w:r>
            <w:r w:rsidR="004B3F4F" w:rsidRPr="007E61A0">
              <w:t xml:space="preserve"> </w:t>
            </w:r>
            <w:r w:rsidRPr="007E61A0">
              <w:t>be long enough to capture treatment response with at least six weeks’ treatment with non-biologics, one of the eligibility criteria to initiate biologics, a single cycle is not long enough to capture treatment response with biologics (minimum 12 weeks after initiation).</w:t>
            </w:r>
          </w:p>
        </w:tc>
      </w:tr>
      <w:tr w:rsidR="00DA10BD" w:rsidRPr="007E61A0" w14:paraId="0CEB994A" w14:textId="77777777" w:rsidTr="00734BE8">
        <w:trPr>
          <w:cantSplit/>
        </w:trPr>
        <w:tc>
          <w:tcPr>
            <w:tcW w:w="718" w:type="pct"/>
            <w:vMerge w:val="restart"/>
            <w:shd w:val="clear" w:color="auto" w:fill="auto"/>
            <w:vAlign w:val="center"/>
          </w:tcPr>
          <w:p w14:paraId="72AEF134" w14:textId="77777777" w:rsidR="00DA10BD" w:rsidRPr="007E61A0" w:rsidRDefault="00DA10BD" w:rsidP="006D0001">
            <w:pPr>
              <w:pStyle w:val="TableText0"/>
              <w:keepNext w:val="0"/>
              <w:widowControl w:val="0"/>
            </w:pPr>
            <w:r w:rsidRPr="007E61A0">
              <w:t>Transition probabilities or allocation to health states</w:t>
            </w:r>
          </w:p>
        </w:tc>
        <w:tc>
          <w:tcPr>
            <w:tcW w:w="2031" w:type="pct"/>
            <w:shd w:val="clear" w:color="auto" w:fill="auto"/>
          </w:tcPr>
          <w:p w14:paraId="3C684849" w14:textId="77777777" w:rsidR="00DA10BD" w:rsidRPr="007E61A0" w:rsidRDefault="00DA10BD" w:rsidP="006D0001">
            <w:pPr>
              <w:pStyle w:val="TableText0"/>
              <w:keepNext w:val="0"/>
              <w:widowControl w:val="0"/>
            </w:pPr>
            <w:r w:rsidRPr="007E61A0">
              <w:t>First-line treatment effectiveness (deucravacitinib or apremilast): Pooled IPD data from the POETYK trials for Weeks 0-24; assumed constant thereafter, i.e., patients remained in the same PASI response health state until treatment discontinuation (assumed 0% in the base case) or death.</w:t>
            </w:r>
          </w:p>
        </w:tc>
        <w:tc>
          <w:tcPr>
            <w:tcW w:w="2251" w:type="pct"/>
          </w:tcPr>
          <w:p w14:paraId="07A9DDAF" w14:textId="3071FF6A" w:rsidR="00DA10BD" w:rsidRPr="007E61A0" w:rsidRDefault="00DA10BD" w:rsidP="006D0001">
            <w:pPr>
              <w:pStyle w:val="TableText0"/>
              <w:keepNext w:val="0"/>
              <w:widowControl w:val="0"/>
            </w:pPr>
            <w:r w:rsidRPr="007E61A0">
              <w:t>The transition probabilities from the POETYK trials to the modelled PBS population may be confounded by only 25.5% of the trial participants had prior methotrexate, while 34.8% received prior biologic systemic treatment. The proposed PBS eligibility required patients to have failed methotrexate treatment and the proposed clinical positioning of deucravacitinib was for patients not previously treated with biologics.</w:t>
            </w:r>
          </w:p>
          <w:p w14:paraId="1AAA28CA" w14:textId="77777777" w:rsidR="00DA10BD" w:rsidRPr="007E61A0" w:rsidRDefault="00DA10BD" w:rsidP="006D0001">
            <w:pPr>
              <w:pStyle w:val="TableText0"/>
              <w:keepNext w:val="0"/>
              <w:widowControl w:val="0"/>
            </w:pPr>
            <w:r w:rsidRPr="007E61A0">
              <w:t>The assumption that patients remained in the same PASI response health state until treatment discontinuation (0% in the base case) or death implicitly assumed no loss of efficacy at all over time which may not be reasonable.</w:t>
            </w:r>
          </w:p>
        </w:tc>
      </w:tr>
      <w:tr w:rsidR="00DA10BD" w:rsidRPr="007E61A0" w14:paraId="463E1015" w14:textId="77777777" w:rsidTr="00734BE8">
        <w:trPr>
          <w:cantSplit/>
        </w:trPr>
        <w:tc>
          <w:tcPr>
            <w:tcW w:w="718" w:type="pct"/>
            <w:vMerge/>
            <w:shd w:val="clear" w:color="auto" w:fill="auto"/>
          </w:tcPr>
          <w:p w14:paraId="45645F6F" w14:textId="77777777" w:rsidR="00DA10BD" w:rsidRPr="007E61A0" w:rsidRDefault="00DA10BD" w:rsidP="006D0001">
            <w:pPr>
              <w:pStyle w:val="TableText0"/>
              <w:keepNext w:val="0"/>
              <w:widowControl w:val="0"/>
            </w:pPr>
          </w:p>
        </w:tc>
        <w:tc>
          <w:tcPr>
            <w:tcW w:w="2031" w:type="pct"/>
            <w:shd w:val="clear" w:color="auto" w:fill="auto"/>
          </w:tcPr>
          <w:p w14:paraId="36ADFDF7" w14:textId="77777777" w:rsidR="00DA10BD" w:rsidRPr="007E61A0" w:rsidRDefault="00DA10BD" w:rsidP="006D0001">
            <w:pPr>
              <w:pStyle w:val="TableText0"/>
              <w:keepNext w:val="0"/>
              <w:widowControl w:val="0"/>
            </w:pPr>
            <w:r w:rsidRPr="007E61A0">
              <w:t>Biologics treatment effectiveness: PASI responses were from a Bayesian network meta-analysis (Armstrong 2022</w:t>
            </w:r>
            <w:r w:rsidRPr="007E61A0">
              <w:rPr>
                <w:rStyle w:val="FootnoteReference"/>
              </w:rPr>
              <w:footnoteReference w:id="4"/>
            </w:r>
            <w:r w:rsidRPr="007E61A0">
              <w:t>) and applied in the first cycle on biologics treatment; assumed constant thereafter.</w:t>
            </w:r>
          </w:p>
          <w:p w14:paraId="4BF4C200" w14:textId="77777777" w:rsidR="00DA10BD" w:rsidRPr="007E61A0" w:rsidRDefault="00DA10BD" w:rsidP="006D0001">
            <w:pPr>
              <w:pStyle w:val="TableText0"/>
              <w:keepNext w:val="0"/>
              <w:widowControl w:val="0"/>
            </w:pPr>
          </w:p>
          <w:p w14:paraId="07C3489B" w14:textId="48C7D12A" w:rsidR="00DA10BD" w:rsidRPr="007E61A0" w:rsidDel="00360DD9" w:rsidRDefault="00DA10BD" w:rsidP="006D0001">
            <w:pPr>
              <w:pStyle w:val="TableText0"/>
              <w:keepNext w:val="0"/>
              <w:widowControl w:val="0"/>
            </w:pPr>
            <w:r w:rsidRPr="007E61A0">
              <w:t>To simplify the model structure, the submission applied the cumulative effectiveness of three sequential lines of biologics at the first cycle of biologic treatment</w:t>
            </w:r>
            <w:r w:rsidR="0017144E" w:rsidRPr="007E61A0">
              <w:t xml:space="preserve"> </w:t>
            </w:r>
            <w:r w:rsidR="00074DC5" w:rsidRPr="007E61A0">
              <w:t>(</w:t>
            </w:r>
            <w:r w:rsidR="0017144E" w:rsidRPr="007E61A0">
              <w:t xml:space="preserve">risankizumab, bimekizumab and guselkumab). </w:t>
            </w:r>
          </w:p>
        </w:tc>
        <w:tc>
          <w:tcPr>
            <w:tcW w:w="2251" w:type="pct"/>
          </w:tcPr>
          <w:p w14:paraId="69C5042D" w14:textId="5E805A7B" w:rsidR="00DA10BD" w:rsidRPr="007E61A0" w:rsidDel="00360DD9" w:rsidRDefault="0017144E" w:rsidP="006D0001">
            <w:pPr>
              <w:pStyle w:val="TableText0"/>
              <w:keepNext w:val="0"/>
              <w:widowControl w:val="0"/>
            </w:pPr>
            <w:r w:rsidRPr="007E61A0">
              <w:t>T</w:t>
            </w:r>
            <w:r w:rsidR="00DA10BD" w:rsidRPr="007E61A0">
              <w:t xml:space="preserve">he application of cumulative effectiveness of three consecutive biologics at the first cycle of biologic treatment was inconsistent with clinical practice, though favouring apremilast. </w:t>
            </w:r>
            <w:r w:rsidR="00074DC5" w:rsidRPr="007E61A0">
              <w:t>W</w:t>
            </w:r>
            <w:r w:rsidR="00DA10BD" w:rsidRPr="007E61A0">
              <w:t>hile bimekizumab received positive PBAC recommendation as the tenth biologic treatment in s</w:t>
            </w:r>
            <w:r w:rsidR="000A5852" w:rsidRPr="007E61A0">
              <w:t xml:space="preserve">evere </w:t>
            </w:r>
            <w:r w:rsidR="00DA10BD" w:rsidRPr="007E61A0">
              <w:t>CPP in March 2022 (paragraph 7.1, bimekizumab,</w:t>
            </w:r>
            <w:r w:rsidR="005F33C4" w:rsidRPr="007E61A0">
              <w:t xml:space="preserve"> PSD</w:t>
            </w:r>
            <w:r w:rsidR="00DA10BD" w:rsidRPr="007E61A0">
              <w:t xml:space="preserve">, March 2022 PBAC Meeting), it was not PBS-listed at the time of evaluation. </w:t>
            </w:r>
          </w:p>
        </w:tc>
      </w:tr>
      <w:tr w:rsidR="00DA10BD" w:rsidRPr="007E61A0" w14:paraId="668F5112" w14:textId="77777777" w:rsidTr="00734BE8">
        <w:trPr>
          <w:cantSplit/>
        </w:trPr>
        <w:tc>
          <w:tcPr>
            <w:tcW w:w="718" w:type="pct"/>
            <w:vMerge/>
            <w:shd w:val="clear" w:color="auto" w:fill="auto"/>
          </w:tcPr>
          <w:p w14:paraId="55FBD862" w14:textId="77777777" w:rsidR="00DA10BD" w:rsidRPr="007E61A0" w:rsidRDefault="00DA10BD" w:rsidP="006D0001">
            <w:pPr>
              <w:pStyle w:val="TableText0"/>
              <w:keepNext w:val="0"/>
              <w:widowControl w:val="0"/>
            </w:pPr>
          </w:p>
        </w:tc>
        <w:tc>
          <w:tcPr>
            <w:tcW w:w="2031" w:type="pct"/>
            <w:shd w:val="clear" w:color="auto" w:fill="auto"/>
          </w:tcPr>
          <w:p w14:paraId="39A910E0" w14:textId="77777777" w:rsidR="00DA10BD" w:rsidRPr="007E61A0" w:rsidDel="00360DD9" w:rsidRDefault="00DA10BD" w:rsidP="006D0001">
            <w:pPr>
              <w:pStyle w:val="TableText0"/>
              <w:keepNext w:val="0"/>
              <w:widowControl w:val="0"/>
            </w:pPr>
            <w:r w:rsidRPr="007E61A0">
              <w:t xml:space="preserve">Subsequent treatment: assumed all patients with PASI score &gt;15 would receive biologics treatment (proportion of patients with PASI score &gt;15 at 8, 16, 24 weeks were from IPD from the POETYK trials); assumed no patients transition to biologics beyond 24 weeks. </w:t>
            </w:r>
          </w:p>
        </w:tc>
        <w:tc>
          <w:tcPr>
            <w:tcW w:w="2251" w:type="pct"/>
          </w:tcPr>
          <w:p w14:paraId="25F94315" w14:textId="768019DB" w:rsidR="00DA10BD" w:rsidRPr="007E61A0" w:rsidRDefault="00DA10BD" w:rsidP="006D0001">
            <w:pPr>
              <w:pStyle w:val="TableText0"/>
              <w:keepNext w:val="0"/>
              <w:widowControl w:val="0"/>
            </w:pPr>
            <w:r w:rsidRPr="007E61A0">
              <w:t>While the threshold for switching was consistent with the PBS criterion for initiation of biologic treatment, the timing of switch</w:t>
            </w:r>
            <w:r w:rsidR="0017144E" w:rsidRPr="007E61A0">
              <w:t xml:space="preserve"> may be reasonable</w:t>
            </w:r>
            <w:r w:rsidRPr="007E61A0">
              <w:t>. The PBS requires that assessment of response must be conducted after a minimum of 12 weeks of therapy. Nevertheless, earlier application of treatment effect from biologics favours apremilast.</w:t>
            </w:r>
          </w:p>
        </w:tc>
      </w:tr>
      <w:tr w:rsidR="00DA10BD" w:rsidRPr="007E61A0" w14:paraId="745C50D5" w14:textId="77777777" w:rsidTr="00734BE8">
        <w:trPr>
          <w:cantSplit/>
        </w:trPr>
        <w:tc>
          <w:tcPr>
            <w:tcW w:w="718" w:type="pct"/>
            <w:vMerge/>
            <w:shd w:val="clear" w:color="auto" w:fill="auto"/>
          </w:tcPr>
          <w:p w14:paraId="23261494" w14:textId="77777777" w:rsidR="00DA10BD" w:rsidRPr="007E61A0" w:rsidRDefault="00DA10BD" w:rsidP="006D0001">
            <w:pPr>
              <w:pStyle w:val="TableText0"/>
              <w:keepNext w:val="0"/>
              <w:widowControl w:val="0"/>
            </w:pPr>
          </w:p>
        </w:tc>
        <w:tc>
          <w:tcPr>
            <w:tcW w:w="2031" w:type="pct"/>
            <w:shd w:val="clear" w:color="auto" w:fill="auto"/>
          </w:tcPr>
          <w:p w14:paraId="06F040F8" w14:textId="77777777" w:rsidR="00DA10BD" w:rsidRPr="007E61A0" w:rsidRDefault="00DA10BD" w:rsidP="006D0001">
            <w:pPr>
              <w:pStyle w:val="TableText0"/>
              <w:keepNext w:val="0"/>
              <w:widowControl w:val="0"/>
            </w:pPr>
            <w:r w:rsidRPr="007E61A0">
              <w:t>BSC: PASI response rates from the placebo groups of the POETYK trials were used to distribute patients between PASI response health state 8 weeks post initiation of BSC. After 8 weeks, constant transition probabilities were assumed.</w:t>
            </w:r>
          </w:p>
        </w:tc>
        <w:tc>
          <w:tcPr>
            <w:tcW w:w="2251" w:type="pct"/>
          </w:tcPr>
          <w:p w14:paraId="49F91D58" w14:textId="77777777" w:rsidR="00DA10BD" w:rsidRPr="007E61A0" w:rsidRDefault="00DA10BD" w:rsidP="006D0001">
            <w:pPr>
              <w:pStyle w:val="TableText0"/>
              <w:keepNext w:val="0"/>
              <w:widowControl w:val="0"/>
            </w:pPr>
            <w:r w:rsidRPr="007E61A0">
              <w:t xml:space="preserve">To capture patients who discontinue treatment after exhausting available systemic treatment (non-biologic, biologic). </w:t>
            </w:r>
          </w:p>
          <w:p w14:paraId="74E79C19" w14:textId="77777777" w:rsidR="00DA10BD" w:rsidRPr="007E61A0" w:rsidRDefault="00DA10BD" w:rsidP="006D0001">
            <w:pPr>
              <w:pStyle w:val="TableText0"/>
              <w:keepNext w:val="0"/>
              <w:widowControl w:val="0"/>
            </w:pPr>
            <w:r w:rsidRPr="007E61A0">
              <w:t>The model only allowed for one-directional flow of treatments (i.e., from deucravacitinib/apremilast to biologic) but not switching among non-biologic systemics (e.g., from deucravacitinib to apremilast/ciclosporin/acitretin), nor allowed for patients (e.g., those who achieved adequate treatment response) to switch from biologics back to non-biologic oral therapy, a possibility in clinical practice.</w:t>
            </w:r>
          </w:p>
        </w:tc>
      </w:tr>
      <w:tr w:rsidR="00DA10BD" w:rsidRPr="007E61A0" w14:paraId="25DEA0A1" w14:textId="77777777" w:rsidTr="00734BE8">
        <w:trPr>
          <w:cantSplit/>
        </w:trPr>
        <w:tc>
          <w:tcPr>
            <w:tcW w:w="718" w:type="pct"/>
            <w:vMerge/>
            <w:shd w:val="clear" w:color="auto" w:fill="auto"/>
          </w:tcPr>
          <w:p w14:paraId="1495EEFF" w14:textId="77777777" w:rsidR="00DA10BD" w:rsidRPr="007E61A0" w:rsidRDefault="00DA10BD" w:rsidP="006D0001">
            <w:pPr>
              <w:pStyle w:val="TableText0"/>
              <w:keepNext w:val="0"/>
              <w:widowControl w:val="0"/>
            </w:pPr>
          </w:p>
        </w:tc>
        <w:tc>
          <w:tcPr>
            <w:tcW w:w="2031" w:type="pct"/>
            <w:shd w:val="clear" w:color="auto" w:fill="auto"/>
          </w:tcPr>
          <w:p w14:paraId="56FE6A9A" w14:textId="77777777" w:rsidR="00DA10BD" w:rsidRPr="007E61A0" w:rsidRDefault="00DA10BD" w:rsidP="006D0001">
            <w:pPr>
              <w:pStyle w:val="TableText0"/>
              <w:keepNext w:val="0"/>
              <w:widowControl w:val="0"/>
            </w:pPr>
            <w:r w:rsidRPr="007E61A0">
              <w:t>Mortality: baseline risk from ABS (Life Tables, 2018-2020)</w:t>
            </w:r>
            <w:r w:rsidRPr="007E61A0">
              <w:rPr>
                <w:rStyle w:val="FootnoteReference"/>
              </w:rPr>
              <w:footnoteReference w:id="5"/>
            </w:r>
            <w:r w:rsidRPr="007E61A0">
              <w:t>; increased mortality risk from psoriasis from literature; no difference in mortality between deucravacitinib and apremilast treatment.</w:t>
            </w:r>
          </w:p>
        </w:tc>
        <w:tc>
          <w:tcPr>
            <w:tcW w:w="2251" w:type="pct"/>
          </w:tcPr>
          <w:p w14:paraId="794C7819" w14:textId="77777777" w:rsidR="00DA10BD" w:rsidRPr="007E61A0" w:rsidRDefault="00DA10BD" w:rsidP="006D0001">
            <w:pPr>
              <w:pStyle w:val="TableText0"/>
              <w:keepNext w:val="0"/>
              <w:widowControl w:val="0"/>
            </w:pPr>
            <w:r w:rsidRPr="007E61A0">
              <w:t>No difference in mortality between deucravacitinib and apremilast in the POETYK trials.</w:t>
            </w:r>
          </w:p>
          <w:p w14:paraId="05A85557" w14:textId="77777777" w:rsidR="00DA10BD" w:rsidRPr="007E61A0" w:rsidRDefault="00DA10BD" w:rsidP="006D0001">
            <w:pPr>
              <w:pStyle w:val="TableText0"/>
              <w:keepNext w:val="0"/>
              <w:widowControl w:val="0"/>
            </w:pPr>
            <w:r w:rsidRPr="007E61A0">
              <w:t>Some literature</w:t>
            </w:r>
            <w:r w:rsidRPr="007E61A0">
              <w:rPr>
                <w:rStyle w:val="FootnoteReference"/>
              </w:rPr>
              <w:footnoteReference w:id="6"/>
            </w:r>
            <w:r w:rsidRPr="007E61A0">
              <w:t xml:space="preserve"> considered that there is no evidence that psoriasis increases the risk of death. Death not included in model in the CER biologics review.</w:t>
            </w:r>
          </w:p>
        </w:tc>
      </w:tr>
      <w:tr w:rsidR="00DA10BD" w:rsidRPr="007E61A0" w14:paraId="0E2937EC" w14:textId="77777777" w:rsidTr="00734BE8">
        <w:trPr>
          <w:cantSplit/>
        </w:trPr>
        <w:tc>
          <w:tcPr>
            <w:tcW w:w="718" w:type="pct"/>
            <w:shd w:val="clear" w:color="auto" w:fill="auto"/>
            <w:vAlign w:val="center"/>
          </w:tcPr>
          <w:p w14:paraId="68C518E7" w14:textId="77777777" w:rsidR="00DA10BD" w:rsidRPr="007E61A0" w:rsidRDefault="00DA10BD" w:rsidP="006D0001">
            <w:pPr>
              <w:pStyle w:val="TableText0"/>
              <w:keepNext w:val="0"/>
            </w:pPr>
            <w:r w:rsidRPr="007E61A0">
              <w:t>Health-related quality of life</w:t>
            </w:r>
          </w:p>
        </w:tc>
        <w:tc>
          <w:tcPr>
            <w:tcW w:w="2031" w:type="pct"/>
            <w:shd w:val="clear" w:color="auto" w:fill="auto"/>
            <w:vAlign w:val="center"/>
          </w:tcPr>
          <w:p w14:paraId="6C593CA4" w14:textId="77777777" w:rsidR="00DA10BD" w:rsidRPr="007E61A0" w:rsidRDefault="00DA10BD" w:rsidP="006D0001">
            <w:pPr>
              <w:pStyle w:val="TableText0"/>
              <w:keepNext w:val="0"/>
            </w:pPr>
            <w:r w:rsidRPr="007E61A0">
              <w:t>Literature-based (Zug 1995</w:t>
            </w:r>
            <w:r w:rsidRPr="007E61A0">
              <w:rPr>
                <w:rStyle w:val="FootnoteReference"/>
              </w:rPr>
              <w:footnoteReference w:id="7"/>
            </w:r>
            <w:r w:rsidRPr="007E61A0">
              <w:t>):</w:t>
            </w:r>
          </w:p>
          <w:p w14:paraId="367860E8" w14:textId="77777777" w:rsidR="00DA10BD" w:rsidRPr="007E61A0" w:rsidRDefault="00DA10BD" w:rsidP="006D0001">
            <w:pPr>
              <w:pStyle w:val="TableText0"/>
              <w:keepNext w:val="0"/>
            </w:pPr>
            <w:r w:rsidRPr="007E61A0">
              <w:t>0.59 for PASI &lt;50, 50 to &lt;75 responses.</w:t>
            </w:r>
          </w:p>
          <w:p w14:paraId="432A6B8A" w14:textId="77777777" w:rsidR="00DA10BD" w:rsidRPr="007E61A0" w:rsidRDefault="00DA10BD" w:rsidP="006D0001">
            <w:pPr>
              <w:pStyle w:val="TableText0"/>
              <w:keepNext w:val="0"/>
            </w:pPr>
            <w:r w:rsidRPr="007E61A0">
              <w:t>0.89 for PASI 75 to &lt;90, 90 to &lt;100, 100 responses.</w:t>
            </w:r>
          </w:p>
        </w:tc>
        <w:tc>
          <w:tcPr>
            <w:tcW w:w="2251" w:type="pct"/>
          </w:tcPr>
          <w:p w14:paraId="5138E154" w14:textId="4CD59537" w:rsidR="00DA10BD" w:rsidRPr="007E61A0" w:rsidRDefault="00074DC5" w:rsidP="006D0001">
            <w:pPr>
              <w:pStyle w:val="TableText0"/>
              <w:keepNext w:val="0"/>
            </w:pPr>
            <w:r w:rsidRPr="007E61A0">
              <w:t>Based on stated p</w:t>
            </w:r>
            <w:r w:rsidR="00DA10BD" w:rsidRPr="007E61A0">
              <w:t>rior PBAC acceptance and considerations including the CER on biologics for the treatment of</w:t>
            </w:r>
            <w:r w:rsidR="000A5852" w:rsidRPr="007E61A0">
              <w:t xml:space="preserve"> severe</w:t>
            </w:r>
            <w:r w:rsidR="00DA10BD" w:rsidRPr="007E61A0">
              <w:t xml:space="preserve"> CPP considered at the July 2020 PBAC Meeting.</w:t>
            </w:r>
          </w:p>
        </w:tc>
      </w:tr>
    </w:tbl>
    <w:p w14:paraId="5E531B7E" w14:textId="77777777" w:rsidR="00DA10BD" w:rsidRPr="007E61A0" w:rsidRDefault="00DA10BD" w:rsidP="00DA10BD">
      <w:pPr>
        <w:pStyle w:val="FooterTableFigure"/>
      </w:pPr>
      <w:r w:rsidRPr="007E61A0">
        <w:t>Source: Tables 49 and 87, pp111 and 155 of the submission.</w:t>
      </w:r>
    </w:p>
    <w:p w14:paraId="3552AAE8" w14:textId="77777777" w:rsidR="00DA10BD" w:rsidRPr="007E61A0" w:rsidRDefault="00DA10BD" w:rsidP="00DA10BD">
      <w:pPr>
        <w:pStyle w:val="FooterTableFigure"/>
      </w:pPr>
      <w:r w:rsidRPr="007E61A0">
        <w:t>1L = first line (deucravacitinib / apremilast); ABS = Australian Bureau of Statistics; BSC = best supportive care; CER = cost-effectiveness review; CPP = chronic plaque psoriasis; IPD = individual patient data; PASI = Psoriasis Area and Severity Index; PBAC = Pharmaceutical Benefits Advisory Committee; PBS = Pharmaceutical Benefits Scheme; QALYs = quality-adjusted life years.</w:t>
      </w:r>
    </w:p>
    <w:p w14:paraId="3F7362F8" w14:textId="77777777" w:rsidR="00DA10BD" w:rsidRPr="007E61A0" w:rsidRDefault="00DA10BD" w:rsidP="00DA10BD">
      <w:pPr>
        <w:pStyle w:val="FooterTableFigure"/>
      </w:pPr>
      <w:r w:rsidRPr="007E61A0">
        <w:t>PASI 75 response assessed as a proportion of subjects who achieved at least a 75% improvement from baseline in the PASI score.</w:t>
      </w:r>
    </w:p>
    <w:p w14:paraId="48A89205" w14:textId="3D0047FA" w:rsidR="00DA10BD" w:rsidRPr="007E61A0" w:rsidRDefault="00C8430F" w:rsidP="00DA10BD">
      <w:pPr>
        <w:pStyle w:val="FooterTableFigure"/>
      </w:pPr>
      <w:bookmarkStart w:id="50" w:name="_Hlk110932713"/>
      <w:proofErr w:type="spellStart"/>
      <w:r w:rsidRPr="007E61A0">
        <w:rPr>
          <w:vertAlign w:val="superscript"/>
        </w:rPr>
        <w:lastRenderedPageBreak/>
        <w:t>a</w:t>
      </w:r>
      <w:proofErr w:type="spellEnd"/>
      <w:r w:rsidRPr="007E61A0">
        <w:rPr>
          <w:vertAlign w:val="superscript"/>
        </w:rPr>
        <w:t xml:space="preserve"> </w:t>
      </w:r>
      <w:r w:rsidRPr="007E61A0">
        <w:t>The</w:t>
      </w:r>
      <w:r w:rsidR="00DA10BD" w:rsidRPr="007E61A0">
        <w:t xml:space="preserve"> submission reported that while technically, deucravacitinib/apremilast treatment could be considered in a second-line setting owing to its requirement for prior methotrexate use, it was considered the first-line treatment within the context of the model (p111 of the submission).</w:t>
      </w:r>
    </w:p>
    <w:bookmarkEnd w:id="50"/>
    <w:p w14:paraId="05F6A010" w14:textId="750ECCB1" w:rsidR="00DA10BD" w:rsidRPr="007E61A0" w:rsidRDefault="00DA10BD" w:rsidP="00DA10BD">
      <w:pPr>
        <w:pStyle w:val="3-BodyText"/>
      </w:pPr>
      <w:r w:rsidRPr="007E61A0">
        <w:t xml:space="preserve">The submission incorporated four patient-relevant outcomes in the model structure: treatment effectiveness (PASI response), PASI response to subsequent treatment (biologics), treatment discontinuation (best supportive care, BSC) and mortality. A Markov cohort approach was used to distribute patients between 16 mutually exclusive health states where patients transition between PASI response health states (PASI &lt;50, PASI 50 to &lt;75, PASI 75 to &lt;90, PASI 90 to &lt;100 and PASI 100 responses) within each line of therapy (first line (1L), deucravacitinib or apremilast; bDMARDs). </w:t>
      </w:r>
      <w:r w:rsidRPr="007E61A0">
        <w:fldChar w:fldCharType="begin" w:fldLock="1"/>
      </w:r>
      <w:r w:rsidRPr="007E61A0">
        <w:instrText xml:space="preserve"> REF _Ref110751730 \h </w:instrText>
      </w:r>
      <w:r w:rsidR="003E7216" w:rsidRPr="007E61A0">
        <w:instrText xml:space="preserve"> \* MERGEFORMAT </w:instrText>
      </w:r>
      <w:r w:rsidRPr="007E61A0">
        <w:fldChar w:fldCharType="separate"/>
      </w:r>
      <w:r w:rsidR="00EC7993" w:rsidRPr="007E61A0">
        <w:t xml:space="preserve">Figure </w:t>
      </w:r>
      <w:r w:rsidR="00EC7993">
        <w:t>2</w:t>
      </w:r>
      <w:r w:rsidRPr="007E61A0">
        <w:fldChar w:fldCharType="end"/>
      </w:r>
      <w:r w:rsidRPr="007E61A0">
        <w:t xml:space="preserve"> presents the state-transition diagram.</w:t>
      </w:r>
    </w:p>
    <w:p w14:paraId="61673BE9" w14:textId="16596BAF" w:rsidR="00DA10BD" w:rsidRPr="007E61A0" w:rsidRDefault="00DA10BD" w:rsidP="00DA10BD">
      <w:pPr>
        <w:pStyle w:val="Caption"/>
      </w:pPr>
      <w:bookmarkStart w:id="51" w:name="_Ref110751730"/>
      <w:r w:rsidRPr="007E61A0">
        <w:t xml:space="preserve">Figure </w:t>
      </w:r>
      <w:fldSimple w:instr=" SEQ Figure \* ARABIC " w:fldLock="1">
        <w:r w:rsidR="00EC7993">
          <w:rPr>
            <w:noProof/>
          </w:rPr>
          <w:t>2</w:t>
        </w:r>
      </w:fldSimple>
      <w:bookmarkEnd w:id="51"/>
      <w:r w:rsidRPr="007E61A0">
        <w:t>: State-transition diagram</w:t>
      </w:r>
    </w:p>
    <w:p w14:paraId="50723907" w14:textId="77777777" w:rsidR="00DA10BD" w:rsidRPr="007E61A0" w:rsidRDefault="00DA10BD" w:rsidP="00DA10BD">
      <w:r w:rsidRPr="007E61A0">
        <w:rPr>
          <w:noProof/>
        </w:rPr>
        <w:drawing>
          <wp:inline distT="0" distB="0" distL="0" distR="0" wp14:anchorId="41EF0C24" wp14:editId="54347D56">
            <wp:extent cx="5732145" cy="3023542"/>
            <wp:effectExtent l="0" t="0" r="1905" b="5715"/>
            <wp:docPr id="8" name="Picture 8" descr="Figure 2: State-transi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State-transition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3023542"/>
                    </a:xfrm>
                    <a:prstGeom prst="rect">
                      <a:avLst/>
                    </a:prstGeom>
                    <a:noFill/>
                  </pic:spPr>
                </pic:pic>
              </a:graphicData>
            </a:graphic>
          </wp:inline>
        </w:drawing>
      </w:r>
    </w:p>
    <w:p w14:paraId="4902A426" w14:textId="77777777" w:rsidR="00DA10BD" w:rsidRPr="007E61A0" w:rsidRDefault="00DA10BD" w:rsidP="00DA10BD">
      <w:pPr>
        <w:pStyle w:val="FooterTableFigure"/>
      </w:pPr>
      <w:bookmarkStart w:id="52" w:name="_Hlk109289495"/>
      <w:r w:rsidRPr="007E61A0">
        <w:t>Source: Figure 27, p125 of the submission.</w:t>
      </w:r>
    </w:p>
    <w:p w14:paraId="05602125" w14:textId="77777777" w:rsidR="00DA10BD" w:rsidRPr="007E61A0" w:rsidRDefault="00DA10BD" w:rsidP="00DA10BD">
      <w:pPr>
        <w:pStyle w:val="FooterTableFigure"/>
      </w:pPr>
      <w:r w:rsidRPr="007E61A0">
        <w:t>1L = first line (deucravacitinib / apremilast); bDMARD = biologic disease-modifying antirheumatic drug; BSC = best supportive care; PASI = Psoriasis Area and Severity Index.</w:t>
      </w:r>
    </w:p>
    <w:bookmarkEnd w:id="52"/>
    <w:p w14:paraId="53E44C07" w14:textId="224CBCCA" w:rsidR="00DA10BD" w:rsidRPr="007E61A0" w:rsidRDefault="00DA10BD" w:rsidP="00DA10BD">
      <w:pPr>
        <w:pStyle w:val="3-BodyText"/>
      </w:pPr>
      <w:r w:rsidRPr="007E61A0">
        <w:t xml:space="preserve">All patients initiating treatment, deucravacitinib or apremilast, referred to as first-line or 1L treatment in the economic model, were assigned a risk of mortality (based on age and sex). Those who survived either remained on treatment or discontinued treatment (set as 0% in the base case). Patients who failed to achieve an adequate response with first-line treatment and had a PASI score of &gt;15 switched to biologics therapy. </w:t>
      </w:r>
      <w:r w:rsidR="00803845" w:rsidRPr="007E61A0">
        <w:t xml:space="preserve">All </w:t>
      </w:r>
      <w:r w:rsidR="00AD4190">
        <w:t xml:space="preserve">BSC </w:t>
      </w:r>
      <w:r w:rsidR="00803845" w:rsidRPr="007E61A0">
        <w:t>patients were assumed to have PASI &lt;50 response</w:t>
      </w:r>
      <w:r w:rsidR="00AD4190">
        <w:t xml:space="preserve"> in the first treatment cycle.</w:t>
      </w:r>
      <w:r w:rsidR="00803845" w:rsidRPr="007E61A0">
        <w:t xml:space="preserve"> </w:t>
      </w:r>
      <w:r w:rsidRPr="007E61A0">
        <w:t xml:space="preserve">Individual patient data (IPD) from the POETYK 1 and POETYK 2 trials were used to distribute patients to the various first-line PASI response health states for the first three 8-week model cycles (24 weeks). Afterwards, treatment effectiveness was assumed constant. For biologic PASI response health states, the submission assumed biologics treatment as a single course of therapy with effectiveness based on the cumulative effectiveness of three lines of biologics and </w:t>
      </w:r>
      <w:r w:rsidRPr="007E61A0">
        <w:lastRenderedPageBreak/>
        <w:t xml:space="preserve">attributed within the first cycle on treatment. Constant effectiveness was applied after the first cycle. Treatment discontinuation was incorporated in the model to allow patients to transition from first line treatment (deucravacitinib/apremilast) health states to BSC health states (for sensitivity analyses). </w:t>
      </w:r>
    </w:p>
    <w:p w14:paraId="78457C3C" w14:textId="5AC1F006" w:rsidR="00DA10BD" w:rsidRPr="007E61A0" w:rsidRDefault="00DA10BD" w:rsidP="003A671F">
      <w:pPr>
        <w:pStyle w:val="3-BodyText"/>
      </w:pPr>
      <w:r w:rsidRPr="007E61A0">
        <w:t xml:space="preserve">The base case incremental cost-effectiveness ratio (ICER), based on the effective price of deucravacitinib and the published price of apremilast, was estimated to be </w:t>
      </w:r>
      <w:r w:rsidR="003A671F" w:rsidRPr="003A671F">
        <w:t>$25,000 to &lt; $35,000</w:t>
      </w:r>
      <w:r w:rsidR="006C365A" w:rsidRPr="007E61A0">
        <w:t>/</w:t>
      </w:r>
      <w:r w:rsidRPr="007E61A0">
        <w:t xml:space="preserve">QALY gained. The key model drivers are given in the table below. </w:t>
      </w:r>
    </w:p>
    <w:p w14:paraId="743A5AC8" w14:textId="21861039" w:rsidR="00DA10BD" w:rsidRPr="007E61A0" w:rsidRDefault="00DA10BD" w:rsidP="00DA10BD">
      <w:pPr>
        <w:pStyle w:val="Caption"/>
        <w:rPr>
          <w:rStyle w:val="CommentReference"/>
          <w:b/>
          <w:szCs w:val="24"/>
        </w:rPr>
      </w:pPr>
      <w:bookmarkStart w:id="53" w:name="_Ref104805122"/>
      <w:r w:rsidRPr="007E61A0">
        <w:t xml:space="preserve">Table </w:t>
      </w:r>
      <w:fldSimple w:instr=" SEQ Table \* ARABIC " w:fldLock="1">
        <w:r w:rsidR="00EC7993">
          <w:rPr>
            <w:noProof/>
          </w:rPr>
          <w:t>10</w:t>
        </w:r>
      </w:fldSimple>
      <w:bookmarkEnd w:id="53"/>
      <w:r w:rsidRPr="007E61A0">
        <w:t>:</w:t>
      </w:r>
      <w:r w:rsidRPr="007E61A0">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3120"/>
        <w:gridCol w:w="4059"/>
      </w:tblGrid>
      <w:tr w:rsidR="00DA10BD" w:rsidRPr="007E61A0" w14:paraId="77B9C40B" w14:textId="77777777" w:rsidTr="006D0001">
        <w:trPr>
          <w:tblHeader/>
        </w:trPr>
        <w:tc>
          <w:tcPr>
            <w:tcW w:w="1019" w:type="pct"/>
            <w:shd w:val="clear" w:color="auto" w:fill="auto"/>
            <w:vAlign w:val="center"/>
          </w:tcPr>
          <w:p w14:paraId="7DB9A6E2" w14:textId="77777777" w:rsidR="00DA10BD" w:rsidRPr="007E61A0" w:rsidRDefault="00DA10BD" w:rsidP="006D0001">
            <w:pPr>
              <w:pStyle w:val="In-tableHeading"/>
              <w:jc w:val="center"/>
              <w:rPr>
                <w:lang w:val="en-AU"/>
              </w:rPr>
            </w:pPr>
            <w:r w:rsidRPr="007E61A0">
              <w:rPr>
                <w:lang w:val="en-AU"/>
              </w:rPr>
              <w:t>Description</w:t>
            </w:r>
          </w:p>
        </w:tc>
        <w:tc>
          <w:tcPr>
            <w:tcW w:w="1730" w:type="pct"/>
            <w:shd w:val="clear" w:color="auto" w:fill="auto"/>
            <w:vAlign w:val="center"/>
          </w:tcPr>
          <w:p w14:paraId="56443299" w14:textId="77777777" w:rsidR="00DA10BD" w:rsidRPr="007E61A0" w:rsidRDefault="00DA10BD" w:rsidP="006D0001">
            <w:pPr>
              <w:pStyle w:val="In-tableHeading"/>
              <w:jc w:val="center"/>
              <w:rPr>
                <w:lang w:val="en-AU"/>
              </w:rPr>
            </w:pPr>
            <w:r w:rsidRPr="007E61A0">
              <w:rPr>
                <w:lang w:val="en-AU"/>
              </w:rPr>
              <w:t>Method/Value</w:t>
            </w:r>
          </w:p>
        </w:tc>
        <w:tc>
          <w:tcPr>
            <w:tcW w:w="2251" w:type="pct"/>
            <w:shd w:val="clear" w:color="auto" w:fill="auto"/>
            <w:vAlign w:val="center"/>
          </w:tcPr>
          <w:p w14:paraId="1155F339" w14:textId="77777777" w:rsidR="00DA10BD" w:rsidRPr="007E61A0" w:rsidRDefault="00DA10BD" w:rsidP="006D0001">
            <w:pPr>
              <w:pStyle w:val="In-tableHeading"/>
              <w:jc w:val="center"/>
              <w:rPr>
                <w:lang w:val="en-AU"/>
              </w:rPr>
            </w:pPr>
            <w:r w:rsidRPr="007E61A0">
              <w:rPr>
                <w:lang w:val="en-AU"/>
              </w:rPr>
              <w:t>Impact</w:t>
            </w:r>
          </w:p>
          <w:p w14:paraId="29608ACE" w14:textId="30CA3D37" w:rsidR="00DA10BD" w:rsidRPr="007E61A0" w:rsidRDefault="00DA10BD" w:rsidP="006D0001">
            <w:pPr>
              <w:pStyle w:val="In-tableHeading"/>
              <w:jc w:val="center"/>
              <w:rPr>
                <w:lang w:val="en-AU"/>
              </w:rPr>
            </w:pPr>
            <w:r w:rsidRPr="007E61A0">
              <w:rPr>
                <w:rFonts w:cs="Arial"/>
                <w:szCs w:val="20"/>
                <w:lang w:val="en-AU"/>
              </w:rPr>
              <w:t>Base case: $</w:t>
            </w:r>
            <w:r w:rsidR="009942F6" w:rsidRPr="009942F6">
              <w:rPr>
                <w:rFonts w:cs="Arial" w:hint="eastAsia"/>
                <w:color w:val="000000"/>
                <w:w w:val="19"/>
                <w:szCs w:val="20"/>
                <w:shd w:val="solid" w:color="000000" w:fill="000000"/>
                <w:fitText w:val="88" w:id="-1305212671"/>
                <w:lang w:val="en-AU"/>
                <w14:textFill>
                  <w14:solidFill>
                    <w14:srgbClr w14:val="000000">
                      <w14:alpha w14:val="100000"/>
                    </w14:srgbClr>
                  </w14:solidFill>
                </w14:textFill>
              </w:rPr>
              <w:t xml:space="preserve">　</w:t>
            </w:r>
            <w:r w:rsidR="009942F6" w:rsidRPr="009942F6">
              <w:rPr>
                <w:rFonts w:cs="Arial"/>
                <w:color w:val="000000"/>
                <w:w w:val="19"/>
                <w:szCs w:val="20"/>
                <w:shd w:val="solid" w:color="000000" w:fill="000000"/>
                <w:fitText w:val="88" w:id="-1305212671"/>
                <w:lang w:val="en-AU"/>
                <w14:textFill>
                  <w14:solidFill>
                    <w14:srgbClr w14:val="000000">
                      <w14:alpha w14:val="100000"/>
                    </w14:srgbClr>
                  </w14:solidFill>
                </w14:textFill>
              </w:rPr>
              <w:t>|</w:t>
            </w:r>
            <w:r w:rsidR="009942F6" w:rsidRPr="009942F6">
              <w:rPr>
                <w:rFonts w:cs="Arial" w:hint="eastAsia"/>
                <w:color w:val="000000"/>
                <w:spacing w:val="4"/>
                <w:w w:val="19"/>
                <w:szCs w:val="20"/>
                <w:shd w:val="solid" w:color="000000" w:fill="000000"/>
                <w:fitText w:val="88" w:id="-1305212671"/>
                <w:lang w:val="en-AU"/>
                <w14:textFill>
                  <w14:solidFill>
                    <w14:srgbClr w14:val="000000">
                      <w14:alpha w14:val="100000"/>
                    </w14:srgbClr>
                  </w14:solidFill>
                </w14:textFill>
              </w:rPr>
              <w:t xml:space="preserve">　</w:t>
            </w:r>
            <w:r w:rsidR="003A671F">
              <w:rPr>
                <w:rFonts w:cs="Arial"/>
                <w:szCs w:val="20"/>
                <w:vertAlign w:val="superscript"/>
                <w:lang w:val="en-AU"/>
              </w:rPr>
              <w:t>1</w:t>
            </w:r>
            <w:r w:rsidRPr="007E61A0">
              <w:rPr>
                <w:rFonts w:cs="Arial"/>
                <w:szCs w:val="20"/>
                <w:lang w:val="en-AU"/>
              </w:rPr>
              <w:t>/ additional QALY gained</w:t>
            </w:r>
          </w:p>
        </w:tc>
      </w:tr>
      <w:tr w:rsidR="00DA10BD" w:rsidRPr="007E61A0" w14:paraId="386D5FA6" w14:textId="77777777" w:rsidTr="006D0001">
        <w:tc>
          <w:tcPr>
            <w:tcW w:w="1019" w:type="pct"/>
            <w:shd w:val="clear" w:color="auto" w:fill="auto"/>
            <w:vAlign w:val="center"/>
          </w:tcPr>
          <w:p w14:paraId="2CA2D794" w14:textId="77777777" w:rsidR="00DA10BD" w:rsidRPr="007E61A0" w:rsidRDefault="00DA10BD" w:rsidP="006D0001">
            <w:pPr>
              <w:pStyle w:val="TableText0"/>
            </w:pPr>
            <w:r w:rsidRPr="007E61A0">
              <w:t>Utilities</w:t>
            </w:r>
          </w:p>
        </w:tc>
        <w:tc>
          <w:tcPr>
            <w:tcW w:w="1730" w:type="pct"/>
            <w:shd w:val="clear" w:color="auto" w:fill="auto"/>
            <w:vAlign w:val="center"/>
          </w:tcPr>
          <w:p w14:paraId="7E350CB9" w14:textId="77777777" w:rsidR="00DA10BD" w:rsidRPr="007E61A0" w:rsidRDefault="00DA10BD" w:rsidP="006D0001">
            <w:pPr>
              <w:pStyle w:val="TableText0"/>
            </w:pPr>
            <w:r w:rsidRPr="007E61A0">
              <w:t>Utility values for PASI response health states from literature (Zug 1995)</w:t>
            </w:r>
          </w:p>
        </w:tc>
        <w:tc>
          <w:tcPr>
            <w:tcW w:w="2251" w:type="pct"/>
            <w:shd w:val="clear" w:color="auto" w:fill="auto"/>
            <w:vAlign w:val="center"/>
          </w:tcPr>
          <w:p w14:paraId="54360BBE" w14:textId="613E8F81" w:rsidR="00DA10BD" w:rsidRPr="007E61A0" w:rsidRDefault="00DA10BD" w:rsidP="006D0001">
            <w:pPr>
              <w:pStyle w:val="TableText0"/>
            </w:pPr>
            <w:r w:rsidRPr="007E61A0">
              <w:t>High, base case favours deucravacitinib. Use of pooled POETYK trial data increased the ICER by 510% to $</w:t>
            </w:r>
            <w:r w:rsidR="009942F6" w:rsidRPr="009942F6">
              <w:rPr>
                <w:color w:val="000000"/>
                <w:spacing w:val="64"/>
                <w:shd w:val="solid" w:color="000000" w:fill="000000"/>
                <w:fitText w:val="363" w:id="-1305212670"/>
                <w14:textFill>
                  <w14:solidFill>
                    <w14:srgbClr w14:val="000000">
                      <w14:alpha w14:val="100000"/>
                    </w14:srgbClr>
                  </w14:solidFill>
                </w14:textFill>
              </w:rPr>
              <w:t>|||</w:t>
            </w:r>
            <w:r w:rsidR="009942F6" w:rsidRPr="009942F6">
              <w:rPr>
                <w:color w:val="000000"/>
                <w:spacing w:val="1"/>
                <w:shd w:val="solid" w:color="000000" w:fill="000000"/>
                <w:fitText w:val="363" w:id="-1305212670"/>
                <w14:textFill>
                  <w14:solidFill>
                    <w14:srgbClr w14:val="000000">
                      <w14:alpha w14:val="100000"/>
                    </w14:srgbClr>
                  </w14:solidFill>
                </w14:textFill>
              </w:rPr>
              <w:t>|</w:t>
            </w:r>
            <w:r w:rsidR="003A671F">
              <w:rPr>
                <w:rFonts w:cs="Arial"/>
                <w:szCs w:val="20"/>
                <w:vertAlign w:val="superscript"/>
              </w:rPr>
              <w:t>2</w:t>
            </w:r>
            <w:r w:rsidRPr="007E61A0">
              <w:t xml:space="preserve"> / additional QALY gained.</w:t>
            </w:r>
          </w:p>
        </w:tc>
      </w:tr>
      <w:tr w:rsidR="00DA10BD" w:rsidRPr="007E61A0" w14:paraId="533EDB05" w14:textId="77777777" w:rsidTr="006D0001">
        <w:tc>
          <w:tcPr>
            <w:tcW w:w="1019" w:type="pct"/>
            <w:shd w:val="clear" w:color="auto" w:fill="auto"/>
            <w:vAlign w:val="center"/>
          </w:tcPr>
          <w:p w14:paraId="56FB4529" w14:textId="77777777" w:rsidR="00DA10BD" w:rsidRPr="007E61A0" w:rsidRDefault="00DA10BD" w:rsidP="006D0001">
            <w:pPr>
              <w:pStyle w:val="TableText0"/>
            </w:pPr>
            <w:r w:rsidRPr="007E61A0">
              <w:t xml:space="preserve">Subsequent biologics use </w:t>
            </w:r>
          </w:p>
        </w:tc>
        <w:tc>
          <w:tcPr>
            <w:tcW w:w="1730" w:type="pct"/>
            <w:shd w:val="clear" w:color="auto" w:fill="auto"/>
            <w:vAlign w:val="center"/>
          </w:tcPr>
          <w:p w14:paraId="00991848" w14:textId="20B51904" w:rsidR="00DA10BD" w:rsidRPr="007E61A0" w:rsidRDefault="00590E8E" w:rsidP="006D0001">
            <w:pPr>
              <w:pStyle w:val="TableText0"/>
            </w:pPr>
            <w:r w:rsidRPr="007E61A0">
              <w:t xml:space="preserve">Biologic use based on the POETYK </w:t>
            </w:r>
            <w:proofErr w:type="spellStart"/>
            <w:r w:rsidRPr="007E61A0">
              <w:t>trials</w:t>
            </w:r>
            <w:r w:rsidRPr="007E61A0">
              <w:rPr>
                <w:vertAlign w:val="superscript"/>
              </w:rPr>
              <w:t>a</w:t>
            </w:r>
            <w:proofErr w:type="spellEnd"/>
          </w:p>
        </w:tc>
        <w:tc>
          <w:tcPr>
            <w:tcW w:w="2251" w:type="pct"/>
            <w:shd w:val="clear" w:color="auto" w:fill="auto"/>
            <w:vAlign w:val="center"/>
          </w:tcPr>
          <w:p w14:paraId="0C45223B" w14:textId="66AEC003" w:rsidR="00DA10BD" w:rsidRPr="007E61A0" w:rsidRDefault="00DA10BD" w:rsidP="006D0001">
            <w:pPr>
              <w:pStyle w:val="TableText0"/>
            </w:pPr>
            <w:r w:rsidRPr="007E61A0">
              <w:t>Moderate, base case favours deucravacitinib. Use of other assumption (e.g., all patients with PASI &lt;50 response transition to biologics) increased the ICER by 74% to $</w:t>
            </w:r>
            <w:r w:rsidR="009942F6" w:rsidRPr="009942F6">
              <w:rPr>
                <w:color w:val="000000"/>
                <w:spacing w:val="64"/>
                <w:shd w:val="solid" w:color="000000" w:fill="000000"/>
                <w:fitText w:val="363" w:id="-1305212669"/>
                <w14:textFill>
                  <w14:solidFill>
                    <w14:srgbClr w14:val="000000">
                      <w14:alpha w14:val="100000"/>
                    </w14:srgbClr>
                  </w14:solidFill>
                </w14:textFill>
              </w:rPr>
              <w:t>|||</w:t>
            </w:r>
            <w:r w:rsidR="009942F6" w:rsidRPr="009942F6">
              <w:rPr>
                <w:color w:val="000000"/>
                <w:spacing w:val="1"/>
                <w:shd w:val="solid" w:color="000000" w:fill="000000"/>
                <w:fitText w:val="363" w:id="-1305212669"/>
                <w14:textFill>
                  <w14:solidFill>
                    <w14:srgbClr w14:val="000000">
                      <w14:alpha w14:val="100000"/>
                    </w14:srgbClr>
                  </w14:solidFill>
                </w14:textFill>
              </w:rPr>
              <w:t>|</w:t>
            </w:r>
            <w:r w:rsidR="003A671F">
              <w:rPr>
                <w:rFonts w:cs="Arial"/>
                <w:szCs w:val="20"/>
                <w:vertAlign w:val="superscript"/>
              </w:rPr>
              <w:t>3</w:t>
            </w:r>
            <w:r w:rsidRPr="007E61A0">
              <w:t xml:space="preserve"> / QALY gained.</w:t>
            </w:r>
          </w:p>
        </w:tc>
      </w:tr>
      <w:tr w:rsidR="00DA10BD" w:rsidRPr="007E61A0" w14:paraId="6696C564" w14:textId="77777777" w:rsidTr="006D0001">
        <w:tc>
          <w:tcPr>
            <w:tcW w:w="1019" w:type="pct"/>
            <w:shd w:val="clear" w:color="auto" w:fill="auto"/>
            <w:vAlign w:val="center"/>
          </w:tcPr>
          <w:p w14:paraId="2D652CE4" w14:textId="77777777" w:rsidR="00DA10BD" w:rsidRPr="007E61A0" w:rsidRDefault="00DA10BD" w:rsidP="006D0001">
            <w:pPr>
              <w:pStyle w:val="TableText0"/>
            </w:pPr>
            <w:r w:rsidRPr="007E61A0">
              <w:t>Clinical effectiveness of deucravacitinib / apremilast</w:t>
            </w:r>
          </w:p>
        </w:tc>
        <w:tc>
          <w:tcPr>
            <w:tcW w:w="1730" w:type="pct"/>
            <w:shd w:val="clear" w:color="auto" w:fill="auto"/>
            <w:vAlign w:val="center"/>
          </w:tcPr>
          <w:p w14:paraId="1D77EF5C" w14:textId="77777777" w:rsidR="00DA10BD" w:rsidRPr="007E61A0" w:rsidRDefault="00DA10BD" w:rsidP="006D0001">
            <w:pPr>
              <w:pStyle w:val="TableText0"/>
            </w:pPr>
            <w:r w:rsidRPr="007E61A0">
              <w:t>Distribution of PASI response health states based on pooled IPD data of the POETYK 1 and POETYK 2 trials</w:t>
            </w:r>
          </w:p>
        </w:tc>
        <w:tc>
          <w:tcPr>
            <w:tcW w:w="2251" w:type="pct"/>
            <w:shd w:val="clear" w:color="auto" w:fill="auto"/>
            <w:vAlign w:val="center"/>
          </w:tcPr>
          <w:p w14:paraId="1D266FAB" w14:textId="0593524C" w:rsidR="00DA10BD" w:rsidRPr="007E61A0" w:rsidRDefault="00DA10BD" w:rsidP="006D0001">
            <w:pPr>
              <w:pStyle w:val="TableText0"/>
            </w:pPr>
            <w:r w:rsidRPr="007E61A0">
              <w:t>High. Use of data from POETYK 2 alone increased the ICER by 92% to $</w:t>
            </w:r>
            <w:r w:rsidR="009942F6" w:rsidRPr="00226285">
              <w:rPr>
                <w:color w:val="000000"/>
                <w:spacing w:val="68"/>
                <w:shd w:val="solid" w:color="000000" w:fill="000000"/>
                <w:fitText w:val="376" w:id="-1305212668"/>
                <w14:textFill>
                  <w14:solidFill>
                    <w14:srgbClr w14:val="000000">
                      <w14:alpha w14:val="100000"/>
                    </w14:srgbClr>
                  </w14:solidFill>
                </w14:textFill>
              </w:rPr>
              <w:t>|||</w:t>
            </w:r>
            <w:r w:rsidR="009942F6" w:rsidRPr="00226285">
              <w:rPr>
                <w:color w:val="000000"/>
                <w:spacing w:val="2"/>
                <w:shd w:val="solid" w:color="000000" w:fill="000000"/>
                <w:fitText w:val="376" w:id="-1305212668"/>
                <w14:textFill>
                  <w14:solidFill>
                    <w14:srgbClr w14:val="000000">
                      <w14:alpha w14:val="100000"/>
                    </w14:srgbClr>
                  </w14:solidFill>
                </w14:textFill>
              </w:rPr>
              <w:t>|</w:t>
            </w:r>
            <w:r w:rsidR="003A671F">
              <w:rPr>
                <w:rFonts w:cs="Arial"/>
                <w:szCs w:val="20"/>
                <w:vertAlign w:val="superscript"/>
              </w:rPr>
              <w:t>4</w:t>
            </w:r>
            <w:r w:rsidRPr="007E61A0">
              <w:t xml:space="preserve"> / QALY and use of data from POETYK 1 decreased the ICER by 47% to $</w:t>
            </w:r>
            <w:r w:rsidR="009942F6" w:rsidRPr="009942F6">
              <w:rPr>
                <w:color w:val="000000"/>
                <w:spacing w:val="64"/>
                <w:shd w:val="solid" w:color="000000" w:fill="000000"/>
                <w:fitText w:val="363" w:id="-1305212667"/>
                <w14:textFill>
                  <w14:solidFill>
                    <w14:srgbClr w14:val="000000">
                      <w14:alpha w14:val="100000"/>
                    </w14:srgbClr>
                  </w14:solidFill>
                </w14:textFill>
              </w:rPr>
              <w:t>|||</w:t>
            </w:r>
            <w:r w:rsidR="009942F6" w:rsidRPr="009942F6">
              <w:rPr>
                <w:color w:val="000000"/>
                <w:spacing w:val="1"/>
                <w:shd w:val="solid" w:color="000000" w:fill="000000"/>
                <w:fitText w:val="363" w:id="-1305212667"/>
                <w14:textFill>
                  <w14:solidFill>
                    <w14:srgbClr w14:val="000000">
                      <w14:alpha w14:val="100000"/>
                    </w14:srgbClr>
                  </w14:solidFill>
                </w14:textFill>
              </w:rPr>
              <w:t>|</w:t>
            </w:r>
            <w:r w:rsidR="003A671F">
              <w:rPr>
                <w:rFonts w:cs="Arial"/>
                <w:szCs w:val="20"/>
                <w:vertAlign w:val="superscript"/>
              </w:rPr>
              <w:t>5</w:t>
            </w:r>
            <w:r w:rsidRPr="007E61A0">
              <w:t xml:space="preserve"> / QALY.</w:t>
            </w:r>
          </w:p>
        </w:tc>
      </w:tr>
      <w:tr w:rsidR="00DA10BD" w:rsidRPr="007E61A0" w14:paraId="1A33A558" w14:textId="77777777" w:rsidTr="006D0001">
        <w:tc>
          <w:tcPr>
            <w:tcW w:w="1019" w:type="pct"/>
            <w:shd w:val="clear" w:color="auto" w:fill="auto"/>
            <w:vAlign w:val="center"/>
          </w:tcPr>
          <w:p w14:paraId="411F781A" w14:textId="77777777" w:rsidR="00DA10BD" w:rsidRPr="007E61A0" w:rsidRDefault="00DA10BD" w:rsidP="006D0001">
            <w:pPr>
              <w:pStyle w:val="TableText0"/>
            </w:pPr>
            <w:r w:rsidRPr="007E61A0">
              <w:t>Loss of efficacy (post 24 weeks)</w:t>
            </w:r>
          </w:p>
        </w:tc>
        <w:tc>
          <w:tcPr>
            <w:tcW w:w="1730" w:type="pct"/>
            <w:shd w:val="clear" w:color="auto" w:fill="auto"/>
            <w:vAlign w:val="center"/>
          </w:tcPr>
          <w:p w14:paraId="6F4F5110" w14:textId="77777777" w:rsidR="00DA10BD" w:rsidRPr="007E61A0" w:rsidRDefault="00DA10BD" w:rsidP="006D0001">
            <w:pPr>
              <w:pStyle w:val="TableText0"/>
            </w:pPr>
            <w:r w:rsidRPr="007E61A0">
              <w:t>Assumed no loss of efficacy post 24 weeks for both deucravacitinib and apremilast</w:t>
            </w:r>
          </w:p>
        </w:tc>
        <w:tc>
          <w:tcPr>
            <w:tcW w:w="2251" w:type="pct"/>
            <w:shd w:val="clear" w:color="auto" w:fill="auto"/>
            <w:vAlign w:val="center"/>
          </w:tcPr>
          <w:p w14:paraId="50E5C7ED" w14:textId="1BCB5113" w:rsidR="00DA10BD" w:rsidRPr="007E61A0" w:rsidRDefault="00DA10BD" w:rsidP="006D0001">
            <w:pPr>
              <w:pStyle w:val="TableText0"/>
            </w:pPr>
            <w:r w:rsidRPr="007E61A0">
              <w:t>High, base case favours deucravacitinib. Assuming</w:t>
            </w:r>
            <w:r w:rsidR="00BE4C34" w:rsidRPr="007E61A0">
              <w:t xml:space="preserve"> 10%</w:t>
            </w:r>
            <w:r w:rsidRPr="007E61A0">
              <w:t xml:space="preserve"> loss of efficacy </w:t>
            </w:r>
            <w:r w:rsidR="00BE4C34" w:rsidRPr="007E61A0">
              <w:t>for</w:t>
            </w:r>
            <w:r w:rsidRPr="007E61A0">
              <w:t xml:space="preserve"> deucravacitinib </w:t>
            </w:r>
            <w:r w:rsidR="00BE4C34" w:rsidRPr="007E61A0">
              <w:t>and</w:t>
            </w:r>
            <w:r w:rsidRPr="007E61A0">
              <w:t xml:space="preserve"> apremilast increased the ICER by </w:t>
            </w:r>
            <w:r w:rsidR="00BE4C34" w:rsidRPr="007E61A0">
              <w:t>25</w:t>
            </w:r>
            <w:r w:rsidRPr="007E61A0">
              <w:t>% to $</w:t>
            </w:r>
            <w:r w:rsidR="009942F6" w:rsidRPr="009942F6">
              <w:rPr>
                <w:color w:val="000000"/>
                <w:spacing w:val="64"/>
                <w:shd w:val="solid" w:color="000000" w:fill="000000"/>
                <w:fitText w:val="364" w:id="-1305212666"/>
                <w14:textFill>
                  <w14:solidFill>
                    <w14:srgbClr w14:val="000000">
                      <w14:alpha w14:val="100000"/>
                    </w14:srgbClr>
                  </w14:solidFill>
                </w14:textFill>
              </w:rPr>
              <w:t>|||</w:t>
            </w:r>
            <w:r w:rsidR="009942F6" w:rsidRPr="009942F6">
              <w:rPr>
                <w:color w:val="000000"/>
                <w:spacing w:val="2"/>
                <w:shd w:val="solid" w:color="000000" w:fill="000000"/>
                <w:fitText w:val="364" w:id="-1305212666"/>
                <w14:textFill>
                  <w14:solidFill>
                    <w14:srgbClr w14:val="000000">
                      <w14:alpha w14:val="100000"/>
                    </w14:srgbClr>
                  </w14:solidFill>
                </w14:textFill>
              </w:rPr>
              <w:t>|</w:t>
            </w:r>
            <w:r w:rsidR="003A671F">
              <w:rPr>
                <w:rFonts w:cs="Arial"/>
                <w:szCs w:val="20"/>
                <w:vertAlign w:val="superscript"/>
              </w:rPr>
              <w:t>6</w:t>
            </w:r>
            <w:r w:rsidRPr="007E61A0">
              <w:t xml:space="preserve"> /</w:t>
            </w:r>
            <w:r w:rsidR="00734BE8" w:rsidRPr="007E61A0">
              <w:t xml:space="preserve"> </w:t>
            </w:r>
            <w:r w:rsidRPr="007E61A0">
              <w:t>QALY.</w:t>
            </w:r>
          </w:p>
        </w:tc>
      </w:tr>
    </w:tbl>
    <w:p w14:paraId="4A5AD711" w14:textId="77777777" w:rsidR="00DA10BD" w:rsidRPr="007E61A0" w:rsidRDefault="00DA10BD" w:rsidP="00DA10BD">
      <w:pPr>
        <w:pStyle w:val="FooterTableFigure"/>
      </w:pPr>
      <w:r w:rsidRPr="007E61A0">
        <w:t>Source: Tables 105-107, pp170-171 of the submission</w:t>
      </w:r>
    </w:p>
    <w:p w14:paraId="19F98690" w14:textId="61648A53" w:rsidR="00DA10BD" w:rsidRPr="007E61A0" w:rsidRDefault="00DA10BD" w:rsidP="00DA10BD">
      <w:pPr>
        <w:pStyle w:val="FooterTableFigure"/>
      </w:pPr>
      <w:r w:rsidRPr="007E61A0">
        <w:t>ICER = incremental cost-effectiveness ratio; IPD = individual patient data; PASI = Psoriasis Area and Severity Index; QALY = quality-adjusted life year.</w:t>
      </w:r>
    </w:p>
    <w:p w14:paraId="691B78F4" w14:textId="504D4A29" w:rsidR="00590E8E" w:rsidRPr="007E61A0" w:rsidRDefault="00590E8E" w:rsidP="00F665D5">
      <w:pPr>
        <w:pStyle w:val="FooterTableFigure"/>
        <w:spacing w:after="0"/>
      </w:pPr>
      <w:r w:rsidRPr="007E61A0">
        <w:rPr>
          <w:vertAlign w:val="superscript"/>
        </w:rPr>
        <w:t>a</w:t>
      </w:r>
      <w:r w:rsidRPr="007E61A0">
        <w:t xml:space="preserve"> IPD from the POETYK trials were used to derive the proportion of patients in each PASI response health state with an absolute PASI score &gt;15 at week 8, 16 and 24. All of these patients were switched to biologics, assuming all patients would transition to biologics once eligible. Sensitivity analyses explored the impact of varying proportions of patients not achieving PASI &gt;75 response switching to biologics.</w:t>
      </w:r>
    </w:p>
    <w:p w14:paraId="13877E00" w14:textId="77777777" w:rsidR="003A671F" w:rsidRDefault="003A671F" w:rsidP="003A671F">
      <w:pPr>
        <w:rPr>
          <w:rFonts w:ascii="Arial Narrow" w:hAnsi="Arial Narrow"/>
          <w:i/>
          <w:sz w:val="18"/>
          <w:szCs w:val="18"/>
        </w:rPr>
      </w:pPr>
      <w:r>
        <w:rPr>
          <w:rFonts w:ascii="Arial Narrow" w:hAnsi="Arial Narrow"/>
          <w:i/>
          <w:sz w:val="18"/>
          <w:szCs w:val="18"/>
        </w:rPr>
        <w:t xml:space="preserve">The redacted values correspond to the following ranges: </w:t>
      </w:r>
    </w:p>
    <w:p w14:paraId="4FF9840A" w14:textId="2657E95C" w:rsidR="003A671F" w:rsidRDefault="003A671F" w:rsidP="003A671F">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3A671F">
        <w:rPr>
          <w:rFonts w:ascii="Arial Narrow" w:hAnsi="Arial Narrow"/>
          <w:i/>
          <w:sz w:val="18"/>
          <w:szCs w:val="18"/>
        </w:rPr>
        <w:t>$25,000 to &lt; $35,000</w:t>
      </w:r>
    </w:p>
    <w:p w14:paraId="324B5CC2" w14:textId="550454D5" w:rsidR="003A671F" w:rsidRDefault="003A671F" w:rsidP="003A671F">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3A671F">
        <w:rPr>
          <w:rFonts w:ascii="Arial Narrow" w:hAnsi="Arial Narrow"/>
          <w:i/>
          <w:sz w:val="18"/>
          <w:szCs w:val="18"/>
        </w:rPr>
        <w:t>$155,000 to &lt; $255,000</w:t>
      </w:r>
    </w:p>
    <w:p w14:paraId="10325240" w14:textId="1968C492" w:rsidR="003A671F" w:rsidRDefault="003A671F" w:rsidP="003A671F">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3A671F">
        <w:rPr>
          <w:rFonts w:ascii="Arial Narrow" w:hAnsi="Arial Narrow"/>
          <w:i/>
          <w:sz w:val="18"/>
          <w:szCs w:val="18"/>
        </w:rPr>
        <w:t>$45,000 to &lt; $55,000</w:t>
      </w:r>
    </w:p>
    <w:p w14:paraId="758A1792" w14:textId="7C67070F" w:rsidR="003A671F" w:rsidRDefault="003A671F" w:rsidP="003A671F">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3A671F">
        <w:rPr>
          <w:rFonts w:ascii="Arial Narrow" w:hAnsi="Arial Narrow"/>
          <w:i/>
          <w:sz w:val="18"/>
          <w:szCs w:val="18"/>
        </w:rPr>
        <w:t>$55,000 to &lt; $75,000</w:t>
      </w:r>
    </w:p>
    <w:p w14:paraId="4DB73054" w14:textId="4987C0AC" w:rsidR="003A671F" w:rsidRDefault="003A671F" w:rsidP="003A671F">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3A671F">
        <w:rPr>
          <w:rFonts w:ascii="Arial Narrow" w:hAnsi="Arial Narrow"/>
          <w:i/>
          <w:sz w:val="18"/>
          <w:szCs w:val="18"/>
        </w:rPr>
        <w:t>$15,000 to &lt; $25,000</w:t>
      </w:r>
    </w:p>
    <w:p w14:paraId="543FD154" w14:textId="77777777" w:rsidR="00932180" w:rsidRPr="00932180" w:rsidRDefault="003A671F" w:rsidP="00932180">
      <w:pPr>
        <w:pStyle w:val="3-BodyText"/>
        <w:numPr>
          <w:ilvl w:val="0"/>
          <w:numId w:val="0"/>
        </w:numPr>
      </w:pPr>
      <w:r>
        <w:rPr>
          <w:rFonts w:ascii="Arial Narrow" w:hAnsi="Arial Narrow"/>
          <w:i/>
          <w:sz w:val="18"/>
          <w:szCs w:val="18"/>
          <w:vertAlign w:val="superscript"/>
        </w:rPr>
        <w:t>6</w:t>
      </w:r>
      <w:r>
        <w:rPr>
          <w:rFonts w:ascii="Arial Narrow" w:hAnsi="Arial Narrow"/>
          <w:i/>
          <w:sz w:val="18"/>
          <w:szCs w:val="18"/>
        </w:rPr>
        <w:t xml:space="preserve"> </w:t>
      </w:r>
      <w:r w:rsidRPr="003A671F">
        <w:rPr>
          <w:rFonts w:ascii="Arial Narrow" w:hAnsi="Arial Narrow"/>
          <w:i/>
          <w:sz w:val="18"/>
          <w:szCs w:val="18"/>
        </w:rPr>
        <w:t>$35,000 to &lt; $45,000</w:t>
      </w:r>
    </w:p>
    <w:p w14:paraId="255168ED" w14:textId="3E6F709B" w:rsidR="00DA10BD" w:rsidRPr="007E61A0" w:rsidRDefault="00DA10BD" w:rsidP="00DA10BD">
      <w:pPr>
        <w:pStyle w:val="3-BodyText"/>
      </w:pPr>
      <w:r w:rsidRPr="007E61A0">
        <w:t xml:space="preserve">The economic model was most sensitive to utility values, first-line (deucravacitinib or apremilast) clinical effectiveness, efficacy post 24 weeks trial period, and subsequent biologic use. </w:t>
      </w:r>
    </w:p>
    <w:p w14:paraId="3F330FAF" w14:textId="0B4904EE" w:rsidR="00DA10BD" w:rsidRPr="007E61A0" w:rsidRDefault="00DA10BD" w:rsidP="00DA10BD">
      <w:pPr>
        <w:pStyle w:val="3-BodyText"/>
      </w:pPr>
      <w:r w:rsidRPr="007E61A0">
        <w:fldChar w:fldCharType="begin" w:fldLock="1"/>
      </w:r>
      <w:r w:rsidRPr="007E61A0">
        <w:instrText xml:space="preserve"> REF _Ref110880361 \h </w:instrText>
      </w:r>
      <w:r w:rsidR="003E7216" w:rsidRPr="007E61A0">
        <w:instrText xml:space="preserve"> \* MERGEFORMAT </w:instrText>
      </w:r>
      <w:r w:rsidRPr="007E61A0">
        <w:fldChar w:fldCharType="separate"/>
      </w:r>
      <w:r w:rsidR="00EC7993" w:rsidRPr="007E61A0">
        <w:t xml:space="preserve">Table </w:t>
      </w:r>
      <w:r w:rsidR="00EC7993">
        <w:t>11</w:t>
      </w:r>
      <w:r w:rsidRPr="007E61A0">
        <w:fldChar w:fldCharType="end"/>
      </w:r>
      <w:r w:rsidRPr="007E61A0">
        <w:t xml:space="preserve"> presents the results of the stepped economic evaluation in the submission. These results were based on the </w:t>
      </w:r>
      <w:r w:rsidR="005B55AD" w:rsidRPr="007E61A0">
        <w:t xml:space="preserve">proposed </w:t>
      </w:r>
      <w:r w:rsidRPr="007E61A0">
        <w:t>effective price of deucravacitinib and the published price</w:t>
      </w:r>
      <w:r w:rsidR="005B55AD" w:rsidRPr="007E61A0">
        <w:t>s</w:t>
      </w:r>
      <w:r w:rsidRPr="007E61A0">
        <w:t xml:space="preserve"> of apremilast</w:t>
      </w:r>
      <w:r w:rsidR="004962EF" w:rsidRPr="007E61A0">
        <w:t xml:space="preserve"> and adalimumab</w:t>
      </w:r>
      <w:r w:rsidRPr="007E61A0">
        <w:t xml:space="preserve">. </w:t>
      </w:r>
    </w:p>
    <w:p w14:paraId="24ED8045" w14:textId="3B9E15A2" w:rsidR="00DA10BD" w:rsidRPr="007E61A0" w:rsidRDefault="00DA10BD" w:rsidP="00290375">
      <w:pPr>
        <w:pStyle w:val="Caption"/>
        <w:rPr>
          <w:rStyle w:val="CommentReference"/>
          <w:b/>
          <w:szCs w:val="24"/>
        </w:rPr>
      </w:pPr>
      <w:bookmarkStart w:id="54" w:name="_Ref110880361"/>
      <w:r w:rsidRPr="007E61A0">
        <w:lastRenderedPageBreak/>
        <w:t xml:space="preserve">Table </w:t>
      </w:r>
      <w:fldSimple w:instr=" SEQ Table \* ARABIC " w:fldLock="1">
        <w:r w:rsidR="00EC7993">
          <w:rPr>
            <w:noProof/>
          </w:rPr>
          <w:t>11</w:t>
        </w:r>
      </w:fldSimple>
      <w:bookmarkEnd w:id="54"/>
      <w:r w:rsidRPr="007E61A0">
        <w:t>:</w:t>
      </w:r>
      <w:r w:rsidRPr="007E61A0">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5"/>
        <w:gridCol w:w="1342"/>
        <w:gridCol w:w="1861"/>
        <w:gridCol w:w="1342"/>
        <w:gridCol w:w="1717"/>
      </w:tblGrid>
      <w:tr w:rsidR="00DA10BD" w:rsidRPr="007E61A0" w14:paraId="24A7BBEF" w14:textId="77777777" w:rsidTr="00230C72">
        <w:trPr>
          <w:tblHeader/>
        </w:trPr>
        <w:tc>
          <w:tcPr>
            <w:tcW w:w="1528" w:type="pct"/>
            <w:vAlign w:val="center"/>
          </w:tcPr>
          <w:p w14:paraId="465EACC9" w14:textId="77777777" w:rsidR="00DA10BD" w:rsidRPr="007E61A0" w:rsidRDefault="00DA10BD" w:rsidP="00290375">
            <w:pPr>
              <w:pStyle w:val="In-tableHeading"/>
              <w:jc w:val="center"/>
              <w:rPr>
                <w:lang w:val="en-AU"/>
              </w:rPr>
            </w:pPr>
            <w:r w:rsidRPr="007E61A0">
              <w:rPr>
                <w:lang w:val="en-AU"/>
              </w:rPr>
              <w:t>Step and component</w:t>
            </w:r>
          </w:p>
        </w:tc>
        <w:tc>
          <w:tcPr>
            <w:tcW w:w="744" w:type="pct"/>
            <w:shd w:val="clear" w:color="auto" w:fill="FFFFFF" w:themeFill="background1"/>
            <w:vAlign w:val="center"/>
          </w:tcPr>
          <w:p w14:paraId="39176D11" w14:textId="77777777" w:rsidR="00DA10BD" w:rsidRPr="007E61A0" w:rsidRDefault="00DA10BD" w:rsidP="00290375">
            <w:pPr>
              <w:pStyle w:val="In-tableHeading"/>
              <w:jc w:val="center"/>
              <w:rPr>
                <w:lang w:val="en-AU"/>
              </w:rPr>
            </w:pPr>
            <w:r w:rsidRPr="007E61A0">
              <w:rPr>
                <w:lang w:val="en-AU"/>
              </w:rPr>
              <w:t>Deucravacitinib</w:t>
            </w:r>
          </w:p>
        </w:tc>
        <w:tc>
          <w:tcPr>
            <w:tcW w:w="1032" w:type="pct"/>
            <w:shd w:val="clear" w:color="auto" w:fill="FFFFFF" w:themeFill="background1"/>
            <w:vAlign w:val="center"/>
          </w:tcPr>
          <w:p w14:paraId="52BFFB0B" w14:textId="77777777" w:rsidR="00DA10BD" w:rsidRPr="007E61A0" w:rsidRDefault="00DA10BD" w:rsidP="00290375">
            <w:pPr>
              <w:pStyle w:val="In-tableHeading"/>
              <w:jc w:val="center"/>
              <w:rPr>
                <w:lang w:val="en-AU"/>
              </w:rPr>
            </w:pPr>
            <w:r w:rsidRPr="007E61A0">
              <w:rPr>
                <w:lang w:val="en-AU"/>
              </w:rPr>
              <w:t>Apremilast</w:t>
            </w:r>
          </w:p>
        </w:tc>
        <w:tc>
          <w:tcPr>
            <w:tcW w:w="744" w:type="pct"/>
            <w:vAlign w:val="center"/>
          </w:tcPr>
          <w:p w14:paraId="2A0EB4FB" w14:textId="77777777" w:rsidR="00DA10BD" w:rsidRPr="007E61A0" w:rsidRDefault="00DA10BD" w:rsidP="00290375">
            <w:pPr>
              <w:pStyle w:val="In-tableHeading"/>
              <w:jc w:val="center"/>
              <w:rPr>
                <w:lang w:val="en-AU"/>
              </w:rPr>
            </w:pPr>
            <w:r w:rsidRPr="007E61A0">
              <w:rPr>
                <w:lang w:val="en-AU"/>
              </w:rPr>
              <w:t>Increment</w:t>
            </w:r>
          </w:p>
        </w:tc>
        <w:tc>
          <w:tcPr>
            <w:tcW w:w="952" w:type="pct"/>
            <w:vAlign w:val="center"/>
          </w:tcPr>
          <w:p w14:paraId="1141CED0" w14:textId="77777777" w:rsidR="00DA10BD" w:rsidRPr="007E61A0" w:rsidRDefault="00DA10BD" w:rsidP="00290375">
            <w:pPr>
              <w:pStyle w:val="In-tableHeading"/>
              <w:jc w:val="center"/>
              <w:rPr>
                <w:lang w:val="en-AU"/>
              </w:rPr>
            </w:pPr>
            <w:r w:rsidRPr="007E61A0">
              <w:rPr>
                <w:lang w:val="en-AU"/>
              </w:rPr>
              <w:t>Incremental cost / extra outcome gained</w:t>
            </w:r>
          </w:p>
        </w:tc>
      </w:tr>
      <w:tr w:rsidR="00DA10BD" w:rsidRPr="007E61A0" w14:paraId="53EE21AA" w14:textId="77777777" w:rsidTr="006D0001">
        <w:tc>
          <w:tcPr>
            <w:tcW w:w="5000" w:type="pct"/>
            <w:gridSpan w:val="5"/>
          </w:tcPr>
          <w:p w14:paraId="51E18668" w14:textId="77777777" w:rsidR="00DA10BD" w:rsidRPr="007E61A0" w:rsidRDefault="00DA10BD" w:rsidP="00290375">
            <w:pPr>
              <w:pStyle w:val="TableText0"/>
              <w:rPr>
                <w:b/>
                <w:bCs w:val="0"/>
              </w:rPr>
            </w:pPr>
            <w:r w:rsidRPr="007E61A0">
              <w:rPr>
                <w:b/>
                <w:bCs w:val="0"/>
              </w:rPr>
              <w:t>Step 1: Trial-based (24 weeks): Pooled POETKY trials</w:t>
            </w:r>
          </w:p>
        </w:tc>
      </w:tr>
      <w:tr w:rsidR="00DA10BD" w:rsidRPr="007E61A0" w14:paraId="55B35F35" w14:textId="77777777" w:rsidTr="00230C72">
        <w:tc>
          <w:tcPr>
            <w:tcW w:w="1528" w:type="pct"/>
            <w:vAlign w:val="center"/>
          </w:tcPr>
          <w:p w14:paraId="718E6772" w14:textId="77777777" w:rsidR="00DA10BD" w:rsidRPr="007E61A0" w:rsidRDefault="00DA10BD" w:rsidP="00290375">
            <w:pPr>
              <w:pStyle w:val="TableText0"/>
              <w:rPr>
                <w:rFonts w:ascii="Times" w:hAnsi="Times"/>
              </w:rPr>
            </w:pPr>
            <w:r w:rsidRPr="007E61A0">
              <w:t>Costs (1L drug costs)</w:t>
            </w:r>
          </w:p>
        </w:tc>
        <w:tc>
          <w:tcPr>
            <w:tcW w:w="744" w:type="pct"/>
            <w:shd w:val="clear" w:color="auto" w:fill="auto"/>
            <w:vAlign w:val="center"/>
          </w:tcPr>
          <w:p w14:paraId="7F2387CE" w14:textId="0641EC00" w:rsidR="00DA10BD" w:rsidRPr="007E61A0" w:rsidRDefault="00DA10BD" w:rsidP="00290375">
            <w:pPr>
              <w:pStyle w:val="TableText0"/>
              <w:jc w:val="center"/>
              <w:rPr>
                <w:rFonts w:ascii="Times" w:hAnsi="Times"/>
              </w:rPr>
            </w:pPr>
            <w:r w:rsidRPr="007E61A0">
              <w:t>$</w:t>
            </w:r>
            <w:r w:rsidR="009942F6" w:rsidRPr="009942F6">
              <w:rPr>
                <w:color w:val="000000"/>
                <w:shd w:val="solid" w:color="000000" w:fill="000000"/>
                <w14:textFill>
                  <w14:solidFill>
                    <w14:srgbClr w14:val="000000">
                      <w14:alpha w14:val="100000"/>
                    </w14:srgbClr>
                  </w14:solidFill>
                </w14:textFill>
              </w:rPr>
              <w:t>|</w:t>
            </w:r>
          </w:p>
        </w:tc>
        <w:tc>
          <w:tcPr>
            <w:tcW w:w="1032" w:type="pct"/>
            <w:shd w:val="clear" w:color="auto" w:fill="auto"/>
            <w:vAlign w:val="center"/>
          </w:tcPr>
          <w:p w14:paraId="111DF2BC" w14:textId="77777777" w:rsidR="00DA10BD" w:rsidRPr="007E61A0" w:rsidRDefault="00DA10BD" w:rsidP="00290375">
            <w:pPr>
              <w:pStyle w:val="TableText0"/>
              <w:jc w:val="center"/>
              <w:rPr>
                <w:rFonts w:ascii="Times" w:hAnsi="Times"/>
              </w:rPr>
            </w:pPr>
            <w:r w:rsidRPr="007E61A0">
              <w:t>$3,683</w:t>
            </w:r>
          </w:p>
        </w:tc>
        <w:tc>
          <w:tcPr>
            <w:tcW w:w="744" w:type="pct"/>
            <w:shd w:val="clear" w:color="auto" w:fill="auto"/>
            <w:vAlign w:val="center"/>
          </w:tcPr>
          <w:p w14:paraId="44F5C461" w14:textId="4D604B01" w:rsidR="00DA10BD" w:rsidRPr="007E61A0" w:rsidRDefault="00DA10BD" w:rsidP="00290375">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c>
          <w:tcPr>
            <w:tcW w:w="952" w:type="pct"/>
            <w:shd w:val="clear" w:color="auto" w:fill="auto"/>
            <w:vAlign w:val="center"/>
          </w:tcPr>
          <w:p w14:paraId="237B8BEA" w14:textId="77777777" w:rsidR="00DA10BD" w:rsidRPr="007E61A0" w:rsidRDefault="00DA10BD" w:rsidP="00290375">
            <w:pPr>
              <w:pStyle w:val="TableText0"/>
              <w:jc w:val="center"/>
              <w:rPr>
                <w:rFonts w:ascii="Times" w:hAnsi="Times"/>
              </w:rPr>
            </w:pPr>
          </w:p>
        </w:tc>
      </w:tr>
      <w:tr w:rsidR="00DA10BD" w:rsidRPr="007E61A0" w14:paraId="74931880" w14:textId="77777777" w:rsidTr="00230C72">
        <w:tc>
          <w:tcPr>
            <w:tcW w:w="1528" w:type="pct"/>
            <w:vAlign w:val="center"/>
          </w:tcPr>
          <w:p w14:paraId="5D584DDE" w14:textId="77777777" w:rsidR="00DA10BD" w:rsidRPr="007E61A0" w:rsidRDefault="00DA10BD" w:rsidP="00290375">
            <w:pPr>
              <w:pStyle w:val="TableText0"/>
            </w:pPr>
            <w:r w:rsidRPr="007E61A0">
              <w:t>PASI 50 response</w:t>
            </w:r>
          </w:p>
        </w:tc>
        <w:tc>
          <w:tcPr>
            <w:tcW w:w="744" w:type="pct"/>
            <w:shd w:val="clear" w:color="auto" w:fill="auto"/>
            <w:vAlign w:val="center"/>
          </w:tcPr>
          <w:p w14:paraId="1FB020C8" w14:textId="130D1B3C" w:rsidR="00DA10BD" w:rsidRPr="007E61A0" w:rsidRDefault="001D6E02" w:rsidP="00290375">
            <w:pPr>
              <w:pStyle w:val="TableText0"/>
              <w:jc w:val="center"/>
            </w:pPr>
            <w:r w:rsidRPr="007E61A0">
              <w:t>78.5%</w:t>
            </w:r>
          </w:p>
        </w:tc>
        <w:tc>
          <w:tcPr>
            <w:tcW w:w="1032" w:type="pct"/>
            <w:shd w:val="clear" w:color="auto" w:fill="auto"/>
            <w:vAlign w:val="center"/>
          </w:tcPr>
          <w:p w14:paraId="42E6580C" w14:textId="78DA7868" w:rsidR="00DA10BD" w:rsidRPr="007E61A0" w:rsidRDefault="001D6E02" w:rsidP="00290375">
            <w:pPr>
              <w:pStyle w:val="TableText0"/>
              <w:jc w:val="center"/>
            </w:pPr>
            <w:r w:rsidRPr="007E61A0">
              <w:t>55.5%</w:t>
            </w:r>
          </w:p>
        </w:tc>
        <w:tc>
          <w:tcPr>
            <w:tcW w:w="744" w:type="pct"/>
            <w:shd w:val="clear" w:color="auto" w:fill="auto"/>
            <w:vAlign w:val="center"/>
          </w:tcPr>
          <w:p w14:paraId="19CC9177" w14:textId="77777777" w:rsidR="00DA10BD" w:rsidRPr="007E61A0" w:rsidRDefault="00DA10BD" w:rsidP="00290375">
            <w:pPr>
              <w:pStyle w:val="TableText0"/>
              <w:jc w:val="center"/>
            </w:pPr>
            <w:r w:rsidRPr="007E61A0">
              <w:t>23.0%</w:t>
            </w:r>
          </w:p>
        </w:tc>
        <w:tc>
          <w:tcPr>
            <w:tcW w:w="952" w:type="pct"/>
            <w:shd w:val="clear" w:color="auto" w:fill="auto"/>
            <w:vAlign w:val="center"/>
          </w:tcPr>
          <w:p w14:paraId="57F5322F" w14:textId="025987BE" w:rsidR="00DA10BD" w:rsidRPr="007E61A0" w:rsidRDefault="00DA10BD" w:rsidP="00290375">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r>
      <w:tr w:rsidR="00DA10BD" w:rsidRPr="007E61A0" w14:paraId="59815F9B" w14:textId="77777777" w:rsidTr="00230C72">
        <w:tc>
          <w:tcPr>
            <w:tcW w:w="1528" w:type="pct"/>
            <w:vAlign w:val="center"/>
          </w:tcPr>
          <w:p w14:paraId="4A1FE820" w14:textId="77777777" w:rsidR="00DA10BD" w:rsidRPr="007E61A0" w:rsidRDefault="00DA10BD" w:rsidP="00290375">
            <w:pPr>
              <w:pStyle w:val="TableText0"/>
            </w:pPr>
            <w:r w:rsidRPr="007E61A0">
              <w:t>PASI 75 response</w:t>
            </w:r>
          </w:p>
        </w:tc>
        <w:tc>
          <w:tcPr>
            <w:tcW w:w="744" w:type="pct"/>
            <w:shd w:val="clear" w:color="auto" w:fill="auto"/>
            <w:vAlign w:val="center"/>
          </w:tcPr>
          <w:p w14:paraId="4518F6C1" w14:textId="704A13AE" w:rsidR="00DA10BD" w:rsidRPr="007E61A0" w:rsidRDefault="001D6E02" w:rsidP="00290375">
            <w:pPr>
              <w:pStyle w:val="TableText0"/>
              <w:jc w:val="center"/>
            </w:pPr>
            <w:r w:rsidRPr="007E61A0">
              <w:t>63.0%</w:t>
            </w:r>
          </w:p>
        </w:tc>
        <w:tc>
          <w:tcPr>
            <w:tcW w:w="1032" w:type="pct"/>
            <w:shd w:val="clear" w:color="auto" w:fill="auto"/>
            <w:vAlign w:val="center"/>
          </w:tcPr>
          <w:p w14:paraId="69BF2FDD" w14:textId="64E1FB9C" w:rsidR="00DA10BD" w:rsidRPr="007E61A0" w:rsidRDefault="001D6E02" w:rsidP="00290375">
            <w:pPr>
              <w:pStyle w:val="TableText0"/>
              <w:jc w:val="center"/>
            </w:pPr>
            <w:r w:rsidRPr="007E61A0">
              <w:t>37.9%</w:t>
            </w:r>
          </w:p>
        </w:tc>
        <w:tc>
          <w:tcPr>
            <w:tcW w:w="744" w:type="pct"/>
            <w:shd w:val="clear" w:color="auto" w:fill="auto"/>
            <w:vAlign w:val="center"/>
          </w:tcPr>
          <w:p w14:paraId="669C24BF" w14:textId="77777777" w:rsidR="00DA10BD" w:rsidRPr="007E61A0" w:rsidRDefault="00DA10BD" w:rsidP="00290375">
            <w:pPr>
              <w:pStyle w:val="TableText0"/>
              <w:jc w:val="center"/>
            </w:pPr>
            <w:r w:rsidRPr="007E61A0">
              <w:t>25.1%</w:t>
            </w:r>
          </w:p>
        </w:tc>
        <w:tc>
          <w:tcPr>
            <w:tcW w:w="952" w:type="pct"/>
            <w:shd w:val="clear" w:color="auto" w:fill="auto"/>
            <w:vAlign w:val="center"/>
          </w:tcPr>
          <w:p w14:paraId="0F3AB012" w14:textId="0B647215" w:rsidR="00DA10BD" w:rsidRPr="007E61A0" w:rsidRDefault="00DA10BD" w:rsidP="00290375">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r>
      <w:tr w:rsidR="00DA10BD" w:rsidRPr="007E61A0" w14:paraId="69CBC268" w14:textId="77777777" w:rsidTr="00230C72">
        <w:tc>
          <w:tcPr>
            <w:tcW w:w="1528" w:type="pct"/>
            <w:vAlign w:val="center"/>
          </w:tcPr>
          <w:p w14:paraId="533D9892" w14:textId="77777777" w:rsidR="00DA10BD" w:rsidRPr="007E61A0" w:rsidRDefault="00DA10BD" w:rsidP="00290375">
            <w:pPr>
              <w:pStyle w:val="TableText0"/>
            </w:pPr>
            <w:r w:rsidRPr="007E61A0">
              <w:t>PASI 90 response</w:t>
            </w:r>
          </w:p>
        </w:tc>
        <w:tc>
          <w:tcPr>
            <w:tcW w:w="744" w:type="pct"/>
            <w:shd w:val="clear" w:color="auto" w:fill="auto"/>
            <w:vAlign w:val="center"/>
          </w:tcPr>
          <w:p w14:paraId="7D12FC04" w14:textId="4C7E842F" w:rsidR="00DA10BD" w:rsidRPr="007E61A0" w:rsidRDefault="001D6E02" w:rsidP="00290375">
            <w:pPr>
              <w:pStyle w:val="TableText0"/>
              <w:jc w:val="center"/>
            </w:pPr>
            <w:r w:rsidRPr="007E61A0">
              <w:t>36.5%</w:t>
            </w:r>
          </w:p>
        </w:tc>
        <w:tc>
          <w:tcPr>
            <w:tcW w:w="1032" w:type="pct"/>
            <w:shd w:val="clear" w:color="auto" w:fill="auto"/>
            <w:vAlign w:val="center"/>
          </w:tcPr>
          <w:p w14:paraId="5C5B23A2" w14:textId="2CA1EA39" w:rsidR="00DA10BD" w:rsidRPr="007E61A0" w:rsidRDefault="001D6E02" w:rsidP="00290375">
            <w:pPr>
              <w:pStyle w:val="TableText0"/>
              <w:jc w:val="center"/>
            </w:pPr>
            <w:r w:rsidRPr="007E61A0">
              <w:t>20.6%</w:t>
            </w:r>
          </w:p>
        </w:tc>
        <w:tc>
          <w:tcPr>
            <w:tcW w:w="744" w:type="pct"/>
            <w:shd w:val="clear" w:color="auto" w:fill="auto"/>
            <w:vAlign w:val="center"/>
          </w:tcPr>
          <w:p w14:paraId="2F72D332" w14:textId="77777777" w:rsidR="00DA10BD" w:rsidRPr="007E61A0" w:rsidRDefault="00DA10BD" w:rsidP="00290375">
            <w:pPr>
              <w:pStyle w:val="TableText0"/>
              <w:jc w:val="center"/>
            </w:pPr>
            <w:r w:rsidRPr="007E61A0">
              <w:t>15.8%</w:t>
            </w:r>
          </w:p>
        </w:tc>
        <w:tc>
          <w:tcPr>
            <w:tcW w:w="952" w:type="pct"/>
            <w:shd w:val="clear" w:color="auto" w:fill="auto"/>
            <w:vAlign w:val="center"/>
          </w:tcPr>
          <w:p w14:paraId="631CFABB" w14:textId="4BB9A237" w:rsidR="00DA10BD" w:rsidRPr="007E61A0" w:rsidRDefault="00DA10BD" w:rsidP="00290375">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r>
      <w:tr w:rsidR="00DA10BD" w:rsidRPr="007E61A0" w14:paraId="3D91BAA7" w14:textId="77777777" w:rsidTr="00230C72">
        <w:tc>
          <w:tcPr>
            <w:tcW w:w="1528" w:type="pct"/>
            <w:vAlign w:val="center"/>
          </w:tcPr>
          <w:p w14:paraId="48EDEDE4" w14:textId="77777777" w:rsidR="00DA10BD" w:rsidRPr="007E61A0" w:rsidRDefault="00DA10BD" w:rsidP="00290375">
            <w:pPr>
              <w:pStyle w:val="TableText0"/>
            </w:pPr>
            <w:r w:rsidRPr="007E61A0">
              <w:t>PASI 100 response</w:t>
            </w:r>
          </w:p>
        </w:tc>
        <w:tc>
          <w:tcPr>
            <w:tcW w:w="744" w:type="pct"/>
            <w:shd w:val="clear" w:color="auto" w:fill="auto"/>
            <w:vAlign w:val="center"/>
          </w:tcPr>
          <w:p w14:paraId="6ACC230F" w14:textId="5AA35CCE" w:rsidR="00DA10BD" w:rsidRPr="007E61A0" w:rsidRDefault="001D6E02" w:rsidP="00290375">
            <w:pPr>
              <w:pStyle w:val="TableText0"/>
              <w:jc w:val="center"/>
            </w:pPr>
            <w:r w:rsidRPr="007E61A0">
              <w:t>14.9%</w:t>
            </w:r>
          </w:p>
        </w:tc>
        <w:tc>
          <w:tcPr>
            <w:tcW w:w="1032" w:type="pct"/>
            <w:shd w:val="clear" w:color="auto" w:fill="auto"/>
            <w:vAlign w:val="center"/>
          </w:tcPr>
          <w:p w14:paraId="3469F17C" w14:textId="482C2B58" w:rsidR="00DA10BD" w:rsidRPr="007E61A0" w:rsidRDefault="001D6E02" w:rsidP="00290375">
            <w:pPr>
              <w:pStyle w:val="TableText0"/>
              <w:jc w:val="center"/>
            </w:pPr>
            <w:r w:rsidRPr="007E61A0">
              <w:t>6.6%</w:t>
            </w:r>
          </w:p>
        </w:tc>
        <w:tc>
          <w:tcPr>
            <w:tcW w:w="744" w:type="pct"/>
            <w:shd w:val="clear" w:color="auto" w:fill="auto"/>
            <w:vAlign w:val="center"/>
          </w:tcPr>
          <w:p w14:paraId="5F61DF69" w14:textId="77777777" w:rsidR="00DA10BD" w:rsidRPr="007E61A0" w:rsidRDefault="00DA10BD" w:rsidP="00290375">
            <w:pPr>
              <w:pStyle w:val="TableText0"/>
              <w:jc w:val="center"/>
            </w:pPr>
            <w:r w:rsidRPr="007E61A0">
              <w:t>8.2%</w:t>
            </w:r>
          </w:p>
        </w:tc>
        <w:tc>
          <w:tcPr>
            <w:tcW w:w="952" w:type="pct"/>
            <w:shd w:val="clear" w:color="auto" w:fill="auto"/>
            <w:vAlign w:val="center"/>
          </w:tcPr>
          <w:p w14:paraId="48C4B648" w14:textId="3156C5C9" w:rsidR="00DA10BD" w:rsidRPr="007E61A0" w:rsidRDefault="00DA10BD" w:rsidP="00290375">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r>
      <w:tr w:rsidR="00DA10BD" w:rsidRPr="007E61A0" w14:paraId="4ACB97CE" w14:textId="77777777" w:rsidTr="00293A0D">
        <w:tc>
          <w:tcPr>
            <w:tcW w:w="5000" w:type="pct"/>
            <w:gridSpan w:val="5"/>
            <w:shd w:val="clear" w:color="auto" w:fill="auto"/>
          </w:tcPr>
          <w:p w14:paraId="1AB271FC" w14:textId="2C1EE1FA" w:rsidR="00DA10BD" w:rsidRPr="007E61A0" w:rsidRDefault="00DA10BD" w:rsidP="00290375">
            <w:pPr>
              <w:pStyle w:val="In-tableHeading"/>
              <w:rPr>
                <w:lang w:val="en-AU"/>
              </w:rPr>
            </w:pPr>
            <w:r w:rsidRPr="007E61A0">
              <w:rPr>
                <w:lang w:val="en-AU"/>
              </w:rPr>
              <w:t xml:space="preserve">Step 2: Translation of PASI response outcomes to QALYs </w:t>
            </w:r>
          </w:p>
        </w:tc>
      </w:tr>
      <w:tr w:rsidR="00230C72" w:rsidRPr="007E61A0" w14:paraId="24C845E3" w14:textId="77777777" w:rsidTr="00172DE4">
        <w:tc>
          <w:tcPr>
            <w:tcW w:w="1528" w:type="pct"/>
            <w:vAlign w:val="center"/>
          </w:tcPr>
          <w:p w14:paraId="7F8B89B5" w14:textId="77777777" w:rsidR="00230C72" w:rsidRPr="007E61A0" w:rsidRDefault="00230C72" w:rsidP="00230C72">
            <w:pPr>
              <w:pStyle w:val="TableText0"/>
              <w:rPr>
                <w:rFonts w:ascii="Times" w:hAnsi="Times"/>
              </w:rPr>
            </w:pPr>
            <w:r w:rsidRPr="007E61A0">
              <w:t>Costs</w:t>
            </w:r>
          </w:p>
        </w:tc>
        <w:tc>
          <w:tcPr>
            <w:tcW w:w="744" w:type="pct"/>
            <w:shd w:val="clear" w:color="auto" w:fill="auto"/>
            <w:vAlign w:val="center"/>
          </w:tcPr>
          <w:p w14:paraId="272ED6B9" w14:textId="0EA9D79D" w:rsidR="00230C72" w:rsidRPr="007E61A0" w:rsidRDefault="00230C72" w:rsidP="00230C72">
            <w:pPr>
              <w:pStyle w:val="TableText0"/>
              <w:jc w:val="center"/>
              <w:rPr>
                <w:rFonts w:ascii="Times" w:hAnsi="Times"/>
              </w:rPr>
            </w:pPr>
            <w:r w:rsidRPr="007E61A0">
              <w:t>$</w:t>
            </w:r>
            <w:r w:rsidR="009942F6" w:rsidRPr="009942F6">
              <w:rPr>
                <w:color w:val="000000"/>
                <w:shd w:val="solid" w:color="000000" w:fill="000000"/>
                <w14:textFill>
                  <w14:solidFill>
                    <w14:srgbClr w14:val="000000">
                      <w14:alpha w14:val="100000"/>
                    </w14:srgbClr>
                  </w14:solidFill>
                </w14:textFill>
              </w:rPr>
              <w:t>|</w:t>
            </w:r>
          </w:p>
        </w:tc>
        <w:tc>
          <w:tcPr>
            <w:tcW w:w="1032" w:type="pct"/>
            <w:shd w:val="clear" w:color="auto" w:fill="auto"/>
            <w:vAlign w:val="center"/>
          </w:tcPr>
          <w:p w14:paraId="4AF03552" w14:textId="412ABAC7" w:rsidR="00230C72" w:rsidRPr="007E61A0" w:rsidRDefault="00230C72" w:rsidP="00230C72">
            <w:pPr>
              <w:pStyle w:val="TableText0"/>
              <w:jc w:val="center"/>
              <w:rPr>
                <w:rFonts w:ascii="Times" w:hAnsi="Times"/>
              </w:rPr>
            </w:pPr>
            <w:r w:rsidRPr="007E61A0">
              <w:t>$3,683</w:t>
            </w:r>
          </w:p>
        </w:tc>
        <w:tc>
          <w:tcPr>
            <w:tcW w:w="744" w:type="pct"/>
            <w:shd w:val="clear" w:color="auto" w:fill="auto"/>
            <w:vAlign w:val="center"/>
          </w:tcPr>
          <w:p w14:paraId="7C3A7AE1" w14:textId="4FE295B9" w:rsidR="00230C72" w:rsidRPr="007E61A0" w:rsidRDefault="00230C72" w:rsidP="00230C72">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c>
          <w:tcPr>
            <w:tcW w:w="952" w:type="pct"/>
            <w:shd w:val="clear" w:color="auto" w:fill="auto"/>
            <w:vAlign w:val="center"/>
          </w:tcPr>
          <w:p w14:paraId="6A88FFC0" w14:textId="77777777" w:rsidR="00230C72" w:rsidRPr="007E61A0" w:rsidRDefault="00230C72" w:rsidP="00230C72">
            <w:pPr>
              <w:pStyle w:val="TableText0"/>
              <w:jc w:val="center"/>
              <w:rPr>
                <w:rFonts w:ascii="Times" w:hAnsi="Times"/>
              </w:rPr>
            </w:pPr>
          </w:p>
        </w:tc>
      </w:tr>
      <w:tr w:rsidR="00DA10BD" w:rsidRPr="007E61A0" w14:paraId="0D803FCB" w14:textId="77777777" w:rsidTr="00230C72">
        <w:tc>
          <w:tcPr>
            <w:tcW w:w="1528" w:type="pct"/>
            <w:vAlign w:val="center"/>
          </w:tcPr>
          <w:p w14:paraId="322DE6D7" w14:textId="77777777" w:rsidR="00DA10BD" w:rsidRPr="007E61A0" w:rsidRDefault="00DA10BD" w:rsidP="00290375">
            <w:pPr>
              <w:pStyle w:val="TableText0"/>
              <w:rPr>
                <w:rFonts w:ascii="Times" w:hAnsi="Times"/>
              </w:rPr>
            </w:pPr>
            <w:r w:rsidRPr="007E61A0">
              <w:t>QALYs</w:t>
            </w:r>
          </w:p>
        </w:tc>
        <w:tc>
          <w:tcPr>
            <w:tcW w:w="744" w:type="pct"/>
            <w:shd w:val="clear" w:color="auto" w:fill="auto"/>
            <w:vAlign w:val="center"/>
          </w:tcPr>
          <w:p w14:paraId="25FD83A0" w14:textId="77777777" w:rsidR="00DA10BD" w:rsidRPr="007E61A0" w:rsidRDefault="00DA10BD" w:rsidP="00290375">
            <w:pPr>
              <w:pStyle w:val="TableText0"/>
              <w:jc w:val="center"/>
              <w:rPr>
                <w:rFonts w:ascii="Times" w:hAnsi="Times"/>
              </w:rPr>
            </w:pPr>
            <w:r w:rsidRPr="007E61A0">
              <w:t>NR</w:t>
            </w:r>
          </w:p>
        </w:tc>
        <w:tc>
          <w:tcPr>
            <w:tcW w:w="1032" w:type="pct"/>
            <w:shd w:val="clear" w:color="auto" w:fill="auto"/>
            <w:vAlign w:val="center"/>
          </w:tcPr>
          <w:p w14:paraId="09AF497A" w14:textId="77777777" w:rsidR="00DA10BD" w:rsidRPr="007E61A0" w:rsidRDefault="00DA10BD" w:rsidP="00290375">
            <w:pPr>
              <w:pStyle w:val="TableText0"/>
              <w:jc w:val="center"/>
              <w:rPr>
                <w:rFonts w:ascii="Times" w:hAnsi="Times"/>
              </w:rPr>
            </w:pPr>
            <w:r w:rsidRPr="007E61A0">
              <w:t>NR</w:t>
            </w:r>
          </w:p>
        </w:tc>
        <w:tc>
          <w:tcPr>
            <w:tcW w:w="744" w:type="pct"/>
            <w:shd w:val="clear" w:color="auto" w:fill="auto"/>
            <w:vAlign w:val="center"/>
          </w:tcPr>
          <w:p w14:paraId="24A27137" w14:textId="77777777" w:rsidR="00DA10BD" w:rsidRPr="007E61A0" w:rsidRDefault="00DA10BD" w:rsidP="00290375">
            <w:pPr>
              <w:pStyle w:val="TableText0"/>
              <w:jc w:val="center"/>
            </w:pPr>
            <w:r w:rsidRPr="007E61A0">
              <w:t>0.0192</w:t>
            </w:r>
          </w:p>
        </w:tc>
        <w:tc>
          <w:tcPr>
            <w:tcW w:w="952" w:type="pct"/>
            <w:shd w:val="clear" w:color="auto" w:fill="auto"/>
            <w:vAlign w:val="center"/>
          </w:tcPr>
          <w:p w14:paraId="06DDFEAF" w14:textId="77777777" w:rsidR="00DA10BD" w:rsidRPr="007E61A0" w:rsidRDefault="00DA10BD" w:rsidP="00290375">
            <w:pPr>
              <w:pStyle w:val="TableText0"/>
              <w:jc w:val="center"/>
            </w:pPr>
          </w:p>
        </w:tc>
      </w:tr>
      <w:tr w:rsidR="00DA10BD" w:rsidRPr="007E61A0" w14:paraId="41773C0A" w14:textId="77777777" w:rsidTr="00230C72">
        <w:tc>
          <w:tcPr>
            <w:tcW w:w="3304" w:type="pct"/>
            <w:gridSpan w:val="3"/>
            <w:shd w:val="clear" w:color="auto" w:fill="auto"/>
            <w:vAlign w:val="center"/>
          </w:tcPr>
          <w:p w14:paraId="0C1BF56A" w14:textId="77777777" w:rsidR="00DA10BD" w:rsidRPr="007E61A0" w:rsidRDefault="00DA10BD" w:rsidP="00290375">
            <w:pPr>
              <w:pStyle w:val="TableText0"/>
              <w:rPr>
                <w:rFonts w:ascii="Times" w:hAnsi="Times"/>
              </w:rPr>
            </w:pPr>
            <w:r w:rsidRPr="007E61A0">
              <w:t>Incremental cost/extra QALY gained</w:t>
            </w:r>
          </w:p>
        </w:tc>
        <w:tc>
          <w:tcPr>
            <w:tcW w:w="744" w:type="pct"/>
            <w:shd w:val="clear" w:color="auto" w:fill="auto"/>
          </w:tcPr>
          <w:p w14:paraId="27A28C7F" w14:textId="77777777" w:rsidR="00DA10BD" w:rsidRPr="007E61A0" w:rsidRDefault="00DA10BD" w:rsidP="00290375">
            <w:pPr>
              <w:pStyle w:val="TableText0"/>
              <w:jc w:val="center"/>
            </w:pPr>
          </w:p>
        </w:tc>
        <w:tc>
          <w:tcPr>
            <w:tcW w:w="952" w:type="pct"/>
            <w:shd w:val="clear" w:color="auto" w:fill="auto"/>
            <w:vAlign w:val="center"/>
          </w:tcPr>
          <w:p w14:paraId="21F4A554" w14:textId="6FB43170" w:rsidR="00DA10BD" w:rsidRPr="0056762D" w:rsidRDefault="00DA10BD" w:rsidP="00290375">
            <w:pPr>
              <w:pStyle w:val="TableText0"/>
              <w:jc w:val="center"/>
              <w:rPr>
                <w:rFonts w:ascii="Times" w:hAnsi="Times"/>
                <w:vertAlign w:val="superscript"/>
              </w:rPr>
            </w:pPr>
            <w:r w:rsidRPr="007E61A0">
              <w:t>$</w:t>
            </w:r>
            <w:r w:rsidR="009942F6" w:rsidRPr="009942F6">
              <w:rPr>
                <w:color w:val="000000"/>
                <w:shd w:val="solid" w:color="000000" w:fill="000000"/>
                <w14:textFill>
                  <w14:solidFill>
                    <w14:srgbClr w14:val="000000">
                      <w14:alpha w14:val="100000"/>
                    </w14:srgbClr>
                  </w14:solidFill>
                </w14:textFill>
              </w:rPr>
              <w:t>|</w:t>
            </w:r>
            <w:r w:rsidR="0056762D">
              <w:rPr>
                <w:vertAlign w:val="superscript"/>
              </w:rPr>
              <w:t>1</w:t>
            </w:r>
          </w:p>
        </w:tc>
      </w:tr>
      <w:tr w:rsidR="00DA10BD" w:rsidRPr="007E61A0" w14:paraId="445B2EC6" w14:textId="77777777" w:rsidTr="00293A0D">
        <w:tc>
          <w:tcPr>
            <w:tcW w:w="5000" w:type="pct"/>
            <w:gridSpan w:val="5"/>
            <w:shd w:val="clear" w:color="auto" w:fill="auto"/>
          </w:tcPr>
          <w:p w14:paraId="16473223" w14:textId="77777777" w:rsidR="00DA10BD" w:rsidRPr="007E61A0" w:rsidRDefault="00DA10BD" w:rsidP="00290375">
            <w:pPr>
              <w:pStyle w:val="In-tableHeading"/>
              <w:rPr>
                <w:lang w:val="en-AU"/>
              </w:rPr>
            </w:pPr>
            <w:r w:rsidRPr="007E61A0">
              <w:rPr>
                <w:lang w:val="en-AU"/>
              </w:rPr>
              <w:t>Step 3: Extrapolation of costs and outcomes (to 5-year time horizon)</w:t>
            </w:r>
          </w:p>
        </w:tc>
      </w:tr>
      <w:tr w:rsidR="00DA10BD" w:rsidRPr="007E61A0" w14:paraId="507C0F8A" w14:textId="77777777" w:rsidTr="00230C72">
        <w:tc>
          <w:tcPr>
            <w:tcW w:w="1528" w:type="pct"/>
            <w:vAlign w:val="center"/>
          </w:tcPr>
          <w:p w14:paraId="791E3566" w14:textId="77777777" w:rsidR="00DA10BD" w:rsidRPr="007E61A0" w:rsidRDefault="00DA10BD" w:rsidP="00290375">
            <w:pPr>
              <w:pStyle w:val="TableText0"/>
              <w:rPr>
                <w:rFonts w:ascii="Times" w:hAnsi="Times"/>
              </w:rPr>
            </w:pPr>
            <w:r w:rsidRPr="007E61A0">
              <w:t>Costs</w:t>
            </w:r>
          </w:p>
        </w:tc>
        <w:tc>
          <w:tcPr>
            <w:tcW w:w="744" w:type="pct"/>
            <w:shd w:val="clear" w:color="auto" w:fill="auto"/>
            <w:vAlign w:val="center"/>
          </w:tcPr>
          <w:p w14:paraId="16F3713C" w14:textId="6502E253" w:rsidR="00DA10BD" w:rsidRPr="007E61A0" w:rsidRDefault="00EE4F9C" w:rsidP="00290375">
            <w:pPr>
              <w:pStyle w:val="TableText0"/>
              <w:jc w:val="center"/>
              <w:rPr>
                <w:rFonts w:ascii="Times" w:hAnsi="Times"/>
              </w:rPr>
            </w:pPr>
            <w:r w:rsidRPr="007E61A0">
              <w:t>$</w:t>
            </w:r>
            <w:r w:rsidR="009942F6" w:rsidRPr="009942F6">
              <w:rPr>
                <w:color w:val="000000"/>
                <w:shd w:val="solid" w:color="000000" w:fill="000000"/>
                <w14:textFill>
                  <w14:solidFill>
                    <w14:srgbClr w14:val="000000">
                      <w14:alpha w14:val="100000"/>
                    </w14:srgbClr>
                  </w14:solidFill>
                </w14:textFill>
              </w:rPr>
              <w:t>|</w:t>
            </w:r>
          </w:p>
        </w:tc>
        <w:tc>
          <w:tcPr>
            <w:tcW w:w="1032" w:type="pct"/>
            <w:shd w:val="clear" w:color="auto" w:fill="auto"/>
            <w:vAlign w:val="center"/>
          </w:tcPr>
          <w:p w14:paraId="144BC2EC" w14:textId="08D3B0C2" w:rsidR="00DA10BD" w:rsidRPr="007E61A0" w:rsidRDefault="00EE4F9C" w:rsidP="00290375">
            <w:pPr>
              <w:pStyle w:val="TableText0"/>
              <w:jc w:val="center"/>
              <w:rPr>
                <w:rFonts w:ascii="Times" w:hAnsi="Times"/>
              </w:rPr>
            </w:pPr>
            <w:r w:rsidRPr="007E61A0">
              <w:t>$36,693</w:t>
            </w:r>
          </w:p>
        </w:tc>
        <w:tc>
          <w:tcPr>
            <w:tcW w:w="744" w:type="pct"/>
            <w:shd w:val="clear" w:color="auto" w:fill="auto"/>
            <w:vAlign w:val="center"/>
          </w:tcPr>
          <w:p w14:paraId="39818D16" w14:textId="2E538283" w:rsidR="00DA10BD" w:rsidRPr="007E61A0" w:rsidRDefault="00DA10BD" w:rsidP="00290375">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c>
          <w:tcPr>
            <w:tcW w:w="952" w:type="pct"/>
            <w:shd w:val="clear" w:color="auto" w:fill="auto"/>
            <w:vAlign w:val="center"/>
          </w:tcPr>
          <w:p w14:paraId="3A0E450E" w14:textId="77777777" w:rsidR="00DA10BD" w:rsidRPr="007E61A0" w:rsidRDefault="00DA10BD" w:rsidP="00290375">
            <w:pPr>
              <w:pStyle w:val="TableText0"/>
              <w:jc w:val="center"/>
              <w:rPr>
                <w:rFonts w:ascii="Times" w:hAnsi="Times"/>
              </w:rPr>
            </w:pPr>
          </w:p>
        </w:tc>
      </w:tr>
      <w:tr w:rsidR="00DA10BD" w:rsidRPr="007E61A0" w14:paraId="36D15255" w14:textId="77777777" w:rsidTr="00230C72">
        <w:tc>
          <w:tcPr>
            <w:tcW w:w="1528" w:type="pct"/>
            <w:vAlign w:val="center"/>
          </w:tcPr>
          <w:p w14:paraId="426CF8B9" w14:textId="77777777" w:rsidR="00DA10BD" w:rsidRPr="007E61A0" w:rsidRDefault="00DA10BD" w:rsidP="00290375">
            <w:pPr>
              <w:pStyle w:val="TableText0"/>
              <w:rPr>
                <w:rFonts w:ascii="Times" w:hAnsi="Times"/>
              </w:rPr>
            </w:pPr>
            <w:r w:rsidRPr="007E61A0">
              <w:t>QALYs</w:t>
            </w:r>
          </w:p>
        </w:tc>
        <w:tc>
          <w:tcPr>
            <w:tcW w:w="744" w:type="pct"/>
            <w:shd w:val="clear" w:color="auto" w:fill="auto"/>
            <w:vAlign w:val="center"/>
          </w:tcPr>
          <w:p w14:paraId="698EB802" w14:textId="3C30B13B" w:rsidR="00DA10BD" w:rsidRPr="007E61A0" w:rsidRDefault="00EE4F9C" w:rsidP="00290375">
            <w:pPr>
              <w:pStyle w:val="TableText0"/>
              <w:jc w:val="center"/>
              <w:rPr>
                <w:rFonts w:ascii="Times" w:hAnsi="Times"/>
              </w:rPr>
            </w:pPr>
            <w:r w:rsidRPr="007E61A0">
              <w:t>3.5147</w:t>
            </w:r>
          </w:p>
        </w:tc>
        <w:tc>
          <w:tcPr>
            <w:tcW w:w="1032" w:type="pct"/>
            <w:shd w:val="clear" w:color="auto" w:fill="auto"/>
            <w:vAlign w:val="center"/>
          </w:tcPr>
          <w:p w14:paraId="233606A9" w14:textId="330C0B76" w:rsidR="00DA10BD" w:rsidRPr="007E61A0" w:rsidRDefault="00EE4F9C" w:rsidP="00290375">
            <w:pPr>
              <w:pStyle w:val="TableText0"/>
              <w:jc w:val="center"/>
              <w:rPr>
                <w:rFonts w:ascii="Times" w:hAnsi="Times"/>
              </w:rPr>
            </w:pPr>
            <w:r w:rsidRPr="007E61A0">
              <w:t>3.1869</w:t>
            </w:r>
          </w:p>
        </w:tc>
        <w:tc>
          <w:tcPr>
            <w:tcW w:w="744" w:type="pct"/>
            <w:shd w:val="clear" w:color="auto" w:fill="auto"/>
            <w:vAlign w:val="center"/>
          </w:tcPr>
          <w:p w14:paraId="6AAA4461" w14:textId="77777777" w:rsidR="00DA10BD" w:rsidRPr="007E61A0" w:rsidRDefault="00DA10BD" w:rsidP="00290375">
            <w:pPr>
              <w:pStyle w:val="TableText0"/>
              <w:jc w:val="center"/>
            </w:pPr>
            <w:r w:rsidRPr="007E61A0">
              <w:t>0.3277</w:t>
            </w:r>
          </w:p>
        </w:tc>
        <w:tc>
          <w:tcPr>
            <w:tcW w:w="952" w:type="pct"/>
            <w:shd w:val="clear" w:color="auto" w:fill="auto"/>
            <w:vAlign w:val="center"/>
          </w:tcPr>
          <w:p w14:paraId="210E25EA" w14:textId="77777777" w:rsidR="00DA10BD" w:rsidRPr="007E61A0" w:rsidRDefault="00DA10BD" w:rsidP="00290375">
            <w:pPr>
              <w:pStyle w:val="TableText0"/>
              <w:jc w:val="center"/>
            </w:pPr>
          </w:p>
        </w:tc>
      </w:tr>
      <w:tr w:rsidR="00DA10BD" w:rsidRPr="007E61A0" w14:paraId="1309C213" w14:textId="77777777" w:rsidTr="00230C72">
        <w:tc>
          <w:tcPr>
            <w:tcW w:w="3304" w:type="pct"/>
            <w:gridSpan w:val="3"/>
            <w:shd w:val="clear" w:color="auto" w:fill="auto"/>
            <w:vAlign w:val="center"/>
          </w:tcPr>
          <w:p w14:paraId="175055EE" w14:textId="77777777" w:rsidR="00DA10BD" w:rsidRPr="007E61A0" w:rsidRDefault="00DA10BD" w:rsidP="00290375">
            <w:pPr>
              <w:pStyle w:val="TableText0"/>
              <w:rPr>
                <w:rFonts w:ascii="Times" w:hAnsi="Times"/>
              </w:rPr>
            </w:pPr>
            <w:r w:rsidRPr="007E61A0">
              <w:t>Incremental cost/extra QALY gained</w:t>
            </w:r>
          </w:p>
        </w:tc>
        <w:tc>
          <w:tcPr>
            <w:tcW w:w="744" w:type="pct"/>
            <w:shd w:val="clear" w:color="auto" w:fill="auto"/>
          </w:tcPr>
          <w:p w14:paraId="7FFD5723" w14:textId="77777777" w:rsidR="00DA10BD" w:rsidRPr="007E61A0" w:rsidRDefault="00DA10BD" w:rsidP="00290375">
            <w:pPr>
              <w:pStyle w:val="TableText0"/>
              <w:jc w:val="center"/>
            </w:pPr>
          </w:p>
        </w:tc>
        <w:tc>
          <w:tcPr>
            <w:tcW w:w="952" w:type="pct"/>
            <w:shd w:val="clear" w:color="auto" w:fill="auto"/>
            <w:vAlign w:val="center"/>
          </w:tcPr>
          <w:p w14:paraId="3504C517" w14:textId="2C1D6E1F" w:rsidR="00DA10BD" w:rsidRPr="0056762D" w:rsidRDefault="00DA10BD" w:rsidP="00290375">
            <w:pPr>
              <w:pStyle w:val="TableText0"/>
              <w:jc w:val="center"/>
              <w:rPr>
                <w:rFonts w:ascii="Times" w:hAnsi="Times"/>
                <w:vertAlign w:val="superscript"/>
              </w:rPr>
            </w:pPr>
            <w:r w:rsidRPr="007E61A0">
              <w:t>$</w:t>
            </w:r>
            <w:r w:rsidR="009942F6" w:rsidRPr="009942F6">
              <w:rPr>
                <w:color w:val="000000"/>
                <w:shd w:val="solid" w:color="000000" w:fill="000000"/>
                <w14:textFill>
                  <w14:solidFill>
                    <w14:srgbClr w14:val="000000">
                      <w14:alpha w14:val="100000"/>
                    </w14:srgbClr>
                  </w14:solidFill>
                </w14:textFill>
              </w:rPr>
              <w:t>|</w:t>
            </w:r>
            <w:r w:rsidR="0056762D">
              <w:rPr>
                <w:vertAlign w:val="superscript"/>
              </w:rPr>
              <w:t>2</w:t>
            </w:r>
          </w:p>
        </w:tc>
      </w:tr>
      <w:tr w:rsidR="00DA10BD" w:rsidRPr="007E61A0" w14:paraId="239D66B7" w14:textId="77777777" w:rsidTr="00293A0D">
        <w:tc>
          <w:tcPr>
            <w:tcW w:w="5000" w:type="pct"/>
            <w:gridSpan w:val="5"/>
            <w:shd w:val="clear" w:color="auto" w:fill="auto"/>
          </w:tcPr>
          <w:p w14:paraId="786707A6" w14:textId="77777777" w:rsidR="00DA10BD" w:rsidRPr="007E61A0" w:rsidRDefault="00DA10BD" w:rsidP="00290375">
            <w:pPr>
              <w:pStyle w:val="In-tableHeading"/>
              <w:rPr>
                <w:lang w:val="en-AU"/>
              </w:rPr>
            </w:pPr>
            <w:r w:rsidRPr="007E61A0">
              <w:rPr>
                <w:lang w:val="en-AU"/>
              </w:rPr>
              <w:t>Step 4: Incorporation of subsequent therapy with biologics</w:t>
            </w:r>
          </w:p>
        </w:tc>
      </w:tr>
      <w:tr w:rsidR="00DA10BD" w:rsidRPr="007E61A0" w14:paraId="034C60F7" w14:textId="77777777" w:rsidTr="00230C72">
        <w:tc>
          <w:tcPr>
            <w:tcW w:w="1528" w:type="pct"/>
            <w:vAlign w:val="center"/>
          </w:tcPr>
          <w:p w14:paraId="687A343F" w14:textId="77777777" w:rsidR="00DA10BD" w:rsidRPr="007E61A0" w:rsidRDefault="00DA10BD" w:rsidP="00290375">
            <w:pPr>
              <w:pStyle w:val="TableText0"/>
              <w:rPr>
                <w:rFonts w:ascii="Times" w:hAnsi="Times"/>
              </w:rPr>
            </w:pPr>
            <w:r w:rsidRPr="007E61A0">
              <w:t>Costs</w:t>
            </w:r>
          </w:p>
        </w:tc>
        <w:tc>
          <w:tcPr>
            <w:tcW w:w="744" w:type="pct"/>
            <w:shd w:val="clear" w:color="auto" w:fill="auto"/>
            <w:vAlign w:val="center"/>
          </w:tcPr>
          <w:p w14:paraId="333356D0" w14:textId="50B65192" w:rsidR="00DA10BD" w:rsidRPr="007E61A0" w:rsidRDefault="00DA10BD" w:rsidP="00290375">
            <w:pPr>
              <w:pStyle w:val="TableText0"/>
              <w:jc w:val="center"/>
              <w:rPr>
                <w:rFonts w:ascii="Times" w:hAnsi="Times"/>
              </w:rPr>
            </w:pPr>
            <w:r w:rsidRPr="007E61A0">
              <w:t>$</w:t>
            </w:r>
            <w:r w:rsidR="009942F6" w:rsidRPr="009942F6">
              <w:rPr>
                <w:color w:val="000000"/>
                <w:shd w:val="solid" w:color="000000" w:fill="000000"/>
                <w14:textFill>
                  <w14:solidFill>
                    <w14:srgbClr w14:val="000000">
                      <w14:alpha w14:val="100000"/>
                    </w14:srgbClr>
                  </w14:solidFill>
                </w14:textFill>
              </w:rPr>
              <w:t>|</w:t>
            </w:r>
          </w:p>
        </w:tc>
        <w:tc>
          <w:tcPr>
            <w:tcW w:w="1032" w:type="pct"/>
            <w:shd w:val="clear" w:color="auto" w:fill="auto"/>
            <w:vAlign w:val="center"/>
          </w:tcPr>
          <w:p w14:paraId="5396420D" w14:textId="77777777" w:rsidR="00DA10BD" w:rsidRPr="007E61A0" w:rsidRDefault="00DA10BD" w:rsidP="00290375">
            <w:pPr>
              <w:pStyle w:val="TableText0"/>
              <w:jc w:val="center"/>
              <w:rPr>
                <w:rFonts w:ascii="Times" w:hAnsi="Times"/>
              </w:rPr>
            </w:pPr>
            <w:r w:rsidRPr="007E61A0">
              <w:t>$42,853</w:t>
            </w:r>
          </w:p>
        </w:tc>
        <w:tc>
          <w:tcPr>
            <w:tcW w:w="744" w:type="pct"/>
            <w:shd w:val="clear" w:color="auto" w:fill="auto"/>
            <w:vAlign w:val="center"/>
          </w:tcPr>
          <w:p w14:paraId="4670DA6B" w14:textId="556CC00A" w:rsidR="00DA10BD" w:rsidRPr="007E61A0" w:rsidRDefault="00DA10BD" w:rsidP="00290375">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p>
        </w:tc>
        <w:tc>
          <w:tcPr>
            <w:tcW w:w="952" w:type="pct"/>
            <w:shd w:val="clear" w:color="auto" w:fill="auto"/>
            <w:vAlign w:val="center"/>
          </w:tcPr>
          <w:p w14:paraId="727811B6" w14:textId="77777777" w:rsidR="00DA10BD" w:rsidRPr="007E61A0" w:rsidRDefault="00DA10BD" w:rsidP="00290375">
            <w:pPr>
              <w:pStyle w:val="TableText0"/>
              <w:jc w:val="center"/>
              <w:rPr>
                <w:rFonts w:ascii="Times" w:hAnsi="Times"/>
              </w:rPr>
            </w:pPr>
          </w:p>
        </w:tc>
      </w:tr>
      <w:tr w:rsidR="00DA10BD" w:rsidRPr="007E61A0" w14:paraId="180BB97A" w14:textId="77777777" w:rsidTr="00230C72">
        <w:tc>
          <w:tcPr>
            <w:tcW w:w="1528" w:type="pct"/>
            <w:vAlign w:val="center"/>
          </w:tcPr>
          <w:p w14:paraId="2430A24C" w14:textId="77777777" w:rsidR="00DA10BD" w:rsidRPr="007E61A0" w:rsidRDefault="00DA10BD" w:rsidP="00290375">
            <w:pPr>
              <w:pStyle w:val="TableText0"/>
              <w:rPr>
                <w:rFonts w:ascii="Times" w:hAnsi="Times"/>
              </w:rPr>
            </w:pPr>
            <w:r w:rsidRPr="007E61A0">
              <w:t>QALYs</w:t>
            </w:r>
          </w:p>
        </w:tc>
        <w:tc>
          <w:tcPr>
            <w:tcW w:w="744" w:type="pct"/>
            <w:shd w:val="clear" w:color="auto" w:fill="auto"/>
            <w:vAlign w:val="center"/>
          </w:tcPr>
          <w:p w14:paraId="78CF0AC9" w14:textId="77777777" w:rsidR="00DA10BD" w:rsidRPr="007E61A0" w:rsidRDefault="00DA10BD" w:rsidP="00290375">
            <w:pPr>
              <w:pStyle w:val="TableText0"/>
              <w:jc w:val="center"/>
              <w:rPr>
                <w:rFonts w:ascii="Times" w:hAnsi="Times"/>
              </w:rPr>
            </w:pPr>
            <w:r w:rsidRPr="007E61A0">
              <w:t>3.7370</w:t>
            </w:r>
          </w:p>
        </w:tc>
        <w:tc>
          <w:tcPr>
            <w:tcW w:w="1032" w:type="pct"/>
            <w:shd w:val="clear" w:color="auto" w:fill="auto"/>
            <w:vAlign w:val="center"/>
          </w:tcPr>
          <w:p w14:paraId="39DDB54F" w14:textId="77777777" w:rsidR="00DA10BD" w:rsidRPr="007E61A0" w:rsidRDefault="00DA10BD" w:rsidP="00290375">
            <w:pPr>
              <w:pStyle w:val="TableText0"/>
              <w:jc w:val="center"/>
              <w:rPr>
                <w:rFonts w:ascii="Times" w:hAnsi="Times"/>
              </w:rPr>
            </w:pPr>
            <w:r w:rsidRPr="007E61A0">
              <w:t>3.6228</w:t>
            </w:r>
          </w:p>
        </w:tc>
        <w:tc>
          <w:tcPr>
            <w:tcW w:w="744" w:type="pct"/>
            <w:shd w:val="clear" w:color="auto" w:fill="auto"/>
            <w:vAlign w:val="center"/>
          </w:tcPr>
          <w:p w14:paraId="09816DF2" w14:textId="77777777" w:rsidR="00DA10BD" w:rsidRPr="007E61A0" w:rsidRDefault="00DA10BD" w:rsidP="00290375">
            <w:pPr>
              <w:pStyle w:val="TableText0"/>
              <w:jc w:val="center"/>
            </w:pPr>
            <w:r w:rsidRPr="007E61A0">
              <w:t>0.1142</w:t>
            </w:r>
          </w:p>
        </w:tc>
        <w:tc>
          <w:tcPr>
            <w:tcW w:w="952" w:type="pct"/>
            <w:shd w:val="clear" w:color="auto" w:fill="auto"/>
            <w:vAlign w:val="center"/>
          </w:tcPr>
          <w:p w14:paraId="45639303" w14:textId="77777777" w:rsidR="00DA10BD" w:rsidRPr="007E61A0" w:rsidRDefault="00DA10BD" w:rsidP="00290375">
            <w:pPr>
              <w:pStyle w:val="TableText0"/>
              <w:jc w:val="center"/>
            </w:pPr>
          </w:p>
        </w:tc>
      </w:tr>
      <w:tr w:rsidR="00DA10BD" w:rsidRPr="007E61A0" w14:paraId="2685374F" w14:textId="77777777" w:rsidTr="00230C72">
        <w:tc>
          <w:tcPr>
            <w:tcW w:w="3304" w:type="pct"/>
            <w:gridSpan w:val="3"/>
            <w:shd w:val="clear" w:color="auto" w:fill="auto"/>
            <w:vAlign w:val="center"/>
          </w:tcPr>
          <w:p w14:paraId="14D73991" w14:textId="77777777" w:rsidR="00DA10BD" w:rsidRPr="007E61A0" w:rsidRDefault="00DA10BD" w:rsidP="00290375">
            <w:pPr>
              <w:pStyle w:val="TableText0"/>
              <w:rPr>
                <w:rFonts w:ascii="Times" w:hAnsi="Times"/>
                <w:b/>
              </w:rPr>
            </w:pPr>
            <w:r w:rsidRPr="007E61A0">
              <w:rPr>
                <w:b/>
              </w:rPr>
              <w:t>Incremental cost/extra QALY gained (base case)</w:t>
            </w:r>
          </w:p>
        </w:tc>
        <w:tc>
          <w:tcPr>
            <w:tcW w:w="744" w:type="pct"/>
            <w:shd w:val="clear" w:color="auto" w:fill="auto"/>
          </w:tcPr>
          <w:p w14:paraId="1FC824A7" w14:textId="77777777" w:rsidR="00DA10BD" w:rsidRPr="007E61A0" w:rsidRDefault="00DA10BD" w:rsidP="00290375">
            <w:pPr>
              <w:pStyle w:val="TableText0"/>
              <w:jc w:val="center"/>
              <w:rPr>
                <w:b/>
              </w:rPr>
            </w:pPr>
          </w:p>
        </w:tc>
        <w:tc>
          <w:tcPr>
            <w:tcW w:w="952" w:type="pct"/>
            <w:shd w:val="clear" w:color="auto" w:fill="auto"/>
            <w:vAlign w:val="center"/>
          </w:tcPr>
          <w:p w14:paraId="5C32DE40" w14:textId="5979D21F" w:rsidR="00DA10BD" w:rsidRPr="0056762D" w:rsidRDefault="00DA10BD" w:rsidP="00290375">
            <w:pPr>
              <w:pStyle w:val="TableText0"/>
              <w:jc w:val="center"/>
              <w:rPr>
                <w:rFonts w:ascii="Times" w:hAnsi="Times"/>
                <w:b/>
                <w:vertAlign w:val="superscript"/>
              </w:rPr>
            </w:pPr>
            <w:r w:rsidRPr="007E61A0">
              <w:rPr>
                <w:b/>
              </w:rPr>
              <w:t>$</w:t>
            </w:r>
            <w:r w:rsidR="009942F6" w:rsidRPr="009942F6">
              <w:rPr>
                <w:b/>
                <w:color w:val="000000"/>
                <w:shd w:val="solid" w:color="000000" w:fill="000000"/>
                <w14:textFill>
                  <w14:solidFill>
                    <w14:srgbClr w14:val="000000">
                      <w14:alpha w14:val="100000"/>
                    </w14:srgbClr>
                  </w14:solidFill>
                </w14:textFill>
              </w:rPr>
              <w:t>|</w:t>
            </w:r>
            <w:r w:rsidR="0056762D">
              <w:rPr>
                <w:b/>
                <w:vertAlign w:val="superscript"/>
              </w:rPr>
              <w:t>3</w:t>
            </w:r>
          </w:p>
        </w:tc>
      </w:tr>
    </w:tbl>
    <w:p w14:paraId="5FA7A76A" w14:textId="543906BA" w:rsidR="00DA10BD" w:rsidRPr="007E61A0" w:rsidRDefault="00DA10BD" w:rsidP="00290375">
      <w:pPr>
        <w:pStyle w:val="FooterTableFigure"/>
        <w:keepNext/>
      </w:pPr>
      <w:r w:rsidRPr="007E61A0">
        <w:t xml:space="preserve">Source: Tables </w:t>
      </w:r>
      <w:r w:rsidR="001D6E02" w:rsidRPr="007E61A0">
        <w:t>98-</w:t>
      </w:r>
      <w:r w:rsidRPr="007E61A0">
        <w:t>99 and 102, pp</w:t>
      </w:r>
      <w:r w:rsidR="001D6E02" w:rsidRPr="007E61A0">
        <w:t xml:space="preserve">162 and </w:t>
      </w:r>
      <w:r w:rsidRPr="007E61A0">
        <w:t>166-168 of the submission</w:t>
      </w:r>
      <w:r w:rsidR="000C610F" w:rsidRPr="007E61A0">
        <w:t>; Attachment 13 – Deucravacitinib CPP economic evaluation of the submission</w:t>
      </w:r>
      <w:r w:rsidRPr="007E61A0">
        <w:t>.</w:t>
      </w:r>
    </w:p>
    <w:p w14:paraId="3DCE85EB" w14:textId="3E3E12D2" w:rsidR="00DA10BD" w:rsidRDefault="00DA10BD" w:rsidP="0056762D">
      <w:pPr>
        <w:pStyle w:val="FooterTableFigure"/>
        <w:keepNext/>
        <w:spacing w:after="0"/>
      </w:pPr>
      <w:r w:rsidRPr="007E61A0">
        <w:t xml:space="preserve">1L = first line (deucravacitinib / apremilast); PASI = Psoriasis Area and Severity Index; QALY = quality adjusted life year. </w:t>
      </w:r>
    </w:p>
    <w:p w14:paraId="7F8B7130" w14:textId="77777777" w:rsidR="0056762D" w:rsidRDefault="0056762D" w:rsidP="0056762D">
      <w:pPr>
        <w:rPr>
          <w:rFonts w:ascii="Arial Narrow" w:hAnsi="Arial Narrow"/>
          <w:i/>
          <w:sz w:val="18"/>
          <w:szCs w:val="18"/>
        </w:rPr>
      </w:pPr>
      <w:r>
        <w:rPr>
          <w:rFonts w:ascii="Arial Narrow" w:hAnsi="Arial Narrow"/>
          <w:i/>
          <w:sz w:val="18"/>
          <w:szCs w:val="18"/>
        </w:rPr>
        <w:t xml:space="preserve">The redacted values correspond to the following ranges: </w:t>
      </w:r>
    </w:p>
    <w:p w14:paraId="23824DA1" w14:textId="36A87325" w:rsidR="0056762D" w:rsidRDefault="0056762D" w:rsidP="0056762D">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56762D">
        <w:rPr>
          <w:rFonts w:ascii="Arial Narrow" w:hAnsi="Arial Narrow"/>
          <w:i/>
          <w:sz w:val="18"/>
          <w:szCs w:val="18"/>
        </w:rPr>
        <w:t>$35,000 to &lt; $45,000</w:t>
      </w:r>
    </w:p>
    <w:p w14:paraId="58E8D175" w14:textId="624DDC12" w:rsidR="0056762D" w:rsidRDefault="0056762D" w:rsidP="0056762D">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56762D">
        <w:rPr>
          <w:rFonts w:ascii="Arial Narrow" w:hAnsi="Arial Narrow"/>
          <w:i/>
          <w:sz w:val="18"/>
          <w:szCs w:val="18"/>
        </w:rPr>
        <w:t>$15,000 to &lt; $25,000</w:t>
      </w:r>
    </w:p>
    <w:p w14:paraId="6E64DAED" w14:textId="49B2AB20" w:rsidR="0056762D" w:rsidRPr="0056762D" w:rsidRDefault="0056762D" w:rsidP="0056762D">
      <w:pPr>
        <w:spacing w:after="120"/>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56762D">
        <w:rPr>
          <w:rFonts w:ascii="Arial Narrow" w:hAnsi="Arial Narrow"/>
          <w:i/>
          <w:sz w:val="18"/>
          <w:szCs w:val="18"/>
        </w:rPr>
        <w:t>$25,000 to &lt; $35,000</w:t>
      </w:r>
    </w:p>
    <w:p w14:paraId="2469B0F7" w14:textId="0A4120F0" w:rsidR="00B26869" w:rsidRPr="00B26869" w:rsidRDefault="00DA10BD" w:rsidP="00B26869">
      <w:pPr>
        <w:pStyle w:val="3-BodyText"/>
        <w:rPr>
          <w:rStyle w:val="CommentReference"/>
          <w:szCs w:val="24"/>
        </w:rPr>
      </w:pPr>
      <w:r w:rsidRPr="007E61A0">
        <w:t xml:space="preserve">The results of key univariate </w:t>
      </w:r>
      <w:r w:rsidR="00394006" w:rsidRPr="007E61A0">
        <w:t xml:space="preserve">and a multivariate </w:t>
      </w:r>
      <w:r w:rsidRPr="007E61A0">
        <w:t>sensitivity analys</w:t>
      </w:r>
      <w:r w:rsidR="00494198" w:rsidRPr="007E61A0">
        <w:t>is</w:t>
      </w:r>
      <w:r w:rsidRPr="007E61A0">
        <w:t>, based on the effective price of deucravacitinib and the published prices of apremilast</w:t>
      </w:r>
      <w:r w:rsidR="00492C2C" w:rsidRPr="007E61A0">
        <w:t xml:space="preserve"> and adalimumab</w:t>
      </w:r>
      <w:r w:rsidRPr="007E61A0">
        <w:t xml:space="preserve">, are </w:t>
      </w:r>
      <w:r w:rsidRPr="00FD2DD4">
        <w:rPr>
          <w:rFonts w:ascii="Calibri" w:hAnsi="Calibri"/>
        </w:rPr>
        <w:t xml:space="preserve">summarised in </w:t>
      </w:r>
      <w:bookmarkStart w:id="55" w:name="_Ref104804865"/>
      <w:r w:rsidR="00B26869" w:rsidRPr="00B26869">
        <w:fldChar w:fldCharType="begin" w:fldLock="1"/>
      </w:r>
      <w:r w:rsidR="00B26869" w:rsidRPr="00B26869">
        <w:instrText xml:space="preserve"> REF _Ref129080826 \h  \* MERGEFORMAT </w:instrText>
      </w:r>
      <w:r w:rsidR="00B26869" w:rsidRPr="00B26869">
        <w:fldChar w:fldCharType="separate"/>
      </w:r>
      <w:r w:rsidR="00EC7993" w:rsidRPr="00EC7993">
        <w:t>Table 12</w:t>
      </w:r>
      <w:r w:rsidR="00B26869" w:rsidRPr="00B26869">
        <w:fldChar w:fldCharType="end"/>
      </w:r>
      <w:r w:rsidR="00B26869" w:rsidRPr="00B26869">
        <w:t>.</w:t>
      </w:r>
    </w:p>
    <w:p w14:paraId="67ED9B11" w14:textId="7CE0F918" w:rsidR="00DA10BD" w:rsidRPr="00B26869" w:rsidRDefault="00DA10BD" w:rsidP="00FE4CD3">
      <w:pPr>
        <w:pStyle w:val="3-BodyText"/>
        <w:widowControl w:val="0"/>
        <w:numPr>
          <w:ilvl w:val="0"/>
          <w:numId w:val="0"/>
        </w:numPr>
        <w:spacing w:after="0"/>
        <w:rPr>
          <w:rStyle w:val="CommentReference"/>
          <w:rFonts w:ascii="Calibri" w:hAnsi="Calibri"/>
          <w:b w:val="0"/>
          <w:snapToGrid/>
          <w:sz w:val="24"/>
          <w:szCs w:val="24"/>
        </w:rPr>
      </w:pPr>
      <w:bookmarkStart w:id="56" w:name="_Ref129080826"/>
      <w:r w:rsidRPr="00B26869">
        <w:rPr>
          <w:rStyle w:val="CommentReference"/>
          <w:szCs w:val="24"/>
        </w:rPr>
        <w:t xml:space="preserve">Table </w:t>
      </w:r>
      <w:r w:rsidR="00C9534B" w:rsidRPr="00B26869">
        <w:rPr>
          <w:rStyle w:val="CommentReference"/>
          <w:szCs w:val="24"/>
        </w:rPr>
        <w:fldChar w:fldCharType="begin" w:fldLock="1"/>
      </w:r>
      <w:r w:rsidR="00C9534B" w:rsidRPr="00B26869">
        <w:rPr>
          <w:rStyle w:val="CommentReference"/>
          <w:szCs w:val="24"/>
        </w:rPr>
        <w:instrText xml:space="preserve"> SEQ Table \* ARABIC </w:instrText>
      </w:r>
      <w:r w:rsidR="00C9534B" w:rsidRPr="00B26869">
        <w:rPr>
          <w:rStyle w:val="CommentReference"/>
          <w:szCs w:val="24"/>
        </w:rPr>
        <w:fldChar w:fldCharType="separate"/>
      </w:r>
      <w:r w:rsidR="00EC7993">
        <w:rPr>
          <w:rStyle w:val="CommentReference"/>
          <w:noProof/>
          <w:szCs w:val="24"/>
        </w:rPr>
        <w:t>12</w:t>
      </w:r>
      <w:r w:rsidR="00C9534B" w:rsidRPr="00B26869">
        <w:rPr>
          <w:rStyle w:val="CommentReference"/>
          <w:szCs w:val="24"/>
        </w:rPr>
        <w:fldChar w:fldCharType="end"/>
      </w:r>
      <w:bookmarkEnd w:id="55"/>
      <w:bookmarkEnd w:id="56"/>
      <w:r w:rsidRPr="00B26869">
        <w:rPr>
          <w:rStyle w:val="CommentReference"/>
          <w:szCs w:val="24"/>
        </w:rPr>
        <w:t>: Results of selected univariate sensitivity analyses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1277"/>
        <w:gridCol w:w="1154"/>
        <w:gridCol w:w="974"/>
        <w:gridCol w:w="1084"/>
      </w:tblGrid>
      <w:tr w:rsidR="00DA10BD" w:rsidRPr="007E61A0" w14:paraId="54248519" w14:textId="77777777" w:rsidTr="009942F6">
        <w:trPr>
          <w:tblHeader/>
        </w:trPr>
        <w:tc>
          <w:tcPr>
            <w:tcW w:w="2511" w:type="pct"/>
            <w:tcBorders>
              <w:top w:val="single" w:sz="4" w:space="0" w:color="auto"/>
              <w:left w:val="single" w:sz="4" w:space="0" w:color="auto"/>
            </w:tcBorders>
          </w:tcPr>
          <w:p w14:paraId="2162BBE9" w14:textId="77777777" w:rsidR="00DA10BD" w:rsidRPr="007E61A0" w:rsidRDefault="00DA10BD" w:rsidP="00FE4CD3">
            <w:pPr>
              <w:pStyle w:val="In-tableHeading"/>
              <w:keepNext w:val="0"/>
              <w:widowControl w:val="0"/>
              <w:jc w:val="center"/>
              <w:rPr>
                <w:lang w:val="en-AU"/>
              </w:rPr>
            </w:pPr>
            <w:bookmarkStart w:id="57" w:name="_Hlk109293154"/>
            <w:r w:rsidRPr="007E61A0">
              <w:rPr>
                <w:lang w:val="en-AU"/>
              </w:rPr>
              <w:t>Analyses</w:t>
            </w:r>
          </w:p>
        </w:tc>
        <w:tc>
          <w:tcPr>
            <w:tcW w:w="708" w:type="pct"/>
            <w:tcBorders>
              <w:top w:val="single" w:sz="4" w:space="0" w:color="auto"/>
              <w:bottom w:val="single" w:sz="4" w:space="0" w:color="auto"/>
            </w:tcBorders>
            <w:vAlign w:val="center"/>
          </w:tcPr>
          <w:p w14:paraId="63CFA03A" w14:textId="1BFF18A0" w:rsidR="00DA10BD" w:rsidRPr="007E61A0" w:rsidRDefault="00DA10BD" w:rsidP="00FE4CD3">
            <w:pPr>
              <w:pStyle w:val="In-tableHeading"/>
              <w:keepNext w:val="0"/>
              <w:widowControl w:val="0"/>
              <w:jc w:val="center"/>
              <w:rPr>
                <w:lang w:val="en-AU"/>
              </w:rPr>
            </w:pPr>
            <w:r w:rsidRPr="007E61A0">
              <w:rPr>
                <w:lang w:val="en-AU"/>
              </w:rPr>
              <w:t>Incremental cost</w:t>
            </w:r>
            <w:r w:rsidR="0056762D">
              <w:rPr>
                <w:lang w:val="en-AU"/>
              </w:rPr>
              <w:t xml:space="preserve"> ($)</w:t>
            </w:r>
          </w:p>
        </w:tc>
        <w:tc>
          <w:tcPr>
            <w:tcW w:w="640" w:type="pct"/>
            <w:tcBorders>
              <w:top w:val="single" w:sz="4" w:space="0" w:color="auto"/>
            </w:tcBorders>
            <w:vAlign w:val="center"/>
          </w:tcPr>
          <w:p w14:paraId="2F42AEF5" w14:textId="77777777" w:rsidR="00DA10BD" w:rsidRPr="007E61A0" w:rsidRDefault="00DA10BD" w:rsidP="00FE4CD3">
            <w:pPr>
              <w:pStyle w:val="In-tableHeading"/>
              <w:keepNext w:val="0"/>
              <w:widowControl w:val="0"/>
              <w:jc w:val="center"/>
              <w:rPr>
                <w:lang w:val="en-AU"/>
              </w:rPr>
            </w:pPr>
            <w:r w:rsidRPr="007E61A0">
              <w:rPr>
                <w:lang w:val="en-AU"/>
              </w:rPr>
              <w:t>Incremental QALY</w:t>
            </w:r>
          </w:p>
        </w:tc>
        <w:tc>
          <w:tcPr>
            <w:tcW w:w="540" w:type="pct"/>
            <w:tcBorders>
              <w:top w:val="single" w:sz="4" w:space="0" w:color="auto"/>
            </w:tcBorders>
            <w:vAlign w:val="center"/>
          </w:tcPr>
          <w:p w14:paraId="2C3EB756" w14:textId="41F52DBF" w:rsidR="00DA10BD" w:rsidRPr="007E61A0" w:rsidRDefault="00DA10BD" w:rsidP="00FE4CD3">
            <w:pPr>
              <w:pStyle w:val="In-tableHeading"/>
              <w:keepNext w:val="0"/>
              <w:widowControl w:val="0"/>
              <w:jc w:val="center"/>
              <w:rPr>
                <w:lang w:val="en-AU"/>
              </w:rPr>
            </w:pPr>
            <w:r w:rsidRPr="007E61A0">
              <w:rPr>
                <w:lang w:val="en-AU"/>
              </w:rPr>
              <w:t>ICER</w:t>
            </w:r>
            <w:r w:rsidR="0056762D">
              <w:rPr>
                <w:lang w:val="en-AU"/>
              </w:rPr>
              <w:t xml:space="preserve"> ($)</w:t>
            </w:r>
          </w:p>
        </w:tc>
        <w:tc>
          <w:tcPr>
            <w:tcW w:w="601" w:type="pct"/>
            <w:tcBorders>
              <w:top w:val="single" w:sz="4" w:space="0" w:color="auto"/>
              <w:right w:val="single" w:sz="4" w:space="0" w:color="auto"/>
            </w:tcBorders>
            <w:shd w:val="clear" w:color="auto" w:fill="auto"/>
          </w:tcPr>
          <w:p w14:paraId="7D0C18E8" w14:textId="77777777" w:rsidR="00DA10BD" w:rsidRPr="007E61A0" w:rsidRDefault="00DA10BD" w:rsidP="00FE4CD3">
            <w:pPr>
              <w:pStyle w:val="In-tableHeading"/>
              <w:keepNext w:val="0"/>
              <w:widowControl w:val="0"/>
              <w:jc w:val="center"/>
              <w:rPr>
                <w:lang w:val="en-AU"/>
              </w:rPr>
            </w:pPr>
            <w:r w:rsidRPr="007E61A0">
              <w:rPr>
                <w:lang w:val="en-AU"/>
              </w:rPr>
              <w:t>% change to ICER</w:t>
            </w:r>
          </w:p>
        </w:tc>
      </w:tr>
      <w:tr w:rsidR="00DA10BD" w:rsidRPr="007E61A0" w14:paraId="6012C801" w14:textId="77777777" w:rsidTr="009942F6">
        <w:tc>
          <w:tcPr>
            <w:tcW w:w="2511" w:type="pct"/>
            <w:tcBorders>
              <w:left w:val="single" w:sz="4" w:space="0" w:color="auto"/>
              <w:bottom w:val="single" w:sz="4" w:space="0" w:color="auto"/>
            </w:tcBorders>
          </w:tcPr>
          <w:p w14:paraId="18130400" w14:textId="77777777" w:rsidR="00DA10BD" w:rsidRPr="007E61A0" w:rsidRDefault="00DA10BD" w:rsidP="00FE4CD3">
            <w:pPr>
              <w:pStyle w:val="TableText0"/>
              <w:keepNext w:val="0"/>
              <w:widowControl w:val="0"/>
              <w:rPr>
                <w:b/>
                <w:bCs w:val="0"/>
              </w:rPr>
            </w:pPr>
            <w:r w:rsidRPr="007E61A0">
              <w:rPr>
                <w:b/>
                <w:bCs w:val="0"/>
              </w:rPr>
              <w:t xml:space="preserve">Base case </w:t>
            </w:r>
          </w:p>
        </w:tc>
        <w:tc>
          <w:tcPr>
            <w:tcW w:w="708" w:type="pct"/>
            <w:tcBorders>
              <w:bottom w:val="single" w:sz="4" w:space="0" w:color="auto"/>
            </w:tcBorders>
            <w:shd w:val="solid" w:color="000000" w:fill="000000"/>
            <w:vAlign w:val="center"/>
          </w:tcPr>
          <w:p w14:paraId="2C8D2767" w14:textId="543427F2" w:rsidR="00DA10BD" w:rsidRPr="009942F6" w:rsidRDefault="009942F6" w:rsidP="00FE4CD3">
            <w:pPr>
              <w:pStyle w:val="TableText0"/>
              <w:keepNext w:val="0"/>
              <w:widowControl w:val="0"/>
              <w:jc w:val="center"/>
              <w:rPr>
                <w:b/>
                <w:bCs w:val="0"/>
              </w:rPr>
            </w:pPr>
            <w:r w:rsidRPr="00415EDB">
              <w:rPr>
                <w:rFonts w:hint="eastAsia"/>
                <w:b/>
                <w:bCs w:val="0"/>
                <w:color w:val="000000"/>
                <w:w w:val="16"/>
                <w:fitText w:val="75" w:id="-1305212665"/>
                <w14:textFill>
                  <w14:solidFill>
                    <w14:srgbClr w14:val="000000">
                      <w14:alpha w14:val="100000"/>
                    </w14:srgbClr>
                  </w14:solidFill>
                </w14:textFill>
              </w:rPr>
              <w:t xml:space="preserve">　</w:t>
            </w:r>
            <w:r w:rsidRPr="00415EDB">
              <w:rPr>
                <w:b/>
                <w:bCs w:val="0"/>
                <w:color w:val="000000"/>
                <w:w w:val="16"/>
                <w:fitText w:val="75" w:id="-1305212665"/>
                <w14:textFill>
                  <w14:solidFill>
                    <w14:srgbClr w14:val="000000">
                      <w14:alpha w14:val="100000"/>
                    </w14:srgbClr>
                  </w14:solidFill>
                </w14:textFill>
              </w:rPr>
              <w:t>|</w:t>
            </w:r>
            <w:r w:rsidRPr="00415EDB">
              <w:rPr>
                <w:rFonts w:hint="eastAsia"/>
                <w:b/>
                <w:bCs w:val="0"/>
                <w:color w:val="000000"/>
                <w:w w:val="16"/>
                <w:fitText w:val="75" w:id="-1305212665"/>
                <w14:textFill>
                  <w14:solidFill>
                    <w14:srgbClr w14:val="000000">
                      <w14:alpha w14:val="100000"/>
                    </w14:srgbClr>
                  </w14:solidFill>
                </w14:textFill>
              </w:rPr>
              <w:t xml:space="preserve">　</w:t>
            </w:r>
          </w:p>
        </w:tc>
        <w:tc>
          <w:tcPr>
            <w:tcW w:w="640" w:type="pct"/>
            <w:tcBorders>
              <w:bottom w:val="single" w:sz="4" w:space="0" w:color="auto"/>
            </w:tcBorders>
            <w:shd w:val="clear" w:color="auto" w:fill="auto"/>
            <w:vAlign w:val="center"/>
          </w:tcPr>
          <w:p w14:paraId="3E2D651F" w14:textId="77777777" w:rsidR="00DA10BD" w:rsidRPr="007E61A0" w:rsidRDefault="00DA10BD" w:rsidP="00FE4CD3">
            <w:pPr>
              <w:pStyle w:val="TableText0"/>
              <w:keepNext w:val="0"/>
              <w:widowControl w:val="0"/>
              <w:jc w:val="center"/>
              <w:rPr>
                <w:b/>
                <w:bCs w:val="0"/>
              </w:rPr>
            </w:pPr>
            <w:r w:rsidRPr="007E61A0">
              <w:rPr>
                <w:b/>
                <w:bCs w:val="0"/>
              </w:rPr>
              <w:t>0.1142</w:t>
            </w:r>
          </w:p>
        </w:tc>
        <w:tc>
          <w:tcPr>
            <w:tcW w:w="540" w:type="pct"/>
            <w:tcBorders>
              <w:bottom w:val="single" w:sz="4" w:space="0" w:color="auto"/>
            </w:tcBorders>
            <w:shd w:val="clear" w:color="auto" w:fill="auto"/>
            <w:vAlign w:val="center"/>
          </w:tcPr>
          <w:p w14:paraId="6E8D33C5" w14:textId="11B27E5D" w:rsidR="00DA10BD" w:rsidRPr="00970313" w:rsidRDefault="009942F6" w:rsidP="00FE4CD3">
            <w:pPr>
              <w:pStyle w:val="TableText0"/>
              <w:keepNext w:val="0"/>
              <w:widowControl w:val="0"/>
              <w:jc w:val="center"/>
              <w:rPr>
                <w:b/>
                <w:bCs w:val="0"/>
                <w:vertAlign w:val="superscript"/>
              </w:rPr>
            </w:pPr>
            <w:r w:rsidRPr="009942F6">
              <w:rPr>
                <w:b/>
                <w:bCs w:val="0"/>
                <w:color w:val="000000"/>
                <w:spacing w:val="50"/>
                <w:shd w:val="solid" w:color="000000" w:fill="000000"/>
                <w:fitText w:val="238" w:id="-1305212664"/>
                <w14:textFill>
                  <w14:solidFill>
                    <w14:srgbClr w14:val="000000">
                      <w14:alpha w14:val="100000"/>
                    </w14:srgbClr>
                  </w14:solidFill>
                </w14:textFill>
              </w:rPr>
              <w:t>||</w:t>
            </w:r>
            <w:r w:rsidRPr="009942F6">
              <w:rPr>
                <w:b/>
                <w:bCs w:val="0"/>
                <w:color w:val="000000"/>
                <w:spacing w:val="1"/>
                <w:shd w:val="solid" w:color="000000" w:fill="000000"/>
                <w:fitText w:val="238" w:id="-1305212664"/>
                <w14:textFill>
                  <w14:solidFill>
                    <w14:srgbClr w14:val="000000">
                      <w14:alpha w14:val="100000"/>
                    </w14:srgbClr>
                  </w14:solidFill>
                </w14:textFill>
              </w:rPr>
              <w:t>|</w:t>
            </w:r>
            <w:r w:rsidR="00970313">
              <w:rPr>
                <w:b/>
                <w:bCs w:val="0"/>
                <w:vertAlign w:val="superscript"/>
              </w:rPr>
              <w:t>1</w:t>
            </w:r>
          </w:p>
        </w:tc>
        <w:tc>
          <w:tcPr>
            <w:tcW w:w="601" w:type="pct"/>
            <w:tcBorders>
              <w:bottom w:val="single" w:sz="4" w:space="0" w:color="auto"/>
              <w:right w:val="single" w:sz="4" w:space="0" w:color="auto"/>
            </w:tcBorders>
            <w:shd w:val="clear" w:color="auto" w:fill="auto"/>
          </w:tcPr>
          <w:p w14:paraId="3A0800C8" w14:textId="77777777" w:rsidR="00DA10BD" w:rsidRPr="007E61A0" w:rsidRDefault="00DA10BD" w:rsidP="00FE4CD3">
            <w:pPr>
              <w:pStyle w:val="TableText0"/>
              <w:keepNext w:val="0"/>
              <w:widowControl w:val="0"/>
              <w:jc w:val="center"/>
              <w:rPr>
                <w:b/>
                <w:bCs w:val="0"/>
              </w:rPr>
            </w:pPr>
          </w:p>
        </w:tc>
      </w:tr>
      <w:tr w:rsidR="00DA10BD" w:rsidRPr="007E61A0" w14:paraId="1952B12D" w14:textId="77777777" w:rsidTr="00861911">
        <w:tc>
          <w:tcPr>
            <w:tcW w:w="2511" w:type="pct"/>
            <w:tcBorders>
              <w:left w:val="single" w:sz="4" w:space="0" w:color="auto"/>
              <w:bottom w:val="single" w:sz="4" w:space="0" w:color="auto"/>
              <w:right w:val="nil"/>
            </w:tcBorders>
          </w:tcPr>
          <w:p w14:paraId="4B8FB5EA" w14:textId="77777777" w:rsidR="00DA10BD" w:rsidRPr="007E61A0" w:rsidRDefault="00DA10BD" w:rsidP="00FE4CD3">
            <w:pPr>
              <w:pStyle w:val="TableText0"/>
              <w:keepNext w:val="0"/>
              <w:widowControl w:val="0"/>
              <w:rPr>
                <w:b/>
                <w:bCs w:val="0"/>
              </w:rPr>
            </w:pPr>
            <w:r w:rsidRPr="007E61A0">
              <w:rPr>
                <w:b/>
                <w:bCs w:val="0"/>
              </w:rPr>
              <w:t>Discount rate</w:t>
            </w:r>
          </w:p>
        </w:tc>
        <w:tc>
          <w:tcPr>
            <w:tcW w:w="708" w:type="pct"/>
            <w:tcBorders>
              <w:left w:val="nil"/>
              <w:bottom w:val="single" w:sz="4" w:space="0" w:color="auto"/>
              <w:right w:val="nil"/>
            </w:tcBorders>
            <w:shd w:val="clear" w:color="auto" w:fill="auto"/>
            <w:vAlign w:val="center"/>
          </w:tcPr>
          <w:p w14:paraId="6342ACE5" w14:textId="77777777" w:rsidR="00DA10BD" w:rsidRPr="007E61A0" w:rsidRDefault="00DA10BD" w:rsidP="00FE4CD3">
            <w:pPr>
              <w:pStyle w:val="TableText0"/>
              <w:keepNext w:val="0"/>
              <w:widowControl w:val="0"/>
              <w:jc w:val="center"/>
              <w:rPr>
                <w:b/>
                <w:bCs w:val="0"/>
              </w:rPr>
            </w:pPr>
          </w:p>
        </w:tc>
        <w:tc>
          <w:tcPr>
            <w:tcW w:w="640" w:type="pct"/>
            <w:tcBorders>
              <w:left w:val="nil"/>
              <w:bottom w:val="single" w:sz="4" w:space="0" w:color="auto"/>
              <w:right w:val="nil"/>
            </w:tcBorders>
            <w:shd w:val="clear" w:color="auto" w:fill="auto"/>
            <w:vAlign w:val="center"/>
          </w:tcPr>
          <w:p w14:paraId="0FEFB3B2" w14:textId="77777777" w:rsidR="00DA10BD" w:rsidRPr="007E61A0" w:rsidRDefault="00DA10BD" w:rsidP="00FE4CD3">
            <w:pPr>
              <w:pStyle w:val="TableText0"/>
              <w:keepNext w:val="0"/>
              <w:widowControl w:val="0"/>
              <w:jc w:val="center"/>
              <w:rPr>
                <w:b/>
                <w:bCs w:val="0"/>
              </w:rPr>
            </w:pPr>
          </w:p>
        </w:tc>
        <w:tc>
          <w:tcPr>
            <w:tcW w:w="540" w:type="pct"/>
            <w:tcBorders>
              <w:left w:val="nil"/>
              <w:bottom w:val="single" w:sz="4" w:space="0" w:color="auto"/>
              <w:right w:val="nil"/>
            </w:tcBorders>
            <w:shd w:val="clear" w:color="auto" w:fill="auto"/>
            <w:vAlign w:val="center"/>
          </w:tcPr>
          <w:p w14:paraId="79CD79B8" w14:textId="77777777" w:rsidR="00DA10BD" w:rsidRPr="007E61A0" w:rsidRDefault="00DA10BD" w:rsidP="00FE4CD3">
            <w:pPr>
              <w:pStyle w:val="TableText0"/>
              <w:keepNext w:val="0"/>
              <w:widowControl w:val="0"/>
              <w:jc w:val="center"/>
              <w:rPr>
                <w:b/>
                <w:bCs w:val="0"/>
              </w:rPr>
            </w:pPr>
          </w:p>
        </w:tc>
        <w:tc>
          <w:tcPr>
            <w:tcW w:w="601" w:type="pct"/>
            <w:tcBorders>
              <w:left w:val="nil"/>
              <w:bottom w:val="single" w:sz="4" w:space="0" w:color="auto"/>
              <w:right w:val="single" w:sz="4" w:space="0" w:color="auto"/>
            </w:tcBorders>
            <w:shd w:val="clear" w:color="auto" w:fill="auto"/>
          </w:tcPr>
          <w:p w14:paraId="5AC381AD" w14:textId="77777777" w:rsidR="00DA10BD" w:rsidRPr="007E61A0" w:rsidRDefault="00DA10BD" w:rsidP="00FE4CD3">
            <w:pPr>
              <w:pStyle w:val="TableText0"/>
              <w:keepNext w:val="0"/>
              <w:widowControl w:val="0"/>
              <w:jc w:val="center"/>
              <w:rPr>
                <w:b/>
                <w:bCs w:val="0"/>
              </w:rPr>
            </w:pPr>
          </w:p>
        </w:tc>
      </w:tr>
      <w:tr w:rsidR="00DA10BD" w:rsidRPr="007E61A0" w14:paraId="1EEB203D" w14:textId="77777777" w:rsidTr="009942F6">
        <w:tc>
          <w:tcPr>
            <w:tcW w:w="2511" w:type="pct"/>
            <w:tcBorders>
              <w:left w:val="single" w:sz="4" w:space="0" w:color="auto"/>
              <w:bottom w:val="nil"/>
            </w:tcBorders>
          </w:tcPr>
          <w:p w14:paraId="1463D155" w14:textId="77777777" w:rsidR="00DA10BD" w:rsidRPr="007E61A0" w:rsidRDefault="00DA10BD" w:rsidP="00FE4CD3">
            <w:pPr>
              <w:pStyle w:val="TableText0"/>
              <w:keepNext w:val="0"/>
              <w:widowControl w:val="0"/>
            </w:pPr>
            <w:r w:rsidRPr="007E61A0">
              <w:t>Discount rate (base case 5% costs and outcomes)</w:t>
            </w:r>
          </w:p>
        </w:tc>
        <w:tc>
          <w:tcPr>
            <w:tcW w:w="708" w:type="pct"/>
            <w:tcBorders>
              <w:bottom w:val="nil"/>
            </w:tcBorders>
            <w:shd w:val="clear" w:color="auto" w:fill="auto"/>
            <w:vAlign w:val="center"/>
          </w:tcPr>
          <w:p w14:paraId="54627661" w14:textId="77777777" w:rsidR="00DA10BD" w:rsidRPr="007E61A0" w:rsidRDefault="00DA10BD" w:rsidP="00FE4CD3">
            <w:pPr>
              <w:pStyle w:val="TableText0"/>
              <w:keepNext w:val="0"/>
              <w:widowControl w:val="0"/>
              <w:jc w:val="center"/>
            </w:pPr>
          </w:p>
        </w:tc>
        <w:tc>
          <w:tcPr>
            <w:tcW w:w="640" w:type="pct"/>
            <w:tcBorders>
              <w:bottom w:val="nil"/>
            </w:tcBorders>
            <w:shd w:val="clear" w:color="auto" w:fill="auto"/>
            <w:vAlign w:val="center"/>
          </w:tcPr>
          <w:p w14:paraId="60645289" w14:textId="77777777" w:rsidR="00DA10BD" w:rsidRPr="007E61A0" w:rsidRDefault="00DA10BD" w:rsidP="00FE4CD3">
            <w:pPr>
              <w:pStyle w:val="TableText0"/>
              <w:keepNext w:val="0"/>
              <w:widowControl w:val="0"/>
              <w:jc w:val="center"/>
            </w:pPr>
          </w:p>
        </w:tc>
        <w:tc>
          <w:tcPr>
            <w:tcW w:w="540" w:type="pct"/>
            <w:tcBorders>
              <w:bottom w:val="nil"/>
            </w:tcBorders>
            <w:shd w:val="clear" w:color="auto" w:fill="auto"/>
            <w:vAlign w:val="center"/>
          </w:tcPr>
          <w:p w14:paraId="03BF2FCF" w14:textId="77777777" w:rsidR="00DA10BD" w:rsidRPr="007E61A0" w:rsidRDefault="00DA10BD" w:rsidP="00FE4CD3">
            <w:pPr>
              <w:pStyle w:val="TableText0"/>
              <w:keepNext w:val="0"/>
              <w:widowControl w:val="0"/>
              <w:jc w:val="center"/>
            </w:pPr>
          </w:p>
        </w:tc>
        <w:tc>
          <w:tcPr>
            <w:tcW w:w="601" w:type="pct"/>
            <w:tcBorders>
              <w:bottom w:val="nil"/>
              <w:right w:val="single" w:sz="4" w:space="0" w:color="auto"/>
            </w:tcBorders>
            <w:shd w:val="clear" w:color="auto" w:fill="auto"/>
          </w:tcPr>
          <w:p w14:paraId="5899CA1A" w14:textId="77777777" w:rsidR="00DA10BD" w:rsidRPr="007E61A0" w:rsidRDefault="00DA10BD" w:rsidP="00FE4CD3">
            <w:pPr>
              <w:pStyle w:val="TableText0"/>
              <w:keepNext w:val="0"/>
              <w:widowControl w:val="0"/>
              <w:jc w:val="center"/>
            </w:pPr>
          </w:p>
        </w:tc>
      </w:tr>
      <w:tr w:rsidR="00DA10BD" w:rsidRPr="007E61A0" w14:paraId="542BE9FE" w14:textId="77777777" w:rsidTr="009942F6">
        <w:tc>
          <w:tcPr>
            <w:tcW w:w="2511" w:type="pct"/>
            <w:tcBorders>
              <w:top w:val="nil"/>
              <w:left w:val="single" w:sz="4" w:space="0" w:color="auto"/>
              <w:bottom w:val="nil"/>
            </w:tcBorders>
          </w:tcPr>
          <w:p w14:paraId="3D408101" w14:textId="77777777" w:rsidR="00DA10BD" w:rsidRPr="007E61A0" w:rsidRDefault="00DA10BD" w:rsidP="00FE4CD3">
            <w:pPr>
              <w:pStyle w:val="TableText0"/>
              <w:keepNext w:val="0"/>
              <w:widowControl w:val="0"/>
              <w:numPr>
                <w:ilvl w:val="0"/>
                <w:numId w:val="9"/>
              </w:numPr>
            </w:pPr>
            <w:r w:rsidRPr="007E61A0">
              <w:t>0% costs and outcomes</w:t>
            </w:r>
          </w:p>
        </w:tc>
        <w:tc>
          <w:tcPr>
            <w:tcW w:w="708" w:type="pct"/>
            <w:tcBorders>
              <w:top w:val="nil"/>
              <w:bottom w:val="nil"/>
            </w:tcBorders>
            <w:shd w:val="solid" w:color="000000" w:fill="000000"/>
            <w:vAlign w:val="center"/>
          </w:tcPr>
          <w:p w14:paraId="6EA1C9B8" w14:textId="4DFB1F5D" w:rsidR="00DA10BD" w:rsidRPr="009942F6" w:rsidRDefault="009942F6" w:rsidP="00FE4CD3">
            <w:pPr>
              <w:pStyle w:val="TableText0"/>
              <w:keepNext w:val="0"/>
              <w:widowControl w:val="0"/>
              <w:jc w:val="center"/>
            </w:pPr>
            <w:r w:rsidRPr="00415EDB">
              <w:rPr>
                <w:rFonts w:hint="eastAsia"/>
                <w:color w:val="000000"/>
                <w:w w:val="16"/>
                <w:fitText w:val="75" w:id="-1305212663"/>
                <w14:textFill>
                  <w14:solidFill>
                    <w14:srgbClr w14:val="000000">
                      <w14:alpha w14:val="100000"/>
                    </w14:srgbClr>
                  </w14:solidFill>
                </w14:textFill>
              </w:rPr>
              <w:t xml:space="preserve">　</w:t>
            </w:r>
            <w:r w:rsidRPr="00415EDB">
              <w:rPr>
                <w:color w:val="000000"/>
                <w:w w:val="16"/>
                <w:fitText w:val="75" w:id="-1305212663"/>
                <w14:textFill>
                  <w14:solidFill>
                    <w14:srgbClr w14:val="000000">
                      <w14:alpha w14:val="100000"/>
                    </w14:srgbClr>
                  </w14:solidFill>
                </w14:textFill>
              </w:rPr>
              <w:t>|</w:t>
            </w:r>
            <w:r w:rsidRPr="00415EDB">
              <w:rPr>
                <w:rFonts w:hint="eastAsia"/>
                <w:color w:val="000000"/>
                <w:w w:val="16"/>
                <w:fitText w:val="75" w:id="-1305212663"/>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4FC48730" w14:textId="77777777" w:rsidR="00DA10BD" w:rsidRPr="007E61A0" w:rsidRDefault="00DA10BD" w:rsidP="00FE4CD3">
            <w:pPr>
              <w:pStyle w:val="TableText0"/>
              <w:keepNext w:val="0"/>
              <w:widowControl w:val="0"/>
              <w:jc w:val="center"/>
            </w:pPr>
            <w:r w:rsidRPr="007E61A0">
              <w:t>0.1261</w:t>
            </w:r>
          </w:p>
        </w:tc>
        <w:tc>
          <w:tcPr>
            <w:tcW w:w="540" w:type="pct"/>
            <w:tcBorders>
              <w:top w:val="nil"/>
              <w:bottom w:val="nil"/>
            </w:tcBorders>
            <w:shd w:val="clear" w:color="auto" w:fill="auto"/>
            <w:vAlign w:val="center"/>
          </w:tcPr>
          <w:p w14:paraId="41831348" w14:textId="7A573BAE"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2"/>
                <w14:textFill>
                  <w14:solidFill>
                    <w14:srgbClr w14:val="000000">
                      <w14:alpha w14:val="100000"/>
                    </w14:srgbClr>
                  </w14:solidFill>
                </w14:textFill>
              </w:rPr>
              <w:t>||</w:t>
            </w:r>
            <w:r w:rsidRPr="00415EDB">
              <w:rPr>
                <w:color w:val="000000"/>
                <w:spacing w:val="1"/>
                <w:shd w:val="solid" w:color="000000" w:fill="000000"/>
                <w:fitText w:val="238" w:id="-1305212662"/>
                <w14:textFill>
                  <w14:solidFill>
                    <w14:srgbClr w14:val="000000">
                      <w14:alpha w14:val="100000"/>
                    </w14:srgbClr>
                  </w14:solidFill>
                </w14:textFill>
              </w:rPr>
              <w:t>|</w:t>
            </w:r>
            <w:r w:rsidR="00970313">
              <w:rPr>
                <w:b/>
                <w:bCs w:val="0"/>
                <w:vertAlign w:val="superscript"/>
              </w:rPr>
              <w:t>1</w:t>
            </w:r>
          </w:p>
        </w:tc>
        <w:tc>
          <w:tcPr>
            <w:tcW w:w="601" w:type="pct"/>
            <w:tcBorders>
              <w:top w:val="nil"/>
              <w:bottom w:val="nil"/>
              <w:right w:val="single" w:sz="4" w:space="0" w:color="auto"/>
            </w:tcBorders>
            <w:shd w:val="clear" w:color="auto" w:fill="auto"/>
          </w:tcPr>
          <w:p w14:paraId="5C8778A3" w14:textId="77777777" w:rsidR="00DA10BD" w:rsidRPr="007E61A0" w:rsidRDefault="00DA10BD" w:rsidP="00FE4CD3">
            <w:pPr>
              <w:pStyle w:val="TableText0"/>
              <w:keepNext w:val="0"/>
              <w:widowControl w:val="0"/>
              <w:jc w:val="center"/>
            </w:pPr>
            <w:r w:rsidRPr="007E61A0">
              <w:t>-0.1%</w:t>
            </w:r>
          </w:p>
        </w:tc>
      </w:tr>
      <w:tr w:rsidR="00DA10BD" w:rsidRPr="007E61A0" w14:paraId="4572C72A" w14:textId="77777777" w:rsidTr="009942F6">
        <w:tc>
          <w:tcPr>
            <w:tcW w:w="2511" w:type="pct"/>
            <w:tcBorders>
              <w:top w:val="nil"/>
              <w:left w:val="single" w:sz="4" w:space="0" w:color="auto"/>
              <w:bottom w:val="single" w:sz="4" w:space="0" w:color="auto"/>
            </w:tcBorders>
          </w:tcPr>
          <w:p w14:paraId="33BC9AE1" w14:textId="77777777" w:rsidR="00DA10BD" w:rsidRPr="007E61A0" w:rsidRDefault="00DA10BD" w:rsidP="00FE4CD3">
            <w:pPr>
              <w:pStyle w:val="TableText0"/>
              <w:keepNext w:val="0"/>
              <w:widowControl w:val="0"/>
              <w:numPr>
                <w:ilvl w:val="0"/>
                <w:numId w:val="9"/>
              </w:numPr>
            </w:pPr>
            <w:r w:rsidRPr="007E61A0">
              <w:t>3.5% costs and outcomes</w:t>
            </w:r>
          </w:p>
        </w:tc>
        <w:tc>
          <w:tcPr>
            <w:tcW w:w="708" w:type="pct"/>
            <w:tcBorders>
              <w:top w:val="nil"/>
              <w:bottom w:val="single" w:sz="4" w:space="0" w:color="auto"/>
            </w:tcBorders>
            <w:shd w:val="solid" w:color="000000" w:fill="000000"/>
            <w:vAlign w:val="center"/>
          </w:tcPr>
          <w:p w14:paraId="658E68E7" w14:textId="4C7A843B" w:rsidR="00DA10BD" w:rsidRPr="009942F6" w:rsidRDefault="009942F6" w:rsidP="00FE4CD3">
            <w:pPr>
              <w:pStyle w:val="TableText0"/>
              <w:keepNext w:val="0"/>
              <w:widowControl w:val="0"/>
              <w:jc w:val="center"/>
            </w:pPr>
            <w:r w:rsidRPr="00415EDB">
              <w:rPr>
                <w:rFonts w:hint="eastAsia"/>
                <w:color w:val="000000"/>
                <w:w w:val="16"/>
                <w:fitText w:val="75" w:id="-1305212661"/>
                <w14:textFill>
                  <w14:solidFill>
                    <w14:srgbClr w14:val="000000">
                      <w14:alpha w14:val="100000"/>
                    </w14:srgbClr>
                  </w14:solidFill>
                </w14:textFill>
              </w:rPr>
              <w:t xml:space="preserve">　</w:t>
            </w:r>
            <w:r w:rsidRPr="00415EDB">
              <w:rPr>
                <w:color w:val="000000"/>
                <w:w w:val="16"/>
                <w:fitText w:val="75" w:id="-1305212661"/>
                <w14:textFill>
                  <w14:solidFill>
                    <w14:srgbClr w14:val="000000">
                      <w14:alpha w14:val="100000"/>
                    </w14:srgbClr>
                  </w14:solidFill>
                </w14:textFill>
              </w:rPr>
              <w:t>|</w:t>
            </w:r>
            <w:r w:rsidRPr="00415EDB">
              <w:rPr>
                <w:rFonts w:hint="eastAsia"/>
                <w:color w:val="000000"/>
                <w:w w:val="16"/>
                <w:fitText w:val="75" w:id="-1305212661"/>
                <w14:textFill>
                  <w14:solidFill>
                    <w14:srgbClr w14:val="000000">
                      <w14:alpha w14:val="100000"/>
                    </w14:srgbClr>
                  </w14:solidFill>
                </w14:textFill>
              </w:rPr>
              <w:t xml:space="preserve">　</w:t>
            </w:r>
          </w:p>
        </w:tc>
        <w:tc>
          <w:tcPr>
            <w:tcW w:w="640" w:type="pct"/>
            <w:tcBorders>
              <w:top w:val="nil"/>
              <w:bottom w:val="single" w:sz="4" w:space="0" w:color="auto"/>
            </w:tcBorders>
            <w:shd w:val="clear" w:color="auto" w:fill="auto"/>
            <w:vAlign w:val="center"/>
          </w:tcPr>
          <w:p w14:paraId="235B447B" w14:textId="77777777" w:rsidR="00DA10BD" w:rsidRPr="007E61A0" w:rsidRDefault="00DA10BD" w:rsidP="00FE4CD3">
            <w:pPr>
              <w:pStyle w:val="TableText0"/>
              <w:keepNext w:val="0"/>
              <w:widowControl w:val="0"/>
              <w:jc w:val="center"/>
            </w:pPr>
            <w:r w:rsidRPr="007E61A0">
              <w:t>0.1175</w:t>
            </w:r>
          </w:p>
        </w:tc>
        <w:tc>
          <w:tcPr>
            <w:tcW w:w="540" w:type="pct"/>
            <w:tcBorders>
              <w:top w:val="nil"/>
              <w:bottom w:val="single" w:sz="4" w:space="0" w:color="auto"/>
            </w:tcBorders>
            <w:shd w:val="clear" w:color="auto" w:fill="auto"/>
            <w:vAlign w:val="center"/>
          </w:tcPr>
          <w:p w14:paraId="7F5EDEFF" w14:textId="1AEE3B78" w:rsidR="00DA10BD" w:rsidRPr="006F558E" w:rsidRDefault="009942F6" w:rsidP="00FE4CD3">
            <w:pPr>
              <w:pStyle w:val="TableText0"/>
              <w:keepNext w:val="0"/>
              <w:widowControl w:val="0"/>
              <w:jc w:val="center"/>
              <w:rPr>
                <w:highlight w:val="darkGray"/>
              </w:rPr>
            </w:pPr>
            <w:r w:rsidRPr="009942F6">
              <w:rPr>
                <w:color w:val="000000"/>
                <w:spacing w:val="55"/>
                <w:shd w:val="solid" w:color="000000" w:fill="000000"/>
                <w:fitText w:val="238" w:id="-1305212660"/>
                <w14:textFill>
                  <w14:solidFill>
                    <w14:srgbClr w14:val="000000">
                      <w14:alpha w14:val="100000"/>
                    </w14:srgbClr>
                  </w14:solidFill>
                </w14:textFill>
              </w:rPr>
              <w:t>||</w:t>
            </w:r>
            <w:r w:rsidRPr="009942F6">
              <w:rPr>
                <w:color w:val="000000"/>
                <w:spacing w:val="1"/>
                <w:shd w:val="solid" w:color="000000" w:fill="000000"/>
                <w:fitText w:val="238" w:id="-1305212660"/>
                <w14:textFill>
                  <w14:solidFill>
                    <w14:srgbClr w14:val="000000">
                      <w14:alpha w14:val="100000"/>
                    </w14:srgbClr>
                  </w14:solidFill>
                </w14:textFill>
              </w:rPr>
              <w:t>|</w:t>
            </w:r>
            <w:r w:rsidR="00970313">
              <w:rPr>
                <w:b/>
                <w:bCs w:val="0"/>
                <w:vertAlign w:val="superscript"/>
              </w:rPr>
              <w:t>1</w:t>
            </w:r>
          </w:p>
        </w:tc>
        <w:tc>
          <w:tcPr>
            <w:tcW w:w="601" w:type="pct"/>
            <w:tcBorders>
              <w:top w:val="nil"/>
              <w:bottom w:val="single" w:sz="4" w:space="0" w:color="auto"/>
              <w:right w:val="single" w:sz="4" w:space="0" w:color="auto"/>
            </w:tcBorders>
            <w:shd w:val="clear" w:color="auto" w:fill="auto"/>
          </w:tcPr>
          <w:p w14:paraId="759DE54E" w14:textId="77777777" w:rsidR="00DA10BD" w:rsidRPr="007E61A0" w:rsidRDefault="00DA10BD" w:rsidP="00FE4CD3">
            <w:pPr>
              <w:pStyle w:val="TableText0"/>
              <w:keepNext w:val="0"/>
              <w:widowControl w:val="0"/>
              <w:jc w:val="center"/>
            </w:pPr>
            <w:r w:rsidRPr="007E61A0">
              <w:t>0.0%</w:t>
            </w:r>
          </w:p>
        </w:tc>
      </w:tr>
      <w:tr w:rsidR="00DA10BD" w:rsidRPr="007E61A0" w14:paraId="7BDB3B42" w14:textId="77777777" w:rsidTr="00861911">
        <w:tc>
          <w:tcPr>
            <w:tcW w:w="2511" w:type="pct"/>
            <w:tcBorders>
              <w:left w:val="single" w:sz="4" w:space="0" w:color="auto"/>
              <w:bottom w:val="single" w:sz="4" w:space="0" w:color="auto"/>
              <w:right w:val="nil"/>
            </w:tcBorders>
          </w:tcPr>
          <w:p w14:paraId="5F4F6A67" w14:textId="77777777" w:rsidR="00DA10BD" w:rsidRPr="007E61A0" w:rsidRDefault="00DA10BD" w:rsidP="00FE4CD3">
            <w:pPr>
              <w:pStyle w:val="TableText0"/>
              <w:keepNext w:val="0"/>
              <w:widowControl w:val="0"/>
              <w:rPr>
                <w:b/>
                <w:bCs w:val="0"/>
              </w:rPr>
            </w:pPr>
            <w:r w:rsidRPr="007E61A0">
              <w:rPr>
                <w:b/>
                <w:bCs w:val="0"/>
              </w:rPr>
              <w:t>Clinical effectiveness</w:t>
            </w:r>
          </w:p>
        </w:tc>
        <w:tc>
          <w:tcPr>
            <w:tcW w:w="708" w:type="pct"/>
            <w:tcBorders>
              <w:left w:val="nil"/>
              <w:bottom w:val="single" w:sz="4" w:space="0" w:color="auto"/>
              <w:right w:val="nil"/>
            </w:tcBorders>
            <w:shd w:val="clear" w:color="auto" w:fill="auto"/>
            <w:vAlign w:val="center"/>
          </w:tcPr>
          <w:p w14:paraId="04B1CA96" w14:textId="77777777" w:rsidR="00DA10BD" w:rsidRPr="007E61A0" w:rsidRDefault="00DA10BD" w:rsidP="00FE4CD3">
            <w:pPr>
              <w:pStyle w:val="TableText0"/>
              <w:keepNext w:val="0"/>
              <w:widowControl w:val="0"/>
              <w:jc w:val="center"/>
              <w:rPr>
                <w:b/>
                <w:bCs w:val="0"/>
              </w:rPr>
            </w:pPr>
          </w:p>
        </w:tc>
        <w:tc>
          <w:tcPr>
            <w:tcW w:w="640" w:type="pct"/>
            <w:tcBorders>
              <w:left w:val="nil"/>
              <w:bottom w:val="single" w:sz="4" w:space="0" w:color="auto"/>
              <w:right w:val="nil"/>
            </w:tcBorders>
            <w:shd w:val="clear" w:color="auto" w:fill="auto"/>
            <w:vAlign w:val="center"/>
          </w:tcPr>
          <w:p w14:paraId="33B595D0" w14:textId="77777777" w:rsidR="00DA10BD" w:rsidRPr="007E61A0" w:rsidRDefault="00DA10BD" w:rsidP="00FE4CD3">
            <w:pPr>
              <w:pStyle w:val="TableText0"/>
              <w:keepNext w:val="0"/>
              <w:widowControl w:val="0"/>
              <w:jc w:val="center"/>
              <w:rPr>
                <w:b/>
                <w:bCs w:val="0"/>
              </w:rPr>
            </w:pPr>
          </w:p>
        </w:tc>
        <w:tc>
          <w:tcPr>
            <w:tcW w:w="540" w:type="pct"/>
            <w:tcBorders>
              <w:left w:val="nil"/>
              <w:bottom w:val="single" w:sz="4" w:space="0" w:color="auto"/>
              <w:right w:val="nil"/>
            </w:tcBorders>
            <w:shd w:val="clear" w:color="auto" w:fill="auto"/>
            <w:vAlign w:val="center"/>
          </w:tcPr>
          <w:p w14:paraId="584124AD" w14:textId="77777777" w:rsidR="00DA10BD" w:rsidRPr="006F558E" w:rsidRDefault="00DA10BD" w:rsidP="00FE4CD3">
            <w:pPr>
              <w:pStyle w:val="TableText0"/>
              <w:keepNext w:val="0"/>
              <w:widowControl w:val="0"/>
              <w:jc w:val="center"/>
              <w:rPr>
                <w:b/>
                <w:bCs w:val="0"/>
                <w:highlight w:val="darkGray"/>
              </w:rPr>
            </w:pPr>
          </w:p>
        </w:tc>
        <w:tc>
          <w:tcPr>
            <w:tcW w:w="601" w:type="pct"/>
            <w:tcBorders>
              <w:left w:val="nil"/>
              <w:bottom w:val="single" w:sz="4" w:space="0" w:color="auto"/>
              <w:right w:val="single" w:sz="4" w:space="0" w:color="auto"/>
            </w:tcBorders>
            <w:shd w:val="clear" w:color="auto" w:fill="auto"/>
          </w:tcPr>
          <w:p w14:paraId="5628F210" w14:textId="77777777" w:rsidR="00DA10BD" w:rsidRPr="007E61A0" w:rsidRDefault="00DA10BD" w:rsidP="00FE4CD3">
            <w:pPr>
              <w:pStyle w:val="TableText0"/>
              <w:keepNext w:val="0"/>
              <w:widowControl w:val="0"/>
              <w:jc w:val="center"/>
              <w:rPr>
                <w:b/>
                <w:bCs w:val="0"/>
              </w:rPr>
            </w:pPr>
          </w:p>
        </w:tc>
      </w:tr>
      <w:tr w:rsidR="00DA10BD" w:rsidRPr="007E61A0" w14:paraId="10820539" w14:textId="77777777" w:rsidTr="009942F6">
        <w:tc>
          <w:tcPr>
            <w:tcW w:w="2511" w:type="pct"/>
            <w:tcBorders>
              <w:left w:val="single" w:sz="4" w:space="0" w:color="auto"/>
              <w:bottom w:val="nil"/>
            </w:tcBorders>
          </w:tcPr>
          <w:p w14:paraId="247D3EF3" w14:textId="77777777" w:rsidR="00DA10BD" w:rsidRPr="007E61A0" w:rsidRDefault="00DA10BD" w:rsidP="00FE4CD3">
            <w:pPr>
              <w:pStyle w:val="TableText0"/>
              <w:keepNext w:val="0"/>
              <w:widowControl w:val="0"/>
            </w:pPr>
            <w:r w:rsidRPr="007E61A0">
              <w:t>Trial-period (0-24 weeks) (base case: pooled POETYK data)</w:t>
            </w:r>
          </w:p>
        </w:tc>
        <w:tc>
          <w:tcPr>
            <w:tcW w:w="708" w:type="pct"/>
            <w:tcBorders>
              <w:bottom w:val="nil"/>
            </w:tcBorders>
            <w:shd w:val="clear" w:color="auto" w:fill="auto"/>
            <w:vAlign w:val="center"/>
          </w:tcPr>
          <w:p w14:paraId="73E4C05F" w14:textId="77777777" w:rsidR="00DA10BD" w:rsidRPr="007E61A0" w:rsidRDefault="00DA10BD" w:rsidP="00FE4CD3">
            <w:pPr>
              <w:pStyle w:val="TableText0"/>
              <w:keepNext w:val="0"/>
              <w:widowControl w:val="0"/>
              <w:jc w:val="center"/>
            </w:pPr>
          </w:p>
        </w:tc>
        <w:tc>
          <w:tcPr>
            <w:tcW w:w="640" w:type="pct"/>
            <w:tcBorders>
              <w:bottom w:val="nil"/>
            </w:tcBorders>
            <w:shd w:val="clear" w:color="auto" w:fill="auto"/>
            <w:vAlign w:val="center"/>
          </w:tcPr>
          <w:p w14:paraId="29B50362" w14:textId="77777777" w:rsidR="00DA10BD" w:rsidRPr="007E61A0" w:rsidRDefault="00DA10BD" w:rsidP="00FE4CD3">
            <w:pPr>
              <w:pStyle w:val="TableText0"/>
              <w:keepNext w:val="0"/>
              <w:widowControl w:val="0"/>
              <w:jc w:val="center"/>
            </w:pPr>
          </w:p>
        </w:tc>
        <w:tc>
          <w:tcPr>
            <w:tcW w:w="540" w:type="pct"/>
            <w:tcBorders>
              <w:bottom w:val="nil"/>
            </w:tcBorders>
            <w:shd w:val="clear" w:color="auto" w:fill="auto"/>
            <w:vAlign w:val="center"/>
          </w:tcPr>
          <w:p w14:paraId="204F9EA5" w14:textId="77777777" w:rsidR="00DA10BD" w:rsidRPr="007E61A0" w:rsidRDefault="00DA10BD" w:rsidP="00FE4CD3">
            <w:pPr>
              <w:pStyle w:val="TableText0"/>
              <w:keepNext w:val="0"/>
              <w:widowControl w:val="0"/>
              <w:jc w:val="center"/>
            </w:pPr>
          </w:p>
        </w:tc>
        <w:tc>
          <w:tcPr>
            <w:tcW w:w="601" w:type="pct"/>
            <w:tcBorders>
              <w:bottom w:val="nil"/>
              <w:right w:val="single" w:sz="4" w:space="0" w:color="auto"/>
            </w:tcBorders>
            <w:shd w:val="clear" w:color="auto" w:fill="auto"/>
          </w:tcPr>
          <w:p w14:paraId="2985E3D4" w14:textId="77777777" w:rsidR="00DA10BD" w:rsidRPr="007E61A0" w:rsidRDefault="00DA10BD" w:rsidP="00FE4CD3">
            <w:pPr>
              <w:pStyle w:val="TableText0"/>
              <w:keepNext w:val="0"/>
              <w:widowControl w:val="0"/>
              <w:jc w:val="center"/>
            </w:pPr>
          </w:p>
        </w:tc>
      </w:tr>
      <w:tr w:rsidR="00DA10BD" w:rsidRPr="007E61A0" w14:paraId="1D117858" w14:textId="77777777" w:rsidTr="009942F6">
        <w:tc>
          <w:tcPr>
            <w:tcW w:w="2511" w:type="pct"/>
            <w:tcBorders>
              <w:top w:val="nil"/>
              <w:left w:val="single" w:sz="4" w:space="0" w:color="auto"/>
              <w:bottom w:val="nil"/>
            </w:tcBorders>
          </w:tcPr>
          <w:p w14:paraId="670F20F0" w14:textId="77777777" w:rsidR="00DA10BD" w:rsidRPr="007E61A0" w:rsidRDefault="00DA10BD" w:rsidP="00FE4CD3">
            <w:pPr>
              <w:pStyle w:val="TableText0"/>
              <w:keepNext w:val="0"/>
              <w:widowControl w:val="0"/>
              <w:numPr>
                <w:ilvl w:val="0"/>
                <w:numId w:val="9"/>
              </w:numPr>
            </w:pPr>
            <w:r w:rsidRPr="007E61A0">
              <w:t>POETYK 1</w:t>
            </w:r>
          </w:p>
        </w:tc>
        <w:tc>
          <w:tcPr>
            <w:tcW w:w="708" w:type="pct"/>
            <w:tcBorders>
              <w:top w:val="nil"/>
              <w:bottom w:val="nil"/>
            </w:tcBorders>
            <w:shd w:val="solid" w:color="000000" w:fill="000000"/>
            <w:vAlign w:val="center"/>
          </w:tcPr>
          <w:p w14:paraId="4A6F9118" w14:textId="155CCF3D" w:rsidR="00DA10BD" w:rsidRPr="009942F6" w:rsidRDefault="009942F6" w:rsidP="00FE4CD3">
            <w:pPr>
              <w:pStyle w:val="TableText0"/>
              <w:keepNext w:val="0"/>
              <w:widowControl w:val="0"/>
              <w:jc w:val="center"/>
            </w:pPr>
            <w:r w:rsidRPr="00415EDB">
              <w:rPr>
                <w:rFonts w:hint="eastAsia"/>
                <w:color w:val="000000"/>
                <w:w w:val="16"/>
                <w:fitText w:val="75" w:id="-1305212659"/>
                <w14:textFill>
                  <w14:solidFill>
                    <w14:srgbClr w14:val="000000">
                      <w14:alpha w14:val="100000"/>
                    </w14:srgbClr>
                  </w14:solidFill>
                </w14:textFill>
              </w:rPr>
              <w:t xml:space="preserve">　</w:t>
            </w:r>
            <w:r w:rsidRPr="00415EDB">
              <w:rPr>
                <w:color w:val="000000"/>
                <w:w w:val="16"/>
                <w:fitText w:val="75" w:id="-1305212659"/>
                <w14:textFill>
                  <w14:solidFill>
                    <w14:srgbClr w14:val="000000">
                      <w14:alpha w14:val="100000"/>
                    </w14:srgbClr>
                  </w14:solidFill>
                </w14:textFill>
              </w:rPr>
              <w:t>|</w:t>
            </w:r>
            <w:r w:rsidRPr="00415EDB">
              <w:rPr>
                <w:rFonts w:hint="eastAsia"/>
                <w:color w:val="000000"/>
                <w:w w:val="16"/>
                <w:fitText w:val="75" w:id="-1305212659"/>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351E33DD" w14:textId="77777777" w:rsidR="00DA10BD" w:rsidRPr="007E61A0" w:rsidRDefault="00DA10BD" w:rsidP="00FE4CD3">
            <w:pPr>
              <w:pStyle w:val="TableText0"/>
              <w:keepNext w:val="0"/>
              <w:widowControl w:val="0"/>
              <w:jc w:val="center"/>
            </w:pPr>
            <w:r w:rsidRPr="007E61A0">
              <w:t>0.1913</w:t>
            </w:r>
          </w:p>
        </w:tc>
        <w:tc>
          <w:tcPr>
            <w:tcW w:w="540" w:type="pct"/>
            <w:tcBorders>
              <w:top w:val="nil"/>
              <w:bottom w:val="nil"/>
            </w:tcBorders>
            <w:shd w:val="clear" w:color="auto" w:fill="auto"/>
            <w:vAlign w:val="center"/>
          </w:tcPr>
          <w:p w14:paraId="62B87F92" w14:textId="42974C71"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58"/>
                <w14:textFill>
                  <w14:solidFill>
                    <w14:srgbClr w14:val="000000">
                      <w14:alpha w14:val="100000"/>
                    </w14:srgbClr>
                  </w14:solidFill>
                </w14:textFill>
              </w:rPr>
              <w:t>||</w:t>
            </w:r>
            <w:r w:rsidRPr="00415EDB">
              <w:rPr>
                <w:color w:val="000000"/>
                <w:spacing w:val="1"/>
                <w:shd w:val="solid" w:color="000000" w:fill="000000"/>
                <w:fitText w:val="238" w:id="-1305212658"/>
                <w14:textFill>
                  <w14:solidFill>
                    <w14:srgbClr w14:val="000000">
                      <w14:alpha w14:val="100000"/>
                    </w14:srgbClr>
                  </w14:solidFill>
                </w14:textFill>
              </w:rPr>
              <w:t>|</w:t>
            </w:r>
            <w:r w:rsidR="00970313">
              <w:rPr>
                <w:b/>
                <w:bCs w:val="0"/>
                <w:vertAlign w:val="superscript"/>
              </w:rPr>
              <w:t>2</w:t>
            </w:r>
          </w:p>
        </w:tc>
        <w:tc>
          <w:tcPr>
            <w:tcW w:w="601" w:type="pct"/>
            <w:tcBorders>
              <w:top w:val="nil"/>
              <w:bottom w:val="nil"/>
              <w:right w:val="single" w:sz="4" w:space="0" w:color="auto"/>
            </w:tcBorders>
            <w:shd w:val="clear" w:color="auto" w:fill="auto"/>
          </w:tcPr>
          <w:p w14:paraId="5B02FF85" w14:textId="77777777" w:rsidR="00DA10BD" w:rsidRPr="007E61A0" w:rsidRDefault="00DA10BD" w:rsidP="00FE4CD3">
            <w:pPr>
              <w:pStyle w:val="TableText0"/>
              <w:keepNext w:val="0"/>
              <w:widowControl w:val="0"/>
              <w:jc w:val="center"/>
            </w:pPr>
            <w:r w:rsidRPr="007E61A0">
              <w:t>-46.6%</w:t>
            </w:r>
          </w:p>
        </w:tc>
      </w:tr>
      <w:tr w:rsidR="00DA10BD" w:rsidRPr="007E61A0" w14:paraId="53A5FA35" w14:textId="77777777" w:rsidTr="009942F6">
        <w:tc>
          <w:tcPr>
            <w:tcW w:w="2511" w:type="pct"/>
            <w:tcBorders>
              <w:top w:val="nil"/>
              <w:left w:val="single" w:sz="4" w:space="0" w:color="auto"/>
              <w:bottom w:val="single" w:sz="4" w:space="0" w:color="auto"/>
            </w:tcBorders>
          </w:tcPr>
          <w:p w14:paraId="42429871" w14:textId="77777777" w:rsidR="00DA10BD" w:rsidRPr="007E61A0" w:rsidRDefault="00DA10BD" w:rsidP="00FE4CD3">
            <w:pPr>
              <w:pStyle w:val="TableText0"/>
              <w:keepNext w:val="0"/>
              <w:widowControl w:val="0"/>
              <w:numPr>
                <w:ilvl w:val="0"/>
                <w:numId w:val="9"/>
              </w:numPr>
            </w:pPr>
            <w:r w:rsidRPr="007E61A0">
              <w:t>POETYK 2</w:t>
            </w:r>
          </w:p>
        </w:tc>
        <w:tc>
          <w:tcPr>
            <w:tcW w:w="708" w:type="pct"/>
            <w:tcBorders>
              <w:top w:val="nil"/>
              <w:bottom w:val="single" w:sz="4" w:space="0" w:color="auto"/>
            </w:tcBorders>
            <w:shd w:val="solid" w:color="000000" w:fill="000000"/>
            <w:vAlign w:val="center"/>
          </w:tcPr>
          <w:p w14:paraId="0FDF040A" w14:textId="19877644" w:rsidR="00DA10BD" w:rsidRPr="009942F6" w:rsidRDefault="009942F6" w:rsidP="00FE4CD3">
            <w:pPr>
              <w:pStyle w:val="TableText0"/>
              <w:keepNext w:val="0"/>
              <w:widowControl w:val="0"/>
              <w:jc w:val="center"/>
            </w:pPr>
            <w:r w:rsidRPr="00415EDB">
              <w:rPr>
                <w:rFonts w:hint="eastAsia"/>
                <w:color w:val="000000"/>
                <w:w w:val="16"/>
                <w:fitText w:val="75" w:id="-1305212657"/>
                <w14:textFill>
                  <w14:solidFill>
                    <w14:srgbClr w14:val="000000">
                      <w14:alpha w14:val="100000"/>
                    </w14:srgbClr>
                  </w14:solidFill>
                </w14:textFill>
              </w:rPr>
              <w:t xml:space="preserve">　</w:t>
            </w:r>
            <w:r w:rsidRPr="00415EDB">
              <w:rPr>
                <w:color w:val="000000"/>
                <w:w w:val="16"/>
                <w:fitText w:val="75" w:id="-1305212657"/>
                <w14:textFill>
                  <w14:solidFill>
                    <w14:srgbClr w14:val="000000">
                      <w14:alpha w14:val="100000"/>
                    </w14:srgbClr>
                  </w14:solidFill>
                </w14:textFill>
              </w:rPr>
              <w:t>|</w:t>
            </w:r>
            <w:r w:rsidRPr="00415EDB">
              <w:rPr>
                <w:rFonts w:hint="eastAsia"/>
                <w:color w:val="000000"/>
                <w:w w:val="16"/>
                <w:fitText w:val="75" w:id="-1305212657"/>
                <w14:textFill>
                  <w14:solidFill>
                    <w14:srgbClr w14:val="000000">
                      <w14:alpha w14:val="100000"/>
                    </w14:srgbClr>
                  </w14:solidFill>
                </w14:textFill>
              </w:rPr>
              <w:t xml:space="preserve">　</w:t>
            </w:r>
          </w:p>
        </w:tc>
        <w:tc>
          <w:tcPr>
            <w:tcW w:w="640" w:type="pct"/>
            <w:tcBorders>
              <w:top w:val="nil"/>
              <w:bottom w:val="single" w:sz="4" w:space="0" w:color="auto"/>
            </w:tcBorders>
            <w:shd w:val="clear" w:color="auto" w:fill="auto"/>
            <w:vAlign w:val="center"/>
          </w:tcPr>
          <w:p w14:paraId="79AAB711" w14:textId="77777777" w:rsidR="00DA10BD" w:rsidRPr="007E61A0" w:rsidRDefault="00DA10BD" w:rsidP="00FE4CD3">
            <w:pPr>
              <w:pStyle w:val="TableText0"/>
              <w:keepNext w:val="0"/>
              <w:widowControl w:val="0"/>
              <w:jc w:val="center"/>
            </w:pPr>
            <w:r w:rsidRPr="007E61A0">
              <w:t>0.0634</w:t>
            </w:r>
          </w:p>
        </w:tc>
        <w:tc>
          <w:tcPr>
            <w:tcW w:w="540" w:type="pct"/>
            <w:tcBorders>
              <w:top w:val="nil"/>
              <w:bottom w:val="single" w:sz="4" w:space="0" w:color="auto"/>
            </w:tcBorders>
            <w:shd w:val="clear" w:color="auto" w:fill="auto"/>
            <w:vAlign w:val="center"/>
          </w:tcPr>
          <w:p w14:paraId="253DF34D" w14:textId="364DD0D1" w:rsidR="00DA10BD" w:rsidRPr="006F558E" w:rsidRDefault="009942F6" w:rsidP="00FE4CD3">
            <w:pPr>
              <w:pStyle w:val="TableText0"/>
              <w:keepNext w:val="0"/>
              <w:widowControl w:val="0"/>
              <w:jc w:val="center"/>
              <w:rPr>
                <w:highlight w:val="darkGray"/>
              </w:rPr>
            </w:pPr>
            <w:r w:rsidRPr="009942F6">
              <w:rPr>
                <w:color w:val="000000"/>
                <w:spacing w:val="55"/>
                <w:shd w:val="solid" w:color="000000" w:fill="000000"/>
                <w:fitText w:val="238" w:id="-1305212656"/>
                <w14:textFill>
                  <w14:solidFill>
                    <w14:srgbClr w14:val="000000">
                      <w14:alpha w14:val="100000"/>
                    </w14:srgbClr>
                  </w14:solidFill>
                </w14:textFill>
              </w:rPr>
              <w:t>||</w:t>
            </w:r>
            <w:r w:rsidRPr="009942F6">
              <w:rPr>
                <w:color w:val="000000"/>
                <w:spacing w:val="1"/>
                <w:shd w:val="solid" w:color="000000" w:fill="000000"/>
                <w:fitText w:val="238" w:id="-1305212656"/>
                <w14:textFill>
                  <w14:solidFill>
                    <w14:srgbClr w14:val="000000">
                      <w14:alpha w14:val="100000"/>
                    </w14:srgbClr>
                  </w14:solidFill>
                </w14:textFill>
              </w:rPr>
              <w:t>|</w:t>
            </w:r>
            <w:r w:rsidR="00970313">
              <w:rPr>
                <w:b/>
                <w:bCs w:val="0"/>
                <w:vertAlign w:val="superscript"/>
              </w:rPr>
              <w:t>3</w:t>
            </w:r>
          </w:p>
        </w:tc>
        <w:tc>
          <w:tcPr>
            <w:tcW w:w="601" w:type="pct"/>
            <w:tcBorders>
              <w:top w:val="nil"/>
              <w:bottom w:val="single" w:sz="4" w:space="0" w:color="auto"/>
              <w:right w:val="single" w:sz="4" w:space="0" w:color="auto"/>
            </w:tcBorders>
            <w:shd w:val="clear" w:color="auto" w:fill="auto"/>
          </w:tcPr>
          <w:p w14:paraId="54AB88A5" w14:textId="77777777" w:rsidR="00DA10BD" w:rsidRPr="007E61A0" w:rsidRDefault="00DA10BD" w:rsidP="00FE4CD3">
            <w:pPr>
              <w:pStyle w:val="TableText0"/>
              <w:keepNext w:val="0"/>
              <w:widowControl w:val="0"/>
              <w:jc w:val="center"/>
            </w:pPr>
            <w:r w:rsidRPr="007E61A0">
              <w:t>91.9%</w:t>
            </w:r>
          </w:p>
        </w:tc>
      </w:tr>
      <w:tr w:rsidR="00DA10BD" w:rsidRPr="007E61A0" w14:paraId="49CF5B88" w14:textId="77777777" w:rsidTr="009942F6">
        <w:tc>
          <w:tcPr>
            <w:tcW w:w="2511" w:type="pct"/>
            <w:tcBorders>
              <w:left w:val="single" w:sz="4" w:space="0" w:color="auto"/>
              <w:bottom w:val="nil"/>
            </w:tcBorders>
          </w:tcPr>
          <w:p w14:paraId="217C9C0C" w14:textId="77777777" w:rsidR="00DA10BD" w:rsidRPr="007E61A0" w:rsidRDefault="00DA10BD" w:rsidP="00FE4CD3">
            <w:pPr>
              <w:pStyle w:val="TableText0"/>
              <w:keepNext w:val="0"/>
              <w:widowControl w:val="0"/>
            </w:pPr>
            <w:r w:rsidRPr="007E61A0">
              <w:t>Loss of efficacy per year</w:t>
            </w:r>
            <w:r w:rsidRPr="007E61A0">
              <w:rPr>
                <w:vertAlign w:val="superscript"/>
              </w:rPr>
              <w:t>a</w:t>
            </w:r>
            <w:r w:rsidRPr="007E61A0">
              <w:t xml:space="preserve"> (post 24 weeks) (base case: 0%)</w:t>
            </w:r>
          </w:p>
        </w:tc>
        <w:tc>
          <w:tcPr>
            <w:tcW w:w="708" w:type="pct"/>
            <w:tcBorders>
              <w:bottom w:val="nil"/>
            </w:tcBorders>
            <w:shd w:val="clear" w:color="auto" w:fill="auto"/>
            <w:vAlign w:val="center"/>
          </w:tcPr>
          <w:p w14:paraId="447B3534" w14:textId="77777777" w:rsidR="00DA10BD" w:rsidRPr="007E61A0" w:rsidRDefault="00DA10BD" w:rsidP="00FE4CD3">
            <w:pPr>
              <w:pStyle w:val="TableText0"/>
              <w:keepNext w:val="0"/>
              <w:widowControl w:val="0"/>
              <w:jc w:val="center"/>
            </w:pPr>
          </w:p>
        </w:tc>
        <w:tc>
          <w:tcPr>
            <w:tcW w:w="640" w:type="pct"/>
            <w:tcBorders>
              <w:bottom w:val="nil"/>
            </w:tcBorders>
            <w:shd w:val="clear" w:color="auto" w:fill="auto"/>
            <w:vAlign w:val="center"/>
          </w:tcPr>
          <w:p w14:paraId="45B4D240" w14:textId="77777777" w:rsidR="00DA10BD" w:rsidRPr="007E61A0" w:rsidRDefault="00DA10BD" w:rsidP="00FE4CD3">
            <w:pPr>
              <w:pStyle w:val="TableText0"/>
              <w:keepNext w:val="0"/>
              <w:widowControl w:val="0"/>
              <w:jc w:val="center"/>
            </w:pPr>
          </w:p>
        </w:tc>
        <w:tc>
          <w:tcPr>
            <w:tcW w:w="540" w:type="pct"/>
            <w:tcBorders>
              <w:bottom w:val="nil"/>
            </w:tcBorders>
            <w:shd w:val="clear" w:color="auto" w:fill="auto"/>
            <w:vAlign w:val="center"/>
          </w:tcPr>
          <w:p w14:paraId="44F2AA3B" w14:textId="77777777" w:rsidR="00DA10BD" w:rsidRPr="006F558E" w:rsidRDefault="00DA10BD" w:rsidP="00FE4CD3">
            <w:pPr>
              <w:pStyle w:val="TableText0"/>
              <w:keepNext w:val="0"/>
              <w:widowControl w:val="0"/>
              <w:jc w:val="center"/>
              <w:rPr>
                <w:highlight w:val="darkGray"/>
              </w:rPr>
            </w:pPr>
          </w:p>
        </w:tc>
        <w:tc>
          <w:tcPr>
            <w:tcW w:w="601" w:type="pct"/>
            <w:tcBorders>
              <w:bottom w:val="nil"/>
              <w:right w:val="single" w:sz="4" w:space="0" w:color="auto"/>
            </w:tcBorders>
            <w:shd w:val="clear" w:color="auto" w:fill="auto"/>
          </w:tcPr>
          <w:p w14:paraId="2C797021" w14:textId="77777777" w:rsidR="00DA10BD" w:rsidRPr="007E61A0" w:rsidRDefault="00DA10BD" w:rsidP="00FE4CD3">
            <w:pPr>
              <w:pStyle w:val="TableText0"/>
              <w:keepNext w:val="0"/>
              <w:widowControl w:val="0"/>
              <w:jc w:val="center"/>
            </w:pPr>
          </w:p>
        </w:tc>
      </w:tr>
      <w:tr w:rsidR="00DA10BD" w:rsidRPr="007E61A0" w14:paraId="02E6DD75" w14:textId="77777777" w:rsidTr="009942F6">
        <w:tc>
          <w:tcPr>
            <w:tcW w:w="2511" w:type="pct"/>
            <w:tcBorders>
              <w:top w:val="nil"/>
              <w:left w:val="single" w:sz="4" w:space="0" w:color="auto"/>
              <w:bottom w:val="nil"/>
            </w:tcBorders>
          </w:tcPr>
          <w:p w14:paraId="32F75D6E" w14:textId="40411981" w:rsidR="00DA10BD" w:rsidRPr="007E61A0" w:rsidRDefault="00DA10BD" w:rsidP="00FE4CD3">
            <w:pPr>
              <w:pStyle w:val="TableText0"/>
              <w:keepNext w:val="0"/>
              <w:widowControl w:val="0"/>
              <w:numPr>
                <w:ilvl w:val="0"/>
                <w:numId w:val="9"/>
              </w:numPr>
            </w:pPr>
            <w:r w:rsidRPr="007E61A0">
              <w:t>Deucravacitinib: 10%; apremilast: 10%</w:t>
            </w:r>
            <w:r w:rsidR="00394006" w:rsidRPr="007E61A0">
              <w:t xml:space="preserve"> </w:t>
            </w:r>
            <w:r w:rsidR="00394006" w:rsidRPr="007E61A0">
              <w:rPr>
                <w:b/>
                <w:bCs w:val="0"/>
              </w:rPr>
              <w:t>(A)</w:t>
            </w:r>
          </w:p>
        </w:tc>
        <w:tc>
          <w:tcPr>
            <w:tcW w:w="708" w:type="pct"/>
            <w:tcBorders>
              <w:top w:val="nil"/>
              <w:bottom w:val="nil"/>
            </w:tcBorders>
            <w:shd w:val="solid" w:color="000000" w:fill="000000"/>
            <w:vAlign w:val="center"/>
          </w:tcPr>
          <w:p w14:paraId="56C80373" w14:textId="64DEB918" w:rsidR="00DA10BD" w:rsidRPr="009942F6" w:rsidRDefault="009942F6" w:rsidP="00FE4CD3">
            <w:pPr>
              <w:pStyle w:val="TableText0"/>
              <w:keepNext w:val="0"/>
              <w:widowControl w:val="0"/>
              <w:jc w:val="center"/>
            </w:pPr>
            <w:r w:rsidRPr="00415EDB">
              <w:rPr>
                <w:rFonts w:hint="eastAsia"/>
                <w:color w:val="000000"/>
                <w:w w:val="16"/>
                <w:fitText w:val="75" w:id="-1305212672"/>
                <w14:textFill>
                  <w14:solidFill>
                    <w14:srgbClr w14:val="000000">
                      <w14:alpha w14:val="100000"/>
                    </w14:srgbClr>
                  </w14:solidFill>
                </w14:textFill>
              </w:rPr>
              <w:t xml:space="preserve">　</w:t>
            </w:r>
            <w:r w:rsidRPr="00415EDB">
              <w:rPr>
                <w:color w:val="000000"/>
                <w:w w:val="16"/>
                <w:fitText w:val="75" w:id="-1305212672"/>
                <w14:textFill>
                  <w14:solidFill>
                    <w14:srgbClr w14:val="000000">
                      <w14:alpha w14:val="100000"/>
                    </w14:srgbClr>
                  </w14:solidFill>
                </w14:textFill>
              </w:rPr>
              <w:t>|</w:t>
            </w:r>
            <w:r w:rsidRPr="00415EDB">
              <w:rPr>
                <w:rFonts w:hint="eastAsia"/>
                <w:color w:val="000000"/>
                <w:w w:val="16"/>
                <w:fitText w:val="75" w:id="-1305212672"/>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52393F59" w14:textId="77777777" w:rsidR="00DA10BD" w:rsidRPr="007E61A0" w:rsidRDefault="00DA10BD" w:rsidP="00FE4CD3">
            <w:pPr>
              <w:pStyle w:val="TableText0"/>
              <w:keepNext w:val="0"/>
              <w:widowControl w:val="0"/>
              <w:jc w:val="center"/>
            </w:pPr>
            <w:r w:rsidRPr="007E61A0">
              <w:t>0.0911</w:t>
            </w:r>
          </w:p>
        </w:tc>
        <w:tc>
          <w:tcPr>
            <w:tcW w:w="540" w:type="pct"/>
            <w:tcBorders>
              <w:top w:val="nil"/>
              <w:bottom w:val="nil"/>
            </w:tcBorders>
            <w:shd w:val="clear" w:color="auto" w:fill="auto"/>
            <w:vAlign w:val="center"/>
          </w:tcPr>
          <w:p w14:paraId="79401ABC" w14:textId="06886F79"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71"/>
                <w14:textFill>
                  <w14:solidFill>
                    <w14:srgbClr w14:val="000000">
                      <w14:alpha w14:val="100000"/>
                    </w14:srgbClr>
                  </w14:solidFill>
                </w14:textFill>
              </w:rPr>
              <w:t>||</w:t>
            </w:r>
            <w:r w:rsidRPr="00415EDB">
              <w:rPr>
                <w:color w:val="000000"/>
                <w:spacing w:val="1"/>
                <w:shd w:val="solid" w:color="000000" w:fill="000000"/>
                <w:fitText w:val="238" w:id="-1305212671"/>
                <w14:textFill>
                  <w14:solidFill>
                    <w14:srgbClr w14:val="000000">
                      <w14:alpha w14:val="100000"/>
                    </w14:srgbClr>
                  </w14:solidFill>
                </w14:textFill>
              </w:rPr>
              <w:t>|</w:t>
            </w:r>
            <w:r w:rsidR="00970313">
              <w:rPr>
                <w:b/>
                <w:bCs w:val="0"/>
                <w:vertAlign w:val="superscript"/>
              </w:rPr>
              <w:t>4</w:t>
            </w:r>
          </w:p>
        </w:tc>
        <w:tc>
          <w:tcPr>
            <w:tcW w:w="601" w:type="pct"/>
            <w:tcBorders>
              <w:top w:val="nil"/>
              <w:bottom w:val="nil"/>
              <w:right w:val="single" w:sz="4" w:space="0" w:color="auto"/>
            </w:tcBorders>
            <w:shd w:val="clear" w:color="auto" w:fill="auto"/>
          </w:tcPr>
          <w:p w14:paraId="2B4EA399" w14:textId="77777777" w:rsidR="00DA10BD" w:rsidRPr="007E61A0" w:rsidRDefault="00DA10BD" w:rsidP="00FE4CD3">
            <w:pPr>
              <w:pStyle w:val="TableText0"/>
              <w:keepNext w:val="0"/>
              <w:widowControl w:val="0"/>
              <w:jc w:val="center"/>
            </w:pPr>
            <w:r w:rsidRPr="007E61A0">
              <w:t>25.4%</w:t>
            </w:r>
          </w:p>
        </w:tc>
      </w:tr>
      <w:tr w:rsidR="00DA10BD" w:rsidRPr="007E61A0" w14:paraId="4A154AD2" w14:textId="77777777" w:rsidTr="009942F6">
        <w:tc>
          <w:tcPr>
            <w:tcW w:w="2511" w:type="pct"/>
            <w:tcBorders>
              <w:top w:val="nil"/>
              <w:left w:val="single" w:sz="4" w:space="0" w:color="auto"/>
              <w:bottom w:val="single" w:sz="4" w:space="0" w:color="auto"/>
            </w:tcBorders>
          </w:tcPr>
          <w:p w14:paraId="6DCA7FCF" w14:textId="77777777" w:rsidR="00DA10BD" w:rsidRPr="007E61A0" w:rsidRDefault="00DA10BD" w:rsidP="00FE4CD3">
            <w:pPr>
              <w:pStyle w:val="TableText0"/>
              <w:keepNext w:val="0"/>
              <w:widowControl w:val="0"/>
              <w:numPr>
                <w:ilvl w:val="0"/>
                <w:numId w:val="9"/>
              </w:numPr>
            </w:pPr>
            <w:r w:rsidRPr="007E61A0">
              <w:t>Deucravacitinib: 20%; apremilast: 10%</w:t>
            </w:r>
          </w:p>
        </w:tc>
        <w:tc>
          <w:tcPr>
            <w:tcW w:w="708" w:type="pct"/>
            <w:tcBorders>
              <w:top w:val="nil"/>
              <w:bottom w:val="single" w:sz="4" w:space="0" w:color="auto"/>
            </w:tcBorders>
            <w:shd w:val="solid" w:color="000000" w:fill="000000"/>
            <w:vAlign w:val="center"/>
          </w:tcPr>
          <w:p w14:paraId="0C960BC9" w14:textId="67F23F3F" w:rsidR="00DA10BD" w:rsidRPr="009942F6" w:rsidRDefault="009942F6" w:rsidP="00FE4CD3">
            <w:pPr>
              <w:pStyle w:val="TableText0"/>
              <w:keepNext w:val="0"/>
              <w:widowControl w:val="0"/>
              <w:jc w:val="center"/>
            </w:pPr>
            <w:r w:rsidRPr="00415EDB">
              <w:rPr>
                <w:rFonts w:hint="eastAsia"/>
                <w:color w:val="000000"/>
                <w:w w:val="16"/>
                <w:fitText w:val="75" w:id="-1305212670"/>
                <w14:textFill>
                  <w14:solidFill>
                    <w14:srgbClr w14:val="000000">
                      <w14:alpha w14:val="100000"/>
                    </w14:srgbClr>
                  </w14:solidFill>
                </w14:textFill>
              </w:rPr>
              <w:t xml:space="preserve">　</w:t>
            </w:r>
            <w:r w:rsidRPr="00415EDB">
              <w:rPr>
                <w:color w:val="000000"/>
                <w:w w:val="16"/>
                <w:fitText w:val="75" w:id="-1305212670"/>
                <w14:textFill>
                  <w14:solidFill>
                    <w14:srgbClr w14:val="000000">
                      <w14:alpha w14:val="100000"/>
                    </w14:srgbClr>
                  </w14:solidFill>
                </w14:textFill>
              </w:rPr>
              <w:t>|</w:t>
            </w:r>
            <w:r w:rsidRPr="00415EDB">
              <w:rPr>
                <w:rFonts w:hint="eastAsia"/>
                <w:color w:val="000000"/>
                <w:w w:val="16"/>
                <w:fitText w:val="75" w:id="-1305212670"/>
                <w14:textFill>
                  <w14:solidFill>
                    <w14:srgbClr w14:val="000000">
                      <w14:alpha w14:val="100000"/>
                    </w14:srgbClr>
                  </w14:solidFill>
                </w14:textFill>
              </w:rPr>
              <w:t xml:space="preserve">　</w:t>
            </w:r>
          </w:p>
        </w:tc>
        <w:tc>
          <w:tcPr>
            <w:tcW w:w="640" w:type="pct"/>
            <w:tcBorders>
              <w:top w:val="nil"/>
              <w:bottom w:val="single" w:sz="4" w:space="0" w:color="auto"/>
            </w:tcBorders>
            <w:shd w:val="clear" w:color="auto" w:fill="auto"/>
            <w:vAlign w:val="center"/>
          </w:tcPr>
          <w:p w14:paraId="734ED17E" w14:textId="77777777" w:rsidR="00DA10BD" w:rsidRPr="007E61A0" w:rsidRDefault="00DA10BD" w:rsidP="00FE4CD3">
            <w:pPr>
              <w:pStyle w:val="TableText0"/>
              <w:keepNext w:val="0"/>
              <w:widowControl w:val="0"/>
              <w:jc w:val="center"/>
            </w:pPr>
            <w:r w:rsidRPr="007E61A0">
              <w:t>0.0664</w:t>
            </w:r>
          </w:p>
        </w:tc>
        <w:tc>
          <w:tcPr>
            <w:tcW w:w="540" w:type="pct"/>
            <w:tcBorders>
              <w:top w:val="nil"/>
              <w:bottom w:val="single" w:sz="4" w:space="0" w:color="auto"/>
            </w:tcBorders>
            <w:shd w:val="clear" w:color="auto" w:fill="auto"/>
            <w:vAlign w:val="center"/>
          </w:tcPr>
          <w:p w14:paraId="31C7C6CF" w14:textId="6012099B"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9"/>
                <w14:textFill>
                  <w14:solidFill>
                    <w14:srgbClr w14:val="000000">
                      <w14:alpha w14:val="100000"/>
                    </w14:srgbClr>
                  </w14:solidFill>
                </w14:textFill>
              </w:rPr>
              <w:t>||</w:t>
            </w:r>
            <w:r w:rsidRPr="00415EDB">
              <w:rPr>
                <w:color w:val="000000"/>
                <w:spacing w:val="1"/>
                <w:shd w:val="solid" w:color="000000" w:fill="000000"/>
                <w:fitText w:val="238" w:id="-1305212669"/>
                <w14:textFill>
                  <w14:solidFill>
                    <w14:srgbClr w14:val="000000">
                      <w14:alpha w14:val="100000"/>
                    </w14:srgbClr>
                  </w14:solidFill>
                </w14:textFill>
              </w:rPr>
              <w:t>|</w:t>
            </w:r>
            <w:r w:rsidR="00970313">
              <w:rPr>
                <w:b/>
                <w:bCs w:val="0"/>
                <w:vertAlign w:val="superscript"/>
              </w:rPr>
              <w:t>5</w:t>
            </w:r>
          </w:p>
        </w:tc>
        <w:tc>
          <w:tcPr>
            <w:tcW w:w="601" w:type="pct"/>
            <w:tcBorders>
              <w:top w:val="nil"/>
              <w:bottom w:val="single" w:sz="4" w:space="0" w:color="auto"/>
              <w:right w:val="single" w:sz="4" w:space="0" w:color="auto"/>
            </w:tcBorders>
            <w:shd w:val="clear" w:color="auto" w:fill="auto"/>
          </w:tcPr>
          <w:p w14:paraId="5822CCBD" w14:textId="77777777" w:rsidR="00DA10BD" w:rsidRPr="007E61A0" w:rsidRDefault="00DA10BD" w:rsidP="00FE4CD3">
            <w:pPr>
              <w:pStyle w:val="TableText0"/>
              <w:keepNext w:val="0"/>
              <w:widowControl w:val="0"/>
              <w:jc w:val="center"/>
            </w:pPr>
            <w:r w:rsidRPr="007E61A0">
              <w:t>72.0%</w:t>
            </w:r>
          </w:p>
        </w:tc>
      </w:tr>
      <w:tr w:rsidR="00DA10BD" w:rsidRPr="007E61A0" w14:paraId="44D26189" w14:textId="77777777" w:rsidTr="00861911">
        <w:tc>
          <w:tcPr>
            <w:tcW w:w="2511" w:type="pct"/>
            <w:tcBorders>
              <w:left w:val="single" w:sz="4" w:space="0" w:color="auto"/>
              <w:bottom w:val="single" w:sz="4" w:space="0" w:color="auto"/>
              <w:right w:val="nil"/>
            </w:tcBorders>
          </w:tcPr>
          <w:p w14:paraId="2DE4442A" w14:textId="77777777" w:rsidR="00DA10BD" w:rsidRPr="007E61A0" w:rsidRDefault="00DA10BD" w:rsidP="00FE4CD3">
            <w:pPr>
              <w:pStyle w:val="TableText0"/>
              <w:widowControl w:val="0"/>
              <w:rPr>
                <w:b/>
                <w:bCs w:val="0"/>
              </w:rPr>
            </w:pPr>
            <w:r w:rsidRPr="007E61A0">
              <w:rPr>
                <w:b/>
                <w:bCs w:val="0"/>
              </w:rPr>
              <w:lastRenderedPageBreak/>
              <w:t>Biologic use</w:t>
            </w:r>
          </w:p>
        </w:tc>
        <w:tc>
          <w:tcPr>
            <w:tcW w:w="708" w:type="pct"/>
            <w:tcBorders>
              <w:left w:val="nil"/>
              <w:bottom w:val="single" w:sz="4" w:space="0" w:color="auto"/>
              <w:right w:val="nil"/>
            </w:tcBorders>
            <w:shd w:val="clear" w:color="auto" w:fill="auto"/>
            <w:vAlign w:val="center"/>
          </w:tcPr>
          <w:p w14:paraId="2917CBFC" w14:textId="77777777" w:rsidR="00DA10BD" w:rsidRPr="007E61A0" w:rsidRDefault="00DA10BD" w:rsidP="00FE4CD3">
            <w:pPr>
              <w:pStyle w:val="TableText0"/>
              <w:widowControl w:val="0"/>
              <w:jc w:val="center"/>
              <w:rPr>
                <w:b/>
                <w:bCs w:val="0"/>
              </w:rPr>
            </w:pPr>
          </w:p>
        </w:tc>
        <w:tc>
          <w:tcPr>
            <w:tcW w:w="640" w:type="pct"/>
            <w:tcBorders>
              <w:left w:val="nil"/>
              <w:bottom w:val="single" w:sz="4" w:space="0" w:color="auto"/>
              <w:right w:val="nil"/>
            </w:tcBorders>
            <w:shd w:val="clear" w:color="auto" w:fill="auto"/>
            <w:vAlign w:val="center"/>
          </w:tcPr>
          <w:p w14:paraId="10F95C64" w14:textId="77777777" w:rsidR="00DA10BD" w:rsidRPr="007E61A0" w:rsidRDefault="00DA10BD" w:rsidP="00FE4CD3">
            <w:pPr>
              <w:pStyle w:val="TableText0"/>
              <w:widowControl w:val="0"/>
              <w:jc w:val="center"/>
              <w:rPr>
                <w:b/>
                <w:bCs w:val="0"/>
              </w:rPr>
            </w:pPr>
          </w:p>
        </w:tc>
        <w:tc>
          <w:tcPr>
            <w:tcW w:w="540" w:type="pct"/>
            <w:tcBorders>
              <w:left w:val="nil"/>
              <w:bottom w:val="single" w:sz="4" w:space="0" w:color="auto"/>
              <w:right w:val="nil"/>
            </w:tcBorders>
            <w:shd w:val="clear" w:color="auto" w:fill="auto"/>
            <w:vAlign w:val="center"/>
          </w:tcPr>
          <w:p w14:paraId="495A13A3" w14:textId="77777777" w:rsidR="00DA10BD" w:rsidRPr="007E61A0" w:rsidRDefault="00DA10BD" w:rsidP="00FE4CD3">
            <w:pPr>
              <w:pStyle w:val="TableText0"/>
              <w:widowControl w:val="0"/>
              <w:jc w:val="center"/>
              <w:rPr>
                <w:b/>
                <w:bCs w:val="0"/>
              </w:rPr>
            </w:pPr>
          </w:p>
        </w:tc>
        <w:tc>
          <w:tcPr>
            <w:tcW w:w="601" w:type="pct"/>
            <w:tcBorders>
              <w:left w:val="nil"/>
              <w:bottom w:val="single" w:sz="4" w:space="0" w:color="auto"/>
              <w:right w:val="single" w:sz="4" w:space="0" w:color="auto"/>
            </w:tcBorders>
            <w:shd w:val="clear" w:color="auto" w:fill="auto"/>
          </w:tcPr>
          <w:p w14:paraId="1FB02D9B" w14:textId="77777777" w:rsidR="00DA10BD" w:rsidRPr="007E61A0" w:rsidRDefault="00DA10BD" w:rsidP="00FE4CD3">
            <w:pPr>
              <w:pStyle w:val="TableText0"/>
              <w:widowControl w:val="0"/>
              <w:jc w:val="center"/>
              <w:rPr>
                <w:b/>
                <w:bCs w:val="0"/>
              </w:rPr>
            </w:pPr>
          </w:p>
        </w:tc>
      </w:tr>
      <w:tr w:rsidR="00DA10BD" w:rsidRPr="007E61A0" w14:paraId="543C3904" w14:textId="77777777" w:rsidTr="009942F6">
        <w:tc>
          <w:tcPr>
            <w:tcW w:w="2511" w:type="pct"/>
            <w:tcBorders>
              <w:left w:val="single" w:sz="4" w:space="0" w:color="auto"/>
              <w:bottom w:val="nil"/>
            </w:tcBorders>
          </w:tcPr>
          <w:p w14:paraId="55F49085" w14:textId="77777777" w:rsidR="00DA10BD" w:rsidRPr="007E61A0" w:rsidRDefault="00DA10BD" w:rsidP="00FE4CD3">
            <w:pPr>
              <w:pStyle w:val="TableText0"/>
              <w:widowControl w:val="0"/>
            </w:pPr>
            <w:r w:rsidRPr="007E61A0">
              <w:t xml:space="preserve">Proportion of patients receiving </w:t>
            </w:r>
            <w:proofErr w:type="spellStart"/>
            <w:r w:rsidRPr="007E61A0">
              <w:t>biologics</w:t>
            </w:r>
            <w:r w:rsidRPr="007E61A0">
              <w:rPr>
                <w:vertAlign w:val="superscript"/>
              </w:rPr>
              <w:t>b</w:t>
            </w:r>
            <w:proofErr w:type="spellEnd"/>
            <w:r w:rsidRPr="007E61A0">
              <w:rPr>
                <w:vertAlign w:val="superscript"/>
              </w:rPr>
              <w:t xml:space="preserve"> </w:t>
            </w:r>
            <w:r w:rsidRPr="007E61A0">
              <w:t>(base case: trial-</w:t>
            </w:r>
            <w:proofErr w:type="spellStart"/>
            <w:r w:rsidRPr="007E61A0">
              <w:t>based</w:t>
            </w:r>
            <w:r w:rsidRPr="007E61A0">
              <w:rPr>
                <w:vertAlign w:val="superscript"/>
              </w:rPr>
              <w:t>c</w:t>
            </w:r>
            <w:proofErr w:type="spellEnd"/>
            <w:r w:rsidRPr="007E61A0">
              <w:t>)</w:t>
            </w:r>
          </w:p>
        </w:tc>
        <w:tc>
          <w:tcPr>
            <w:tcW w:w="708" w:type="pct"/>
            <w:tcBorders>
              <w:bottom w:val="nil"/>
            </w:tcBorders>
            <w:shd w:val="clear" w:color="auto" w:fill="auto"/>
            <w:vAlign w:val="center"/>
          </w:tcPr>
          <w:p w14:paraId="225930A9" w14:textId="77777777" w:rsidR="00DA10BD" w:rsidRPr="007E61A0" w:rsidRDefault="00DA10BD" w:rsidP="00FE4CD3">
            <w:pPr>
              <w:pStyle w:val="TableText0"/>
              <w:widowControl w:val="0"/>
              <w:jc w:val="center"/>
            </w:pPr>
          </w:p>
        </w:tc>
        <w:tc>
          <w:tcPr>
            <w:tcW w:w="640" w:type="pct"/>
            <w:tcBorders>
              <w:bottom w:val="nil"/>
            </w:tcBorders>
            <w:shd w:val="clear" w:color="auto" w:fill="auto"/>
            <w:vAlign w:val="center"/>
          </w:tcPr>
          <w:p w14:paraId="52AC7DEA" w14:textId="77777777" w:rsidR="00DA10BD" w:rsidRPr="007E61A0" w:rsidRDefault="00DA10BD" w:rsidP="00FE4CD3">
            <w:pPr>
              <w:pStyle w:val="TableText0"/>
              <w:widowControl w:val="0"/>
              <w:jc w:val="center"/>
            </w:pPr>
          </w:p>
        </w:tc>
        <w:tc>
          <w:tcPr>
            <w:tcW w:w="540" w:type="pct"/>
            <w:tcBorders>
              <w:bottom w:val="nil"/>
            </w:tcBorders>
            <w:shd w:val="clear" w:color="auto" w:fill="auto"/>
            <w:vAlign w:val="center"/>
          </w:tcPr>
          <w:p w14:paraId="3E674E87" w14:textId="77777777" w:rsidR="00DA10BD" w:rsidRPr="006F558E" w:rsidRDefault="00DA10BD" w:rsidP="00FE4CD3">
            <w:pPr>
              <w:pStyle w:val="TableText0"/>
              <w:widowControl w:val="0"/>
              <w:jc w:val="center"/>
              <w:rPr>
                <w:highlight w:val="darkGray"/>
              </w:rPr>
            </w:pPr>
          </w:p>
        </w:tc>
        <w:tc>
          <w:tcPr>
            <w:tcW w:w="601" w:type="pct"/>
            <w:tcBorders>
              <w:bottom w:val="nil"/>
              <w:right w:val="single" w:sz="4" w:space="0" w:color="auto"/>
            </w:tcBorders>
            <w:shd w:val="clear" w:color="auto" w:fill="auto"/>
          </w:tcPr>
          <w:p w14:paraId="1C3C66B0" w14:textId="77777777" w:rsidR="00DA10BD" w:rsidRPr="007E61A0" w:rsidRDefault="00DA10BD" w:rsidP="00FE4CD3">
            <w:pPr>
              <w:pStyle w:val="TableText0"/>
              <w:widowControl w:val="0"/>
              <w:jc w:val="center"/>
            </w:pPr>
          </w:p>
        </w:tc>
      </w:tr>
      <w:tr w:rsidR="00DA10BD" w:rsidRPr="007E61A0" w14:paraId="0772DC41" w14:textId="77777777" w:rsidTr="009942F6">
        <w:tc>
          <w:tcPr>
            <w:tcW w:w="2511" w:type="pct"/>
            <w:tcBorders>
              <w:top w:val="nil"/>
              <w:left w:val="single" w:sz="4" w:space="0" w:color="auto"/>
              <w:bottom w:val="nil"/>
            </w:tcBorders>
          </w:tcPr>
          <w:p w14:paraId="25642872" w14:textId="77777777" w:rsidR="00DA10BD" w:rsidRPr="007E61A0" w:rsidRDefault="00DA10BD" w:rsidP="00FE4CD3">
            <w:pPr>
              <w:pStyle w:val="TableText0"/>
              <w:keepNext w:val="0"/>
              <w:widowControl w:val="0"/>
              <w:numPr>
                <w:ilvl w:val="0"/>
                <w:numId w:val="9"/>
              </w:numPr>
            </w:pPr>
            <w:r w:rsidRPr="007E61A0">
              <w:t>PASI &lt;50: 100%; PASI 50 to &lt;75: 100%</w:t>
            </w:r>
          </w:p>
        </w:tc>
        <w:tc>
          <w:tcPr>
            <w:tcW w:w="708" w:type="pct"/>
            <w:tcBorders>
              <w:top w:val="nil"/>
              <w:bottom w:val="nil"/>
            </w:tcBorders>
            <w:shd w:val="solid" w:color="000000" w:fill="000000"/>
            <w:vAlign w:val="center"/>
          </w:tcPr>
          <w:p w14:paraId="0E7056AA" w14:textId="32BA23EA" w:rsidR="00DA10BD" w:rsidRPr="009942F6" w:rsidRDefault="009942F6" w:rsidP="00FE4CD3">
            <w:pPr>
              <w:pStyle w:val="TableText0"/>
              <w:keepNext w:val="0"/>
              <w:widowControl w:val="0"/>
              <w:jc w:val="center"/>
            </w:pPr>
            <w:r w:rsidRPr="00415EDB">
              <w:rPr>
                <w:rFonts w:hint="eastAsia"/>
                <w:color w:val="000000"/>
                <w:w w:val="16"/>
                <w:fitText w:val="75" w:id="-1305212668"/>
                <w14:textFill>
                  <w14:solidFill>
                    <w14:srgbClr w14:val="000000">
                      <w14:alpha w14:val="100000"/>
                    </w14:srgbClr>
                  </w14:solidFill>
                </w14:textFill>
              </w:rPr>
              <w:t xml:space="preserve">　</w:t>
            </w:r>
            <w:r w:rsidRPr="00415EDB">
              <w:rPr>
                <w:color w:val="000000"/>
                <w:w w:val="16"/>
                <w:fitText w:val="75" w:id="-1305212668"/>
                <w14:textFill>
                  <w14:solidFill>
                    <w14:srgbClr w14:val="000000">
                      <w14:alpha w14:val="100000"/>
                    </w14:srgbClr>
                  </w14:solidFill>
                </w14:textFill>
              </w:rPr>
              <w:t>|</w:t>
            </w:r>
            <w:r w:rsidRPr="00415EDB">
              <w:rPr>
                <w:rFonts w:hint="eastAsia"/>
                <w:color w:val="000000"/>
                <w:w w:val="16"/>
                <w:fitText w:val="75" w:id="-1305212668"/>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06B9628C" w14:textId="77777777" w:rsidR="00DA10BD" w:rsidRPr="007E61A0" w:rsidRDefault="00DA10BD" w:rsidP="00FE4CD3">
            <w:pPr>
              <w:pStyle w:val="TableText0"/>
              <w:keepNext w:val="0"/>
              <w:widowControl w:val="0"/>
              <w:jc w:val="center"/>
            </w:pPr>
            <w:r w:rsidRPr="007E61A0">
              <w:t>0.0250</w:t>
            </w:r>
          </w:p>
        </w:tc>
        <w:tc>
          <w:tcPr>
            <w:tcW w:w="540" w:type="pct"/>
            <w:tcBorders>
              <w:top w:val="nil"/>
              <w:bottom w:val="nil"/>
            </w:tcBorders>
            <w:shd w:val="clear" w:color="auto" w:fill="auto"/>
            <w:vAlign w:val="center"/>
          </w:tcPr>
          <w:p w14:paraId="11063D79" w14:textId="3E5F9E0B"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7"/>
                <w14:textFill>
                  <w14:solidFill>
                    <w14:srgbClr w14:val="000000">
                      <w14:alpha w14:val="100000"/>
                    </w14:srgbClr>
                  </w14:solidFill>
                </w14:textFill>
              </w:rPr>
              <w:t>||</w:t>
            </w:r>
            <w:r w:rsidRPr="00415EDB">
              <w:rPr>
                <w:color w:val="000000"/>
                <w:spacing w:val="1"/>
                <w:shd w:val="solid" w:color="000000" w:fill="000000"/>
                <w:fitText w:val="238" w:id="-1305212667"/>
                <w14:textFill>
                  <w14:solidFill>
                    <w14:srgbClr w14:val="000000">
                      <w14:alpha w14:val="100000"/>
                    </w14:srgbClr>
                  </w14:solidFill>
                </w14:textFill>
              </w:rPr>
              <w:t>|</w:t>
            </w:r>
            <w:r w:rsidR="00970313">
              <w:rPr>
                <w:b/>
                <w:bCs w:val="0"/>
                <w:vertAlign w:val="superscript"/>
              </w:rPr>
              <w:t>5</w:t>
            </w:r>
          </w:p>
        </w:tc>
        <w:tc>
          <w:tcPr>
            <w:tcW w:w="601" w:type="pct"/>
            <w:tcBorders>
              <w:top w:val="nil"/>
              <w:bottom w:val="nil"/>
              <w:right w:val="single" w:sz="4" w:space="0" w:color="auto"/>
            </w:tcBorders>
            <w:shd w:val="clear" w:color="auto" w:fill="auto"/>
          </w:tcPr>
          <w:p w14:paraId="37710FAB" w14:textId="77777777" w:rsidR="00DA10BD" w:rsidRPr="007E61A0" w:rsidRDefault="00DA10BD" w:rsidP="00FE4CD3">
            <w:pPr>
              <w:pStyle w:val="TableText0"/>
              <w:keepNext w:val="0"/>
              <w:widowControl w:val="0"/>
              <w:jc w:val="center"/>
            </w:pPr>
            <w:r w:rsidRPr="007E61A0">
              <w:t>64.5%</w:t>
            </w:r>
          </w:p>
        </w:tc>
      </w:tr>
      <w:tr w:rsidR="00DA10BD" w:rsidRPr="007E61A0" w14:paraId="334EA9D3" w14:textId="77777777" w:rsidTr="009942F6">
        <w:tc>
          <w:tcPr>
            <w:tcW w:w="2511" w:type="pct"/>
            <w:tcBorders>
              <w:top w:val="nil"/>
              <w:left w:val="single" w:sz="4" w:space="0" w:color="auto"/>
              <w:bottom w:val="nil"/>
            </w:tcBorders>
          </w:tcPr>
          <w:p w14:paraId="5C7867E1" w14:textId="77777777" w:rsidR="00DA10BD" w:rsidRPr="007E61A0" w:rsidRDefault="00DA10BD" w:rsidP="00FE4CD3">
            <w:pPr>
              <w:pStyle w:val="TableText0"/>
              <w:keepNext w:val="0"/>
              <w:widowControl w:val="0"/>
              <w:numPr>
                <w:ilvl w:val="0"/>
                <w:numId w:val="9"/>
              </w:numPr>
            </w:pPr>
            <w:r w:rsidRPr="007E61A0">
              <w:t>PASI &lt;50: 100%; PASI 50 to &lt;75: 50%</w:t>
            </w:r>
          </w:p>
        </w:tc>
        <w:tc>
          <w:tcPr>
            <w:tcW w:w="708" w:type="pct"/>
            <w:tcBorders>
              <w:top w:val="nil"/>
              <w:bottom w:val="nil"/>
            </w:tcBorders>
            <w:shd w:val="solid" w:color="000000" w:fill="000000"/>
            <w:vAlign w:val="center"/>
          </w:tcPr>
          <w:p w14:paraId="1235FA68" w14:textId="01F4E8DE" w:rsidR="00DA10BD" w:rsidRPr="009942F6" w:rsidRDefault="009942F6" w:rsidP="00FE4CD3">
            <w:pPr>
              <w:pStyle w:val="TableText0"/>
              <w:keepNext w:val="0"/>
              <w:widowControl w:val="0"/>
              <w:jc w:val="center"/>
            </w:pPr>
            <w:r w:rsidRPr="00415EDB">
              <w:rPr>
                <w:rFonts w:hint="eastAsia"/>
                <w:color w:val="000000"/>
                <w:w w:val="16"/>
                <w:fitText w:val="75" w:id="-1305212666"/>
                <w14:textFill>
                  <w14:solidFill>
                    <w14:srgbClr w14:val="000000">
                      <w14:alpha w14:val="100000"/>
                    </w14:srgbClr>
                  </w14:solidFill>
                </w14:textFill>
              </w:rPr>
              <w:t xml:space="preserve">　</w:t>
            </w:r>
            <w:r w:rsidRPr="00415EDB">
              <w:rPr>
                <w:color w:val="000000"/>
                <w:w w:val="16"/>
                <w:fitText w:val="75" w:id="-1305212666"/>
                <w14:textFill>
                  <w14:solidFill>
                    <w14:srgbClr w14:val="000000">
                      <w14:alpha w14:val="100000"/>
                    </w14:srgbClr>
                  </w14:solidFill>
                </w14:textFill>
              </w:rPr>
              <w:t>|</w:t>
            </w:r>
            <w:r w:rsidRPr="00415EDB">
              <w:rPr>
                <w:rFonts w:hint="eastAsia"/>
                <w:color w:val="000000"/>
                <w:w w:val="16"/>
                <w:fitText w:val="75" w:id="-1305212666"/>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3BD42F30" w14:textId="77777777" w:rsidR="00DA10BD" w:rsidRPr="007E61A0" w:rsidRDefault="00DA10BD" w:rsidP="00FE4CD3">
            <w:pPr>
              <w:pStyle w:val="TableText0"/>
              <w:keepNext w:val="0"/>
              <w:widowControl w:val="0"/>
              <w:jc w:val="center"/>
            </w:pPr>
            <w:r w:rsidRPr="007E61A0">
              <w:t>0.0377</w:t>
            </w:r>
          </w:p>
        </w:tc>
        <w:tc>
          <w:tcPr>
            <w:tcW w:w="540" w:type="pct"/>
            <w:tcBorders>
              <w:top w:val="nil"/>
              <w:bottom w:val="nil"/>
            </w:tcBorders>
            <w:shd w:val="clear" w:color="auto" w:fill="auto"/>
            <w:vAlign w:val="center"/>
          </w:tcPr>
          <w:p w14:paraId="5623223F" w14:textId="5ADE2CC4"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5"/>
                <w14:textFill>
                  <w14:solidFill>
                    <w14:srgbClr w14:val="000000">
                      <w14:alpha w14:val="100000"/>
                    </w14:srgbClr>
                  </w14:solidFill>
                </w14:textFill>
              </w:rPr>
              <w:t>||</w:t>
            </w:r>
            <w:r w:rsidRPr="00415EDB">
              <w:rPr>
                <w:color w:val="000000"/>
                <w:spacing w:val="1"/>
                <w:shd w:val="solid" w:color="000000" w:fill="000000"/>
                <w:fitText w:val="238" w:id="-1305212665"/>
                <w14:textFill>
                  <w14:solidFill>
                    <w14:srgbClr w14:val="000000">
                      <w14:alpha w14:val="100000"/>
                    </w14:srgbClr>
                  </w14:solidFill>
                </w14:textFill>
              </w:rPr>
              <w:t>|</w:t>
            </w:r>
            <w:r w:rsidR="00970313">
              <w:rPr>
                <w:b/>
                <w:bCs w:val="0"/>
                <w:vertAlign w:val="superscript"/>
              </w:rPr>
              <w:t>5</w:t>
            </w:r>
          </w:p>
        </w:tc>
        <w:tc>
          <w:tcPr>
            <w:tcW w:w="601" w:type="pct"/>
            <w:tcBorders>
              <w:top w:val="nil"/>
              <w:bottom w:val="nil"/>
              <w:right w:val="single" w:sz="4" w:space="0" w:color="auto"/>
            </w:tcBorders>
            <w:shd w:val="clear" w:color="auto" w:fill="auto"/>
          </w:tcPr>
          <w:p w14:paraId="1CE5B49D" w14:textId="77777777" w:rsidR="00DA10BD" w:rsidRPr="007E61A0" w:rsidRDefault="00DA10BD" w:rsidP="00FE4CD3">
            <w:pPr>
              <w:pStyle w:val="TableText0"/>
              <w:keepNext w:val="0"/>
              <w:widowControl w:val="0"/>
              <w:jc w:val="center"/>
            </w:pPr>
            <w:r w:rsidRPr="007E61A0">
              <w:t>71.0%</w:t>
            </w:r>
          </w:p>
        </w:tc>
      </w:tr>
      <w:tr w:rsidR="00DA10BD" w:rsidRPr="007E61A0" w14:paraId="669D0A1A" w14:textId="77777777" w:rsidTr="009942F6">
        <w:tc>
          <w:tcPr>
            <w:tcW w:w="2511" w:type="pct"/>
            <w:tcBorders>
              <w:top w:val="nil"/>
              <w:left w:val="single" w:sz="4" w:space="0" w:color="auto"/>
              <w:bottom w:val="nil"/>
            </w:tcBorders>
          </w:tcPr>
          <w:p w14:paraId="6BD5E5BB" w14:textId="77777777" w:rsidR="00DA10BD" w:rsidRPr="007E61A0" w:rsidRDefault="00DA10BD" w:rsidP="00FE4CD3">
            <w:pPr>
              <w:pStyle w:val="TableText0"/>
              <w:keepNext w:val="0"/>
              <w:widowControl w:val="0"/>
              <w:numPr>
                <w:ilvl w:val="0"/>
                <w:numId w:val="9"/>
              </w:numPr>
            </w:pPr>
            <w:r w:rsidRPr="007E61A0">
              <w:t>PASI &lt;50: 100%</w:t>
            </w:r>
          </w:p>
        </w:tc>
        <w:tc>
          <w:tcPr>
            <w:tcW w:w="708" w:type="pct"/>
            <w:tcBorders>
              <w:top w:val="nil"/>
              <w:bottom w:val="nil"/>
            </w:tcBorders>
            <w:shd w:val="solid" w:color="000000" w:fill="000000"/>
            <w:vAlign w:val="center"/>
          </w:tcPr>
          <w:p w14:paraId="07DB2E39" w14:textId="5B62473E" w:rsidR="00DA10BD" w:rsidRPr="009942F6" w:rsidRDefault="009942F6" w:rsidP="00FE4CD3">
            <w:pPr>
              <w:pStyle w:val="TableText0"/>
              <w:keepNext w:val="0"/>
              <w:widowControl w:val="0"/>
              <w:jc w:val="center"/>
            </w:pPr>
            <w:r w:rsidRPr="00415EDB">
              <w:rPr>
                <w:rFonts w:hint="eastAsia"/>
                <w:color w:val="000000"/>
                <w:w w:val="16"/>
                <w:fitText w:val="75" w:id="-1305212664"/>
                <w14:textFill>
                  <w14:solidFill>
                    <w14:srgbClr w14:val="000000">
                      <w14:alpha w14:val="100000"/>
                    </w14:srgbClr>
                  </w14:solidFill>
                </w14:textFill>
              </w:rPr>
              <w:t xml:space="preserve">　</w:t>
            </w:r>
            <w:r w:rsidRPr="00415EDB">
              <w:rPr>
                <w:color w:val="000000"/>
                <w:w w:val="16"/>
                <w:fitText w:val="75" w:id="-1305212664"/>
                <w14:textFill>
                  <w14:solidFill>
                    <w14:srgbClr w14:val="000000">
                      <w14:alpha w14:val="100000"/>
                    </w14:srgbClr>
                  </w14:solidFill>
                </w14:textFill>
              </w:rPr>
              <w:t>|</w:t>
            </w:r>
            <w:r w:rsidRPr="00415EDB">
              <w:rPr>
                <w:rFonts w:hint="eastAsia"/>
                <w:color w:val="000000"/>
                <w:w w:val="16"/>
                <w:fitText w:val="75" w:id="-1305212664"/>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7E88FAC6" w14:textId="77777777" w:rsidR="00DA10BD" w:rsidRPr="007E61A0" w:rsidRDefault="00DA10BD" w:rsidP="00FE4CD3">
            <w:pPr>
              <w:pStyle w:val="TableText0"/>
              <w:keepNext w:val="0"/>
              <w:widowControl w:val="0"/>
              <w:jc w:val="center"/>
            </w:pPr>
            <w:r w:rsidRPr="007E61A0">
              <w:t>0.0503</w:t>
            </w:r>
          </w:p>
        </w:tc>
        <w:tc>
          <w:tcPr>
            <w:tcW w:w="540" w:type="pct"/>
            <w:tcBorders>
              <w:top w:val="nil"/>
              <w:bottom w:val="nil"/>
            </w:tcBorders>
            <w:shd w:val="clear" w:color="auto" w:fill="auto"/>
            <w:vAlign w:val="center"/>
          </w:tcPr>
          <w:p w14:paraId="6809755D" w14:textId="07411EEE"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3"/>
                <w14:textFill>
                  <w14:solidFill>
                    <w14:srgbClr w14:val="000000">
                      <w14:alpha w14:val="100000"/>
                    </w14:srgbClr>
                  </w14:solidFill>
                </w14:textFill>
              </w:rPr>
              <w:t>||</w:t>
            </w:r>
            <w:r w:rsidRPr="00415EDB">
              <w:rPr>
                <w:color w:val="000000"/>
                <w:spacing w:val="1"/>
                <w:shd w:val="solid" w:color="000000" w:fill="000000"/>
                <w:fitText w:val="238" w:id="-1305212663"/>
                <w14:textFill>
                  <w14:solidFill>
                    <w14:srgbClr w14:val="000000">
                      <w14:alpha w14:val="100000"/>
                    </w14:srgbClr>
                  </w14:solidFill>
                </w14:textFill>
              </w:rPr>
              <w:t>|</w:t>
            </w:r>
            <w:r w:rsidR="00970313">
              <w:rPr>
                <w:b/>
                <w:bCs w:val="0"/>
                <w:vertAlign w:val="superscript"/>
              </w:rPr>
              <w:t>5</w:t>
            </w:r>
          </w:p>
        </w:tc>
        <w:tc>
          <w:tcPr>
            <w:tcW w:w="601" w:type="pct"/>
            <w:tcBorders>
              <w:top w:val="nil"/>
              <w:bottom w:val="nil"/>
              <w:right w:val="single" w:sz="4" w:space="0" w:color="auto"/>
            </w:tcBorders>
            <w:shd w:val="clear" w:color="auto" w:fill="auto"/>
          </w:tcPr>
          <w:p w14:paraId="4DE85F4E" w14:textId="77777777" w:rsidR="00DA10BD" w:rsidRPr="007E61A0" w:rsidRDefault="00DA10BD" w:rsidP="00FE4CD3">
            <w:pPr>
              <w:pStyle w:val="TableText0"/>
              <w:keepNext w:val="0"/>
              <w:widowControl w:val="0"/>
              <w:jc w:val="center"/>
            </w:pPr>
            <w:r w:rsidRPr="007E61A0">
              <w:t>74.2%</w:t>
            </w:r>
          </w:p>
        </w:tc>
      </w:tr>
      <w:tr w:rsidR="00DA10BD" w:rsidRPr="007E61A0" w14:paraId="49F1DB20" w14:textId="77777777" w:rsidTr="009942F6">
        <w:tc>
          <w:tcPr>
            <w:tcW w:w="2511" w:type="pct"/>
            <w:tcBorders>
              <w:top w:val="nil"/>
              <w:left w:val="single" w:sz="4" w:space="0" w:color="auto"/>
              <w:bottom w:val="nil"/>
            </w:tcBorders>
          </w:tcPr>
          <w:p w14:paraId="31996E53" w14:textId="77777777" w:rsidR="00DA10BD" w:rsidRPr="007E61A0" w:rsidRDefault="00DA10BD" w:rsidP="00FE4CD3">
            <w:pPr>
              <w:pStyle w:val="TableText0"/>
              <w:keepNext w:val="0"/>
              <w:widowControl w:val="0"/>
              <w:numPr>
                <w:ilvl w:val="0"/>
                <w:numId w:val="9"/>
              </w:numPr>
            </w:pPr>
            <w:r w:rsidRPr="007E61A0">
              <w:t>PASI &lt;50: 50%</w:t>
            </w:r>
          </w:p>
        </w:tc>
        <w:tc>
          <w:tcPr>
            <w:tcW w:w="708" w:type="pct"/>
            <w:tcBorders>
              <w:top w:val="nil"/>
              <w:bottom w:val="nil"/>
            </w:tcBorders>
            <w:shd w:val="solid" w:color="000000" w:fill="000000"/>
            <w:vAlign w:val="center"/>
          </w:tcPr>
          <w:p w14:paraId="662A28B0" w14:textId="3CD4C016" w:rsidR="00DA10BD" w:rsidRPr="009942F6" w:rsidRDefault="009942F6" w:rsidP="00FE4CD3">
            <w:pPr>
              <w:pStyle w:val="TableText0"/>
              <w:keepNext w:val="0"/>
              <w:widowControl w:val="0"/>
              <w:jc w:val="center"/>
            </w:pPr>
            <w:r w:rsidRPr="00415EDB">
              <w:rPr>
                <w:rFonts w:hint="eastAsia"/>
                <w:color w:val="000000"/>
                <w:w w:val="16"/>
                <w:fitText w:val="75" w:id="-1305212662"/>
                <w14:textFill>
                  <w14:solidFill>
                    <w14:srgbClr w14:val="000000">
                      <w14:alpha w14:val="100000"/>
                    </w14:srgbClr>
                  </w14:solidFill>
                </w14:textFill>
              </w:rPr>
              <w:t xml:space="preserve">　</w:t>
            </w:r>
            <w:r w:rsidRPr="00415EDB">
              <w:rPr>
                <w:color w:val="000000"/>
                <w:w w:val="16"/>
                <w:fitText w:val="75" w:id="-1305212662"/>
                <w14:textFill>
                  <w14:solidFill>
                    <w14:srgbClr w14:val="000000">
                      <w14:alpha w14:val="100000"/>
                    </w14:srgbClr>
                  </w14:solidFill>
                </w14:textFill>
              </w:rPr>
              <w:t>|</w:t>
            </w:r>
            <w:r w:rsidRPr="00415EDB">
              <w:rPr>
                <w:rFonts w:hint="eastAsia"/>
                <w:color w:val="000000"/>
                <w:w w:val="16"/>
                <w:fitText w:val="75" w:id="-1305212662"/>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7A67CD2A" w14:textId="77777777" w:rsidR="00DA10BD" w:rsidRPr="007E61A0" w:rsidRDefault="00DA10BD" w:rsidP="00FE4CD3">
            <w:pPr>
              <w:pStyle w:val="TableText0"/>
              <w:keepNext w:val="0"/>
              <w:widowControl w:val="0"/>
              <w:jc w:val="center"/>
            </w:pPr>
            <w:r w:rsidRPr="007E61A0">
              <w:t>0.1890</w:t>
            </w:r>
          </w:p>
        </w:tc>
        <w:tc>
          <w:tcPr>
            <w:tcW w:w="540" w:type="pct"/>
            <w:tcBorders>
              <w:top w:val="nil"/>
              <w:bottom w:val="nil"/>
            </w:tcBorders>
            <w:shd w:val="clear" w:color="auto" w:fill="auto"/>
            <w:vAlign w:val="center"/>
          </w:tcPr>
          <w:p w14:paraId="7B36AD4E" w14:textId="3D07DC74"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1"/>
                <w14:textFill>
                  <w14:solidFill>
                    <w14:srgbClr w14:val="000000">
                      <w14:alpha w14:val="100000"/>
                    </w14:srgbClr>
                  </w14:solidFill>
                </w14:textFill>
              </w:rPr>
              <w:t>||</w:t>
            </w:r>
            <w:r w:rsidRPr="00415EDB">
              <w:rPr>
                <w:color w:val="000000"/>
                <w:spacing w:val="1"/>
                <w:shd w:val="solid" w:color="000000" w:fill="000000"/>
                <w:fitText w:val="238" w:id="-1305212661"/>
                <w14:textFill>
                  <w14:solidFill>
                    <w14:srgbClr w14:val="000000">
                      <w14:alpha w14:val="100000"/>
                    </w14:srgbClr>
                  </w14:solidFill>
                </w14:textFill>
              </w:rPr>
              <w:t>|</w:t>
            </w:r>
            <w:r w:rsidR="00970313">
              <w:rPr>
                <w:b/>
                <w:bCs w:val="0"/>
                <w:vertAlign w:val="superscript"/>
              </w:rPr>
              <w:t>1</w:t>
            </w:r>
          </w:p>
        </w:tc>
        <w:tc>
          <w:tcPr>
            <w:tcW w:w="601" w:type="pct"/>
            <w:tcBorders>
              <w:top w:val="nil"/>
              <w:bottom w:val="nil"/>
              <w:right w:val="single" w:sz="4" w:space="0" w:color="auto"/>
            </w:tcBorders>
            <w:shd w:val="clear" w:color="auto" w:fill="auto"/>
          </w:tcPr>
          <w:p w14:paraId="7BA37CA6" w14:textId="77777777" w:rsidR="00DA10BD" w:rsidRPr="007E61A0" w:rsidRDefault="00DA10BD" w:rsidP="00FE4CD3">
            <w:pPr>
              <w:pStyle w:val="TableText0"/>
              <w:keepNext w:val="0"/>
              <w:widowControl w:val="0"/>
              <w:jc w:val="center"/>
            </w:pPr>
            <w:r w:rsidRPr="007E61A0">
              <w:t>-9.4%</w:t>
            </w:r>
          </w:p>
        </w:tc>
      </w:tr>
      <w:tr w:rsidR="00DA10BD" w:rsidRPr="007E61A0" w14:paraId="29BEE004" w14:textId="77777777" w:rsidTr="009942F6">
        <w:tc>
          <w:tcPr>
            <w:tcW w:w="2511" w:type="pct"/>
            <w:tcBorders>
              <w:top w:val="nil"/>
              <w:left w:val="single" w:sz="4" w:space="0" w:color="auto"/>
              <w:bottom w:val="single" w:sz="4" w:space="0" w:color="auto"/>
            </w:tcBorders>
          </w:tcPr>
          <w:p w14:paraId="5E7026FA" w14:textId="6CDB2A29" w:rsidR="00DA10BD" w:rsidRPr="007E61A0" w:rsidRDefault="00DA10BD" w:rsidP="00FE4CD3">
            <w:pPr>
              <w:pStyle w:val="TableText0"/>
              <w:keepNext w:val="0"/>
              <w:widowControl w:val="0"/>
              <w:numPr>
                <w:ilvl w:val="0"/>
                <w:numId w:val="9"/>
              </w:numPr>
            </w:pPr>
            <w:r w:rsidRPr="007E61A0">
              <w:t>0%</w:t>
            </w:r>
            <w:r w:rsidR="0086129C" w:rsidRPr="007E61A0">
              <w:t xml:space="preserve"> (Step 3 of economic evaluation, </w:t>
            </w:r>
            <w:r w:rsidR="0086129C" w:rsidRPr="007E61A0">
              <w:fldChar w:fldCharType="begin" w:fldLock="1"/>
            </w:r>
            <w:r w:rsidR="0086129C" w:rsidRPr="007E61A0">
              <w:instrText xml:space="preserve"> REF _Ref110880361 \h </w:instrText>
            </w:r>
            <w:r w:rsidR="00D30F50" w:rsidRPr="007E61A0">
              <w:instrText xml:space="preserve"> \* MERGEFORMAT </w:instrText>
            </w:r>
            <w:r w:rsidR="0086129C" w:rsidRPr="007E61A0">
              <w:fldChar w:fldCharType="separate"/>
            </w:r>
            <w:r w:rsidR="00EC7993" w:rsidRPr="007E61A0">
              <w:t xml:space="preserve">Table </w:t>
            </w:r>
            <w:r w:rsidR="00EC7993">
              <w:t>11</w:t>
            </w:r>
            <w:r w:rsidR="0086129C" w:rsidRPr="007E61A0">
              <w:fldChar w:fldCharType="end"/>
            </w:r>
            <w:r w:rsidR="0086129C" w:rsidRPr="007E61A0">
              <w:t>)</w:t>
            </w:r>
          </w:p>
        </w:tc>
        <w:tc>
          <w:tcPr>
            <w:tcW w:w="708" w:type="pct"/>
            <w:tcBorders>
              <w:top w:val="nil"/>
              <w:bottom w:val="single" w:sz="4" w:space="0" w:color="auto"/>
            </w:tcBorders>
            <w:shd w:val="solid" w:color="000000" w:fill="000000"/>
            <w:vAlign w:val="center"/>
          </w:tcPr>
          <w:p w14:paraId="0F94222F" w14:textId="23A46AF0" w:rsidR="00DA10BD" w:rsidRPr="009942F6" w:rsidRDefault="009942F6" w:rsidP="00FE4CD3">
            <w:pPr>
              <w:pStyle w:val="TableText0"/>
              <w:keepNext w:val="0"/>
              <w:widowControl w:val="0"/>
              <w:jc w:val="center"/>
            </w:pPr>
            <w:r w:rsidRPr="00415EDB">
              <w:rPr>
                <w:rFonts w:hint="eastAsia"/>
                <w:color w:val="000000"/>
                <w:w w:val="16"/>
                <w:fitText w:val="75" w:id="-1305212660"/>
                <w14:textFill>
                  <w14:solidFill>
                    <w14:srgbClr w14:val="000000">
                      <w14:alpha w14:val="100000"/>
                    </w14:srgbClr>
                  </w14:solidFill>
                </w14:textFill>
              </w:rPr>
              <w:t xml:space="preserve">　</w:t>
            </w:r>
            <w:r w:rsidRPr="00415EDB">
              <w:rPr>
                <w:color w:val="000000"/>
                <w:w w:val="16"/>
                <w:fitText w:val="75" w:id="-1305212660"/>
                <w14:textFill>
                  <w14:solidFill>
                    <w14:srgbClr w14:val="000000">
                      <w14:alpha w14:val="100000"/>
                    </w14:srgbClr>
                  </w14:solidFill>
                </w14:textFill>
              </w:rPr>
              <w:t>|</w:t>
            </w:r>
            <w:r w:rsidRPr="00415EDB">
              <w:rPr>
                <w:rFonts w:hint="eastAsia"/>
                <w:color w:val="000000"/>
                <w:w w:val="16"/>
                <w:fitText w:val="75" w:id="-1305212660"/>
                <w14:textFill>
                  <w14:solidFill>
                    <w14:srgbClr w14:val="000000">
                      <w14:alpha w14:val="100000"/>
                    </w14:srgbClr>
                  </w14:solidFill>
                </w14:textFill>
              </w:rPr>
              <w:t xml:space="preserve">　</w:t>
            </w:r>
          </w:p>
        </w:tc>
        <w:tc>
          <w:tcPr>
            <w:tcW w:w="640" w:type="pct"/>
            <w:tcBorders>
              <w:top w:val="nil"/>
              <w:bottom w:val="single" w:sz="4" w:space="0" w:color="auto"/>
            </w:tcBorders>
            <w:shd w:val="clear" w:color="auto" w:fill="auto"/>
            <w:vAlign w:val="center"/>
          </w:tcPr>
          <w:p w14:paraId="40F024FD" w14:textId="77777777" w:rsidR="00DA10BD" w:rsidRPr="007E61A0" w:rsidRDefault="00DA10BD" w:rsidP="00FE4CD3">
            <w:pPr>
              <w:pStyle w:val="TableText0"/>
              <w:keepNext w:val="0"/>
              <w:widowControl w:val="0"/>
              <w:jc w:val="center"/>
            </w:pPr>
            <w:r w:rsidRPr="007E61A0">
              <w:t>0.3277</w:t>
            </w:r>
          </w:p>
        </w:tc>
        <w:tc>
          <w:tcPr>
            <w:tcW w:w="540" w:type="pct"/>
            <w:tcBorders>
              <w:top w:val="nil"/>
              <w:bottom w:val="single" w:sz="4" w:space="0" w:color="auto"/>
            </w:tcBorders>
            <w:shd w:val="clear" w:color="auto" w:fill="auto"/>
            <w:vAlign w:val="center"/>
          </w:tcPr>
          <w:p w14:paraId="57C7D56D" w14:textId="332A5690" w:rsidR="00DA10BD" w:rsidRPr="006F558E" w:rsidRDefault="009942F6" w:rsidP="00FE4CD3">
            <w:pPr>
              <w:pStyle w:val="TableText0"/>
              <w:keepNext w:val="0"/>
              <w:widowControl w:val="0"/>
              <w:jc w:val="center"/>
              <w:rPr>
                <w:highlight w:val="darkGray"/>
              </w:rPr>
            </w:pPr>
            <w:r w:rsidRPr="009942F6">
              <w:rPr>
                <w:color w:val="000000"/>
                <w:spacing w:val="55"/>
                <w:shd w:val="solid" w:color="000000" w:fill="000000"/>
                <w:fitText w:val="238" w:id="-1305212659"/>
                <w14:textFill>
                  <w14:solidFill>
                    <w14:srgbClr w14:val="000000">
                      <w14:alpha w14:val="100000"/>
                    </w14:srgbClr>
                  </w14:solidFill>
                </w14:textFill>
              </w:rPr>
              <w:t>||</w:t>
            </w:r>
            <w:r w:rsidRPr="009942F6">
              <w:rPr>
                <w:color w:val="000000"/>
                <w:spacing w:val="1"/>
                <w:shd w:val="solid" w:color="000000" w:fill="000000"/>
                <w:fitText w:val="238" w:id="-1305212659"/>
                <w14:textFill>
                  <w14:solidFill>
                    <w14:srgbClr w14:val="000000">
                      <w14:alpha w14:val="100000"/>
                    </w14:srgbClr>
                  </w14:solidFill>
                </w14:textFill>
              </w:rPr>
              <w:t>|</w:t>
            </w:r>
            <w:r w:rsidR="00970313">
              <w:rPr>
                <w:b/>
                <w:bCs w:val="0"/>
                <w:vertAlign w:val="superscript"/>
              </w:rPr>
              <w:t>2</w:t>
            </w:r>
          </w:p>
        </w:tc>
        <w:tc>
          <w:tcPr>
            <w:tcW w:w="601" w:type="pct"/>
            <w:tcBorders>
              <w:top w:val="nil"/>
              <w:bottom w:val="single" w:sz="4" w:space="0" w:color="auto"/>
              <w:right w:val="single" w:sz="4" w:space="0" w:color="auto"/>
            </w:tcBorders>
            <w:shd w:val="clear" w:color="auto" w:fill="auto"/>
          </w:tcPr>
          <w:p w14:paraId="2853966F" w14:textId="77777777" w:rsidR="00DA10BD" w:rsidRPr="007E61A0" w:rsidRDefault="00DA10BD" w:rsidP="00FE4CD3">
            <w:pPr>
              <w:pStyle w:val="TableText0"/>
              <w:keepNext w:val="0"/>
              <w:widowControl w:val="0"/>
              <w:jc w:val="center"/>
            </w:pPr>
            <w:r w:rsidRPr="007E61A0">
              <w:t>-22.3%</w:t>
            </w:r>
          </w:p>
        </w:tc>
      </w:tr>
      <w:tr w:rsidR="00DA10BD" w:rsidRPr="007E61A0" w14:paraId="0F43A072" w14:textId="77777777" w:rsidTr="00861911">
        <w:tc>
          <w:tcPr>
            <w:tcW w:w="2511" w:type="pct"/>
            <w:tcBorders>
              <w:left w:val="single" w:sz="4" w:space="0" w:color="auto"/>
              <w:bottom w:val="single" w:sz="4" w:space="0" w:color="auto"/>
              <w:right w:val="nil"/>
            </w:tcBorders>
          </w:tcPr>
          <w:p w14:paraId="1AA4BC11" w14:textId="77777777" w:rsidR="00DA10BD" w:rsidRPr="007E61A0" w:rsidRDefault="00DA10BD" w:rsidP="00FE4CD3">
            <w:pPr>
              <w:pStyle w:val="TableText0"/>
              <w:keepNext w:val="0"/>
              <w:widowControl w:val="0"/>
              <w:rPr>
                <w:b/>
                <w:bCs w:val="0"/>
              </w:rPr>
            </w:pPr>
            <w:r w:rsidRPr="007E61A0">
              <w:rPr>
                <w:b/>
                <w:bCs w:val="0"/>
              </w:rPr>
              <w:t>Utility values</w:t>
            </w:r>
          </w:p>
        </w:tc>
        <w:tc>
          <w:tcPr>
            <w:tcW w:w="708" w:type="pct"/>
            <w:tcBorders>
              <w:left w:val="nil"/>
              <w:bottom w:val="single" w:sz="4" w:space="0" w:color="auto"/>
              <w:right w:val="nil"/>
            </w:tcBorders>
            <w:shd w:val="clear" w:color="auto" w:fill="auto"/>
            <w:vAlign w:val="center"/>
          </w:tcPr>
          <w:p w14:paraId="3CCF9E02" w14:textId="77777777" w:rsidR="00DA10BD" w:rsidRPr="007E61A0" w:rsidRDefault="00DA10BD" w:rsidP="00FE4CD3">
            <w:pPr>
              <w:pStyle w:val="TableText0"/>
              <w:keepNext w:val="0"/>
              <w:widowControl w:val="0"/>
              <w:jc w:val="center"/>
              <w:rPr>
                <w:b/>
                <w:bCs w:val="0"/>
              </w:rPr>
            </w:pPr>
          </w:p>
        </w:tc>
        <w:tc>
          <w:tcPr>
            <w:tcW w:w="640" w:type="pct"/>
            <w:tcBorders>
              <w:left w:val="nil"/>
              <w:bottom w:val="single" w:sz="4" w:space="0" w:color="auto"/>
              <w:right w:val="nil"/>
            </w:tcBorders>
            <w:shd w:val="clear" w:color="auto" w:fill="auto"/>
            <w:vAlign w:val="center"/>
          </w:tcPr>
          <w:p w14:paraId="03ED97A9" w14:textId="77777777" w:rsidR="00DA10BD" w:rsidRPr="007E61A0" w:rsidRDefault="00DA10BD" w:rsidP="00FE4CD3">
            <w:pPr>
              <w:pStyle w:val="TableText0"/>
              <w:keepNext w:val="0"/>
              <w:widowControl w:val="0"/>
              <w:jc w:val="center"/>
              <w:rPr>
                <w:b/>
                <w:bCs w:val="0"/>
              </w:rPr>
            </w:pPr>
          </w:p>
        </w:tc>
        <w:tc>
          <w:tcPr>
            <w:tcW w:w="540" w:type="pct"/>
            <w:tcBorders>
              <w:left w:val="nil"/>
              <w:bottom w:val="single" w:sz="4" w:space="0" w:color="auto"/>
              <w:right w:val="nil"/>
            </w:tcBorders>
            <w:shd w:val="clear" w:color="auto" w:fill="auto"/>
            <w:vAlign w:val="center"/>
          </w:tcPr>
          <w:p w14:paraId="4CDFD535" w14:textId="77777777" w:rsidR="00DA10BD" w:rsidRPr="007E61A0" w:rsidRDefault="00DA10BD" w:rsidP="00FE4CD3">
            <w:pPr>
              <w:pStyle w:val="TableText0"/>
              <w:keepNext w:val="0"/>
              <w:widowControl w:val="0"/>
              <w:jc w:val="center"/>
              <w:rPr>
                <w:b/>
                <w:bCs w:val="0"/>
              </w:rPr>
            </w:pPr>
          </w:p>
        </w:tc>
        <w:tc>
          <w:tcPr>
            <w:tcW w:w="601" w:type="pct"/>
            <w:tcBorders>
              <w:left w:val="nil"/>
              <w:bottom w:val="single" w:sz="4" w:space="0" w:color="auto"/>
              <w:right w:val="single" w:sz="4" w:space="0" w:color="auto"/>
            </w:tcBorders>
            <w:shd w:val="clear" w:color="auto" w:fill="auto"/>
          </w:tcPr>
          <w:p w14:paraId="42032F8A" w14:textId="77777777" w:rsidR="00DA10BD" w:rsidRPr="007E61A0" w:rsidRDefault="00DA10BD" w:rsidP="00FE4CD3">
            <w:pPr>
              <w:pStyle w:val="TableText0"/>
              <w:keepNext w:val="0"/>
              <w:widowControl w:val="0"/>
              <w:jc w:val="center"/>
              <w:rPr>
                <w:b/>
                <w:bCs w:val="0"/>
              </w:rPr>
            </w:pPr>
          </w:p>
        </w:tc>
      </w:tr>
      <w:tr w:rsidR="00DA10BD" w:rsidRPr="007E61A0" w14:paraId="1F9F45D7" w14:textId="77777777" w:rsidTr="009942F6">
        <w:tc>
          <w:tcPr>
            <w:tcW w:w="2511" w:type="pct"/>
            <w:tcBorders>
              <w:left w:val="single" w:sz="4" w:space="0" w:color="auto"/>
              <w:bottom w:val="nil"/>
            </w:tcBorders>
          </w:tcPr>
          <w:p w14:paraId="306EEAB0" w14:textId="77777777" w:rsidR="00DA10BD" w:rsidRPr="007E61A0" w:rsidRDefault="00DA10BD" w:rsidP="00FE4CD3">
            <w:pPr>
              <w:pStyle w:val="TableText0"/>
              <w:keepNext w:val="0"/>
              <w:widowControl w:val="0"/>
            </w:pPr>
            <w:r w:rsidRPr="007E61A0">
              <w:t>Utility data source (base case: Zug 1995; severe psoriasis)</w:t>
            </w:r>
          </w:p>
        </w:tc>
        <w:tc>
          <w:tcPr>
            <w:tcW w:w="708" w:type="pct"/>
            <w:tcBorders>
              <w:bottom w:val="nil"/>
            </w:tcBorders>
            <w:shd w:val="clear" w:color="auto" w:fill="auto"/>
            <w:vAlign w:val="center"/>
          </w:tcPr>
          <w:p w14:paraId="2A2E4166" w14:textId="77777777" w:rsidR="00DA10BD" w:rsidRPr="007E61A0" w:rsidRDefault="00DA10BD" w:rsidP="00FE4CD3">
            <w:pPr>
              <w:pStyle w:val="TableText0"/>
              <w:keepNext w:val="0"/>
              <w:widowControl w:val="0"/>
              <w:jc w:val="center"/>
            </w:pPr>
          </w:p>
        </w:tc>
        <w:tc>
          <w:tcPr>
            <w:tcW w:w="640" w:type="pct"/>
            <w:tcBorders>
              <w:bottom w:val="nil"/>
            </w:tcBorders>
            <w:shd w:val="clear" w:color="auto" w:fill="auto"/>
            <w:vAlign w:val="center"/>
          </w:tcPr>
          <w:p w14:paraId="4B8FA944" w14:textId="77777777" w:rsidR="00DA10BD" w:rsidRPr="007E61A0" w:rsidRDefault="00DA10BD" w:rsidP="00FE4CD3">
            <w:pPr>
              <w:pStyle w:val="TableText0"/>
              <w:keepNext w:val="0"/>
              <w:widowControl w:val="0"/>
              <w:jc w:val="center"/>
            </w:pPr>
          </w:p>
        </w:tc>
        <w:tc>
          <w:tcPr>
            <w:tcW w:w="540" w:type="pct"/>
            <w:tcBorders>
              <w:bottom w:val="nil"/>
            </w:tcBorders>
            <w:shd w:val="clear" w:color="auto" w:fill="auto"/>
            <w:vAlign w:val="center"/>
          </w:tcPr>
          <w:p w14:paraId="615D6CEB" w14:textId="77777777" w:rsidR="00DA10BD" w:rsidRPr="007E61A0" w:rsidRDefault="00DA10BD" w:rsidP="00FE4CD3">
            <w:pPr>
              <w:pStyle w:val="TableText0"/>
              <w:keepNext w:val="0"/>
              <w:widowControl w:val="0"/>
              <w:jc w:val="center"/>
            </w:pPr>
          </w:p>
        </w:tc>
        <w:tc>
          <w:tcPr>
            <w:tcW w:w="601" w:type="pct"/>
            <w:tcBorders>
              <w:bottom w:val="nil"/>
              <w:right w:val="single" w:sz="4" w:space="0" w:color="auto"/>
            </w:tcBorders>
            <w:shd w:val="clear" w:color="auto" w:fill="auto"/>
          </w:tcPr>
          <w:p w14:paraId="58285DB1" w14:textId="77777777" w:rsidR="00DA10BD" w:rsidRPr="007E61A0" w:rsidRDefault="00DA10BD" w:rsidP="00FE4CD3">
            <w:pPr>
              <w:pStyle w:val="TableText0"/>
              <w:keepNext w:val="0"/>
              <w:widowControl w:val="0"/>
              <w:jc w:val="center"/>
            </w:pPr>
          </w:p>
        </w:tc>
      </w:tr>
      <w:tr w:rsidR="00DA10BD" w:rsidRPr="007E61A0" w14:paraId="478AC7FE" w14:textId="77777777" w:rsidTr="009942F6">
        <w:tc>
          <w:tcPr>
            <w:tcW w:w="2511" w:type="pct"/>
            <w:tcBorders>
              <w:top w:val="nil"/>
              <w:left w:val="single" w:sz="4" w:space="0" w:color="auto"/>
              <w:bottom w:val="nil"/>
            </w:tcBorders>
          </w:tcPr>
          <w:p w14:paraId="3C470A38" w14:textId="28FF44EA" w:rsidR="00DA10BD" w:rsidRPr="007E61A0" w:rsidRDefault="00DA10BD" w:rsidP="00FE4CD3">
            <w:pPr>
              <w:pStyle w:val="TableText0"/>
              <w:keepNext w:val="0"/>
              <w:widowControl w:val="0"/>
              <w:numPr>
                <w:ilvl w:val="0"/>
                <w:numId w:val="9"/>
              </w:numPr>
            </w:pPr>
            <w:r w:rsidRPr="007E61A0">
              <w:t>Pooled POETYK trial data (Model 1</w:t>
            </w:r>
            <w:r w:rsidRPr="007E61A0">
              <w:rPr>
                <w:vertAlign w:val="superscript"/>
              </w:rPr>
              <w:t>d</w:t>
            </w:r>
            <w:r w:rsidRPr="007E61A0">
              <w:t>)</w:t>
            </w:r>
            <w:r w:rsidR="00394006" w:rsidRPr="007E61A0">
              <w:t xml:space="preserve"> </w:t>
            </w:r>
            <w:r w:rsidR="00394006" w:rsidRPr="007E61A0">
              <w:rPr>
                <w:b/>
                <w:bCs w:val="0"/>
              </w:rPr>
              <w:t>(B)</w:t>
            </w:r>
          </w:p>
        </w:tc>
        <w:tc>
          <w:tcPr>
            <w:tcW w:w="708" w:type="pct"/>
            <w:tcBorders>
              <w:top w:val="nil"/>
              <w:bottom w:val="nil"/>
            </w:tcBorders>
            <w:shd w:val="solid" w:color="000000" w:fill="000000"/>
            <w:vAlign w:val="center"/>
          </w:tcPr>
          <w:p w14:paraId="0C5FDA44" w14:textId="7F17C78A" w:rsidR="00DA10BD" w:rsidRPr="009942F6" w:rsidRDefault="009942F6" w:rsidP="00FE4CD3">
            <w:pPr>
              <w:pStyle w:val="TableText0"/>
              <w:keepNext w:val="0"/>
              <w:widowControl w:val="0"/>
              <w:jc w:val="center"/>
            </w:pPr>
            <w:r w:rsidRPr="00415EDB">
              <w:rPr>
                <w:rFonts w:hint="eastAsia"/>
                <w:color w:val="000000"/>
                <w:w w:val="16"/>
                <w:fitText w:val="75" w:id="-1305212658"/>
                <w14:textFill>
                  <w14:solidFill>
                    <w14:srgbClr w14:val="000000">
                      <w14:alpha w14:val="100000"/>
                    </w14:srgbClr>
                  </w14:solidFill>
                </w14:textFill>
              </w:rPr>
              <w:t xml:space="preserve">　</w:t>
            </w:r>
            <w:r w:rsidRPr="00415EDB">
              <w:rPr>
                <w:color w:val="000000"/>
                <w:w w:val="16"/>
                <w:fitText w:val="75" w:id="-1305212658"/>
                <w14:textFill>
                  <w14:solidFill>
                    <w14:srgbClr w14:val="000000">
                      <w14:alpha w14:val="100000"/>
                    </w14:srgbClr>
                  </w14:solidFill>
                </w14:textFill>
              </w:rPr>
              <w:t>|</w:t>
            </w:r>
            <w:r w:rsidRPr="00415EDB">
              <w:rPr>
                <w:rFonts w:hint="eastAsia"/>
                <w:color w:val="000000"/>
                <w:w w:val="16"/>
                <w:fitText w:val="75" w:id="-1305212658"/>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544526F6" w14:textId="77777777" w:rsidR="00DA10BD" w:rsidRPr="007E61A0" w:rsidRDefault="00DA10BD" w:rsidP="00FE4CD3">
            <w:pPr>
              <w:pStyle w:val="TableText0"/>
              <w:keepNext w:val="0"/>
              <w:widowControl w:val="0"/>
              <w:jc w:val="center"/>
            </w:pPr>
            <w:r w:rsidRPr="007E61A0">
              <w:t>0.0187</w:t>
            </w:r>
          </w:p>
        </w:tc>
        <w:tc>
          <w:tcPr>
            <w:tcW w:w="540" w:type="pct"/>
            <w:tcBorders>
              <w:top w:val="nil"/>
              <w:bottom w:val="nil"/>
            </w:tcBorders>
            <w:shd w:val="clear" w:color="auto" w:fill="auto"/>
            <w:vAlign w:val="center"/>
          </w:tcPr>
          <w:p w14:paraId="7BF49769" w14:textId="3C047A49" w:rsidR="00DA10BD" w:rsidRPr="006F558E" w:rsidRDefault="009942F6" w:rsidP="00FE4CD3">
            <w:pPr>
              <w:pStyle w:val="TableText0"/>
              <w:keepNext w:val="0"/>
              <w:widowControl w:val="0"/>
              <w:jc w:val="center"/>
              <w:rPr>
                <w:highlight w:val="darkGray"/>
              </w:rPr>
            </w:pPr>
            <w:r w:rsidRPr="009942F6">
              <w:rPr>
                <w:color w:val="000000"/>
                <w:spacing w:val="55"/>
                <w:shd w:val="solid" w:color="000000" w:fill="000000"/>
                <w:fitText w:val="238" w:id="-1305212657"/>
                <w14:textFill>
                  <w14:solidFill>
                    <w14:srgbClr w14:val="000000">
                      <w14:alpha w14:val="100000"/>
                    </w14:srgbClr>
                  </w14:solidFill>
                </w14:textFill>
              </w:rPr>
              <w:t>||</w:t>
            </w:r>
            <w:r w:rsidRPr="009942F6">
              <w:rPr>
                <w:color w:val="000000"/>
                <w:spacing w:val="1"/>
                <w:shd w:val="solid" w:color="000000" w:fill="000000"/>
                <w:fitText w:val="238" w:id="-1305212657"/>
                <w14:textFill>
                  <w14:solidFill>
                    <w14:srgbClr w14:val="000000">
                      <w14:alpha w14:val="100000"/>
                    </w14:srgbClr>
                  </w14:solidFill>
                </w14:textFill>
              </w:rPr>
              <w:t>|</w:t>
            </w:r>
            <w:r w:rsidR="00970313">
              <w:rPr>
                <w:b/>
                <w:bCs w:val="0"/>
                <w:vertAlign w:val="superscript"/>
              </w:rPr>
              <w:t>6</w:t>
            </w:r>
          </w:p>
        </w:tc>
        <w:tc>
          <w:tcPr>
            <w:tcW w:w="601" w:type="pct"/>
            <w:tcBorders>
              <w:top w:val="nil"/>
              <w:bottom w:val="nil"/>
              <w:right w:val="single" w:sz="4" w:space="0" w:color="auto"/>
            </w:tcBorders>
            <w:shd w:val="clear" w:color="auto" w:fill="auto"/>
          </w:tcPr>
          <w:p w14:paraId="7161947F" w14:textId="77777777" w:rsidR="00DA10BD" w:rsidRPr="007E61A0" w:rsidRDefault="00DA10BD" w:rsidP="00FE4CD3">
            <w:pPr>
              <w:pStyle w:val="TableText0"/>
              <w:keepNext w:val="0"/>
              <w:widowControl w:val="0"/>
              <w:jc w:val="center"/>
            </w:pPr>
            <w:r w:rsidRPr="007E61A0">
              <w:t>509.8%</w:t>
            </w:r>
          </w:p>
        </w:tc>
      </w:tr>
      <w:tr w:rsidR="00DA10BD" w:rsidRPr="007E61A0" w14:paraId="514D66B0" w14:textId="77777777" w:rsidTr="009942F6">
        <w:tc>
          <w:tcPr>
            <w:tcW w:w="2511" w:type="pct"/>
            <w:tcBorders>
              <w:top w:val="nil"/>
              <w:left w:val="single" w:sz="4" w:space="0" w:color="auto"/>
              <w:bottom w:val="nil"/>
            </w:tcBorders>
          </w:tcPr>
          <w:p w14:paraId="32273EDB" w14:textId="77777777" w:rsidR="00DA10BD" w:rsidRPr="007E61A0" w:rsidRDefault="00DA10BD" w:rsidP="00FE4CD3">
            <w:pPr>
              <w:pStyle w:val="TableText0"/>
              <w:keepNext w:val="0"/>
              <w:widowControl w:val="0"/>
              <w:numPr>
                <w:ilvl w:val="0"/>
                <w:numId w:val="9"/>
              </w:numPr>
            </w:pPr>
            <w:r w:rsidRPr="007E61A0">
              <w:t>Pooled POETYK trial data (Model 3</w:t>
            </w:r>
            <w:r w:rsidRPr="007E61A0">
              <w:rPr>
                <w:vertAlign w:val="superscript"/>
              </w:rPr>
              <w:t>d</w:t>
            </w:r>
            <w:r w:rsidRPr="007E61A0">
              <w:t>)</w:t>
            </w:r>
          </w:p>
        </w:tc>
        <w:tc>
          <w:tcPr>
            <w:tcW w:w="708" w:type="pct"/>
            <w:tcBorders>
              <w:top w:val="nil"/>
              <w:bottom w:val="nil"/>
            </w:tcBorders>
            <w:shd w:val="solid" w:color="000000" w:fill="000000"/>
            <w:vAlign w:val="center"/>
          </w:tcPr>
          <w:p w14:paraId="26A31A66" w14:textId="5669DF68" w:rsidR="00DA10BD" w:rsidRPr="009942F6" w:rsidRDefault="009942F6" w:rsidP="00FE4CD3">
            <w:pPr>
              <w:pStyle w:val="TableText0"/>
              <w:keepNext w:val="0"/>
              <w:widowControl w:val="0"/>
              <w:jc w:val="center"/>
            </w:pPr>
            <w:r w:rsidRPr="00415EDB">
              <w:rPr>
                <w:rFonts w:hint="eastAsia"/>
                <w:color w:val="000000"/>
                <w:w w:val="16"/>
                <w:fitText w:val="75" w:id="-1305212656"/>
                <w14:textFill>
                  <w14:solidFill>
                    <w14:srgbClr w14:val="000000">
                      <w14:alpha w14:val="100000"/>
                    </w14:srgbClr>
                  </w14:solidFill>
                </w14:textFill>
              </w:rPr>
              <w:t xml:space="preserve">　</w:t>
            </w:r>
            <w:r w:rsidRPr="00415EDB">
              <w:rPr>
                <w:color w:val="000000"/>
                <w:w w:val="16"/>
                <w:fitText w:val="75" w:id="-1305212656"/>
                <w14:textFill>
                  <w14:solidFill>
                    <w14:srgbClr w14:val="000000">
                      <w14:alpha w14:val="100000"/>
                    </w14:srgbClr>
                  </w14:solidFill>
                </w14:textFill>
              </w:rPr>
              <w:t>|</w:t>
            </w:r>
            <w:r w:rsidRPr="00415EDB">
              <w:rPr>
                <w:rFonts w:hint="eastAsia"/>
                <w:color w:val="000000"/>
                <w:w w:val="16"/>
                <w:fitText w:val="75" w:id="-1305212656"/>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5A386F6E" w14:textId="77777777" w:rsidR="00DA10BD" w:rsidRPr="007E61A0" w:rsidRDefault="00DA10BD" w:rsidP="00FE4CD3">
            <w:pPr>
              <w:pStyle w:val="TableText0"/>
              <w:keepNext w:val="0"/>
              <w:widowControl w:val="0"/>
              <w:jc w:val="center"/>
            </w:pPr>
            <w:r w:rsidRPr="007E61A0">
              <w:t>0.0145</w:t>
            </w:r>
          </w:p>
        </w:tc>
        <w:tc>
          <w:tcPr>
            <w:tcW w:w="540" w:type="pct"/>
            <w:tcBorders>
              <w:top w:val="nil"/>
              <w:bottom w:val="nil"/>
            </w:tcBorders>
            <w:shd w:val="clear" w:color="auto" w:fill="auto"/>
            <w:vAlign w:val="center"/>
          </w:tcPr>
          <w:p w14:paraId="4217A787" w14:textId="5AA87C32" w:rsidR="00DA10BD" w:rsidRPr="006F558E" w:rsidRDefault="009942F6" w:rsidP="00FE4CD3">
            <w:pPr>
              <w:pStyle w:val="TableText0"/>
              <w:keepNext w:val="0"/>
              <w:widowControl w:val="0"/>
              <w:jc w:val="center"/>
              <w:rPr>
                <w:highlight w:val="darkGray"/>
              </w:rPr>
            </w:pPr>
            <w:r w:rsidRPr="009942F6">
              <w:rPr>
                <w:color w:val="000000"/>
                <w:spacing w:val="55"/>
                <w:shd w:val="solid" w:color="000000" w:fill="000000"/>
                <w:fitText w:val="238" w:id="-1305212672"/>
                <w14:textFill>
                  <w14:solidFill>
                    <w14:srgbClr w14:val="000000">
                      <w14:alpha w14:val="100000"/>
                    </w14:srgbClr>
                  </w14:solidFill>
                </w14:textFill>
              </w:rPr>
              <w:t>||</w:t>
            </w:r>
            <w:r w:rsidRPr="009942F6">
              <w:rPr>
                <w:color w:val="000000"/>
                <w:spacing w:val="1"/>
                <w:shd w:val="solid" w:color="000000" w:fill="000000"/>
                <w:fitText w:val="238" w:id="-1305212672"/>
                <w14:textFill>
                  <w14:solidFill>
                    <w14:srgbClr w14:val="000000">
                      <w14:alpha w14:val="100000"/>
                    </w14:srgbClr>
                  </w14:solidFill>
                </w14:textFill>
              </w:rPr>
              <w:t>|</w:t>
            </w:r>
            <w:r w:rsidR="00CF18A5">
              <w:rPr>
                <w:b/>
                <w:bCs w:val="0"/>
                <w:vertAlign w:val="superscript"/>
              </w:rPr>
              <w:t>6</w:t>
            </w:r>
          </w:p>
        </w:tc>
        <w:tc>
          <w:tcPr>
            <w:tcW w:w="601" w:type="pct"/>
            <w:tcBorders>
              <w:top w:val="nil"/>
              <w:bottom w:val="nil"/>
              <w:right w:val="single" w:sz="4" w:space="0" w:color="auto"/>
            </w:tcBorders>
            <w:shd w:val="clear" w:color="auto" w:fill="auto"/>
          </w:tcPr>
          <w:p w14:paraId="2082B458" w14:textId="77777777" w:rsidR="00DA10BD" w:rsidRPr="007E61A0" w:rsidRDefault="00DA10BD" w:rsidP="00FE4CD3">
            <w:pPr>
              <w:pStyle w:val="TableText0"/>
              <w:keepNext w:val="0"/>
              <w:widowControl w:val="0"/>
              <w:jc w:val="center"/>
            </w:pPr>
            <w:r w:rsidRPr="007E61A0">
              <w:t>687.9%</w:t>
            </w:r>
          </w:p>
        </w:tc>
      </w:tr>
      <w:tr w:rsidR="00DA10BD" w:rsidRPr="007E61A0" w14:paraId="5972A2C9" w14:textId="77777777" w:rsidTr="009942F6">
        <w:tc>
          <w:tcPr>
            <w:tcW w:w="2511" w:type="pct"/>
            <w:tcBorders>
              <w:top w:val="nil"/>
              <w:left w:val="single" w:sz="4" w:space="0" w:color="auto"/>
              <w:bottom w:val="nil"/>
            </w:tcBorders>
          </w:tcPr>
          <w:p w14:paraId="21695C29" w14:textId="77777777" w:rsidR="00DA10BD" w:rsidRPr="007E61A0" w:rsidRDefault="00DA10BD" w:rsidP="00FE4CD3">
            <w:pPr>
              <w:pStyle w:val="TableText0"/>
              <w:keepNext w:val="0"/>
              <w:widowControl w:val="0"/>
              <w:numPr>
                <w:ilvl w:val="0"/>
                <w:numId w:val="9"/>
              </w:numPr>
            </w:pPr>
            <w:r w:rsidRPr="007E61A0">
              <w:t>Zug 1995</w:t>
            </w:r>
            <w:r w:rsidRPr="007E61A0">
              <w:rPr>
                <w:rStyle w:val="FootnoteReference"/>
              </w:rPr>
              <w:footnoteReference w:id="8"/>
            </w:r>
            <w:r w:rsidRPr="007E61A0">
              <w:t xml:space="preserve"> (moderate psoriasis)</w:t>
            </w:r>
          </w:p>
        </w:tc>
        <w:tc>
          <w:tcPr>
            <w:tcW w:w="708" w:type="pct"/>
            <w:tcBorders>
              <w:top w:val="nil"/>
              <w:bottom w:val="nil"/>
            </w:tcBorders>
            <w:shd w:val="solid" w:color="000000" w:fill="000000"/>
            <w:vAlign w:val="center"/>
          </w:tcPr>
          <w:p w14:paraId="62014BC9" w14:textId="37478442" w:rsidR="00DA10BD" w:rsidRPr="009942F6" w:rsidRDefault="009942F6" w:rsidP="00FE4CD3">
            <w:pPr>
              <w:pStyle w:val="TableText0"/>
              <w:keepNext w:val="0"/>
              <w:widowControl w:val="0"/>
              <w:jc w:val="center"/>
            </w:pPr>
            <w:r w:rsidRPr="00415EDB">
              <w:rPr>
                <w:rFonts w:hint="eastAsia"/>
                <w:color w:val="000000"/>
                <w:w w:val="16"/>
                <w:fitText w:val="75" w:id="-1305212671"/>
                <w14:textFill>
                  <w14:solidFill>
                    <w14:srgbClr w14:val="000000">
                      <w14:alpha w14:val="100000"/>
                    </w14:srgbClr>
                  </w14:solidFill>
                </w14:textFill>
              </w:rPr>
              <w:t xml:space="preserve">　</w:t>
            </w:r>
            <w:r w:rsidRPr="00415EDB">
              <w:rPr>
                <w:color w:val="000000"/>
                <w:w w:val="16"/>
                <w:fitText w:val="75" w:id="-1305212671"/>
                <w14:textFill>
                  <w14:solidFill>
                    <w14:srgbClr w14:val="000000">
                      <w14:alpha w14:val="100000"/>
                    </w14:srgbClr>
                  </w14:solidFill>
                </w14:textFill>
              </w:rPr>
              <w:t>|</w:t>
            </w:r>
            <w:r w:rsidRPr="00415EDB">
              <w:rPr>
                <w:rFonts w:hint="eastAsia"/>
                <w:color w:val="000000"/>
                <w:w w:val="16"/>
                <w:fitText w:val="75" w:id="-1305212671"/>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66C55561" w14:textId="77777777" w:rsidR="00DA10BD" w:rsidRPr="007E61A0" w:rsidRDefault="00DA10BD" w:rsidP="00FE4CD3">
            <w:pPr>
              <w:pStyle w:val="TableText0"/>
              <w:keepNext w:val="0"/>
              <w:widowControl w:val="0"/>
              <w:jc w:val="center"/>
            </w:pPr>
            <w:r w:rsidRPr="007E61A0">
              <w:t>0.0381</w:t>
            </w:r>
          </w:p>
        </w:tc>
        <w:tc>
          <w:tcPr>
            <w:tcW w:w="540" w:type="pct"/>
            <w:tcBorders>
              <w:top w:val="nil"/>
              <w:bottom w:val="nil"/>
            </w:tcBorders>
            <w:shd w:val="clear" w:color="auto" w:fill="auto"/>
            <w:vAlign w:val="center"/>
          </w:tcPr>
          <w:p w14:paraId="3B6951A4" w14:textId="38245CEA" w:rsidR="00DA10BD" w:rsidRPr="006F558E" w:rsidRDefault="009942F6" w:rsidP="00FE4CD3">
            <w:pPr>
              <w:pStyle w:val="TableText0"/>
              <w:keepNext w:val="0"/>
              <w:widowControl w:val="0"/>
              <w:jc w:val="center"/>
              <w:rPr>
                <w:highlight w:val="darkGray"/>
              </w:rPr>
            </w:pPr>
            <w:r w:rsidRPr="009942F6">
              <w:rPr>
                <w:color w:val="000000"/>
                <w:spacing w:val="55"/>
                <w:shd w:val="solid" w:color="000000" w:fill="000000"/>
                <w:fitText w:val="238" w:id="-1305212670"/>
                <w14:textFill>
                  <w14:solidFill>
                    <w14:srgbClr w14:val="000000">
                      <w14:alpha w14:val="100000"/>
                    </w14:srgbClr>
                  </w14:solidFill>
                </w14:textFill>
              </w:rPr>
              <w:t>||</w:t>
            </w:r>
            <w:r w:rsidRPr="009942F6">
              <w:rPr>
                <w:color w:val="000000"/>
                <w:spacing w:val="1"/>
                <w:shd w:val="solid" w:color="000000" w:fill="000000"/>
                <w:fitText w:val="238" w:id="-1305212670"/>
                <w14:textFill>
                  <w14:solidFill>
                    <w14:srgbClr w14:val="000000">
                      <w14:alpha w14:val="100000"/>
                    </w14:srgbClr>
                  </w14:solidFill>
                </w14:textFill>
              </w:rPr>
              <w:t>|</w:t>
            </w:r>
            <w:r w:rsidR="00CF18A5">
              <w:rPr>
                <w:b/>
                <w:bCs w:val="0"/>
                <w:vertAlign w:val="superscript"/>
              </w:rPr>
              <w:t>7</w:t>
            </w:r>
          </w:p>
        </w:tc>
        <w:tc>
          <w:tcPr>
            <w:tcW w:w="601" w:type="pct"/>
            <w:tcBorders>
              <w:top w:val="nil"/>
              <w:bottom w:val="nil"/>
              <w:right w:val="single" w:sz="4" w:space="0" w:color="auto"/>
            </w:tcBorders>
            <w:shd w:val="clear" w:color="auto" w:fill="auto"/>
          </w:tcPr>
          <w:p w14:paraId="526DCD87" w14:textId="77777777" w:rsidR="00DA10BD" w:rsidRPr="007E61A0" w:rsidRDefault="00DA10BD" w:rsidP="00FE4CD3">
            <w:pPr>
              <w:pStyle w:val="TableText0"/>
              <w:keepNext w:val="0"/>
              <w:widowControl w:val="0"/>
              <w:jc w:val="center"/>
            </w:pPr>
            <w:r w:rsidRPr="007E61A0">
              <w:t>200.0%</w:t>
            </w:r>
          </w:p>
        </w:tc>
      </w:tr>
      <w:tr w:rsidR="00DA10BD" w:rsidRPr="007E61A0" w14:paraId="089B223C" w14:textId="77777777" w:rsidTr="009942F6">
        <w:tc>
          <w:tcPr>
            <w:tcW w:w="2511" w:type="pct"/>
            <w:tcBorders>
              <w:top w:val="nil"/>
              <w:left w:val="single" w:sz="4" w:space="0" w:color="auto"/>
              <w:bottom w:val="nil"/>
            </w:tcBorders>
          </w:tcPr>
          <w:p w14:paraId="7B34047D" w14:textId="77777777" w:rsidR="00DA10BD" w:rsidRPr="007E61A0" w:rsidRDefault="00DA10BD" w:rsidP="00FE4CD3">
            <w:pPr>
              <w:pStyle w:val="TableText0"/>
              <w:keepNext w:val="0"/>
              <w:widowControl w:val="0"/>
              <w:numPr>
                <w:ilvl w:val="0"/>
                <w:numId w:val="9"/>
              </w:numPr>
            </w:pPr>
            <w:r w:rsidRPr="007E61A0">
              <w:t>Sherif 2017 (UK tariffs)</w:t>
            </w:r>
          </w:p>
        </w:tc>
        <w:tc>
          <w:tcPr>
            <w:tcW w:w="708" w:type="pct"/>
            <w:tcBorders>
              <w:top w:val="nil"/>
              <w:bottom w:val="nil"/>
            </w:tcBorders>
            <w:shd w:val="solid" w:color="000000" w:fill="000000"/>
            <w:vAlign w:val="center"/>
          </w:tcPr>
          <w:p w14:paraId="159D213B" w14:textId="68C7CAF8" w:rsidR="00DA10BD" w:rsidRPr="009942F6" w:rsidRDefault="009942F6" w:rsidP="00FE4CD3">
            <w:pPr>
              <w:pStyle w:val="TableText0"/>
              <w:keepNext w:val="0"/>
              <w:widowControl w:val="0"/>
              <w:jc w:val="center"/>
            </w:pPr>
            <w:r w:rsidRPr="00415EDB">
              <w:rPr>
                <w:rFonts w:hint="eastAsia"/>
                <w:color w:val="000000"/>
                <w:w w:val="16"/>
                <w:fitText w:val="75" w:id="-1305212669"/>
                <w14:textFill>
                  <w14:solidFill>
                    <w14:srgbClr w14:val="000000">
                      <w14:alpha w14:val="100000"/>
                    </w14:srgbClr>
                  </w14:solidFill>
                </w14:textFill>
              </w:rPr>
              <w:t xml:space="preserve">　</w:t>
            </w:r>
            <w:r w:rsidRPr="00415EDB">
              <w:rPr>
                <w:color w:val="000000"/>
                <w:w w:val="16"/>
                <w:fitText w:val="75" w:id="-1305212669"/>
                <w14:textFill>
                  <w14:solidFill>
                    <w14:srgbClr w14:val="000000">
                      <w14:alpha w14:val="100000"/>
                    </w14:srgbClr>
                  </w14:solidFill>
                </w14:textFill>
              </w:rPr>
              <w:t>|</w:t>
            </w:r>
            <w:r w:rsidRPr="00415EDB">
              <w:rPr>
                <w:rFonts w:hint="eastAsia"/>
                <w:color w:val="000000"/>
                <w:w w:val="16"/>
                <w:fitText w:val="75" w:id="-1305212669"/>
                <w14:textFill>
                  <w14:solidFill>
                    <w14:srgbClr w14:val="000000">
                      <w14:alpha w14:val="100000"/>
                    </w14:srgbClr>
                  </w14:solidFill>
                </w14:textFill>
              </w:rPr>
              <w:t xml:space="preserve">　</w:t>
            </w:r>
          </w:p>
        </w:tc>
        <w:tc>
          <w:tcPr>
            <w:tcW w:w="640" w:type="pct"/>
            <w:tcBorders>
              <w:top w:val="nil"/>
              <w:bottom w:val="nil"/>
            </w:tcBorders>
            <w:shd w:val="clear" w:color="auto" w:fill="auto"/>
            <w:vAlign w:val="center"/>
          </w:tcPr>
          <w:p w14:paraId="4810849D" w14:textId="77777777" w:rsidR="00DA10BD" w:rsidRPr="007E61A0" w:rsidRDefault="00DA10BD" w:rsidP="00FE4CD3">
            <w:pPr>
              <w:pStyle w:val="TableText0"/>
              <w:keepNext w:val="0"/>
              <w:widowControl w:val="0"/>
              <w:jc w:val="center"/>
            </w:pPr>
            <w:r w:rsidRPr="007E61A0">
              <w:t>0.0290</w:t>
            </w:r>
          </w:p>
        </w:tc>
        <w:tc>
          <w:tcPr>
            <w:tcW w:w="540" w:type="pct"/>
            <w:tcBorders>
              <w:top w:val="nil"/>
              <w:bottom w:val="nil"/>
            </w:tcBorders>
            <w:shd w:val="clear" w:color="auto" w:fill="auto"/>
            <w:vAlign w:val="center"/>
          </w:tcPr>
          <w:p w14:paraId="3CBC4D02" w14:textId="5A8356AF"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8"/>
                <w14:textFill>
                  <w14:solidFill>
                    <w14:srgbClr w14:val="000000">
                      <w14:alpha w14:val="100000"/>
                    </w14:srgbClr>
                  </w14:solidFill>
                </w14:textFill>
              </w:rPr>
              <w:t>||</w:t>
            </w:r>
            <w:r w:rsidRPr="00415EDB">
              <w:rPr>
                <w:color w:val="000000"/>
                <w:spacing w:val="1"/>
                <w:shd w:val="solid" w:color="000000" w:fill="000000"/>
                <w:fitText w:val="238" w:id="-1305212668"/>
                <w14:textFill>
                  <w14:solidFill>
                    <w14:srgbClr w14:val="000000">
                      <w14:alpha w14:val="100000"/>
                    </w14:srgbClr>
                  </w14:solidFill>
                </w14:textFill>
              </w:rPr>
              <w:t>|</w:t>
            </w:r>
            <w:r w:rsidR="00CF18A5">
              <w:rPr>
                <w:b/>
                <w:bCs w:val="0"/>
                <w:vertAlign w:val="superscript"/>
              </w:rPr>
              <w:t>8</w:t>
            </w:r>
          </w:p>
        </w:tc>
        <w:tc>
          <w:tcPr>
            <w:tcW w:w="601" w:type="pct"/>
            <w:tcBorders>
              <w:top w:val="nil"/>
              <w:bottom w:val="nil"/>
              <w:right w:val="single" w:sz="4" w:space="0" w:color="auto"/>
            </w:tcBorders>
            <w:shd w:val="clear" w:color="auto" w:fill="auto"/>
          </w:tcPr>
          <w:p w14:paraId="1EE314A1" w14:textId="77777777" w:rsidR="00DA10BD" w:rsidRPr="007E61A0" w:rsidRDefault="00DA10BD" w:rsidP="00FE4CD3">
            <w:pPr>
              <w:pStyle w:val="TableText0"/>
              <w:keepNext w:val="0"/>
              <w:widowControl w:val="0"/>
              <w:jc w:val="center"/>
            </w:pPr>
            <w:r w:rsidRPr="007E61A0">
              <w:t>294.2%</w:t>
            </w:r>
          </w:p>
        </w:tc>
      </w:tr>
      <w:tr w:rsidR="00DA10BD" w:rsidRPr="007E61A0" w14:paraId="2BDEE487" w14:textId="77777777" w:rsidTr="009942F6">
        <w:tc>
          <w:tcPr>
            <w:tcW w:w="2511" w:type="pct"/>
            <w:tcBorders>
              <w:top w:val="nil"/>
              <w:left w:val="single" w:sz="4" w:space="0" w:color="auto"/>
              <w:bottom w:val="single" w:sz="4" w:space="0" w:color="auto"/>
            </w:tcBorders>
          </w:tcPr>
          <w:p w14:paraId="427CFEAF" w14:textId="77777777" w:rsidR="00DA10BD" w:rsidRPr="007E61A0" w:rsidRDefault="00DA10BD" w:rsidP="00FE4CD3">
            <w:pPr>
              <w:pStyle w:val="TableText0"/>
              <w:keepNext w:val="0"/>
              <w:widowControl w:val="0"/>
              <w:numPr>
                <w:ilvl w:val="0"/>
                <w:numId w:val="9"/>
              </w:numPr>
            </w:pPr>
            <w:r w:rsidRPr="007E61A0">
              <w:t>Bewley 2018</w:t>
            </w:r>
            <w:r w:rsidRPr="007E61A0">
              <w:rPr>
                <w:rStyle w:val="FootnoteReference"/>
              </w:rPr>
              <w:footnoteReference w:id="9"/>
            </w:r>
          </w:p>
        </w:tc>
        <w:tc>
          <w:tcPr>
            <w:tcW w:w="708" w:type="pct"/>
            <w:tcBorders>
              <w:top w:val="nil"/>
              <w:bottom w:val="single" w:sz="4" w:space="0" w:color="auto"/>
            </w:tcBorders>
            <w:shd w:val="solid" w:color="000000" w:fill="000000"/>
            <w:vAlign w:val="center"/>
          </w:tcPr>
          <w:p w14:paraId="504363D4" w14:textId="5AE50D98" w:rsidR="00DA10BD" w:rsidRPr="009942F6" w:rsidRDefault="009942F6" w:rsidP="00FE4CD3">
            <w:pPr>
              <w:pStyle w:val="TableText0"/>
              <w:keepNext w:val="0"/>
              <w:widowControl w:val="0"/>
              <w:jc w:val="center"/>
            </w:pPr>
            <w:r w:rsidRPr="00415EDB">
              <w:rPr>
                <w:rFonts w:hint="eastAsia"/>
                <w:color w:val="000000"/>
                <w:w w:val="16"/>
                <w:fitText w:val="75" w:id="-1305212667"/>
                <w14:textFill>
                  <w14:solidFill>
                    <w14:srgbClr w14:val="000000">
                      <w14:alpha w14:val="100000"/>
                    </w14:srgbClr>
                  </w14:solidFill>
                </w14:textFill>
              </w:rPr>
              <w:t xml:space="preserve">　</w:t>
            </w:r>
            <w:r w:rsidRPr="00415EDB">
              <w:rPr>
                <w:color w:val="000000"/>
                <w:w w:val="16"/>
                <w:fitText w:val="75" w:id="-1305212667"/>
                <w14:textFill>
                  <w14:solidFill>
                    <w14:srgbClr w14:val="000000">
                      <w14:alpha w14:val="100000"/>
                    </w14:srgbClr>
                  </w14:solidFill>
                </w14:textFill>
              </w:rPr>
              <w:t>|</w:t>
            </w:r>
            <w:r w:rsidRPr="00415EDB">
              <w:rPr>
                <w:rFonts w:hint="eastAsia"/>
                <w:color w:val="000000"/>
                <w:w w:val="16"/>
                <w:fitText w:val="75" w:id="-1305212667"/>
                <w14:textFill>
                  <w14:solidFill>
                    <w14:srgbClr w14:val="000000">
                      <w14:alpha w14:val="100000"/>
                    </w14:srgbClr>
                  </w14:solidFill>
                </w14:textFill>
              </w:rPr>
              <w:t xml:space="preserve">　</w:t>
            </w:r>
          </w:p>
        </w:tc>
        <w:tc>
          <w:tcPr>
            <w:tcW w:w="640" w:type="pct"/>
            <w:tcBorders>
              <w:top w:val="nil"/>
              <w:bottom w:val="single" w:sz="4" w:space="0" w:color="auto"/>
            </w:tcBorders>
            <w:shd w:val="clear" w:color="auto" w:fill="auto"/>
            <w:vAlign w:val="center"/>
          </w:tcPr>
          <w:p w14:paraId="44599734" w14:textId="77777777" w:rsidR="00DA10BD" w:rsidRPr="007E61A0" w:rsidRDefault="00DA10BD" w:rsidP="00FE4CD3">
            <w:pPr>
              <w:pStyle w:val="TableText0"/>
              <w:keepNext w:val="0"/>
              <w:widowControl w:val="0"/>
              <w:jc w:val="center"/>
            </w:pPr>
            <w:r w:rsidRPr="007E61A0">
              <w:t>0.0524</w:t>
            </w:r>
          </w:p>
        </w:tc>
        <w:tc>
          <w:tcPr>
            <w:tcW w:w="540" w:type="pct"/>
            <w:tcBorders>
              <w:top w:val="nil"/>
              <w:bottom w:val="single" w:sz="4" w:space="0" w:color="auto"/>
            </w:tcBorders>
            <w:shd w:val="clear" w:color="auto" w:fill="auto"/>
            <w:vAlign w:val="center"/>
          </w:tcPr>
          <w:p w14:paraId="3C0A81E7" w14:textId="58EF93D0" w:rsidR="00DA10BD" w:rsidRPr="006F558E" w:rsidRDefault="009942F6" w:rsidP="00FE4CD3">
            <w:pPr>
              <w:pStyle w:val="TableText0"/>
              <w:keepNext w:val="0"/>
              <w:widowControl w:val="0"/>
              <w:jc w:val="center"/>
              <w:rPr>
                <w:highlight w:val="darkGray"/>
              </w:rPr>
            </w:pPr>
            <w:r w:rsidRPr="00415EDB">
              <w:rPr>
                <w:color w:val="000000"/>
                <w:spacing w:val="55"/>
                <w:shd w:val="solid" w:color="000000" w:fill="000000"/>
                <w:fitText w:val="238" w:id="-1305212666"/>
                <w14:textFill>
                  <w14:solidFill>
                    <w14:srgbClr w14:val="000000">
                      <w14:alpha w14:val="100000"/>
                    </w14:srgbClr>
                  </w14:solidFill>
                </w14:textFill>
              </w:rPr>
              <w:t>||</w:t>
            </w:r>
            <w:r w:rsidRPr="00415EDB">
              <w:rPr>
                <w:color w:val="000000"/>
                <w:spacing w:val="1"/>
                <w:shd w:val="solid" w:color="000000" w:fill="000000"/>
                <w:fitText w:val="238" w:id="-1305212666"/>
                <w14:textFill>
                  <w14:solidFill>
                    <w14:srgbClr w14:val="000000">
                      <w14:alpha w14:val="100000"/>
                    </w14:srgbClr>
                  </w14:solidFill>
                </w14:textFill>
              </w:rPr>
              <w:t>|</w:t>
            </w:r>
            <w:r w:rsidR="00970313">
              <w:rPr>
                <w:b/>
                <w:bCs w:val="0"/>
                <w:vertAlign w:val="superscript"/>
              </w:rPr>
              <w:t>3</w:t>
            </w:r>
          </w:p>
        </w:tc>
        <w:tc>
          <w:tcPr>
            <w:tcW w:w="601" w:type="pct"/>
            <w:tcBorders>
              <w:top w:val="nil"/>
              <w:bottom w:val="single" w:sz="4" w:space="0" w:color="auto"/>
              <w:right w:val="single" w:sz="4" w:space="0" w:color="auto"/>
            </w:tcBorders>
            <w:shd w:val="clear" w:color="auto" w:fill="auto"/>
          </w:tcPr>
          <w:p w14:paraId="7A2656DA" w14:textId="77777777" w:rsidR="00DA10BD" w:rsidRPr="007E61A0" w:rsidRDefault="00DA10BD" w:rsidP="00FE4CD3">
            <w:pPr>
              <w:pStyle w:val="TableText0"/>
              <w:keepNext w:val="0"/>
              <w:widowControl w:val="0"/>
              <w:jc w:val="center"/>
            </w:pPr>
            <w:r w:rsidRPr="007E61A0">
              <w:t>117.9%</w:t>
            </w:r>
          </w:p>
        </w:tc>
      </w:tr>
      <w:tr w:rsidR="00394006" w:rsidRPr="007E61A0" w14:paraId="2A3FDF1D" w14:textId="77777777" w:rsidTr="00394006">
        <w:tc>
          <w:tcPr>
            <w:tcW w:w="5000" w:type="pct"/>
            <w:gridSpan w:val="5"/>
            <w:tcBorders>
              <w:top w:val="single" w:sz="4" w:space="0" w:color="auto"/>
              <w:left w:val="single" w:sz="4" w:space="0" w:color="auto"/>
              <w:bottom w:val="single" w:sz="4" w:space="0" w:color="auto"/>
              <w:right w:val="single" w:sz="4" w:space="0" w:color="auto"/>
            </w:tcBorders>
          </w:tcPr>
          <w:p w14:paraId="59D3B7D2" w14:textId="471683E9" w:rsidR="00394006" w:rsidRPr="007E61A0" w:rsidRDefault="00394006" w:rsidP="00FE4CD3">
            <w:pPr>
              <w:pStyle w:val="TableText0"/>
              <w:keepNext w:val="0"/>
              <w:widowControl w:val="0"/>
            </w:pPr>
            <w:r w:rsidRPr="007E61A0">
              <w:rPr>
                <w:b/>
                <w:bCs w:val="0"/>
              </w:rPr>
              <w:t>Multivariate analysis</w:t>
            </w:r>
          </w:p>
        </w:tc>
      </w:tr>
      <w:tr w:rsidR="00394006" w:rsidRPr="007E61A0" w14:paraId="0B6FC7C9" w14:textId="77777777" w:rsidTr="009942F6">
        <w:tc>
          <w:tcPr>
            <w:tcW w:w="2511" w:type="pct"/>
            <w:tcBorders>
              <w:top w:val="single" w:sz="4" w:space="0" w:color="auto"/>
              <w:left w:val="single" w:sz="4" w:space="0" w:color="auto"/>
              <w:bottom w:val="single" w:sz="4" w:space="0" w:color="auto"/>
            </w:tcBorders>
          </w:tcPr>
          <w:p w14:paraId="43D65E6A" w14:textId="5AB57BFA" w:rsidR="00394006" w:rsidRPr="007E61A0" w:rsidRDefault="00394006" w:rsidP="00FE4CD3">
            <w:pPr>
              <w:pStyle w:val="TableText0"/>
              <w:keepNext w:val="0"/>
              <w:widowControl w:val="0"/>
            </w:pPr>
            <w:r w:rsidRPr="007E61A0">
              <w:t>A + B</w:t>
            </w:r>
          </w:p>
        </w:tc>
        <w:tc>
          <w:tcPr>
            <w:tcW w:w="708" w:type="pct"/>
            <w:tcBorders>
              <w:top w:val="single" w:sz="4" w:space="0" w:color="auto"/>
              <w:bottom w:val="single" w:sz="4" w:space="0" w:color="auto"/>
            </w:tcBorders>
            <w:shd w:val="solid" w:color="000000" w:fill="000000"/>
            <w:vAlign w:val="center"/>
          </w:tcPr>
          <w:p w14:paraId="11F0DF94" w14:textId="22468E6C" w:rsidR="00394006" w:rsidRPr="009942F6" w:rsidRDefault="009942F6" w:rsidP="00FE4CD3">
            <w:pPr>
              <w:pStyle w:val="TableText0"/>
              <w:keepNext w:val="0"/>
              <w:widowControl w:val="0"/>
              <w:jc w:val="center"/>
            </w:pPr>
            <w:r w:rsidRPr="00415EDB">
              <w:rPr>
                <w:rFonts w:eastAsiaTheme="minorHAnsi" w:hint="eastAsia"/>
                <w:color w:val="000000"/>
                <w:w w:val="16"/>
                <w:fitText w:val="75" w:id="-1305212665"/>
                <w14:textFill>
                  <w14:solidFill>
                    <w14:srgbClr w14:val="000000">
                      <w14:alpha w14:val="100000"/>
                    </w14:srgbClr>
                  </w14:solidFill>
                </w14:textFill>
              </w:rPr>
              <w:t xml:space="preserve">　</w:t>
            </w:r>
            <w:r w:rsidRPr="00415EDB">
              <w:rPr>
                <w:rFonts w:eastAsiaTheme="minorHAnsi"/>
                <w:color w:val="000000"/>
                <w:w w:val="16"/>
                <w:fitText w:val="75" w:id="-1305212665"/>
                <w14:textFill>
                  <w14:solidFill>
                    <w14:srgbClr w14:val="000000">
                      <w14:alpha w14:val="100000"/>
                    </w14:srgbClr>
                  </w14:solidFill>
                </w14:textFill>
              </w:rPr>
              <w:t>|</w:t>
            </w:r>
            <w:r w:rsidRPr="00415EDB">
              <w:rPr>
                <w:rFonts w:eastAsiaTheme="minorHAnsi" w:hint="eastAsia"/>
                <w:color w:val="000000"/>
                <w:w w:val="16"/>
                <w:fitText w:val="75" w:id="-1305212665"/>
                <w14:textFill>
                  <w14:solidFill>
                    <w14:srgbClr w14:val="000000">
                      <w14:alpha w14:val="100000"/>
                    </w14:srgbClr>
                  </w14:solidFill>
                </w14:textFill>
              </w:rPr>
              <w:t xml:space="preserve">　</w:t>
            </w:r>
          </w:p>
        </w:tc>
        <w:tc>
          <w:tcPr>
            <w:tcW w:w="640" w:type="pct"/>
            <w:tcBorders>
              <w:top w:val="single" w:sz="4" w:space="0" w:color="auto"/>
              <w:bottom w:val="single" w:sz="4" w:space="0" w:color="auto"/>
            </w:tcBorders>
            <w:shd w:val="clear" w:color="auto" w:fill="auto"/>
            <w:vAlign w:val="center"/>
          </w:tcPr>
          <w:p w14:paraId="60BDE6CA" w14:textId="2A8EB25E" w:rsidR="00394006" w:rsidRPr="007E61A0" w:rsidRDefault="00394006" w:rsidP="00FE4CD3">
            <w:pPr>
              <w:pStyle w:val="TableText0"/>
              <w:keepNext w:val="0"/>
              <w:widowControl w:val="0"/>
              <w:jc w:val="center"/>
            </w:pPr>
            <w:r w:rsidRPr="007E61A0">
              <w:rPr>
                <w:rFonts w:eastAsiaTheme="minorHAnsi"/>
              </w:rPr>
              <w:t>0.0160</w:t>
            </w:r>
          </w:p>
        </w:tc>
        <w:tc>
          <w:tcPr>
            <w:tcW w:w="540" w:type="pct"/>
            <w:tcBorders>
              <w:top w:val="single" w:sz="4" w:space="0" w:color="auto"/>
              <w:bottom w:val="single" w:sz="4" w:space="0" w:color="auto"/>
            </w:tcBorders>
            <w:shd w:val="clear" w:color="auto" w:fill="auto"/>
            <w:vAlign w:val="center"/>
          </w:tcPr>
          <w:p w14:paraId="704BABCC" w14:textId="2C1CCDBE" w:rsidR="00394006" w:rsidRPr="006F558E" w:rsidRDefault="009942F6" w:rsidP="00FE4CD3">
            <w:pPr>
              <w:pStyle w:val="TableText0"/>
              <w:keepNext w:val="0"/>
              <w:widowControl w:val="0"/>
              <w:jc w:val="center"/>
              <w:rPr>
                <w:highlight w:val="darkGray"/>
              </w:rPr>
            </w:pPr>
            <w:r w:rsidRPr="00415EDB">
              <w:rPr>
                <w:rFonts w:eastAsiaTheme="minorHAnsi"/>
                <w:color w:val="000000"/>
                <w:spacing w:val="55"/>
                <w:shd w:val="solid" w:color="000000" w:fill="000000"/>
                <w:fitText w:val="238" w:id="-1305212664"/>
                <w14:textFill>
                  <w14:solidFill>
                    <w14:srgbClr w14:val="000000">
                      <w14:alpha w14:val="100000"/>
                    </w14:srgbClr>
                  </w14:solidFill>
                </w14:textFill>
              </w:rPr>
              <w:t>||</w:t>
            </w:r>
            <w:r w:rsidRPr="00415EDB">
              <w:rPr>
                <w:rFonts w:eastAsiaTheme="minorHAnsi"/>
                <w:color w:val="000000"/>
                <w:spacing w:val="1"/>
                <w:shd w:val="solid" w:color="000000" w:fill="000000"/>
                <w:fitText w:val="238" w:id="-1305212664"/>
                <w14:textFill>
                  <w14:solidFill>
                    <w14:srgbClr w14:val="000000">
                      <w14:alpha w14:val="100000"/>
                    </w14:srgbClr>
                  </w14:solidFill>
                </w14:textFill>
              </w:rPr>
              <w:t>|</w:t>
            </w:r>
            <w:r w:rsidR="00CF18A5">
              <w:rPr>
                <w:b/>
                <w:bCs w:val="0"/>
                <w:vertAlign w:val="superscript"/>
              </w:rPr>
              <w:t>6</w:t>
            </w:r>
          </w:p>
        </w:tc>
        <w:tc>
          <w:tcPr>
            <w:tcW w:w="601" w:type="pct"/>
            <w:tcBorders>
              <w:top w:val="single" w:sz="4" w:space="0" w:color="auto"/>
              <w:bottom w:val="single" w:sz="4" w:space="0" w:color="auto"/>
              <w:right w:val="single" w:sz="4" w:space="0" w:color="auto"/>
            </w:tcBorders>
            <w:shd w:val="clear" w:color="auto" w:fill="auto"/>
          </w:tcPr>
          <w:p w14:paraId="220A97D7" w14:textId="053F8CB5" w:rsidR="00394006" w:rsidRPr="007E61A0" w:rsidRDefault="00394006" w:rsidP="00FE4CD3">
            <w:pPr>
              <w:pStyle w:val="TableText0"/>
              <w:keepNext w:val="0"/>
              <w:widowControl w:val="0"/>
              <w:jc w:val="center"/>
            </w:pPr>
            <w:r w:rsidRPr="007E61A0">
              <w:rPr>
                <w:rFonts w:eastAsiaTheme="minorHAnsi"/>
              </w:rPr>
              <w:t>615.2%</w:t>
            </w:r>
          </w:p>
        </w:tc>
      </w:tr>
      <w:tr w:rsidR="00C9307A" w:rsidRPr="007E61A0" w14:paraId="46C93B81" w14:textId="77777777" w:rsidTr="009942F6">
        <w:tc>
          <w:tcPr>
            <w:tcW w:w="2511" w:type="pct"/>
            <w:tcBorders>
              <w:top w:val="single" w:sz="4" w:space="0" w:color="auto"/>
              <w:left w:val="single" w:sz="4" w:space="0" w:color="auto"/>
              <w:bottom w:val="single" w:sz="4" w:space="0" w:color="auto"/>
            </w:tcBorders>
          </w:tcPr>
          <w:p w14:paraId="395033F3" w14:textId="6DF2229C" w:rsidR="00C9307A" w:rsidRPr="007E61A0" w:rsidRDefault="00C9307A" w:rsidP="00FE4CD3">
            <w:pPr>
              <w:pStyle w:val="TableText0"/>
              <w:keepNext w:val="0"/>
              <w:widowControl w:val="0"/>
            </w:pPr>
            <w:r w:rsidRPr="007E61A0">
              <w:t>A + B with a</w:t>
            </w:r>
            <w:r w:rsidR="006F7108" w:rsidRPr="007E61A0">
              <w:t>n 8.5</w:t>
            </w:r>
            <w:r w:rsidRPr="007E61A0">
              <w:t>% reduction in deucravacitinib DPMQ</w:t>
            </w:r>
          </w:p>
        </w:tc>
        <w:tc>
          <w:tcPr>
            <w:tcW w:w="708" w:type="pct"/>
            <w:tcBorders>
              <w:top w:val="single" w:sz="4" w:space="0" w:color="auto"/>
              <w:bottom w:val="single" w:sz="4" w:space="0" w:color="auto"/>
            </w:tcBorders>
            <w:shd w:val="solid" w:color="000000" w:fill="000000"/>
            <w:vAlign w:val="center"/>
          </w:tcPr>
          <w:p w14:paraId="54E5BA1B" w14:textId="210AD081" w:rsidR="00C9307A" w:rsidRPr="009942F6" w:rsidRDefault="009942F6" w:rsidP="00FE4CD3">
            <w:pPr>
              <w:pStyle w:val="TableText0"/>
              <w:keepNext w:val="0"/>
              <w:widowControl w:val="0"/>
              <w:jc w:val="center"/>
              <w:rPr>
                <w:rFonts w:eastAsiaTheme="minorHAnsi"/>
              </w:rPr>
            </w:pPr>
            <w:r w:rsidRPr="00415EDB">
              <w:rPr>
                <w:rFonts w:eastAsiaTheme="minorHAnsi" w:hint="eastAsia"/>
                <w:color w:val="000000"/>
                <w:w w:val="16"/>
                <w:fitText w:val="75" w:id="-1305212416"/>
                <w14:textFill>
                  <w14:solidFill>
                    <w14:srgbClr w14:val="000000">
                      <w14:alpha w14:val="100000"/>
                    </w14:srgbClr>
                  </w14:solidFill>
                </w14:textFill>
              </w:rPr>
              <w:t xml:space="preserve">　</w:t>
            </w:r>
            <w:r w:rsidRPr="00415EDB">
              <w:rPr>
                <w:rFonts w:eastAsiaTheme="minorHAnsi"/>
                <w:color w:val="000000"/>
                <w:w w:val="16"/>
                <w:fitText w:val="75" w:id="-1305212416"/>
                <w14:textFill>
                  <w14:solidFill>
                    <w14:srgbClr w14:val="000000">
                      <w14:alpha w14:val="100000"/>
                    </w14:srgbClr>
                  </w14:solidFill>
                </w14:textFill>
              </w:rPr>
              <w:t>|</w:t>
            </w:r>
            <w:r w:rsidRPr="00415EDB">
              <w:rPr>
                <w:rFonts w:eastAsiaTheme="minorHAnsi" w:hint="eastAsia"/>
                <w:color w:val="000000"/>
                <w:w w:val="16"/>
                <w:fitText w:val="75" w:id="-1305212416"/>
                <w14:textFill>
                  <w14:solidFill>
                    <w14:srgbClr w14:val="000000">
                      <w14:alpha w14:val="100000"/>
                    </w14:srgbClr>
                  </w14:solidFill>
                </w14:textFill>
              </w:rPr>
              <w:t xml:space="preserve">　</w:t>
            </w:r>
          </w:p>
        </w:tc>
        <w:tc>
          <w:tcPr>
            <w:tcW w:w="640" w:type="pct"/>
            <w:tcBorders>
              <w:top w:val="single" w:sz="4" w:space="0" w:color="auto"/>
              <w:bottom w:val="single" w:sz="4" w:space="0" w:color="auto"/>
            </w:tcBorders>
            <w:shd w:val="clear" w:color="auto" w:fill="auto"/>
            <w:vAlign w:val="center"/>
          </w:tcPr>
          <w:p w14:paraId="0C218CEE" w14:textId="26E2F5FF" w:rsidR="00C9307A" w:rsidRPr="007E61A0" w:rsidRDefault="006F7108" w:rsidP="00FE4CD3">
            <w:pPr>
              <w:pStyle w:val="TableText0"/>
              <w:keepNext w:val="0"/>
              <w:widowControl w:val="0"/>
              <w:jc w:val="center"/>
              <w:rPr>
                <w:rFonts w:eastAsiaTheme="minorHAnsi"/>
              </w:rPr>
            </w:pPr>
            <w:r w:rsidRPr="007E61A0">
              <w:rPr>
                <w:rFonts w:eastAsiaTheme="minorHAnsi"/>
              </w:rPr>
              <w:t>0.0160</w:t>
            </w:r>
          </w:p>
        </w:tc>
        <w:tc>
          <w:tcPr>
            <w:tcW w:w="540" w:type="pct"/>
            <w:tcBorders>
              <w:top w:val="single" w:sz="4" w:space="0" w:color="auto"/>
              <w:bottom w:val="single" w:sz="4" w:space="0" w:color="auto"/>
            </w:tcBorders>
            <w:shd w:val="clear" w:color="auto" w:fill="auto"/>
            <w:vAlign w:val="center"/>
          </w:tcPr>
          <w:p w14:paraId="7E28483F" w14:textId="1221CA4D" w:rsidR="00C9307A" w:rsidRPr="006F558E" w:rsidRDefault="009942F6" w:rsidP="00FE4CD3">
            <w:pPr>
              <w:pStyle w:val="TableText0"/>
              <w:keepNext w:val="0"/>
              <w:widowControl w:val="0"/>
              <w:jc w:val="center"/>
              <w:rPr>
                <w:rFonts w:eastAsiaTheme="minorHAnsi"/>
                <w:highlight w:val="darkGray"/>
              </w:rPr>
            </w:pPr>
            <w:r w:rsidRPr="009942F6">
              <w:rPr>
                <w:rFonts w:eastAsiaTheme="minorHAnsi"/>
                <w:color w:val="000000"/>
                <w:spacing w:val="55"/>
                <w:shd w:val="solid" w:color="000000" w:fill="000000"/>
                <w:fitText w:val="238" w:id="-1305212415"/>
                <w14:textFill>
                  <w14:solidFill>
                    <w14:srgbClr w14:val="000000">
                      <w14:alpha w14:val="100000"/>
                    </w14:srgbClr>
                  </w14:solidFill>
                </w14:textFill>
              </w:rPr>
              <w:t>||</w:t>
            </w:r>
            <w:r w:rsidRPr="009942F6">
              <w:rPr>
                <w:rFonts w:eastAsiaTheme="minorHAnsi"/>
                <w:color w:val="000000"/>
                <w:spacing w:val="1"/>
                <w:shd w:val="solid" w:color="000000" w:fill="000000"/>
                <w:fitText w:val="238" w:id="-1305212415"/>
                <w14:textFill>
                  <w14:solidFill>
                    <w14:srgbClr w14:val="000000">
                      <w14:alpha w14:val="100000"/>
                    </w14:srgbClr>
                  </w14:solidFill>
                </w14:textFill>
              </w:rPr>
              <w:t>|</w:t>
            </w:r>
            <w:r w:rsidR="00970313">
              <w:rPr>
                <w:b/>
                <w:bCs w:val="0"/>
                <w:vertAlign w:val="superscript"/>
              </w:rPr>
              <w:t>1</w:t>
            </w:r>
          </w:p>
        </w:tc>
        <w:tc>
          <w:tcPr>
            <w:tcW w:w="601" w:type="pct"/>
            <w:tcBorders>
              <w:top w:val="single" w:sz="4" w:space="0" w:color="auto"/>
              <w:bottom w:val="single" w:sz="4" w:space="0" w:color="auto"/>
              <w:right w:val="single" w:sz="4" w:space="0" w:color="auto"/>
            </w:tcBorders>
            <w:shd w:val="clear" w:color="auto" w:fill="auto"/>
          </w:tcPr>
          <w:p w14:paraId="6A688528" w14:textId="3155C92A" w:rsidR="00C9307A" w:rsidRPr="007E61A0" w:rsidRDefault="006F7108" w:rsidP="00FE4CD3">
            <w:pPr>
              <w:pStyle w:val="TableText0"/>
              <w:keepNext w:val="0"/>
              <w:widowControl w:val="0"/>
              <w:jc w:val="center"/>
              <w:rPr>
                <w:rFonts w:eastAsiaTheme="minorHAnsi"/>
              </w:rPr>
            </w:pPr>
            <w:r w:rsidRPr="007E61A0">
              <w:rPr>
                <w:rFonts w:eastAsiaTheme="minorHAnsi"/>
              </w:rPr>
              <w:t>0.0%</w:t>
            </w:r>
          </w:p>
        </w:tc>
      </w:tr>
    </w:tbl>
    <w:bookmarkEnd w:id="57"/>
    <w:p w14:paraId="07516A27" w14:textId="77777777" w:rsidR="00DA10BD" w:rsidRPr="007E61A0" w:rsidRDefault="00DA10BD" w:rsidP="00DA10BD">
      <w:pPr>
        <w:pStyle w:val="FooterTableFigure"/>
      </w:pPr>
      <w:r w:rsidRPr="007E61A0">
        <w:t>Source: Tables 104-109, pp169-172 of the submission.</w:t>
      </w:r>
    </w:p>
    <w:p w14:paraId="59620DF1" w14:textId="77777777" w:rsidR="00DA10BD" w:rsidRPr="007E61A0" w:rsidRDefault="00DA10BD" w:rsidP="00DA10BD">
      <w:pPr>
        <w:pStyle w:val="FooterTableFigure"/>
      </w:pPr>
      <w:r w:rsidRPr="007E61A0">
        <w:t>BSC = best supportive care; ICER = incremental cost-effectiveness ratio; PASI = Psoriasis Area and Severity Index; QALY = quality adjusted life year.</w:t>
      </w:r>
    </w:p>
    <w:p w14:paraId="21BDC419" w14:textId="77777777" w:rsidR="00DA10BD" w:rsidRPr="007E61A0" w:rsidRDefault="00DA10BD" w:rsidP="00DA10BD">
      <w:pPr>
        <w:pStyle w:val="FooterTableFigure"/>
      </w:pPr>
      <w:r w:rsidRPr="007E61A0">
        <w:rPr>
          <w:vertAlign w:val="superscript"/>
        </w:rPr>
        <w:t>a</w:t>
      </w:r>
      <w:r w:rsidRPr="007E61A0">
        <w:t xml:space="preserve"> Proportion of patients transitioning to the next most severe health state in the following cycle.</w:t>
      </w:r>
    </w:p>
    <w:p w14:paraId="0818BBFE" w14:textId="77777777" w:rsidR="00DA10BD" w:rsidRPr="007E61A0" w:rsidRDefault="00DA10BD" w:rsidP="00DA10BD">
      <w:pPr>
        <w:pStyle w:val="FooterTableFigure"/>
      </w:pPr>
      <w:r w:rsidRPr="007E61A0">
        <w:rPr>
          <w:vertAlign w:val="superscript"/>
        </w:rPr>
        <w:t>b</w:t>
      </w:r>
      <w:r w:rsidRPr="007E61A0">
        <w:t xml:space="preserve"> </w:t>
      </w:r>
      <w:proofErr w:type="gramStart"/>
      <w:r w:rsidRPr="007E61A0">
        <w:t>The</w:t>
      </w:r>
      <w:proofErr w:type="gramEnd"/>
      <w:r w:rsidRPr="007E61A0">
        <w:t xml:space="preserve"> proportion of patients in each PASI response health state that are transitioned to biologics each cycle, post 24 weeks.</w:t>
      </w:r>
    </w:p>
    <w:p w14:paraId="37F0A8A2" w14:textId="77777777" w:rsidR="00DA10BD" w:rsidRPr="007E61A0" w:rsidRDefault="00DA10BD" w:rsidP="00DA10BD">
      <w:pPr>
        <w:pStyle w:val="FooterTableFigure"/>
      </w:pPr>
      <w:r w:rsidRPr="007E61A0">
        <w:rPr>
          <w:vertAlign w:val="superscript"/>
        </w:rPr>
        <w:t>c</w:t>
      </w:r>
      <w:r w:rsidRPr="007E61A0">
        <w:t xml:space="preserve"> Biologic use in the base case was estimated based on the proportion of patients with a PASI score &gt;15 at week 8, 16 and 24 in the POETYK trials.</w:t>
      </w:r>
    </w:p>
    <w:p w14:paraId="268232E2" w14:textId="19B7A718" w:rsidR="00DA10BD" w:rsidRDefault="00DA10BD" w:rsidP="00970313">
      <w:pPr>
        <w:pStyle w:val="FooterTableFigure"/>
        <w:spacing w:after="0"/>
      </w:pPr>
      <w:r w:rsidRPr="007E61A0">
        <w:rPr>
          <w:vertAlign w:val="superscript"/>
        </w:rPr>
        <w:t xml:space="preserve">d </w:t>
      </w:r>
      <w:proofErr w:type="gramStart"/>
      <w:r w:rsidRPr="007E61A0">
        <w:t>The</w:t>
      </w:r>
      <w:proofErr w:type="gramEnd"/>
      <w:r w:rsidRPr="007E61A0">
        <w:t xml:space="preserve"> submission used three linear regression models to estimate EQ-5D utility values (Australian weights) based on PASI response at Week 16 in the POETYK trials. Model 1 adjusted for baseline EQ-5D utility score. Model 3 adjusted for baseline EQ-5D, treatment arm, prior biologic exposure (yes/no), prior systemic therapy (yes/no), and body weight (≥90 kg and &lt;90 kg) at baselin</w:t>
      </w:r>
      <w:r w:rsidR="00074DC5" w:rsidRPr="007E61A0">
        <w:t>e</w:t>
      </w:r>
      <w:r w:rsidRPr="007E61A0">
        <w:t>.</w:t>
      </w:r>
    </w:p>
    <w:p w14:paraId="0AEAAE0C" w14:textId="77777777" w:rsidR="00FE4CD3" w:rsidRDefault="00970313" w:rsidP="00970313">
      <w:pPr>
        <w:rPr>
          <w:rFonts w:ascii="Arial Narrow" w:hAnsi="Arial Narrow"/>
          <w:i/>
          <w:sz w:val="18"/>
          <w:szCs w:val="18"/>
        </w:rPr>
      </w:pPr>
      <w:r>
        <w:rPr>
          <w:rFonts w:ascii="Arial Narrow" w:hAnsi="Arial Narrow"/>
          <w:i/>
          <w:sz w:val="18"/>
          <w:szCs w:val="18"/>
        </w:rPr>
        <w:t xml:space="preserve">The redacted values correspond to the following ranges: </w:t>
      </w:r>
    </w:p>
    <w:p w14:paraId="1457D638" w14:textId="68D9E9C9" w:rsidR="00970313" w:rsidRDefault="00970313" w:rsidP="00970313">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970313">
        <w:rPr>
          <w:rFonts w:ascii="Arial Narrow" w:hAnsi="Arial Narrow"/>
          <w:i/>
          <w:sz w:val="18"/>
          <w:szCs w:val="18"/>
        </w:rPr>
        <w:t>$25,000 to &lt; $35,000</w:t>
      </w:r>
    </w:p>
    <w:p w14:paraId="08C1E136" w14:textId="27F10157" w:rsidR="00970313" w:rsidRDefault="00970313" w:rsidP="00970313">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970313">
        <w:rPr>
          <w:rFonts w:ascii="Arial Narrow" w:hAnsi="Arial Narrow"/>
          <w:i/>
          <w:sz w:val="18"/>
          <w:szCs w:val="18"/>
        </w:rPr>
        <w:t>$15,000 to &lt; $25,000</w:t>
      </w:r>
    </w:p>
    <w:p w14:paraId="10E9974E" w14:textId="71BAC0C7" w:rsidR="00970313" w:rsidRDefault="00970313" w:rsidP="00970313">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970313">
        <w:rPr>
          <w:rFonts w:ascii="Arial Narrow" w:hAnsi="Arial Narrow"/>
          <w:i/>
          <w:sz w:val="18"/>
          <w:szCs w:val="18"/>
        </w:rPr>
        <w:t>$55,000 to &lt; $75,000</w:t>
      </w:r>
    </w:p>
    <w:p w14:paraId="6C5E5823" w14:textId="3CDA15B8" w:rsidR="00970313" w:rsidRDefault="00970313" w:rsidP="0097031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970313">
        <w:rPr>
          <w:rFonts w:ascii="Arial Narrow" w:hAnsi="Arial Narrow"/>
          <w:i/>
          <w:sz w:val="18"/>
          <w:szCs w:val="18"/>
        </w:rPr>
        <w:t>$35,000 to &lt; $45,000</w:t>
      </w:r>
    </w:p>
    <w:p w14:paraId="7A681785" w14:textId="583FDD1F" w:rsidR="00970313" w:rsidRDefault="00970313" w:rsidP="0097031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970313">
        <w:rPr>
          <w:rFonts w:ascii="Arial Narrow" w:hAnsi="Arial Narrow"/>
          <w:i/>
          <w:sz w:val="18"/>
          <w:szCs w:val="18"/>
        </w:rPr>
        <w:t>$45,000 to &lt; $55,000</w:t>
      </w:r>
    </w:p>
    <w:p w14:paraId="065B3D3C" w14:textId="3E287577" w:rsidR="00970313" w:rsidRDefault="00970313" w:rsidP="0097031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970313">
        <w:rPr>
          <w:rFonts w:ascii="Arial Narrow" w:hAnsi="Arial Narrow"/>
          <w:i/>
          <w:sz w:val="18"/>
          <w:szCs w:val="18"/>
        </w:rPr>
        <w:t>$155,000 to &lt; $255,000</w:t>
      </w:r>
    </w:p>
    <w:p w14:paraId="7548DA45" w14:textId="22135B59" w:rsidR="00970313" w:rsidRDefault="00970313" w:rsidP="00970313">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CF18A5" w:rsidRPr="00CF18A5">
        <w:rPr>
          <w:rFonts w:ascii="Arial Narrow" w:hAnsi="Arial Narrow"/>
          <w:i/>
          <w:sz w:val="18"/>
          <w:szCs w:val="18"/>
        </w:rPr>
        <w:t>$75,000 to &lt; $95,000</w:t>
      </w:r>
    </w:p>
    <w:p w14:paraId="3FCC3A38" w14:textId="5159675F" w:rsidR="00FE4CD3" w:rsidRPr="00FE4CD3" w:rsidRDefault="00FE4CD3" w:rsidP="00FE4CD3">
      <w:pPr>
        <w:spacing w:after="120"/>
        <w:rPr>
          <w:rFonts w:ascii="Arial Narrow" w:hAnsi="Arial Narrow"/>
          <w:i/>
          <w:sz w:val="18"/>
          <w:szCs w:val="18"/>
          <w:vertAlign w:val="superscript"/>
        </w:rPr>
      </w:pPr>
      <w:r w:rsidRPr="00FE4CD3">
        <w:rPr>
          <w:rFonts w:ascii="Arial Narrow" w:hAnsi="Arial Narrow"/>
          <w:i/>
          <w:sz w:val="18"/>
          <w:szCs w:val="18"/>
          <w:vertAlign w:val="superscript"/>
        </w:rPr>
        <w:t xml:space="preserve">8 </w:t>
      </w:r>
      <w:r w:rsidR="00CF18A5" w:rsidRPr="00FE4CD3">
        <w:rPr>
          <w:rFonts w:ascii="Arial Narrow" w:hAnsi="Arial Narrow"/>
          <w:i/>
          <w:sz w:val="18"/>
          <w:szCs w:val="18"/>
        </w:rPr>
        <w:t>$115,000 to &lt; $135,000</w:t>
      </w:r>
    </w:p>
    <w:p w14:paraId="10886DFB" w14:textId="201E2709" w:rsidR="00DA10BD" w:rsidRPr="007E61A0" w:rsidRDefault="00DA10BD" w:rsidP="00DA10BD">
      <w:pPr>
        <w:pStyle w:val="3-BodyText"/>
      </w:pPr>
      <w:r w:rsidRPr="007E61A0">
        <w:t>The</w:t>
      </w:r>
      <w:r w:rsidR="00AD6352" w:rsidRPr="007E61A0">
        <w:t xml:space="preserve"> ESC considered the</w:t>
      </w:r>
      <w:r w:rsidRPr="007E61A0">
        <w:t xml:space="preserve"> relevance of the PASI response rates from the POETYK trials to the modelled PBS population </w:t>
      </w:r>
      <w:r w:rsidR="00AD6352" w:rsidRPr="007E61A0">
        <w:t xml:space="preserve">were likely to </w:t>
      </w:r>
      <w:r w:rsidRPr="007E61A0">
        <w:t>be confounded to some extent:</w:t>
      </w:r>
    </w:p>
    <w:p w14:paraId="5CEFEAB5" w14:textId="2E26CC75" w:rsidR="00DA10BD" w:rsidRPr="007E61A0" w:rsidRDefault="00DA10BD" w:rsidP="00F665D5">
      <w:pPr>
        <w:numPr>
          <w:ilvl w:val="1"/>
          <w:numId w:val="14"/>
        </w:numPr>
        <w:spacing w:after="120"/>
        <w:rPr>
          <w:bCs/>
        </w:rPr>
      </w:pPr>
      <w:r w:rsidRPr="007E61A0">
        <w:rPr>
          <w:bCs/>
        </w:rPr>
        <w:t>Only 25.5% of the trial participants had methotrexate as prior and ongoing psoriasis-related medication,</w:t>
      </w:r>
      <w:r w:rsidRPr="007E61A0">
        <w:rPr>
          <w:bCs/>
          <w:vertAlign w:val="superscript"/>
        </w:rPr>
        <w:footnoteReference w:id="10"/>
      </w:r>
      <w:r w:rsidRPr="007E61A0">
        <w:rPr>
          <w:bCs/>
        </w:rPr>
        <w:t xml:space="preserve"> whereas the proposed PBS restriction is for patients who have </w:t>
      </w:r>
      <w:r w:rsidR="00694C2E">
        <w:rPr>
          <w:bCs/>
        </w:rPr>
        <w:t>not responde</w:t>
      </w:r>
      <w:r w:rsidR="00694C2E" w:rsidRPr="007E61A0">
        <w:rPr>
          <w:bCs/>
        </w:rPr>
        <w:t xml:space="preserve">d </w:t>
      </w:r>
      <w:r w:rsidR="00694C2E">
        <w:rPr>
          <w:bCs/>
        </w:rPr>
        <w:t xml:space="preserve">to, </w:t>
      </w:r>
      <w:r w:rsidRPr="007E61A0">
        <w:rPr>
          <w:bCs/>
        </w:rPr>
        <w:t xml:space="preserve">or are intolerant </w:t>
      </w:r>
      <w:r w:rsidR="00694C2E">
        <w:rPr>
          <w:bCs/>
        </w:rPr>
        <w:t>of,</w:t>
      </w:r>
      <w:r w:rsidR="00694C2E" w:rsidRPr="007E61A0">
        <w:rPr>
          <w:bCs/>
        </w:rPr>
        <w:t xml:space="preserve"> </w:t>
      </w:r>
      <w:r w:rsidRPr="007E61A0">
        <w:rPr>
          <w:bCs/>
        </w:rPr>
        <w:t>methotrexate.</w:t>
      </w:r>
    </w:p>
    <w:p w14:paraId="7B0C0841" w14:textId="1E541168" w:rsidR="00DA10BD" w:rsidRPr="007E61A0" w:rsidRDefault="00DA10BD" w:rsidP="00FA6969">
      <w:pPr>
        <w:numPr>
          <w:ilvl w:val="1"/>
          <w:numId w:val="14"/>
        </w:numPr>
        <w:spacing w:after="120"/>
        <w:rPr>
          <w:bCs/>
        </w:rPr>
      </w:pPr>
      <w:r w:rsidRPr="007E61A0">
        <w:rPr>
          <w:bCs/>
        </w:rPr>
        <w:lastRenderedPageBreak/>
        <w:t>34.8% of the trial participants had prior biologic systemic treatment,</w:t>
      </w:r>
      <w:r w:rsidRPr="007E61A0">
        <w:rPr>
          <w:bCs/>
          <w:vertAlign w:val="superscript"/>
        </w:rPr>
        <w:footnoteReference w:id="11"/>
      </w:r>
      <w:r w:rsidRPr="007E61A0">
        <w:rPr>
          <w:bCs/>
        </w:rPr>
        <w:t xml:space="preserve"> whereas the proposed PBS restriction is for patients who have not previously received biologics.</w:t>
      </w:r>
    </w:p>
    <w:p w14:paraId="71A0A640" w14:textId="406E4CF7" w:rsidR="00A4458C" w:rsidRPr="007E61A0" w:rsidRDefault="00A4458C" w:rsidP="001203BC">
      <w:pPr>
        <w:pStyle w:val="3-BodyText"/>
      </w:pPr>
      <w:bookmarkStart w:id="58" w:name="_Ref116633523"/>
      <w:r w:rsidRPr="007E61A0">
        <w:t>The Pre-PBAC Response stated the subgroup analyses presented in the PSCR indicated prior treatment use was not a significant treatment effect modifier and therefore argued the PASI response rates from the POETYK trials were applicable to the PBS population.</w:t>
      </w:r>
    </w:p>
    <w:p w14:paraId="17A5920A" w14:textId="461A14E6" w:rsidR="00DA10BD" w:rsidRPr="007E61A0" w:rsidRDefault="00DA10BD" w:rsidP="001203BC">
      <w:pPr>
        <w:pStyle w:val="3-BodyText"/>
      </w:pPr>
      <w:r w:rsidRPr="007E61A0">
        <w:t>The assumption that patients remained in the same PASI response health state until treatment discontinuation (0% in the base case) or death implicitly assumed no loss of efficacy over time which may not be reasonable.</w:t>
      </w:r>
      <w:r w:rsidR="001B18CB" w:rsidRPr="007E61A0">
        <w:t xml:space="preserve"> S</w:t>
      </w:r>
      <w:r w:rsidRPr="007E61A0">
        <w:t xml:space="preserve">ensitivity analyses showed that the ICER was moderately sensitive to the assumed loss of efficacy of deucravacitinib and apremilast after the trial follow up period. </w:t>
      </w:r>
      <w:r w:rsidR="001203BC" w:rsidRPr="007E61A0">
        <w:t>The ESC considered the base case assumption of no decline in treatment effect over time was unrealistic and</w:t>
      </w:r>
      <w:r w:rsidR="00492C2C" w:rsidRPr="007E61A0">
        <w:t xml:space="preserve"> advised </w:t>
      </w:r>
      <w:r w:rsidR="001203BC" w:rsidRPr="007E61A0">
        <w:t>the model should include an assumption of declining treatment effect over time for both deucravacitinib and apremilast at similar rates.</w:t>
      </w:r>
      <w:bookmarkEnd w:id="58"/>
    </w:p>
    <w:p w14:paraId="45E036D1" w14:textId="1D28937E" w:rsidR="00DA10BD" w:rsidRPr="007E61A0" w:rsidRDefault="00DA10BD" w:rsidP="00CF18A5">
      <w:pPr>
        <w:pStyle w:val="3-BodyText"/>
      </w:pPr>
      <w:r w:rsidRPr="007E61A0">
        <w:t xml:space="preserve">The submission considered that the model was moderately sensitive to subsequent biologic use. The base case assumption of subsequent biologic use among patients with a PASI &gt;15 after at least six weeks of treatment with deucravacitinib or apremilast aligned with expected clinical practice. This assumption was conservative for the cost-effectiveness of deucravacitinib: when use of subsequent biologics was removed, the ICER decreased from </w:t>
      </w:r>
      <w:r w:rsidR="00CF18A5" w:rsidRPr="00CF18A5">
        <w:t>$25,000 to &lt; $35,000</w:t>
      </w:r>
      <w:r w:rsidR="00CF18A5">
        <w:t xml:space="preserve"> </w:t>
      </w:r>
      <w:r w:rsidRPr="007E61A0">
        <w:t xml:space="preserve">to </w:t>
      </w:r>
      <w:r w:rsidR="00CF18A5" w:rsidRPr="00CF18A5">
        <w:t>$15,000 to &lt; $25,000</w:t>
      </w:r>
      <w:r w:rsidR="00CF18A5">
        <w:t xml:space="preserve"> </w:t>
      </w:r>
      <w:r w:rsidRPr="007E61A0">
        <w:t>per QALY gained.</w:t>
      </w:r>
    </w:p>
    <w:p w14:paraId="45A3B7B5" w14:textId="6D898DCD" w:rsidR="00DA10BD" w:rsidRPr="00CF18A5" w:rsidRDefault="00DA10BD" w:rsidP="00CF18A5">
      <w:pPr>
        <w:pStyle w:val="3-BodyText"/>
        <w:rPr>
          <w:color w:val="000000" w:themeColor="text1"/>
        </w:rPr>
      </w:pPr>
      <w:bookmarkStart w:id="59" w:name="_Ref116633480"/>
      <w:r w:rsidRPr="007E61A0">
        <w:rPr>
          <w:color w:val="000000" w:themeColor="text1"/>
        </w:rPr>
        <w:t>The cost-effectiveness of deucravacitinib was very sensitive to the choice of utilities. In the base case, the submission used utilities from Zug (1995)</w:t>
      </w:r>
      <w:r w:rsidR="00423B87" w:rsidRPr="007E61A0">
        <w:rPr>
          <w:color w:val="000000" w:themeColor="text1"/>
        </w:rPr>
        <w:t xml:space="preserve"> </w:t>
      </w:r>
      <w:r w:rsidR="00423B87" w:rsidRPr="007E61A0">
        <w:rPr>
          <w:rFonts w:cstheme="minorHAnsi"/>
          <w:color w:val="000000" w:themeColor="text1"/>
        </w:rPr>
        <w:t>(</w:t>
      </w:r>
      <w:r w:rsidR="00423B87" w:rsidRPr="007E61A0">
        <w:rPr>
          <w:rFonts w:cstheme="minorHAnsi"/>
          <w:color w:val="000000" w:themeColor="text1"/>
        </w:rPr>
        <w:fldChar w:fldCharType="begin" w:fldLock="1"/>
      </w:r>
      <w:r w:rsidR="00423B87" w:rsidRPr="007E61A0">
        <w:rPr>
          <w:rFonts w:cstheme="minorHAnsi"/>
          <w:color w:val="000000" w:themeColor="text1"/>
        </w:rPr>
        <w:instrText xml:space="preserve"> REF _Ref112964256 \h  \* MERGEFORMAT </w:instrText>
      </w:r>
      <w:r w:rsidR="00423B87" w:rsidRPr="007E61A0">
        <w:rPr>
          <w:rFonts w:cstheme="minorHAnsi"/>
          <w:color w:val="000000" w:themeColor="text1"/>
        </w:rPr>
      </w:r>
      <w:r w:rsidR="00423B87" w:rsidRPr="007E61A0">
        <w:rPr>
          <w:rFonts w:cstheme="minorHAnsi"/>
          <w:color w:val="000000" w:themeColor="text1"/>
        </w:rPr>
        <w:fldChar w:fldCharType="separate"/>
      </w:r>
      <w:r w:rsidR="00EC7993" w:rsidRPr="00EC7993">
        <w:rPr>
          <w:rStyle w:val="CommentReference"/>
          <w:rFonts w:asciiTheme="minorHAnsi" w:hAnsiTheme="minorHAnsi" w:cstheme="minorHAnsi"/>
          <w:b w:val="0"/>
          <w:bCs/>
          <w:sz w:val="24"/>
          <w:szCs w:val="24"/>
        </w:rPr>
        <w:t>Table 13</w:t>
      </w:r>
      <w:r w:rsidR="00423B87" w:rsidRPr="007E61A0">
        <w:rPr>
          <w:rFonts w:cstheme="minorHAnsi"/>
          <w:color w:val="000000" w:themeColor="text1"/>
        </w:rPr>
        <w:fldChar w:fldCharType="end"/>
      </w:r>
      <w:r w:rsidR="00423B87" w:rsidRPr="007E61A0">
        <w:rPr>
          <w:rFonts w:cstheme="minorHAnsi"/>
          <w:color w:val="000000" w:themeColor="text1"/>
        </w:rPr>
        <w:t>)</w:t>
      </w:r>
      <w:r w:rsidRPr="007E61A0">
        <w:rPr>
          <w:rFonts w:cstheme="minorHAnsi"/>
          <w:color w:val="000000" w:themeColor="text1"/>
        </w:rPr>
        <w:t>,</w:t>
      </w:r>
      <w:r w:rsidRPr="007E61A0">
        <w:rPr>
          <w:color w:val="000000" w:themeColor="text1"/>
        </w:rPr>
        <w:t xml:space="preserve"> citing the PBAC’s prior acceptance of this source and considerations in the cost-effectiveness review of biologics for the treatment of chronic plaque psoriasis considered at the July 2020 PBAC Meeting. However, EQ-5D data were collected in the POETYK trials. The PBAC Guidelines (p77) state a preference for trial-based utilities when there no significant concerns about the reliability and relevance of the utilities. </w:t>
      </w:r>
      <w:r w:rsidRPr="007E61A0">
        <w:t>The PBAC Guidelines (p77) state “Where utility weights or QALY changes cannot be directly estimated from data collected in the clinical studies from Section 2, or there are significant concerns about the reliability</w:t>
      </w:r>
      <w:r w:rsidR="00364FAE" w:rsidRPr="007E61A0">
        <w:t xml:space="preserve"> </w:t>
      </w:r>
      <w:r w:rsidRPr="007E61A0">
        <w:t xml:space="preserve">and relevance of trial-based utility”, then “additional studies (either published or done for the submission) may be needed to estimate utility weights for health states in the economic model.” </w:t>
      </w:r>
      <w:r w:rsidR="00492C2C" w:rsidRPr="007E61A0">
        <w:t xml:space="preserve">The </w:t>
      </w:r>
      <w:r w:rsidR="00394006" w:rsidRPr="007E61A0">
        <w:t xml:space="preserve">evaluation </w:t>
      </w:r>
      <w:r w:rsidR="00492C2C" w:rsidRPr="007E61A0">
        <w:t>considered that, o</w:t>
      </w:r>
      <w:r w:rsidRPr="007E61A0">
        <w:t xml:space="preserve">n balance, the EQ-5D data from the POETYK trials </w:t>
      </w:r>
      <w:r w:rsidR="00394006" w:rsidRPr="007E61A0">
        <w:t xml:space="preserve">may be </w:t>
      </w:r>
      <w:r w:rsidRPr="007E61A0">
        <w:t xml:space="preserve">a more appropriate source of utilities. </w:t>
      </w:r>
      <w:r w:rsidRPr="007E61A0">
        <w:rPr>
          <w:color w:val="000000" w:themeColor="text1"/>
        </w:rPr>
        <w:t xml:space="preserve">When these utilities were used, the ICER </w:t>
      </w:r>
      <w:r w:rsidR="004962EF" w:rsidRPr="007E61A0">
        <w:rPr>
          <w:color w:val="000000" w:themeColor="text1"/>
        </w:rPr>
        <w:t>(</w:t>
      </w:r>
      <w:r w:rsidRPr="007E61A0">
        <w:rPr>
          <w:color w:val="000000" w:themeColor="text1"/>
        </w:rPr>
        <w:t>based on the published price</w:t>
      </w:r>
      <w:r w:rsidR="008B1F3A" w:rsidRPr="007E61A0">
        <w:rPr>
          <w:color w:val="000000" w:themeColor="text1"/>
        </w:rPr>
        <w:t>s</w:t>
      </w:r>
      <w:r w:rsidRPr="007E61A0">
        <w:rPr>
          <w:color w:val="000000" w:themeColor="text1"/>
        </w:rPr>
        <w:t xml:space="preserve"> of apremilast </w:t>
      </w:r>
      <w:r w:rsidR="004962EF" w:rsidRPr="007E61A0">
        <w:rPr>
          <w:color w:val="000000" w:themeColor="text1"/>
        </w:rPr>
        <w:t xml:space="preserve">and adalimumab) </w:t>
      </w:r>
      <w:r w:rsidRPr="007E61A0">
        <w:rPr>
          <w:color w:val="000000" w:themeColor="text1"/>
        </w:rPr>
        <w:t>increase</w:t>
      </w:r>
      <w:r w:rsidR="001B18CB" w:rsidRPr="007E61A0">
        <w:rPr>
          <w:color w:val="000000" w:themeColor="text1"/>
        </w:rPr>
        <w:t>d</w:t>
      </w:r>
      <w:r w:rsidRPr="007E61A0">
        <w:rPr>
          <w:color w:val="000000" w:themeColor="text1"/>
        </w:rPr>
        <w:t xml:space="preserve"> substantially, from </w:t>
      </w:r>
      <w:r w:rsidR="00CF18A5" w:rsidRPr="00CF18A5">
        <w:t>$25,000 to &lt; $35,000</w:t>
      </w:r>
      <w:r w:rsidR="00CF18A5">
        <w:t xml:space="preserve"> </w:t>
      </w:r>
      <w:r w:rsidRPr="007E61A0">
        <w:rPr>
          <w:color w:val="000000" w:themeColor="text1"/>
        </w:rPr>
        <w:t xml:space="preserve">to </w:t>
      </w:r>
      <w:r w:rsidR="00CF18A5" w:rsidRPr="00CF18A5">
        <w:rPr>
          <w:color w:val="000000" w:themeColor="text1"/>
        </w:rPr>
        <w:t>$155,000 to &lt; $255,000</w:t>
      </w:r>
      <w:r w:rsidR="00CF18A5">
        <w:rPr>
          <w:color w:val="000000" w:themeColor="text1"/>
        </w:rPr>
        <w:t xml:space="preserve"> </w:t>
      </w:r>
      <w:r w:rsidRPr="00CF18A5">
        <w:rPr>
          <w:color w:val="000000" w:themeColor="text1"/>
        </w:rPr>
        <w:t>per additional QALY gained.</w:t>
      </w:r>
      <w:bookmarkEnd w:id="59"/>
      <w:r w:rsidRPr="007E61A0">
        <w:t xml:space="preserve">  </w:t>
      </w:r>
    </w:p>
    <w:p w14:paraId="7B9D34E1" w14:textId="57E5C81D" w:rsidR="00423B87" w:rsidRPr="007E61A0" w:rsidRDefault="00423B87" w:rsidP="00423B87">
      <w:pPr>
        <w:pStyle w:val="Caption"/>
        <w:rPr>
          <w:rStyle w:val="CommentReference"/>
          <w:b/>
          <w:bCs w:val="0"/>
        </w:rPr>
      </w:pPr>
      <w:bookmarkStart w:id="60" w:name="_Ref112964256"/>
      <w:bookmarkStart w:id="61" w:name="_Hlk112963221"/>
      <w:r w:rsidRPr="007E61A0">
        <w:rPr>
          <w:rStyle w:val="CommentReference"/>
          <w:b/>
          <w:bCs w:val="0"/>
        </w:rPr>
        <w:lastRenderedPageBreak/>
        <w:t xml:space="preserve">Table </w:t>
      </w:r>
      <w:r w:rsidRPr="007E61A0">
        <w:rPr>
          <w:rStyle w:val="CommentReference"/>
          <w:b/>
          <w:bCs w:val="0"/>
        </w:rPr>
        <w:fldChar w:fldCharType="begin" w:fldLock="1"/>
      </w:r>
      <w:r w:rsidRPr="007E61A0">
        <w:rPr>
          <w:rStyle w:val="CommentReference"/>
          <w:b/>
          <w:bCs w:val="0"/>
        </w:rPr>
        <w:instrText xml:space="preserve"> SEQ Table \* ARABIC </w:instrText>
      </w:r>
      <w:r w:rsidRPr="007E61A0">
        <w:rPr>
          <w:rStyle w:val="CommentReference"/>
          <w:b/>
          <w:bCs w:val="0"/>
        </w:rPr>
        <w:fldChar w:fldCharType="separate"/>
      </w:r>
      <w:r w:rsidR="00EC7993">
        <w:rPr>
          <w:rStyle w:val="CommentReference"/>
          <w:b/>
          <w:bCs w:val="0"/>
          <w:noProof/>
        </w:rPr>
        <w:t>13</w:t>
      </w:r>
      <w:r w:rsidRPr="007E61A0">
        <w:rPr>
          <w:rStyle w:val="CommentReference"/>
          <w:b/>
          <w:bCs w:val="0"/>
        </w:rPr>
        <w:fldChar w:fldCharType="end"/>
      </w:r>
      <w:bookmarkEnd w:id="60"/>
      <w:r w:rsidRPr="007E61A0">
        <w:rPr>
          <w:rStyle w:val="CommentReference"/>
          <w:b/>
          <w:bCs w:val="0"/>
        </w:rPr>
        <w:t>: Utility value data sources available in the economic model in the submission</w:t>
      </w:r>
    </w:p>
    <w:tbl>
      <w:tblPr>
        <w:tblStyle w:val="TableGrid"/>
        <w:tblW w:w="0" w:type="auto"/>
        <w:tblLook w:val="04A0" w:firstRow="1" w:lastRow="0" w:firstColumn="1" w:lastColumn="0" w:noHBand="0" w:noVBand="1"/>
      </w:tblPr>
      <w:tblGrid>
        <w:gridCol w:w="3681"/>
        <w:gridCol w:w="992"/>
        <w:gridCol w:w="1134"/>
        <w:gridCol w:w="1134"/>
        <w:gridCol w:w="1135"/>
        <w:gridCol w:w="941"/>
      </w:tblGrid>
      <w:tr w:rsidR="00423B87" w:rsidRPr="007E61A0" w14:paraId="5BA8AE6D" w14:textId="77777777" w:rsidTr="00734BE8">
        <w:trPr>
          <w:trHeight w:val="192"/>
          <w:tblHeader/>
        </w:trPr>
        <w:tc>
          <w:tcPr>
            <w:tcW w:w="3681" w:type="dxa"/>
            <w:tcBorders>
              <w:bottom w:val="single" w:sz="4" w:space="0" w:color="auto"/>
            </w:tcBorders>
            <w:noWrap/>
            <w:vAlign w:val="center"/>
            <w:hideMark/>
          </w:tcPr>
          <w:p w14:paraId="5902877C" w14:textId="77777777" w:rsidR="00423B87" w:rsidRPr="007E61A0" w:rsidRDefault="00423B87" w:rsidP="00162966">
            <w:pPr>
              <w:jc w:val="left"/>
              <w:rPr>
                <w:rFonts w:ascii="Arial Narrow" w:hAnsi="Arial Narrow"/>
                <w:b/>
                <w:bCs/>
                <w:sz w:val="20"/>
                <w:szCs w:val="20"/>
              </w:rPr>
            </w:pPr>
          </w:p>
        </w:tc>
        <w:tc>
          <w:tcPr>
            <w:tcW w:w="992" w:type="dxa"/>
            <w:tcBorders>
              <w:bottom w:val="single" w:sz="4" w:space="0" w:color="auto"/>
            </w:tcBorders>
            <w:noWrap/>
            <w:vAlign w:val="center"/>
            <w:hideMark/>
          </w:tcPr>
          <w:p w14:paraId="511481AD" w14:textId="77777777" w:rsidR="00423B87" w:rsidRPr="007E61A0" w:rsidRDefault="00423B87" w:rsidP="00162966">
            <w:pPr>
              <w:jc w:val="center"/>
              <w:rPr>
                <w:rFonts w:ascii="Arial Narrow" w:hAnsi="Arial Narrow"/>
                <w:b/>
                <w:bCs/>
                <w:sz w:val="20"/>
                <w:szCs w:val="20"/>
              </w:rPr>
            </w:pPr>
            <w:r w:rsidRPr="007E61A0">
              <w:rPr>
                <w:rFonts w:ascii="Arial Narrow" w:hAnsi="Arial Narrow"/>
                <w:b/>
                <w:bCs/>
                <w:sz w:val="20"/>
                <w:szCs w:val="20"/>
              </w:rPr>
              <w:t>PASI &lt;50</w:t>
            </w:r>
          </w:p>
        </w:tc>
        <w:tc>
          <w:tcPr>
            <w:tcW w:w="1134" w:type="dxa"/>
            <w:tcBorders>
              <w:bottom w:val="single" w:sz="4" w:space="0" w:color="auto"/>
            </w:tcBorders>
            <w:noWrap/>
            <w:vAlign w:val="center"/>
            <w:hideMark/>
          </w:tcPr>
          <w:p w14:paraId="1ABFBDB0" w14:textId="77777777" w:rsidR="00423B87" w:rsidRPr="007E61A0" w:rsidRDefault="00423B87" w:rsidP="00162966">
            <w:pPr>
              <w:jc w:val="center"/>
              <w:rPr>
                <w:rFonts w:ascii="Arial Narrow" w:hAnsi="Arial Narrow"/>
                <w:b/>
                <w:bCs/>
                <w:sz w:val="20"/>
                <w:szCs w:val="20"/>
              </w:rPr>
            </w:pPr>
            <w:r w:rsidRPr="007E61A0">
              <w:rPr>
                <w:rFonts w:ascii="Arial Narrow" w:hAnsi="Arial Narrow"/>
                <w:b/>
                <w:bCs/>
                <w:sz w:val="20"/>
                <w:szCs w:val="20"/>
              </w:rPr>
              <w:t>PASI 50 to &lt;75</w:t>
            </w:r>
          </w:p>
        </w:tc>
        <w:tc>
          <w:tcPr>
            <w:tcW w:w="1134" w:type="dxa"/>
            <w:tcBorders>
              <w:bottom w:val="single" w:sz="4" w:space="0" w:color="auto"/>
            </w:tcBorders>
            <w:noWrap/>
            <w:vAlign w:val="center"/>
            <w:hideMark/>
          </w:tcPr>
          <w:p w14:paraId="48DCDBBC" w14:textId="77777777" w:rsidR="00423B87" w:rsidRPr="007E61A0" w:rsidRDefault="00423B87" w:rsidP="00162966">
            <w:pPr>
              <w:jc w:val="center"/>
              <w:rPr>
                <w:rFonts w:ascii="Arial Narrow" w:hAnsi="Arial Narrow"/>
                <w:b/>
                <w:bCs/>
                <w:sz w:val="20"/>
                <w:szCs w:val="20"/>
              </w:rPr>
            </w:pPr>
            <w:r w:rsidRPr="007E61A0">
              <w:rPr>
                <w:rFonts w:ascii="Arial Narrow" w:hAnsi="Arial Narrow"/>
                <w:b/>
                <w:bCs/>
                <w:sz w:val="20"/>
                <w:szCs w:val="20"/>
              </w:rPr>
              <w:t>PASI 75 to &lt;90</w:t>
            </w:r>
          </w:p>
        </w:tc>
        <w:tc>
          <w:tcPr>
            <w:tcW w:w="1135" w:type="dxa"/>
            <w:tcBorders>
              <w:bottom w:val="single" w:sz="4" w:space="0" w:color="auto"/>
            </w:tcBorders>
            <w:noWrap/>
            <w:vAlign w:val="center"/>
            <w:hideMark/>
          </w:tcPr>
          <w:p w14:paraId="5BE68A1F" w14:textId="77777777" w:rsidR="00423B87" w:rsidRPr="007E61A0" w:rsidRDefault="00423B87" w:rsidP="00162966">
            <w:pPr>
              <w:jc w:val="center"/>
              <w:rPr>
                <w:rFonts w:ascii="Arial Narrow" w:hAnsi="Arial Narrow"/>
                <w:b/>
                <w:bCs/>
                <w:sz w:val="20"/>
                <w:szCs w:val="20"/>
              </w:rPr>
            </w:pPr>
            <w:r w:rsidRPr="007E61A0">
              <w:rPr>
                <w:rFonts w:ascii="Arial Narrow" w:hAnsi="Arial Narrow"/>
                <w:b/>
                <w:bCs/>
                <w:sz w:val="20"/>
                <w:szCs w:val="20"/>
              </w:rPr>
              <w:t>PASI 90 to &lt;100</w:t>
            </w:r>
          </w:p>
        </w:tc>
        <w:tc>
          <w:tcPr>
            <w:tcW w:w="941" w:type="dxa"/>
            <w:tcBorders>
              <w:bottom w:val="single" w:sz="4" w:space="0" w:color="auto"/>
            </w:tcBorders>
            <w:noWrap/>
            <w:vAlign w:val="center"/>
            <w:hideMark/>
          </w:tcPr>
          <w:p w14:paraId="364DA466" w14:textId="77777777" w:rsidR="00423B87" w:rsidRPr="007E61A0" w:rsidRDefault="00423B87" w:rsidP="00162966">
            <w:pPr>
              <w:jc w:val="center"/>
              <w:rPr>
                <w:rFonts w:ascii="Arial Narrow" w:hAnsi="Arial Narrow"/>
                <w:b/>
                <w:bCs/>
                <w:sz w:val="20"/>
                <w:szCs w:val="20"/>
              </w:rPr>
            </w:pPr>
            <w:r w:rsidRPr="007E61A0">
              <w:rPr>
                <w:rFonts w:ascii="Arial Narrow" w:hAnsi="Arial Narrow"/>
                <w:b/>
                <w:bCs/>
                <w:sz w:val="20"/>
                <w:szCs w:val="20"/>
              </w:rPr>
              <w:t>PASI 100</w:t>
            </w:r>
          </w:p>
        </w:tc>
      </w:tr>
      <w:tr w:rsidR="007008C5" w:rsidRPr="007E61A0" w14:paraId="1701A76E" w14:textId="77777777" w:rsidTr="00734BE8">
        <w:trPr>
          <w:trHeight w:val="64"/>
        </w:trPr>
        <w:tc>
          <w:tcPr>
            <w:tcW w:w="3681" w:type="dxa"/>
            <w:tcBorders>
              <w:right w:val="nil"/>
            </w:tcBorders>
            <w:vAlign w:val="center"/>
          </w:tcPr>
          <w:p w14:paraId="67DC01ED" w14:textId="7D36E15E" w:rsidR="000952A1" w:rsidRPr="007E61A0" w:rsidRDefault="000952A1" w:rsidP="009672EA">
            <w:pPr>
              <w:jc w:val="left"/>
              <w:rPr>
                <w:rFonts w:ascii="Arial Narrow" w:hAnsi="Arial Narrow"/>
                <w:sz w:val="20"/>
                <w:szCs w:val="20"/>
              </w:rPr>
            </w:pPr>
            <w:r w:rsidRPr="007E61A0">
              <w:rPr>
                <w:rFonts w:ascii="Arial Narrow" w:hAnsi="Arial Narrow"/>
                <w:sz w:val="20"/>
                <w:szCs w:val="20"/>
              </w:rPr>
              <w:t>Base case</w:t>
            </w:r>
          </w:p>
        </w:tc>
        <w:tc>
          <w:tcPr>
            <w:tcW w:w="992" w:type="dxa"/>
            <w:tcBorders>
              <w:left w:val="nil"/>
              <w:right w:val="nil"/>
            </w:tcBorders>
            <w:noWrap/>
            <w:vAlign w:val="center"/>
          </w:tcPr>
          <w:p w14:paraId="7E42CDF7" w14:textId="77777777" w:rsidR="000952A1" w:rsidRPr="007E61A0" w:rsidRDefault="000952A1" w:rsidP="009672EA">
            <w:pPr>
              <w:jc w:val="center"/>
              <w:rPr>
                <w:rFonts w:ascii="Arial Narrow" w:hAnsi="Arial Narrow"/>
                <w:sz w:val="20"/>
                <w:szCs w:val="20"/>
              </w:rPr>
            </w:pPr>
          </w:p>
        </w:tc>
        <w:tc>
          <w:tcPr>
            <w:tcW w:w="1134" w:type="dxa"/>
            <w:tcBorders>
              <w:left w:val="nil"/>
              <w:right w:val="nil"/>
            </w:tcBorders>
            <w:noWrap/>
            <w:vAlign w:val="center"/>
          </w:tcPr>
          <w:p w14:paraId="63E47A02" w14:textId="77777777" w:rsidR="000952A1" w:rsidRPr="007E61A0" w:rsidRDefault="000952A1" w:rsidP="009672EA">
            <w:pPr>
              <w:jc w:val="center"/>
              <w:rPr>
                <w:rFonts w:ascii="Arial Narrow" w:hAnsi="Arial Narrow"/>
                <w:sz w:val="20"/>
                <w:szCs w:val="20"/>
              </w:rPr>
            </w:pPr>
          </w:p>
        </w:tc>
        <w:tc>
          <w:tcPr>
            <w:tcW w:w="1134" w:type="dxa"/>
            <w:tcBorders>
              <w:left w:val="nil"/>
              <w:right w:val="nil"/>
            </w:tcBorders>
            <w:noWrap/>
            <w:vAlign w:val="center"/>
          </w:tcPr>
          <w:p w14:paraId="4F29938A" w14:textId="77777777" w:rsidR="000952A1" w:rsidRPr="007E61A0" w:rsidRDefault="000952A1" w:rsidP="009672EA">
            <w:pPr>
              <w:jc w:val="center"/>
              <w:rPr>
                <w:rFonts w:ascii="Arial Narrow" w:hAnsi="Arial Narrow"/>
                <w:sz w:val="20"/>
                <w:szCs w:val="20"/>
              </w:rPr>
            </w:pPr>
          </w:p>
        </w:tc>
        <w:tc>
          <w:tcPr>
            <w:tcW w:w="1135" w:type="dxa"/>
            <w:tcBorders>
              <w:left w:val="nil"/>
              <w:right w:val="nil"/>
            </w:tcBorders>
            <w:noWrap/>
            <w:vAlign w:val="center"/>
          </w:tcPr>
          <w:p w14:paraId="090DF5CB" w14:textId="77777777" w:rsidR="000952A1" w:rsidRPr="007E61A0" w:rsidRDefault="000952A1" w:rsidP="009672EA">
            <w:pPr>
              <w:jc w:val="center"/>
              <w:rPr>
                <w:rFonts w:ascii="Arial Narrow" w:hAnsi="Arial Narrow"/>
                <w:sz w:val="20"/>
                <w:szCs w:val="20"/>
              </w:rPr>
            </w:pPr>
          </w:p>
        </w:tc>
        <w:tc>
          <w:tcPr>
            <w:tcW w:w="941" w:type="dxa"/>
            <w:tcBorders>
              <w:left w:val="nil"/>
            </w:tcBorders>
            <w:noWrap/>
            <w:vAlign w:val="center"/>
          </w:tcPr>
          <w:p w14:paraId="779B2C5B" w14:textId="77777777" w:rsidR="000952A1" w:rsidRPr="007E61A0" w:rsidRDefault="000952A1" w:rsidP="009672EA">
            <w:pPr>
              <w:jc w:val="center"/>
              <w:rPr>
                <w:rFonts w:ascii="Arial Narrow" w:hAnsi="Arial Narrow"/>
                <w:sz w:val="20"/>
                <w:szCs w:val="20"/>
              </w:rPr>
            </w:pPr>
          </w:p>
        </w:tc>
      </w:tr>
      <w:tr w:rsidR="007008C5" w:rsidRPr="007E61A0" w14:paraId="5425BDAA" w14:textId="77777777" w:rsidTr="00734BE8">
        <w:trPr>
          <w:trHeight w:val="64"/>
        </w:trPr>
        <w:tc>
          <w:tcPr>
            <w:tcW w:w="3681" w:type="dxa"/>
            <w:tcBorders>
              <w:bottom w:val="single" w:sz="4" w:space="0" w:color="auto"/>
            </w:tcBorders>
            <w:vAlign w:val="center"/>
            <w:hideMark/>
          </w:tcPr>
          <w:p w14:paraId="1F4DEDE2" w14:textId="098C9468" w:rsidR="007008C5" w:rsidRPr="007E61A0" w:rsidRDefault="007008C5" w:rsidP="007008C5">
            <w:pPr>
              <w:jc w:val="left"/>
              <w:rPr>
                <w:rFonts w:ascii="Arial Narrow" w:hAnsi="Arial Narrow"/>
                <w:sz w:val="20"/>
                <w:szCs w:val="20"/>
              </w:rPr>
            </w:pPr>
            <w:r w:rsidRPr="007E61A0">
              <w:rPr>
                <w:rFonts w:ascii="Arial Narrow" w:hAnsi="Arial Narrow"/>
                <w:sz w:val="20"/>
                <w:szCs w:val="20"/>
              </w:rPr>
              <w:t xml:space="preserve">Zug 1995 (severe, PASI score &gt;15) </w:t>
            </w:r>
          </w:p>
        </w:tc>
        <w:tc>
          <w:tcPr>
            <w:tcW w:w="992" w:type="dxa"/>
            <w:tcBorders>
              <w:bottom w:val="single" w:sz="4" w:space="0" w:color="auto"/>
            </w:tcBorders>
            <w:noWrap/>
            <w:vAlign w:val="center"/>
            <w:hideMark/>
          </w:tcPr>
          <w:p w14:paraId="0BABC628"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0.590</w:t>
            </w:r>
          </w:p>
        </w:tc>
        <w:tc>
          <w:tcPr>
            <w:tcW w:w="1134" w:type="dxa"/>
            <w:tcBorders>
              <w:bottom w:val="single" w:sz="4" w:space="0" w:color="auto"/>
            </w:tcBorders>
            <w:noWrap/>
            <w:vAlign w:val="center"/>
            <w:hideMark/>
          </w:tcPr>
          <w:p w14:paraId="57DD91D8"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0.590</w:t>
            </w:r>
          </w:p>
        </w:tc>
        <w:tc>
          <w:tcPr>
            <w:tcW w:w="1134" w:type="dxa"/>
            <w:tcBorders>
              <w:bottom w:val="single" w:sz="4" w:space="0" w:color="auto"/>
            </w:tcBorders>
            <w:noWrap/>
            <w:vAlign w:val="center"/>
            <w:hideMark/>
          </w:tcPr>
          <w:p w14:paraId="6A30F6D7"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0.890</w:t>
            </w:r>
          </w:p>
        </w:tc>
        <w:tc>
          <w:tcPr>
            <w:tcW w:w="1135" w:type="dxa"/>
            <w:tcBorders>
              <w:bottom w:val="single" w:sz="4" w:space="0" w:color="auto"/>
            </w:tcBorders>
            <w:noWrap/>
            <w:vAlign w:val="center"/>
            <w:hideMark/>
          </w:tcPr>
          <w:p w14:paraId="737A7B1B"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0.890</w:t>
            </w:r>
          </w:p>
        </w:tc>
        <w:tc>
          <w:tcPr>
            <w:tcW w:w="941" w:type="dxa"/>
            <w:tcBorders>
              <w:bottom w:val="single" w:sz="4" w:space="0" w:color="auto"/>
            </w:tcBorders>
            <w:noWrap/>
            <w:vAlign w:val="center"/>
            <w:hideMark/>
          </w:tcPr>
          <w:p w14:paraId="3CD1B551"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0.890</w:t>
            </w:r>
          </w:p>
        </w:tc>
      </w:tr>
      <w:tr w:rsidR="007008C5" w:rsidRPr="007E61A0" w14:paraId="4F573349" w14:textId="77777777" w:rsidTr="00734BE8">
        <w:trPr>
          <w:trHeight w:val="64"/>
        </w:trPr>
        <w:tc>
          <w:tcPr>
            <w:tcW w:w="3681" w:type="dxa"/>
            <w:tcBorders>
              <w:right w:val="nil"/>
            </w:tcBorders>
            <w:vAlign w:val="center"/>
          </w:tcPr>
          <w:p w14:paraId="39CA95FE" w14:textId="421AEB8B" w:rsidR="007008C5" w:rsidRPr="007E61A0" w:rsidRDefault="007008C5" w:rsidP="007008C5">
            <w:pPr>
              <w:jc w:val="left"/>
              <w:rPr>
                <w:rFonts w:ascii="Arial Narrow" w:hAnsi="Arial Narrow"/>
                <w:sz w:val="20"/>
                <w:szCs w:val="20"/>
              </w:rPr>
            </w:pPr>
            <w:r w:rsidRPr="007E61A0">
              <w:rPr>
                <w:rFonts w:ascii="Arial Narrow" w:hAnsi="Arial Narrow"/>
                <w:sz w:val="20"/>
                <w:szCs w:val="20"/>
              </w:rPr>
              <w:t>Other sources</w:t>
            </w:r>
          </w:p>
        </w:tc>
        <w:tc>
          <w:tcPr>
            <w:tcW w:w="992" w:type="dxa"/>
            <w:tcBorders>
              <w:left w:val="nil"/>
              <w:right w:val="nil"/>
            </w:tcBorders>
            <w:noWrap/>
            <w:vAlign w:val="center"/>
          </w:tcPr>
          <w:p w14:paraId="2BE911EF" w14:textId="77777777" w:rsidR="007008C5" w:rsidRPr="007E61A0" w:rsidRDefault="007008C5" w:rsidP="007008C5">
            <w:pPr>
              <w:jc w:val="center"/>
              <w:rPr>
                <w:rFonts w:ascii="Arial Narrow" w:hAnsi="Arial Narrow"/>
                <w:sz w:val="20"/>
                <w:szCs w:val="20"/>
              </w:rPr>
            </w:pPr>
          </w:p>
        </w:tc>
        <w:tc>
          <w:tcPr>
            <w:tcW w:w="1134" w:type="dxa"/>
            <w:tcBorders>
              <w:left w:val="nil"/>
              <w:right w:val="nil"/>
            </w:tcBorders>
            <w:noWrap/>
            <w:vAlign w:val="center"/>
          </w:tcPr>
          <w:p w14:paraId="2761BD71" w14:textId="77777777" w:rsidR="007008C5" w:rsidRPr="007E61A0" w:rsidRDefault="007008C5" w:rsidP="007008C5">
            <w:pPr>
              <w:jc w:val="center"/>
              <w:rPr>
                <w:rFonts w:ascii="Arial Narrow" w:hAnsi="Arial Narrow"/>
                <w:sz w:val="20"/>
                <w:szCs w:val="20"/>
              </w:rPr>
            </w:pPr>
          </w:p>
        </w:tc>
        <w:tc>
          <w:tcPr>
            <w:tcW w:w="1134" w:type="dxa"/>
            <w:tcBorders>
              <w:left w:val="nil"/>
              <w:right w:val="nil"/>
            </w:tcBorders>
            <w:noWrap/>
            <w:vAlign w:val="center"/>
          </w:tcPr>
          <w:p w14:paraId="6BAD53B1" w14:textId="77777777" w:rsidR="007008C5" w:rsidRPr="007E61A0" w:rsidRDefault="007008C5" w:rsidP="007008C5">
            <w:pPr>
              <w:jc w:val="center"/>
              <w:rPr>
                <w:rFonts w:ascii="Arial Narrow" w:hAnsi="Arial Narrow"/>
                <w:sz w:val="20"/>
                <w:szCs w:val="20"/>
              </w:rPr>
            </w:pPr>
          </w:p>
        </w:tc>
        <w:tc>
          <w:tcPr>
            <w:tcW w:w="1135" w:type="dxa"/>
            <w:tcBorders>
              <w:left w:val="nil"/>
              <w:right w:val="nil"/>
            </w:tcBorders>
            <w:noWrap/>
            <w:vAlign w:val="center"/>
          </w:tcPr>
          <w:p w14:paraId="73709D9E" w14:textId="77777777" w:rsidR="007008C5" w:rsidRPr="007E61A0" w:rsidRDefault="007008C5" w:rsidP="007008C5">
            <w:pPr>
              <w:jc w:val="center"/>
              <w:rPr>
                <w:rFonts w:ascii="Arial Narrow" w:hAnsi="Arial Narrow"/>
                <w:sz w:val="20"/>
                <w:szCs w:val="20"/>
              </w:rPr>
            </w:pPr>
          </w:p>
        </w:tc>
        <w:tc>
          <w:tcPr>
            <w:tcW w:w="941" w:type="dxa"/>
            <w:tcBorders>
              <w:left w:val="nil"/>
            </w:tcBorders>
            <w:noWrap/>
            <w:vAlign w:val="center"/>
          </w:tcPr>
          <w:p w14:paraId="425B9B07" w14:textId="77777777" w:rsidR="007008C5" w:rsidRPr="007E61A0" w:rsidRDefault="007008C5" w:rsidP="007008C5">
            <w:pPr>
              <w:jc w:val="center"/>
              <w:rPr>
                <w:rFonts w:ascii="Arial Narrow" w:hAnsi="Arial Narrow"/>
                <w:sz w:val="20"/>
                <w:szCs w:val="20"/>
              </w:rPr>
            </w:pPr>
          </w:p>
        </w:tc>
      </w:tr>
      <w:tr w:rsidR="007008C5" w:rsidRPr="007E61A0" w14:paraId="72D9E298" w14:textId="77777777" w:rsidTr="00734BE8">
        <w:trPr>
          <w:trHeight w:val="64"/>
        </w:trPr>
        <w:tc>
          <w:tcPr>
            <w:tcW w:w="3681" w:type="dxa"/>
            <w:tcBorders>
              <w:bottom w:val="single" w:sz="4" w:space="0" w:color="auto"/>
            </w:tcBorders>
            <w:vAlign w:val="center"/>
            <w:hideMark/>
          </w:tcPr>
          <w:p w14:paraId="5F5745E5" w14:textId="4DDFA324" w:rsidR="007008C5" w:rsidRPr="007E61A0" w:rsidRDefault="007008C5" w:rsidP="007008C5">
            <w:pPr>
              <w:jc w:val="left"/>
              <w:rPr>
                <w:rFonts w:ascii="Arial Narrow" w:hAnsi="Arial Narrow"/>
                <w:sz w:val="20"/>
                <w:szCs w:val="20"/>
              </w:rPr>
            </w:pPr>
            <w:r w:rsidRPr="007E61A0">
              <w:rPr>
                <w:rFonts w:ascii="Arial Narrow" w:hAnsi="Arial Narrow"/>
                <w:sz w:val="20"/>
                <w:szCs w:val="20"/>
              </w:rPr>
              <w:t xml:space="preserve">Zug 1995 (moderate, PASI score ≥12 to ≤15) </w:t>
            </w:r>
          </w:p>
        </w:tc>
        <w:tc>
          <w:tcPr>
            <w:tcW w:w="992" w:type="dxa"/>
            <w:tcBorders>
              <w:bottom w:val="single" w:sz="4" w:space="0" w:color="auto"/>
            </w:tcBorders>
            <w:noWrap/>
            <w:vAlign w:val="center"/>
            <w:hideMark/>
          </w:tcPr>
          <w:p w14:paraId="32213BE2" w14:textId="040527A3" w:rsidR="007008C5" w:rsidRPr="007E61A0" w:rsidRDefault="007008C5" w:rsidP="007008C5">
            <w:pPr>
              <w:jc w:val="center"/>
              <w:rPr>
                <w:rFonts w:ascii="Arial Narrow" w:hAnsi="Arial Narrow"/>
                <w:sz w:val="20"/>
                <w:szCs w:val="20"/>
              </w:rPr>
            </w:pPr>
            <w:r w:rsidRPr="007E61A0">
              <w:rPr>
                <w:rFonts w:ascii="Arial Narrow" w:hAnsi="Arial Narrow"/>
                <w:sz w:val="20"/>
                <w:szCs w:val="20"/>
              </w:rPr>
              <w:t>0.790</w:t>
            </w:r>
          </w:p>
        </w:tc>
        <w:tc>
          <w:tcPr>
            <w:tcW w:w="1134" w:type="dxa"/>
            <w:tcBorders>
              <w:bottom w:val="single" w:sz="4" w:space="0" w:color="auto"/>
            </w:tcBorders>
            <w:noWrap/>
            <w:vAlign w:val="center"/>
            <w:hideMark/>
          </w:tcPr>
          <w:p w14:paraId="400310D6" w14:textId="075D6C72" w:rsidR="007008C5" w:rsidRPr="007E61A0" w:rsidRDefault="007008C5" w:rsidP="007008C5">
            <w:pPr>
              <w:jc w:val="center"/>
              <w:rPr>
                <w:rFonts w:ascii="Arial Narrow" w:hAnsi="Arial Narrow"/>
                <w:sz w:val="20"/>
                <w:szCs w:val="20"/>
              </w:rPr>
            </w:pPr>
            <w:r w:rsidRPr="007E61A0">
              <w:rPr>
                <w:rFonts w:ascii="Arial Narrow" w:hAnsi="Arial Narrow"/>
                <w:sz w:val="20"/>
                <w:szCs w:val="20"/>
              </w:rPr>
              <w:t>0.790</w:t>
            </w:r>
          </w:p>
        </w:tc>
        <w:tc>
          <w:tcPr>
            <w:tcW w:w="1134" w:type="dxa"/>
            <w:tcBorders>
              <w:bottom w:val="single" w:sz="4" w:space="0" w:color="auto"/>
            </w:tcBorders>
            <w:noWrap/>
            <w:vAlign w:val="center"/>
            <w:hideMark/>
          </w:tcPr>
          <w:p w14:paraId="50A9C360"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0.890</w:t>
            </w:r>
          </w:p>
        </w:tc>
        <w:tc>
          <w:tcPr>
            <w:tcW w:w="1135" w:type="dxa"/>
            <w:tcBorders>
              <w:bottom w:val="single" w:sz="4" w:space="0" w:color="auto"/>
            </w:tcBorders>
            <w:noWrap/>
            <w:vAlign w:val="center"/>
            <w:hideMark/>
          </w:tcPr>
          <w:p w14:paraId="1BB9075A"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0.890</w:t>
            </w:r>
          </w:p>
        </w:tc>
        <w:tc>
          <w:tcPr>
            <w:tcW w:w="941" w:type="dxa"/>
            <w:tcBorders>
              <w:bottom w:val="single" w:sz="4" w:space="0" w:color="auto"/>
            </w:tcBorders>
            <w:noWrap/>
            <w:vAlign w:val="center"/>
            <w:hideMark/>
          </w:tcPr>
          <w:p w14:paraId="245BDA7E"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0.890</w:t>
            </w:r>
          </w:p>
        </w:tc>
      </w:tr>
      <w:tr w:rsidR="007008C5" w:rsidRPr="007E61A0" w14:paraId="35616889" w14:textId="77777777" w:rsidTr="00734BE8">
        <w:trPr>
          <w:trHeight w:val="64"/>
        </w:trPr>
        <w:tc>
          <w:tcPr>
            <w:tcW w:w="3681" w:type="dxa"/>
            <w:tcBorders>
              <w:bottom w:val="single" w:sz="4" w:space="0" w:color="auto"/>
              <w:right w:val="nil"/>
            </w:tcBorders>
            <w:vAlign w:val="center"/>
          </w:tcPr>
          <w:p w14:paraId="4DC96D73" w14:textId="05FE57A8" w:rsidR="007008C5" w:rsidRPr="007E61A0" w:rsidRDefault="007008C5" w:rsidP="007008C5">
            <w:pPr>
              <w:jc w:val="left"/>
              <w:rPr>
                <w:rFonts w:ascii="Arial Narrow" w:hAnsi="Arial Narrow"/>
                <w:sz w:val="20"/>
                <w:szCs w:val="20"/>
                <w:vertAlign w:val="superscript"/>
              </w:rPr>
            </w:pPr>
            <w:r w:rsidRPr="007E61A0">
              <w:rPr>
                <w:rFonts w:ascii="Arial Narrow" w:hAnsi="Arial Narrow"/>
                <w:sz w:val="20"/>
                <w:szCs w:val="20"/>
              </w:rPr>
              <w:t xml:space="preserve">Pooled POETYK trial </w:t>
            </w:r>
            <w:proofErr w:type="spellStart"/>
            <w:r w:rsidRPr="007E61A0">
              <w:rPr>
                <w:rFonts w:ascii="Arial Narrow" w:hAnsi="Arial Narrow"/>
                <w:sz w:val="20"/>
                <w:szCs w:val="20"/>
              </w:rPr>
              <w:t>data</w:t>
            </w:r>
            <w:r w:rsidRPr="007E61A0">
              <w:rPr>
                <w:rFonts w:ascii="Arial Narrow" w:hAnsi="Arial Narrow"/>
                <w:sz w:val="20"/>
                <w:szCs w:val="20"/>
                <w:vertAlign w:val="superscript"/>
              </w:rPr>
              <w:t>a</w:t>
            </w:r>
            <w:proofErr w:type="spellEnd"/>
          </w:p>
        </w:tc>
        <w:tc>
          <w:tcPr>
            <w:tcW w:w="992" w:type="dxa"/>
            <w:tcBorders>
              <w:left w:val="nil"/>
              <w:bottom w:val="single" w:sz="4" w:space="0" w:color="auto"/>
              <w:right w:val="nil"/>
            </w:tcBorders>
            <w:noWrap/>
            <w:vAlign w:val="center"/>
          </w:tcPr>
          <w:p w14:paraId="4378A4CD" w14:textId="77777777" w:rsidR="007008C5" w:rsidRPr="007E61A0" w:rsidRDefault="007008C5" w:rsidP="007008C5">
            <w:pPr>
              <w:jc w:val="center"/>
              <w:rPr>
                <w:rFonts w:ascii="Arial Narrow" w:hAnsi="Arial Narrow"/>
                <w:sz w:val="20"/>
                <w:szCs w:val="20"/>
              </w:rPr>
            </w:pPr>
          </w:p>
        </w:tc>
        <w:tc>
          <w:tcPr>
            <w:tcW w:w="1134" w:type="dxa"/>
            <w:tcBorders>
              <w:left w:val="nil"/>
              <w:bottom w:val="single" w:sz="4" w:space="0" w:color="auto"/>
              <w:right w:val="nil"/>
            </w:tcBorders>
            <w:noWrap/>
            <w:vAlign w:val="center"/>
          </w:tcPr>
          <w:p w14:paraId="06572604" w14:textId="77777777" w:rsidR="007008C5" w:rsidRPr="007E61A0" w:rsidRDefault="007008C5" w:rsidP="007008C5">
            <w:pPr>
              <w:jc w:val="center"/>
              <w:rPr>
                <w:rFonts w:ascii="Arial Narrow" w:hAnsi="Arial Narrow"/>
                <w:sz w:val="20"/>
                <w:szCs w:val="20"/>
              </w:rPr>
            </w:pPr>
          </w:p>
        </w:tc>
        <w:tc>
          <w:tcPr>
            <w:tcW w:w="1134" w:type="dxa"/>
            <w:tcBorders>
              <w:left w:val="nil"/>
              <w:bottom w:val="single" w:sz="4" w:space="0" w:color="auto"/>
              <w:right w:val="nil"/>
            </w:tcBorders>
            <w:noWrap/>
            <w:vAlign w:val="center"/>
          </w:tcPr>
          <w:p w14:paraId="585A1D40" w14:textId="77777777" w:rsidR="007008C5" w:rsidRPr="007E61A0" w:rsidRDefault="007008C5" w:rsidP="007008C5">
            <w:pPr>
              <w:jc w:val="center"/>
              <w:rPr>
                <w:rFonts w:ascii="Arial Narrow" w:hAnsi="Arial Narrow"/>
                <w:sz w:val="20"/>
                <w:szCs w:val="20"/>
              </w:rPr>
            </w:pPr>
          </w:p>
        </w:tc>
        <w:tc>
          <w:tcPr>
            <w:tcW w:w="1135" w:type="dxa"/>
            <w:tcBorders>
              <w:left w:val="nil"/>
              <w:bottom w:val="single" w:sz="4" w:space="0" w:color="auto"/>
              <w:right w:val="nil"/>
            </w:tcBorders>
            <w:noWrap/>
            <w:vAlign w:val="center"/>
          </w:tcPr>
          <w:p w14:paraId="14210A20" w14:textId="77777777" w:rsidR="007008C5" w:rsidRPr="007E61A0" w:rsidRDefault="007008C5" w:rsidP="007008C5">
            <w:pPr>
              <w:jc w:val="center"/>
              <w:rPr>
                <w:rFonts w:ascii="Arial Narrow" w:hAnsi="Arial Narrow"/>
                <w:sz w:val="20"/>
                <w:szCs w:val="20"/>
              </w:rPr>
            </w:pPr>
          </w:p>
        </w:tc>
        <w:tc>
          <w:tcPr>
            <w:tcW w:w="941" w:type="dxa"/>
            <w:tcBorders>
              <w:left w:val="nil"/>
              <w:bottom w:val="single" w:sz="4" w:space="0" w:color="auto"/>
            </w:tcBorders>
            <w:noWrap/>
            <w:vAlign w:val="center"/>
          </w:tcPr>
          <w:p w14:paraId="528E3A5A" w14:textId="77777777" w:rsidR="007008C5" w:rsidRPr="007E61A0" w:rsidRDefault="007008C5" w:rsidP="007008C5">
            <w:pPr>
              <w:jc w:val="center"/>
              <w:rPr>
                <w:rFonts w:ascii="Arial Narrow" w:hAnsi="Arial Narrow"/>
                <w:sz w:val="20"/>
                <w:szCs w:val="20"/>
              </w:rPr>
            </w:pPr>
          </w:p>
        </w:tc>
      </w:tr>
      <w:tr w:rsidR="007008C5" w:rsidRPr="007E61A0" w14:paraId="495958A9" w14:textId="77777777" w:rsidTr="00734BE8">
        <w:trPr>
          <w:trHeight w:val="64"/>
        </w:trPr>
        <w:tc>
          <w:tcPr>
            <w:tcW w:w="3681" w:type="dxa"/>
            <w:tcBorders>
              <w:top w:val="single" w:sz="4" w:space="0" w:color="auto"/>
              <w:bottom w:val="nil"/>
            </w:tcBorders>
            <w:vAlign w:val="center"/>
            <w:hideMark/>
          </w:tcPr>
          <w:p w14:paraId="71386F79" w14:textId="436DFC7D" w:rsidR="007008C5" w:rsidRPr="007E61A0" w:rsidRDefault="007008C5" w:rsidP="007008C5">
            <w:pPr>
              <w:jc w:val="left"/>
              <w:rPr>
                <w:rFonts w:ascii="Arial Narrow" w:hAnsi="Arial Narrow"/>
                <w:sz w:val="20"/>
                <w:szCs w:val="20"/>
              </w:rPr>
            </w:pPr>
            <w:r w:rsidRPr="007E61A0">
              <w:rPr>
                <w:rFonts w:ascii="Arial Narrow" w:hAnsi="Arial Narrow"/>
                <w:sz w:val="20"/>
                <w:szCs w:val="20"/>
              </w:rPr>
              <w:t>Model 1</w:t>
            </w:r>
          </w:p>
        </w:tc>
        <w:tc>
          <w:tcPr>
            <w:tcW w:w="992" w:type="dxa"/>
            <w:tcBorders>
              <w:top w:val="single" w:sz="4" w:space="0" w:color="auto"/>
              <w:bottom w:val="nil"/>
            </w:tcBorders>
            <w:noWrap/>
            <w:vAlign w:val="center"/>
            <w:hideMark/>
          </w:tcPr>
          <w:p w14:paraId="1D197A08"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0.844</w:t>
            </w:r>
          </w:p>
        </w:tc>
        <w:tc>
          <w:tcPr>
            <w:tcW w:w="1134" w:type="dxa"/>
            <w:tcBorders>
              <w:top w:val="single" w:sz="4" w:space="0" w:color="auto"/>
              <w:bottom w:val="nil"/>
            </w:tcBorders>
            <w:noWrap/>
            <w:vAlign w:val="center"/>
            <w:hideMark/>
          </w:tcPr>
          <w:p w14:paraId="756B4F28"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0.882</w:t>
            </w:r>
          </w:p>
        </w:tc>
        <w:tc>
          <w:tcPr>
            <w:tcW w:w="1134" w:type="dxa"/>
            <w:tcBorders>
              <w:top w:val="single" w:sz="4" w:space="0" w:color="auto"/>
              <w:bottom w:val="nil"/>
            </w:tcBorders>
            <w:noWrap/>
            <w:vAlign w:val="center"/>
            <w:hideMark/>
          </w:tcPr>
          <w:p w14:paraId="30C8B1F6"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0.895</w:t>
            </w:r>
          </w:p>
        </w:tc>
        <w:tc>
          <w:tcPr>
            <w:tcW w:w="1135" w:type="dxa"/>
            <w:tcBorders>
              <w:top w:val="single" w:sz="4" w:space="0" w:color="auto"/>
              <w:bottom w:val="nil"/>
            </w:tcBorders>
            <w:noWrap/>
            <w:vAlign w:val="center"/>
            <w:hideMark/>
          </w:tcPr>
          <w:p w14:paraId="1E5FEABC"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0.921</w:t>
            </w:r>
          </w:p>
        </w:tc>
        <w:tc>
          <w:tcPr>
            <w:tcW w:w="941" w:type="dxa"/>
            <w:tcBorders>
              <w:top w:val="single" w:sz="4" w:space="0" w:color="auto"/>
              <w:bottom w:val="nil"/>
            </w:tcBorders>
            <w:noWrap/>
            <w:vAlign w:val="center"/>
            <w:hideMark/>
          </w:tcPr>
          <w:p w14:paraId="60BCE2E5" w14:textId="77777777" w:rsidR="007008C5" w:rsidRPr="007E61A0" w:rsidRDefault="007008C5" w:rsidP="007008C5">
            <w:pPr>
              <w:jc w:val="center"/>
              <w:rPr>
                <w:rFonts w:ascii="Arial Narrow" w:hAnsi="Arial Narrow"/>
                <w:sz w:val="20"/>
                <w:szCs w:val="20"/>
              </w:rPr>
            </w:pPr>
            <w:r w:rsidRPr="007E61A0">
              <w:rPr>
                <w:rFonts w:ascii="Arial Narrow" w:hAnsi="Arial Narrow"/>
                <w:sz w:val="20"/>
                <w:szCs w:val="20"/>
              </w:rPr>
              <w:t>0.923</w:t>
            </w:r>
          </w:p>
        </w:tc>
      </w:tr>
      <w:tr w:rsidR="007008C5" w:rsidRPr="007E61A0" w14:paraId="319C8B23" w14:textId="77777777" w:rsidTr="00734BE8">
        <w:trPr>
          <w:trHeight w:val="74"/>
        </w:trPr>
        <w:tc>
          <w:tcPr>
            <w:tcW w:w="3681" w:type="dxa"/>
            <w:tcBorders>
              <w:top w:val="nil"/>
              <w:bottom w:val="nil"/>
            </w:tcBorders>
            <w:vAlign w:val="center"/>
          </w:tcPr>
          <w:p w14:paraId="1CB1CE15" w14:textId="7F624AF0" w:rsidR="007008C5" w:rsidRPr="007E61A0" w:rsidRDefault="007008C5" w:rsidP="007008C5">
            <w:pPr>
              <w:jc w:val="left"/>
              <w:rPr>
                <w:rFonts w:ascii="Arial Narrow" w:hAnsi="Arial Narrow"/>
                <w:sz w:val="20"/>
                <w:szCs w:val="20"/>
              </w:rPr>
            </w:pPr>
            <w:r w:rsidRPr="007E61A0">
              <w:rPr>
                <w:rFonts w:ascii="Arial Narrow" w:hAnsi="Arial Narrow"/>
                <w:sz w:val="20"/>
                <w:szCs w:val="20"/>
              </w:rPr>
              <w:t>Model 2</w:t>
            </w:r>
          </w:p>
        </w:tc>
        <w:tc>
          <w:tcPr>
            <w:tcW w:w="992" w:type="dxa"/>
            <w:tcBorders>
              <w:top w:val="nil"/>
              <w:bottom w:val="nil"/>
            </w:tcBorders>
            <w:noWrap/>
            <w:vAlign w:val="center"/>
          </w:tcPr>
          <w:p w14:paraId="6C3BAA4F" w14:textId="023B1720" w:rsidR="007008C5" w:rsidRPr="007E61A0" w:rsidRDefault="007008C5" w:rsidP="007008C5">
            <w:pPr>
              <w:jc w:val="center"/>
              <w:rPr>
                <w:rFonts w:ascii="Arial Narrow" w:hAnsi="Arial Narrow"/>
                <w:sz w:val="20"/>
                <w:szCs w:val="20"/>
              </w:rPr>
            </w:pPr>
            <w:r w:rsidRPr="007E61A0">
              <w:rPr>
                <w:rFonts w:ascii="Arial Narrow" w:hAnsi="Arial Narrow"/>
                <w:sz w:val="20"/>
                <w:szCs w:val="20"/>
              </w:rPr>
              <w:t>0.848</w:t>
            </w:r>
          </w:p>
        </w:tc>
        <w:tc>
          <w:tcPr>
            <w:tcW w:w="1134" w:type="dxa"/>
            <w:tcBorders>
              <w:top w:val="nil"/>
              <w:bottom w:val="nil"/>
            </w:tcBorders>
            <w:noWrap/>
            <w:vAlign w:val="center"/>
          </w:tcPr>
          <w:p w14:paraId="480178C2" w14:textId="2F6889A2" w:rsidR="007008C5" w:rsidRPr="007E61A0" w:rsidRDefault="007008C5" w:rsidP="007008C5">
            <w:pPr>
              <w:jc w:val="center"/>
              <w:rPr>
                <w:rFonts w:ascii="Arial Narrow" w:hAnsi="Arial Narrow"/>
                <w:sz w:val="20"/>
                <w:szCs w:val="20"/>
              </w:rPr>
            </w:pPr>
            <w:r w:rsidRPr="007E61A0">
              <w:rPr>
                <w:rFonts w:ascii="Arial Narrow" w:hAnsi="Arial Narrow"/>
                <w:sz w:val="20"/>
                <w:szCs w:val="20"/>
              </w:rPr>
              <w:t>0.878</w:t>
            </w:r>
          </w:p>
        </w:tc>
        <w:tc>
          <w:tcPr>
            <w:tcW w:w="1134" w:type="dxa"/>
            <w:tcBorders>
              <w:top w:val="nil"/>
              <w:bottom w:val="nil"/>
            </w:tcBorders>
            <w:noWrap/>
            <w:vAlign w:val="center"/>
          </w:tcPr>
          <w:p w14:paraId="7B827F38" w14:textId="214B269C" w:rsidR="007008C5" w:rsidRPr="007E61A0" w:rsidRDefault="007008C5" w:rsidP="007008C5">
            <w:pPr>
              <w:jc w:val="center"/>
              <w:rPr>
                <w:rFonts w:ascii="Arial Narrow" w:hAnsi="Arial Narrow"/>
                <w:sz w:val="20"/>
                <w:szCs w:val="20"/>
              </w:rPr>
            </w:pPr>
            <w:r w:rsidRPr="007E61A0">
              <w:rPr>
                <w:rFonts w:ascii="Arial Narrow" w:hAnsi="Arial Narrow"/>
                <w:sz w:val="20"/>
                <w:szCs w:val="20"/>
              </w:rPr>
              <w:t>0.888</w:t>
            </w:r>
          </w:p>
        </w:tc>
        <w:tc>
          <w:tcPr>
            <w:tcW w:w="1135" w:type="dxa"/>
            <w:tcBorders>
              <w:top w:val="nil"/>
              <w:bottom w:val="nil"/>
            </w:tcBorders>
            <w:noWrap/>
            <w:vAlign w:val="center"/>
          </w:tcPr>
          <w:p w14:paraId="585771E4" w14:textId="68300133" w:rsidR="007008C5" w:rsidRPr="007E61A0" w:rsidRDefault="007008C5" w:rsidP="007008C5">
            <w:pPr>
              <w:jc w:val="center"/>
              <w:rPr>
                <w:rFonts w:ascii="Arial Narrow" w:hAnsi="Arial Narrow"/>
                <w:sz w:val="20"/>
                <w:szCs w:val="20"/>
              </w:rPr>
            </w:pPr>
            <w:r w:rsidRPr="007E61A0">
              <w:rPr>
                <w:rFonts w:ascii="Arial Narrow" w:hAnsi="Arial Narrow"/>
                <w:sz w:val="20"/>
                <w:szCs w:val="20"/>
              </w:rPr>
              <w:t>0.914</w:t>
            </w:r>
          </w:p>
        </w:tc>
        <w:tc>
          <w:tcPr>
            <w:tcW w:w="941" w:type="dxa"/>
            <w:tcBorders>
              <w:top w:val="nil"/>
              <w:bottom w:val="nil"/>
            </w:tcBorders>
            <w:noWrap/>
            <w:vAlign w:val="center"/>
          </w:tcPr>
          <w:p w14:paraId="2DB91D0F" w14:textId="272561B3" w:rsidR="007008C5" w:rsidRPr="007E61A0" w:rsidRDefault="007008C5" w:rsidP="007008C5">
            <w:pPr>
              <w:jc w:val="center"/>
              <w:rPr>
                <w:rFonts w:ascii="Arial Narrow" w:hAnsi="Arial Narrow"/>
                <w:sz w:val="20"/>
                <w:szCs w:val="20"/>
              </w:rPr>
            </w:pPr>
            <w:r w:rsidRPr="007E61A0">
              <w:rPr>
                <w:rFonts w:ascii="Arial Narrow" w:hAnsi="Arial Narrow"/>
                <w:sz w:val="20"/>
                <w:szCs w:val="20"/>
              </w:rPr>
              <w:t>0.914</w:t>
            </w:r>
          </w:p>
        </w:tc>
      </w:tr>
      <w:tr w:rsidR="007008C5" w:rsidRPr="007E61A0" w14:paraId="394CD859" w14:textId="77777777" w:rsidTr="00734BE8">
        <w:trPr>
          <w:trHeight w:val="74"/>
        </w:trPr>
        <w:tc>
          <w:tcPr>
            <w:tcW w:w="3681" w:type="dxa"/>
            <w:tcBorders>
              <w:top w:val="nil"/>
            </w:tcBorders>
            <w:vAlign w:val="center"/>
          </w:tcPr>
          <w:p w14:paraId="037F6E06" w14:textId="39BAD556" w:rsidR="007008C5" w:rsidRPr="007E61A0" w:rsidRDefault="007008C5" w:rsidP="007008C5">
            <w:pPr>
              <w:jc w:val="left"/>
              <w:rPr>
                <w:rFonts w:ascii="Arial Narrow" w:hAnsi="Arial Narrow"/>
                <w:sz w:val="20"/>
                <w:szCs w:val="20"/>
              </w:rPr>
            </w:pPr>
            <w:r w:rsidRPr="007E61A0">
              <w:rPr>
                <w:rFonts w:ascii="Arial Narrow" w:hAnsi="Arial Narrow"/>
                <w:sz w:val="20"/>
                <w:szCs w:val="20"/>
              </w:rPr>
              <w:t>Model 3</w:t>
            </w:r>
          </w:p>
        </w:tc>
        <w:tc>
          <w:tcPr>
            <w:tcW w:w="992" w:type="dxa"/>
            <w:tcBorders>
              <w:top w:val="nil"/>
            </w:tcBorders>
            <w:noWrap/>
            <w:vAlign w:val="center"/>
          </w:tcPr>
          <w:p w14:paraId="4AAC85D7" w14:textId="2E5B5E5F" w:rsidR="007008C5" w:rsidRPr="007E61A0" w:rsidRDefault="007008C5" w:rsidP="007008C5">
            <w:pPr>
              <w:jc w:val="center"/>
              <w:rPr>
                <w:rFonts w:ascii="Arial Narrow" w:hAnsi="Arial Narrow"/>
                <w:sz w:val="20"/>
                <w:szCs w:val="20"/>
              </w:rPr>
            </w:pPr>
            <w:r w:rsidRPr="007E61A0">
              <w:rPr>
                <w:rFonts w:ascii="Arial Narrow" w:hAnsi="Arial Narrow"/>
                <w:sz w:val="20"/>
                <w:szCs w:val="20"/>
              </w:rPr>
              <w:t>0.85</w:t>
            </w:r>
            <w:r w:rsidR="00394006" w:rsidRPr="007E61A0">
              <w:rPr>
                <w:rFonts w:ascii="Arial Narrow" w:hAnsi="Arial Narrow"/>
                <w:sz w:val="20"/>
                <w:szCs w:val="20"/>
              </w:rPr>
              <w:t>6</w:t>
            </w:r>
          </w:p>
        </w:tc>
        <w:tc>
          <w:tcPr>
            <w:tcW w:w="1134" w:type="dxa"/>
            <w:tcBorders>
              <w:top w:val="nil"/>
            </w:tcBorders>
            <w:noWrap/>
            <w:vAlign w:val="center"/>
          </w:tcPr>
          <w:p w14:paraId="57977104" w14:textId="5544EA1E" w:rsidR="007008C5" w:rsidRPr="007E61A0" w:rsidRDefault="007008C5" w:rsidP="007008C5">
            <w:pPr>
              <w:jc w:val="center"/>
              <w:rPr>
                <w:rFonts w:ascii="Arial Narrow" w:hAnsi="Arial Narrow"/>
                <w:sz w:val="20"/>
                <w:szCs w:val="20"/>
              </w:rPr>
            </w:pPr>
            <w:r w:rsidRPr="007E61A0">
              <w:rPr>
                <w:rFonts w:ascii="Arial Narrow" w:hAnsi="Arial Narrow"/>
                <w:sz w:val="20"/>
                <w:szCs w:val="20"/>
              </w:rPr>
              <w:t>0.887</w:t>
            </w:r>
          </w:p>
        </w:tc>
        <w:tc>
          <w:tcPr>
            <w:tcW w:w="1134" w:type="dxa"/>
            <w:tcBorders>
              <w:top w:val="nil"/>
            </w:tcBorders>
            <w:noWrap/>
            <w:vAlign w:val="center"/>
          </w:tcPr>
          <w:p w14:paraId="67D78D54" w14:textId="771AB037" w:rsidR="007008C5" w:rsidRPr="007E61A0" w:rsidRDefault="007008C5" w:rsidP="007008C5">
            <w:pPr>
              <w:jc w:val="center"/>
              <w:rPr>
                <w:rFonts w:ascii="Arial Narrow" w:hAnsi="Arial Narrow"/>
                <w:sz w:val="20"/>
                <w:szCs w:val="20"/>
              </w:rPr>
            </w:pPr>
            <w:r w:rsidRPr="007E61A0">
              <w:rPr>
                <w:rFonts w:ascii="Arial Narrow" w:hAnsi="Arial Narrow"/>
                <w:sz w:val="20"/>
                <w:szCs w:val="20"/>
              </w:rPr>
              <w:t>0.896</w:t>
            </w:r>
          </w:p>
        </w:tc>
        <w:tc>
          <w:tcPr>
            <w:tcW w:w="1135" w:type="dxa"/>
            <w:tcBorders>
              <w:top w:val="nil"/>
            </w:tcBorders>
            <w:noWrap/>
            <w:vAlign w:val="center"/>
          </w:tcPr>
          <w:p w14:paraId="5355B86A" w14:textId="0240384F" w:rsidR="007008C5" w:rsidRPr="007E61A0" w:rsidRDefault="007008C5" w:rsidP="007008C5">
            <w:pPr>
              <w:jc w:val="center"/>
              <w:rPr>
                <w:rFonts w:ascii="Arial Narrow" w:hAnsi="Arial Narrow"/>
                <w:sz w:val="20"/>
                <w:szCs w:val="20"/>
              </w:rPr>
            </w:pPr>
            <w:r w:rsidRPr="007E61A0">
              <w:rPr>
                <w:rFonts w:ascii="Arial Narrow" w:hAnsi="Arial Narrow"/>
                <w:sz w:val="20"/>
                <w:szCs w:val="20"/>
              </w:rPr>
              <w:t>0.920</w:t>
            </w:r>
          </w:p>
        </w:tc>
        <w:tc>
          <w:tcPr>
            <w:tcW w:w="941" w:type="dxa"/>
            <w:tcBorders>
              <w:top w:val="nil"/>
            </w:tcBorders>
            <w:noWrap/>
            <w:vAlign w:val="center"/>
          </w:tcPr>
          <w:p w14:paraId="1A909FBD" w14:textId="76C0DC05" w:rsidR="007008C5" w:rsidRPr="007E61A0" w:rsidRDefault="007008C5" w:rsidP="007008C5">
            <w:pPr>
              <w:jc w:val="center"/>
              <w:rPr>
                <w:rFonts w:ascii="Arial Narrow" w:hAnsi="Arial Narrow"/>
                <w:sz w:val="20"/>
                <w:szCs w:val="20"/>
              </w:rPr>
            </w:pPr>
            <w:r w:rsidRPr="007E61A0">
              <w:rPr>
                <w:rFonts w:ascii="Arial Narrow" w:hAnsi="Arial Narrow"/>
                <w:sz w:val="20"/>
                <w:szCs w:val="20"/>
              </w:rPr>
              <w:t>0.919</w:t>
            </w:r>
          </w:p>
        </w:tc>
      </w:tr>
    </w:tbl>
    <w:p w14:paraId="77268C8C" w14:textId="69E34660" w:rsidR="00423B87" w:rsidRPr="007E61A0" w:rsidRDefault="00423B87" w:rsidP="00423B87">
      <w:pPr>
        <w:pStyle w:val="FooterTableFigure"/>
      </w:pPr>
      <w:r w:rsidRPr="007E61A0">
        <w:t>Source: Tab “Inputs” in Attachment 13 of the submission</w:t>
      </w:r>
      <w:r w:rsidR="007008C5" w:rsidRPr="007E61A0">
        <w:t>; Table 52, p116 of the submission.</w:t>
      </w:r>
    </w:p>
    <w:p w14:paraId="1CEACE86" w14:textId="449E6402" w:rsidR="00423B87" w:rsidRPr="007E61A0" w:rsidRDefault="00423B87" w:rsidP="00423B87">
      <w:pPr>
        <w:pStyle w:val="FooterTableFigure"/>
      </w:pPr>
      <w:r w:rsidRPr="007E61A0">
        <w:t>PASI = Psoriasis Area and Severity Index.</w:t>
      </w:r>
    </w:p>
    <w:p w14:paraId="0B6F7FAA" w14:textId="1D289284" w:rsidR="000952A1" w:rsidRPr="007E61A0" w:rsidRDefault="000952A1" w:rsidP="00423B87">
      <w:pPr>
        <w:pStyle w:val="FooterTableFigure"/>
      </w:pPr>
      <w:proofErr w:type="spellStart"/>
      <w:r w:rsidRPr="007E61A0">
        <w:rPr>
          <w:vertAlign w:val="superscript"/>
        </w:rPr>
        <w:t>a</w:t>
      </w:r>
      <w:proofErr w:type="spellEnd"/>
      <w:r w:rsidRPr="007E61A0">
        <w:rPr>
          <w:vertAlign w:val="superscript"/>
        </w:rPr>
        <w:t xml:space="preserve"> </w:t>
      </w:r>
      <w:r w:rsidRPr="007E61A0">
        <w:t>The submission used three linear regression models to estimate EQ-5D utility values (Australian weights) based on PASI response at Week 16 in the POETYK trials. Model 1 adjusted for baseline EQ-5D utility score. Model 3 adjusted for baseline EQ-5D, treatment arm, prior biologic exposure (yes/no), prior systemic therapy (yes/no), and body weight (≥90 kg and &lt;90 kg) at baseline (p149 of the submission).</w:t>
      </w:r>
    </w:p>
    <w:p w14:paraId="69ECE6DF" w14:textId="7EFFFA0F" w:rsidR="00442DB8" w:rsidRPr="007E61A0" w:rsidRDefault="004476CC" w:rsidP="00442DB8">
      <w:pPr>
        <w:pStyle w:val="3-BodyText"/>
      </w:pPr>
      <w:bookmarkStart w:id="62" w:name="_Ref119331724"/>
      <w:bookmarkEnd w:id="61"/>
      <w:r w:rsidRPr="007E61A0">
        <w:t xml:space="preserve">The PSCR argued the use of the Zug (1995) utilities were appropriate on the basis the PBAC have previously established the importance of Zug (1995) as a precedent in evaluating the cost-effectiveness of psoriasis medicines, stating that “if alternative utilities were used this would alter the ICER for the PASI &gt; 15 population previously accepted by the PBAC” (July 2020 cost-effectiveness review PSD, paragraph 4.10). </w:t>
      </w:r>
      <w:r w:rsidR="00D333DF" w:rsidRPr="007E61A0">
        <w:t>The PSCR further argued the precedent of using the Zug (1995) utilities is applicable to the current evaluation due to the downstream implications (in terms of both costs and QALY gains) of patients moving to biologics, and the potential for misspecification of the value of superior response rates with deucravacitinib compared to apremilast.</w:t>
      </w:r>
      <w:bookmarkEnd w:id="62"/>
      <w:r w:rsidR="00442DB8" w:rsidRPr="007E61A0">
        <w:t xml:space="preserve"> </w:t>
      </w:r>
    </w:p>
    <w:p w14:paraId="1689DEE5" w14:textId="78F5E7C5" w:rsidR="004476CC" w:rsidRPr="007E61A0" w:rsidRDefault="004476CC" w:rsidP="004476CC">
      <w:pPr>
        <w:pStyle w:val="3-BodyText"/>
      </w:pPr>
      <w:bookmarkStart w:id="63" w:name="_Ref119316740"/>
      <w:r w:rsidRPr="007E61A0">
        <w:t xml:space="preserve">Overall, the ESC </w:t>
      </w:r>
      <w:r w:rsidR="002F4C0D" w:rsidRPr="007E61A0">
        <w:t>noted</w:t>
      </w:r>
      <w:r w:rsidRPr="007E61A0">
        <w:t xml:space="preserve"> while the Zug (1995) utilities would be consistent with previous PBAC considerations and the post-market review of biologics for </w:t>
      </w:r>
      <w:r w:rsidR="000A5852" w:rsidRPr="007E61A0">
        <w:t xml:space="preserve">severe </w:t>
      </w:r>
      <w:r w:rsidRPr="007E61A0">
        <w:t>CPP,</w:t>
      </w:r>
      <w:r w:rsidR="002F4C0D" w:rsidRPr="007E61A0">
        <w:t xml:space="preserve"> </w:t>
      </w:r>
      <w:r w:rsidR="00394006" w:rsidRPr="007E61A0">
        <w:t>it</w:t>
      </w:r>
      <w:r w:rsidR="00003B4A" w:rsidRPr="007E61A0">
        <w:t xml:space="preserve"> </w:t>
      </w:r>
      <w:r w:rsidR="002F4C0D" w:rsidRPr="007E61A0">
        <w:t>did not agree with the PSCR</w:t>
      </w:r>
      <w:r w:rsidRPr="007E61A0">
        <w:t xml:space="preserve"> th</w:t>
      </w:r>
      <w:r w:rsidR="00F07868" w:rsidRPr="007E61A0">
        <w:t>at the</w:t>
      </w:r>
      <w:r w:rsidRPr="007E61A0">
        <w:t xml:space="preserve"> </w:t>
      </w:r>
      <w:r w:rsidR="00F07868" w:rsidRPr="007E61A0">
        <w:t>Zug (1995) utilities</w:t>
      </w:r>
      <w:r w:rsidR="002F4C0D" w:rsidRPr="007E61A0">
        <w:t xml:space="preserve"> should be considered the</w:t>
      </w:r>
      <w:r w:rsidR="00F407EB" w:rsidRPr="007E61A0">
        <w:t xml:space="preserve"> most appropriate </w:t>
      </w:r>
      <w:r w:rsidR="002F4C0D" w:rsidRPr="007E61A0">
        <w:t>utilities</w:t>
      </w:r>
      <w:r w:rsidR="00003B4A" w:rsidRPr="007E61A0">
        <w:t>. The ESC</w:t>
      </w:r>
      <w:r w:rsidR="002F4C0D" w:rsidRPr="007E61A0">
        <w:t xml:space="preserve"> </w:t>
      </w:r>
      <w:r w:rsidR="00F407EB" w:rsidRPr="007E61A0">
        <w:t>considered there were issues with the Zug (1995) methodology, such as the mapping of the proportion of skin affected to PASI scores (i.e. severity weighted by area) and did not consider consistency alone was an adequate reason to accept one set of utilities over another. In addition, the ESC noted an</w:t>
      </w:r>
      <w:r w:rsidR="00F07868" w:rsidRPr="007E61A0">
        <w:t xml:space="preserve"> implausibly large difference between</w:t>
      </w:r>
      <w:r w:rsidR="00F407EB" w:rsidRPr="007E61A0">
        <w:t xml:space="preserve"> utility scores in the</w:t>
      </w:r>
      <w:r w:rsidR="00F07868" w:rsidRPr="007E61A0">
        <w:t xml:space="preserve"> PASI 50-75 (0.59) and PASI 75-90 (0.89)</w:t>
      </w:r>
      <w:r w:rsidR="002F4C0D" w:rsidRPr="007E61A0">
        <w:t xml:space="preserve"> and</w:t>
      </w:r>
      <w:r w:rsidR="00F407EB" w:rsidRPr="007E61A0">
        <w:t xml:space="preserve"> was uncertain if Zug (1995) were the most appropriate set of utilities for the model, given these apparent issues</w:t>
      </w:r>
      <w:r w:rsidR="002F4C0D" w:rsidRPr="007E61A0">
        <w:t>.</w:t>
      </w:r>
      <w:r w:rsidR="00F07868" w:rsidRPr="007E61A0">
        <w:t xml:space="preserve"> </w:t>
      </w:r>
      <w:r w:rsidR="002F4C0D" w:rsidRPr="007E61A0">
        <w:t>The ESC</w:t>
      </w:r>
      <w:r w:rsidR="00F07868" w:rsidRPr="007E61A0">
        <w:t xml:space="preserve"> therefore considered the </w:t>
      </w:r>
      <w:r w:rsidRPr="007E61A0">
        <w:t>utilities collected in the POETYK trials were likely a more reliable basis upon which to model the cost-effectiveness of deucravacitinib.</w:t>
      </w:r>
      <w:r w:rsidR="00E71DC1" w:rsidRPr="007E61A0">
        <w:t xml:space="preserve"> </w:t>
      </w:r>
      <w:r w:rsidR="00074DC5" w:rsidRPr="007E61A0">
        <w:t>The ESC noted that the base case model in the submission used Model 1 to adjust utilities had the lowest AIC/BIC scores, indicating the best statistical fit</w:t>
      </w:r>
      <w:r w:rsidR="001B18CB" w:rsidRPr="007E61A0">
        <w:t>, and appeared to have face validity (</w:t>
      </w:r>
      <w:r w:rsidR="001B18CB" w:rsidRPr="007E61A0">
        <w:fldChar w:fldCharType="begin" w:fldLock="1"/>
      </w:r>
      <w:r w:rsidR="001B18CB" w:rsidRPr="007E61A0">
        <w:instrText xml:space="preserve"> REF _Ref112964256 \h  \* MERGEFORMAT </w:instrText>
      </w:r>
      <w:r w:rsidR="001B18CB" w:rsidRPr="007E61A0">
        <w:fldChar w:fldCharType="separate"/>
      </w:r>
      <w:r w:rsidR="00EC7993" w:rsidRPr="00EC7993">
        <w:t>Table 13</w:t>
      </w:r>
      <w:r w:rsidR="001B18CB" w:rsidRPr="007E61A0">
        <w:fldChar w:fldCharType="end"/>
      </w:r>
      <w:r w:rsidR="001B18CB" w:rsidRPr="007E61A0">
        <w:t>)</w:t>
      </w:r>
      <w:r w:rsidR="00074DC5" w:rsidRPr="007E61A0">
        <w:t>. The ESC considered the use of Model 1 utilities appeared to be reasonable.</w:t>
      </w:r>
      <w:bookmarkEnd w:id="63"/>
      <w:r w:rsidR="00074DC5" w:rsidRPr="007E61A0">
        <w:t xml:space="preserve">  </w:t>
      </w:r>
    </w:p>
    <w:p w14:paraId="71B8B9E7" w14:textId="628B717A" w:rsidR="00A4458C" w:rsidRPr="007E61A0" w:rsidRDefault="00A4458C" w:rsidP="004476CC">
      <w:pPr>
        <w:pStyle w:val="3-BodyText"/>
      </w:pPr>
      <w:bookmarkStart w:id="64" w:name="_Ref119331730"/>
      <w:bookmarkStart w:id="65" w:name="_Ref119412131"/>
      <w:r w:rsidRPr="007E61A0">
        <w:t>The Pre-PBAC Response stated that prior PBAC decision-making in the CPP cost effectiveness review had highlighted the overall lack of consistency in published utility values for CPP and argued the PBAC appeared to have ‘opted for consistency’ over sponsor-specific utility values, and further argued it was appropriate for the same approach to be applied for deucravacitinib.</w:t>
      </w:r>
      <w:bookmarkEnd w:id="64"/>
      <w:r w:rsidRPr="007E61A0">
        <w:t xml:space="preserve"> </w:t>
      </w:r>
      <w:r w:rsidR="009A3D60" w:rsidRPr="007E61A0">
        <w:t xml:space="preserve">Further, the Response stated that while </w:t>
      </w:r>
      <w:r w:rsidR="009A3D60" w:rsidRPr="007E61A0">
        <w:lastRenderedPageBreak/>
        <w:t xml:space="preserve">the ICER change with trial-based utilities seems </w:t>
      </w:r>
      <w:r w:rsidR="00E936A4" w:rsidRPr="007E61A0">
        <w:t>large</w:t>
      </w:r>
      <w:r w:rsidR="009A3D60" w:rsidRPr="007E61A0">
        <w:t xml:space="preserve"> compared to the use of the Zug utilities, also noted that change is reversed with a less than 10% change in the price of deucravacitinib (based on published prices), and argued this was because those same utility values which appear to favour apremilast over deucravacitinib also underestimate the PBAC’s accepted value of biologics.</w:t>
      </w:r>
      <w:bookmarkEnd w:id="65"/>
    </w:p>
    <w:p w14:paraId="34CB750B" w14:textId="7159A132" w:rsidR="00DA10BD" w:rsidRPr="007E61A0" w:rsidRDefault="00DA10BD" w:rsidP="00DA10BD">
      <w:pPr>
        <w:pStyle w:val="3-BodyText"/>
      </w:pPr>
      <w:r w:rsidRPr="007E61A0">
        <w:t xml:space="preserve">Apart from the drug costs of </w:t>
      </w:r>
      <w:bookmarkStart w:id="66" w:name="_Hlk111441359"/>
      <w:r w:rsidRPr="007E61A0">
        <w:t>deucravacitinib and apremilast</w:t>
      </w:r>
      <w:bookmarkEnd w:id="66"/>
      <w:r w:rsidRPr="007E61A0">
        <w:t xml:space="preserve">, the submission assumed that there was no other difference in the costs associated with treatment with deucravacitinib and apremilast. However, the draft Product Information (p2) for deucravacitinib recommends evaluation of tuberculosis infection prior to initiation and the monitoring for the signs and symptoms of active tuberculosis while on treatment. </w:t>
      </w:r>
    </w:p>
    <w:p w14:paraId="2BEF64D1" w14:textId="70C86EDF" w:rsidR="00E2522E" w:rsidRPr="00FE4CD3" w:rsidRDefault="004476CC" w:rsidP="00BA423E">
      <w:pPr>
        <w:pStyle w:val="3-BodyText"/>
        <w:rPr>
          <w:rFonts w:eastAsiaTheme="minorHAnsi"/>
        </w:rPr>
      </w:pPr>
      <w:bookmarkStart w:id="67" w:name="_Ref116308855"/>
      <w:bookmarkStart w:id="68" w:name="_Ref116633559"/>
      <w:r w:rsidRPr="007E61A0">
        <w:t>The ESC considered the structure of the model was overall likely to be reliable to assess the cost-effectiveness of deucravacitinib and apremilast, however advised its preferred revised base case (for this comparison) should include a 10% per year reduction in efficacy (after 24 weeks) for both deucravacitinib and apremilast and should use utilities derived from the pooled POETYK trial data</w:t>
      </w:r>
      <w:r w:rsidR="00F07868" w:rsidRPr="007E61A0">
        <w:t>.</w:t>
      </w:r>
      <w:bookmarkEnd w:id="67"/>
      <w:r w:rsidR="00074DC5" w:rsidRPr="00FE4CD3">
        <w:rPr>
          <w:rFonts w:eastAsiaTheme="minorHAnsi"/>
        </w:rPr>
        <w:t xml:space="preserve"> The ESC noted the revised base case ICER based on published prices was </w:t>
      </w:r>
      <w:r w:rsidR="00CF18A5" w:rsidRPr="00FE4CD3">
        <w:rPr>
          <w:rFonts w:eastAsiaTheme="minorHAnsi"/>
        </w:rPr>
        <w:t xml:space="preserve">$155,000 to &lt; $255,000 </w:t>
      </w:r>
      <w:r w:rsidR="00074DC5" w:rsidRPr="00FE4CD3">
        <w:rPr>
          <w:rFonts w:eastAsiaTheme="minorHAnsi"/>
        </w:rPr>
        <w:t xml:space="preserve">per QALY (615% higher than the submission </w:t>
      </w:r>
      <w:r w:rsidR="00074DC5" w:rsidRPr="00FE4CD3">
        <w:rPr>
          <w:rFonts w:eastAsiaTheme="minorHAnsi" w:cstheme="minorHAnsi"/>
        </w:rPr>
        <w:t>base case)</w:t>
      </w:r>
      <w:r w:rsidR="00E85322" w:rsidRPr="00FE4CD3">
        <w:rPr>
          <w:rFonts w:eastAsiaTheme="minorHAnsi" w:cstheme="minorHAnsi"/>
        </w:rPr>
        <w:t xml:space="preserve"> (refer</w:t>
      </w:r>
      <w:r w:rsidR="00FE4CD3">
        <w:rPr>
          <w:rFonts w:eastAsiaTheme="minorHAnsi" w:cstheme="minorHAnsi"/>
        </w:rPr>
        <w:t xml:space="preserve"> </w:t>
      </w:r>
      <w:r w:rsidR="00FE4CD3" w:rsidRPr="00FE4CD3">
        <w:rPr>
          <w:rFonts w:eastAsiaTheme="minorHAnsi" w:cstheme="minorHAnsi"/>
          <w:b/>
          <w:bCs/>
        </w:rPr>
        <w:fldChar w:fldCharType="begin" w:fldLock="1"/>
      </w:r>
      <w:r w:rsidR="00FE4CD3" w:rsidRPr="00FE4CD3">
        <w:rPr>
          <w:rFonts w:eastAsiaTheme="minorHAnsi" w:cstheme="minorHAnsi"/>
          <w:b/>
          <w:bCs/>
        </w:rPr>
        <w:instrText xml:space="preserve"> REF _Ref129080826 \h  \* MERGEFORMAT </w:instrText>
      </w:r>
      <w:r w:rsidR="00FE4CD3" w:rsidRPr="00FE4CD3">
        <w:rPr>
          <w:rFonts w:eastAsiaTheme="minorHAnsi" w:cstheme="minorHAnsi"/>
          <w:b/>
          <w:bCs/>
        </w:rPr>
      </w:r>
      <w:r w:rsidR="00FE4CD3" w:rsidRPr="00FE4CD3">
        <w:rPr>
          <w:rFonts w:eastAsiaTheme="minorHAnsi" w:cstheme="minorHAnsi"/>
          <w:b/>
          <w:bCs/>
        </w:rPr>
        <w:fldChar w:fldCharType="separate"/>
      </w:r>
      <w:r w:rsidR="00FE4CD3" w:rsidRPr="00FE4CD3">
        <w:rPr>
          <w:rStyle w:val="CommentReference"/>
          <w:rFonts w:asciiTheme="minorHAnsi" w:hAnsiTheme="minorHAnsi" w:cstheme="minorHAnsi"/>
          <w:b w:val="0"/>
          <w:bCs/>
          <w:sz w:val="24"/>
          <w:szCs w:val="24"/>
        </w:rPr>
        <w:t xml:space="preserve">Table </w:t>
      </w:r>
      <w:r w:rsidR="00FE4CD3" w:rsidRPr="00FE4CD3">
        <w:rPr>
          <w:rStyle w:val="CommentReference"/>
          <w:rFonts w:asciiTheme="minorHAnsi" w:hAnsiTheme="minorHAnsi" w:cstheme="minorHAnsi"/>
          <w:b w:val="0"/>
          <w:bCs/>
          <w:noProof/>
          <w:sz w:val="24"/>
          <w:szCs w:val="24"/>
        </w:rPr>
        <w:t>12</w:t>
      </w:r>
      <w:r w:rsidR="00FE4CD3" w:rsidRPr="00FE4CD3">
        <w:rPr>
          <w:rFonts w:eastAsiaTheme="minorHAnsi" w:cstheme="minorHAnsi"/>
          <w:b/>
          <w:bCs/>
        </w:rPr>
        <w:fldChar w:fldCharType="end"/>
      </w:r>
      <w:r w:rsidR="00E85322" w:rsidRPr="00FE4CD3">
        <w:rPr>
          <w:rFonts w:eastAsiaTheme="minorHAnsi" w:cstheme="minorHAnsi"/>
        </w:rPr>
        <w:t>)</w:t>
      </w:r>
      <w:r w:rsidR="00074DC5" w:rsidRPr="00FE4CD3">
        <w:rPr>
          <w:rFonts w:eastAsiaTheme="minorHAnsi" w:cstheme="minorHAnsi"/>
        </w:rPr>
        <w:t>.</w:t>
      </w:r>
      <w:bookmarkEnd w:id="68"/>
    </w:p>
    <w:p w14:paraId="38DF5356" w14:textId="617D50E6" w:rsidR="00F07868" w:rsidRPr="004F4A43" w:rsidRDefault="009A3D60" w:rsidP="004F4A43">
      <w:pPr>
        <w:pStyle w:val="3-BodyText"/>
      </w:pPr>
      <w:r w:rsidRPr="00E2522E">
        <w:rPr>
          <w:rFonts w:eastAsiaTheme="minorHAnsi"/>
        </w:rPr>
        <w:t xml:space="preserve">The Pre-PBAC Response accepted the ESC view to apply a waning treatment effect to both deucravacitinib and apremilast, however for reasons outlined in paragraphs </w:t>
      </w:r>
      <w:r w:rsidRPr="00E2522E">
        <w:rPr>
          <w:rFonts w:eastAsiaTheme="minorHAnsi"/>
        </w:rPr>
        <w:fldChar w:fldCharType="begin" w:fldLock="1"/>
      </w:r>
      <w:r w:rsidRPr="00E2522E">
        <w:rPr>
          <w:rFonts w:eastAsiaTheme="minorHAnsi"/>
        </w:rPr>
        <w:instrText xml:space="preserve"> REF _Ref119331724 \r \h </w:instrText>
      </w:r>
      <w:r w:rsidRPr="00E2522E">
        <w:rPr>
          <w:rFonts w:eastAsiaTheme="minorHAnsi"/>
        </w:rPr>
      </w:r>
      <w:r w:rsidRPr="00E2522E">
        <w:rPr>
          <w:rFonts w:eastAsiaTheme="minorHAnsi"/>
        </w:rPr>
        <w:fldChar w:fldCharType="separate"/>
      </w:r>
      <w:r w:rsidR="00EC7993">
        <w:rPr>
          <w:rFonts w:eastAsiaTheme="minorHAnsi"/>
        </w:rPr>
        <w:t>6.64</w:t>
      </w:r>
      <w:r w:rsidRPr="00E2522E">
        <w:rPr>
          <w:rFonts w:eastAsiaTheme="minorHAnsi"/>
        </w:rPr>
        <w:fldChar w:fldCharType="end"/>
      </w:r>
      <w:r w:rsidRPr="00E2522E">
        <w:rPr>
          <w:rFonts w:eastAsiaTheme="minorHAnsi"/>
        </w:rPr>
        <w:t xml:space="preserve"> and </w:t>
      </w:r>
      <w:r w:rsidRPr="00E2522E">
        <w:rPr>
          <w:rFonts w:eastAsiaTheme="minorHAnsi"/>
        </w:rPr>
        <w:fldChar w:fldCharType="begin" w:fldLock="1"/>
      </w:r>
      <w:r w:rsidRPr="00E2522E">
        <w:rPr>
          <w:rFonts w:eastAsiaTheme="minorHAnsi"/>
        </w:rPr>
        <w:instrText xml:space="preserve"> REF _Ref119331730 \r \h </w:instrText>
      </w:r>
      <w:r w:rsidRPr="00E2522E">
        <w:rPr>
          <w:rFonts w:eastAsiaTheme="minorHAnsi"/>
        </w:rPr>
      </w:r>
      <w:r w:rsidRPr="00E2522E">
        <w:rPr>
          <w:rFonts w:eastAsiaTheme="minorHAnsi"/>
        </w:rPr>
        <w:fldChar w:fldCharType="separate"/>
      </w:r>
      <w:r w:rsidR="00EC7993">
        <w:rPr>
          <w:rFonts w:eastAsiaTheme="minorHAnsi"/>
        </w:rPr>
        <w:t>6.66</w:t>
      </w:r>
      <w:r w:rsidRPr="00E2522E">
        <w:rPr>
          <w:rFonts w:eastAsiaTheme="minorHAnsi"/>
        </w:rPr>
        <w:fldChar w:fldCharType="end"/>
      </w:r>
      <w:r w:rsidRPr="00E2522E">
        <w:rPr>
          <w:rFonts w:eastAsiaTheme="minorHAnsi"/>
        </w:rPr>
        <w:t xml:space="preserve">, did not agree with using trial-based utilities in the model. </w:t>
      </w:r>
    </w:p>
    <w:p w14:paraId="3390DCA0" w14:textId="36511E51" w:rsidR="004476CC" w:rsidRPr="007E61A0" w:rsidRDefault="004476CC" w:rsidP="004476CC">
      <w:pPr>
        <w:pStyle w:val="3-BodyText"/>
      </w:pPr>
      <w:r w:rsidRPr="007E61A0">
        <w:t xml:space="preserve">Given its view that biologics </w:t>
      </w:r>
      <w:r w:rsidR="00E94249" w:rsidRPr="007E61A0">
        <w:t xml:space="preserve">are </w:t>
      </w:r>
      <w:r w:rsidRPr="007E61A0">
        <w:t xml:space="preserve">also relevant comparators, the ESC considered it may be informative to model the cost-effectiveness of deucravacitinib and biologics to fully assess the cost-effectiveness of deucravacitinib in the broader CPP treatment landscape. </w:t>
      </w:r>
      <w:r w:rsidR="009A3D60" w:rsidRPr="007E61A0">
        <w:rPr>
          <w:rFonts w:eastAsiaTheme="minorHAnsi"/>
        </w:rPr>
        <w:t>The Pre-PBAC Response argued a comparison with biologics would not provide the PBAC with any information on the cost-effectiveness of deucravacitinib in the proposed second line setting</w:t>
      </w:r>
      <w:r w:rsidR="003D4E7A" w:rsidRPr="007E61A0">
        <w:rPr>
          <w:rFonts w:eastAsiaTheme="minorHAnsi"/>
        </w:rPr>
        <w:t xml:space="preserve"> and would not support the proposed PBS restriction for deucravacitinib. The Response also argued any comparison against biologics would ultimately rely on an indirect treatment comparison, the results of which may be difficult to interpret if non-inferiority is not established, resulting in the need to undertake a south-west quadrant cost effectiveness analysis.</w:t>
      </w:r>
    </w:p>
    <w:p w14:paraId="09B5CB91" w14:textId="77777777" w:rsidR="00DA10BD" w:rsidRPr="007E61A0" w:rsidRDefault="00DA10BD" w:rsidP="00DA10BD">
      <w:pPr>
        <w:pStyle w:val="4-SubsectionHeading"/>
        <w:rPr>
          <w:iCs/>
        </w:rPr>
      </w:pPr>
      <w:bookmarkStart w:id="69" w:name="_Toc22897646"/>
      <w:bookmarkStart w:id="70" w:name="_Toc111469192"/>
      <w:bookmarkStart w:id="71" w:name="_Toc113968826"/>
      <w:r w:rsidRPr="007E61A0">
        <w:rPr>
          <w:iCs/>
        </w:rPr>
        <w:t>Drug cost/patient/year</w:t>
      </w:r>
      <w:bookmarkEnd w:id="69"/>
      <w:bookmarkEnd w:id="70"/>
      <w:bookmarkEnd w:id="71"/>
    </w:p>
    <w:p w14:paraId="1E4F23DD" w14:textId="142979D0" w:rsidR="00DA10BD" w:rsidRPr="007E61A0" w:rsidRDefault="00DA10BD" w:rsidP="00DA10BD">
      <w:pPr>
        <w:pStyle w:val="3-BodyText"/>
        <w:rPr>
          <w:color w:val="0066FF"/>
        </w:rPr>
      </w:pPr>
      <w:bookmarkStart w:id="72" w:name="_Ref104805102"/>
      <w:r w:rsidRPr="007E61A0">
        <w:t xml:space="preserve">The deucravacitinib and apremilast drug costs per patient per year used in the submission are presented in </w:t>
      </w:r>
      <w:r w:rsidRPr="007E61A0">
        <w:fldChar w:fldCharType="begin" w:fldLock="1"/>
      </w:r>
      <w:r w:rsidRPr="007E61A0">
        <w:instrText xml:space="preserve"> REF _Ref110792176 \h  \* MERGEFORMAT </w:instrText>
      </w:r>
      <w:r w:rsidRPr="007E61A0">
        <w:fldChar w:fldCharType="separate"/>
      </w:r>
      <w:r w:rsidR="00EC7993" w:rsidRPr="007E61A0">
        <w:t xml:space="preserve">Table </w:t>
      </w:r>
      <w:r w:rsidR="00EC7993">
        <w:t>14</w:t>
      </w:r>
      <w:r w:rsidRPr="007E61A0">
        <w:fldChar w:fldCharType="end"/>
      </w:r>
      <w:r w:rsidRPr="007E61A0">
        <w:t xml:space="preserve">. </w:t>
      </w:r>
    </w:p>
    <w:p w14:paraId="5D1F92E0" w14:textId="265649CD" w:rsidR="00DA10BD" w:rsidRPr="007E61A0" w:rsidRDefault="00DA10BD" w:rsidP="00DA10BD">
      <w:pPr>
        <w:pStyle w:val="Caption"/>
        <w:rPr>
          <w:rStyle w:val="CommentReference"/>
          <w:b/>
          <w:szCs w:val="24"/>
        </w:rPr>
      </w:pPr>
      <w:bookmarkStart w:id="73" w:name="_Ref110792176"/>
      <w:bookmarkStart w:id="74" w:name="_Hlk113014783"/>
      <w:r w:rsidRPr="007E61A0">
        <w:lastRenderedPageBreak/>
        <w:t xml:space="preserve">Table </w:t>
      </w:r>
      <w:fldSimple w:instr=" SEQ Table \* ARABIC " w:fldLock="1">
        <w:r w:rsidR="00EC7993">
          <w:rPr>
            <w:noProof/>
          </w:rPr>
          <w:t>14</w:t>
        </w:r>
      </w:fldSimple>
      <w:bookmarkEnd w:id="72"/>
      <w:bookmarkEnd w:id="73"/>
      <w:r w:rsidRPr="007E61A0">
        <w:t>:</w:t>
      </w:r>
      <w:r w:rsidRPr="007E61A0">
        <w:rPr>
          <w:rStyle w:val="CommentReference"/>
          <w:b/>
          <w:szCs w:val="24"/>
        </w:rPr>
        <w:t xml:space="preserve"> Drug cost per patient for deucravacitinib and apremilast</w:t>
      </w:r>
      <w:r w:rsidR="00F256CB" w:rsidRPr="007E61A0">
        <w:rPr>
          <w:rStyle w:val="CommentReference"/>
          <w:b/>
          <w:szCs w:val="24"/>
        </w:rPr>
        <w:t xml:space="preserve"> (using effective price for deucravacitinib, published price for apremilast)</w:t>
      </w:r>
      <w:bookmarkStart w:id="75" w:name="_Hlk1129242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3118"/>
        <w:gridCol w:w="3919"/>
      </w:tblGrid>
      <w:tr w:rsidR="00503CA3" w:rsidRPr="007E61A0" w14:paraId="6B47D81A" w14:textId="77777777" w:rsidTr="00503CA3">
        <w:trPr>
          <w:cantSplit/>
          <w:tblHeader/>
          <w:jc w:val="center"/>
        </w:trPr>
        <w:tc>
          <w:tcPr>
            <w:tcW w:w="1098" w:type="pct"/>
            <w:tcBorders>
              <w:bottom w:val="nil"/>
            </w:tcBorders>
            <w:shd w:val="clear" w:color="auto" w:fill="auto"/>
            <w:vAlign w:val="center"/>
          </w:tcPr>
          <w:p w14:paraId="13A45B99" w14:textId="77777777" w:rsidR="00503CA3" w:rsidRPr="007E61A0" w:rsidRDefault="00503CA3" w:rsidP="006D0001">
            <w:pPr>
              <w:pStyle w:val="In-tableHeading"/>
              <w:jc w:val="center"/>
              <w:rPr>
                <w:lang w:val="en-AU"/>
              </w:rPr>
            </w:pPr>
          </w:p>
        </w:tc>
        <w:tc>
          <w:tcPr>
            <w:tcW w:w="3902" w:type="pct"/>
            <w:gridSpan w:val="2"/>
            <w:shd w:val="clear" w:color="auto" w:fill="auto"/>
            <w:vAlign w:val="center"/>
          </w:tcPr>
          <w:p w14:paraId="6D442B8E" w14:textId="242555F2" w:rsidR="00503CA3" w:rsidRPr="007E61A0" w:rsidRDefault="00503CA3" w:rsidP="006D0001">
            <w:pPr>
              <w:pStyle w:val="In-tableHeading"/>
              <w:jc w:val="center"/>
              <w:rPr>
                <w:lang w:val="en-AU"/>
              </w:rPr>
            </w:pPr>
            <w:r w:rsidRPr="007E61A0">
              <w:rPr>
                <w:lang w:val="en-AU"/>
              </w:rPr>
              <w:t>Economic model and financial estimates</w:t>
            </w:r>
          </w:p>
        </w:tc>
      </w:tr>
      <w:tr w:rsidR="000F239A" w:rsidRPr="007E61A0" w14:paraId="097078BC" w14:textId="77777777" w:rsidTr="00503CA3">
        <w:trPr>
          <w:cantSplit/>
          <w:tblHeader/>
          <w:jc w:val="center"/>
        </w:trPr>
        <w:tc>
          <w:tcPr>
            <w:tcW w:w="1098" w:type="pct"/>
            <w:tcBorders>
              <w:top w:val="nil"/>
            </w:tcBorders>
            <w:shd w:val="clear" w:color="auto" w:fill="auto"/>
            <w:vAlign w:val="center"/>
          </w:tcPr>
          <w:p w14:paraId="61740DE6" w14:textId="77777777" w:rsidR="000F239A" w:rsidRPr="007E61A0" w:rsidRDefault="000F239A" w:rsidP="006D0001">
            <w:pPr>
              <w:pStyle w:val="In-tableHeading"/>
              <w:jc w:val="center"/>
              <w:rPr>
                <w:lang w:val="en-AU"/>
              </w:rPr>
            </w:pPr>
          </w:p>
        </w:tc>
        <w:tc>
          <w:tcPr>
            <w:tcW w:w="1729" w:type="pct"/>
            <w:shd w:val="clear" w:color="auto" w:fill="auto"/>
            <w:vAlign w:val="center"/>
          </w:tcPr>
          <w:p w14:paraId="2641B813" w14:textId="0101B541" w:rsidR="000F239A" w:rsidRPr="007E61A0" w:rsidRDefault="00503CA3" w:rsidP="006D0001">
            <w:pPr>
              <w:pStyle w:val="In-tableHeading"/>
              <w:jc w:val="center"/>
              <w:rPr>
                <w:lang w:val="en-AU"/>
              </w:rPr>
            </w:pPr>
            <w:r w:rsidRPr="007E61A0">
              <w:rPr>
                <w:lang w:val="en-AU"/>
              </w:rPr>
              <w:t>Deucravacitinib</w:t>
            </w:r>
          </w:p>
        </w:tc>
        <w:tc>
          <w:tcPr>
            <w:tcW w:w="2173" w:type="pct"/>
          </w:tcPr>
          <w:p w14:paraId="0F09E3AF" w14:textId="1E01AA7C" w:rsidR="000F239A" w:rsidRPr="007E61A0" w:rsidRDefault="00503CA3" w:rsidP="00503CA3">
            <w:pPr>
              <w:pStyle w:val="In-tableHeading"/>
              <w:jc w:val="center"/>
              <w:rPr>
                <w:lang w:val="en-AU"/>
              </w:rPr>
            </w:pPr>
            <w:r w:rsidRPr="007E61A0">
              <w:rPr>
                <w:lang w:val="en-AU"/>
              </w:rPr>
              <w:t>Apremilast</w:t>
            </w:r>
          </w:p>
        </w:tc>
      </w:tr>
      <w:tr w:rsidR="000F239A" w:rsidRPr="007E61A0" w14:paraId="436702D7" w14:textId="77777777" w:rsidTr="00503CA3">
        <w:trPr>
          <w:cantSplit/>
          <w:jc w:val="center"/>
        </w:trPr>
        <w:tc>
          <w:tcPr>
            <w:tcW w:w="1098" w:type="pct"/>
            <w:tcBorders>
              <w:bottom w:val="single" w:sz="4" w:space="0" w:color="auto"/>
            </w:tcBorders>
            <w:shd w:val="clear" w:color="auto" w:fill="auto"/>
            <w:vAlign w:val="center"/>
          </w:tcPr>
          <w:p w14:paraId="3AD474B4" w14:textId="77777777" w:rsidR="000F239A" w:rsidRPr="007E61A0" w:rsidRDefault="000F239A" w:rsidP="006D0001">
            <w:pPr>
              <w:pStyle w:val="TableText0"/>
            </w:pPr>
            <w:r w:rsidRPr="007E61A0">
              <w:t>Mean dose, mg</w:t>
            </w:r>
          </w:p>
        </w:tc>
        <w:tc>
          <w:tcPr>
            <w:tcW w:w="1729" w:type="pct"/>
            <w:tcBorders>
              <w:bottom w:val="single" w:sz="4" w:space="0" w:color="auto"/>
            </w:tcBorders>
            <w:shd w:val="clear" w:color="auto" w:fill="auto"/>
            <w:vAlign w:val="center"/>
          </w:tcPr>
          <w:p w14:paraId="72DF6A27" w14:textId="40F61B88" w:rsidR="000F239A" w:rsidRPr="007E61A0" w:rsidRDefault="000F239A" w:rsidP="006D0001">
            <w:pPr>
              <w:pStyle w:val="TableText0"/>
              <w:jc w:val="center"/>
              <w:rPr>
                <w:bCs w:val="0"/>
              </w:rPr>
            </w:pPr>
            <w:r w:rsidRPr="007E61A0">
              <w:rPr>
                <w:bCs w:val="0"/>
              </w:rPr>
              <w:t xml:space="preserve">6 mg once daily </w:t>
            </w:r>
          </w:p>
        </w:tc>
        <w:tc>
          <w:tcPr>
            <w:tcW w:w="2173" w:type="pct"/>
            <w:tcBorders>
              <w:bottom w:val="single" w:sz="4" w:space="0" w:color="auto"/>
            </w:tcBorders>
            <w:shd w:val="clear" w:color="auto" w:fill="auto"/>
            <w:vAlign w:val="center"/>
          </w:tcPr>
          <w:p w14:paraId="45B81E16" w14:textId="3C8B0AFF" w:rsidR="000F239A" w:rsidRPr="007E61A0" w:rsidRDefault="000F239A" w:rsidP="006D0001">
            <w:pPr>
              <w:pStyle w:val="TableText0"/>
              <w:jc w:val="center"/>
              <w:rPr>
                <w:bCs w:val="0"/>
              </w:rPr>
            </w:pPr>
            <w:r w:rsidRPr="007E61A0">
              <w:rPr>
                <w:bCs w:val="0"/>
              </w:rPr>
              <w:t>30 mg twice daily (after titration)</w:t>
            </w:r>
          </w:p>
        </w:tc>
      </w:tr>
      <w:tr w:rsidR="000F239A" w:rsidRPr="007E61A0" w14:paraId="405635A4" w14:textId="77777777" w:rsidTr="00503CA3">
        <w:trPr>
          <w:cantSplit/>
          <w:jc w:val="center"/>
        </w:trPr>
        <w:tc>
          <w:tcPr>
            <w:tcW w:w="1098" w:type="pct"/>
            <w:tcBorders>
              <w:bottom w:val="single" w:sz="4" w:space="0" w:color="auto"/>
              <w:right w:val="nil"/>
            </w:tcBorders>
            <w:shd w:val="clear" w:color="auto" w:fill="auto"/>
            <w:vAlign w:val="center"/>
          </w:tcPr>
          <w:p w14:paraId="61E4CB91" w14:textId="77777777" w:rsidR="000F239A" w:rsidRPr="007E61A0" w:rsidRDefault="000F239A" w:rsidP="006D0001">
            <w:pPr>
              <w:pStyle w:val="TableText0"/>
            </w:pPr>
            <w:r w:rsidRPr="007E61A0">
              <w:t>Duration, days</w:t>
            </w:r>
          </w:p>
        </w:tc>
        <w:tc>
          <w:tcPr>
            <w:tcW w:w="1729" w:type="pct"/>
            <w:tcBorders>
              <w:left w:val="nil"/>
              <w:bottom w:val="single" w:sz="4" w:space="0" w:color="auto"/>
              <w:right w:val="nil"/>
            </w:tcBorders>
            <w:shd w:val="clear" w:color="auto" w:fill="auto"/>
            <w:vAlign w:val="center"/>
          </w:tcPr>
          <w:p w14:paraId="5EF2B650" w14:textId="77777777" w:rsidR="000F239A" w:rsidRPr="007E61A0" w:rsidRDefault="000F239A" w:rsidP="006D0001">
            <w:pPr>
              <w:pStyle w:val="TableText0"/>
              <w:jc w:val="center"/>
              <w:rPr>
                <w:bCs w:val="0"/>
              </w:rPr>
            </w:pPr>
          </w:p>
        </w:tc>
        <w:tc>
          <w:tcPr>
            <w:tcW w:w="2173" w:type="pct"/>
            <w:tcBorders>
              <w:left w:val="nil"/>
              <w:bottom w:val="single" w:sz="4" w:space="0" w:color="auto"/>
            </w:tcBorders>
          </w:tcPr>
          <w:p w14:paraId="0631D21C" w14:textId="77777777" w:rsidR="000F239A" w:rsidRPr="007E61A0" w:rsidRDefault="000F239A" w:rsidP="006D0001">
            <w:pPr>
              <w:pStyle w:val="TableText0"/>
              <w:jc w:val="center"/>
              <w:rPr>
                <w:bCs w:val="0"/>
              </w:rPr>
            </w:pPr>
          </w:p>
        </w:tc>
      </w:tr>
      <w:tr w:rsidR="000F239A" w:rsidRPr="007E61A0" w14:paraId="22A19829" w14:textId="77777777" w:rsidTr="00503CA3">
        <w:trPr>
          <w:cantSplit/>
          <w:jc w:val="center"/>
        </w:trPr>
        <w:tc>
          <w:tcPr>
            <w:tcW w:w="1098" w:type="pct"/>
            <w:tcBorders>
              <w:top w:val="single" w:sz="4" w:space="0" w:color="auto"/>
              <w:bottom w:val="nil"/>
            </w:tcBorders>
            <w:shd w:val="clear" w:color="auto" w:fill="auto"/>
            <w:vAlign w:val="center"/>
          </w:tcPr>
          <w:p w14:paraId="4654BAA1" w14:textId="62A3B88B" w:rsidR="000F239A" w:rsidRPr="007E61A0" w:rsidRDefault="000F239A" w:rsidP="006D0001">
            <w:pPr>
              <w:pStyle w:val="TableText0"/>
            </w:pPr>
            <w:r w:rsidRPr="007E61A0">
              <w:t>Y</w:t>
            </w:r>
            <w:r w:rsidR="006A30BA" w:rsidRPr="007E61A0">
              <w:t xml:space="preserve">ear </w:t>
            </w:r>
            <w:r w:rsidRPr="007E61A0">
              <w:t>1</w:t>
            </w:r>
          </w:p>
        </w:tc>
        <w:tc>
          <w:tcPr>
            <w:tcW w:w="1729" w:type="pct"/>
            <w:tcBorders>
              <w:top w:val="single" w:sz="4" w:space="0" w:color="auto"/>
              <w:bottom w:val="nil"/>
            </w:tcBorders>
            <w:shd w:val="clear" w:color="auto" w:fill="auto"/>
            <w:vAlign w:val="center"/>
          </w:tcPr>
          <w:p w14:paraId="3DE04CBE" w14:textId="3D31A344" w:rsidR="000F239A" w:rsidRPr="007E61A0" w:rsidRDefault="000F239A" w:rsidP="006D0001">
            <w:pPr>
              <w:pStyle w:val="TableText0"/>
              <w:jc w:val="center"/>
              <w:rPr>
                <w:bCs w:val="0"/>
              </w:rPr>
            </w:pPr>
            <w:r w:rsidRPr="007E61A0">
              <w:rPr>
                <w:bCs w:val="0"/>
              </w:rPr>
              <w:t xml:space="preserve">365.25 </w:t>
            </w:r>
          </w:p>
        </w:tc>
        <w:tc>
          <w:tcPr>
            <w:tcW w:w="2173" w:type="pct"/>
            <w:tcBorders>
              <w:top w:val="single" w:sz="4" w:space="0" w:color="auto"/>
              <w:bottom w:val="nil"/>
            </w:tcBorders>
          </w:tcPr>
          <w:p w14:paraId="1B0ED22C" w14:textId="2BCDC8DC" w:rsidR="000F239A" w:rsidRPr="007E61A0" w:rsidRDefault="00503CA3" w:rsidP="006D0001">
            <w:pPr>
              <w:pStyle w:val="TableText0"/>
              <w:jc w:val="center"/>
              <w:rPr>
                <w:bCs w:val="0"/>
              </w:rPr>
            </w:pPr>
            <w:r w:rsidRPr="007E61A0">
              <w:rPr>
                <w:bCs w:val="0"/>
              </w:rPr>
              <w:t xml:space="preserve">Titration: </w:t>
            </w:r>
            <w:r w:rsidR="000F239A" w:rsidRPr="007E61A0">
              <w:rPr>
                <w:bCs w:val="0"/>
              </w:rPr>
              <w:t>14</w:t>
            </w:r>
            <w:r w:rsidRPr="007E61A0">
              <w:rPr>
                <w:bCs w:val="0"/>
              </w:rPr>
              <w:t xml:space="preserve">; maintenance: </w:t>
            </w:r>
            <w:r w:rsidR="000F239A" w:rsidRPr="007E61A0">
              <w:rPr>
                <w:bCs w:val="0"/>
              </w:rPr>
              <w:t>350.25</w:t>
            </w:r>
            <w:r w:rsidR="000F239A" w:rsidRPr="007E61A0">
              <w:rPr>
                <w:bCs w:val="0"/>
                <w:vertAlign w:val="superscript"/>
              </w:rPr>
              <w:t>a</w:t>
            </w:r>
          </w:p>
        </w:tc>
      </w:tr>
      <w:tr w:rsidR="000F239A" w:rsidRPr="007E61A0" w14:paraId="3C27F48F" w14:textId="77777777" w:rsidTr="00503CA3">
        <w:trPr>
          <w:cantSplit/>
          <w:jc w:val="center"/>
        </w:trPr>
        <w:tc>
          <w:tcPr>
            <w:tcW w:w="1098" w:type="pct"/>
            <w:tcBorders>
              <w:top w:val="nil"/>
            </w:tcBorders>
            <w:shd w:val="clear" w:color="auto" w:fill="auto"/>
            <w:vAlign w:val="center"/>
          </w:tcPr>
          <w:p w14:paraId="2C571CE3" w14:textId="5228CB4C" w:rsidR="000F239A" w:rsidRPr="007E61A0" w:rsidRDefault="000F239A" w:rsidP="006D0001">
            <w:pPr>
              <w:pStyle w:val="TableText0"/>
            </w:pPr>
            <w:r w:rsidRPr="007E61A0">
              <w:t>Y</w:t>
            </w:r>
            <w:r w:rsidR="006A30BA" w:rsidRPr="007E61A0">
              <w:t xml:space="preserve">ear </w:t>
            </w:r>
            <w:r w:rsidRPr="007E61A0">
              <w:t>2</w:t>
            </w:r>
          </w:p>
        </w:tc>
        <w:tc>
          <w:tcPr>
            <w:tcW w:w="1729" w:type="pct"/>
            <w:tcBorders>
              <w:top w:val="nil"/>
            </w:tcBorders>
            <w:shd w:val="clear" w:color="auto" w:fill="auto"/>
            <w:vAlign w:val="center"/>
          </w:tcPr>
          <w:p w14:paraId="51C01751" w14:textId="109F6ED3" w:rsidR="000F239A" w:rsidRPr="007E61A0" w:rsidRDefault="000F239A" w:rsidP="006D0001">
            <w:pPr>
              <w:pStyle w:val="TableText0"/>
              <w:jc w:val="center"/>
              <w:rPr>
                <w:bCs w:val="0"/>
              </w:rPr>
            </w:pPr>
            <w:r w:rsidRPr="007E61A0">
              <w:rPr>
                <w:bCs w:val="0"/>
              </w:rPr>
              <w:t xml:space="preserve">365.25 </w:t>
            </w:r>
          </w:p>
        </w:tc>
        <w:tc>
          <w:tcPr>
            <w:tcW w:w="2173" w:type="pct"/>
            <w:tcBorders>
              <w:top w:val="nil"/>
            </w:tcBorders>
          </w:tcPr>
          <w:p w14:paraId="2BCB9536" w14:textId="4F6B5265" w:rsidR="000F239A" w:rsidRPr="007E61A0" w:rsidRDefault="00503CA3" w:rsidP="006D0001">
            <w:pPr>
              <w:pStyle w:val="TableText0"/>
              <w:jc w:val="center"/>
              <w:rPr>
                <w:bCs w:val="0"/>
              </w:rPr>
            </w:pPr>
            <w:r w:rsidRPr="007E61A0">
              <w:rPr>
                <w:bCs w:val="0"/>
              </w:rPr>
              <w:t xml:space="preserve">Maintenance: </w:t>
            </w:r>
            <w:r w:rsidR="000F239A" w:rsidRPr="007E61A0">
              <w:rPr>
                <w:bCs w:val="0"/>
              </w:rPr>
              <w:t>365.25</w:t>
            </w:r>
          </w:p>
        </w:tc>
      </w:tr>
      <w:tr w:rsidR="000F239A" w:rsidRPr="007E61A0" w14:paraId="2FB3EEAD" w14:textId="77777777" w:rsidTr="00503CA3">
        <w:trPr>
          <w:cantSplit/>
          <w:jc w:val="center"/>
        </w:trPr>
        <w:tc>
          <w:tcPr>
            <w:tcW w:w="1098" w:type="pct"/>
            <w:shd w:val="clear" w:color="auto" w:fill="auto"/>
            <w:vAlign w:val="center"/>
          </w:tcPr>
          <w:p w14:paraId="63DDF7C6" w14:textId="1595EAFA" w:rsidR="000F239A" w:rsidRPr="007E61A0" w:rsidRDefault="000F239A" w:rsidP="006D0001">
            <w:pPr>
              <w:pStyle w:val="TableText0"/>
            </w:pPr>
            <w:r w:rsidRPr="007E61A0">
              <w:t>Compliance, %</w:t>
            </w:r>
            <w:r w:rsidR="006A30BA" w:rsidRPr="007E61A0">
              <w:t xml:space="preserve"> </w:t>
            </w:r>
          </w:p>
        </w:tc>
        <w:tc>
          <w:tcPr>
            <w:tcW w:w="1729" w:type="pct"/>
            <w:shd w:val="clear" w:color="auto" w:fill="auto"/>
            <w:vAlign w:val="center"/>
          </w:tcPr>
          <w:p w14:paraId="08E8C6FE" w14:textId="70BA7B42" w:rsidR="000F239A" w:rsidRPr="007E61A0" w:rsidRDefault="009942F6" w:rsidP="006D0001">
            <w:pPr>
              <w:pStyle w:val="TableText0"/>
              <w:jc w:val="center"/>
              <w:rPr>
                <w:bCs w:val="0"/>
              </w:rPr>
            </w:pPr>
            <w:r w:rsidRPr="009942F6">
              <w:rPr>
                <w:bCs w:val="0"/>
                <w:color w:val="000000"/>
                <w:shd w:val="solid" w:color="000000" w:fill="000000"/>
                <w14:textFill>
                  <w14:solidFill>
                    <w14:srgbClr w14:val="000000">
                      <w14:alpha w14:val="100000"/>
                    </w14:srgbClr>
                  </w14:solidFill>
                </w14:textFill>
              </w:rPr>
              <w:t>|</w:t>
            </w:r>
            <w:r w:rsidR="000F239A" w:rsidRPr="007E61A0">
              <w:rPr>
                <w:bCs w:val="0"/>
              </w:rPr>
              <w:t xml:space="preserve"> </w:t>
            </w:r>
            <w:r w:rsidR="00503CA3" w:rsidRPr="007E61A0">
              <w:rPr>
                <w:bCs w:val="0"/>
              </w:rPr>
              <w:t>[A]</w:t>
            </w:r>
          </w:p>
        </w:tc>
        <w:tc>
          <w:tcPr>
            <w:tcW w:w="2173" w:type="pct"/>
            <w:vAlign w:val="center"/>
          </w:tcPr>
          <w:p w14:paraId="20FD47B0" w14:textId="6949878A" w:rsidR="000F239A" w:rsidRPr="007E61A0" w:rsidRDefault="000F239A" w:rsidP="006D0001">
            <w:pPr>
              <w:pStyle w:val="TableText0"/>
              <w:jc w:val="center"/>
              <w:rPr>
                <w:bCs w:val="0"/>
              </w:rPr>
            </w:pPr>
            <w:r w:rsidRPr="007E61A0">
              <w:rPr>
                <w:bCs w:val="0"/>
              </w:rPr>
              <w:t>94.7</w:t>
            </w:r>
            <w:r w:rsidRPr="007E61A0">
              <w:rPr>
                <w:bCs w:val="0"/>
                <w:vertAlign w:val="superscript"/>
              </w:rPr>
              <w:t>o</w:t>
            </w:r>
            <w:r w:rsidRPr="007E61A0">
              <w:rPr>
                <w:bCs w:val="0"/>
              </w:rPr>
              <w:t xml:space="preserve"> </w:t>
            </w:r>
            <w:r w:rsidR="00503CA3" w:rsidRPr="007E61A0">
              <w:rPr>
                <w:bCs w:val="0"/>
              </w:rPr>
              <w:t>[B]</w:t>
            </w:r>
          </w:p>
        </w:tc>
      </w:tr>
      <w:tr w:rsidR="000F239A" w:rsidRPr="007E61A0" w14:paraId="51C03147" w14:textId="77777777" w:rsidTr="00503CA3">
        <w:trPr>
          <w:cantSplit/>
          <w:jc w:val="center"/>
        </w:trPr>
        <w:tc>
          <w:tcPr>
            <w:tcW w:w="1098" w:type="pct"/>
            <w:shd w:val="clear" w:color="auto" w:fill="auto"/>
            <w:vAlign w:val="center"/>
          </w:tcPr>
          <w:p w14:paraId="41991FC0" w14:textId="018EF37C" w:rsidR="000F239A" w:rsidRPr="007E61A0" w:rsidRDefault="000F239A" w:rsidP="006D0001">
            <w:pPr>
              <w:pStyle w:val="TableText0"/>
            </w:pPr>
            <w:r w:rsidRPr="007E61A0">
              <w:t>DPMQ</w:t>
            </w:r>
          </w:p>
        </w:tc>
        <w:tc>
          <w:tcPr>
            <w:tcW w:w="1729" w:type="pct"/>
            <w:tcBorders>
              <w:bottom w:val="single" w:sz="4" w:space="0" w:color="auto"/>
            </w:tcBorders>
            <w:shd w:val="clear" w:color="auto" w:fill="auto"/>
            <w:vAlign w:val="center"/>
          </w:tcPr>
          <w:p w14:paraId="1CC61177" w14:textId="42537000" w:rsidR="000F239A" w:rsidRPr="007E61A0" w:rsidRDefault="000F239A" w:rsidP="006D0001">
            <w:pPr>
              <w:pStyle w:val="TableText0"/>
              <w:jc w:val="center"/>
              <w:rPr>
                <w:bCs w:val="0"/>
              </w:rPr>
            </w:pPr>
            <w:r w:rsidRPr="007E61A0">
              <w:rPr>
                <w:bCs w:val="0"/>
              </w:rPr>
              <w:t>Effective DPMQ: $</w:t>
            </w:r>
            <w:r w:rsidR="009942F6" w:rsidRPr="009942F6">
              <w:rPr>
                <w:bCs w:val="0"/>
                <w:color w:val="000000"/>
                <w:shd w:val="solid" w:color="000000" w:fill="000000"/>
                <w14:textFill>
                  <w14:solidFill>
                    <w14:srgbClr w14:val="000000">
                      <w14:alpha w14:val="100000"/>
                    </w14:srgbClr>
                  </w14:solidFill>
                </w14:textFill>
              </w:rPr>
              <w:t>|</w:t>
            </w:r>
            <w:r w:rsidRPr="007E61A0">
              <w:rPr>
                <w:bCs w:val="0"/>
              </w:rPr>
              <w:t xml:space="preserve"> </w:t>
            </w:r>
            <w:r w:rsidR="00503CA3" w:rsidRPr="007E61A0">
              <w:rPr>
                <w:bCs w:val="0"/>
              </w:rPr>
              <w:t>[C]</w:t>
            </w:r>
          </w:p>
        </w:tc>
        <w:tc>
          <w:tcPr>
            <w:tcW w:w="2173" w:type="pct"/>
            <w:shd w:val="clear" w:color="auto" w:fill="auto"/>
            <w:vAlign w:val="center"/>
          </w:tcPr>
          <w:p w14:paraId="30C35C7F" w14:textId="6344B9F1" w:rsidR="000F239A" w:rsidRPr="007E61A0" w:rsidRDefault="000F239A" w:rsidP="006D0001">
            <w:pPr>
              <w:pStyle w:val="TableText0"/>
              <w:jc w:val="center"/>
              <w:rPr>
                <w:bCs w:val="0"/>
              </w:rPr>
            </w:pPr>
            <w:r w:rsidRPr="007E61A0">
              <w:rPr>
                <w:bCs w:val="0"/>
              </w:rPr>
              <w:t>Published DPMQ: $272.29 (titration pack)</w:t>
            </w:r>
            <w:r w:rsidR="00503CA3" w:rsidRPr="007E61A0">
              <w:rPr>
                <w:bCs w:val="0"/>
              </w:rPr>
              <w:t xml:space="preserve"> [D]</w:t>
            </w:r>
            <w:r w:rsidRPr="007E61A0">
              <w:rPr>
                <w:bCs w:val="0"/>
              </w:rPr>
              <w:t>, $652.80 (maintenance pack)</w:t>
            </w:r>
            <w:r w:rsidR="00503CA3" w:rsidRPr="007E61A0">
              <w:rPr>
                <w:bCs w:val="0"/>
              </w:rPr>
              <w:t xml:space="preserve"> [E]</w:t>
            </w:r>
          </w:p>
        </w:tc>
      </w:tr>
      <w:tr w:rsidR="006A30BA" w:rsidRPr="007E61A0" w14:paraId="766BEBBE" w14:textId="77777777" w:rsidTr="00503CA3">
        <w:trPr>
          <w:cantSplit/>
          <w:jc w:val="center"/>
        </w:trPr>
        <w:tc>
          <w:tcPr>
            <w:tcW w:w="1098" w:type="pct"/>
            <w:shd w:val="clear" w:color="auto" w:fill="auto"/>
            <w:vAlign w:val="center"/>
          </w:tcPr>
          <w:p w14:paraId="552F5E86" w14:textId="378D3064" w:rsidR="006A30BA" w:rsidRPr="007E61A0" w:rsidRDefault="006A30BA" w:rsidP="006D0001">
            <w:pPr>
              <w:pStyle w:val="TableText0"/>
            </w:pPr>
            <w:r w:rsidRPr="007E61A0">
              <w:t xml:space="preserve">Scripts/Year 1 </w:t>
            </w:r>
          </w:p>
        </w:tc>
        <w:tc>
          <w:tcPr>
            <w:tcW w:w="1729" w:type="pct"/>
            <w:shd w:val="clear" w:color="auto" w:fill="auto"/>
            <w:vAlign w:val="center"/>
          </w:tcPr>
          <w:p w14:paraId="70B6A38B" w14:textId="6F4F4964" w:rsidR="006A30BA" w:rsidRPr="007E61A0" w:rsidRDefault="009942F6" w:rsidP="006A30BA">
            <w:pPr>
              <w:pStyle w:val="TableText0"/>
              <w:jc w:val="center"/>
              <w:rPr>
                <w:bCs w:val="0"/>
              </w:rPr>
            </w:pPr>
            <w:r w:rsidRPr="009942F6">
              <w:rPr>
                <w:bCs w:val="0"/>
                <w:color w:val="000000"/>
                <w:shd w:val="solid" w:color="000000" w:fill="000000"/>
                <w14:textFill>
                  <w14:solidFill>
                    <w14:srgbClr w14:val="000000">
                      <w14:alpha w14:val="100000"/>
                    </w14:srgbClr>
                  </w14:solidFill>
                </w14:textFill>
              </w:rPr>
              <w:t>|</w:t>
            </w:r>
            <w:r w:rsidR="001E3A49">
              <w:rPr>
                <w:bCs w:val="0"/>
                <w:vertAlign w:val="superscript"/>
              </w:rPr>
              <w:t>1</w:t>
            </w:r>
            <w:r w:rsidR="006A30BA" w:rsidRPr="007E61A0">
              <w:rPr>
                <w:bCs w:val="0"/>
              </w:rPr>
              <w:t xml:space="preserve"> </w:t>
            </w:r>
            <w:r w:rsidR="00503CA3" w:rsidRPr="007E61A0">
              <w:rPr>
                <w:bCs w:val="0"/>
              </w:rPr>
              <w:t>[F</w:t>
            </w:r>
            <w:r w:rsidR="006A30BA" w:rsidRPr="007E61A0">
              <w:rPr>
                <w:bCs w:val="0"/>
              </w:rPr>
              <w:t xml:space="preserve">=365.25/28 x </w:t>
            </w:r>
            <w:r w:rsidR="00503CA3" w:rsidRPr="007E61A0">
              <w:rPr>
                <w:bCs w:val="0"/>
              </w:rPr>
              <w:t>A]</w:t>
            </w:r>
          </w:p>
        </w:tc>
        <w:tc>
          <w:tcPr>
            <w:tcW w:w="2173" w:type="pct"/>
            <w:shd w:val="clear" w:color="auto" w:fill="auto"/>
            <w:vAlign w:val="center"/>
          </w:tcPr>
          <w:p w14:paraId="71A7CD2B" w14:textId="668D74C4" w:rsidR="006A30BA" w:rsidRPr="007E61A0" w:rsidRDefault="006A30BA" w:rsidP="006D0001">
            <w:pPr>
              <w:pStyle w:val="TableText0"/>
              <w:jc w:val="center"/>
              <w:rPr>
                <w:bCs w:val="0"/>
              </w:rPr>
            </w:pPr>
            <w:r w:rsidRPr="007E61A0">
              <w:rPr>
                <w:bCs w:val="0"/>
              </w:rPr>
              <w:t>Titration pack: 1</w:t>
            </w:r>
            <w:r w:rsidR="00503CA3" w:rsidRPr="007E61A0">
              <w:rPr>
                <w:bCs w:val="0"/>
              </w:rPr>
              <w:t xml:space="preserve"> [G]</w:t>
            </w:r>
          </w:p>
          <w:p w14:paraId="127A3C67" w14:textId="7DE2D193" w:rsidR="006A30BA" w:rsidRPr="007E61A0" w:rsidRDefault="006A30BA" w:rsidP="006D0001">
            <w:pPr>
              <w:pStyle w:val="TableText0"/>
              <w:jc w:val="center"/>
              <w:rPr>
                <w:bCs w:val="0"/>
              </w:rPr>
            </w:pPr>
            <w:r w:rsidRPr="007E61A0">
              <w:rPr>
                <w:bCs w:val="0"/>
              </w:rPr>
              <w:t xml:space="preserve">Maintenance pack: 11.85 </w:t>
            </w:r>
            <w:r w:rsidR="00503CA3" w:rsidRPr="007E61A0">
              <w:rPr>
                <w:bCs w:val="0"/>
              </w:rPr>
              <w:t>[H</w:t>
            </w:r>
            <w:r w:rsidRPr="007E61A0">
              <w:rPr>
                <w:bCs w:val="0"/>
              </w:rPr>
              <w:t xml:space="preserve">=350.25/28 x </w:t>
            </w:r>
            <w:r w:rsidR="00503CA3" w:rsidRPr="007E61A0">
              <w:rPr>
                <w:bCs w:val="0"/>
              </w:rPr>
              <w:t>B]</w:t>
            </w:r>
          </w:p>
        </w:tc>
      </w:tr>
      <w:tr w:rsidR="006A30BA" w:rsidRPr="007E61A0" w14:paraId="42DC86EF" w14:textId="77777777" w:rsidTr="00503CA3">
        <w:trPr>
          <w:cantSplit/>
          <w:jc w:val="center"/>
        </w:trPr>
        <w:tc>
          <w:tcPr>
            <w:tcW w:w="1098" w:type="pct"/>
            <w:tcBorders>
              <w:bottom w:val="single" w:sz="4" w:space="0" w:color="auto"/>
            </w:tcBorders>
            <w:shd w:val="clear" w:color="auto" w:fill="auto"/>
            <w:vAlign w:val="center"/>
          </w:tcPr>
          <w:p w14:paraId="253FDE4C" w14:textId="7C265E1F" w:rsidR="006A30BA" w:rsidRPr="007E61A0" w:rsidRDefault="006A30BA" w:rsidP="006D0001">
            <w:pPr>
              <w:pStyle w:val="TableText0"/>
            </w:pPr>
            <w:r w:rsidRPr="007E61A0">
              <w:t>Scripts/Year 2</w:t>
            </w:r>
          </w:p>
        </w:tc>
        <w:tc>
          <w:tcPr>
            <w:tcW w:w="1729" w:type="pct"/>
            <w:tcBorders>
              <w:bottom w:val="single" w:sz="4" w:space="0" w:color="auto"/>
            </w:tcBorders>
            <w:shd w:val="clear" w:color="auto" w:fill="auto"/>
            <w:vAlign w:val="center"/>
          </w:tcPr>
          <w:p w14:paraId="6C4D2528" w14:textId="2E67B965" w:rsidR="006A30BA" w:rsidRPr="007E61A0" w:rsidRDefault="00F875C5" w:rsidP="006D0001">
            <w:pPr>
              <w:pStyle w:val="TableText0"/>
              <w:jc w:val="center"/>
              <w:rPr>
                <w:bCs w:val="0"/>
              </w:rPr>
            </w:pPr>
            <w:r w:rsidRPr="007E61A0">
              <w:rPr>
                <w:bCs w:val="0"/>
              </w:rPr>
              <w:t>Same as Year 1</w:t>
            </w:r>
          </w:p>
        </w:tc>
        <w:tc>
          <w:tcPr>
            <w:tcW w:w="2173" w:type="pct"/>
            <w:tcBorders>
              <w:bottom w:val="single" w:sz="4" w:space="0" w:color="auto"/>
            </w:tcBorders>
            <w:shd w:val="clear" w:color="auto" w:fill="auto"/>
            <w:vAlign w:val="center"/>
          </w:tcPr>
          <w:p w14:paraId="2E71126C" w14:textId="2A2DD537" w:rsidR="006A30BA" w:rsidRPr="007E61A0" w:rsidRDefault="006A30BA" w:rsidP="006D0001">
            <w:pPr>
              <w:pStyle w:val="TableText0"/>
              <w:jc w:val="center"/>
              <w:rPr>
                <w:bCs w:val="0"/>
              </w:rPr>
            </w:pPr>
            <w:r w:rsidRPr="007E61A0">
              <w:rPr>
                <w:bCs w:val="0"/>
              </w:rPr>
              <w:t>Maintenance pack: 12.35</w:t>
            </w:r>
            <w:r w:rsidR="00503CA3" w:rsidRPr="007E61A0">
              <w:rPr>
                <w:bCs w:val="0"/>
              </w:rPr>
              <w:t>[I</w:t>
            </w:r>
            <w:r w:rsidRPr="007E61A0">
              <w:rPr>
                <w:bCs w:val="0"/>
              </w:rPr>
              <w:t xml:space="preserve">=365.25/28 x </w:t>
            </w:r>
            <w:r w:rsidR="00503CA3" w:rsidRPr="007E61A0">
              <w:rPr>
                <w:bCs w:val="0"/>
              </w:rPr>
              <w:t>B]</w:t>
            </w:r>
          </w:p>
        </w:tc>
      </w:tr>
      <w:tr w:rsidR="000F239A" w:rsidRPr="007E61A0" w14:paraId="1981491C" w14:textId="77777777" w:rsidTr="00503CA3">
        <w:trPr>
          <w:cantSplit/>
          <w:jc w:val="center"/>
        </w:trPr>
        <w:tc>
          <w:tcPr>
            <w:tcW w:w="1098" w:type="pct"/>
            <w:tcBorders>
              <w:bottom w:val="single" w:sz="4" w:space="0" w:color="auto"/>
              <w:right w:val="nil"/>
            </w:tcBorders>
            <w:shd w:val="clear" w:color="auto" w:fill="auto"/>
            <w:vAlign w:val="center"/>
          </w:tcPr>
          <w:p w14:paraId="21316687" w14:textId="2E605D84" w:rsidR="000F239A" w:rsidRPr="007E61A0" w:rsidRDefault="000F239A" w:rsidP="006D0001">
            <w:pPr>
              <w:pStyle w:val="TableText0"/>
            </w:pPr>
            <w:r w:rsidRPr="007E61A0">
              <w:t xml:space="preserve">Cost/patient </w:t>
            </w:r>
          </w:p>
        </w:tc>
        <w:tc>
          <w:tcPr>
            <w:tcW w:w="1729" w:type="pct"/>
            <w:tcBorders>
              <w:left w:val="nil"/>
              <w:bottom w:val="single" w:sz="4" w:space="0" w:color="auto"/>
              <w:right w:val="nil"/>
            </w:tcBorders>
            <w:shd w:val="clear" w:color="auto" w:fill="auto"/>
            <w:vAlign w:val="center"/>
          </w:tcPr>
          <w:p w14:paraId="77ACBC94" w14:textId="77777777" w:rsidR="000F239A" w:rsidRPr="007E61A0" w:rsidRDefault="000F239A" w:rsidP="006D0001">
            <w:pPr>
              <w:pStyle w:val="TableText0"/>
              <w:jc w:val="center"/>
            </w:pPr>
          </w:p>
        </w:tc>
        <w:tc>
          <w:tcPr>
            <w:tcW w:w="2173" w:type="pct"/>
            <w:tcBorders>
              <w:left w:val="nil"/>
              <w:bottom w:val="single" w:sz="4" w:space="0" w:color="auto"/>
            </w:tcBorders>
            <w:vAlign w:val="center"/>
          </w:tcPr>
          <w:p w14:paraId="70E19796" w14:textId="77777777" w:rsidR="000F239A" w:rsidRPr="007E61A0" w:rsidRDefault="000F239A" w:rsidP="006D0001">
            <w:pPr>
              <w:pStyle w:val="TableText0"/>
              <w:jc w:val="center"/>
            </w:pPr>
          </w:p>
        </w:tc>
      </w:tr>
      <w:tr w:rsidR="000F239A" w:rsidRPr="007E61A0" w14:paraId="0E13A7D4" w14:textId="77777777" w:rsidTr="00503CA3">
        <w:trPr>
          <w:cantSplit/>
          <w:jc w:val="center"/>
        </w:trPr>
        <w:tc>
          <w:tcPr>
            <w:tcW w:w="1098" w:type="pct"/>
            <w:tcBorders>
              <w:top w:val="single" w:sz="4" w:space="0" w:color="auto"/>
              <w:bottom w:val="single" w:sz="4" w:space="0" w:color="auto"/>
            </w:tcBorders>
            <w:shd w:val="clear" w:color="auto" w:fill="auto"/>
            <w:vAlign w:val="center"/>
          </w:tcPr>
          <w:p w14:paraId="136B9286" w14:textId="38B51A2D" w:rsidR="000F239A" w:rsidRPr="007E61A0" w:rsidRDefault="000F239A" w:rsidP="00F256CB">
            <w:pPr>
              <w:pStyle w:val="TableText0"/>
            </w:pPr>
            <w:r w:rsidRPr="007E61A0">
              <w:t>Y</w:t>
            </w:r>
            <w:r w:rsidR="006A30BA" w:rsidRPr="007E61A0">
              <w:t xml:space="preserve">ear </w:t>
            </w:r>
            <w:r w:rsidRPr="007E61A0">
              <w:t>1</w:t>
            </w:r>
          </w:p>
        </w:tc>
        <w:tc>
          <w:tcPr>
            <w:tcW w:w="1729" w:type="pct"/>
            <w:tcBorders>
              <w:top w:val="single" w:sz="4" w:space="0" w:color="auto"/>
              <w:bottom w:val="single" w:sz="4" w:space="0" w:color="auto"/>
            </w:tcBorders>
            <w:shd w:val="clear" w:color="auto" w:fill="auto"/>
            <w:vAlign w:val="center"/>
          </w:tcPr>
          <w:p w14:paraId="7A77A7C2" w14:textId="0AB4F14D" w:rsidR="000F239A" w:rsidRPr="007E61A0" w:rsidRDefault="000F239A" w:rsidP="00F256CB">
            <w:pPr>
              <w:pStyle w:val="TableText0"/>
              <w:jc w:val="center"/>
              <w:rPr>
                <w:vertAlign w:val="superscript"/>
              </w:rPr>
            </w:pPr>
            <w:r w:rsidRPr="007E61A0">
              <w:t>$</w:t>
            </w:r>
            <w:r w:rsidR="009942F6" w:rsidRPr="009942F6">
              <w:rPr>
                <w:color w:val="000000"/>
                <w:shd w:val="solid" w:color="000000" w:fill="000000"/>
                <w14:textFill>
                  <w14:solidFill>
                    <w14:srgbClr w14:val="000000">
                      <w14:alpha w14:val="100000"/>
                    </w14:srgbClr>
                  </w14:solidFill>
                </w14:textFill>
              </w:rPr>
              <w:t>|</w:t>
            </w:r>
            <w:r w:rsidR="006A30BA" w:rsidRPr="007E61A0">
              <w:t xml:space="preserve"> </w:t>
            </w:r>
            <w:r w:rsidR="00503CA3" w:rsidRPr="007E61A0">
              <w:t>[J</w:t>
            </w:r>
            <w:r w:rsidR="006A30BA" w:rsidRPr="007E61A0">
              <w:t>=</w:t>
            </w:r>
            <w:r w:rsidR="00503CA3" w:rsidRPr="007E61A0">
              <w:t>C x F]</w:t>
            </w:r>
          </w:p>
        </w:tc>
        <w:tc>
          <w:tcPr>
            <w:tcW w:w="2173" w:type="pct"/>
            <w:tcBorders>
              <w:top w:val="single" w:sz="4" w:space="0" w:color="auto"/>
              <w:bottom w:val="single" w:sz="4" w:space="0" w:color="auto"/>
            </w:tcBorders>
            <w:vAlign w:val="center"/>
          </w:tcPr>
          <w:p w14:paraId="44278D30" w14:textId="48DBA8BB" w:rsidR="00503CA3" w:rsidRPr="007E61A0" w:rsidRDefault="00503CA3" w:rsidP="00F256CB">
            <w:pPr>
              <w:pStyle w:val="TableText0"/>
              <w:jc w:val="center"/>
            </w:pPr>
            <w:r w:rsidRPr="007E61A0">
              <w:t xml:space="preserve">Titration: </w:t>
            </w:r>
            <w:r w:rsidR="000F239A" w:rsidRPr="007E61A0">
              <w:t xml:space="preserve">$272.29 </w:t>
            </w:r>
            <w:r w:rsidRPr="007E61A0">
              <w:t>[L = D x G]</w:t>
            </w:r>
          </w:p>
          <w:p w14:paraId="351552BB" w14:textId="4196A8DC" w:rsidR="000F239A" w:rsidRPr="007E61A0" w:rsidRDefault="00503CA3" w:rsidP="00F256CB">
            <w:pPr>
              <w:pStyle w:val="TableText0"/>
              <w:jc w:val="center"/>
              <w:rPr>
                <w:vertAlign w:val="superscript"/>
              </w:rPr>
            </w:pPr>
            <w:r w:rsidRPr="007E61A0">
              <w:t xml:space="preserve">Maintenance: </w:t>
            </w:r>
            <w:r w:rsidR="000F239A" w:rsidRPr="007E61A0">
              <w:t>$7,733.04</w:t>
            </w:r>
            <w:r w:rsidR="0025082A" w:rsidRPr="007E61A0">
              <w:t xml:space="preserve"> </w:t>
            </w:r>
            <w:r w:rsidRPr="007E61A0">
              <w:t xml:space="preserve">[M </w:t>
            </w:r>
            <w:r w:rsidR="0025082A" w:rsidRPr="007E61A0">
              <w:t>=</w:t>
            </w:r>
            <w:r w:rsidRPr="007E61A0">
              <w:t xml:space="preserve"> E x H]</w:t>
            </w:r>
          </w:p>
        </w:tc>
      </w:tr>
      <w:tr w:rsidR="000F239A" w:rsidRPr="007E61A0" w14:paraId="660E4334" w14:textId="77777777" w:rsidTr="00503CA3">
        <w:trPr>
          <w:cantSplit/>
          <w:jc w:val="center"/>
        </w:trPr>
        <w:tc>
          <w:tcPr>
            <w:tcW w:w="1098" w:type="pct"/>
            <w:tcBorders>
              <w:top w:val="single" w:sz="4" w:space="0" w:color="auto"/>
            </w:tcBorders>
            <w:shd w:val="clear" w:color="auto" w:fill="auto"/>
            <w:vAlign w:val="center"/>
          </w:tcPr>
          <w:p w14:paraId="231A25F7" w14:textId="4997E80D" w:rsidR="000F239A" w:rsidRPr="007E61A0" w:rsidRDefault="000F239A" w:rsidP="00F256CB">
            <w:pPr>
              <w:pStyle w:val="TableText0"/>
            </w:pPr>
            <w:r w:rsidRPr="007E61A0">
              <w:t>Y</w:t>
            </w:r>
            <w:r w:rsidR="006A30BA" w:rsidRPr="007E61A0">
              <w:t xml:space="preserve">ear </w:t>
            </w:r>
            <w:r w:rsidRPr="007E61A0">
              <w:t>2</w:t>
            </w:r>
          </w:p>
        </w:tc>
        <w:tc>
          <w:tcPr>
            <w:tcW w:w="1729" w:type="pct"/>
            <w:tcBorders>
              <w:top w:val="single" w:sz="4" w:space="0" w:color="auto"/>
            </w:tcBorders>
            <w:shd w:val="clear" w:color="auto" w:fill="auto"/>
            <w:vAlign w:val="center"/>
          </w:tcPr>
          <w:p w14:paraId="071AB3C2" w14:textId="5AB5AC6E" w:rsidR="000F239A" w:rsidRPr="007E61A0" w:rsidRDefault="000F239A" w:rsidP="00F256CB">
            <w:pPr>
              <w:pStyle w:val="TableText0"/>
              <w:jc w:val="center"/>
              <w:rPr>
                <w:vertAlign w:val="superscript"/>
              </w:rPr>
            </w:pPr>
            <w:r w:rsidRPr="007E61A0">
              <w:t>$</w:t>
            </w:r>
            <w:r w:rsidR="009942F6" w:rsidRPr="009942F6">
              <w:rPr>
                <w:color w:val="000000"/>
                <w:shd w:val="solid" w:color="000000" w:fill="000000"/>
                <w14:textFill>
                  <w14:solidFill>
                    <w14:srgbClr w14:val="000000">
                      <w14:alpha w14:val="100000"/>
                    </w14:srgbClr>
                  </w14:solidFill>
                </w14:textFill>
              </w:rPr>
              <w:t>|</w:t>
            </w:r>
            <w:r w:rsidR="006A30BA" w:rsidRPr="007E61A0">
              <w:t xml:space="preserve"> </w:t>
            </w:r>
            <w:r w:rsidR="00503CA3" w:rsidRPr="007E61A0">
              <w:t>[K</w:t>
            </w:r>
            <w:r w:rsidR="006A30BA" w:rsidRPr="007E61A0">
              <w:t>=</w:t>
            </w:r>
            <w:r w:rsidR="00503CA3" w:rsidRPr="007E61A0">
              <w:t>C x F]</w:t>
            </w:r>
            <w:r w:rsidRPr="007E61A0">
              <w:rPr>
                <w:vertAlign w:val="superscript"/>
              </w:rPr>
              <w:t xml:space="preserve"> </w:t>
            </w:r>
          </w:p>
        </w:tc>
        <w:tc>
          <w:tcPr>
            <w:tcW w:w="2173" w:type="pct"/>
            <w:tcBorders>
              <w:top w:val="single" w:sz="4" w:space="0" w:color="auto"/>
            </w:tcBorders>
            <w:vAlign w:val="center"/>
          </w:tcPr>
          <w:p w14:paraId="0C59A4A7" w14:textId="5F330A45" w:rsidR="000F239A" w:rsidRPr="007E61A0" w:rsidRDefault="00503CA3" w:rsidP="00F256CB">
            <w:pPr>
              <w:pStyle w:val="TableText0"/>
              <w:jc w:val="center"/>
            </w:pPr>
            <w:r w:rsidRPr="007E61A0">
              <w:t xml:space="preserve">Maintenance: </w:t>
            </w:r>
            <w:r w:rsidR="000F239A" w:rsidRPr="007E61A0">
              <w:t>$8,064.22</w:t>
            </w:r>
            <w:r w:rsidR="0025082A" w:rsidRPr="007E61A0">
              <w:t xml:space="preserve"> </w:t>
            </w:r>
            <w:r w:rsidRPr="007E61A0">
              <w:t xml:space="preserve">[N </w:t>
            </w:r>
            <w:r w:rsidR="0025082A" w:rsidRPr="007E61A0">
              <w:t>=</w:t>
            </w:r>
            <w:r w:rsidRPr="007E61A0">
              <w:t xml:space="preserve"> E </w:t>
            </w:r>
            <w:r w:rsidR="0025082A" w:rsidRPr="007E61A0">
              <w:t xml:space="preserve">x </w:t>
            </w:r>
            <w:r w:rsidRPr="007E61A0">
              <w:t>I]</w:t>
            </w:r>
          </w:p>
        </w:tc>
      </w:tr>
      <w:tr w:rsidR="000F239A" w:rsidRPr="007E61A0" w14:paraId="7436E2D4" w14:textId="77777777" w:rsidTr="00503CA3">
        <w:trPr>
          <w:cantSplit/>
          <w:jc w:val="center"/>
        </w:trPr>
        <w:tc>
          <w:tcPr>
            <w:tcW w:w="1098" w:type="pct"/>
            <w:shd w:val="clear" w:color="auto" w:fill="auto"/>
            <w:vAlign w:val="center"/>
          </w:tcPr>
          <w:p w14:paraId="4C35117F" w14:textId="77777777" w:rsidR="000F239A" w:rsidRPr="007E61A0" w:rsidRDefault="000F239A" w:rsidP="00F256CB">
            <w:pPr>
              <w:pStyle w:val="TableText0"/>
            </w:pPr>
            <w:r w:rsidRPr="007E61A0">
              <w:t>First 2 years</w:t>
            </w:r>
          </w:p>
        </w:tc>
        <w:tc>
          <w:tcPr>
            <w:tcW w:w="1729" w:type="pct"/>
            <w:shd w:val="clear" w:color="auto" w:fill="auto"/>
            <w:vAlign w:val="center"/>
          </w:tcPr>
          <w:p w14:paraId="3DF70C36" w14:textId="3771D44D" w:rsidR="000F239A" w:rsidRPr="007E61A0" w:rsidRDefault="000F239A" w:rsidP="00F256CB">
            <w:pPr>
              <w:pStyle w:val="TableText0"/>
              <w:jc w:val="center"/>
            </w:pPr>
            <w:r w:rsidRPr="007E61A0">
              <w:t>$</w:t>
            </w:r>
            <w:r w:rsidR="009942F6" w:rsidRPr="009942F6">
              <w:rPr>
                <w:color w:val="000000"/>
                <w:shd w:val="solid" w:color="000000" w:fill="000000"/>
                <w14:textFill>
                  <w14:solidFill>
                    <w14:srgbClr w14:val="000000">
                      <w14:alpha w14:val="100000"/>
                    </w14:srgbClr>
                  </w14:solidFill>
                </w14:textFill>
              </w:rPr>
              <w:t>|</w:t>
            </w:r>
            <w:r w:rsidRPr="007E61A0">
              <w:rPr>
                <w:vertAlign w:val="superscript"/>
              </w:rPr>
              <w:t xml:space="preserve"> </w:t>
            </w:r>
            <w:r w:rsidR="00503CA3" w:rsidRPr="007E61A0">
              <w:t>[= J + K]</w:t>
            </w:r>
          </w:p>
        </w:tc>
        <w:tc>
          <w:tcPr>
            <w:tcW w:w="2173" w:type="pct"/>
            <w:vAlign w:val="center"/>
          </w:tcPr>
          <w:p w14:paraId="7C8778EC" w14:textId="18CB7768" w:rsidR="000F239A" w:rsidRPr="007E61A0" w:rsidRDefault="000F239A" w:rsidP="00F256CB">
            <w:pPr>
              <w:pStyle w:val="TableText0"/>
              <w:jc w:val="center"/>
            </w:pPr>
            <w:r w:rsidRPr="007E61A0">
              <w:t>$16,069.55</w:t>
            </w:r>
            <w:r w:rsidR="00503CA3" w:rsidRPr="007E61A0">
              <w:t xml:space="preserve"> [= L + M + N]</w:t>
            </w:r>
          </w:p>
        </w:tc>
      </w:tr>
    </w:tbl>
    <w:bookmarkEnd w:id="74"/>
    <w:p w14:paraId="5BDAFEFF" w14:textId="46D8BD71" w:rsidR="00DA10BD" w:rsidRPr="007E61A0" w:rsidRDefault="00DA10BD" w:rsidP="00DA10BD">
      <w:pPr>
        <w:pStyle w:val="FooterTableFigure"/>
      </w:pPr>
      <w:r w:rsidRPr="007E61A0">
        <w:t xml:space="preserve">Source: table constructed during the evaluation based on information provided in the economic and financial models supplied with the submission. </w:t>
      </w:r>
      <w:r w:rsidR="004A706E" w:rsidRPr="007E61A0">
        <w:t>Table</w:t>
      </w:r>
      <w:r w:rsidR="001A31ED" w:rsidRPr="007E61A0">
        <w:t>s</w:t>
      </w:r>
      <w:r w:rsidR="004A706E" w:rsidRPr="007E61A0">
        <w:t xml:space="preserve"> 89</w:t>
      </w:r>
      <w:r w:rsidR="001A31ED" w:rsidRPr="007E61A0">
        <w:t>-91</w:t>
      </w:r>
      <w:r w:rsidRPr="007E61A0">
        <w:t>, p</w:t>
      </w:r>
      <w:r w:rsidR="001A31ED" w:rsidRPr="007E61A0">
        <w:t>p</w:t>
      </w:r>
      <w:r w:rsidR="004A706E" w:rsidRPr="007E61A0">
        <w:t>157</w:t>
      </w:r>
      <w:r w:rsidR="001A31ED" w:rsidRPr="007E61A0">
        <w:t>-158 and 176</w:t>
      </w:r>
      <w:r w:rsidRPr="007E61A0">
        <w:t xml:space="preserve"> of the submission.</w:t>
      </w:r>
    </w:p>
    <w:p w14:paraId="7B7552CD" w14:textId="438B4757" w:rsidR="00DA10BD" w:rsidRPr="007E61A0" w:rsidRDefault="00DA10BD" w:rsidP="00DA10BD">
      <w:pPr>
        <w:pStyle w:val="FooterTableFigure"/>
      </w:pPr>
      <w:r w:rsidRPr="007E61A0">
        <w:t>DPMQ = Dispensed Price for Maximum Quantity</w:t>
      </w:r>
      <w:r w:rsidR="00503CA3" w:rsidRPr="007E61A0">
        <w:t>.</w:t>
      </w:r>
      <w:r w:rsidRPr="007E61A0">
        <w:t xml:space="preserve"> </w:t>
      </w:r>
    </w:p>
    <w:p w14:paraId="31594019" w14:textId="413ADC86" w:rsidR="00DA10BD" w:rsidRDefault="000F239A" w:rsidP="00DA10BD">
      <w:pPr>
        <w:pStyle w:val="FooterTableFigure"/>
      </w:pPr>
      <w:r w:rsidRPr="007E61A0">
        <w:rPr>
          <w:vertAlign w:val="superscript"/>
        </w:rPr>
        <w:t>a</w:t>
      </w:r>
      <w:r w:rsidR="00DA10BD" w:rsidRPr="007E61A0">
        <w:t xml:space="preserve"> 350.25 = 365.25-15 in the submission. It is not clear why the submission minus 15 rather than 14 to account for the apremilast starting titration pack). </w:t>
      </w:r>
    </w:p>
    <w:p w14:paraId="0A2ACBC3" w14:textId="157FB3A1" w:rsidR="001E3A49" w:rsidRPr="001E3A49" w:rsidRDefault="001E3A49" w:rsidP="00DA10BD">
      <w:pPr>
        <w:pStyle w:val="FooterTableFigure"/>
        <w:rPr>
          <w:i/>
          <w:iCs/>
        </w:rPr>
      </w:pPr>
      <w:r w:rsidRPr="001E3A49">
        <w:rPr>
          <w:i/>
          <w:iCs/>
        </w:rPr>
        <w:t>The redacted value correspond to the following range:</w:t>
      </w:r>
    </w:p>
    <w:p w14:paraId="5F1AE24E" w14:textId="287C4E8C" w:rsidR="001E3A49" w:rsidRPr="001E3A49" w:rsidRDefault="001E3A49" w:rsidP="00DA10BD">
      <w:pPr>
        <w:pStyle w:val="FooterTableFigure"/>
        <w:rPr>
          <w:i/>
          <w:iCs/>
        </w:rPr>
      </w:pPr>
      <w:r w:rsidRPr="001E3A49">
        <w:rPr>
          <w:i/>
          <w:iCs/>
          <w:vertAlign w:val="superscript"/>
        </w:rPr>
        <w:t>1</w:t>
      </w:r>
      <w:r w:rsidRPr="001E3A49">
        <w:rPr>
          <w:i/>
          <w:iCs/>
        </w:rPr>
        <w:t xml:space="preserve"> &lt; 500</w:t>
      </w:r>
    </w:p>
    <w:p w14:paraId="596FB164" w14:textId="77777777" w:rsidR="00DA10BD" w:rsidRPr="007E61A0" w:rsidRDefault="00DA10BD" w:rsidP="00DA10BD">
      <w:pPr>
        <w:pStyle w:val="4-SubsectionHeading"/>
        <w:rPr>
          <w:iCs/>
        </w:rPr>
      </w:pPr>
      <w:bookmarkStart w:id="76" w:name="_Toc22897647"/>
      <w:bookmarkStart w:id="77" w:name="_Toc111469193"/>
      <w:bookmarkStart w:id="78" w:name="_Toc113968827"/>
      <w:bookmarkEnd w:id="75"/>
      <w:r w:rsidRPr="007E61A0">
        <w:rPr>
          <w:iCs/>
        </w:rPr>
        <w:t>Estimated PBS usage &amp; financial implications</w:t>
      </w:r>
      <w:bookmarkEnd w:id="76"/>
      <w:bookmarkEnd w:id="77"/>
      <w:bookmarkEnd w:id="78"/>
    </w:p>
    <w:p w14:paraId="37BC5C9E" w14:textId="3658287B" w:rsidR="00FA6969" w:rsidRPr="007E61A0" w:rsidRDefault="00FA6969" w:rsidP="00FA6969">
      <w:pPr>
        <w:pStyle w:val="3-BodyText"/>
        <w:rPr>
          <w:color w:val="0066FF"/>
        </w:rPr>
      </w:pPr>
      <w:bookmarkStart w:id="79" w:name="_Toc22897649"/>
      <w:bookmarkStart w:id="80" w:name="_Toc111469195"/>
      <w:bookmarkStart w:id="81" w:name="_Toc113968829"/>
      <w:r w:rsidRPr="007E61A0">
        <w:t xml:space="preserve">This submission was considered by DUSC. The submission used an epidemiological approach to estimate the number of eligible patients. </w:t>
      </w:r>
    </w:p>
    <w:p w14:paraId="5039FDE0" w14:textId="59210849" w:rsidR="00FA6969" w:rsidRPr="007E61A0" w:rsidRDefault="00FA6969" w:rsidP="00FA6969">
      <w:pPr>
        <w:pStyle w:val="3-BodyText"/>
        <w:rPr>
          <w:color w:val="0066FF"/>
        </w:rPr>
      </w:pPr>
      <w:r w:rsidRPr="007E61A0">
        <w:fldChar w:fldCharType="begin" w:fldLock="1"/>
      </w:r>
      <w:r w:rsidRPr="007E61A0">
        <w:instrText xml:space="preserve"> REF _Ref104805262 \h  \* MERGEFORMAT </w:instrText>
      </w:r>
      <w:r w:rsidRPr="007E61A0">
        <w:fldChar w:fldCharType="separate"/>
      </w:r>
      <w:r w:rsidR="00EC7993" w:rsidRPr="007E61A0">
        <w:t xml:space="preserve">Table </w:t>
      </w:r>
      <w:r w:rsidR="00EC7993">
        <w:t>15</w:t>
      </w:r>
      <w:r w:rsidRPr="007E61A0">
        <w:fldChar w:fldCharType="end"/>
      </w:r>
      <w:r w:rsidRPr="007E61A0">
        <w:t xml:space="preserve"> outlines the key inputs relied on in the financial estimates.</w:t>
      </w:r>
    </w:p>
    <w:p w14:paraId="5BCD6A77" w14:textId="7022F51C" w:rsidR="00FA6969" w:rsidRPr="007E61A0" w:rsidRDefault="00FA6969" w:rsidP="00FA6969">
      <w:pPr>
        <w:pStyle w:val="Caption"/>
        <w:rPr>
          <w:rStyle w:val="CommentReference"/>
          <w:b/>
          <w:szCs w:val="24"/>
        </w:rPr>
      </w:pPr>
      <w:bookmarkStart w:id="82" w:name="_Ref104805262"/>
      <w:r w:rsidRPr="007E61A0">
        <w:lastRenderedPageBreak/>
        <w:t xml:space="preserve">Table </w:t>
      </w:r>
      <w:fldSimple w:instr=" SEQ Table \* ARABIC " w:fldLock="1">
        <w:r w:rsidR="00EC7993">
          <w:rPr>
            <w:noProof/>
          </w:rPr>
          <w:t>15</w:t>
        </w:r>
      </w:fldSimple>
      <w:bookmarkEnd w:id="82"/>
      <w:r w:rsidRPr="007E61A0">
        <w:t>:</w:t>
      </w:r>
      <w:r w:rsidRPr="007E61A0">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3102"/>
        <w:gridCol w:w="4202"/>
      </w:tblGrid>
      <w:tr w:rsidR="00FA6969" w:rsidRPr="007E61A0" w14:paraId="2AD7CCEF" w14:textId="77777777" w:rsidTr="00925847">
        <w:trPr>
          <w:tblHeader/>
        </w:trPr>
        <w:tc>
          <w:tcPr>
            <w:tcW w:w="950" w:type="pct"/>
            <w:shd w:val="clear" w:color="auto" w:fill="auto"/>
            <w:vAlign w:val="center"/>
          </w:tcPr>
          <w:p w14:paraId="727A4D3D" w14:textId="77777777" w:rsidR="00FA6969" w:rsidRPr="007E61A0" w:rsidRDefault="00FA6969" w:rsidP="00925847">
            <w:pPr>
              <w:pStyle w:val="In-tableHeading"/>
              <w:jc w:val="center"/>
              <w:rPr>
                <w:lang w:val="en-AU"/>
              </w:rPr>
            </w:pPr>
            <w:r w:rsidRPr="007E61A0">
              <w:rPr>
                <w:lang w:val="en-AU"/>
              </w:rPr>
              <w:t>Parameter</w:t>
            </w:r>
          </w:p>
        </w:tc>
        <w:tc>
          <w:tcPr>
            <w:tcW w:w="1720" w:type="pct"/>
            <w:shd w:val="clear" w:color="auto" w:fill="auto"/>
            <w:vAlign w:val="center"/>
          </w:tcPr>
          <w:p w14:paraId="58F22095" w14:textId="77777777" w:rsidR="00FA6969" w:rsidRPr="007E61A0" w:rsidRDefault="00FA6969" w:rsidP="00925847">
            <w:pPr>
              <w:pStyle w:val="In-tableHeading"/>
              <w:jc w:val="center"/>
              <w:rPr>
                <w:lang w:val="en-AU"/>
              </w:rPr>
            </w:pPr>
            <w:r w:rsidRPr="007E61A0">
              <w:rPr>
                <w:lang w:val="en-AU"/>
              </w:rPr>
              <w:t>Value applied and source</w:t>
            </w:r>
          </w:p>
        </w:tc>
        <w:tc>
          <w:tcPr>
            <w:tcW w:w="2330" w:type="pct"/>
            <w:shd w:val="clear" w:color="auto" w:fill="auto"/>
            <w:vAlign w:val="center"/>
          </w:tcPr>
          <w:p w14:paraId="5BD8E50B" w14:textId="77777777" w:rsidR="00FA6969" w:rsidRPr="007E61A0" w:rsidRDefault="00FA6969" w:rsidP="00925847">
            <w:pPr>
              <w:pStyle w:val="In-tableHeading"/>
              <w:jc w:val="center"/>
              <w:rPr>
                <w:lang w:val="en-AU"/>
              </w:rPr>
            </w:pPr>
            <w:r w:rsidRPr="007E61A0">
              <w:rPr>
                <w:lang w:val="en-AU"/>
              </w:rPr>
              <w:t>Comment</w:t>
            </w:r>
          </w:p>
        </w:tc>
      </w:tr>
      <w:tr w:rsidR="00FA6969" w:rsidRPr="007E61A0" w14:paraId="2DED42C9" w14:textId="77777777" w:rsidTr="00925847">
        <w:tc>
          <w:tcPr>
            <w:tcW w:w="950" w:type="pct"/>
            <w:shd w:val="clear" w:color="auto" w:fill="auto"/>
            <w:vAlign w:val="center"/>
          </w:tcPr>
          <w:p w14:paraId="33DDC2EB" w14:textId="77777777" w:rsidR="00FA6969" w:rsidRPr="007E61A0" w:rsidRDefault="00FA6969" w:rsidP="00925847">
            <w:pPr>
              <w:pStyle w:val="TableText0"/>
            </w:pPr>
            <w:r w:rsidRPr="007E61A0">
              <w:t>Prevalent population</w:t>
            </w:r>
          </w:p>
        </w:tc>
        <w:tc>
          <w:tcPr>
            <w:tcW w:w="1720" w:type="pct"/>
            <w:shd w:val="clear" w:color="auto" w:fill="auto"/>
            <w:vAlign w:val="center"/>
          </w:tcPr>
          <w:p w14:paraId="5D8B7FE5" w14:textId="77777777" w:rsidR="00FA6969" w:rsidRPr="007E61A0" w:rsidRDefault="00FA6969" w:rsidP="00925847">
            <w:pPr>
              <w:pStyle w:val="TableText0"/>
            </w:pPr>
            <w:r w:rsidRPr="007E61A0">
              <w:t>Prevalence of 2.64% based on the estimate used in the minor apremilast resubmission considered by the PBAC at the July 2020 PBAC Meeting.</w:t>
            </w:r>
          </w:p>
        </w:tc>
        <w:tc>
          <w:tcPr>
            <w:tcW w:w="2330" w:type="pct"/>
            <w:shd w:val="clear" w:color="auto" w:fill="auto"/>
            <w:vAlign w:val="center"/>
          </w:tcPr>
          <w:p w14:paraId="4BB65BD1" w14:textId="02AEC946" w:rsidR="00FA6969" w:rsidRPr="007E61A0" w:rsidRDefault="00FA6969" w:rsidP="00925847">
            <w:pPr>
              <w:pStyle w:val="TableText0"/>
            </w:pPr>
            <w:r w:rsidRPr="007E61A0">
              <w:t>The DUSC previously considered the prevalence estimate of 3.3% should be reduced 10-20% to account for plaque psoriasis (Table 10, paragraph 5.11, apremilast PSD, July 2020 PBAC Meeting).</w:t>
            </w:r>
          </w:p>
        </w:tc>
      </w:tr>
      <w:tr w:rsidR="00FA6969" w:rsidRPr="007E61A0" w14:paraId="148BBBBF" w14:textId="77777777" w:rsidTr="00925847">
        <w:tc>
          <w:tcPr>
            <w:tcW w:w="950" w:type="pct"/>
            <w:shd w:val="clear" w:color="auto" w:fill="auto"/>
            <w:vAlign w:val="center"/>
          </w:tcPr>
          <w:p w14:paraId="0227D50B" w14:textId="77777777" w:rsidR="00FA6969" w:rsidRPr="007E61A0" w:rsidRDefault="00FA6969" w:rsidP="00925847">
            <w:pPr>
              <w:pStyle w:val="TableText0"/>
            </w:pPr>
            <w:r w:rsidRPr="007E61A0">
              <w:t>Uptake rate</w:t>
            </w:r>
          </w:p>
        </w:tc>
        <w:tc>
          <w:tcPr>
            <w:tcW w:w="1720" w:type="pct"/>
            <w:shd w:val="clear" w:color="auto" w:fill="auto"/>
            <w:vAlign w:val="center"/>
          </w:tcPr>
          <w:p w14:paraId="4D24A711" w14:textId="77777777" w:rsidR="00FA6969" w:rsidRPr="007E61A0" w:rsidRDefault="00FA6969" w:rsidP="00925847">
            <w:pPr>
              <w:pStyle w:val="TableText0"/>
            </w:pPr>
            <w:r w:rsidRPr="007E61A0">
              <w:t>10% in Year 1 increasing to 40% in Year 6. Based on Advisory Board.</w:t>
            </w:r>
          </w:p>
        </w:tc>
        <w:tc>
          <w:tcPr>
            <w:tcW w:w="2330" w:type="pct"/>
            <w:shd w:val="clear" w:color="auto" w:fill="auto"/>
            <w:vAlign w:val="center"/>
          </w:tcPr>
          <w:p w14:paraId="122A0721" w14:textId="77777777" w:rsidR="00FA6969" w:rsidRPr="007E61A0" w:rsidRDefault="00FA6969" w:rsidP="00925847">
            <w:pPr>
              <w:jc w:val="left"/>
              <w:rPr>
                <w:rFonts w:ascii="Arial Narrow" w:eastAsiaTheme="majorEastAsia" w:hAnsi="Arial Narrow" w:cstheme="majorBidi"/>
                <w:bCs/>
                <w:sz w:val="20"/>
              </w:rPr>
            </w:pPr>
            <w:r w:rsidRPr="007E61A0">
              <w:rPr>
                <w:rFonts w:ascii="Arial Narrow" w:eastAsiaTheme="majorEastAsia" w:hAnsi="Arial Narrow" w:cstheme="majorBidi"/>
                <w:bCs/>
                <w:sz w:val="20"/>
              </w:rPr>
              <w:t>The impact of +5% or -5% on uptake rates were tested in sensitivity analysis.</w:t>
            </w:r>
          </w:p>
          <w:p w14:paraId="71604032" w14:textId="77777777" w:rsidR="00FA6969" w:rsidRPr="007E61A0" w:rsidRDefault="00FA6969" w:rsidP="00925847">
            <w:pPr>
              <w:pStyle w:val="TableText0"/>
            </w:pPr>
            <w:r w:rsidRPr="007E61A0">
              <w:t>Based on clinical opinion, estimates uncertain.</w:t>
            </w:r>
            <w:r w:rsidRPr="007E61A0" w:rsidDel="001139A7">
              <w:t xml:space="preserve"> </w:t>
            </w:r>
            <w:r w:rsidRPr="007E61A0">
              <w:t>Higher uptake rates would result in greater number of patients treated with deucravacitinib.</w:t>
            </w:r>
          </w:p>
        </w:tc>
      </w:tr>
      <w:tr w:rsidR="00FA6969" w:rsidRPr="007E61A0" w14:paraId="02C5199B" w14:textId="77777777" w:rsidTr="00925847">
        <w:tc>
          <w:tcPr>
            <w:tcW w:w="950" w:type="pct"/>
            <w:shd w:val="clear" w:color="auto" w:fill="auto"/>
            <w:vAlign w:val="center"/>
          </w:tcPr>
          <w:p w14:paraId="4FAE5259" w14:textId="77777777" w:rsidR="00FA6969" w:rsidRPr="007E61A0" w:rsidRDefault="00FA6969" w:rsidP="00925847">
            <w:pPr>
              <w:pStyle w:val="TableText0"/>
            </w:pPr>
            <w:r w:rsidRPr="007E61A0">
              <w:t>Dose/duration</w:t>
            </w:r>
          </w:p>
        </w:tc>
        <w:tc>
          <w:tcPr>
            <w:tcW w:w="1720" w:type="pct"/>
            <w:shd w:val="clear" w:color="auto" w:fill="auto"/>
            <w:vAlign w:val="center"/>
          </w:tcPr>
          <w:p w14:paraId="6D99F081" w14:textId="77777777" w:rsidR="00FA6969" w:rsidRPr="007E61A0" w:rsidRDefault="00FA6969" w:rsidP="00925847">
            <w:pPr>
              <w:pStyle w:val="TableText0"/>
            </w:pPr>
            <w:r w:rsidRPr="007E61A0">
              <w:t>Dose regimen was as per drafted PI, 12 months</w:t>
            </w:r>
          </w:p>
        </w:tc>
        <w:tc>
          <w:tcPr>
            <w:tcW w:w="2330" w:type="pct"/>
            <w:shd w:val="clear" w:color="auto" w:fill="auto"/>
            <w:vAlign w:val="center"/>
          </w:tcPr>
          <w:p w14:paraId="45AC6C57" w14:textId="77777777" w:rsidR="00FA6969" w:rsidRPr="007E61A0" w:rsidRDefault="00FA6969" w:rsidP="00925847">
            <w:pPr>
              <w:pStyle w:val="TableText0"/>
            </w:pPr>
            <w:r w:rsidRPr="007E61A0">
              <w:t>Consistent with the dose/duration in the economic evaluation</w:t>
            </w:r>
          </w:p>
        </w:tc>
      </w:tr>
      <w:tr w:rsidR="00FA6969" w:rsidRPr="007E61A0" w14:paraId="089AB24A" w14:textId="77777777" w:rsidTr="00925847">
        <w:tc>
          <w:tcPr>
            <w:tcW w:w="950" w:type="pct"/>
            <w:shd w:val="clear" w:color="auto" w:fill="auto"/>
            <w:vAlign w:val="center"/>
          </w:tcPr>
          <w:p w14:paraId="5E73F42C" w14:textId="77777777" w:rsidR="00FA6969" w:rsidRPr="007E61A0" w:rsidRDefault="00FA6969" w:rsidP="00925847">
            <w:pPr>
              <w:pStyle w:val="TableText0"/>
            </w:pPr>
            <w:r w:rsidRPr="007E61A0">
              <w:t xml:space="preserve">Offsets </w:t>
            </w:r>
          </w:p>
        </w:tc>
        <w:tc>
          <w:tcPr>
            <w:tcW w:w="1720" w:type="pct"/>
            <w:shd w:val="clear" w:color="auto" w:fill="auto"/>
            <w:vAlign w:val="center"/>
          </w:tcPr>
          <w:p w14:paraId="2846F6D2" w14:textId="3849FC1B" w:rsidR="00FA6969" w:rsidRPr="007E61A0" w:rsidRDefault="00FA6969" w:rsidP="00925847">
            <w:pPr>
              <w:pStyle w:val="TableText0"/>
            </w:pPr>
            <w:r w:rsidRPr="007E61A0">
              <w:t>Offsets for apremilast</w:t>
            </w:r>
            <w:r w:rsidR="004B1765" w:rsidRPr="007E61A0">
              <w:t xml:space="preserve"> (51%)</w:t>
            </w:r>
            <w:r w:rsidRPr="007E61A0">
              <w:t>, ciclosporin</w:t>
            </w:r>
            <w:r w:rsidR="004B1765" w:rsidRPr="007E61A0">
              <w:t xml:space="preserve"> (11%)</w:t>
            </w:r>
            <w:r w:rsidRPr="007E61A0">
              <w:t>, acitretin</w:t>
            </w:r>
            <w:r w:rsidR="004B1765" w:rsidRPr="007E61A0">
              <w:t xml:space="preserve"> (13%</w:t>
            </w:r>
            <w:r w:rsidRPr="007E61A0">
              <w:t xml:space="preserve"> and phototherapy</w:t>
            </w:r>
            <w:r w:rsidR="004B1765" w:rsidRPr="007E61A0">
              <w:t xml:space="preserve"> (25%)</w:t>
            </w:r>
          </w:p>
          <w:p w14:paraId="216B23EA" w14:textId="4A0785D2" w:rsidR="00374F51" w:rsidRPr="007E61A0" w:rsidRDefault="00374F51" w:rsidP="00925847">
            <w:pPr>
              <w:pStyle w:val="TableText0"/>
            </w:pPr>
            <w:r w:rsidRPr="007E61A0">
              <w:t xml:space="preserve"> </w:t>
            </w:r>
          </w:p>
        </w:tc>
        <w:tc>
          <w:tcPr>
            <w:tcW w:w="2330" w:type="pct"/>
            <w:shd w:val="clear" w:color="auto" w:fill="auto"/>
            <w:vAlign w:val="center"/>
          </w:tcPr>
          <w:p w14:paraId="264D9004" w14:textId="36CB8ECF" w:rsidR="00FA6969" w:rsidRPr="007E61A0" w:rsidRDefault="00FA6969" w:rsidP="00925847">
            <w:pPr>
              <w:pStyle w:val="TableText0"/>
            </w:pPr>
            <w:r w:rsidRPr="007E61A0">
              <w:t>Proportional split of substitution among other non-biologic systemics was estimated based on clinical opinion. Offsets for ciclosporin, acitretin and phototherapy</w:t>
            </w:r>
            <w:r w:rsidRPr="007E61A0" w:rsidDel="007922F7">
              <w:t xml:space="preserve"> </w:t>
            </w:r>
            <w:r w:rsidRPr="007E61A0">
              <w:t xml:space="preserve">not included in </w:t>
            </w:r>
            <w:r w:rsidR="004B1765" w:rsidRPr="007E61A0">
              <w:t>economic evaluation</w:t>
            </w:r>
            <w:r w:rsidRPr="007E61A0">
              <w:t>. Furthermore,</w:t>
            </w:r>
            <w:r w:rsidR="004B1765" w:rsidRPr="007E61A0">
              <w:t xml:space="preserve"> economic evaluation</w:t>
            </w:r>
            <w:r w:rsidRPr="007E61A0">
              <w:t xml:space="preserve"> include</w:t>
            </w:r>
            <w:r w:rsidR="004B1765" w:rsidRPr="007E61A0">
              <w:t>d</w:t>
            </w:r>
            <w:r w:rsidRPr="007E61A0">
              <w:t xml:space="preserve"> the cost of subsequent biologics, whereas </w:t>
            </w:r>
            <w:r w:rsidR="004B1765" w:rsidRPr="007E61A0">
              <w:t xml:space="preserve">financial estimates </w:t>
            </w:r>
            <w:r w:rsidRPr="007E61A0">
              <w:t>d</w:t>
            </w:r>
            <w:r w:rsidR="004B1765" w:rsidRPr="007E61A0">
              <w:t xml:space="preserve">id </w:t>
            </w:r>
            <w:r w:rsidRPr="007E61A0">
              <w:t xml:space="preserve">not.  </w:t>
            </w:r>
          </w:p>
        </w:tc>
      </w:tr>
      <w:tr w:rsidR="00FA6969" w:rsidRPr="007E61A0" w14:paraId="115A81AE" w14:textId="77777777" w:rsidTr="00925847">
        <w:tc>
          <w:tcPr>
            <w:tcW w:w="950" w:type="pct"/>
            <w:vAlign w:val="center"/>
          </w:tcPr>
          <w:p w14:paraId="31B66347" w14:textId="77777777" w:rsidR="00FA6969" w:rsidRPr="007E61A0" w:rsidRDefault="00FA6969" w:rsidP="00925847">
            <w:pPr>
              <w:pStyle w:val="TableText0"/>
            </w:pPr>
            <w:r w:rsidRPr="007E61A0">
              <w:t xml:space="preserve">Phototherapy </w:t>
            </w:r>
          </w:p>
        </w:tc>
        <w:tc>
          <w:tcPr>
            <w:tcW w:w="1720" w:type="pct"/>
            <w:shd w:val="clear" w:color="auto" w:fill="auto"/>
            <w:vAlign w:val="center"/>
          </w:tcPr>
          <w:p w14:paraId="3D0B5C95" w14:textId="77777777" w:rsidR="00FA6969" w:rsidRPr="007E61A0" w:rsidRDefault="00FA6969" w:rsidP="00925847">
            <w:pPr>
              <w:pStyle w:val="TableText0"/>
            </w:pPr>
            <w:r w:rsidRPr="007E61A0">
              <w:t>80% benefit of MBS item 14050 (100% fee: $54.90).</w:t>
            </w:r>
          </w:p>
          <w:p w14:paraId="77EB8609" w14:textId="77777777" w:rsidR="00FA6969" w:rsidRPr="007E61A0" w:rsidRDefault="00FA6969" w:rsidP="00925847">
            <w:pPr>
              <w:pStyle w:val="TableText0"/>
            </w:pPr>
            <w:r w:rsidRPr="007E61A0">
              <w:t>Assumed 54 services/patient/year (Sullivan 2009).</w:t>
            </w:r>
            <w:r w:rsidRPr="007E61A0">
              <w:rPr>
                <w:rStyle w:val="FootnoteReference"/>
              </w:rPr>
              <w:footnoteReference w:id="12"/>
            </w:r>
          </w:p>
        </w:tc>
        <w:tc>
          <w:tcPr>
            <w:tcW w:w="2330" w:type="pct"/>
            <w:shd w:val="clear" w:color="auto" w:fill="auto"/>
            <w:vAlign w:val="center"/>
          </w:tcPr>
          <w:p w14:paraId="2181F32B" w14:textId="77777777" w:rsidR="00FA6969" w:rsidRPr="007E61A0" w:rsidRDefault="00FA6969" w:rsidP="00925847">
            <w:pPr>
              <w:pStyle w:val="TableText0"/>
            </w:pPr>
            <w:r w:rsidRPr="007E61A0">
              <w:t xml:space="preserve">MBS 14050 (100% fee should be $55.80). Low impact on the overall health budget. </w:t>
            </w:r>
          </w:p>
        </w:tc>
      </w:tr>
      <w:tr w:rsidR="00FA6969" w:rsidRPr="007E61A0" w14:paraId="1A7DA935" w14:textId="77777777" w:rsidTr="00925847">
        <w:tc>
          <w:tcPr>
            <w:tcW w:w="950" w:type="pct"/>
            <w:vAlign w:val="center"/>
          </w:tcPr>
          <w:p w14:paraId="582DA782" w14:textId="77777777" w:rsidR="00FA6969" w:rsidRPr="007E61A0" w:rsidRDefault="00FA6969" w:rsidP="00925847">
            <w:pPr>
              <w:pStyle w:val="TableText0"/>
            </w:pPr>
            <w:r w:rsidRPr="007E61A0">
              <w:t>Pre-screening and monitoring for ciclosporin</w:t>
            </w:r>
          </w:p>
        </w:tc>
        <w:tc>
          <w:tcPr>
            <w:tcW w:w="1720" w:type="pct"/>
            <w:shd w:val="clear" w:color="auto" w:fill="auto"/>
            <w:vAlign w:val="center"/>
          </w:tcPr>
          <w:p w14:paraId="6A800203" w14:textId="77777777" w:rsidR="00FA6969" w:rsidRPr="007E61A0" w:rsidRDefault="00FA6969" w:rsidP="00925847">
            <w:pPr>
              <w:pStyle w:val="TableText0"/>
            </w:pPr>
            <w:r w:rsidRPr="007E61A0">
              <w:t>80% benefit of MBS item 66500 (100% fee $9.70);14.5 services/patient/year</w:t>
            </w:r>
          </w:p>
        </w:tc>
        <w:tc>
          <w:tcPr>
            <w:tcW w:w="2330" w:type="pct"/>
            <w:vMerge w:val="restart"/>
            <w:vAlign w:val="center"/>
          </w:tcPr>
          <w:p w14:paraId="4BDA1A7C" w14:textId="77777777" w:rsidR="00FA6969" w:rsidRPr="007E61A0" w:rsidRDefault="00FA6969" w:rsidP="00925847">
            <w:pPr>
              <w:pStyle w:val="TableText0"/>
            </w:pPr>
            <w:r w:rsidRPr="007E61A0">
              <w:t>The submission omitted the costs associated with the pre-treatment evaluation of tuberculosis and the monitoring for the signs and symptoms of active tuberculosis</w:t>
            </w:r>
            <w:r w:rsidRPr="007E61A0" w:rsidDel="00946660">
              <w:t xml:space="preserve"> </w:t>
            </w:r>
            <w:r w:rsidRPr="007E61A0">
              <w:t xml:space="preserve">in patients receiving deucravacitinib. This is not appropriate and favours deucravacitinib. </w:t>
            </w:r>
          </w:p>
          <w:p w14:paraId="0936E862" w14:textId="77777777" w:rsidR="00FA6969" w:rsidRPr="007E61A0" w:rsidRDefault="00FA6969" w:rsidP="00925847">
            <w:pPr>
              <w:pStyle w:val="TableText0"/>
            </w:pPr>
            <w:r w:rsidRPr="007E61A0">
              <w:t>Also, several MBS items were included for monitoring costs for apremilast and ciclosporin in the apremilast submission (Table 6, paragraph 5.5, apremilast PSD, July 2020 PBAC Meeting). Nevertheless, likely low impact on the overall health budget.</w:t>
            </w:r>
          </w:p>
        </w:tc>
      </w:tr>
      <w:tr w:rsidR="00FA6969" w:rsidRPr="007E61A0" w14:paraId="778CFDCC" w14:textId="77777777" w:rsidTr="00925847">
        <w:tc>
          <w:tcPr>
            <w:tcW w:w="950" w:type="pct"/>
            <w:vAlign w:val="center"/>
          </w:tcPr>
          <w:p w14:paraId="61D1132B" w14:textId="77777777" w:rsidR="00FA6969" w:rsidRPr="007E61A0" w:rsidRDefault="00FA6969" w:rsidP="00925847">
            <w:pPr>
              <w:pStyle w:val="TableText0"/>
            </w:pPr>
            <w:r w:rsidRPr="007E61A0">
              <w:t>Pre-screening and monitoring for acitretin</w:t>
            </w:r>
          </w:p>
        </w:tc>
        <w:tc>
          <w:tcPr>
            <w:tcW w:w="1720" w:type="pct"/>
            <w:shd w:val="clear" w:color="auto" w:fill="auto"/>
            <w:vAlign w:val="center"/>
          </w:tcPr>
          <w:p w14:paraId="2CD94C50" w14:textId="77777777" w:rsidR="00FA6969" w:rsidRPr="007E61A0" w:rsidRDefault="00FA6969" w:rsidP="00925847">
            <w:pPr>
              <w:pStyle w:val="TableText0"/>
            </w:pPr>
            <w:r w:rsidRPr="007E61A0">
              <w:t>80% benefit of MBS item 66512 (100% fee $17.70); 4 services/patient/year</w:t>
            </w:r>
          </w:p>
        </w:tc>
        <w:tc>
          <w:tcPr>
            <w:tcW w:w="2330" w:type="pct"/>
            <w:vMerge/>
            <w:vAlign w:val="center"/>
          </w:tcPr>
          <w:p w14:paraId="27515DEC" w14:textId="77777777" w:rsidR="00FA6969" w:rsidRPr="007E61A0" w:rsidRDefault="00FA6969" w:rsidP="00925847">
            <w:pPr>
              <w:pStyle w:val="TableText0"/>
            </w:pPr>
          </w:p>
        </w:tc>
      </w:tr>
    </w:tbl>
    <w:p w14:paraId="76F17DDB" w14:textId="77777777" w:rsidR="00FA6969" w:rsidRPr="007E61A0" w:rsidRDefault="00FA6969" w:rsidP="00FA6969">
      <w:pPr>
        <w:pStyle w:val="FooterTableFigure"/>
      </w:pPr>
      <w:r w:rsidRPr="007E61A0">
        <w:t>Source: Table 114, p175 of the submission; MBS online. Italicised text added during the evaluation.</w:t>
      </w:r>
    </w:p>
    <w:p w14:paraId="2976396A" w14:textId="77777777" w:rsidR="00FA6969" w:rsidRPr="007E61A0" w:rsidRDefault="00FA6969" w:rsidP="00FA6969">
      <w:pPr>
        <w:pStyle w:val="FooterTableFigure"/>
      </w:pPr>
      <w:r w:rsidRPr="007E61A0">
        <w:t>DUSC = Drug Utilisation Sub Committee; MBS = Medicare Benefits Schedule; PBAC = Pharmaceutical Benefits Advisory Committee; PI = product information; PSD = public summary document.</w:t>
      </w:r>
    </w:p>
    <w:p w14:paraId="37855EEA" w14:textId="77777777" w:rsidR="00FA6969" w:rsidRPr="007E61A0" w:rsidRDefault="00FA6969" w:rsidP="00FA6969">
      <w:pPr>
        <w:pStyle w:val="FooterTableFigure"/>
      </w:pPr>
      <w:proofErr w:type="spellStart"/>
      <w:r w:rsidRPr="007E61A0">
        <w:rPr>
          <w:vertAlign w:val="superscript"/>
        </w:rPr>
        <w:t>a</w:t>
      </w:r>
      <w:proofErr w:type="spellEnd"/>
      <w:r w:rsidRPr="007E61A0">
        <w:t xml:space="preserve"> The submission reported that based on (Sullivan &amp; </w:t>
      </w:r>
      <w:proofErr w:type="spellStart"/>
      <w:r w:rsidRPr="007E61A0">
        <w:t>Preda</w:t>
      </w:r>
      <w:proofErr w:type="spellEnd"/>
      <w:r w:rsidRPr="007E61A0">
        <w:t xml:space="preserve">, 2009), a standard treatment course for phototherapy in Australia was 3 times a week for a period of 6-12 weeks, which usually provided patients with 3-6 months of improved disease control. </w:t>
      </w:r>
    </w:p>
    <w:p w14:paraId="129714D2" w14:textId="2A6F6C28" w:rsidR="00FA6969" w:rsidRPr="007E61A0" w:rsidRDefault="00FA6969" w:rsidP="00FA6969">
      <w:pPr>
        <w:pStyle w:val="3-BodyText"/>
      </w:pPr>
      <w:r w:rsidRPr="007E61A0">
        <w:fldChar w:fldCharType="begin" w:fldLock="1"/>
      </w:r>
      <w:r w:rsidRPr="007E61A0">
        <w:instrText xml:space="preserve"> REF _Ref104805295 \h  \* MERGEFORMAT </w:instrText>
      </w:r>
      <w:r w:rsidRPr="007E61A0">
        <w:fldChar w:fldCharType="separate"/>
      </w:r>
      <w:r w:rsidR="00EC7993" w:rsidRPr="007E61A0">
        <w:t xml:space="preserve">Table </w:t>
      </w:r>
      <w:r w:rsidR="00EC7993">
        <w:t>16</w:t>
      </w:r>
      <w:r w:rsidRPr="007E61A0">
        <w:fldChar w:fldCharType="end"/>
      </w:r>
      <w:r w:rsidRPr="007E61A0">
        <w:t xml:space="preserve"> presents the estimated use and financial implications of the proposed listing, based on the proposed effective price for deucravacitinib and published prices for other treatments. </w:t>
      </w:r>
    </w:p>
    <w:p w14:paraId="49067FA6" w14:textId="571D3B0C" w:rsidR="00FA6969" w:rsidRPr="007E61A0" w:rsidRDefault="00FA6969" w:rsidP="00FA6969">
      <w:pPr>
        <w:pStyle w:val="Caption"/>
      </w:pPr>
      <w:bookmarkStart w:id="85" w:name="_Ref104805295"/>
      <w:bookmarkStart w:id="86" w:name="_Hlk110855805"/>
      <w:r w:rsidRPr="007E61A0">
        <w:lastRenderedPageBreak/>
        <w:t xml:space="preserve">Table </w:t>
      </w:r>
      <w:fldSimple w:instr=" SEQ Table \* ARABIC " w:fldLock="1">
        <w:r w:rsidR="00EC7993">
          <w:rPr>
            <w:noProof/>
          </w:rPr>
          <w:t>16</w:t>
        </w:r>
      </w:fldSimple>
      <w:bookmarkEnd w:id="85"/>
      <w:r w:rsidRPr="007E61A0">
        <w:t>:</w:t>
      </w:r>
      <w:r w:rsidRPr="007E61A0">
        <w:rPr>
          <w:rStyle w:val="CommentReference"/>
          <w:b/>
          <w:szCs w:val="24"/>
        </w:rPr>
        <w:t xml:space="preserve"> Estimated use and financial implications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09"/>
        <w:gridCol w:w="1111"/>
        <w:gridCol w:w="1111"/>
        <w:gridCol w:w="1113"/>
        <w:gridCol w:w="1111"/>
        <w:gridCol w:w="1111"/>
        <w:gridCol w:w="1151"/>
      </w:tblGrid>
      <w:tr w:rsidR="00FA6969" w:rsidRPr="007E61A0" w14:paraId="0D76BBD5" w14:textId="77777777" w:rsidTr="004B1765">
        <w:trPr>
          <w:tblHeader/>
        </w:trPr>
        <w:tc>
          <w:tcPr>
            <w:tcW w:w="1281" w:type="pct"/>
            <w:shd w:val="clear" w:color="auto" w:fill="auto"/>
            <w:vAlign w:val="center"/>
          </w:tcPr>
          <w:p w14:paraId="195BE876" w14:textId="77777777" w:rsidR="00FA6969" w:rsidRPr="007E61A0" w:rsidRDefault="00FA6969" w:rsidP="00925847">
            <w:pPr>
              <w:pStyle w:val="In-tableHeading"/>
              <w:jc w:val="center"/>
              <w:rPr>
                <w:lang w:val="en-AU"/>
              </w:rPr>
            </w:pPr>
          </w:p>
        </w:tc>
        <w:tc>
          <w:tcPr>
            <w:tcW w:w="616" w:type="pct"/>
            <w:shd w:val="clear" w:color="auto" w:fill="auto"/>
            <w:vAlign w:val="center"/>
          </w:tcPr>
          <w:p w14:paraId="75F1B295" w14:textId="77777777" w:rsidR="00FA6969" w:rsidRPr="007E61A0" w:rsidRDefault="00FA6969" w:rsidP="00925847">
            <w:pPr>
              <w:pStyle w:val="In-tableHeading"/>
              <w:jc w:val="center"/>
              <w:rPr>
                <w:lang w:val="en-AU"/>
              </w:rPr>
            </w:pPr>
            <w:r w:rsidRPr="007E61A0">
              <w:rPr>
                <w:lang w:val="en-AU"/>
              </w:rPr>
              <w:t>Year 1</w:t>
            </w:r>
          </w:p>
        </w:tc>
        <w:tc>
          <w:tcPr>
            <w:tcW w:w="616" w:type="pct"/>
            <w:shd w:val="clear" w:color="auto" w:fill="auto"/>
            <w:vAlign w:val="center"/>
          </w:tcPr>
          <w:p w14:paraId="545CF56A" w14:textId="77777777" w:rsidR="00FA6969" w:rsidRPr="007E61A0" w:rsidRDefault="00FA6969" w:rsidP="00925847">
            <w:pPr>
              <w:pStyle w:val="In-tableHeading"/>
              <w:jc w:val="center"/>
              <w:rPr>
                <w:lang w:val="en-AU"/>
              </w:rPr>
            </w:pPr>
            <w:r w:rsidRPr="007E61A0">
              <w:rPr>
                <w:lang w:val="en-AU"/>
              </w:rPr>
              <w:t>Year 2</w:t>
            </w:r>
          </w:p>
        </w:tc>
        <w:tc>
          <w:tcPr>
            <w:tcW w:w="617" w:type="pct"/>
            <w:shd w:val="clear" w:color="auto" w:fill="auto"/>
            <w:vAlign w:val="center"/>
          </w:tcPr>
          <w:p w14:paraId="0D3FC3F2" w14:textId="77777777" w:rsidR="00FA6969" w:rsidRPr="007E61A0" w:rsidRDefault="00FA6969" w:rsidP="00925847">
            <w:pPr>
              <w:pStyle w:val="In-tableHeading"/>
              <w:jc w:val="center"/>
              <w:rPr>
                <w:lang w:val="en-AU"/>
              </w:rPr>
            </w:pPr>
            <w:r w:rsidRPr="007E61A0">
              <w:rPr>
                <w:lang w:val="en-AU"/>
              </w:rPr>
              <w:t>Year 3</w:t>
            </w:r>
          </w:p>
        </w:tc>
        <w:tc>
          <w:tcPr>
            <w:tcW w:w="616" w:type="pct"/>
            <w:shd w:val="clear" w:color="auto" w:fill="auto"/>
            <w:vAlign w:val="center"/>
          </w:tcPr>
          <w:p w14:paraId="624CC59F" w14:textId="77777777" w:rsidR="00FA6969" w:rsidRPr="007E61A0" w:rsidRDefault="00FA6969" w:rsidP="00925847">
            <w:pPr>
              <w:pStyle w:val="In-tableHeading"/>
              <w:jc w:val="center"/>
              <w:rPr>
                <w:lang w:val="en-AU"/>
              </w:rPr>
            </w:pPr>
            <w:r w:rsidRPr="007E61A0">
              <w:rPr>
                <w:lang w:val="en-AU"/>
              </w:rPr>
              <w:t>Year 4</w:t>
            </w:r>
          </w:p>
        </w:tc>
        <w:tc>
          <w:tcPr>
            <w:tcW w:w="616" w:type="pct"/>
            <w:shd w:val="clear" w:color="auto" w:fill="auto"/>
            <w:vAlign w:val="center"/>
          </w:tcPr>
          <w:p w14:paraId="36465322" w14:textId="77777777" w:rsidR="00FA6969" w:rsidRPr="007E61A0" w:rsidRDefault="00FA6969" w:rsidP="00925847">
            <w:pPr>
              <w:pStyle w:val="In-tableHeading"/>
              <w:jc w:val="center"/>
              <w:rPr>
                <w:lang w:val="en-AU"/>
              </w:rPr>
            </w:pPr>
            <w:r w:rsidRPr="007E61A0">
              <w:rPr>
                <w:lang w:val="en-AU"/>
              </w:rPr>
              <w:t>Year 5</w:t>
            </w:r>
          </w:p>
        </w:tc>
        <w:tc>
          <w:tcPr>
            <w:tcW w:w="638" w:type="pct"/>
          </w:tcPr>
          <w:p w14:paraId="42F0082F" w14:textId="77777777" w:rsidR="00FA6969" w:rsidRPr="007E61A0" w:rsidRDefault="00FA6969" w:rsidP="00925847">
            <w:pPr>
              <w:pStyle w:val="In-tableHeading"/>
              <w:jc w:val="center"/>
              <w:rPr>
                <w:lang w:val="en-AU"/>
              </w:rPr>
            </w:pPr>
            <w:r w:rsidRPr="007E61A0">
              <w:rPr>
                <w:lang w:val="en-AU"/>
              </w:rPr>
              <w:t>Year 6</w:t>
            </w:r>
          </w:p>
        </w:tc>
      </w:tr>
      <w:tr w:rsidR="00FA6969" w:rsidRPr="007E61A0" w14:paraId="5B43E387" w14:textId="77777777" w:rsidTr="00925847">
        <w:tc>
          <w:tcPr>
            <w:tcW w:w="5000" w:type="pct"/>
            <w:gridSpan w:val="7"/>
            <w:shd w:val="clear" w:color="auto" w:fill="auto"/>
            <w:vAlign w:val="center"/>
          </w:tcPr>
          <w:p w14:paraId="1F109C2B" w14:textId="77777777" w:rsidR="00FA6969" w:rsidRPr="007E61A0" w:rsidRDefault="00FA6969" w:rsidP="00925847">
            <w:pPr>
              <w:pStyle w:val="In-tableHeading"/>
              <w:rPr>
                <w:bCs/>
                <w:color w:val="000000"/>
                <w:lang w:val="en-AU"/>
              </w:rPr>
            </w:pPr>
            <w:r w:rsidRPr="007E61A0">
              <w:rPr>
                <w:bCs/>
                <w:color w:val="000000"/>
                <w:lang w:val="en-AU"/>
              </w:rPr>
              <w:t>Estimated extent of use</w:t>
            </w:r>
          </w:p>
        </w:tc>
      </w:tr>
      <w:tr w:rsidR="00FA6969" w:rsidRPr="007E61A0" w14:paraId="2E142F6B" w14:textId="77777777" w:rsidTr="004B1765">
        <w:tc>
          <w:tcPr>
            <w:tcW w:w="1281" w:type="pct"/>
            <w:shd w:val="clear" w:color="auto" w:fill="auto"/>
            <w:vAlign w:val="center"/>
          </w:tcPr>
          <w:p w14:paraId="567C9DF0" w14:textId="77777777" w:rsidR="00FA6969" w:rsidRPr="007E61A0" w:rsidRDefault="00FA6969" w:rsidP="00925847">
            <w:pPr>
              <w:pStyle w:val="TableText0"/>
            </w:pPr>
            <w:r w:rsidRPr="007E61A0">
              <w:t>Number of patients eligible</w:t>
            </w:r>
          </w:p>
        </w:tc>
        <w:tc>
          <w:tcPr>
            <w:tcW w:w="616" w:type="pct"/>
            <w:vAlign w:val="center"/>
          </w:tcPr>
          <w:p w14:paraId="05C3EF9C" w14:textId="47F1101C" w:rsidR="00FA6969" w:rsidRPr="00700EA0" w:rsidRDefault="009942F6" w:rsidP="00925847">
            <w:pPr>
              <w:pStyle w:val="TableText0"/>
              <w:jc w:val="center"/>
              <w:rPr>
                <w:szCs w:val="20"/>
                <w:highlight w:val="darkGray"/>
                <w:vertAlign w:val="superscript"/>
              </w:rPr>
            </w:pPr>
            <w:r w:rsidRPr="009942F6">
              <w:rPr>
                <w:rFonts w:hint="eastAsia"/>
                <w:bCs w:val="0"/>
                <w:snapToGrid w:val="0"/>
                <w:color w:val="000000"/>
                <w:w w:val="19"/>
                <w:szCs w:val="20"/>
                <w:shd w:val="solid" w:color="000000" w:fill="000000"/>
                <w:fitText w:val="87" w:id="-1305212414"/>
                <w14:textFill>
                  <w14:solidFill>
                    <w14:srgbClr w14:val="000000">
                      <w14:alpha w14:val="100000"/>
                    </w14:srgbClr>
                  </w14:solidFill>
                </w14:textFill>
              </w:rPr>
              <w:t xml:space="preserve">　</w:t>
            </w:r>
            <w:r w:rsidRPr="009942F6">
              <w:rPr>
                <w:bCs w:val="0"/>
                <w:snapToGrid w:val="0"/>
                <w:color w:val="000000"/>
                <w:w w:val="19"/>
                <w:szCs w:val="20"/>
                <w:shd w:val="solid" w:color="000000" w:fill="000000"/>
                <w:fitText w:val="87" w:id="-1305212414"/>
                <w14:textFill>
                  <w14:solidFill>
                    <w14:srgbClr w14:val="000000">
                      <w14:alpha w14:val="100000"/>
                    </w14:srgbClr>
                  </w14:solidFill>
                </w14:textFill>
              </w:rPr>
              <w:t>|</w:t>
            </w:r>
            <w:r w:rsidRPr="009942F6">
              <w:rPr>
                <w:rFonts w:hint="eastAsia"/>
                <w:bCs w:val="0"/>
                <w:snapToGrid w:val="0"/>
                <w:color w:val="000000"/>
                <w:spacing w:val="3"/>
                <w:w w:val="19"/>
                <w:szCs w:val="20"/>
                <w:shd w:val="solid" w:color="000000" w:fill="000000"/>
                <w:fitText w:val="87" w:id="-1305212414"/>
                <w14:textFill>
                  <w14:solidFill>
                    <w14:srgbClr w14:val="000000">
                      <w14:alpha w14:val="100000"/>
                    </w14:srgbClr>
                  </w14:solidFill>
                </w14:textFill>
              </w:rPr>
              <w:t xml:space="preserve">　</w:t>
            </w:r>
            <w:r w:rsidR="00700EA0" w:rsidRPr="00700EA0">
              <w:rPr>
                <w:bCs w:val="0"/>
                <w:snapToGrid w:val="0"/>
                <w:szCs w:val="20"/>
                <w:vertAlign w:val="superscript"/>
              </w:rPr>
              <w:t>1</w:t>
            </w:r>
          </w:p>
        </w:tc>
        <w:tc>
          <w:tcPr>
            <w:tcW w:w="616" w:type="pct"/>
            <w:vAlign w:val="center"/>
          </w:tcPr>
          <w:p w14:paraId="48CBEAF8" w14:textId="68653AD4" w:rsidR="00FA6969" w:rsidRPr="00700EA0" w:rsidRDefault="009942F6" w:rsidP="00925847">
            <w:pPr>
              <w:pStyle w:val="TableText0"/>
              <w:jc w:val="center"/>
              <w:rPr>
                <w:szCs w:val="20"/>
                <w:highlight w:val="darkGray"/>
              </w:rPr>
            </w:pPr>
            <w:r w:rsidRPr="009942F6">
              <w:rPr>
                <w:rFonts w:hint="eastAsia"/>
                <w:bCs w:val="0"/>
                <w:snapToGrid w:val="0"/>
                <w:color w:val="000000"/>
                <w:w w:val="19"/>
                <w:szCs w:val="20"/>
                <w:shd w:val="solid" w:color="000000" w:fill="000000"/>
                <w:fitText w:val="88" w:id="-1305212413"/>
                <w14:textFill>
                  <w14:solidFill>
                    <w14:srgbClr w14:val="000000">
                      <w14:alpha w14:val="100000"/>
                    </w14:srgbClr>
                  </w14:solidFill>
                </w14:textFill>
              </w:rPr>
              <w:t xml:space="preserve">　</w:t>
            </w:r>
            <w:r w:rsidRPr="009942F6">
              <w:rPr>
                <w:bCs w:val="0"/>
                <w:snapToGrid w:val="0"/>
                <w:color w:val="000000"/>
                <w:w w:val="19"/>
                <w:szCs w:val="20"/>
                <w:shd w:val="solid" w:color="000000" w:fill="000000"/>
                <w:fitText w:val="88" w:id="-1305212413"/>
                <w14:textFill>
                  <w14:solidFill>
                    <w14:srgbClr w14:val="000000">
                      <w14:alpha w14:val="100000"/>
                    </w14:srgbClr>
                  </w14:solidFill>
                </w14:textFill>
              </w:rPr>
              <w:t>|</w:t>
            </w:r>
            <w:r w:rsidRPr="009942F6">
              <w:rPr>
                <w:rFonts w:hint="eastAsia"/>
                <w:bCs w:val="0"/>
                <w:snapToGrid w:val="0"/>
                <w:color w:val="000000"/>
                <w:spacing w:val="4"/>
                <w:w w:val="19"/>
                <w:szCs w:val="20"/>
                <w:shd w:val="solid" w:color="000000" w:fill="000000"/>
                <w:fitText w:val="88" w:id="-1305212413"/>
                <w14:textFill>
                  <w14:solidFill>
                    <w14:srgbClr w14:val="000000">
                      <w14:alpha w14:val="100000"/>
                    </w14:srgbClr>
                  </w14:solidFill>
                </w14:textFill>
              </w:rPr>
              <w:t xml:space="preserve">　</w:t>
            </w:r>
            <w:r w:rsidR="00700EA0" w:rsidRPr="00700EA0">
              <w:rPr>
                <w:bCs w:val="0"/>
                <w:snapToGrid w:val="0"/>
                <w:szCs w:val="20"/>
                <w:vertAlign w:val="superscript"/>
              </w:rPr>
              <w:t>1</w:t>
            </w:r>
          </w:p>
        </w:tc>
        <w:tc>
          <w:tcPr>
            <w:tcW w:w="617" w:type="pct"/>
            <w:vAlign w:val="center"/>
          </w:tcPr>
          <w:p w14:paraId="520207E1" w14:textId="5B3E5E46" w:rsidR="00FA6969" w:rsidRPr="00700EA0" w:rsidRDefault="009942F6" w:rsidP="00925847">
            <w:pPr>
              <w:pStyle w:val="TableText0"/>
              <w:jc w:val="center"/>
              <w:rPr>
                <w:szCs w:val="20"/>
                <w:highlight w:val="darkGray"/>
              </w:rPr>
            </w:pPr>
            <w:r w:rsidRPr="009942F6">
              <w:rPr>
                <w:rFonts w:hint="eastAsia"/>
                <w:bCs w:val="0"/>
                <w:snapToGrid w:val="0"/>
                <w:color w:val="000000"/>
                <w:w w:val="19"/>
                <w:szCs w:val="20"/>
                <w:shd w:val="solid" w:color="000000" w:fill="000000"/>
                <w:fitText w:val="88" w:id="-1305212412"/>
                <w14:textFill>
                  <w14:solidFill>
                    <w14:srgbClr w14:val="000000">
                      <w14:alpha w14:val="100000"/>
                    </w14:srgbClr>
                  </w14:solidFill>
                </w14:textFill>
              </w:rPr>
              <w:t xml:space="preserve">　</w:t>
            </w:r>
            <w:r w:rsidRPr="009942F6">
              <w:rPr>
                <w:bCs w:val="0"/>
                <w:snapToGrid w:val="0"/>
                <w:color w:val="000000"/>
                <w:w w:val="19"/>
                <w:szCs w:val="20"/>
                <w:shd w:val="solid" w:color="000000" w:fill="000000"/>
                <w:fitText w:val="88" w:id="-1305212412"/>
                <w14:textFill>
                  <w14:solidFill>
                    <w14:srgbClr w14:val="000000">
                      <w14:alpha w14:val="100000"/>
                    </w14:srgbClr>
                  </w14:solidFill>
                </w14:textFill>
              </w:rPr>
              <w:t>|</w:t>
            </w:r>
            <w:r w:rsidRPr="009942F6">
              <w:rPr>
                <w:rFonts w:hint="eastAsia"/>
                <w:bCs w:val="0"/>
                <w:snapToGrid w:val="0"/>
                <w:color w:val="000000"/>
                <w:spacing w:val="4"/>
                <w:w w:val="19"/>
                <w:szCs w:val="20"/>
                <w:shd w:val="solid" w:color="000000" w:fill="000000"/>
                <w:fitText w:val="88" w:id="-1305212412"/>
                <w14:textFill>
                  <w14:solidFill>
                    <w14:srgbClr w14:val="000000">
                      <w14:alpha w14:val="100000"/>
                    </w14:srgbClr>
                  </w14:solidFill>
                </w14:textFill>
              </w:rPr>
              <w:t xml:space="preserve">　</w:t>
            </w:r>
            <w:r w:rsidR="00700EA0" w:rsidRPr="00700EA0">
              <w:rPr>
                <w:bCs w:val="0"/>
                <w:snapToGrid w:val="0"/>
                <w:szCs w:val="20"/>
                <w:vertAlign w:val="superscript"/>
              </w:rPr>
              <w:t>1</w:t>
            </w:r>
          </w:p>
        </w:tc>
        <w:tc>
          <w:tcPr>
            <w:tcW w:w="616" w:type="pct"/>
            <w:vAlign w:val="center"/>
          </w:tcPr>
          <w:p w14:paraId="32F53022" w14:textId="744BC7CF" w:rsidR="00FA6969" w:rsidRPr="00700EA0" w:rsidRDefault="009942F6" w:rsidP="00925847">
            <w:pPr>
              <w:pStyle w:val="TableText0"/>
              <w:jc w:val="center"/>
              <w:rPr>
                <w:szCs w:val="20"/>
                <w:highlight w:val="darkGray"/>
              </w:rPr>
            </w:pPr>
            <w:r w:rsidRPr="009942F6">
              <w:rPr>
                <w:rFonts w:hint="eastAsia"/>
                <w:bCs w:val="0"/>
                <w:snapToGrid w:val="0"/>
                <w:color w:val="000000"/>
                <w:w w:val="19"/>
                <w:szCs w:val="20"/>
                <w:shd w:val="solid" w:color="000000" w:fill="000000"/>
                <w:fitText w:val="88" w:id="-1305212411"/>
                <w14:textFill>
                  <w14:solidFill>
                    <w14:srgbClr w14:val="000000">
                      <w14:alpha w14:val="100000"/>
                    </w14:srgbClr>
                  </w14:solidFill>
                </w14:textFill>
              </w:rPr>
              <w:t xml:space="preserve">　</w:t>
            </w:r>
            <w:r w:rsidRPr="009942F6">
              <w:rPr>
                <w:bCs w:val="0"/>
                <w:snapToGrid w:val="0"/>
                <w:color w:val="000000"/>
                <w:w w:val="19"/>
                <w:szCs w:val="20"/>
                <w:shd w:val="solid" w:color="000000" w:fill="000000"/>
                <w:fitText w:val="88" w:id="-1305212411"/>
                <w14:textFill>
                  <w14:solidFill>
                    <w14:srgbClr w14:val="000000">
                      <w14:alpha w14:val="100000"/>
                    </w14:srgbClr>
                  </w14:solidFill>
                </w14:textFill>
              </w:rPr>
              <w:t>|</w:t>
            </w:r>
            <w:r w:rsidRPr="009942F6">
              <w:rPr>
                <w:rFonts w:hint="eastAsia"/>
                <w:bCs w:val="0"/>
                <w:snapToGrid w:val="0"/>
                <w:color w:val="000000"/>
                <w:spacing w:val="4"/>
                <w:w w:val="19"/>
                <w:szCs w:val="20"/>
                <w:shd w:val="solid" w:color="000000" w:fill="000000"/>
                <w:fitText w:val="88" w:id="-1305212411"/>
                <w14:textFill>
                  <w14:solidFill>
                    <w14:srgbClr w14:val="000000">
                      <w14:alpha w14:val="100000"/>
                    </w14:srgbClr>
                  </w14:solidFill>
                </w14:textFill>
              </w:rPr>
              <w:t xml:space="preserve">　</w:t>
            </w:r>
            <w:r w:rsidR="00700EA0" w:rsidRPr="00700EA0">
              <w:rPr>
                <w:bCs w:val="0"/>
                <w:snapToGrid w:val="0"/>
                <w:szCs w:val="20"/>
                <w:vertAlign w:val="superscript"/>
              </w:rPr>
              <w:t>1</w:t>
            </w:r>
          </w:p>
        </w:tc>
        <w:tc>
          <w:tcPr>
            <w:tcW w:w="616" w:type="pct"/>
            <w:vAlign w:val="center"/>
          </w:tcPr>
          <w:p w14:paraId="034469B0" w14:textId="1E22AE8D" w:rsidR="00FA6969" w:rsidRPr="00700EA0" w:rsidRDefault="009942F6" w:rsidP="00925847">
            <w:pPr>
              <w:pStyle w:val="TableText0"/>
              <w:jc w:val="center"/>
              <w:rPr>
                <w:szCs w:val="20"/>
                <w:highlight w:val="darkGray"/>
              </w:rPr>
            </w:pPr>
            <w:r w:rsidRPr="009942F6">
              <w:rPr>
                <w:rFonts w:hint="eastAsia"/>
                <w:bCs w:val="0"/>
                <w:snapToGrid w:val="0"/>
                <w:color w:val="000000"/>
                <w:w w:val="19"/>
                <w:szCs w:val="20"/>
                <w:shd w:val="solid" w:color="000000" w:fill="000000"/>
                <w:fitText w:val="88" w:id="-1305212410"/>
                <w14:textFill>
                  <w14:solidFill>
                    <w14:srgbClr w14:val="000000">
                      <w14:alpha w14:val="100000"/>
                    </w14:srgbClr>
                  </w14:solidFill>
                </w14:textFill>
              </w:rPr>
              <w:t xml:space="preserve">　</w:t>
            </w:r>
            <w:r w:rsidRPr="009942F6">
              <w:rPr>
                <w:bCs w:val="0"/>
                <w:snapToGrid w:val="0"/>
                <w:color w:val="000000"/>
                <w:w w:val="19"/>
                <w:szCs w:val="20"/>
                <w:shd w:val="solid" w:color="000000" w:fill="000000"/>
                <w:fitText w:val="88" w:id="-1305212410"/>
                <w14:textFill>
                  <w14:solidFill>
                    <w14:srgbClr w14:val="000000">
                      <w14:alpha w14:val="100000"/>
                    </w14:srgbClr>
                  </w14:solidFill>
                </w14:textFill>
              </w:rPr>
              <w:t>|</w:t>
            </w:r>
            <w:r w:rsidRPr="009942F6">
              <w:rPr>
                <w:rFonts w:hint="eastAsia"/>
                <w:bCs w:val="0"/>
                <w:snapToGrid w:val="0"/>
                <w:color w:val="000000"/>
                <w:spacing w:val="4"/>
                <w:w w:val="19"/>
                <w:szCs w:val="20"/>
                <w:shd w:val="solid" w:color="000000" w:fill="000000"/>
                <w:fitText w:val="88" w:id="-1305212410"/>
                <w14:textFill>
                  <w14:solidFill>
                    <w14:srgbClr w14:val="000000">
                      <w14:alpha w14:val="100000"/>
                    </w14:srgbClr>
                  </w14:solidFill>
                </w14:textFill>
              </w:rPr>
              <w:t xml:space="preserve">　</w:t>
            </w:r>
            <w:r w:rsidR="00700EA0" w:rsidRPr="00700EA0">
              <w:rPr>
                <w:bCs w:val="0"/>
                <w:snapToGrid w:val="0"/>
                <w:szCs w:val="20"/>
                <w:vertAlign w:val="superscript"/>
              </w:rPr>
              <w:t>1</w:t>
            </w:r>
          </w:p>
        </w:tc>
        <w:tc>
          <w:tcPr>
            <w:tcW w:w="638" w:type="pct"/>
            <w:vAlign w:val="center"/>
          </w:tcPr>
          <w:p w14:paraId="7297368A" w14:textId="5906C453" w:rsidR="00FA6969" w:rsidRPr="00700EA0" w:rsidRDefault="009942F6" w:rsidP="00925847">
            <w:pPr>
              <w:pStyle w:val="TableText0"/>
              <w:jc w:val="center"/>
              <w:rPr>
                <w:szCs w:val="20"/>
                <w:highlight w:val="darkGray"/>
              </w:rPr>
            </w:pPr>
            <w:r w:rsidRPr="009942F6">
              <w:rPr>
                <w:rFonts w:hint="eastAsia"/>
                <w:bCs w:val="0"/>
                <w:snapToGrid w:val="0"/>
                <w:color w:val="000000"/>
                <w:w w:val="19"/>
                <w:szCs w:val="20"/>
                <w:shd w:val="solid" w:color="000000" w:fill="000000"/>
                <w:fitText w:val="88" w:id="-1305212409"/>
                <w14:textFill>
                  <w14:solidFill>
                    <w14:srgbClr w14:val="000000">
                      <w14:alpha w14:val="100000"/>
                    </w14:srgbClr>
                  </w14:solidFill>
                </w14:textFill>
              </w:rPr>
              <w:t xml:space="preserve">　</w:t>
            </w:r>
            <w:r w:rsidRPr="009942F6">
              <w:rPr>
                <w:bCs w:val="0"/>
                <w:snapToGrid w:val="0"/>
                <w:color w:val="000000"/>
                <w:w w:val="19"/>
                <w:szCs w:val="20"/>
                <w:shd w:val="solid" w:color="000000" w:fill="000000"/>
                <w:fitText w:val="88" w:id="-1305212409"/>
                <w14:textFill>
                  <w14:solidFill>
                    <w14:srgbClr w14:val="000000">
                      <w14:alpha w14:val="100000"/>
                    </w14:srgbClr>
                  </w14:solidFill>
                </w14:textFill>
              </w:rPr>
              <w:t>|</w:t>
            </w:r>
            <w:r w:rsidRPr="009942F6">
              <w:rPr>
                <w:rFonts w:hint="eastAsia"/>
                <w:bCs w:val="0"/>
                <w:snapToGrid w:val="0"/>
                <w:color w:val="000000"/>
                <w:spacing w:val="4"/>
                <w:w w:val="19"/>
                <w:szCs w:val="20"/>
                <w:shd w:val="solid" w:color="000000" w:fill="000000"/>
                <w:fitText w:val="88" w:id="-1305212409"/>
                <w14:textFill>
                  <w14:solidFill>
                    <w14:srgbClr w14:val="000000">
                      <w14:alpha w14:val="100000"/>
                    </w14:srgbClr>
                  </w14:solidFill>
                </w14:textFill>
              </w:rPr>
              <w:t xml:space="preserve">　</w:t>
            </w:r>
            <w:r w:rsidR="00700EA0" w:rsidRPr="00700EA0">
              <w:rPr>
                <w:bCs w:val="0"/>
                <w:snapToGrid w:val="0"/>
                <w:szCs w:val="20"/>
                <w:vertAlign w:val="superscript"/>
              </w:rPr>
              <w:t>1</w:t>
            </w:r>
          </w:p>
        </w:tc>
      </w:tr>
      <w:tr w:rsidR="00FA6969" w:rsidRPr="007E61A0" w14:paraId="44DCF7AF" w14:textId="77777777" w:rsidTr="004B1765">
        <w:tc>
          <w:tcPr>
            <w:tcW w:w="1281" w:type="pct"/>
            <w:shd w:val="clear" w:color="auto" w:fill="auto"/>
            <w:vAlign w:val="center"/>
          </w:tcPr>
          <w:p w14:paraId="576BD9D6" w14:textId="77777777" w:rsidR="00FA6969" w:rsidRPr="007E61A0" w:rsidRDefault="00FA6969" w:rsidP="00925847">
            <w:pPr>
              <w:pStyle w:val="TableText0"/>
            </w:pPr>
            <w:r w:rsidRPr="007E61A0">
              <w:t xml:space="preserve">Uptake </w:t>
            </w:r>
          </w:p>
        </w:tc>
        <w:tc>
          <w:tcPr>
            <w:tcW w:w="616" w:type="pct"/>
            <w:vAlign w:val="center"/>
          </w:tcPr>
          <w:p w14:paraId="5F90C8E6" w14:textId="77777777" w:rsidR="00FA6969" w:rsidRPr="007E61A0" w:rsidRDefault="00FA6969" w:rsidP="00925847">
            <w:pPr>
              <w:pStyle w:val="TableText0"/>
              <w:jc w:val="center"/>
              <w:rPr>
                <w:szCs w:val="20"/>
              </w:rPr>
            </w:pPr>
            <w:r w:rsidRPr="007E61A0">
              <w:rPr>
                <w:bCs w:val="0"/>
                <w:szCs w:val="20"/>
              </w:rPr>
              <w:t>10%</w:t>
            </w:r>
          </w:p>
        </w:tc>
        <w:tc>
          <w:tcPr>
            <w:tcW w:w="616" w:type="pct"/>
            <w:vAlign w:val="center"/>
          </w:tcPr>
          <w:p w14:paraId="5077F772" w14:textId="77777777" w:rsidR="00FA6969" w:rsidRPr="007E61A0" w:rsidRDefault="00FA6969" w:rsidP="00925847">
            <w:pPr>
              <w:pStyle w:val="TableText0"/>
              <w:jc w:val="center"/>
              <w:rPr>
                <w:szCs w:val="20"/>
              </w:rPr>
            </w:pPr>
            <w:r w:rsidRPr="007E61A0">
              <w:rPr>
                <w:bCs w:val="0"/>
                <w:szCs w:val="20"/>
              </w:rPr>
              <w:t>20%</w:t>
            </w:r>
          </w:p>
        </w:tc>
        <w:tc>
          <w:tcPr>
            <w:tcW w:w="617" w:type="pct"/>
            <w:vAlign w:val="center"/>
          </w:tcPr>
          <w:p w14:paraId="255CACBA" w14:textId="77777777" w:rsidR="00FA6969" w:rsidRPr="007E61A0" w:rsidRDefault="00FA6969" w:rsidP="00925847">
            <w:pPr>
              <w:pStyle w:val="TableText0"/>
              <w:jc w:val="center"/>
              <w:rPr>
                <w:szCs w:val="20"/>
              </w:rPr>
            </w:pPr>
            <w:r w:rsidRPr="007E61A0">
              <w:rPr>
                <w:bCs w:val="0"/>
                <w:szCs w:val="20"/>
              </w:rPr>
              <w:t>25%</w:t>
            </w:r>
          </w:p>
        </w:tc>
        <w:tc>
          <w:tcPr>
            <w:tcW w:w="616" w:type="pct"/>
            <w:vAlign w:val="center"/>
          </w:tcPr>
          <w:p w14:paraId="6F5B2D04" w14:textId="77777777" w:rsidR="00FA6969" w:rsidRPr="007E61A0" w:rsidRDefault="00FA6969" w:rsidP="00925847">
            <w:pPr>
              <w:pStyle w:val="TableText0"/>
              <w:jc w:val="center"/>
              <w:rPr>
                <w:szCs w:val="20"/>
              </w:rPr>
            </w:pPr>
            <w:r w:rsidRPr="007E61A0">
              <w:rPr>
                <w:bCs w:val="0"/>
                <w:szCs w:val="20"/>
              </w:rPr>
              <w:t>30%</w:t>
            </w:r>
          </w:p>
        </w:tc>
        <w:tc>
          <w:tcPr>
            <w:tcW w:w="616" w:type="pct"/>
            <w:vAlign w:val="center"/>
          </w:tcPr>
          <w:p w14:paraId="17DADD4E" w14:textId="77777777" w:rsidR="00FA6969" w:rsidRPr="007E61A0" w:rsidRDefault="00FA6969" w:rsidP="00925847">
            <w:pPr>
              <w:pStyle w:val="TableText0"/>
              <w:jc w:val="center"/>
              <w:rPr>
                <w:szCs w:val="20"/>
              </w:rPr>
            </w:pPr>
            <w:r w:rsidRPr="007E61A0">
              <w:rPr>
                <w:bCs w:val="0"/>
                <w:szCs w:val="20"/>
              </w:rPr>
              <w:t>35%</w:t>
            </w:r>
          </w:p>
        </w:tc>
        <w:tc>
          <w:tcPr>
            <w:tcW w:w="638" w:type="pct"/>
            <w:vAlign w:val="center"/>
          </w:tcPr>
          <w:p w14:paraId="4268ADB6" w14:textId="77777777" w:rsidR="00FA6969" w:rsidRPr="007E61A0" w:rsidRDefault="00FA6969" w:rsidP="00925847">
            <w:pPr>
              <w:pStyle w:val="TableText0"/>
              <w:jc w:val="center"/>
              <w:rPr>
                <w:szCs w:val="20"/>
              </w:rPr>
            </w:pPr>
            <w:r w:rsidRPr="007E61A0">
              <w:rPr>
                <w:bCs w:val="0"/>
                <w:szCs w:val="20"/>
              </w:rPr>
              <w:t>40%</w:t>
            </w:r>
          </w:p>
        </w:tc>
      </w:tr>
      <w:tr w:rsidR="00FA6969" w:rsidRPr="007E61A0" w14:paraId="4913D768" w14:textId="77777777" w:rsidTr="004B1765">
        <w:tc>
          <w:tcPr>
            <w:tcW w:w="1281" w:type="pct"/>
            <w:shd w:val="clear" w:color="auto" w:fill="auto"/>
            <w:vAlign w:val="center"/>
          </w:tcPr>
          <w:p w14:paraId="6C16C2DF" w14:textId="77777777" w:rsidR="00FA6969" w:rsidRPr="007E61A0" w:rsidRDefault="00FA6969" w:rsidP="00925847">
            <w:pPr>
              <w:pStyle w:val="TableText0"/>
              <w:rPr>
                <w:rFonts w:ascii="Times" w:hAnsi="Times"/>
              </w:rPr>
            </w:pPr>
            <w:r w:rsidRPr="007E61A0">
              <w:t>Number of patients treated</w:t>
            </w:r>
          </w:p>
        </w:tc>
        <w:tc>
          <w:tcPr>
            <w:tcW w:w="616" w:type="pct"/>
            <w:vAlign w:val="center"/>
          </w:tcPr>
          <w:p w14:paraId="403EDE19" w14:textId="458E0BA3" w:rsidR="00FA6969" w:rsidRPr="00700EA0" w:rsidRDefault="009942F6" w:rsidP="00925847">
            <w:pPr>
              <w:pStyle w:val="TableText0"/>
              <w:jc w:val="center"/>
              <w:rPr>
                <w:color w:val="000000"/>
                <w:highlight w:val="darkGray"/>
              </w:rPr>
            </w:pPr>
            <w:r w:rsidRPr="009942F6">
              <w:rPr>
                <w:rFonts w:hint="eastAsia"/>
                <w:color w:val="000000"/>
                <w:w w:val="19"/>
                <w:szCs w:val="20"/>
                <w:shd w:val="solid" w:color="000000" w:fill="000000"/>
                <w:fitText w:val="87" w:id="-1305212408"/>
                <w14:textFill>
                  <w14:solidFill>
                    <w14:srgbClr w14:val="000000">
                      <w14:alpha w14:val="100000"/>
                    </w14:srgbClr>
                  </w14:solidFill>
                </w14:textFill>
              </w:rPr>
              <w:t xml:space="preserve">　</w:t>
            </w:r>
            <w:r w:rsidRPr="009942F6">
              <w:rPr>
                <w:color w:val="000000"/>
                <w:w w:val="19"/>
                <w:szCs w:val="20"/>
                <w:shd w:val="solid" w:color="000000" w:fill="000000"/>
                <w:fitText w:val="87" w:id="-1305212408"/>
                <w14:textFill>
                  <w14:solidFill>
                    <w14:srgbClr w14:val="000000">
                      <w14:alpha w14:val="100000"/>
                    </w14:srgbClr>
                  </w14:solidFill>
                </w14:textFill>
              </w:rPr>
              <w:t>|</w:t>
            </w:r>
            <w:r w:rsidRPr="009942F6">
              <w:rPr>
                <w:rFonts w:hint="eastAsia"/>
                <w:color w:val="000000"/>
                <w:spacing w:val="3"/>
                <w:w w:val="19"/>
                <w:szCs w:val="20"/>
                <w:shd w:val="solid" w:color="000000" w:fill="000000"/>
                <w:fitText w:val="87" w:id="-1305212408"/>
                <w14:textFill>
                  <w14:solidFill>
                    <w14:srgbClr w14:val="000000">
                      <w14:alpha w14:val="100000"/>
                    </w14:srgbClr>
                  </w14:solidFill>
                </w14:textFill>
              </w:rPr>
              <w:t xml:space="preserve">　</w:t>
            </w:r>
            <w:r w:rsidR="00700EA0">
              <w:rPr>
                <w:bCs w:val="0"/>
                <w:snapToGrid w:val="0"/>
                <w:szCs w:val="20"/>
                <w:vertAlign w:val="superscript"/>
              </w:rPr>
              <w:t>2</w:t>
            </w:r>
          </w:p>
        </w:tc>
        <w:tc>
          <w:tcPr>
            <w:tcW w:w="616" w:type="pct"/>
            <w:vAlign w:val="center"/>
          </w:tcPr>
          <w:p w14:paraId="46DB2CF0" w14:textId="648875CC" w:rsidR="00FA6969" w:rsidRPr="00700EA0" w:rsidRDefault="009942F6" w:rsidP="00925847">
            <w:pPr>
              <w:pStyle w:val="TableText0"/>
              <w:jc w:val="center"/>
              <w:rPr>
                <w:color w:val="000000"/>
                <w:highlight w:val="darkGray"/>
              </w:rPr>
            </w:pPr>
            <w:r w:rsidRPr="009942F6">
              <w:rPr>
                <w:rFonts w:hint="eastAsia"/>
                <w:color w:val="000000"/>
                <w:w w:val="19"/>
                <w:szCs w:val="20"/>
                <w:shd w:val="solid" w:color="000000" w:fill="000000"/>
                <w:fitText w:val="88" w:id="-1305212407"/>
                <w14:textFill>
                  <w14:solidFill>
                    <w14:srgbClr w14:val="000000">
                      <w14:alpha w14:val="100000"/>
                    </w14:srgbClr>
                  </w14:solidFill>
                </w14:textFill>
              </w:rPr>
              <w:t xml:space="preserve">　</w:t>
            </w:r>
            <w:r w:rsidRPr="009942F6">
              <w:rPr>
                <w:color w:val="000000"/>
                <w:w w:val="19"/>
                <w:szCs w:val="20"/>
                <w:shd w:val="solid" w:color="000000" w:fill="000000"/>
                <w:fitText w:val="88" w:id="-1305212407"/>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7"/>
                <w14:textFill>
                  <w14:solidFill>
                    <w14:srgbClr w14:val="000000">
                      <w14:alpha w14:val="100000"/>
                    </w14:srgbClr>
                  </w14:solidFill>
                </w14:textFill>
              </w:rPr>
              <w:t xml:space="preserve">　</w:t>
            </w:r>
            <w:r w:rsidR="0069022C">
              <w:rPr>
                <w:bCs w:val="0"/>
                <w:snapToGrid w:val="0"/>
                <w:szCs w:val="20"/>
                <w:vertAlign w:val="superscript"/>
              </w:rPr>
              <w:t>7</w:t>
            </w:r>
          </w:p>
        </w:tc>
        <w:tc>
          <w:tcPr>
            <w:tcW w:w="617" w:type="pct"/>
            <w:vAlign w:val="center"/>
          </w:tcPr>
          <w:p w14:paraId="6157D471" w14:textId="6737DA57" w:rsidR="00FA6969" w:rsidRPr="00700EA0" w:rsidRDefault="009942F6" w:rsidP="00925847">
            <w:pPr>
              <w:pStyle w:val="TableText0"/>
              <w:jc w:val="center"/>
              <w:rPr>
                <w:color w:val="000000"/>
                <w:highlight w:val="darkGray"/>
              </w:rPr>
            </w:pPr>
            <w:r w:rsidRPr="009942F6">
              <w:rPr>
                <w:rFonts w:hint="eastAsia"/>
                <w:color w:val="000000"/>
                <w:w w:val="19"/>
                <w:szCs w:val="20"/>
                <w:shd w:val="solid" w:color="000000" w:fill="000000"/>
                <w:fitText w:val="88" w:id="-1305212406"/>
                <w14:textFill>
                  <w14:solidFill>
                    <w14:srgbClr w14:val="000000">
                      <w14:alpha w14:val="100000"/>
                    </w14:srgbClr>
                  </w14:solidFill>
                </w14:textFill>
              </w:rPr>
              <w:t xml:space="preserve">　</w:t>
            </w:r>
            <w:r w:rsidRPr="009942F6">
              <w:rPr>
                <w:color w:val="000000"/>
                <w:w w:val="19"/>
                <w:szCs w:val="20"/>
                <w:shd w:val="solid" w:color="000000" w:fill="000000"/>
                <w:fitText w:val="88" w:id="-1305212406"/>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6"/>
                <w14:textFill>
                  <w14:solidFill>
                    <w14:srgbClr w14:val="000000">
                      <w14:alpha w14:val="100000"/>
                    </w14:srgbClr>
                  </w14:solidFill>
                </w14:textFill>
              </w:rPr>
              <w:t xml:space="preserve">　</w:t>
            </w:r>
            <w:r w:rsidR="0069022C">
              <w:rPr>
                <w:bCs w:val="0"/>
                <w:snapToGrid w:val="0"/>
                <w:szCs w:val="20"/>
                <w:vertAlign w:val="superscript"/>
              </w:rPr>
              <w:t>7</w:t>
            </w:r>
          </w:p>
        </w:tc>
        <w:tc>
          <w:tcPr>
            <w:tcW w:w="616" w:type="pct"/>
            <w:vAlign w:val="center"/>
          </w:tcPr>
          <w:p w14:paraId="017DEA6A" w14:textId="01ED7663" w:rsidR="00FA6969" w:rsidRPr="00700EA0" w:rsidRDefault="009942F6" w:rsidP="00925847">
            <w:pPr>
              <w:pStyle w:val="TableText0"/>
              <w:jc w:val="center"/>
              <w:rPr>
                <w:color w:val="000000"/>
                <w:highlight w:val="darkGray"/>
              </w:rPr>
            </w:pPr>
            <w:r w:rsidRPr="009942F6">
              <w:rPr>
                <w:rFonts w:hint="eastAsia"/>
                <w:color w:val="000000"/>
                <w:w w:val="19"/>
                <w:szCs w:val="20"/>
                <w:shd w:val="solid" w:color="000000" w:fill="000000"/>
                <w:fitText w:val="88" w:id="-1305212405"/>
                <w14:textFill>
                  <w14:solidFill>
                    <w14:srgbClr w14:val="000000">
                      <w14:alpha w14:val="100000"/>
                    </w14:srgbClr>
                  </w14:solidFill>
                </w14:textFill>
              </w:rPr>
              <w:t xml:space="preserve">　</w:t>
            </w:r>
            <w:r w:rsidRPr="009942F6">
              <w:rPr>
                <w:color w:val="000000"/>
                <w:w w:val="19"/>
                <w:szCs w:val="20"/>
                <w:shd w:val="solid" w:color="000000" w:fill="000000"/>
                <w:fitText w:val="88" w:id="-1305212405"/>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5"/>
                <w14:textFill>
                  <w14:solidFill>
                    <w14:srgbClr w14:val="000000">
                      <w14:alpha w14:val="100000"/>
                    </w14:srgbClr>
                  </w14:solidFill>
                </w14:textFill>
              </w:rPr>
              <w:t xml:space="preserve">　</w:t>
            </w:r>
            <w:r w:rsidR="0069022C">
              <w:rPr>
                <w:bCs w:val="0"/>
                <w:snapToGrid w:val="0"/>
                <w:szCs w:val="20"/>
                <w:vertAlign w:val="superscript"/>
              </w:rPr>
              <w:t>7</w:t>
            </w:r>
          </w:p>
        </w:tc>
        <w:tc>
          <w:tcPr>
            <w:tcW w:w="616" w:type="pct"/>
            <w:vAlign w:val="center"/>
          </w:tcPr>
          <w:p w14:paraId="5696A58B" w14:textId="43084509" w:rsidR="00FA6969" w:rsidRPr="00700EA0" w:rsidRDefault="009942F6" w:rsidP="00925847">
            <w:pPr>
              <w:pStyle w:val="TableText0"/>
              <w:jc w:val="center"/>
              <w:rPr>
                <w:color w:val="000000"/>
                <w:highlight w:val="darkGray"/>
              </w:rPr>
            </w:pPr>
            <w:r w:rsidRPr="009942F6">
              <w:rPr>
                <w:rFonts w:hint="eastAsia"/>
                <w:color w:val="000000"/>
                <w:w w:val="19"/>
                <w:szCs w:val="20"/>
                <w:shd w:val="solid" w:color="000000" w:fill="000000"/>
                <w:fitText w:val="88" w:id="-1305212404"/>
                <w14:textFill>
                  <w14:solidFill>
                    <w14:srgbClr w14:val="000000">
                      <w14:alpha w14:val="100000"/>
                    </w14:srgbClr>
                  </w14:solidFill>
                </w14:textFill>
              </w:rPr>
              <w:t xml:space="preserve">　</w:t>
            </w:r>
            <w:r w:rsidRPr="009942F6">
              <w:rPr>
                <w:color w:val="000000"/>
                <w:w w:val="19"/>
                <w:szCs w:val="20"/>
                <w:shd w:val="solid" w:color="000000" w:fill="000000"/>
                <w:fitText w:val="88" w:id="-1305212404"/>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4"/>
                <w14:textFill>
                  <w14:solidFill>
                    <w14:srgbClr w14:val="000000">
                      <w14:alpha w14:val="100000"/>
                    </w14:srgbClr>
                  </w14:solidFill>
                </w14:textFill>
              </w:rPr>
              <w:t xml:space="preserve">　</w:t>
            </w:r>
            <w:r w:rsidR="0069022C">
              <w:rPr>
                <w:bCs w:val="0"/>
                <w:snapToGrid w:val="0"/>
                <w:szCs w:val="20"/>
                <w:vertAlign w:val="superscript"/>
              </w:rPr>
              <w:t>7</w:t>
            </w:r>
          </w:p>
        </w:tc>
        <w:tc>
          <w:tcPr>
            <w:tcW w:w="638" w:type="pct"/>
            <w:vAlign w:val="center"/>
          </w:tcPr>
          <w:p w14:paraId="6C59B8CF" w14:textId="53FADD71" w:rsidR="00FA6969" w:rsidRPr="00700EA0" w:rsidRDefault="009942F6" w:rsidP="00925847">
            <w:pPr>
              <w:pStyle w:val="TableText0"/>
              <w:jc w:val="center"/>
              <w:rPr>
                <w:color w:val="000000"/>
                <w:highlight w:val="darkGray"/>
              </w:rPr>
            </w:pPr>
            <w:r w:rsidRPr="00415EDB">
              <w:rPr>
                <w:rFonts w:hint="eastAsia"/>
                <w:color w:val="000000"/>
                <w:w w:val="22"/>
                <w:szCs w:val="20"/>
                <w:shd w:val="solid" w:color="000000" w:fill="000000"/>
                <w:fitText w:val="100" w:id="-1305212403"/>
                <w14:textFill>
                  <w14:solidFill>
                    <w14:srgbClr w14:val="000000">
                      <w14:alpha w14:val="100000"/>
                    </w14:srgbClr>
                  </w14:solidFill>
                </w14:textFill>
              </w:rPr>
              <w:t xml:space="preserve">　</w:t>
            </w:r>
            <w:r w:rsidRPr="00415EDB">
              <w:rPr>
                <w:color w:val="000000"/>
                <w:w w:val="22"/>
                <w:szCs w:val="20"/>
                <w:shd w:val="solid" w:color="000000" w:fill="000000"/>
                <w:fitText w:val="100" w:id="-1305212403"/>
                <w14:textFill>
                  <w14:solidFill>
                    <w14:srgbClr w14:val="000000">
                      <w14:alpha w14:val="100000"/>
                    </w14:srgbClr>
                  </w14:solidFill>
                </w14:textFill>
              </w:rPr>
              <w:t>|</w:t>
            </w:r>
            <w:r w:rsidRPr="00415EDB">
              <w:rPr>
                <w:rFonts w:hint="eastAsia"/>
                <w:color w:val="000000"/>
                <w:spacing w:val="3"/>
                <w:w w:val="22"/>
                <w:szCs w:val="20"/>
                <w:shd w:val="solid" w:color="000000" w:fill="000000"/>
                <w:fitText w:val="100" w:id="-1305212403"/>
                <w14:textFill>
                  <w14:solidFill>
                    <w14:srgbClr w14:val="000000">
                      <w14:alpha w14:val="100000"/>
                    </w14:srgbClr>
                  </w14:solidFill>
                </w14:textFill>
              </w:rPr>
              <w:t xml:space="preserve">　</w:t>
            </w:r>
            <w:r w:rsidR="002075A0">
              <w:rPr>
                <w:bCs w:val="0"/>
                <w:snapToGrid w:val="0"/>
                <w:szCs w:val="20"/>
                <w:vertAlign w:val="superscript"/>
              </w:rPr>
              <w:t>16</w:t>
            </w:r>
          </w:p>
        </w:tc>
      </w:tr>
      <w:tr w:rsidR="00FA6969" w:rsidRPr="007E61A0" w14:paraId="462EC74C" w14:textId="77777777" w:rsidTr="004B1765">
        <w:tc>
          <w:tcPr>
            <w:tcW w:w="1281" w:type="pct"/>
            <w:shd w:val="clear" w:color="auto" w:fill="auto"/>
            <w:vAlign w:val="center"/>
          </w:tcPr>
          <w:p w14:paraId="193B9483" w14:textId="77777777" w:rsidR="00FA6969" w:rsidRPr="007E61A0" w:rsidRDefault="00FA6969" w:rsidP="00925847">
            <w:pPr>
              <w:pStyle w:val="TableText0"/>
              <w:rPr>
                <w:rFonts w:ascii="Times" w:hAnsi="Times"/>
              </w:rPr>
            </w:pPr>
            <w:r w:rsidRPr="007E61A0">
              <w:t>Number of scripts dispensed</w:t>
            </w:r>
            <w:r w:rsidRPr="007E61A0">
              <w:rPr>
                <w:vertAlign w:val="superscript"/>
              </w:rPr>
              <w:t>a</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365D" w14:textId="3AC519DB" w:rsidR="00FA6969" w:rsidRPr="00700EA0" w:rsidRDefault="009942F6" w:rsidP="00925847">
            <w:pPr>
              <w:pStyle w:val="TableText0"/>
              <w:jc w:val="center"/>
              <w:rPr>
                <w:color w:val="000000"/>
                <w:highlight w:val="darkGray"/>
              </w:rPr>
            </w:pPr>
            <w:r w:rsidRPr="009942F6">
              <w:rPr>
                <w:rFonts w:hint="eastAsia"/>
                <w:color w:val="000000"/>
                <w:w w:val="19"/>
                <w:szCs w:val="20"/>
                <w:shd w:val="solid" w:color="000000" w:fill="000000"/>
                <w:fitText w:val="87" w:id="-1305212402"/>
                <w14:textFill>
                  <w14:solidFill>
                    <w14:srgbClr w14:val="000000">
                      <w14:alpha w14:val="100000"/>
                    </w14:srgbClr>
                  </w14:solidFill>
                </w14:textFill>
              </w:rPr>
              <w:t xml:space="preserve">　</w:t>
            </w:r>
            <w:r w:rsidRPr="009942F6">
              <w:rPr>
                <w:color w:val="000000"/>
                <w:w w:val="19"/>
                <w:szCs w:val="20"/>
                <w:shd w:val="solid" w:color="000000" w:fill="000000"/>
                <w:fitText w:val="87" w:id="-1305212402"/>
                <w14:textFill>
                  <w14:solidFill>
                    <w14:srgbClr w14:val="000000">
                      <w14:alpha w14:val="100000"/>
                    </w14:srgbClr>
                  </w14:solidFill>
                </w14:textFill>
              </w:rPr>
              <w:t>|</w:t>
            </w:r>
            <w:r w:rsidRPr="009942F6">
              <w:rPr>
                <w:rFonts w:hint="eastAsia"/>
                <w:color w:val="000000"/>
                <w:spacing w:val="3"/>
                <w:w w:val="19"/>
                <w:szCs w:val="20"/>
                <w:shd w:val="solid" w:color="000000" w:fill="000000"/>
                <w:fitText w:val="87" w:id="-1305212402"/>
                <w14:textFill>
                  <w14:solidFill>
                    <w14:srgbClr w14:val="000000">
                      <w14:alpha w14:val="100000"/>
                    </w14:srgbClr>
                  </w14:solidFill>
                </w14:textFill>
              </w:rPr>
              <w:t xml:space="preserve">　</w:t>
            </w:r>
            <w:r w:rsidR="00700EA0">
              <w:rPr>
                <w:bCs w:val="0"/>
                <w:snapToGrid w:val="0"/>
                <w:szCs w:val="20"/>
                <w:vertAlign w:val="superscript"/>
              </w:rPr>
              <w:t>3</w:t>
            </w:r>
          </w:p>
        </w:tc>
        <w:tc>
          <w:tcPr>
            <w:tcW w:w="616" w:type="pct"/>
            <w:tcBorders>
              <w:top w:val="nil"/>
              <w:left w:val="nil"/>
              <w:bottom w:val="single" w:sz="4" w:space="0" w:color="auto"/>
              <w:right w:val="single" w:sz="4" w:space="0" w:color="auto"/>
            </w:tcBorders>
            <w:shd w:val="clear" w:color="auto" w:fill="FFFFFF" w:themeFill="background1"/>
            <w:vAlign w:val="center"/>
          </w:tcPr>
          <w:p w14:paraId="7EDB6047" w14:textId="5C5190FF" w:rsidR="00FA6969" w:rsidRPr="00700EA0" w:rsidRDefault="009942F6" w:rsidP="00925847">
            <w:pPr>
              <w:pStyle w:val="TableText0"/>
              <w:jc w:val="center"/>
              <w:rPr>
                <w:color w:val="000000"/>
                <w:highlight w:val="darkGray"/>
              </w:rPr>
            </w:pPr>
            <w:r w:rsidRPr="009942F6">
              <w:rPr>
                <w:rFonts w:hint="eastAsia"/>
                <w:color w:val="000000"/>
                <w:w w:val="19"/>
                <w:szCs w:val="20"/>
                <w:shd w:val="solid" w:color="000000" w:fill="000000"/>
                <w:fitText w:val="88" w:id="-1305212401"/>
                <w14:textFill>
                  <w14:solidFill>
                    <w14:srgbClr w14:val="000000">
                      <w14:alpha w14:val="100000"/>
                    </w14:srgbClr>
                  </w14:solidFill>
                </w14:textFill>
              </w:rPr>
              <w:t xml:space="preserve">　</w:t>
            </w:r>
            <w:r w:rsidRPr="009942F6">
              <w:rPr>
                <w:color w:val="000000"/>
                <w:w w:val="19"/>
                <w:szCs w:val="20"/>
                <w:shd w:val="solid" w:color="000000" w:fill="000000"/>
                <w:fitText w:val="88" w:id="-1305212401"/>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1"/>
                <w14:textFill>
                  <w14:solidFill>
                    <w14:srgbClr w14:val="000000">
                      <w14:alpha w14:val="100000"/>
                    </w14:srgbClr>
                  </w14:solidFill>
                </w14:textFill>
              </w:rPr>
              <w:t xml:space="preserve">　</w:t>
            </w:r>
            <w:r w:rsidR="0069022C">
              <w:rPr>
                <w:bCs w:val="0"/>
                <w:snapToGrid w:val="0"/>
                <w:szCs w:val="20"/>
                <w:vertAlign w:val="superscript"/>
              </w:rPr>
              <w:t>8</w:t>
            </w:r>
          </w:p>
        </w:tc>
        <w:tc>
          <w:tcPr>
            <w:tcW w:w="617" w:type="pct"/>
            <w:tcBorders>
              <w:top w:val="nil"/>
              <w:left w:val="nil"/>
              <w:bottom w:val="single" w:sz="4" w:space="0" w:color="auto"/>
              <w:right w:val="single" w:sz="4" w:space="0" w:color="auto"/>
            </w:tcBorders>
            <w:shd w:val="clear" w:color="auto" w:fill="FFFFFF" w:themeFill="background1"/>
            <w:vAlign w:val="center"/>
          </w:tcPr>
          <w:p w14:paraId="41098379" w14:textId="384C48FA" w:rsidR="00FA6969" w:rsidRPr="00700EA0" w:rsidRDefault="009942F6" w:rsidP="00925847">
            <w:pPr>
              <w:pStyle w:val="TableText0"/>
              <w:jc w:val="center"/>
              <w:rPr>
                <w:color w:val="000000"/>
                <w:highlight w:val="darkGray"/>
              </w:rPr>
            </w:pPr>
            <w:r w:rsidRPr="00415EDB">
              <w:rPr>
                <w:rFonts w:hint="eastAsia"/>
                <w:color w:val="000000"/>
                <w:w w:val="28"/>
                <w:szCs w:val="20"/>
                <w:shd w:val="solid" w:color="000000" w:fill="000000"/>
                <w:fitText w:val="125" w:id="-1305212400"/>
                <w14:textFill>
                  <w14:solidFill>
                    <w14:srgbClr w14:val="000000">
                      <w14:alpha w14:val="100000"/>
                    </w14:srgbClr>
                  </w14:solidFill>
                </w14:textFill>
              </w:rPr>
              <w:t xml:space="preserve">　</w:t>
            </w:r>
            <w:r w:rsidRPr="00415EDB">
              <w:rPr>
                <w:color w:val="000000"/>
                <w:w w:val="28"/>
                <w:szCs w:val="20"/>
                <w:shd w:val="solid" w:color="000000" w:fill="000000"/>
                <w:fitText w:val="125" w:id="-1305212400"/>
                <w14:textFill>
                  <w14:solidFill>
                    <w14:srgbClr w14:val="000000">
                      <w14:alpha w14:val="100000"/>
                    </w14:srgbClr>
                  </w14:solidFill>
                </w14:textFill>
              </w:rPr>
              <w:t>|</w:t>
            </w:r>
            <w:r w:rsidRPr="00415EDB">
              <w:rPr>
                <w:rFonts w:hint="eastAsia"/>
                <w:color w:val="000000"/>
                <w:spacing w:val="3"/>
                <w:w w:val="28"/>
                <w:szCs w:val="20"/>
                <w:shd w:val="solid" w:color="000000" w:fill="000000"/>
                <w:fitText w:val="125" w:id="-1305212400"/>
                <w14:textFill>
                  <w14:solidFill>
                    <w14:srgbClr w14:val="000000">
                      <w14:alpha w14:val="100000"/>
                    </w14:srgbClr>
                  </w14:solidFill>
                </w14:textFill>
              </w:rPr>
              <w:t xml:space="preserve">　</w:t>
            </w:r>
            <w:r w:rsidR="0069022C">
              <w:rPr>
                <w:bCs w:val="0"/>
                <w:snapToGrid w:val="0"/>
                <w:szCs w:val="20"/>
                <w:vertAlign w:val="superscript"/>
              </w:rPr>
              <w:t>10</w:t>
            </w:r>
          </w:p>
        </w:tc>
        <w:tc>
          <w:tcPr>
            <w:tcW w:w="616" w:type="pct"/>
            <w:tcBorders>
              <w:top w:val="nil"/>
              <w:left w:val="nil"/>
              <w:bottom w:val="single" w:sz="4" w:space="0" w:color="auto"/>
              <w:right w:val="single" w:sz="4" w:space="0" w:color="auto"/>
            </w:tcBorders>
            <w:shd w:val="clear" w:color="auto" w:fill="FFFFFF" w:themeFill="background1"/>
            <w:vAlign w:val="center"/>
          </w:tcPr>
          <w:p w14:paraId="25058037" w14:textId="31DA2A57" w:rsidR="00FA6969" w:rsidRPr="00700EA0" w:rsidRDefault="009942F6" w:rsidP="00925847">
            <w:pPr>
              <w:pStyle w:val="TableText0"/>
              <w:jc w:val="center"/>
              <w:rPr>
                <w:color w:val="000000"/>
                <w:highlight w:val="darkGray"/>
              </w:rPr>
            </w:pPr>
            <w:r w:rsidRPr="009942F6">
              <w:rPr>
                <w:rFonts w:hint="eastAsia"/>
                <w:color w:val="000000"/>
                <w:w w:val="31"/>
                <w:szCs w:val="20"/>
                <w:shd w:val="solid" w:color="000000" w:fill="000000"/>
                <w:fitText w:val="138" w:id="-1305212416"/>
                <w14:textFill>
                  <w14:solidFill>
                    <w14:srgbClr w14:val="000000">
                      <w14:alpha w14:val="100000"/>
                    </w14:srgbClr>
                  </w14:solidFill>
                </w14:textFill>
              </w:rPr>
              <w:t xml:space="preserve">　</w:t>
            </w:r>
            <w:r w:rsidRPr="009942F6">
              <w:rPr>
                <w:color w:val="000000"/>
                <w:w w:val="31"/>
                <w:szCs w:val="20"/>
                <w:shd w:val="solid" w:color="000000" w:fill="000000"/>
                <w:fitText w:val="138" w:id="-1305212416"/>
                <w14:textFill>
                  <w14:solidFill>
                    <w14:srgbClr w14:val="000000">
                      <w14:alpha w14:val="100000"/>
                    </w14:srgbClr>
                  </w14:solidFill>
                </w14:textFill>
              </w:rPr>
              <w:t>|</w:t>
            </w:r>
            <w:r w:rsidRPr="009942F6">
              <w:rPr>
                <w:rFonts w:hint="eastAsia"/>
                <w:color w:val="000000"/>
                <w:spacing w:val="2"/>
                <w:w w:val="31"/>
                <w:szCs w:val="20"/>
                <w:shd w:val="solid" w:color="000000" w:fill="000000"/>
                <w:fitText w:val="138" w:id="-1305212416"/>
                <w14:textFill>
                  <w14:solidFill>
                    <w14:srgbClr w14:val="000000">
                      <w14:alpha w14:val="100000"/>
                    </w14:srgbClr>
                  </w14:solidFill>
                </w14:textFill>
              </w:rPr>
              <w:t xml:space="preserve">　</w:t>
            </w:r>
            <w:r w:rsidR="002075A0">
              <w:rPr>
                <w:bCs w:val="0"/>
                <w:snapToGrid w:val="0"/>
                <w:szCs w:val="20"/>
                <w:vertAlign w:val="superscript"/>
              </w:rPr>
              <w:t>13</w:t>
            </w:r>
          </w:p>
        </w:tc>
        <w:tc>
          <w:tcPr>
            <w:tcW w:w="616" w:type="pct"/>
            <w:tcBorders>
              <w:top w:val="nil"/>
              <w:left w:val="nil"/>
              <w:bottom w:val="single" w:sz="4" w:space="0" w:color="auto"/>
              <w:right w:val="single" w:sz="4" w:space="0" w:color="auto"/>
            </w:tcBorders>
            <w:shd w:val="clear" w:color="auto" w:fill="FFFFFF" w:themeFill="background1"/>
            <w:vAlign w:val="center"/>
          </w:tcPr>
          <w:p w14:paraId="5F148DDA" w14:textId="56F8CDD3" w:rsidR="00FA6969" w:rsidRPr="00700EA0" w:rsidRDefault="009942F6" w:rsidP="00925847">
            <w:pPr>
              <w:pStyle w:val="TableText0"/>
              <w:jc w:val="center"/>
              <w:rPr>
                <w:color w:val="000000"/>
                <w:highlight w:val="darkGray"/>
              </w:rPr>
            </w:pPr>
            <w:r w:rsidRPr="009942F6">
              <w:rPr>
                <w:rFonts w:hint="eastAsia"/>
                <w:color w:val="000000"/>
                <w:w w:val="31"/>
                <w:szCs w:val="20"/>
                <w:shd w:val="solid" w:color="000000" w:fill="000000"/>
                <w:fitText w:val="138" w:id="-1305212415"/>
                <w14:textFill>
                  <w14:solidFill>
                    <w14:srgbClr w14:val="000000">
                      <w14:alpha w14:val="100000"/>
                    </w14:srgbClr>
                  </w14:solidFill>
                </w14:textFill>
              </w:rPr>
              <w:t xml:space="preserve">　</w:t>
            </w:r>
            <w:r w:rsidRPr="009942F6">
              <w:rPr>
                <w:color w:val="000000"/>
                <w:w w:val="31"/>
                <w:szCs w:val="20"/>
                <w:shd w:val="solid" w:color="000000" w:fill="000000"/>
                <w:fitText w:val="138" w:id="-1305212415"/>
                <w14:textFill>
                  <w14:solidFill>
                    <w14:srgbClr w14:val="000000">
                      <w14:alpha w14:val="100000"/>
                    </w14:srgbClr>
                  </w14:solidFill>
                </w14:textFill>
              </w:rPr>
              <w:t>|</w:t>
            </w:r>
            <w:r w:rsidRPr="009942F6">
              <w:rPr>
                <w:rFonts w:hint="eastAsia"/>
                <w:color w:val="000000"/>
                <w:spacing w:val="2"/>
                <w:w w:val="31"/>
                <w:szCs w:val="20"/>
                <w:shd w:val="solid" w:color="000000" w:fill="000000"/>
                <w:fitText w:val="138" w:id="-1305212415"/>
                <w14:textFill>
                  <w14:solidFill>
                    <w14:srgbClr w14:val="000000">
                      <w14:alpha w14:val="100000"/>
                    </w14:srgbClr>
                  </w14:solidFill>
                </w14:textFill>
              </w:rPr>
              <w:t xml:space="preserve">　</w:t>
            </w:r>
            <w:r w:rsidR="002075A0">
              <w:rPr>
                <w:bCs w:val="0"/>
                <w:snapToGrid w:val="0"/>
                <w:szCs w:val="20"/>
                <w:vertAlign w:val="superscript"/>
              </w:rPr>
              <w:t>13</w:t>
            </w:r>
          </w:p>
        </w:tc>
        <w:tc>
          <w:tcPr>
            <w:tcW w:w="638" w:type="pct"/>
            <w:tcBorders>
              <w:top w:val="nil"/>
              <w:left w:val="nil"/>
              <w:bottom w:val="single" w:sz="4" w:space="0" w:color="auto"/>
              <w:right w:val="single" w:sz="4" w:space="0" w:color="auto"/>
            </w:tcBorders>
            <w:shd w:val="clear" w:color="auto" w:fill="FFFFFF" w:themeFill="background1"/>
            <w:vAlign w:val="center"/>
          </w:tcPr>
          <w:p w14:paraId="3292D62A" w14:textId="4CAD8E62" w:rsidR="00FA6969" w:rsidRPr="00700EA0" w:rsidRDefault="009942F6" w:rsidP="00925847">
            <w:pPr>
              <w:pStyle w:val="TableText0"/>
              <w:jc w:val="center"/>
              <w:rPr>
                <w:color w:val="000000"/>
                <w:highlight w:val="darkGray"/>
              </w:rPr>
            </w:pPr>
            <w:r w:rsidRPr="00415EDB">
              <w:rPr>
                <w:rFonts w:hint="eastAsia"/>
                <w:color w:val="000000"/>
                <w:w w:val="22"/>
                <w:szCs w:val="20"/>
                <w:shd w:val="solid" w:color="000000" w:fill="000000"/>
                <w:fitText w:val="100" w:id="-1305212414"/>
                <w14:textFill>
                  <w14:solidFill>
                    <w14:srgbClr w14:val="000000">
                      <w14:alpha w14:val="100000"/>
                    </w14:srgbClr>
                  </w14:solidFill>
                </w14:textFill>
              </w:rPr>
              <w:t xml:space="preserve">　</w:t>
            </w:r>
            <w:r w:rsidRPr="00415EDB">
              <w:rPr>
                <w:color w:val="000000"/>
                <w:w w:val="22"/>
                <w:szCs w:val="20"/>
                <w:shd w:val="solid" w:color="000000" w:fill="000000"/>
                <w:fitText w:val="100" w:id="-1305212414"/>
                <w14:textFill>
                  <w14:solidFill>
                    <w14:srgbClr w14:val="000000">
                      <w14:alpha w14:val="100000"/>
                    </w14:srgbClr>
                  </w14:solidFill>
                </w14:textFill>
              </w:rPr>
              <w:t>|</w:t>
            </w:r>
            <w:r w:rsidRPr="00415EDB">
              <w:rPr>
                <w:rFonts w:hint="eastAsia"/>
                <w:color w:val="000000"/>
                <w:spacing w:val="3"/>
                <w:w w:val="22"/>
                <w:szCs w:val="20"/>
                <w:shd w:val="solid" w:color="000000" w:fill="000000"/>
                <w:fitText w:val="100" w:id="-1305212414"/>
                <w14:textFill>
                  <w14:solidFill>
                    <w14:srgbClr w14:val="000000">
                      <w14:alpha w14:val="100000"/>
                    </w14:srgbClr>
                  </w14:solidFill>
                </w14:textFill>
              </w:rPr>
              <w:t xml:space="preserve">　</w:t>
            </w:r>
            <w:r w:rsidR="002075A0">
              <w:rPr>
                <w:bCs w:val="0"/>
                <w:snapToGrid w:val="0"/>
                <w:szCs w:val="20"/>
                <w:vertAlign w:val="superscript"/>
              </w:rPr>
              <w:t>13</w:t>
            </w:r>
          </w:p>
        </w:tc>
      </w:tr>
      <w:tr w:rsidR="00FA6969" w:rsidRPr="007E61A0" w14:paraId="2AE9DB11" w14:textId="77777777" w:rsidTr="00925847">
        <w:tc>
          <w:tcPr>
            <w:tcW w:w="5000" w:type="pct"/>
            <w:gridSpan w:val="7"/>
            <w:shd w:val="clear" w:color="auto" w:fill="auto"/>
            <w:vAlign w:val="center"/>
          </w:tcPr>
          <w:p w14:paraId="0BA097BD" w14:textId="77777777" w:rsidR="00FA6969" w:rsidRPr="007E61A0" w:rsidRDefault="00FA6969" w:rsidP="00925847">
            <w:pPr>
              <w:pStyle w:val="In-tableHeading"/>
              <w:rPr>
                <w:lang w:val="en-AU"/>
              </w:rPr>
            </w:pPr>
            <w:r w:rsidRPr="007E61A0">
              <w:rPr>
                <w:lang w:val="en-AU"/>
              </w:rPr>
              <w:t>Estimated financial implications of deucravacitinib (effective price)</w:t>
            </w:r>
          </w:p>
        </w:tc>
      </w:tr>
      <w:tr w:rsidR="00FA6969" w:rsidRPr="007E61A0" w14:paraId="147E052F" w14:textId="77777777" w:rsidTr="004B1765">
        <w:tc>
          <w:tcPr>
            <w:tcW w:w="1281" w:type="pct"/>
            <w:shd w:val="clear" w:color="auto" w:fill="auto"/>
            <w:vAlign w:val="center"/>
          </w:tcPr>
          <w:p w14:paraId="6885F7DC" w14:textId="77777777" w:rsidR="00FA6969" w:rsidRPr="007E61A0" w:rsidRDefault="00FA6969" w:rsidP="00925847">
            <w:pPr>
              <w:pStyle w:val="TableText0"/>
              <w:rPr>
                <w:sz w:val="19"/>
                <w:szCs w:val="19"/>
                <w:vertAlign w:val="superscript"/>
              </w:rPr>
            </w:pPr>
            <w:r w:rsidRPr="007E61A0">
              <w:rPr>
                <w:sz w:val="19"/>
                <w:szCs w:val="19"/>
              </w:rPr>
              <w:t>Cost to PBS/RPBS less co-payments</w:t>
            </w:r>
            <w:r w:rsidRPr="007E61A0">
              <w:rPr>
                <w:sz w:val="19"/>
                <w:szCs w:val="19"/>
                <w:vertAlign w:val="superscript"/>
              </w:rPr>
              <w:t>b</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7682A735" w14:textId="5FE41811" w:rsidR="00FA6969" w:rsidRPr="00700EA0" w:rsidRDefault="009942F6" w:rsidP="00925847">
            <w:pPr>
              <w:pStyle w:val="TableText0"/>
              <w:jc w:val="center"/>
              <w:rPr>
                <w:highlight w:val="darkGray"/>
              </w:rPr>
            </w:pPr>
            <w:r w:rsidRPr="009942F6">
              <w:rPr>
                <w:rFonts w:cs="Arial" w:hint="eastAsia"/>
                <w:color w:val="000000"/>
                <w:w w:val="19"/>
                <w:szCs w:val="20"/>
                <w:shd w:val="solid" w:color="000000" w:fill="000000"/>
                <w:fitText w:val="87" w:id="-1305212413"/>
                <w14:textFill>
                  <w14:solidFill>
                    <w14:srgbClr w14:val="000000">
                      <w14:alpha w14:val="100000"/>
                    </w14:srgbClr>
                  </w14:solidFill>
                </w14:textFill>
              </w:rPr>
              <w:t xml:space="preserve">　</w:t>
            </w:r>
            <w:r w:rsidRPr="009942F6">
              <w:rPr>
                <w:rFonts w:cs="Arial"/>
                <w:color w:val="000000"/>
                <w:w w:val="19"/>
                <w:szCs w:val="20"/>
                <w:shd w:val="solid" w:color="000000" w:fill="000000"/>
                <w:fitText w:val="87" w:id="-1305212413"/>
                <w14:textFill>
                  <w14:solidFill>
                    <w14:srgbClr w14:val="000000">
                      <w14:alpha w14:val="100000"/>
                    </w14:srgbClr>
                  </w14:solidFill>
                </w14:textFill>
              </w:rPr>
              <w:t>|</w:t>
            </w:r>
            <w:r w:rsidRPr="009942F6">
              <w:rPr>
                <w:rFonts w:cs="Arial" w:hint="eastAsia"/>
                <w:color w:val="000000"/>
                <w:spacing w:val="3"/>
                <w:w w:val="19"/>
                <w:szCs w:val="20"/>
                <w:shd w:val="solid" w:color="000000" w:fill="000000"/>
                <w:fitText w:val="87" w:id="-1305212413"/>
                <w14:textFill>
                  <w14:solidFill>
                    <w14:srgbClr w14:val="000000">
                      <w14:alpha w14:val="100000"/>
                    </w14:srgbClr>
                  </w14:solidFill>
                </w14:textFill>
              </w:rPr>
              <w:t xml:space="preserve">　</w:t>
            </w:r>
            <w:r w:rsidR="0069022C">
              <w:rPr>
                <w:bCs w:val="0"/>
                <w:snapToGrid w:val="0"/>
                <w:szCs w:val="20"/>
                <w:vertAlign w:val="superscript"/>
              </w:rPr>
              <w:t>4</w:t>
            </w:r>
          </w:p>
        </w:tc>
        <w:tc>
          <w:tcPr>
            <w:tcW w:w="616" w:type="pct"/>
            <w:tcBorders>
              <w:top w:val="single" w:sz="4" w:space="0" w:color="auto"/>
              <w:left w:val="nil"/>
              <w:bottom w:val="single" w:sz="4" w:space="0" w:color="auto"/>
              <w:right w:val="single" w:sz="4" w:space="0" w:color="auto"/>
            </w:tcBorders>
            <w:shd w:val="clear" w:color="auto" w:fill="auto"/>
            <w:vAlign w:val="center"/>
          </w:tcPr>
          <w:p w14:paraId="0D5598DD" w14:textId="2D650B4D" w:rsidR="00FA6969" w:rsidRPr="00700EA0" w:rsidRDefault="009942F6" w:rsidP="00925847">
            <w:pPr>
              <w:pStyle w:val="TableText0"/>
              <w:jc w:val="center"/>
              <w:rPr>
                <w:highlight w:val="darkGray"/>
              </w:rPr>
            </w:pPr>
            <w:r w:rsidRPr="009942F6">
              <w:rPr>
                <w:rFonts w:cs="Arial" w:hint="eastAsia"/>
                <w:color w:val="000000"/>
                <w:w w:val="19"/>
                <w:szCs w:val="20"/>
                <w:shd w:val="solid" w:color="000000" w:fill="000000"/>
                <w:fitText w:val="88" w:id="-1305212412"/>
                <w14:textFill>
                  <w14:solidFill>
                    <w14:srgbClr w14:val="000000">
                      <w14:alpha w14:val="100000"/>
                    </w14:srgbClr>
                  </w14:solidFill>
                </w14:textFill>
              </w:rPr>
              <w:t xml:space="preserve">　</w:t>
            </w:r>
            <w:r w:rsidRPr="009942F6">
              <w:rPr>
                <w:rFonts w:cs="Arial"/>
                <w:color w:val="000000"/>
                <w:w w:val="19"/>
                <w:szCs w:val="20"/>
                <w:shd w:val="solid" w:color="000000" w:fill="000000"/>
                <w:fitText w:val="88" w:id="-1305212412"/>
                <w14:textFill>
                  <w14:solidFill>
                    <w14:srgbClr w14:val="000000">
                      <w14:alpha w14:val="100000"/>
                    </w14:srgbClr>
                  </w14:solidFill>
                </w14:textFill>
              </w:rPr>
              <w:t>|</w:t>
            </w:r>
            <w:r w:rsidRPr="009942F6">
              <w:rPr>
                <w:rFonts w:cs="Arial" w:hint="eastAsia"/>
                <w:color w:val="000000"/>
                <w:spacing w:val="4"/>
                <w:w w:val="19"/>
                <w:szCs w:val="20"/>
                <w:shd w:val="solid" w:color="000000" w:fill="000000"/>
                <w:fitText w:val="88" w:id="-1305212412"/>
                <w14:textFill>
                  <w14:solidFill>
                    <w14:srgbClr w14:val="000000">
                      <w14:alpha w14:val="100000"/>
                    </w14:srgbClr>
                  </w14:solidFill>
                </w14:textFill>
              </w:rPr>
              <w:t xml:space="preserve">　</w:t>
            </w:r>
            <w:r w:rsidR="0069022C">
              <w:rPr>
                <w:bCs w:val="0"/>
                <w:snapToGrid w:val="0"/>
                <w:szCs w:val="20"/>
                <w:vertAlign w:val="superscript"/>
              </w:rPr>
              <w:t>9</w:t>
            </w:r>
          </w:p>
        </w:tc>
        <w:tc>
          <w:tcPr>
            <w:tcW w:w="617" w:type="pct"/>
            <w:tcBorders>
              <w:top w:val="single" w:sz="4" w:space="0" w:color="auto"/>
              <w:left w:val="nil"/>
              <w:bottom w:val="single" w:sz="4" w:space="0" w:color="auto"/>
              <w:right w:val="single" w:sz="4" w:space="0" w:color="auto"/>
            </w:tcBorders>
            <w:shd w:val="clear" w:color="auto" w:fill="auto"/>
            <w:vAlign w:val="center"/>
          </w:tcPr>
          <w:p w14:paraId="27D60C76" w14:textId="1ED02C2A" w:rsidR="00FA6969" w:rsidRPr="00700EA0" w:rsidRDefault="009942F6" w:rsidP="00925847">
            <w:pPr>
              <w:pStyle w:val="TableText0"/>
              <w:jc w:val="center"/>
              <w:rPr>
                <w:highlight w:val="darkGray"/>
              </w:rPr>
            </w:pPr>
            <w:r w:rsidRPr="00415EDB">
              <w:rPr>
                <w:rFonts w:cs="Arial" w:hint="eastAsia"/>
                <w:color w:val="000000"/>
                <w:w w:val="28"/>
                <w:szCs w:val="20"/>
                <w:shd w:val="solid" w:color="000000" w:fill="000000"/>
                <w:fitText w:val="125" w:id="-1305212411"/>
                <w14:textFill>
                  <w14:solidFill>
                    <w14:srgbClr w14:val="000000">
                      <w14:alpha w14:val="100000"/>
                    </w14:srgbClr>
                  </w14:solidFill>
                </w14:textFill>
              </w:rPr>
              <w:t xml:space="preserve">　</w:t>
            </w:r>
            <w:r w:rsidRPr="00415EDB">
              <w:rPr>
                <w:rFonts w:cs="Arial"/>
                <w:color w:val="000000"/>
                <w:w w:val="28"/>
                <w:szCs w:val="20"/>
                <w:shd w:val="solid" w:color="000000" w:fill="000000"/>
                <w:fitText w:val="125" w:id="-1305212411"/>
                <w14:textFill>
                  <w14:solidFill>
                    <w14:srgbClr w14:val="000000">
                      <w14:alpha w14:val="100000"/>
                    </w14:srgbClr>
                  </w14:solidFill>
                </w14:textFill>
              </w:rPr>
              <w:t>|</w:t>
            </w:r>
            <w:r w:rsidRPr="00415EDB">
              <w:rPr>
                <w:rFonts w:cs="Arial" w:hint="eastAsia"/>
                <w:color w:val="000000"/>
                <w:spacing w:val="3"/>
                <w:w w:val="28"/>
                <w:szCs w:val="20"/>
                <w:shd w:val="solid" w:color="000000" w:fill="000000"/>
                <w:fitText w:val="125" w:id="-1305212411"/>
                <w14:textFill>
                  <w14:solidFill>
                    <w14:srgbClr w14:val="000000">
                      <w14:alpha w14:val="100000"/>
                    </w14:srgbClr>
                  </w14:solidFill>
                </w14:textFill>
              </w:rPr>
              <w:t xml:space="preserve">　</w:t>
            </w:r>
            <w:r w:rsidR="00EA03A2">
              <w:rPr>
                <w:bCs w:val="0"/>
                <w:snapToGrid w:val="0"/>
                <w:szCs w:val="20"/>
                <w:vertAlign w:val="superscript"/>
              </w:rPr>
              <w:t>11</w:t>
            </w:r>
          </w:p>
        </w:tc>
        <w:tc>
          <w:tcPr>
            <w:tcW w:w="616" w:type="pct"/>
            <w:tcBorders>
              <w:top w:val="single" w:sz="4" w:space="0" w:color="auto"/>
              <w:left w:val="nil"/>
              <w:bottom w:val="single" w:sz="4" w:space="0" w:color="auto"/>
              <w:right w:val="single" w:sz="4" w:space="0" w:color="auto"/>
            </w:tcBorders>
            <w:shd w:val="clear" w:color="auto" w:fill="auto"/>
            <w:vAlign w:val="center"/>
          </w:tcPr>
          <w:p w14:paraId="59A8CADB" w14:textId="0A71D03A" w:rsidR="00FA6969" w:rsidRPr="00700EA0" w:rsidRDefault="009942F6" w:rsidP="00925847">
            <w:pPr>
              <w:pStyle w:val="TableText0"/>
              <w:jc w:val="center"/>
              <w:rPr>
                <w:highlight w:val="darkGray"/>
              </w:rPr>
            </w:pPr>
            <w:r w:rsidRPr="009942F6">
              <w:rPr>
                <w:rFonts w:cs="Arial" w:hint="eastAsia"/>
                <w:color w:val="000000"/>
                <w:w w:val="31"/>
                <w:szCs w:val="20"/>
                <w:shd w:val="solid" w:color="000000" w:fill="000000"/>
                <w:fitText w:val="138" w:id="-1305212410"/>
                <w14:textFill>
                  <w14:solidFill>
                    <w14:srgbClr w14:val="000000">
                      <w14:alpha w14:val="100000"/>
                    </w14:srgbClr>
                  </w14:solidFill>
                </w14:textFill>
              </w:rPr>
              <w:t xml:space="preserve">　</w:t>
            </w:r>
            <w:r w:rsidRPr="009942F6">
              <w:rPr>
                <w:rFonts w:cs="Arial"/>
                <w:color w:val="000000"/>
                <w:w w:val="31"/>
                <w:szCs w:val="20"/>
                <w:shd w:val="solid" w:color="000000" w:fill="000000"/>
                <w:fitText w:val="138" w:id="-1305212410"/>
                <w14:textFill>
                  <w14:solidFill>
                    <w14:srgbClr w14:val="000000">
                      <w14:alpha w14:val="100000"/>
                    </w14:srgbClr>
                  </w14:solidFill>
                </w14:textFill>
              </w:rPr>
              <w:t>|</w:t>
            </w:r>
            <w:r w:rsidRPr="009942F6">
              <w:rPr>
                <w:rFonts w:cs="Arial" w:hint="eastAsia"/>
                <w:color w:val="000000"/>
                <w:spacing w:val="2"/>
                <w:w w:val="31"/>
                <w:szCs w:val="20"/>
                <w:shd w:val="solid" w:color="000000" w:fill="000000"/>
                <w:fitText w:val="138" w:id="-1305212410"/>
                <w14:textFill>
                  <w14:solidFill>
                    <w14:srgbClr w14:val="000000">
                      <w14:alpha w14:val="100000"/>
                    </w14:srgbClr>
                  </w14:solidFill>
                </w14:textFill>
              </w:rPr>
              <w:t xml:space="preserve">　</w:t>
            </w:r>
            <w:r w:rsidR="002075A0">
              <w:rPr>
                <w:bCs w:val="0"/>
                <w:snapToGrid w:val="0"/>
                <w:szCs w:val="20"/>
                <w:vertAlign w:val="superscript"/>
              </w:rPr>
              <w:t>14</w:t>
            </w:r>
          </w:p>
        </w:tc>
        <w:tc>
          <w:tcPr>
            <w:tcW w:w="616" w:type="pct"/>
            <w:tcBorders>
              <w:top w:val="single" w:sz="4" w:space="0" w:color="auto"/>
              <w:left w:val="nil"/>
              <w:bottom w:val="single" w:sz="4" w:space="0" w:color="auto"/>
              <w:right w:val="single" w:sz="4" w:space="0" w:color="auto"/>
            </w:tcBorders>
            <w:shd w:val="clear" w:color="auto" w:fill="auto"/>
            <w:vAlign w:val="center"/>
          </w:tcPr>
          <w:p w14:paraId="3B7B120B" w14:textId="7A546D32" w:rsidR="00FA6969" w:rsidRPr="00700EA0" w:rsidRDefault="009942F6" w:rsidP="00925847">
            <w:pPr>
              <w:pStyle w:val="TableText0"/>
              <w:jc w:val="center"/>
              <w:rPr>
                <w:highlight w:val="darkGray"/>
              </w:rPr>
            </w:pPr>
            <w:r w:rsidRPr="009942F6">
              <w:rPr>
                <w:rFonts w:cs="Arial" w:hint="eastAsia"/>
                <w:color w:val="000000"/>
                <w:w w:val="31"/>
                <w:szCs w:val="20"/>
                <w:shd w:val="solid" w:color="000000" w:fill="000000"/>
                <w:fitText w:val="138" w:id="-1305212409"/>
                <w14:textFill>
                  <w14:solidFill>
                    <w14:srgbClr w14:val="000000">
                      <w14:alpha w14:val="100000"/>
                    </w14:srgbClr>
                  </w14:solidFill>
                </w14:textFill>
              </w:rPr>
              <w:t xml:space="preserve">　</w:t>
            </w:r>
            <w:r w:rsidRPr="009942F6">
              <w:rPr>
                <w:rFonts w:cs="Arial"/>
                <w:color w:val="000000"/>
                <w:w w:val="31"/>
                <w:szCs w:val="20"/>
                <w:shd w:val="solid" w:color="000000" w:fill="000000"/>
                <w:fitText w:val="138" w:id="-1305212409"/>
                <w14:textFill>
                  <w14:solidFill>
                    <w14:srgbClr w14:val="000000">
                      <w14:alpha w14:val="100000"/>
                    </w14:srgbClr>
                  </w14:solidFill>
                </w14:textFill>
              </w:rPr>
              <w:t>|</w:t>
            </w:r>
            <w:r w:rsidRPr="009942F6">
              <w:rPr>
                <w:rFonts w:cs="Arial" w:hint="eastAsia"/>
                <w:color w:val="000000"/>
                <w:spacing w:val="2"/>
                <w:w w:val="31"/>
                <w:szCs w:val="20"/>
                <w:shd w:val="solid" w:color="000000" w:fill="000000"/>
                <w:fitText w:val="138" w:id="-1305212409"/>
                <w14:textFill>
                  <w14:solidFill>
                    <w14:srgbClr w14:val="000000">
                      <w14:alpha w14:val="100000"/>
                    </w14:srgbClr>
                  </w14:solidFill>
                </w14:textFill>
              </w:rPr>
              <w:t xml:space="preserve">　</w:t>
            </w:r>
            <w:r w:rsidR="002075A0">
              <w:rPr>
                <w:bCs w:val="0"/>
                <w:snapToGrid w:val="0"/>
                <w:szCs w:val="20"/>
                <w:vertAlign w:val="superscript"/>
              </w:rPr>
              <w:t>15</w:t>
            </w:r>
          </w:p>
        </w:tc>
        <w:tc>
          <w:tcPr>
            <w:tcW w:w="638" w:type="pct"/>
            <w:tcBorders>
              <w:top w:val="single" w:sz="4" w:space="0" w:color="auto"/>
              <w:left w:val="nil"/>
              <w:bottom w:val="single" w:sz="4" w:space="0" w:color="auto"/>
              <w:right w:val="single" w:sz="4" w:space="0" w:color="auto"/>
            </w:tcBorders>
            <w:shd w:val="clear" w:color="auto" w:fill="auto"/>
            <w:vAlign w:val="center"/>
          </w:tcPr>
          <w:p w14:paraId="7B700BB4" w14:textId="38C83DF7" w:rsidR="00FA6969" w:rsidRPr="00700EA0" w:rsidRDefault="009942F6" w:rsidP="00925847">
            <w:pPr>
              <w:pStyle w:val="TableText0"/>
              <w:jc w:val="center"/>
              <w:rPr>
                <w:highlight w:val="darkGray"/>
                <w:vertAlign w:val="superscript"/>
              </w:rPr>
            </w:pPr>
            <w:r w:rsidRPr="00415EDB">
              <w:rPr>
                <w:rFonts w:cs="Arial" w:hint="eastAsia"/>
                <w:color w:val="000000"/>
                <w:w w:val="22"/>
                <w:szCs w:val="20"/>
                <w:shd w:val="solid" w:color="000000" w:fill="000000"/>
                <w:fitText w:val="100" w:id="-1305212408"/>
                <w14:textFill>
                  <w14:solidFill>
                    <w14:srgbClr w14:val="000000">
                      <w14:alpha w14:val="100000"/>
                    </w14:srgbClr>
                  </w14:solidFill>
                </w14:textFill>
              </w:rPr>
              <w:t xml:space="preserve">　</w:t>
            </w:r>
            <w:r w:rsidRPr="00415EDB">
              <w:rPr>
                <w:rFonts w:cs="Arial"/>
                <w:color w:val="000000"/>
                <w:w w:val="22"/>
                <w:szCs w:val="20"/>
                <w:shd w:val="solid" w:color="000000" w:fill="000000"/>
                <w:fitText w:val="100" w:id="-1305212408"/>
                <w14:textFill>
                  <w14:solidFill>
                    <w14:srgbClr w14:val="000000">
                      <w14:alpha w14:val="100000"/>
                    </w14:srgbClr>
                  </w14:solidFill>
                </w14:textFill>
              </w:rPr>
              <w:t>|</w:t>
            </w:r>
            <w:r w:rsidRPr="00415EDB">
              <w:rPr>
                <w:rFonts w:cs="Arial" w:hint="eastAsia"/>
                <w:color w:val="000000"/>
                <w:spacing w:val="3"/>
                <w:w w:val="22"/>
                <w:szCs w:val="20"/>
                <w:shd w:val="solid" w:color="000000" w:fill="000000"/>
                <w:fitText w:val="100" w:id="-1305212408"/>
                <w14:textFill>
                  <w14:solidFill>
                    <w14:srgbClr w14:val="000000">
                      <w14:alpha w14:val="100000"/>
                    </w14:srgbClr>
                  </w14:solidFill>
                </w14:textFill>
              </w:rPr>
              <w:t xml:space="preserve">　</w:t>
            </w:r>
            <w:r w:rsidR="002075A0">
              <w:rPr>
                <w:bCs w:val="0"/>
                <w:snapToGrid w:val="0"/>
                <w:szCs w:val="20"/>
                <w:vertAlign w:val="superscript"/>
              </w:rPr>
              <w:t>17</w:t>
            </w:r>
          </w:p>
        </w:tc>
      </w:tr>
      <w:tr w:rsidR="00374F51" w:rsidRPr="007E61A0" w14:paraId="462B7FD3" w14:textId="77777777" w:rsidTr="00374F51">
        <w:tc>
          <w:tcPr>
            <w:tcW w:w="5000" w:type="pct"/>
            <w:gridSpan w:val="7"/>
            <w:shd w:val="clear" w:color="auto" w:fill="auto"/>
            <w:vAlign w:val="center"/>
          </w:tcPr>
          <w:p w14:paraId="3AF43895" w14:textId="4096A21B" w:rsidR="00374F51" w:rsidRPr="007E61A0" w:rsidRDefault="00374F51" w:rsidP="00374F51">
            <w:pPr>
              <w:pStyle w:val="TableText0"/>
              <w:rPr>
                <w:rFonts w:cs="Arial"/>
                <w:color w:val="000000" w:themeColor="text1"/>
                <w:szCs w:val="20"/>
              </w:rPr>
            </w:pPr>
            <w:r w:rsidRPr="007E61A0">
              <w:rPr>
                <w:b/>
                <w:bCs w:val="0"/>
              </w:rPr>
              <w:t>Estimated financial implications for substitution of other medicines (published prices)</w:t>
            </w:r>
          </w:p>
        </w:tc>
      </w:tr>
      <w:tr w:rsidR="00FA6969" w:rsidRPr="007E61A0" w14:paraId="7DAD5F17" w14:textId="77777777" w:rsidTr="004B1765">
        <w:tc>
          <w:tcPr>
            <w:tcW w:w="1281" w:type="pct"/>
            <w:shd w:val="clear" w:color="auto" w:fill="auto"/>
            <w:vAlign w:val="center"/>
          </w:tcPr>
          <w:p w14:paraId="447CE286" w14:textId="76F156A9" w:rsidR="00FA6969" w:rsidRPr="00700EA0" w:rsidRDefault="00FA6969" w:rsidP="00925847">
            <w:pPr>
              <w:pStyle w:val="TableText0"/>
              <w:rPr>
                <w:sz w:val="19"/>
                <w:szCs w:val="19"/>
              </w:rPr>
            </w:pPr>
            <w:r w:rsidRPr="007E61A0">
              <w:rPr>
                <w:sz w:val="19"/>
                <w:szCs w:val="19"/>
              </w:rPr>
              <w:t>Cost to PBS/RPBS less co-payments</w:t>
            </w:r>
            <w:r w:rsidRPr="007E61A0">
              <w:rPr>
                <w:sz w:val="19"/>
                <w:szCs w:val="19"/>
                <w:vertAlign w:val="superscript"/>
              </w:rPr>
              <w:t>b</w:t>
            </w:r>
            <w:r w:rsidR="00700EA0">
              <w:rPr>
                <w:sz w:val="19"/>
                <w:szCs w:val="19"/>
              </w:rPr>
              <w:t xml:space="preserve"> ($)</w:t>
            </w:r>
          </w:p>
        </w:tc>
        <w:tc>
          <w:tcPr>
            <w:tcW w:w="616" w:type="pct"/>
            <w:shd w:val="clear" w:color="auto" w:fill="auto"/>
            <w:vAlign w:val="center"/>
          </w:tcPr>
          <w:p w14:paraId="060B10FD" w14:textId="5605C27E" w:rsidR="00FA6969" w:rsidRPr="00700EA0" w:rsidRDefault="009942F6" w:rsidP="00925847">
            <w:pPr>
              <w:pStyle w:val="TableText0"/>
              <w:jc w:val="center"/>
              <w:rPr>
                <w:highlight w:val="darkGray"/>
              </w:rPr>
            </w:pPr>
            <w:r w:rsidRPr="009942F6">
              <w:rPr>
                <w:rFonts w:cs="Arial" w:hint="eastAsia"/>
                <w:color w:val="000000" w:themeColor="text1"/>
                <w:w w:val="19"/>
                <w:szCs w:val="20"/>
                <w:shd w:val="solid" w:color="000000" w:fill="000000"/>
                <w:fitText w:val="87" w:id="-1305212407"/>
                <w14:textFill>
                  <w14:solidFill>
                    <w14:schemeClr w14:val="tx1">
                      <w14:alpha w14:val="100000"/>
                    </w14:schemeClr>
                  </w14:solidFill>
                </w14:textFill>
              </w:rPr>
              <w:t xml:space="preserve">　</w:t>
            </w:r>
            <w:r w:rsidRPr="009942F6">
              <w:rPr>
                <w:rFonts w:cs="Arial"/>
                <w:color w:val="000000" w:themeColor="text1"/>
                <w:w w:val="19"/>
                <w:szCs w:val="20"/>
                <w:shd w:val="solid" w:color="000000" w:fill="000000"/>
                <w:fitText w:val="87" w:id="-1305212407"/>
                <w14:textFill>
                  <w14:solidFill>
                    <w14:schemeClr w14:val="tx1">
                      <w14:alpha w14:val="100000"/>
                    </w14:schemeClr>
                  </w14:solidFill>
                </w14:textFill>
              </w:rPr>
              <w:t>|</w:t>
            </w:r>
            <w:r w:rsidRPr="009942F6">
              <w:rPr>
                <w:rFonts w:cs="Arial" w:hint="eastAsia"/>
                <w:color w:val="000000" w:themeColor="text1"/>
                <w:spacing w:val="3"/>
                <w:w w:val="19"/>
                <w:szCs w:val="20"/>
                <w:shd w:val="solid" w:color="000000" w:fill="000000"/>
                <w:fitText w:val="87" w:id="-1305212407"/>
                <w14:textFill>
                  <w14:solidFill>
                    <w14:schemeClr w14:val="tx1">
                      <w14:alpha w14:val="100000"/>
                    </w14:schemeClr>
                  </w14:solidFill>
                </w14:textFill>
              </w:rPr>
              <w:t xml:space="preserve">　</w:t>
            </w:r>
            <w:r w:rsidR="0069022C">
              <w:rPr>
                <w:bCs w:val="0"/>
                <w:snapToGrid w:val="0"/>
                <w:szCs w:val="20"/>
                <w:vertAlign w:val="superscript"/>
              </w:rPr>
              <w:t>5</w:t>
            </w:r>
          </w:p>
        </w:tc>
        <w:tc>
          <w:tcPr>
            <w:tcW w:w="616" w:type="pct"/>
            <w:shd w:val="clear" w:color="auto" w:fill="auto"/>
            <w:vAlign w:val="center"/>
          </w:tcPr>
          <w:p w14:paraId="7197795F" w14:textId="22F68787" w:rsidR="00FA6969" w:rsidRPr="00700EA0" w:rsidRDefault="009942F6" w:rsidP="00925847">
            <w:pPr>
              <w:pStyle w:val="TableText0"/>
              <w:jc w:val="center"/>
              <w:rPr>
                <w:highlight w:val="darkGray"/>
              </w:rPr>
            </w:pPr>
            <w:r w:rsidRPr="009942F6">
              <w:rPr>
                <w:rFonts w:cs="Arial" w:hint="eastAsia"/>
                <w:color w:val="000000" w:themeColor="text1"/>
                <w:w w:val="19"/>
                <w:szCs w:val="20"/>
                <w:shd w:val="solid" w:color="000000" w:fill="000000"/>
                <w:fitText w:val="88" w:id="-1305212406"/>
                <w14:textFill>
                  <w14:solidFill>
                    <w14:schemeClr w14:val="tx1">
                      <w14:alpha w14:val="100000"/>
                    </w14:schemeClr>
                  </w14:solidFill>
                </w14:textFill>
              </w:rPr>
              <w:t xml:space="preserve">　</w:t>
            </w:r>
            <w:r w:rsidRPr="009942F6">
              <w:rPr>
                <w:rFonts w:cs="Arial"/>
                <w:color w:val="000000" w:themeColor="text1"/>
                <w:w w:val="19"/>
                <w:szCs w:val="20"/>
                <w:shd w:val="solid" w:color="000000" w:fill="000000"/>
                <w:fitText w:val="88" w:id="-1305212406"/>
                <w14:textFill>
                  <w14:solidFill>
                    <w14:schemeClr w14:val="tx1">
                      <w14:alpha w14:val="100000"/>
                    </w14:schemeClr>
                  </w14:solidFill>
                </w14:textFill>
              </w:rPr>
              <w:t>|</w:t>
            </w:r>
            <w:r w:rsidRPr="009942F6">
              <w:rPr>
                <w:rFonts w:cs="Arial" w:hint="eastAsia"/>
                <w:color w:val="000000" w:themeColor="text1"/>
                <w:spacing w:val="4"/>
                <w:w w:val="19"/>
                <w:szCs w:val="20"/>
                <w:shd w:val="solid" w:color="000000" w:fill="000000"/>
                <w:fitText w:val="88" w:id="-1305212406"/>
                <w14:textFill>
                  <w14:solidFill>
                    <w14:schemeClr w14:val="tx1">
                      <w14:alpha w14:val="100000"/>
                    </w14:schemeClr>
                  </w14:solidFill>
                </w14:textFill>
              </w:rPr>
              <w:t xml:space="preserve">　</w:t>
            </w:r>
            <w:r w:rsidR="0069022C">
              <w:rPr>
                <w:bCs w:val="0"/>
                <w:snapToGrid w:val="0"/>
                <w:szCs w:val="20"/>
                <w:vertAlign w:val="superscript"/>
              </w:rPr>
              <w:t>5</w:t>
            </w:r>
          </w:p>
        </w:tc>
        <w:tc>
          <w:tcPr>
            <w:tcW w:w="617" w:type="pct"/>
            <w:shd w:val="clear" w:color="auto" w:fill="auto"/>
            <w:vAlign w:val="center"/>
          </w:tcPr>
          <w:p w14:paraId="5B182BF1" w14:textId="6218B6EC" w:rsidR="00FA6969" w:rsidRPr="00700EA0" w:rsidRDefault="009942F6" w:rsidP="00925847">
            <w:pPr>
              <w:pStyle w:val="TableText0"/>
              <w:jc w:val="center"/>
              <w:rPr>
                <w:highlight w:val="darkGray"/>
              </w:rPr>
            </w:pPr>
            <w:r w:rsidRPr="009942F6">
              <w:rPr>
                <w:rFonts w:cs="Arial" w:hint="eastAsia"/>
                <w:color w:val="000000" w:themeColor="text1"/>
                <w:w w:val="19"/>
                <w:szCs w:val="20"/>
                <w:shd w:val="solid" w:color="000000" w:fill="000000"/>
                <w:fitText w:val="88" w:id="-1305212405"/>
                <w14:textFill>
                  <w14:solidFill>
                    <w14:schemeClr w14:val="tx1">
                      <w14:alpha w14:val="100000"/>
                    </w14:schemeClr>
                  </w14:solidFill>
                </w14:textFill>
              </w:rPr>
              <w:t xml:space="preserve">　</w:t>
            </w:r>
            <w:r w:rsidRPr="009942F6">
              <w:rPr>
                <w:rFonts w:cs="Arial"/>
                <w:color w:val="000000" w:themeColor="text1"/>
                <w:w w:val="19"/>
                <w:szCs w:val="20"/>
                <w:shd w:val="solid" w:color="000000" w:fill="000000"/>
                <w:fitText w:val="88" w:id="-1305212405"/>
                <w14:textFill>
                  <w14:solidFill>
                    <w14:schemeClr w14:val="tx1">
                      <w14:alpha w14:val="100000"/>
                    </w14:schemeClr>
                  </w14:solidFill>
                </w14:textFill>
              </w:rPr>
              <w:t>|</w:t>
            </w:r>
            <w:r w:rsidRPr="009942F6">
              <w:rPr>
                <w:rFonts w:cs="Arial" w:hint="eastAsia"/>
                <w:color w:val="000000" w:themeColor="text1"/>
                <w:spacing w:val="4"/>
                <w:w w:val="19"/>
                <w:szCs w:val="20"/>
                <w:shd w:val="solid" w:color="000000" w:fill="000000"/>
                <w:fitText w:val="88" w:id="-1305212405"/>
                <w14:textFill>
                  <w14:solidFill>
                    <w14:schemeClr w14:val="tx1">
                      <w14:alpha w14:val="100000"/>
                    </w14:schemeClr>
                  </w14:solidFill>
                </w14:textFill>
              </w:rPr>
              <w:t xml:space="preserve">　</w:t>
            </w:r>
            <w:r w:rsidR="0069022C">
              <w:rPr>
                <w:bCs w:val="0"/>
                <w:snapToGrid w:val="0"/>
                <w:szCs w:val="20"/>
                <w:vertAlign w:val="superscript"/>
              </w:rPr>
              <w:t>5</w:t>
            </w:r>
          </w:p>
        </w:tc>
        <w:tc>
          <w:tcPr>
            <w:tcW w:w="616" w:type="pct"/>
            <w:shd w:val="clear" w:color="auto" w:fill="auto"/>
            <w:vAlign w:val="center"/>
          </w:tcPr>
          <w:p w14:paraId="495AB543" w14:textId="0E37D502" w:rsidR="00FA6969" w:rsidRPr="00700EA0" w:rsidRDefault="009942F6" w:rsidP="00925847">
            <w:pPr>
              <w:pStyle w:val="TableText0"/>
              <w:jc w:val="center"/>
              <w:rPr>
                <w:highlight w:val="darkGray"/>
              </w:rPr>
            </w:pPr>
            <w:r w:rsidRPr="009942F6">
              <w:rPr>
                <w:rFonts w:cs="Arial" w:hint="eastAsia"/>
                <w:color w:val="000000" w:themeColor="text1"/>
                <w:w w:val="19"/>
                <w:szCs w:val="20"/>
                <w:shd w:val="solid" w:color="000000" w:fill="000000"/>
                <w:fitText w:val="88" w:id="-1305212404"/>
                <w14:textFill>
                  <w14:solidFill>
                    <w14:schemeClr w14:val="tx1">
                      <w14:alpha w14:val="100000"/>
                    </w14:schemeClr>
                  </w14:solidFill>
                </w14:textFill>
              </w:rPr>
              <w:t xml:space="preserve">　</w:t>
            </w:r>
            <w:r w:rsidRPr="009942F6">
              <w:rPr>
                <w:rFonts w:cs="Arial"/>
                <w:color w:val="000000" w:themeColor="text1"/>
                <w:w w:val="19"/>
                <w:szCs w:val="20"/>
                <w:shd w:val="solid" w:color="000000" w:fill="000000"/>
                <w:fitText w:val="88" w:id="-1305212404"/>
                <w14:textFill>
                  <w14:solidFill>
                    <w14:schemeClr w14:val="tx1">
                      <w14:alpha w14:val="100000"/>
                    </w14:schemeClr>
                  </w14:solidFill>
                </w14:textFill>
              </w:rPr>
              <w:t>|</w:t>
            </w:r>
            <w:r w:rsidRPr="009942F6">
              <w:rPr>
                <w:rFonts w:cs="Arial" w:hint="eastAsia"/>
                <w:color w:val="000000" w:themeColor="text1"/>
                <w:spacing w:val="4"/>
                <w:w w:val="19"/>
                <w:szCs w:val="20"/>
                <w:shd w:val="solid" w:color="000000" w:fill="000000"/>
                <w:fitText w:val="88" w:id="-1305212404"/>
                <w14:textFill>
                  <w14:solidFill>
                    <w14:schemeClr w14:val="tx1">
                      <w14:alpha w14:val="100000"/>
                    </w14:schemeClr>
                  </w14:solidFill>
                </w14:textFill>
              </w:rPr>
              <w:t xml:space="preserve">　</w:t>
            </w:r>
            <w:r w:rsidR="0069022C">
              <w:rPr>
                <w:bCs w:val="0"/>
                <w:snapToGrid w:val="0"/>
                <w:szCs w:val="20"/>
                <w:vertAlign w:val="superscript"/>
              </w:rPr>
              <w:t>5</w:t>
            </w:r>
          </w:p>
        </w:tc>
        <w:tc>
          <w:tcPr>
            <w:tcW w:w="616" w:type="pct"/>
            <w:shd w:val="clear" w:color="auto" w:fill="auto"/>
            <w:vAlign w:val="center"/>
          </w:tcPr>
          <w:p w14:paraId="37E896B8" w14:textId="7E29CBE5" w:rsidR="00FA6969" w:rsidRPr="00700EA0" w:rsidRDefault="009942F6" w:rsidP="00925847">
            <w:pPr>
              <w:pStyle w:val="TableText0"/>
              <w:jc w:val="center"/>
              <w:rPr>
                <w:highlight w:val="darkGray"/>
              </w:rPr>
            </w:pPr>
            <w:r w:rsidRPr="009942F6">
              <w:rPr>
                <w:rFonts w:cs="Arial" w:hint="eastAsia"/>
                <w:color w:val="000000" w:themeColor="text1"/>
                <w:w w:val="19"/>
                <w:szCs w:val="20"/>
                <w:shd w:val="solid" w:color="000000" w:fill="000000"/>
                <w:fitText w:val="88" w:id="-1305212403"/>
                <w14:textFill>
                  <w14:solidFill>
                    <w14:schemeClr w14:val="tx1">
                      <w14:alpha w14:val="100000"/>
                    </w14:schemeClr>
                  </w14:solidFill>
                </w14:textFill>
              </w:rPr>
              <w:t xml:space="preserve">　</w:t>
            </w:r>
            <w:r w:rsidRPr="009942F6">
              <w:rPr>
                <w:rFonts w:cs="Arial"/>
                <w:color w:val="000000" w:themeColor="text1"/>
                <w:w w:val="19"/>
                <w:szCs w:val="20"/>
                <w:shd w:val="solid" w:color="000000" w:fill="000000"/>
                <w:fitText w:val="88" w:id="-1305212403"/>
                <w14:textFill>
                  <w14:solidFill>
                    <w14:schemeClr w14:val="tx1">
                      <w14:alpha w14:val="100000"/>
                    </w14:schemeClr>
                  </w14:solidFill>
                </w14:textFill>
              </w:rPr>
              <w:t>|</w:t>
            </w:r>
            <w:r w:rsidRPr="009942F6">
              <w:rPr>
                <w:rFonts w:cs="Arial" w:hint="eastAsia"/>
                <w:color w:val="000000" w:themeColor="text1"/>
                <w:spacing w:val="4"/>
                <w:w w:val="19"/>
                <w:szCs w:val="20"/>
                <w:shd w:val="solid" w:color="000000" w:fill="000000"/>
                <w:fitText w:val="88" w:id="-1305212403"/>
                <w14:textFill>
                  <w14:solidFill>
                    <w14:schemeClr w14:val="tx1">
                      <w14:alpha w14:val="100000"/>
                    </w14:schemeClr>
                  </w14:solidFill>
                </w14:textFill>
              </w:rPr>
              <w:t xml:space="preserve">　</w:t>
            </w:r>
            <w:r w:rsidR="0069022C">
              <w:rPr>
                <w:bCs w:val="0"/>
                <w:snapToGrid w:val="0"/>
                <w:szCs w:val="20"/>
                <w:vertAlign w:val="superscript"/>
              </w:rPr>
              <w:t>5</w:t>
            </w:r>
          </w:p>
        </w:tc>
        <w:tc>
          <w:tcPr>
            <w:tcW w:w="638" w:type="pct"/>
            <w:shd w:val="clear" w:color="auto" w:fill="auto"/>
            <w:vAlign w:val="center"/>
          </w:tcPr>
          <w:p w14:paraId="70EAE057" w14:textId="1CA28A13" w:rsidR="00FA6969" w:rsidRPr="00700EA0" w:rsidRDefault="009942F6" w:rsidP="00925847">
            <w:pPr>
              <w:pStyle w:val="TableText0"/>
              <w:jc w:val="center"/>
              <w:rPr>
                <w:highlight w:val="darkGray"/>
              </w:rPr>
            </w:pPr>
            <w:r w:rsidRPr="009942F6">
              <w:rPr>
                <w:rFonts w:cs="Arial" w:hint="eastAsia"/>
                <w:color w:val="000000" w:themeColor="text1"/>
                <w:w w:val="19"/>
                <w:szCs w:val="20"/>
                <w:shd w:val="solid" w:color="000000" w:fill="000000"/>
                <w:fitText w:val="88" w:id="-1305212402"/>
                <w14:textFill>
                  <w14:solidFill>
                    <w14:schemeClr w14:val="tx1">
                      <w14:alpha w14:val="100000"/>
                    </w14:schemeClr>
                  </w14:solidFill>
                </w14:textFill>
              </w:rPr>
              <w:t xml:space="preserve">　</w:t>
            </w:r>
            <w:r w:rsidRPr="009942F6">
              <w:rPr>
                <w:rFonts w:cs="Arial"/>
                <w:color w:val="000000" w:themeColor="text1"/>
                <w:w w:val="19"/>
                <w:szCs w:val="20"/>
                <w:shd w:val="solid" w:color="000000" w:fill="000000"/>
                <w:fitText w:val="88" w:id="-1305212402"/>
                <w14:textFill>
                  <w14:solidFill>
                    <w14:schemeClr w14:val="tx1">
                      <w14:alpha w14:val="100000"/>
                    </w14:schemeClr>
                  </w14:solidFill>
                </w14:textFill>
              </w:rPr>
              <w:t>|</w:t>
            </w:r>
            <w:r w:rsidRPr="009942F6">
              <w:rPr>
                <w:rFonts w:cs="Arial" w:hint="eastAsia"/>
                <w:color w:val="000000" w:themeColor="text1"/>
                <w:spacing w:val="4"/>
                <w:w w:val="19"/>
                <w:szCs w:val="20"/>
                <w:shd w:val="solid" w:color="000000" w:fill="000000"/>
                <w:fitText w:val="88" w:id="-1305212402"/>
                <w14:textFill>
                  <w14:solidFill>
                    <w14:schemeClr w14:val="tx1">
                      <w14:alpha w14:val="100000"/>
                    </w14:schemeClr>
                  </w14:solidFill>
                </w14:textFill>
              </w:rPr>
              <w:t xml:space="preserve">　</w:t>
            </w:r>
            <w:r w:rsidR="0069022C">
              <w:rPr>
                <w:bCs w:val="0"/>
                <w:snapToGrid w:val="0"/>
                <w:szCs w:val="20"/>
                <w:vertAlign w:val="superscript"/>
              </w:rPr>
              <w:t>5</w:t>
            </w:r>
          </w:p>
        </w:tc>
      </w:tr>
      <w:tr w:rsidR="00FA6969" w:rsidRPr="007E61A0" w14:paraId="6D364D1C" w14:textId="77777777" w:rsidTr="00925847">
        <w:tc>
          <w:tcPr>
            <w:tcW w:w="5000" w:type="pct"/>
            <w:gridSpan w:val="7"/>
            <w:shd w:val="clear" w:color="auto" w:fill="auto"/>
            <w:vAlign w:val="center"/>
          </w:tcPr>
          <w:p w14:paraId="7F25EE5C" w14:textId="77777777" w:rsidR="00FA6969" w:rsidRPr="007E61A0" w:rsidRDefault="00FA6969" w:rsidP="00925847">
            <w:pPr>
              <w:pStyle w:val="In-tableHeading"/>
              <w:rPr>
                <w:lang w:val="en-AU"/>
              </w:rPr>
            </w:pPr>
            <w:r w:rsidRPr="007E61A0">
              <w:rPr>
                <w:lang w:val="en-AU"/>
              </w:rPr>
              <w:t>Net financial implications</w:t>
            </w:r>
            <w:r w:rsidRPr="007E61A0">
              <w:rPr>
                <w:color w:val="4BACC6" w:themeColor="accent5"/>
                <w:lang w:val="en-AU"/>
              </w:rPr>
              <w:t xml:space="preserve"> </w:t>
            </w:r>
          </w:p>
        </w:tc>
      </w:tr>
      <w:tr w:rsidR="00FA6969" w:rsidRPr="007E61A0" w14:paraId="48EDC8BC" w14:textId="77777777" w:rsidTr="004B1765">
        <w:tc>
          <w:tcPr>
            <w:tcW w:w="1281" w:type="pct"/>
            <w:shd w:val="clear" w:color="auto" w:fill="auto"/>
            <w:vAlign w:val="center"/>
          </w:tcPr>
          <w:p w14:paraId="57391798" w14:textId="5EF85362" w:rsidR="00FA6969" w:rsidRPr="007E61A0" w:rsidRDefault="00FA6969" w:rsidP="00925847">
            <w:pPr>
              <w:pStyle w:val="TableText0"/>
              <w:rPr>
                <w:sz w:val="19"/>
                <w:szCs w:val="19"/>
                <w:vertAlign w:val="superscript"/>
              </w:rPr>
            </w:pPr>
            <w:r w:rsidRPr="007E61A0">
              <w:rPr>
                <w:sz w:val="19"/>
                <w:szCs w:val="19"/>
              </w:rPr>
              <w:t>Net cost to PBS/RPBS</w:t>
            </w:r>
            <w:r w:rsidRPr="007E61A0">
              <w:rPr>
                <w:sz w:val="19"/>
                <w:szCs w:val="19"/>
                <w:vertAlign w:val="superscript"/>
              </w:rPr>
              <w:t>b</w:t>
            </w:r>
            <w:r w:rsidR="00700EA0">
              <w:rPr>
                <w:sz w:val="19"/>
                <w:szCs w:val="19"/>
              </w:rPr>
              <w:t xml:space="preserve"> ($)</w:t>
            </w:r>
          </w:p>
        </w:tc>
        <w:tc>
          <w:tcPr>
            <w:tcW w:w="616" w:type="pct"/>
            <w:shd w:val="clear" w:color="auto" w:fill="auto"/>
            <w:vAlign w:val="center"/>
          </w:tcPr>
          <w:p w14:paraId="444AF5C4" w14:textId="13BA4B00" w:rsidR="00FA6969" w:rsidRPr="00700EA0" w:rsidRDefault="009942F6" w:rsidP="00925847">
            <w:pPr>
              <w:pStyle w:val="TableText0"/>
              <w:jc w:val="center"/>
              <w:rPr>
                <w:highlight w:val="darkGray"/>
              </w:rPr>
            </w:pPr>
            <w:r w:rsidRPr="009942F6">
              <w:rPr>
                <w:rFonts w:cs="Arial" w:hint="eastAsia"/>
                <w:color w:val="000000"/>
                <w:w w:val="19"/>
                <w:szCs w:val="20"/>
                <w:shd w:val="solid" w:color="000000" w:fill="000000"/>
                <w:fitText w:val="87" w:id="-1305212401"/>
                <w14:textFill>
                  <w14:solidFill>
                    <w14:srgbClr w14:val="000000">
                      <w14:alpha w14:val="100000"/>
                    </w14:srgbClr>
                  </w14:solidFill>
                </w14:textFill>
              </w:rPr>
              <w:t xml:space="preserve">　</w:t>
            </w:r>
            <w:r w:rsidRPr="009942F6">
              <w:rPr>
                <w:rFonts w:cs="Arial"/>
                <w:color w:val="000000"/>
                <w:w w:val="19"/>
                <w:szCs w:val="20"/>
                <w:shd w:val="solid" w:color="000000" w:fill="000000"/>
                <w:fitText w:val="87" w:id="-1305212401"/>
                <w14:textFill>
                  <w14:solidFill>
                    <w14:srgbClr w14:val="000000">
                      <w14:alpha w14:val="100000"/>
                    </w14:srgbClr>
                  </w14:solidFill>
                </w14:textFill>
              </w:rPr>
              <w:t>|</w:t>
            </w:r>
            <w:r w:rsidRPr="009942F6">
              <w:rPr>
                <w:rFonts w:cs="Arial" w:hint="eastAsia"/>
                <w:color w:val="000000"/>
                <w:spacing w:val="3"/>
                <w:w w:val="19"/>
                <w:szCs w:val="20"/>
                <w:shd w:val="solid" w:color="000000" w:fill="000000"/>
                <w:fitText w:val="87" w:id="-1305212401"/>
                <w14:textFill>
                  <w14:solidFill>
                    <w14:srgbClr w14:val="000000">
                      <w14:alpha w14:val="100000"/>
                    </w14:srgbClr>
                  </w14:solidFill>
                </w14:textFill>
              </w:rPr>
              <w:t xml:space="preserve">　</w:t>
            </w:r>
            <w:r w:rsidR="0069022C">
              <w:rPr>
                <w:bCs w:val="0"/>
                <w:snapToGrid w:val="0"/>
                <w:szCs w:val="20"/>
                <w:vertAlign w:val="superscript"/>
              </w:rPr>
              <w:t>6</w:t>
            </w:r>
          </w:p>
        </w:tc>
        <w:tc>
          <w:tcPr>
            <w:tcW w:w="616" w:type="pct"/>
            <w:shd w:val="clear" w:color="auto" w:fill="auto"/>
            <w:vAlign w:val="center"/>
          </w:tcPr>
          <w:p w14:paraId="0AC327FD" w14:textId="7B9074FA" w:rsidR="00FA6969" w:rsidRPr="00700EA0" w:rsidRDefault="009942F6" w:rsidP="00925847">
            <w:pPr>
              <w:pStyle w:val="TableText0"/>
              <w:jc w:val="center"/>
              <w:rPr>
                <w:highlight w:val="darkGray"/>
              </w:rPr>
            </w:pPr>
            <w:r w:rsidRPr="009942F6">
              <w:rPr>
                <w:rFonts w:cs="Arial" w:hint="eastAsia"/>
                <w:color w:val="000000"/>
                <w:w w:val="19"/>
                <w:szCs w:val="20"/>
                <w:shd w:val="solid" w:color="000000" w:fill="000000"/>
                <w:fitText w:val="88" w:id="-1305212400"/>
                <w14:textFill>
                  <w14:solidFill>
                    <w14:srgbClr w14:val="000000">
                      <w14:alpha w14:val="100000"/>
                    </w14:srgbClr>
                  </w14:solidFill>
                </w14:textFill>
              </w:rPr>
              <w:t xml:space="preserve">　</w:t>
            </w:r>
            <w:r w:rsidRPr="009942F6">
              <w:rPr>
                <w:rFonts w:cs="Arial"/>
                <w:color w:val="000000"/>
                <w:w w:val="19"/>
                <w:szCs w:val="20"/>
                <w:shd w:val="solid" w:color="000000" w:fill="000000"/>
                <w:fitText w:val="88" w:id="-1305212400"/>
                <w14:textFill>
                  <w14:solidFill>
                    <w14:srgbClr w14:val="000000">
                      <w14:alpha w14:val="100000"/>
                    </w14:srgbClr>
                  </w14:solidFill>
                </w14:textFill>
              </w:rPr>
              <w:t>|</w:t>
            </w:r>
            <w:r w:rsidRPr="009942F6">
              <w:rPr>
                <w:rFonts w:cs="Arial" w:hint="eastAsia"/>
                <w:color w:val="000000"/>
                <w:spacing w:val="4"/>
                <w:w w:val="19"/>
                <w:szCs w:val="20"/>
                <w:shd w:val="solid" w:color="000000" w:fill="000000"/>
                <w:fitText w:val="88" w:id="-1305212400"/>
                <w14:textFill>
                  <w14:solidFill>
                    <w14:srgbClr w14:val="000000">
                      <w14:alpha w14:val="100000"/>
                    </w14:srgbClr>
                  </w14:solidFill>
                </w14:textFill>
              </w:rPr>
              <w:t xml:space="preserve">　</w:t>
            </w:r>
            <w:r w:rsidR="0069022C">
              <w:rPr>
                <w:bCs w:val="0"/>
                <w:snapToGrid w:val="0"/>
                <w:szCs w:val="20"/>
                <w:vertAlign w:val="superscript"/>
              </w:rPr>
              <w:t>4</w:t>
            </w:r>
          </w:p>
        </w:tc>
        <w:tc>
          <w:tcPr>
            <w:tcW w:w="617" w:type="pct"/>
            <w:shd w:val="clear" w:color="auto" w:fill="auto"/>
            <w:vAlign w:val="center"/>
          </w:tcPr>
          <w:p w14:paraId="7BE1C8D5" w14:textId="09A93043" w:rsidR="00FA6969" w:rsidRPr="00700EA0" w:rsidRDefault="009942F6" w:rsidP="00925847">
            <w:pPr>
              <w:pStyle w:val="TableText0"/>
              <w:jc w:val="center"/>
              <w:rPr>
                <w:highlight w:val="darkGray"/>
              </w:rPr>
            </w:pPr>
            <w:r w:rsidRPr="00415EDB">
              <w:rPr>
                <w:rFonts w:cs="Arial" w:hint="eastAsia"/>
                <w:color w:val="000000"/>
                <w:w w:val="28"/>
                <w:szCs w:val="20"/>
                <w:shd w:val="solid" w:color="000000" w:fill="000000"/>
                <w:fitText w:val="125" w:id="-1305212416"/>
                <w14:textFill>
                  <w14:solidFill>
                    <w14:srgbClr w14:val="000000">
                      <w14:alpha w14:val="100000"/>
                    </w14:srgbClr>
                  </w14:solidFill>
                </w14:textFill>
              </w:rPr>
              <w:t xml:space="preserve">　</w:t>
            </w:r>
            <w:r w:rsidRPr="00415EDB">
              <w:rPr>
                <w:rFonts w:cs="Arial"/>
                <w:color w:val="000000"/>
                <w:w w:val="28"/>
                <w:szCs w:val="20"/>
                <w:shd w:val="solid" w:color="000000" w:fill="000000"/>
                <w:fitText w:val="125" w:id="-1305212416"/>
                <w14:textFill>
                  <w14:solidFill>
                    <w14:srgbClr w14:val="000000">
                      <w14:alpha w14:val="100000"/>
                    </w14:srgbClr>
                  </w14:solidFill>
                </w14:textFill>
              </w:rPr>
              <w:t>|</w:t>
            </w:r>
            <w:r w:rsidRPr="00415EDB">
              <w:rPr>
                <w:rFonts w:cs="Arial" w:hint="eastAsia"/>
                <w:color w:val="000000"/>
                <w:spacing w:val="3"/>
                <w:w w:val="28"/>
                <w:szCs w:val="20"/>
                <w:shd w:val="solid" w:color="000000" w:fill="000000"/>
                <w:fitText w:val="125" w:id="-1305212416"/>
                <w14:textFill>
                  <w14:solidFill>
                    <w14:srgbClr w14:val="000000">
                      <w14:alpha w14:val="100000"/>
                    </w14:srgbClr>
                  </w14:solidFill>
                </w14:textFill>
              </w:rPr>
              <w:t xml:space="preserve">　</w:t>
            </w:r>
            <w:r w:rsidR="002075A0">
              <w:rPr>
                <w:bCs w:val="0"/>
                <w:snapToGrid w:val="0"/>
                <w:szCs w:val="20"/>
                <w:vertAlign w:val="superscript"/>
              </w:rPr>
              <w:t>12</w:t>
            </w:r>
          </w:p>
        </w:tc>
        <w:tc>
          <w:tcPr>
            <w:tcW w:w="616" w:type="pct"/>
            <w:shd w:val="clear" w:color="auto" w:fill="auto"/>
            <w:vAlign w:val="center"/>
          </w:tcPr>
          <w:p w14:paraId="1FE28EDD" w14:textId="326AC5F1" w:rsidR="00FA6969" w:rsidRPr="00700EA0" w:rsidRDefault="009942F6" w:rsidP="00925847">
            <w:pPr>
              <w:pStyle w:val="TableText0"/>
              <w:jc w:val="center"/>
              <w:rPr>
                <w:highlight w:val="darkGray"/>
              </w:rPr>
            </w:pPr>
            <w:r w:rsidRPr="009942F6">
              <w:rPr>
                <w:rFonts w:cs="Arial" w:hint="eastAsia"/>
                <w:color w:val="000000"/>
                <w:w w:val="31"/>
                <w:szCs w:val="20"/>
                <w:shd w:val="solid" w:color="000000" w:fill="000000"/>
                <w:fitText w:val="138" w:id="-1305212415"/>
                <w14:textFill>
                  <w14:solidFill>
                    <w14:srgbClr w14:val="000000">
                      <w14:alpha w14:val="100000"/>
                    </w14:srgbClr>
                  </w14:solidFill>
                </w14:textFill>
              </w:rPr>
              <w:t xml:space="preserve">　</w:t>
            </w:r>
            <w:r w:rsidRPr="009942F6">
              <w:rPr>
                <w:rFonts w:cs="Arial"/>
                <w:color w:val="000000"/>
                <w:w w:val="31"/>
                <w:szCs w:val="20"/>
                <w:shd w:val="solid" w:color="000000" w:fill="000000"/>
                <w:fitText w:val="138" w:id="-1305212415"/>
                <w14:textFill>
                  <w14:solidFill>
                    <w14:srgbClr w14:val="000000">
                      <w14:alpha w14:val="100000"/>
                    </w14:srgbClr>
                  </w14:solidFill>
                </w14:textFill>
              </w:rPr>
              <w:t>|</w:t>
            </w:r>
            <w:r w:rsidRPr="009942F6">
              <w:rPr>
                <w:rFonts w:cs="Arial" w:hint="eastAsia"/>
                <w:color w:val="000000"/>
                <w:spacing w:val="2"/>
                <w:w w:val="31"/>
                <w:szCs w:val="20"/>
                <w:shd w:val="solid" w:color="000000" w:fill="000000"/>
                <w:fitText w:val="138" w:id="-1305212415"/>
                <w14:textFill>
                  <w14:solidFill>
                    <w14:srgbClr w14:val="000000">
                      <w14:alpha w14:val="100000"/>
                    </w14:srgbClr>
                  </w14:solidFill>
                </w14:textFill>
              </w:rPr>
              <w:t xml:space="preserve">　</w:t>
            </w:r>
            <w:r w:rsidR="002075A0">
              <w:rPr>
                <w:bCs w:val="0"/>
                <w:snapToGrid w:val="0"/>
                <w:szCs w:val="20"/>
                <w:vertAlign w:val="superscript"/>
              </w:rPr>
              <w:t>12</w:t>
            </w:r>
          </w:p>
        </w:tc>
        <w:tc>
          <w:tcPr>
            <w:tcW w:w="616" w:type="pct"/>
            <w:shd w:val="clear" w:color="auto" w:fill="auto"/>
            <w:vAlign w:val="center"/>
          </w:tcPr>
          <w:p w14:paraId="518F74F3" w14:textId="264695FD" w:rsidR="00FA6969" w:rsidRPr="00700EA0" w:rsidRDefault="009942F6" w:rsidP="00925847">
            <w:pPr>
              <w:pStyle w:val="TableText0"/>
              <w:jc w:val="center"/>
              <w:rPr>
                <w:highlight w:val="darkGray"/>
              </w:rPr>
            </w:pPr>
            <w:r w:rsidRPr="009942F6">
              <w:rPr>
                <w:rFonts w:cs="Arial" w:hint="eastAsia"/>
                <w:color w:val="000000"/>
                <w:w w:val="19"/>
                <w:szCs w:val="20"/>
                <w:shd w:val="solid" w:color="000000" w:fill="000000"/>
                <w:fitText w:val="88" w:id="-1305212414"/>
                <w14:textFill>
                  <w14:solidFill>
                    <w14:srgbClr w14:val="000000">
                      <w14:alpha w14:val="100000"/>
                    </w14:srgbClr>
                  </w14:solidFill>
                </w14:textFill>
              </w:rPr>
              <w:t xml:space="preserve">　</w:t>
            </w:r>
            <w:r w:rsidRPr="009942F6">
              <w:rPr>
                <w:rFonts w:cs="Arial"/>
                <w:color w:val="000000"/>
                <w:w w:val="19"/>
                <w:szCs w:val="20"/>
                <w:shd w:val="solid" w:color="000000" w:fill="000000"/>
                <w:fitText w:val="88" w:id="-1305212414"/>
                <w14:textFill>
                  <w14:solidFill>
                    <w14:srgbClr w14:val="000000">
                      <w14:alpha w14:val="100000"/>
                    </w14:srgbClr>
                  </w14:solidFill>
                </w14:textFill>
              </w:rPr>
              <w:t>|</w:t>
            </w:r>
            <w:r w:rsidRPr="009942F6">
              <w:rPr>
                <w:rFonts w:cs="Arial" w:hint="eastAsia"/>
                <w:color w:val="000000"/>
                <w:spacing w:val="4"/>
                <w:w w:val="19"/>
                <w:szCs w:val="20"/>
                <w:shd w:val="solid" w:color="000000" w:fill="000000"/>
                <w:fitText w:val="88" w:id="-1305212414"/>
                <w14:textFill>
                  <w14:solidFill>
                    <w14:srgbClr w14:val="000000">
                      <w14:alpha w14:val="100000"/>
                    </w14:srgbClr>
                  </w14:solidFill>
                </w14:textFill>
              </w:rPr>
              <w:t xml:space="preserve">　</w:t>
            </w:r>
            <w:r w:rsidR="0069022C">
              <w:rPr>
                <w:bCs w:val="0"/>
                <w:snapToGrid w:val="0"/>
                <w:szCs w:val="20"/>
                <w:vertAlign w:val="superscript"/>
              </w:rPr>
              <w:t>9</w:t>
            </w:r>
          </w:p>
        </w:tc>
        <w:tc>
          <w:tcPr>
            <w:tcW w:w="638" w:type="pct"/>
            <w:shd w:val="clear" w:color="auto" w:fill="auto"/>
            <w:vAlign w:val="center"/>
          </w:tcPr>
          <w:p w14:paraId="07865EC1" w14:textId="346F8346" w:rsidR="00FA6969" w:rsidRPr="00700EA0" w:rsidRDefault="009942F6" w:rsidP="00925847">
            <w:pPr>
              <w:pStyle w:val="TableText0"/>
              <w:jc w:val="center"/>
              <w:rPr>
                <w:highlight w:val="darkGray"/>
              </w:rPr>
            </w:pPr>
            <w:r w:rsidRPr="00415EDB">
              <w:rPr>
                <w:rFonts w:cs="Arial" w:hint="eastAsia"/>
                <w:color w:val="000000"/>
                <w:w w:val="22"/>
                <w:szCs w:val="20"/>
                <w:shd w:val="solid" w:color="000000" w:fill="000000"/>
                <w:fitText w:val="100" w:id="-1305212413"/>
                <w14:textFill>
                  <w14:solidFill>
                    <w14:srgbClr w14:val="000000">
                      <w14:alpha w14:val="100000"/>
                    </w14:srgbClr>
                  </w14:solidFill>
                </w14:textFill>
              </w:rPr>
              <w:t xml:space="preserve">　</w:t>
            </w:r>
            <w:r w:rsidRPr="00415EDB">
              <w:rPr>
                <w:rFonts w:cs="Arial"/>
                <w:color w:val="000000"/>
                <w:w w:val="22"/>
                <w:szCs w:val="20"/>
                <w:shd w:val="solid" w:color="000000" w:fill="000000"/>
                <w:fitText w:val="100" w:id="-1305212413"/>
                <w14:textFill>
                  <w14:solidFill>
                    <w14:srgbClr w14:val="000000">
                      <w14:alpha w14:val="100000"/>
                    </w14:srgbClr>
                  </w14:solidFill>
                </w14:textFill>
              </w:rPr>
              <w:t>|</w:t>
            </w:r>
            <w:r w:rsidRPr="00415EDB">
              <w:rPr>
                <w:rFonts w:cs="Arial" w:hint="eastAsia"/>
                <w:color w:val="000000"/>
                <w:spacing w:val="3"/>
                <w:w w:val="22"/>
                <w:szCs w:val="20"/>
                <w:shd w:val="solid" w:color="000000" w:fill="000000"/>
                <w:fitText w:val="100" w:id="-1305212413"/>
                <w14:textFill>
                  <w14:solidFill>
                    <w14:srgbClr w14:val="000000">
                      <w14:alpha w14:val="100000"/>
                    </w14:srgbClr>
                  </w14:solidFill>
                </w14:textFill>
              </w:rPr>
              <w:t xml:space="preserve">　</w:t>
            </w:r>
            <w:r w:rsidR="002075A0">
              <w:rPr>
                <w:bCs w:val="0"/>
                <w:snapToGrid w:val="0"/>
                <w:szCs w:val="20"/>
                <w:vertAlign w:val="superscript"/>
              </w:rPr>
              <w:t>18</w:t>
            </w:r>
          </w:p>
        </w:tc>
      </w:tr>
      <w:tr w:rsidR="00FA6969" w:rsidRPr="007E61A0" w14:paraId="67548B1A" w14:textId="77777777" w:rsidTr="004B1765">
        <w:tc>
          <w:tcPr>
            <w:tcW w:w="1281" w:type="pct"/>
            <w:shd w:val="clear" w:color="auto" w:fill="auto"/>
            <w:vAlign w:val="center"/>
          </w:tcPr>
          <w:p w14:paraId="653ABE18" w14:textId="63A3C91D" w:rsidR="00FA6969" w:rsidRPr="007E61A0" w:rsidRDefault="00FA6969" w:rsidP="00925847">
            <w:pPr>
              <w:pStyle w:val="TableText0"/>
              <w:rPr>
                <w:rFonts w:ascii="Times" w:hAnsi="Times"/>
              </w:rPr>
            </w:pPr>
            <w:r w:rsidRPr="007E61A0">
              <w:rPr>
                <w:sz w:val="19"/>
                <w:szCs w:val="19"/>
              </w:rPr>
              <w:t>Net cost to MBS</w:t>
            </w:r>
            <w:r w:rsidR="00700EA0">
              <w:rPr>
                <w:sz w:val="19"/>
                <w:szCs w:val="19"/>
              </w:rPr>
              <w:t xml:space="preserve"> ($)</w:t>
            </w:r>
          </w:p>
        </w:tc>
        <w:tc>
          <w:tcPr>
            <w:tcW w:w="616" w:type="pct"/>
            <w:shd w:val="clear" w:color="auto" w:fill="auto"/>
            <w:vAlign w:val="center"/>
          </w:tcPr>
          <w:p w14:paraId="199B8AD8" w14:textId="1EC24CAD"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7" w:id="-1305212412"/>
                <w14:textFill>
                  <w14:solidFill>
                    <w14:srgbClr w14:val="000000">
                      <w14:alpha w14:val="100000"/>
                    </w14:srgbClr>
                  </w14:solidFill>
                </w14:textFill>
              </w:rPr>
              <w:t xml:space="preserve">　</w:t>
            </w:r>
            <w:r w:rsidRPr="009942F6">
              <w:rPr>
                <w:color w:val="000000"/>
                <w:w w:val="19"/>
                <w:szCs w:val="20"/>
                <w:shd w:val="solid" w:color="000000" w:fill="000000"/>
                <w:fitText w:val="87" w:id="-1305212412"/>
                <w14:textFill>
                  <w14:solidFill>
                    <w14:srgbClr w14:val="000000">
                      <w14:alpha w14:val="100000"/>
                    </w14:srgbClr>
                  </w14:solidFill>
                </w14:textFill>
              </w:rPr>
              <w:t>|</w:t>
            </w:r>
            <w:r w:rsidRPr="009942F6">
              <w:rPr>
                <w:rFonts w:hint="eastAsia"/>
                <w:color w:val="000000"/>
                <w:spacing w:val="3"/>
                <w:w w:val="19"/>
                <w:szCs w:val="20"/>
                <w:shd w:val="solid" w:color="000000" w:fill="000000"/>
                <w:fitText w:val="87" w:id="-1305212412"/>
                <w14:textFill>
                  <w14:solidFill>
                    <w14:srgbClr w14:val="000000">
                      <w14:alpha w14:val="100000"/>
                    </w14:srgbClr>
                  </w14:solidFill>
                </w14:textFill>
              </w:rPr>
              <w:t xml:space="preserve">　</w:t>
            </w:r>
            <w:r w:rsidR="0069022C">
              <w:rPr>
                <w:bCs w:val="0"/>
                <w:snapToGrid w:val="0"/>
                <w:szCs w:val="20"/>
                <w:vertAlign w:val="superscript"/>
              </w:rPr>
              <w:t>5</w:t>
            </w:r>
          </w:p>
        </w:tc>
        <w:tc>
          <w:tcPr>
            <w:tcW w:w="616" w:type="pct"/>
            <w:shd w:val="clear" w:color="auto" w:fill="auto"/>
            <w:vAlign w:val="center"/>
          </w:tcPr>
          <w:p w14:paraId="7F2A3810" w14:textId="1B02DF7D"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11"/>
                <w14:textFill>
                  <w14:solidFill>
                    <w14:srgbClr w14:val="000000">
                      <w14:alpha w14:val="100000"/>
                    </w14:srgbClr>
                  </w14:solidFill>
                </w14:textFill>
              </w:rPr>
              <w:t xml:space="preserve">　</w:t>
            </w:r>
            <w:r w:rsidRPr="009942F6">
              <w:rPr>
                <w:color w:val="000000"/>
                <w:w w:val="19"/>
                <w:szCs w:val="20"/>
                <w:shd w:val="solid" w:color="000000" w:fill="000000"/>
                <w:fitText w:val="88" w:id="-1305212411"/>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11"/>
                <w14:textFill>
                  <w14:solidFill>
                    <w14:srgbClr w14:val="000000">
                      <w14:alpha w14:val="100000"/>
                    </w14:srgbClr>
                  </w14:solidFill>
                </w14:textFill>
              </w:rPr>
              <w:t xml:space="preserve">　</w:t>
            </w:r>
            <w:r w:rsidR="0069022C">
              <w:rPr>
                <w:bCs w:val="0"/>
                <w:snapToGrid w:val="0"/>
                <w:szCs w:val="20"/>
                <w:vertAlign w:val="superscript"/>
              </w:rPr>
              <w:t>5</w:t>
            </w:r>
          </w:p>
        </w:tc>
        <w:tc>
          <w:tcPr>
            <w:tcW w:w="617" w:type="pct"/>
            <w:shd w:val="clear" w:color="auto" w:fill="auto"/>
            <w:vAlign w:val="center"/>
          </w:tcPr>
          <w:p w14:paraId="11B5B57A" w14:textId="3B54B283"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10"/>
                <w14:textFill>
                  <w14:solidFill>
                    <w14:srgbClr w14:val="000000">
                      <w14:alpha w14:val="100000"/>
                    </w14:srgbClr>
                  </w14:solidFill>
                </w14:textFill>
              </w:rPr>
              <w:t xml:space="preserve">　</w:t>
            </w:r>
            <w:r w:rsidRPr="009942F6">
              <w:rPr>
                <w:color w:val="000000"/>
                <w:w w:val="19"/>
                <w:szCs w:val="20"/>
                <w:shd w:val="solid" w:color="000000" w:fill="000000"/>
                <w:fitText w:val="88" w:id="-1305212410"/>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10"/>
                <w14:textFill>
                  <w14:solidFill>
                    <w14:srgbClr w14:val="000000">
                      <w14:alpha w14:val="100000"/>
                    </w14:srgbClr>
                  </w14:solidFill>
                </w14:textFill>
              </w:rPr>
              <w:t xml:space="preserve">　</w:t>
            </w:r>
            <w:r w:rsidR="0069022C">
              <w:rPr>
                <w:bCs w:val="0"/>
                <w:snapToGrid w:val="0"/>
                <w:szCs w:val="20"/>
                <w:vertAlign w:val="superscript"/>
              </w:rPr>
              <w:t>5</w:t>
            </w:r>
          </w:p>
        </w:tc>
        <w:tc>
          <w:tcPr>
            <w:tcW w:w="616" w:type="pct"/>
            <w:shd w:val="clear" w:color="auto" w:fill="auto"/>
            <w:vAlign w:val="center"/>
          </w:tcPr>
          <w:p w14:paraId="02FFBFF2" w14:textId="1B8DD50A"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09"/>
                <w14:textFill>
                  <w14:solidFill>
                    <w14:srgbClr w14:val="000000">
                      <w14:alpha w14:val="100000"/>
                    </w14:srgbClr>
                  </w14:solidFill>
                </w14:textFill>
              </w:rPr>
              <w:t xml:space="preserve">　</w:t>
            </w:r>
            <w:r w:rsidRPr="009942F6">
              <w:rPr>
                <w:color w:val="000000"/>
                <w:w w:val="19"/>
                <w:szCs w:val="20"/>
                <w:shd w:val="solid" w:color="000000" w:fill="000000"/>
                <w:fitText w:val="88" w:id="-1305212409"/>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9"/>
                <w14:textFill>
                  <w14:solidFill>
                    <w14:srgbClr w14:val="000000">
                      <w14:alpha w14:val="100000"/>
                    </w14:srgbClr>
                  </w14:solidFill>
                </w14:textFill>
              </w:rPr>
              <w:t xml:space="preserve">　</w:t>
            </w:r>
            <w:r w:rsidR="0069022C">
              <w:rPr>
                <w:bCs w:val="0"/>
                <w:snapToGrid w:val="0"/>
                <w:szCs w:val="20"/>
                <w:vertAlign w:val="superscript"/>
              </w:rPr>
              <w:t>5</w:t>
            </w:r>
          </w:p>
        </w:tc>
        <w:tc>
          <w:tcPr>
            <w:tcW w:w="616" w:type="pct"/>
            <w:shd w:val="clear" w:color="auto" w:fill="auto"/>
            <w:vAlign w:val="center"/>
          </w:tcPr>
          <w:p w14:paraId="28736A5A" w14:textId="6004DF17"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08"/>
                <w14:textFill>
                  <w14:solidFill>
                    <w14:srgbClr w14:val="000000">
                      <w14:alpha w14:val="100000"/>
                    </w14:srgbClr>
                  </w14:solidFill>
                </w14:textFill>
              </w:rPr>
              <w:t xml:space="preserve">　</w:t>
            </w:r>
            <w:r w:rsidRPr="009942F6">
              <w:rPr>
                <w:color w:val="000000"/>
                <w:w w:val="19"/>
                <w:szCs w:val="20"/>
                <w:shd w:val="solid" w:color="000000" w:fill="000000"/>
                <w:fitText w:val="88" w:id="-1305212408"/>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8"/>
                <w14:textFill>
                  <w14:solidFill>
                    <w14:srgbClr w14:val="000000">
                      <w14:alpha w14:val="100000"/>
                    </w14:srgbClr>
                  </w14:solidFill>
                </w14:textFill>
              </w:rPr>
              <w:t xml:space="preserve">　</w:t>
            </w:r>
            <w:r w:rsidR="0069022C">
              <w:rPr>
                <w:bCs w:val="0"/>
                <w:snapToGrid w:val="0"/>
                <w:szCs w:val="20"/>
                <w:vertAlign w:val="superscript"/>
              </w:rPr>
              <w:t>5</w:t>
            </w:r>
          </w:p>
        </w:tc>
        <w:tc>
          <w:tcPr>
            <w:tcW w:w="638" w:type="pct"/>
            <w:shd w:val="clear" w:color="auto" w:fill="auto"/>
            <w:vAlign w:val="center"/>
          </w:tcPr>
          <w:p w14:paraId="6EC3C474" w14:textId="347B1A85"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07"/>
                <w14:textFill>
                  <w14:solidFill>
                    <w14:srgbClr w14:val="000000">
                      <w14:alpha w14:val="100000"/>
                    </w14:srgbClr>
                  </w14:solidFill>
                </w14:textFill>
              </w:rPr>
              <w:t xml:space="preserve">　</w:t>
            </w:r>
            <w:r w:rsidRPr="009942F6">
              <w:rPr>
                <w:color w:val="000000"/>
                <w:w w:val="19"/>
                <w:szCs w:val="20"/>
                <w:shd w:val="solid" w:color="000000" w:fill="000000"/>
                <w:fitText w:val="88" w:id="-1305212407"/>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7"/>
                <w14:textFill>
                  <w14:solidFill>
                    <w14:srgbClr w14:val="000000">
                      <w14:alpha w14:val="100000"/>
                    </w14:srgbClr>
                  </w14:solidFill>
                </w14:textFill>
              </w:rPr>
              <w:t xml:space="preserve">　</w:t>
            </w:r>
            <w:r w:rsidR="0069022C">
              <w:rPr>
                <w:bCs w:val="0"/>
                <w:snapToGrid w:val="0"/>
                <w:szCs w:val="20"/>
                <w:vertAlign w:val="superscript"/>
              </w:rPr>
              <w:t>5</w:t>
            </w:r>
          </w:p>
        </w:tc>
      </w:tr>
      <w:tr w:rsidR="00FA6969" w:rsidRPr="007E61A0" w14:paraId="40E9396C" w14:textId="77777777" w:rsidTr="004B1765">
        <w:tc>
          <w:tcPr>
            <w:tcW w:w="1281" w:type="pct"/>
            <w:shd w:val="clear" w:color="auto" w:fill="auto"/>
            <w:vAlign w:val="center"/>
          </w:tcPr>
          <w:p w14:paraId="3169531E" w14:textId="6138683E" w:rsidR="00FA6969" w:rsidRPr="007E61A0" w:rsidRDefault="00FA6969" w:rsidP="00925847">
            <w:pPr>
              <w:pStyle w:val="TableText0"/>
              <w:rPr>
                <w:sz w:val="19"/>
                <w:szCs w:val="19"/>
                <w:vertAlign w:val="superscript"/>
              </w:rPr>
            </w:pPr>
            <w:r w:rsidRPr="007E61A0">
              <w:rPr>
                <w:sz w:val="19"/>
                <w:szCs w:val="19"/>
              </w:rPr>
              <w:t>Net cost to PBS/RPBS/</w:t>
            </w:r>
            <w:proofErr w:type="spellStart"/>
            <w:r w:rsidRPr="007E61A0">
              <w:rPr>
                <w:sz w:val="19"/>
                <w:szCs w:val="19"/>
              </w:rPr>
              <w:t>MBS</w:t>
            </w:r>
            <w:r w:rsidRPr="007E61A0">
              <w:rPr>
                <w:sz w:val="19"/>
                <w:szCs w:val="19"/>
                <w:vertAlign w:val="superscript"/>
              </w:rPr>
              <w:t>b</w:t>
            </w:r>
            <w:proofErr w:type="spellEnd"/>
            <w:r w:rsidR="00700EA0">
              <w:rPr>
                <w:sz w:val="19"/>
                <w:szCs w:val="19"/>
              </w:rPr>
              <w:t xml:space="preserve"> ($)</w:t>
            </w:r>
          </w:p>
        </w:tc>
        <w:tc>
          <w:tcPr>
            <w:tcW w:w="616" w:type="pct"/>
            <w:shd w:val="clear" w:color="auto" w:fill="auto"/>
            <w:vAlign w:val="center"/>
          </w:tcPr>
          <w:p w14:paraId="30A6643D" w14:textId="04848E15"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7" w:id="-1305212406"/>
                <w14:textFill>
                  <w14:solidFill>
                    <w14:srgbClr w14:val="000000">
                      <w14:alpha w14:val="100000"/>
                    </w14:srgbClr>
                  </w14:solidFill>
                </w14:textFill>
              </w:rPr>
              <w:t xml:space="preserve">　</w:t>
            </w:r>
            <w:r w:rsidRPr="009942F6">
              <w:rPr>
                <w:color w:val="000000"/>
                <w:w w:val="19"/>
                <w:szCs w:val="20"/>
                <w:shd w:val="solid" w:color="000000" w:fill="000000"/>
                <w:fitText w:val="87" w:id="-1305212406"/>
                <w14:textFill>
                  <w14:solidFill>
                    <w14:srgbClr w14:val="000000">
                      <w14:alpha w14:val="100000"/>
                    </w14:srgbClr>
                  </w14:solidFill>
                </w14:textFill>
              </w:rPr>
              <w:t>|</w:t>
            </w:r>
            <w:r w:rsidRPr="009942F6">
              <w:rPr>
                <w:rFonts w:hint="eastAsia"/>
                <w:color w:val="000000"/>
                <w:spacing w:val="3"/>
                <w:w w:val="19"/>
                <w:szCs w:val="20"/>
                <w:shd w:val="solid" w:color="000000" w:fill="000000"/>
                <w:fitText w:val="87" w:id="-1305212406"/>
                <w14:textFill>
                  <w14:solidFill>
                    <w14:srgbClr w14:val="000000">
                      <w14:alpha w14:val="100000"/>
                    </w14:srgbClr>
                  </w14:solidFill>
                </w14:textFill>
              </w:rPr>
              <w:t xml:space="preserve">　</w:t>
            </w:r>
            <w:r w:rsidR="0069022C">
              <w:rPr>
                <w:bCs w:val="0"/>
                <w:snapToGrid w:val="0"/>
                <w:szCs w:val="20"/>
                <w:vertAlign w:val="superscript"/>
              </w:rPr>
              <w:t>6</w:t>
            </w:r>
          </w:p>
        </w:tc>
        <w:tc>
          <w:tcPr>
            <w:tcW w:w="616" w:type="pct"/>
            <w:shd w:val="clear" w:color="auto" w:fill="auto"/>
            <w:vAlign w:val="center"/>
          </w:tcPr>
          <w:p w14:paraId="7A6056CB" w14:textId="5FA43559"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05"/>
                <w14:textFill>
                  <w14:solidFill>
                    <w14:srgbClr w14:val="000000">
                      <w14:alpha w14:val="100000"/>
                    </w14:srgbClr>
                  </w14:solidFill>
                </w14:textFill>
              </w:rPr>
              <w:t xml:space="preserve">　</w:t>
            </w:r>
            <w:r w:rsidRPr="009942F6">
              <w:rPr>
                <w:color w:val="000000"/>
                <w:w w:val="19"/>
                <w:szCs w:val="20"/>
                <w:shd w:val="solid" w:color="000000" w:fill="000000"/>
                <w:fitText w:val="88" w:id="-1305212405"/>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5"/>
                <w14:textFill>
                  <w14:solidFill>
                    <w14:srgbClr w14:val="000000">
                      <w14:alpha w14:val="100000"/>
                    </w14:srgbClr>
                  </w14:solidFill>
                </w14:textFill>
              </w:rPr>
              <w:t xml:space="preserve">　</w:t>
            </w:r>
            <w:r w:rsidR="0069022C">
              <w:rPr>
                <w:bCs w:val="0"/>
                <w:snapToGrid w:val="0"/>
                <w:szCs w:val="20"/>
                <w:vertAlign w:val="superscript"/>
              </w:rPr>
              <w:t>4</w:t>
            </w:r>
          </w:p>
        </w:tc>
        <w:tc>
          <w:tcPr>
            <w:tcW w:w="617" w:type="pct"/>
            <w:shd w:val="clear" w:color="auto" w:fill="auto"/>
            <w:vAlign w:val="center"/>
          </w:tcPr>
          <w:p w14:paraId="5CEE9365" w14:textId="6B7E378E"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04"/>
                <w14:textFill>
                  <w14:solidFill>
                    <w14:srgbClr w14:val="000000">
                      <w14:alpha w14:val="100000"/>
                    </w14:srgbClr>
                  </w14:solidFill>
                </w14:textFill>
              </w:rPr>
              <w:t xml:space="preserve">　</w:t>
            </w:r>
            <w:r w:rsidRPr="009942F6">
              <w:rPr>
                <w:color w:val="000000"/>
                <w:w w:val="19"/>
                <w:szCs w:val="20"/>
                <w:shd w:val="solid" w:color="000000" w:fill="000000"/>
                <w:fitText w:val="88" w:id="-1305212404"/>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4"/>
                <w14:textFill>
                  <w14:solidFill>
                    <w14:srgbClr w14:val="000000">
                      <w14:alpha w14:val="100000"/>
                    </w14:srgbClr>
                  </w14:solidFill>
                </w14:textFill>
              </w:rPr>
              <w:t xml:space="preserve">　</w:t>
            </w:r>
            <w:r w:rsidR="0069022C">
              <w:rPr>
                <w:bCs w:val="0"/>
                <w:snapToGrid w:val="0"/>
                <w:szCs w:val="20"/>
                <w:vertAlign w:val="superscript"/>
              </w:rPr>
              <w:t>4</w:t>
            </w:r>
          </w:p>
        </w:tc>
        <w:tc>
          <w:tcPr>
            <w:tcW w:w="616" w:type="pct"/>
            <w:shd w:val="clear" w:color="auto" w:fill="auto"/>
            <w:vAlign w:val="center"/>
          </w:tcPr>
          <w:p w14:paraId="47996807" w14:textId="54785A4C" w:rsidR="00FA6969" w:rsidRPr="00700EA0" w:rsidRDefault="009942F6" w:rsidP="00925847">
            <w:pPr>
              <w:pStyle w:val="TableText0"/>
              <w:jc w:val="center"/>
              <w:rPr>
                <w:highlight w:val="darkGray"/>
              </w:rPr>
            </w:pPr>
            <w:r w:rsidRPr="009942F6">
              <w:rPr>
                <w:rFonts w:hint="eastAsia"/>
                <w:color w:val="000000"/>
                <w:w w:val="31"/>
                <w:szCs w:val="20"/>
                <w:shd w:val="solid" w:color="000000" w:fill="000000"/>
                <w:fitText w:val="138" w:id="-1305212403"/>
                <w14:textFill>
                  <w14:solidFill>
                    <w14:srgbClr w14:val="000000">
                      <w14:alpha w14:val="100000"/>
                    </w14:srgbClr>
                  </w14:solidFill>
                </w14:textFill>
              </w:rPr>
              <w:t xml:space="preserve">　</w:t>
            </w:r>
            <w:r w:rsidRPr="009942F6">
              <w:rPr>
                <w:color w:val="000000"/>
                <w:w w:val="31"/>
                <w:szCs w:val="20"/>
                <w:shd w:val="solid" w:color="000000" w:fill="000000"/>
                <w:fitText w:val="138" w:id="-1305212403"/>
                <w14:textFill>
                  <w14:solidFill>
                    <w14:srgbClr w14:val="000000">
                      <w14:alpha w14:val="100000"/>
                    </w14:srgbClr>
                  </w14:solidFill>
                </w14:textFill>
              </w:rPr>
              <w:t>|</w:t>
            </w:r>
            <w:r w:rsidRPr="009942F6">
              <w:rPr>
                <w:rFonts w:hint="eastAsia"/>
                <w:color w:val="000000"/>
                <w:spacing w:val="2"/>
                <w:w w:val="31"/>
                <w:szCs w:val="20"/>
                <w:shd w:val="solid" w:color="000000" w:fill="000000"/>
                <w:fitText w:val="138" w:id="-1305212403"/>
                <w14:textFill>
                  <w14:solidFill>
                    <w14:srgbClr w14:val="000000">
                      <w14:alpha w14:val="100000"/>
                    </w14:srgbClr>
                  </w14:solidFill>
                </w14:textFill>
              </w:rPr>
              <w:t xml:space="preserve">　</w:t>
            </w:r>
            <w:r w:rsidR="002075A0">
              <w:rPr>
                <w:bCs w:val="0"/>
                <w:snapToGrid w:val="0"/>
                <w:szCs w:val="20"/>
                <w:vertAlign w:val="superscript"/>
              </w:rPr>
              <w:t>12</w:t>
            </w:r>
          </w:p>
        </w:tc>
        <w:tc>
          <w:tcPr>
            <w:tcW w:w="616" w:type="pct"/>
            <w:shd w:val="clear" w:color="auto" w:fill="auto"/>
            <w:vAlign w:val="center"/>
          </w:tcPr>
          <w:p w14:paraId="6338A251" w14:textId="50C09D86"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02"/>
                <w14:textFill>
                  <w14:solidFill>
                    <w14:srgbClr w14:val="000000">
                      <w14:alpha w14:val="100000"/>
                    </w14:srgbClr>
                  </w14:solidFill>
                </w14:textFill>
              </w:rPr>
              <w:t xml:space="preserve">　</w:t>
            </w:r>
            <w:r w:rsidRPr="009942F6">
              <w:rPr>
                <w:color w:val="000000"/>
                <w:w w:val="19"/>
                <w:szCs w:val="20"/>
                <w:shd w:val="solid" w:color="000000" w:fill="000000"/>
                <w:fitText w:val="88" w:id="-1305212402"/>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2"/>
                <w14:textFill>
                  <w14:solidFill>
                    <w14:srgbClr w14:val="000000">
                      <w14:alpha w14:val="100000"/>
                    </w14:srgbClr>
                  </w14:solidFill>
                </w14:textFill>
              </w:rPr>
              <w:t xml:space="preserve">　</w:t>
            </w:r>
            <w:r w:rsidR="0069022C">
              <w:rPr>
                <w:bCs w:val="0"/>
                <w:snapToGrid w:val="0"/>
                <w:szCs w:val="20"/>
                <w:vertAlign w:val="superscript"/>
              </w:rPr>
              <w:t>9</w:t>
            </w:r>
          </w:p>
        </w:tc>
        <w:tc>
          <w:tcPr>
            <w:tcW w:w="638" w:type="pct"/>
            <w:shd w:val="clear" w:color="auto" w:fill="auto"/>
            <w:vAlign w:val="center"/>
          </w:tcPr>
          <w:p w14:paraId="0EB7EC19" w14:textId="53424798" w:rsidR="00FA6969" w:rsidRPr="00700EA0" w:rsidRDefault="009942F6" w:rsidP="00925847">
            <w:pPr>
              <w:pStyle w:val="TableText0"/>
              <w:jc w:val="center"/>
              <w:rPr>
                <w:highlight w:val="darkGray"/>
              </w:rPr>
            </w:pPr>
            <w:r w:rsidRPr="009942F6">
              <w:rPr>
                <w:rFonts w:hint="eastAsia"/>
                <w:color w:val="000000"/>
                <w:w w:val="19"/>
                <w:szCs w:val="20"/>
                <w:shd w:val="solid" w:color="000000" w:fill="000000"/>
                <w:fitText w:val="88" w:id="-1305212401"/>
                <w14:textFill>
                  <w14:solidFill>
                    <w14:srgbClr w14:val="000000">
                      <w14:alpha w14:val="100000"/>
                    </w14:srgbClr>
                  </w14:solidFill>
                </w14:textFill>
              </w:rPr>
              <w:t xml:space="preserve">　</w:t>
            </w:r>
            <w:r w:rsidRPr="009942F6">
              <w:rPr>
                <w:color w:val="000000"/>
                <w:w w:val="19"/>
                <w:szCs w:val="20"/>
                <w:shd w:val="solid" w:color="000000" w:fill="000000"/>
                <w:fitText w:val="88" w:id="-1305212401"/>
                <w14:textFill>
                  <w14:solidFill>
                    <w14:srgbClr w14:val="000000">
                      <w14:alpha w14:val="100000"/>
                    </w14:srgbClr>
                  </w14:solidFill>
                </w14:textFill>
              </w:rPr>
              <w:t>|</w:t>
            </w:r>
            <w:r w:rsidRPr="009942F6">
              <w:rPr>
                <w:rFonts w:hint="eastAsia"/>
                <w:color w:val="000000"/>
                <w:spacing w:val="4"/>
                <w:w w:val="19"/>
                <w:szCs w:val="20"/>
                <w:shd w:val="solid" w:color="000000" w:fill="000000"/>
                <w:fitText w:val="88" w:id="-1305212401"/>
                <w14:textFill>
                  <w14:solidFill>
                    <w14:srgbClr w14:val="000000">
                      <w14:alpha w14:val="100000"/>
                    </w14:srgbClr>
                  </w14:solidFill>
                </w14:textFill>
              </w:rPr>
              <w:t xml:space="preserve">　</w:t>
            </w:r>
            <w:r w:rsidR="0069022C">
              <w:rPr>
                <w:bCs w:val="0"/>
                <w:snapToGrid w:val="0"/>
                <w:szCs w:val="20"/>
                <w:vertAlign w:val="superscript"/>
              </w:rPr>
              <w:t>9</w:t>
            </w:r>
          </w:p>
        </w:tc>
      </w:tr>
    </w:tbl>
    <w:p w14:paraId="4E4CC2DE" w14:textId="77777777" w:rsidR="00FA6969" w:rsidRPr="007E61A0" w:rsidRDefault="00FA6969" w:rsidP="00FA6969">
      <w:pPr>
        <w:pStyle w:val="FooterTableFigure"/>
      </w:pPr>
      <w:r w:rsidRPr="007E61A0">
        <w:t xml:space="preserve">Source: Tables 111, 115, 118, 120, 122, 125 and 127, pp176-177, 179, 181-182 and 184-185 of the submission. </w:t>
      </w:r>
      <w:bookmarkEnd w:id="86"/>
    </w:p>
    <w:p w14:paraId="71DCA84B" w14:textId="77777777" w:rsidR="00FA6969" w:rsidRPr="007E61A0" w:rsidRDefault="00FA6969" w:rsidP="00FA6969">
      <w:pPr>
        <w:pStyle w:val="FooterTableFigure"/>
      </w:pPr>
      <w:r w:rsidRPr="007E61A0">
        <w:t>MBS = Medicare Benefits Schedule; PBS = Pharmaceutical Benefits Scheme; RPBS = Repatriation Schedule of Pharmaceutical Benefits.</w:t>
      </w:r>
    </w:p>
    <w:p w14:paraId="393149CC" w14:textId="77777777" w:rsidR="00FA6969" w:rsidRPr="007E61A0" w:rsidRDefault="00FA6969" w:rsidP="00FA6969">
      <w:pPr>
        <w:pStyle w:val="FooterTableFigure"/>
      </w:pPr>
      <w:r w:rsidRPr="007E61A0">
        <w:rPr>
          <w:vertAlign w:val="superscript"/>
        </w:rPr>
        <w:t>a</w:t>
      </w:r>
      <w:r w:rsidRPr="007E61A0">
        <w:t xml:space="preserve"> Assuming 12.43 scripts per year as estimated by the submission [12.43 = (365.25/28) x 95.3% where compliance = 95.3% based on POETYK 1 and POETYK 2 trials].</w:t>
      </w:r>
    </w:p>
    <w:p w14:paraId="32E8D706" w14:textId="4FABE525" w:rsidR="00FA6969" w:rsidRDefault="00FA6969" w:rsidP="00700EA0">
      <w:pPr>
        <w:pStyle w:val="FooterTableFigure"/>
        <w:spacing w:after="0"/>
      </w:pPr>
      <w:r w:rsidRPr="007E61A0">
        <w:rPr>
          <w:vertAlign w:val="superscript"/>
        </w:rPr>
        <w:t xml:space="preserve">b </w:t>
      </w:r>
      <w:r w:rsidRPr="007E61A0">
        <w:t xml:space="preserve"> Note that the estimated costs to the PBS/RPBS used the AHI and dispensing fees and patient co-payments before July 2022.</w:t>
      </w:r>
    </w:p>
    <w:p w14:paraId="633C8F3D" w14:textId="77777777" w:rsidR="00700EA0" w:rsidRDefault="00700EA0" w:rsidP="00700EA0">
      <w:pPr>
        <w:rPr>
          <w:rFonts w:ascii="Arial Narrow" w:hAnsi="Arial Narrow"/>
          <w:i/>
          <w:sz w:val="18"/>
          <w:szCs w:val="18"/>
        </w:rPr>
      </w:pPr>
      <w:r>
        <w:rPr>
          <w:rFonts w:ascii="Arial Narrow" w:hAnsi="Arial Narrow"/>
          <w:i/>
          <w:sz w:val="18"/>
          <w:szCs w:val="18"/>
        </w:rPr>
        <w:t xml:space="preserve">The redacted values correspond to the following ranges: </w:t>
      </w:r>
    </w:p>
    <w:p w14:paraId="255013D8" w14:textId="67DEA897" w:rsidR="00700EA0" w:rsidRDefault="00700EA0" w:rsidP="00700EA0">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700EA0">
        <w:rPr>
          <w:rFonts w:ascii="Arial Narrow" w:hAnsi="Arial Narrow"/>
          <w:i/>
          <w:sz w:val="18"/>
          <w:szCs w:val="18"/>
        </w:rPr>
        <w:t>20,000 to &lt; 30,000</w:t>
      </w:r>
    </w:p>
    <w:p w14:paraId="0C16028A" w14:textId="5FC9B3B6" w:rsidR="00700EA0" w:rsidRDefault="00700EA0" w:rsidP="00700EA0">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700EA0">
        <w:rPr>
          <w:rFonts w:ascii="Arial Narrow" w:hAnsi="Arial Narrow"/>
          <w:i/>
          <w:sz w:val="18"/>
          <w:szCs w:val="18"/>
        </w:rPr>
        <w:t>500 to &lt; 5,000</w:t>
      </w:r>
    </w:p>
    <w:p w14:paraId="436C1D08" w14:textId="02D1BF8A" w:rsidR="00700EA0" w:rsidRDefault="00700EA0" w:rsidP="00700EA0">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0069022C" w:rsidRPr="0069022C">
        <w:rPr>
          <w:rFonts w:ascii="Arial Narrow" w:hAnsi="Arial Narrow"/>
          <w:i/>
          <w:sz w:val="18"/>
          <w:szCs w:val="18"/>
        </w:rPr>
        <w:t>30,000 to &lt; 40,000</w:t>
      </w:r>
    </w:p>
    <w:p w14:paraId="25A29EE3" w14:textId="13360404" w:rsidR="00700EA0" w:rsidRDefault="00700EA0" w:rsidP="00700EA0">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69022C" w:rsidRPr="0069022C">
        <w:rPr>
          <w:rFonts w:ascii="Arial Narrow" w:hAnsi="Arial Narrow"/>
          <w:i/>
          <w:sz w:val="18"/>
          <w:szCs w:val="18"/>
        </w:rPr>
        <w:t>$20 million to &lt; $30 million</w:t>
      </w:r>
    </w:p>
    <w:p w14:paraId="6AB64247" w14:textId="36C4872A" w:rsidR="00700EA0" w:rsidRDefault="00700EA0" w:rsidP="00700EA0">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69022C" w:rsidRPr="0069022C">
        <w:rPr>
          <w:rFonts w:ascii="Arial Narrow" w:hAnsi="Arial Narrow"/>
          <w:i/>
          <w:sz w:val="18"/>
          <w:szCs w:val="18"/>
        </w:rPr>
        <w:t>net cost saving</w:t>
      </w:r>
    </w:p>
    <w:p w14:paraId="6D19997F" w14:textId="4DE72CE9" w:rsidR="00700EA0" w:rsidRDefault="00700EA0" w:rsidP="00700EA0">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69022C" w:rsidRPr="0069022C">
        <w:rPr>
          <w:rFonts w:ascii="Arial Narrow" w:hAnsi="Arial Narrow"/>
          <w:i/>
          <w:sz w:val="18"/>
          <w:szCs w:val="18"/>
        </w:rPr>
        <w:t>$10 million to &lt; $20 million</w:t>
      </w:r>
    </w:p>
    <w:p w14:paraId="0A229912" w14:textId="566BCC35" w:rsidR="00700EA0" w:rsidRDefault="00700EA0" w:rsidP="00700EA0">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69022C" w:rsidRPr="0069022C">
        <w:rPr>
          <w:rFonts w:ascii="Arial Narrow" w:hAnsi="Arial Narrow"/>
          <w:i/>
          <w:sz w:val="18"/>
          <w:szCs w:val="18"/>
        </w:rPr>
        <w:t>5,000 to &lt; 10,000</w:t>
      </w:r>
    </w:p>
    <w:p w14:paraId="6C570BCC" w14:textId="2F795718" w:rsidR="00700EA0" w:rsidRDefault="00700EA0" w:rsidP="00700EA0">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69022C" w:rsidRPr="0069022C">
        <w:rPr>
          <w:rFonts w:ascii="Arial Narrow" w:hAnsi="Arial Narrow"/>
          <w:i/>
          <w:sz w:val="18"/>
          <w:szCs w:val="18"/>
        </w:rPr>
        <w:t>60,000 to &lt; 70,000</w:t>
      </w:r>
    </w:p>
    <w:p w14:paraId="626C7D27" w14:textId="41E59D74" w:rsidR="00700EA0" w:rsidRDefault="00700EA0" w:rsidP="00700EA0">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69022C" w:rsidRPr="0069022C">
        <w:rPr>
          <w:rFonts w:ascii="Arial Narrow" w:hAnsi="Arial Narrow"/>
          <w:i/>
          <w:sz w:val="18"/>
          <w:szCs w:val="18"/>
        </w:rPr>
        <w:t>$40 million to &lt; $50 million</w:t>
      </w:r>
    </w:p>
    <w:p w14:paraId="770A3EAB" w14:textId="0262DFB6" w:rsidR="00700EA0" w:rsidRDefault="00700EA0" w:rsidP="00700EA0">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69022C" w:rsidRPr="0069022C">
        <w:rPr>
          <w:rFonts w:ascii="Arial Narrow" w:hAnsi="Arial Narrow"/>
          <w:i/>
          <w:sz w:val="18"/>
          <w:szCs w:val="18"/>
        </w:rPr>
        <w:t>80,000 to &lt; 90,000</w:t>
      </w:r>
    </w:p>
    <w:p w14:paraId="5F132FD6" w14:textId="54AD1B0C" w:rsidR="00700EA0" w:rsidRDefault="00700EA0" w:rsidP="00700EA0">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EA03A2" w:rsidRPr="00EA03A2">
        <w:rPr>
          <w:rFonts w:ascii="Arial Narrow" w:hAnsi="Arial Narrow"/>
          <w:i/>
          <w:sz w:val="18"/>
          <w:szCs w:val="18"/>
        </w:rPr>
        <w:t>$60 million to &lt; $70 million</w:t>
      </w:r>
    </w:p>
    <w:p w14:paraId="7E1F1F8C" w14:textId="7A07A52B" w:rsidR="00700EA0" w:rsidRDefault="00700EA0" w:rsidP="0069022C">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002075A0" w:rsidRPr="002075A0">
        <w:rPr>
          <w:rFonts w:ascii="Arial Narrow" w:hAnsi="Arial Narrow"/>
          <w:i/>
          <w:sz w:val="18"/>
          <w:szCs w:val="18"/>
        </w:rPr>
        <w:t>$30 million to &lt; $40 million</w:t>
      </w:r>
    </w:p>
    <w:p w14:paraId="716825C2" w14:textId="70410321" w:rsidR="0069022C" w:rsidRDefault="0069022C" w:rsidP="0069022C">
      <w:pPr>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w:t>
      </w:r>
      <w:r w:rsidR="002075A0" w:rsidRPr="002075A0">
        <w:rPr>
          <w:rFonts w:ascii="Arial Narrow" w:hAnsi="Arial Narrow"/>
          <w:i/>
          <w:sz w:val="18"/>
          <w:szCs w:val="18"/>
        </w:rPr>
        <w:t>100,000 to &lt; 200,000</w:t>
      </w:r>
    </w:p>
    <w:p w14:paraId="24C9EBCF" w14:textId="41EC16D1" w:rsidR="0069022C" w:rsidRDefault="0069022C" w:rsidP="0069022C">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002075A0" w:rsidRPr="002075A0">
        <w:rPr>
          <w:rFonts w:ascii="Arial Narrow" w:hAnsi="Arial Narrow"/>
          <w:i/>
          <w:sz w:val="18"/>
          <w:szCs w:val="18"/>
        </w:rPr>
        <w:t>$70 million to &lt; $80 million</w:t>
      </w:r>
    </w:p>
    <w:p w14:paraId="56A13B16" w14:textId="6CBE0847" w:rsidR="0069022C" w:rsidRDefault="0069022C" w:rsidP="0069022C">
      <w:pPr>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w:t>
      </w:r>
      <w:r w:rsidR="002075A0" w:rsidRPr="002075A0">
        <w:rPr>
          <w:rFonts w:ascii="Arial Narrow" w:hAnsi="Arial Narrow"/>
          <w:i/>
          <w:sz w:val="18"/>
          <w:szCs w:val="18"/>
        </w:rPr>
        <w:t>$90 million to &lt; $100 million</w:t>
      </w:r>
    </w:p>
    <w:p w14:paraId="0264AF0F" w14:textId="497E5114" w:rsidR="0069022C" w:rsidRDefault="0069022C" w:rsidP="002075A0">
      <w:pPr>
        <w:rPr>
          <w:rFonts w:ascii="Arial Narrow" w:hAnsi="Arial Narrow"/>
          <w:i/>
          <w:sz w:val="18"/>
          <w:szCs w:val="18"/>
        </w:rPr>
      </w:pPr>
      <w:r>
        <w:rPr>
          <w:rFonts w:ascii="Arial Narrow" w:hAnsi="Arial Narrow"/>
          <w:i/>
          <w:sz w:val="18"/>
          <w:szCs w:val="18"/>
          <w:vertAlign w:val="superscript"/>
        </w:rPr>
        <w:t>16</w:t>
      </w:r>
      <w:r>
        <w:rPr>
          <w:rFonts w:ascii="Arial Narrow" w:hAnsi="Arial Narrow"/>
          <w:i/>
          <w:sz w:val="18"/>
          <w:szCs w:val="18"/>
        </w:rPr>
        <w:t xml:space="preserve"> </w:t>
      </w:r>
      <w:r w:rsidR="002075A0" w:rsidRPr="002075A0">
        <w:rPr>
          <w:rFonts w:ascii="Arial Narrow" w:hAnsi="Arial Narrow"/>
          <w:i/>
          <w:sz w:val="18"/>
          <w:szCs w:val="18"/>
        </w:rPr>
        <w:t>10,000 to &lt; 20,000</w:t>
      </w:r>
    </w:p>
    <w:p w14:paraId="2656728B" w14:textId="7BD97094" w:rsidR="002075A0" w:rsidRDefault="002075A0" w:rsidP="002075A0">
      <w:pPr>
        <w:rPr>
          <w:rFonts w:ascii="Arial Narrow" w:hAnsi="Arial Narrow"/>
          <w:i/>
          <w:sz w:val="18"/>
          <w:szCs w:val="18"/>
        </w:rPr>
      </w:pPr>
      <w:r>
        <w:rPr>
          <w:rFonts w:ascii="Arial Narrow" w:hAnsi="Arial Narrow"/>
          <w:i/>
          <w:sz w:val="18"/>
          <w:szCs w:val="18"/>
          <w:vertAlign w:val="superscript"/>
        </w:rPr>
        <w:t>17</w:t>
      </w:r>
      <w:r>
        <w:rPr>
          <w:rFonts w:ascii="Arial Narrow" w:hAnsi="Arial Narrow"/>
          <w:i/>
          <w:sz w:val="18"/>
          <w:szCs w:val="18"/>
        </w:rPr>
        <w:t xml:space="preserve"> </w:t>
      </w:r>
      <w:r w:rsidRPr="002075A0">
        <w:rPr>
          <w:rFonts w:ascii="Arial Narrow" w:hAnsi="Arial Narrow"/>
          <w:i/>
          <w:sz w:val="18"/>
          <w:szCs w:val="18"/>
        </w:rPr>
        <w:t>$100 million to &lt; $200 million</w:t>
      </w:r>
    </w:p>
    <w:p w14:paraId="10828E57" w14:textId="43853212" w:rsidR="00700EA0" w:rsidRPr="002075A0" w:rsidRDefault="002075A0" w:rsidP="002075A0">
      <w:pPr>
        <w:spacing w:after="120"/>
        <w:rPr>
          <w:rFonts w:ascii="Arial Narrow" w:hAnsi="Arial Narrow"/>
          <w:i/>
          <w:sz w:val="18"/>
          <w:szCs w:val="18"/>
        </w:rPr>
      </w:pPr>
      <w:r>
        <w:rPr>
          <w:rFonts w:ascii="Arial Narrow" w:hAnsi="Arial Narrow"/>
          <w:i/>
          <w:sz w:val="18"/>
          <w:szCs w:val="18"/>
          <w:vertAlign w:val="superscript"/>
        </w:rPr>
        <w:t>18</w:t>
      </w:r>
      <w:r>
        <w:rPr>
          <w:rFonts w:ascii="Arial Narrow" w:hAnsi="Arial Narrow"/>
          <w:i/>
          <w:sz w:val="18"/>
          <w:szCs w:val="18"/>
        </w:rPr>
        <w:t xml:space="preserve"> </w:t>
      </w:r>
      <w:r w:rsidRPr="002075A0">
        <w:rPr>
          <w:rFonts w:ascii="Arial Narrow" w:hAnsi="Arial Narrow"/>
          <w:i/>
          <w:sz w:val="18"/>
          <w:szCs w:val="18"/>
        </w:rPr>
        <w:t>$50 million to &lt; $60 million</w:t>
      </w:r>
    </w:p>
    <w:p w14:paraId="41BF047F" w14:textId="1BAD3096" w:rsidR="00FA6969" w:rsidRPr="007E61A0" w:rsidRDefault="00FA6969" w:rsidP="002075A0">
      <w:pPr>
        <w:pStyle w:val="3-BodyText"/>
      </w:pPr>
      <w:r w:rsidRPr="007E61A0">
        <w:t xml:space="preserve">The total net cost to the PBS/RPBS of listing deucravacitinib was estimated to be </w:t>
      </w:r>
      <w:bookmarkStart w:id="87" w:name="_Hlk113629074"/>
      <w:r w:rsidR="002075A0" w:rsidRPr="002075A0">
        <w:t>$40 million to &lt; $50 million</w:t>
      </w:r>
      <w:bookmarkEnd w:id="87"/>
      <w:r w:rsidR="002075A0">
        <w:t xml:space="preserve"> </w:t>
      </w:r>
      <w:r w:rsidRPr="007E61A0">
        <w:t xml:space="preserve">in Year 6, and a total of </w:t>
      </w:r>
      <w:bookmarkStart w:id="88" w:name="_Hlk113629257"/>
      <w:r w:rsidR="002075A0" w:rsidRPr="002075A0">
        <w:t>$100 million to &lt; $200 million</w:t>
      </w:r>
      <w:bookmarkEnd w:id="88"/>
      <w:r w:rsidR="002075A0">
        <w:t xml:space="preserve"> </w:t>
      </w:r>
      <w:r w:rsidRPr="007E61A0">
        <w:t xml:space="preserve">in the first 6 years of listing. </w:t>
      </w:r>
    </w:p>
    <w:p w14:paraId="581C6230" w14:textId="4F2E8F9D" w:rsidR="00FA6969" w:rsidRPr="007E61A0" w:rsidRDefault="00FA6969" w:rsidP="00FA6969">
      <w:pPr>
        <w:pStyle w:val="3-BodyText"/>
      </w:pPr>
      <w:r w:rsidRPr="007E61A0">
        <w:t>The submission indicated that should the PBAC recommend deucravacitinib, further adjustment would be required to the overall net cost to the health budget as the current proposed effective price for deucravacitinib was based on the published prices for apremilast prices.</w:t>
      </w:r>
    </w:p>
    <w:p w14:paraId="53EFB469" w14:textId="1631CEDB" w:rsidR="00FA6969" w:rsidRPr="007E61A0" w:rsidRDefault="00FA6969" w:rsidP="002075A0">
      <w:pPr>
        <w:pStyle w:val="3-BodyText"/>
      </w:pPr>
      <w:r w:rsidRPr="007E61A0">
        <w:t xml:space="preserve">The submission reported that the financial estimates were most sensitive to prevalence, the proportion of patients treated by a dermatologist or experienced general physician and uptake rates. If cost-offsets from anticipated decreased use of </w:t>
      </w:r>
      <w:r w:rsidRPr="007E61A0">
        <w:lastRenderedPageBreak/>
        <w:t>biologics with the proposed listing were included and based on the modelled time on treatment over five years, the submission estimated the net cost to the health budget</w:t>
      </w:r>
      <w:r w:rsidR="004B1765" w:rsidRPr="007E61A0">
        <w:t xml:space="preserve"> (using the published price of adalimumab as a proxy</w:t>
      </w:r>
      <w:r w:rsidR="00A04F32">
        <w:t xml:space="preserve"> for all biologics</w:t>
      </w:r>
      <w:r w:rsidR="004B1765" w:rsidRPr="007E61A0">
        <w:t>)</w:t>
      </w:r>
      <w:r w:rsidRPr="007E61A0">
        <w:t xml:space="preserve">: </w:t>
      </w:r>
      <w:r w:rsidR="002075A0" w:rsidRPr="002075A0">
        <w:t>$30 million to &lt; $40 million</w:t>
      </w:r>
      <w:r w:rsidR="002075A0">
        <w:t xml:space="preserve"> </w:t>
      </w:r>
      <w:r w:rsidRPr="007E61A0">
        <w:t xml:space="preserve">in Year 6, and a total of </w:t>
      </w:r>
      <w:r w:rsidR="002075A0" w:rsidRPr="002075A0">
        <w:t>$100 million to &lt; $200 million</w:t>
      </w:r>
      <w:r w:rsidR="002075A0">
        <w:t xml:space="preserve"> </w:t>
      </w:r>
      <w:r w:rsidRPr="007E61A0">
        <w:t xml:space="preserve">in the first six years of listing (a reduction </w:t>
      </w:r>
      <w:r w:rsidR="00214A19" w:rsidRPr="007E61A0">
        <w:t xml:space="preserve">in the net cost </w:t>
      </w:r>
      <w:r w:rsidRPr="007E61A0">
        <w:t>of 28.4%).</w:t>
      </w:r>
    </w:p>
    <w:p w14:paraId="6C86304F" w14:textId="5F67998F" w:rsidR="00FA6969" w:rsidRPr="007E61A0" w:rsidRDefault="00A07832" w:rsidP="00E936A4">
      <w:pPr>
        <w:pStyle w:val="3-BodyText"/>
      </w:pPr>
      <w:bookmarkStart w:id="89" w:name="_Ref165463710"/>
      <w:r>
        <w:t xml:space="preserve">The </w:t>
      </w:r>
      <w:r w:rsidR="00FA6969" w:rsidRPr="007E61A0">
        <w:t xml:space="preserve">DUSC considered that </w:t>
      </w:r>
      <w:r w:rsidR="007E61A0" w:rsidRPr="007E61A0">
        <w:t>overall,</w:t>
      </w:r>
      <w:r w:rsidR="00FA6969" w:rsidRPr="007E61A0">
        <w:t xml:space="preserve"> the estimates presented in the submission are overestimated. The </w:t>
      </w:r>
      <w:r w:rsidR="00E936A4" w:rsidRPr="007E61A0">
        <w:t>DUSC considered the main issues to be:</w:t>
      </w:r>
      <w:bookmarkEnd w:id="89"/>
      <w:r w:rsidR="00E936A4" w:rsidRPr="007E61A0">
        <w:t xml:space="preserve"> </w:t>
      </w:r>
    </w:p>
    <w:p w14:paraId="389CCAE9" w14:textId="0C3260A6" w:rsidR="00FA6969" w:rsidRPr="007E61A0" w:rsidRDefault="00FA6969" w:rsidP="00F665D5">
      <w:pPr>
        <w:pStyle w:val="ListParagraph"/>
        <w:numPr>
          <w:ilvl w:val="0"/>
          <w:numId w:val="18"/>
        </w:numPr>
        <w:ind w:left="1134" w:hanging="357"/>
        <w:rPr>
          <w:rFonts w:ascii="Calibri" w:eastAsia="Calibri" w:hAnsi="Calibri" w:cs="Calibri"/>
          <w:snapToGrid/>
        </w:rPr>
      </w:pPr>
      <w:r w:rsidRPr="007E61A0">
        <w:rPr>
          <w:rFonts w:ascii="Calibri" w:eastAsia="Calibri" w:hAnsi="Calibri" w:cs="Calibri"/>
          <w:snapToGrid/>
        </w:rPr>
        <w:t xml:space="preserve">The place in therapy for deucravacitinib is complex. The submission proposed that the comparator for deucravacitinib is apremilast and positioned apremilast </w:t>
      </w:r>
      <w:r w:rsidRPr="007E61A0">
        <w:t>between non-biologic systemic therapies and</w:t>
      </w:r>
      <w:r w:rsidRPr="007E61A0">
        <w:rPr>
          <w:rFonts w:ascii="Calibri" w:hAnsi="Calibri"/>
          <w:snapToGrid/>
        </w:rPr>
        <w:t xml:space="preserve"> </w:t>
      </w:r>
      <w:r w:rsidRPr="007E61A0">
        <w:t>biologic disease-modifying antirheumatic drugs (bDMARDs). The submission assume</w:t>
      </w:r>
      <w:r w:rsidR="0011649A" w:rsidRPr="007E61A0">
        <w:t>d</w:t>
      </w:r>
      <w:r w:rsidRPr="007E61A0">
        <w:t xml:space="preserve"> that the market for apremilast is separate to </w:t>
      </w:r>
      <w:r w:rsidR="00226285" w:rsidRPr="007E61A0">
        <w:t>bDMARDs</w:t>
      </w:r>
      <w:r w:rsidRPr="007E61A0">
        <w:t xml:space="preserve"> however the proposed restriction would permit switching between apremilast and bDMARDs. DUSC considered that a revised financial estimates model based on a mixed epidemiological and market share approach would be appropriate to account for substitution of both non-biologic systemic agents and bDMARDs with deucravacitinib.</w:t>
      </w:r>
    </w:p>
    <w:p w14:paraId="72212894" w14:textId="0FD96920" w:rsidR="00FA6969" w:rsidRPr="002075A0" w:rsidRDefault="00FA6969" w:rsidP="00F665D5">
      <w:pPr>
        <w:pStyle w:val="ListParagraph"/>
        <w:numPr>
          <w:ilvl w:val="0"/>
          <w:numId w:val="18"/>
        </w:numPr>
        <w:ind w:left="1134" w:hanging="357"/>
        <w:rPr>
          <w:rFonts w:eastAsia="Calibri" w:cs="Calibri"/>
        </w:rPr>
      </w:pPr>
      <w:r w:rsidRPr="007E61A0">
        <w:rPr>
          <w:rFonts w:ascii="Calibri" w:eastAsia="Calibri" w:hAnsi="Calibri" w:cs="Calibri"/>
          <w:snapToGrid/>
        </w:rPr>
        <w:t>The estimate of substituted apremilast scripts is likely an overestimate, as it is substantially more (n=</w:t>
      </w:r>
      <w:r w:rsidR="002075A0" w:rsidRPr="002075A0">
        <w:rPr>
          <w:rFonts w:eastAsia="Calibri" w:cs="Calibri"/>
        </w:rPr>
        <w:t>10,000 to &lt; 20,000</w:t>
      </w:r>
      <w:r w:rsidRPr="002075A0">
        <w:rPr>
          <w:rFonts w:eastAsia="Calibri" w:cs="Calibri"/>
          <w:snapToGrid/>
        </w:rPr>
        <w:t>) than the actual number of scripts for apremilast in its first year of listing (January to December 2021, n=13,849).</w:t>
      </w:r>
    </w:p>
    <w:p w14:paraId="7D1EB118" w14:textId="0CBF41FD" w:rsidR="00FA6969" w:rsidRPr="007E61A0" w:rsidRDefault="00FA6969" w:rsidP="00F665D5">
      <w:pPr>
        <w:pStyle w:val="ListParagraph"/>
        <w:numPr>
          <w:ilvl w:val="0"/>
          <w:numId w:val="18"/>
        </w:numPr>
        <w:ind w:left="1134" w:hanging="357"/>
        <w:rPr>
          <w:rFonts w:ascii="Calibri" w:eastAsia="Calibri" w:hAnsi="Calibri" w:cs="Calibri"/>
          <w:snapToGrid/>
        </w:rPr>
      </w:pPr>
      <w:r w:rsidRPr="007E61A0">
        <w:rPr>
          <w:rFonts w:ascii="Calibri" w:eastAsia="Calibri" w:hAnsi="Calibri" w:cs="Calibri"/>
          <w:snapToGrid/>
        </w:rPr>
        <w:t>The treatment uptake is potentially overestimated as prescribing is limited to dermatologists and will also depend on the familiarity of prescribers with deucravacitinib.</w:t>
      </w:r>
    </w:p>
    <w:p w14:paraId="7BC699F5" w14:textId="6104D58D" w:rsidR="00AF02AC" w:rsidRPr="007E61A0" w:rsidRDefault="00B22D00" w:rsidP="00B22D00">
      <w:pPr>
        <w:pStyle w:val="3-BodyText"/>
      </w:pPr>
      <w:r w:rsidRPr="007E61A0">
        <w:t>The Pre-PBAC Response noted</w:t>
      </w:r>
      <w:r w:rsidR="00AF02AC" w:rsidRPr="007E61A0">
        <w:t xml:space="preserve"> the DUSC advice and stated:</w:t>
      </w:r>
    </w:p>
    <w:p w14:paraId="6B372974" w14:textId="6C226283" w:rsidR="00AF02AC" w:rsidRPr="007E61A0" w:rsidRDefault="00AF02AC" w:rsidP="00F665D5">
      <w:pPr>
        <w:pStyle w:val="3-BodyText"/>
        <w:numPr>
          <w:ilvl w:val="0"/>
          <w:numId w:val="28"/>
        </w:numPr>
        <w:ind w:left="1134"/>
      </w:pPr>
      <w:r w:rsidRPr="007E61A0">
        <w:t>W</w:t>
      </w:r>
      <w:r w:rsidR="00B22D00" w:rsidRPr="007E61A0">
        <w:t xml:space="preserve">hile there were 12,606 apremilast scripts dispensed in the first year of listing, the second year </w:t>
      </w:r>
      <w:r w:rsidR="00CC1582" w:rsidRPr="007E61A0">
        <w:t>(at time of response</w:t>
      </w:r>
      <w:r w:rsidR="00B22D00" w:rsidRPr="007E61A0">
        <w:t xml:space="preserve">) </w:t>
      </w:r>
      <w:r w:rsidR="007E61A0">
        <w:t xml:space="preserve">had reached </w:t>
      </w:r>
      <w:r w:rsidR="007E61A0" w:rsidRPr="007E61A0">
        <w:t>14,585 and</w:t>
      </w:r>
      <w:r w:rsidR="00B22D00" w:rsidRPr="007E61A0">
        <w:t xml:space="preserve"> stated that </w:t>
      </w:r>
      <w:r w:rsidR="007E61A0">
        <w:t xml:space="preserve">the </w:t>
      </w:r>
      <w:r w:rsidR="00B22D00" w:rsidRPr="007E61A0">
        <w:t xml:space="preserve">estimated full second year of listing on a pro rata basis, </w:t>
      </w:r>
      <w:r w:rsidR="007E61A0">
        <w:t>was</w:t>
      </w:r>
      <w:r w:rsidR="00B22D00" w:rsidRPr="007E61A0">
        <w:t xml:space="preserve"> 21,878 apremilast scripts, an increase of 73.5% compared to the first year. The Response therefore argued the number of apremilast scripts will continue to grow in the absence of PBS listing for deucravacitinib</w:t>
      </w:r>
      <w:r w:rsidRPr="007E61A0">
        <w:t xml:space="preserve">; </w:t>
      </w:r>
    </w:p>
    <w:p w14:paraId="7D1742F2" w14:textId="77906F3D" w:rsidR="00B22D00" w:rsidRPr="007E61A0" w:rsidRDefault="00B22D00" w:rsidP="00F665D5">
      <w:pPr>
        <w:pStyle w:val="3-BodyText"/>
        <w:numPr>
          <w:ilvl w:val="0"/>
          <w:numId w:val="28"/>
        </w:numPr>
        <w:ind w:left="1134"/>
      </w:pPr>
      <w:r w:rsidRPr="007E61A0">
        <w:t>Furthermore,</w:t>
      </w:r>
      <w:r w:rsidR="00AF02AC" w:rsidRPr="007E61A0">
        <w:t xml:space="preserve"> given the differing efficacy and safety profiles of </w:t>
      </w:r>
      <w:r w:rsidR="00A04F32">
        <w:t>apremilast</w:t>
      </w:r>
      <w:r w:rsidR="00A04F32" w:rsidRPr="007E61A0">
        <w:t xml:space="preserve"> </w:t>
      </w:r>
      <w:r w:rsidR="00AF02AC" w:rsidRPr="007E61A0">
        <w:t>and biologics, it was reasonable to expect low or no switching from biologics to apr</w:t>
      </w:r>
      <w:r w:rsidR="00F8097B" w:rsidRPr="007E61A0">
        <w:t>emilast</w:t>
      </w:r>
      <w:r w:rsidR="00AF02AC" w:rsidRPr="007E61A0">
        <w:t>; and</w:t>
      </w:r>
    </w:p>
    <w:p w14:paraId="02D47215" w14:textId="1D771CC6" w:rsidR="00AF02AC" w:rsidRPr="007E61A0" w:rsidRDefault="00AF02AC" w:rsidP="00F665D5">
      <w:pPr>
        <w:pStyle w:val="3-BodyText"/>
        <w:numPr>
          <w:ilvl w:val="0"/>
          <w:numId w:val="28"/>
        </w:numPr>
        <w:ind w:left="1134"/>
      </w:pPr>
      <w:r w:rsidRPr="007E61A0">
        <w:t xml:space="preserve">The treatment uptake is likely to change with the change to treatment criteria implemented in September 2022 </w:t>
      </w:r>
      <w:r w:rsidR="007E61A0">
        <w:t xml:space="preserve">that </w:t>
      </w:r>
      <w:r w:rsidRPr="007E61A0">
        <w:t>allow accredited dermatology registrars to prescribe apremilast (and by extension deucravacitinib).</w:t>
      </w:r>
    </w:p>
    <w:p w14:paraId="2DE90C58" w14:textId="77777777" w:rsidR="00FA6969" w:rsidRPr="007E61A0" w:rsidRDefault="00FA6969" w:rsidP="00FA6969">
      <w:pPr>
        <w:pStyle w:val="4-SubsectionHeading"/>
      </w:pPr>
      <w:bookmarkStart w:id="90" w:name="_Toc22897648"/>
      <w:bookmarkStart w:id="91" w:name="_Toc111469194"/>
      <w:bookmarkStart w:id="92" w:name="_Toc113968828"/>
      <w:r w:rsidRPr="007E61A0">
        <w:lastRenderedPageBreak/>
        <w:t>Quality Use of Medicines</w:t>
      </w:r>
      <w:bookmarkEnd w:id="90"/>
      <w:bookmarkEnd w:id="91"/>
      <w:bookmarkEnd w:id="92"/>
    </w:p>
    <w:p w14:paraId="608B4A88" w14:textId="77777777" w:rsidR="00FA6969" w:rsidRPr="007E61A0" w:rsidRDefault="00FA6969" w:rsidP="00FA6969">
      <w:pPr>
        <w:pStyle w:val="3-BodyText"/>
      </w:pPr>
      <w:r w:rsidRPr="007E61A0">
        <w:t>The submission stated its commitment to support the safe and effective use of deucravacitinib in Australia and its adherence to the Code of Conduct of Medicines Australia:</w:t>
      </w:r>
    </w:p>
    <w:p w14:paraId="5AB736F2" w14:textId="77777777" w:rsidR="00FA6969" w:rsidRPr="007E61A0" w:rsidRDefault="00FA6969" w:rsidP="00F665D5">
      <w:pPr>
        <w:pStyle w:val="ListParagraph"/>
        <w:ind w:left="1077" w:hanging="357"/>
      </w:pPr>
      <w:r w:rsidRPr="007E61A0">
        <w:t>Physician education: Field medical representatives currently provide education for dermatologists (and related specialties) on the clinical management of patients with psoriasis, the therapeutic landscape, and the mechanism of the TYK2 pathway and its role in psoriasis pathogenesis. After TGA registration and PBS approved listing, physician education will focus on deucravacitinib mechanism of action, clinical data relevant to the Australian patient management, patient eligibility for treatment, adverse event symptom identification, and adverse event management as appropriate and required.</w:t>
      </w:r>
    </w:p>
    <w:p w14:paraId="41C3BF33" w14:textId="77777777" w:rsidR="00FA6969" w:rsidRPr="007E61A0" w:rsidRDefault="00FA6969" w:rsidP="00F665D5">
      <w:pPr>
        <w:pStyle w:val="ListParagraph"/>
        <w:ind w:left="1077" w:hanging="357"/>
      </w:pPr>
      <w:r w:rsidRPr="007E61A0">
        <w:t>Risk Management Plan (RMP): The submission reported that the RMP for deucravacitinib in Australia contains a description and analysis of the safety profile of deucravacitinib including a summary of the safety concerns. Two types of safety concerns are outlined: Important Potential Risks (serious infections and malignancies, EU-RMP) and Missing Information (use in pregnancy, lactation and long-term safety, EU-RMP). The pharmacovigilance plan for deucravacitinib includes routine pharmacovigilance (adverse event reporting, aggregate reports, routine and targeted follow-up, signal detection).</w:t>
      </w:r>
    </w:p>
    <w:p w14:paraId="0D8AE6D7" w14:textId="77777777" w:rsidR="00FA6969" w:rsidRPr="007E61A0" w:rsidRDefault="00FA6969" w:rsidP="00F665D5">
      <w:pPr>
        <w:pStyle w:val="ListParagraph"/>
        <w:ind w:left="1077" w:hanging="357"/>
      </w:pPr>
      <w:r w:rsidRPr="007E61A0">
        <w:t>Educational Materials &amp; Tools: After the listing of deucravacitinib on the PBS, educational resources specific to deucravacitinib and the role of the TYK2 pathway in psoriasis, will be available for both health care professionals and patients. Materials would not be provided directly to the patient but rather through dermatologists and their speciality nurse support staff.</w:t>
      </w:r>
    </w:p>
    <w:p w14:paraId="558A5355" w14:textId="4E751141" w:rsidR="00E936A4" w:rsidRPr="007E61A0" w:rsidRDefault="00E936A4" w:rsidP="00E936A4">
      <w:pPr>
        <w:pStyle w:val="3-BodyText"/>
      </w:pPr>
      <w:r w:rsidRPr="007E61A0">
        <w:t xml:space="preserve">The DUSC noted that the mechanism of action of deucravacitinib is similar to that of </w:t>
      </w:r>
      <w:r w:rsidR="007E61A0" w:rsidRPr="007E61A0">
        <w:t>Janus</w:t>
      </w:r>
      <w:r w:rsidRPr="007E61A0">
        <w:t xml:space="preserve"> kinase (JAK) inhibitors, and these carry an FDA black box warning and are currently included in the TGA Black Triangle Scheme. </w:t>
      </w:r>
      <w:r w:rsidR="007E61A0" w:rsidRPr="007E61A0">
        <w:t>However,</w:t>
      </w:r>
      <w:r w:rsidRPr="007E61A0">
        <w:t xml:space="preserve"> deucravacitinib does not carry the same warnings, possibly partially due to its short duration of experience. DUSC noted that there is no such signal seen as yet for TYK2 inhibitors. DUSC noted the submission did not include any proposed post-marketing surveillance studies however included a risk management plan for potential risks and an educational program.</w:t>
      </w:r>
    </w:p>
    <w:p w14:paraId="62C1ED3B" w14:textId="77777777" w:rsidR="00DA10BD" w:rsidRPr="007E61A0" w:rsidRDefault="00DA10BD" w:rsidP="00DA10BD">
      <w:pPr>
        <w:pStyle w:val="4-SubsectionHeading"/>
      </w:pPr>
      <w:r w:rsidRPr="007E61A0">
        <w:t>Financial Management – Risk Sharing Arrangements</w:t>
      </w:r>
      <w:bookmarkEnd w:id="79"/>
      <w:bookmarkEnd w:id="80"/>
      <w:bookmarkEnd w:id="81"/>
    </w:p>
    <w:p w14:paraId="73279C8D" w14:textId="3E373D7A" w:rsidR="003E7216" w:rsidRPr="007E61A0" w:rsidRDefault="00DA10BD" w:rsidP="003E7216">
      <w:pPr>
        <w:pStyle w:val="3-BodyText"/>
        <w:rPr>
          <w:color w:val="000000" w:themeColor="text1"/>
        </w:rPr>
      </w:pPr>
      <w:r w:rsidRPr="007E61A0">
        <w:t xml:space="preserve">The submission did not propose any risk sharing </w:t>
      </w:r>
      <w:r w:rsidRPr="007E61A0">
        <w:rPr>
          <w:color w:val="000000" w:themeColor="text1"/>
        </w:rPr>
        <w:t>arrangement</w:t>
      </w:r>
      <w:r w:rsidR="00C83A62" w:rsidRPr="007E61A0">
        <w:rPr>
          <w:color w:val="000000" w:themeColor="text1"/>
        </w:rPr>
        <w:t xml:space="preserve"> (RSA)</w:t>
      </w:r>
      <w:r w:rsidRPr="007E61A0">
        <w:rPr>
          <w:color w:val="000000" w:themeColor="text1"/>
        </w:rPr>
        <w:t xml:space="preserve">. </w:t>
      </w:r>
      <w:r w:rsidR="00C83A62" w:rsidRPr="007E61A0">
        <w:rPr>
          <w:color w:val="000000" w:themeColor="text1"/>
        </w:rPr>
        <w:t xml:space="preserve">The PBAC previously considered a RSA would be reasonable for apremilast to manage the significant uncertainty associated with utilisation estimates (paragraph 6.8, apremilast, PSD, July 2020 PBAC meeting). </w:t>
      </w:r>
    </w:p>
    <w:p w14:paraId="24D28493" w14:textId="77777777" w:rsidR="003E7216" w:rsidRPr="007E61A0" w:rsidRDefault="003E7216" w:rsidP="003E7216">
      <w:pPr>
        <w:ind w:firstLine="709"/>
        <w:rPr>
          <w:rFonts w:asciiTheme="minorHAnsi" w:hAnsiTheme="minorHAnsi"/>
          <w:i/>
        </w:rPr>
      </w:pPr>
      <w:r w:rsidRPr="007E61A0">
        <w:rPr>
          <w:rFonts w:asciiTheme="minorHAnsi" w:hAnsiTheme="minorHAnsi"/>
          <w:i/>
        </w:rPr>
        <w:lastRenderedPageBreak/>
        <w:t>For more detail on PBAC’s view, see section 7 PBAC outcome.</w:t>
      </w:r>
    </w:p>
    <w:p w14:paraId="0ED10C41" w14:textId="77777777" w:rsidR="00FA6969" w:rsidRPr="007E61A0" w:rsidRDefault="00FA6969" w:rsidP="00197C97">
      <w:pPr>
        <w:pStyle w:val="2-SectionHeading"/>
      </w:pPr>
      <w:bookmarkStart w:id="93" w:name="_Hlk76381249"/>
      <w:bookmarkStart w:id="94" w:name="_Hlk76377955"/>
      <w:bookmarkStart w:id="95" w:name="_Toc111469197"/>
      <w:bookmarkStart w:id="96" w:name="_Toc113968831"/>
      <w:r w:rsidRPr="007E61A0">
        <w:t>PBAC Outcome</w:t>
      </w:r>
    </w:p>
    <w:p w14:paraId="04CFC05B" w14:textId="217E6911" w:rsidR="00FA6969" w:rsidRPr="007E61A0" w:rsidRDefault="006E3EA1" w:rsidP="00FA6969">
      <w:pPr>
        <w:widowControl w:val="0"/>
        <w:numPr>
          <w:ilvl w:val="1"/>
          <w:numId w:val="1"/>
        </w:numPr>
        <w:spacing w:after="120"/>
        <w:rPr>
          <w:rFonts w:asciiTheme="minorHAnsi" w:hAnsiTheme="minorHAnsi"/>
          <w:snapToGrid w:val="0"/>
        </w:rPr>
      </w:pPr>
      <w:bookmarkStart w:id="97" w:name="_Ref165462314"/>
      <w:bookmarkStart w:id="98" w:name="_Hlk111543188"/>
      <w:r w:rsidRPr="007E61A0">
        <w:rPr>
          <w:rFonts w:asciiTheme="minorHAnsi" w:hAnsiTheme="minorHAnsi"/>
          <w:snapToGrid w:val="0"/>
        </w:rPr>
        <w:t xml:space="preserve">The PBAC deferred making a recommendation for the listing of deucravacitinib for the treatment of severe chronic plaque psoriasis, to seek additional expert clinical advice on its </w:t>
      </w:r>
      <w:r w:rsidR="003C2AAD">
        <w:rPr>
          <w:rFonts w:asciiTheme="minorHAnsi" w:hAnsiTheme="minorHAnsi"/>
          <w:snapToGrid w:val="0"/>
        </w:rPr>
        <w:t xml:space="preserve">appropriate and </w:t>
      </w:r>
      <w:r w:rsidRPr="007E61A0">
        <w:rPr>
          <w:rFonts w:asciiTheme="minorHAnsi" w:hAnsiTheme="minorHAnsi"/>
          <w:snapToGrid w:val="0"/>
        </w:rPr>
        <w:t>likely place in therapy. In deferring the matter, the PBAC was uncertain as to whether the proposed clinical place of deucravacitinib, in the same line of therapy as apremilast</w:t>
      </w:r>
      <w:r w:rsidR="00C12835" w:rsidRPr="007E61A0">
        <w:rPr>
          <w:rFonts w:asciiTheme="minorHAnsi" w:hAnsiTheme="minorHAnsi"/>
          <w:snapToGrid w:val="0"/>
        </w:rPr>
        <w:t xml:space="preserve">, </w:t>
      </w:r>
      <w:r w:rsidRPr="007E61A0">
        <w:rPr>
          <w:rFonts w:asciiTheme="minorHAnsi" w:hAnsiTheme="minorHAnsi"/>
          <w:snapToGrid w:val="0"/>
        </w:rPr>
        <w:t xml:space="preserve">i.e. after </w:t>
      </w:r>
      <w:r w:rsidR="001134BA">
        <w:rPr>
          <w:rFonts w:asciiTheme="minorHAnsi" w:hAnsiTheme="minorHAnsi"/>
          <w:snapToGrid w:val="0"/>
        </w:rPr>
        <w:t>non- or in</w:t>
      </w:r>
      <w:r w:rsidR="00DC3689">
        <w:rPr>
          <w:rFonts w:asciiTheme="minorHAnsi" w:hAnsiTheme="minorHAnsi"/>
          <w:snapToGrid w:val="0"/>
        </w:rPr>
        <w:t>adequate response</w:t>
      </w:r>
      <w:r w:rsidRPr="007E61A0">
        <w:rPr>
          <w:rFonts w:asciiTheme="minorHAnsi" w:hAnsiTheme="minorHAnsi"/>
          <w:snapToGrid w:val="0"/>
        </w:rPr>
        <w:t xml:space="preserve">/intolerance/contraindication to methotrexate, but prior to </w:t>
      </w:r>
      <w:r w:rsidR="00C12835" w:rsidRPr="007E61A0">
        <w:rPr>
          <w:rFonts w:asciiTheme="minorHAnsi" w:hAnsiTheme="minorHAnsi"/>
          <w:snapToGrid w:val="0"/>
        </w:rPr>
        <w:t>treatment with biologic</w:t>
      </w:r>
      <w:r w:rsidR="007F7DF5" w:rsidRPr="007E61A0">
        <w:rPr>
          <w:rFonts w:asciiTheme="minorHAnsi" w:hAnsiTheme="minorHAnsi"/>
          <w:snapToGrid w:val="0"/>
        </w:rPr>
        <w:t>s</w:t>
      </w:r>
      <w:r w:rsidR="00C12835" w:rsidRPr="007E61A0">
        <w:rPr>
          <w:rFonts w:asciiTheme="minorHAnsi" w:hAnsiTheme="minorHAnsi"/>
          <w:snapToGrid w:val="0"/>
        </w:rPr>
        <w:t xml:space="preserve"> was reflective of it</w:t>
      </w:r>
      <w:r w:rsidR="003C2AAD">
        <w:rPr>
          <w:rFonts w:asciiTheme="minorHAnsi" w:hAnsiTheme="minorHAnsi"/>
          <w:snapToGrid w:val="0"/>
        </w:rPr>
        <w:t>s appropriate</w:t>
      </w:r>
      <w:r w:rsidR="00C12835" w:rsidRPr="007E61A0">
        <w:rPr>
          <w:rFonts w:asciiTheme="minorHAnsi" w:hAnsiTheme="minorHAnsi"/>
          <w:snapToGrid w:val="0"/>
        </w:rPr>
        <w:t xml:space="preserve"> use in practice, and whether there was potentially a substantial overlap with the </w:t>
      </w:r>
      <w:r w:rsidR="00A04F32">
        <w:rPr>
          <w:rFonts w:asciiTheme="minorHAnsi" w:hAnsiTheme="minorHAnsi"/>
          <w:snapToGrid w:val="0"/>
        </w:rPr>
        <w:t>population eligible for biologics</w:t>
      </w:r>
      <w:r w:rsidR="00C12835" w:rsidRPr="007E61A0">
        <w:rPr>
          <w:rFonts w:asciiTheme="minorHAnsi" w:hAnsiTheme="minorHAnsi"/>
          <w:snapToGrid w:val="0"/>
        </w:rPr>
        <w:t xml:space="preserve">. The PBAC </w:t>
      </w:r>
      <w:r w:rsidR="003C2AAD">
        <w:rPr>
          <w:rFonts w:asciiTheme="minorHAnsi" w:hAnsiTheme="minorHAnsi"/>
          <w:snapToGrid w:val="0"/>
        </w:rPr>
        <w:t>requested</w:t>
      </w:r>
      <w:r w:rsidR="003C2AAD" w:rsidRPr="007E61A0">
        <w:rPr>
          <w:rFonts w:asciiTheme="minorHAnsi" w:hAnsiTheme="minorHAnsi"/>
          <w:snapToGrid w:val="0"/>
        </w:rPr>
        <w:t xml:space="preserve"> </w:t>
      </w:r>
      <w:r w:rsidR="00C12835" w:rsidRPr="007E61A0">
        <w:rPr>
          <w:rFonts w:asciiTheme="minorHAnsi" w:hAnsiTheme="minorHAnsi"/>
          <w:snapToGrid w:val="0"/>
        </w:rPr>
        <w:t>further</w:t>
      </w:r>
      <w:r w:rsidR="00721656" w:rsidRPr="007E61A0">
        <w:rPr>
          <w:rFonts w:asciiTheme="minorHAnsi" w:hAnsiTheme="minorHAnsi"/>
          <w:snapToGrid w:val="0"/>
        </w:rPr>
        <w:t xml:space="preserve"> dermatology expert clinical</w:t>
      </w:r>
      <w:r w:rsidR="00C12835" w:rsidRPr="007E61A0">
        <w:rPr>
          <w:rFonts w:asciiTheme="minorHAnsi" w:hAnsiTheme="minorHAnsi"/>
          <w:snapToGrid w:val="0"/>
        </w:rPr>
        <w:t xml:space="preserve"> advice to resolve this uncertainty, as the cost-effectiveness proposition of deucravacitinib was dependent on the likely place in therapy and most appropriate comparator selection.</w:t>
      </w:r>
      <w:bookmarkEnd w:id="97"/>
      <w:r w:rsidR="00C12835" w:rsidRPr="007E61A0">
        <w:rPr>
          <w:rFonts w:asciiTheme="minorHAnsi" w:hAnsiTheme="minorHAnsi"/>
          <w:snapToGrid w:val="0"/>
        </w:rPr>
        <w:t xml:space="preserve">  </w:t>
      </w:r>
    </w:p>
    <w:bookmarkEnd w:id="98"/>
    <w:p w14:paraId="31131304" w14:textId="4FCF0BB1" w:rsidR="00FA6969" w:rsidRPr="007E61A0" w:rsidRDefault="00C12835" w:rsidP="00FA6969">
      <w:pPr>
        <w:widowControl w:val="0"/>
        <w:numPr>
          <w:ilvl w:val="1"/>
          <w:numId w:val="1"/>
        </w:numPr>
        <w:spacing w:after="120"/>
        <w:rPr>
          <w:rFonts w:asciiTheme="minorHAnsi" w:hAnsiTheme="minorHAnsi"/>
          <w:snapToGrid w:val="0"/>
        </w:rPr>
      </w:pPr>
      <w:r w:rsidRPr="007E61A0">
        <w:rPr>
          <w:rFonts w:asciiTheme="minorHAnsi" w:hAnsiTheme="minorHAnsi"/>
          <w:snapToGrid w:val="0"/>
        </w:rPr>
        <w:t xml:space="preserve">The PBAC noted the submission nominated apremilast as the primary comparator and considered that if the proposed place in therapy were accepted, apremilast was </w:t>
      </w:r>
      <w:r w:rsidR="00210C83" w:rsidRPr="007E61A0">
        <w:rPr>
          <w:rFonts w:asciiTheme="minorHAnsi" w:hAnsiTheme="minorHAnsi"/>
          <w:snapToGrid w:val="0"/>
        </w:rPr>
        <w:t>an</w:t>
      </w:r>
      <w:r w:rsidRPr="007E61A0">
        <w:rPr>
          <w:rFonts w:asciiTheme="minorHAnsi" w:hAnsiTheme="minorHAnsi"/>
          <w:snapToGrid w:val="0"/>
        </w:rPr>
        <w:t xml:space="preserve"> appropriate comparator. However, the Committee considered that if deucravacitinib </w:t>
      </w:r>
      <w:r w:rsidR="003C2AAD">
        <w:rPr>
          <w:rFonts w:asciiTheme="minorHAnsi" w:hAnsiTheme="minorHAnsi"/>
          <w:snapToGrid w:val="0"/>
        </w:rPr>
        <w:t>was</w:t>
      </w:r>
      <w:r w:rsidR="003C2AAD" w:rsidRPr="007E61A0">
        <w:rPr>
          <w:rFonts w:asciiTheme="minorHAnsi" w:hAnsiTheme="minorHAnsi"/>
          <w:snapToGrid w:val="0"/>
        </w:rPr>
        <w:t xml:space="preserve"> </w:t>
      </w:r>
      <w:r w:rsidRPr="007E61A0">
        <w:rPr>
          <w:rFonts w:asciiTheme="minorHAnsi" w:hAnsiTheme="minorHAnsi"/>
          <w:snapToGrid w:val="0"/>
        </w:rPr>
        <w:t xml:space="preserve">more likely to be used in patients who are potentially eligible for </w:t>
      </w:r>
      <w:r w:rsidR="007F7DF5" w:rsidRPr="007E61A0">
        <w:rPr>
          <w:rFonts w:asciiTheme="minorHAnsi" w:hAnsiTheme="minorHAnsi"/>
          <w:snapToGrid w:val="0"/>
        </w:rPr>
        <w:t>biologics</w:t>
      </w:r>
      <w:r w:rsidRPr="007E61A0">
        <w:rPr>
          <w:rFonts w:asciiTheme="minorHAnsi" w:hAnsiTheme="minorHAnsi"/>
          <w:snapToGrid w:val="0"/>
        </w:rPr>
        <w:t>, these therapies may represent a more appropriate primary comparator.</w:t>
      </w:r>
    </w:p>
    <w:p w14:paraId="2B8E6EAF" w14:textId="3B21E847" w:rsidR="00AE6B09" w:rsidRPr="007E61A0" w:rsidRDefault="00AE6B09" w:rsidP="00AE6B09">
      <w:pPr>
        <w:widowControl w:val="0"/>
        <w:numPr>
          <w:ilvl w:val="1"/>
          <w:numId w:val="1"/>
        </w:numPr>
        <w:spacing w:after="120"/>
        <w:rPr>
          <w:rFonts w:asciiTheme="minorHAnsi" w:hAnsiTheme="minorHAnsi"/>
          <w:snapToGrid w:val="0"/>
        </w:rPr>
      </w:pPr>
      <w:r w:rsidRPr="007E61A0">
        <w:rPr>
          <w:rFonts w:asciiTheme="minorHAnsi" w:hAnsiTheme="minorHAnsi"/>
          <w:snapToGrid w:val="0"/>
        </w:rPr>
        <w:t>The PBAC considered the requested listing, which was the same as the apremilast listing, was reasonable if the clinical place proposed in the submission were accepted. However, the PBAC considered it would be reasonable to add a clause to the listings of both deucravacitinib and apremilast excluding concomitant therapy, if listed on that basis.</w:t>
      </w:r>
      <w:r w:rsidR="00721656" w:rsidRPr="007E61A0">
        <w:rPr>
          <w:rFonts w:asciiTheme="minorHAnsi" w:hAnsiTheme="minorHAnsi"/>
          <w:snapToGrid w:val="0"/>
        </w:rPr>
        <w:t xml:space="preserve"> The PBAC also noted the possibility of flow </w:t>
      </w:r>
      <w:proofErr w:type="spellStart"/>
      <w:r w:rsidR="00721656" w:rsidRPr="007E61A0">
        <w:rPr>
          <w:rFonts w:asciiTheme="minorHAnsi" w:hAnsiTheme="minorHAnsi"/>
          <w:snapToGrid w:val="0"/>
        </w:rPr>
        <w:t>ons</w:t>
      </w:r>
      <w:proofErr w:type="spellEnd"/>
      <w:r w:rsidR="00721656" w:rsidRPr="007E61A0">
        <w:rPr>
          <w:rFonts w:asciiTheme="minorHAnsi" w:hAnsiTheme="minorHAnsi"/>
          <w:snapToGrid w:val="0"/>
        </w:rPr>
        <w:t xml:space="preserve"> to other medicines for CPP pending the place of therapy. </w:t>
      </w:r>
    </w:p>
    <w:p w14:paraId="3D030D3E" w14:textId="64621863" w:rsidR="00C12835" w:rsidRPr="007E61A0" w:rsidRDefault="000A3CCD" w:rsidP="00FA6969">
      <w:pPr>
        <w:widowControl w:val="0"/>
        <w:numPr>
          <w:ilvl w:val="1"/>
          <w:numId w:val="1"/>
        </w:numPr>
        <w:spacing w:after="120"/>
        <w:rPr>
          <w:rFonts w:asciiTheme="minorHAnsi" w:hAnsiTheme="minorHAnsi"/>
          <w:snapToGrid w:val="0"/>
        </w:rPr>
      </w:pPr>
      <w:r w:rsidRPr="007E61A0">
        <w:rPr>
          <w:rFonts w:asciiTheme="minorHAnsi" w:hAnsiTheme="minorHAnsi"/>
          <w:snapToGrid w:val="0"/>
        </w:rPr>
        <w:t xml:space="preserve">The PBAC noted the submission was supported by a meta-analysed data set from two, high quality, 3-arm randomised clinical trials comparing deucravacitinib, apremilast and placebo (POETYK 1 and 2), however noted the primary comparisons were for each of the active therapies versus placebo, and the comparison of deucravacitinib and apremilast were based on secondary </w:t>
      </w:r>
      <w:r w:rsidR="00342812">
        <w:rPr>
          <w:rFonts w:asciiTheme="minorHAnsi" w:hAnsiTheme="minorHAnsi"/>
          <w:snapToGrid w:val="0"/>
        </w:rPr>
        <w:t>comparisons.</w:t>
      </w:r>
      <w:r w:rsidRPr="007E61A0">
        <w:rPr>
          <w:rFonts w:asciiTheme="minorHAnsi" w:hAnsiTheme="minorHAnsi"/>
          <w:snapToGrid w:val="0"/>
        </w:rPr>
        <w:t xml:space="preserve"> </w:t>
      </w:r>
      <w:r w:rsidR="00210C83" w:rsidRPr="007E61A0">
        <w:rPr>
          <w:rFonts w:asciiTheme="minorHAnsi" w:hAnsiTheme="minorHAnsi"/>
          <w:snapToGrid w:val="0"/>
        </w:rPr>
        <w:t>Furthermore</w:t>
      </w:r>
      <w:r w:rsidRPr="007E61A0">
        <w:rPr>
          <w:rFonts w:asciiTheme="minorHAnsi" w:hAnsiTheme="minorHAnsi"/>
          <w:snapToGrid w:val="0"/>
        </w:rPr>
        <w:t xml:space="preserve">, the PBAC noted a reasonable proportion of the populations recruited into the studies had received prior </w:t>
      </w:r>
      <w:r w:rsidR="007F7DF5" w:rsidRPr="007E61A0">
        <w:rPr>
          <w:rFonts w:asciiTheme="minorHAnsi" w:hAnsiTheme="minorHAnsi"/>
          <w:snapToGrid w:val="0"/>
        </w:rPr>
        <w:t>biologics</w:t>
      </w:r>
      <w:r w:rsidRPr="007E61A0">
        <w:rPr>
          <w:rFonts w:asciiTheme="minorHAnsi" w:hAnsiTheme="minorHAnsi"/>
          <w:snapToGrid w:val="0"/>
        </w:rPr>
        <w:t xml:space="preserve"> (39% and 32% for POETYK 1 and 2, respectively). </w:t>
      </w:r>
      <w:r w:rsidR="001771D6" w:rsidRPr="007E61A0">
        <w:rPr>
          <w:rFonts w:asciiTheme="minorHAnsi" w:hAnsiTheme="minorHAnsi"/>
          <w:snapToGrid w:val="0"/>
        </w:rPr>
        <w:t xml:space="preserve">The </w:t>
      </w:r>
      <w:r w:rsidRPr="007E61A0">
        <w:rPr>
          <w:rFonts w:asciiTheme="minorHAnsi" w:hAnsiTheme="minorHAnsi"/>
          <w:snapToGrid w:val="0"/>
        </w:rPr>
        <w:t xml:space="preserve">Committee considered </w:t>
      </w:r>
      <w:r w:rsidR="00AD4190">
        <w:rPr>
          <w:rFonts w:asciiTheme="minorHAnsi" w:hAnsiTheme="minorHAnsi"/>
          <w:snapToGrid w:val="0"/>
        </w:rPr>
        <w:t>the extent of prior</w:t>
      </w:r>
      <w:r w:rsidRPr="007E61A0">
        <w:rPr>
          <w:rFonts w:asciiTheme="minorHAnsi" w:hAnsiTheme="minorHAnsi"/>
          <w:snapToGrid w:val="0"/>
        </w:rPr>
        <w:t xml:space="preserve"> </w:t>
      </w:r>
      <w:r w:rsidR="007F7DF5" w:rsidRPr="007E61A0">
        <w:rPr>
          <w:rFonts w:asciiTheme="minorHAnsi" w:hAnsiTheme="minorHAnsi"/>
          <w:snapToGrid w:val="0"/>
        </w:rPr>
        <w:t>biologic</w:t>
      </w:r>
      <w:r w:rsidRPr="007E61A0">
        <w:rPr>
          <w:rFonts w:asciiTheme="minorHAnsi" w:hAnsiTheme="minorHAnsi"/>
          <w:snapToGrid w:val="0"/>
        </w:rPr>
        <w:t xml:space="preserve"> use was</w:t>
      </w:r>
      <w:r w:rsidR="001771D6" w:rsidRPr="007E61A0">
        <w:rPr>
          <w:rFonts w:asciiTheme="minorHAnsi" w:hAnsiTheme="minorHAnsi"/>
          <w:snapToGrid w:val="0"/>
        </w:rPr>
        <w:t xml:space="preserve"> likely</w:t>
      </w:r>
      <w:r w:rsidRPr="007E61A0">
        <w:rPr>
          <w:rFonts w:asciiTheme="minorHAnsi" w:hAnsiTheme="minorHAnsi"/>
          <w:snapToGrid w:val="0"/>
        </w:rPr>
        <w:t xml:space="preserve"> not reflective of the</w:t>
      </w:r>
      <w:r w:rsidR="00210C83" w:rsidRPr="007E61A0">
        <w:rPr>
          <w:rFonts w:asciiTheme="minorHAnsi" w:hAnsiTheme="minorHAnsi"/>
          <w:snapToGrid w:val="0"/>
        </w:rPr>
        <w:t xml:space="preserve"> submission</w:t>
      </w:r>
      <w:r w:rsidR="003C2AAD">
        <w:rPr>
          <w:rFonts w:asciiTheme="minorHAnsi" w:hAnsiTheme="minorHAnsi"/>
          <w:snapToGrid w:val="0"/>
        </w:rPr>
        <w:t>’s</w:t>
      </w:r>
      <w:r w:rsidRPr="007E61A0">
        <w:rPr>
          <w:rFonts w:asciiTheme="minorHAnsi" w:hAnsiTheme="minorHAnsi"/>
          <w:snapToGrid w:val="0"/>
        </w:rPr>
        <w:t xml:space="preserve"> proposed place in Australian practice</w:t>
      </w:r>
      <w:r w:rsidR="00AD4190">
        <w:rPr>
          <w:rFonts w:asciiTheme="minorHAnsi" w:hAnsiTheme="minorHAnsi"/>
          <w:snapToGrid w:val="0"/>
        </w:rPr>
        <w:t xml:space="preserve">. The PBAC considered this </w:t>
      </w:r>
      <w:r w:rsidRPr="007E61A0">
        <w:rPr>
          <w:rFonts w:asciiTheme="minorHAnsi" w:hAnsiTheme="minorHAnsi"/>
          <w:snapToGrid w:val="0"/>
        </w:rPr>
        <w:t>raised questions about the applicability of the evidence and whether</w:t>
      </w:r>
      <w:r w:rsidR="001771D6" w:rsidRPr="007E61A0">
        <w:rPr>
          <w:rFonts w:asciiTheme="minorHAnsi" w:hAnsiTheme="minorHAnsi"/>
          <w:snapToGrid w:val="0"/>
        </w:rPr>
        <w:t xml:space="preserve"> there was a substantial overlap of the </w:t>
      </w:r>
      <w:r w:rsidR="007F7DF5" w:rsidRPr="007E61A0">
        <w:rPr>
          <w:rFonts w:asciiTheme="minorHAnsi" w:hAnsiTheme="minorHAnsi"/>
          <w:snapToGrid w:val="0"/>
        </w:rPr>
        <w:t>biologic</w:t>
      </w:r>
      <w:r w:rsidR="001771D6" w:rsidRPr="007E61A0">
        <w:rPr>
          <w:rFonts w:asciiTheme="minorHAnsi" w:hAnsiTheme="minorHAnsi"/>
          <w:snapToGrid w:val="0"/>
        </w:rPr>
        <w:t xml:space="preserve"> population and likely deucravacitinib population, which in turn makes the appropriate comparator unclear. </w:t>
      </w:r>
    </w:p>
    <w:p w14:paraId="33BDF295" w14:textId="4D31D1F6" w:rsidR="00FA6969" w:rsidRPr="007E61A0" w:rsidRDefault="00210C83" w:rsidP="00FA6969">
      <w:pPr>
        <w:widowControl w:val="0"/>
        <w:numPr>
          <w:ilvl w:val="1"/>
          <w:numId w:val="1"/>
        </w:numPr>
        <w:spacing w:after="120"/>
        <w:rPr>
          <w:rFonts w:asciiTheme="minorHAnsi" w:hAnsiTheme="minorHAnsi"/>
          <w:snapToGrid w:val="0"/>
        </w:rPr>
      </w:pPr>
      <w:r w:rsidRPr="007E61A0">
        <w:rPr>
          <w:rFonts w:asciiTheme="minorHAnsi" w:hAnsiTheme="minorHAnsi"/>
          <w:snapToGrid w:val="0"/>
        </w:rPr>
        <w:t xml:space="preserve">The PBAC noted the results of the meta-analysed, whole trial comparison of deucravacitinib and apremilast found statistically significant results in favour of deucravacitinib for the outcomes of sPGA 0/1, PASI 75 and DLQI at weeks 16 or 24, </w:t>
      </w:r>
      <w:r w:rsidRPr="007E61A0">
        <w:rPr>
          <w:rFonts w:asciiTheme="minorHAnsi" w:hAnsiTheme="minorHAnsi"/>
          <w:snapToGrid w:val="0"/>
        </w:rPr>
        <w:lastRenderedPageBreak/>
        <w:t xml:space="preserve">and also noted the results of the subgroup analyses by baseline PASI score (&gt;15 versus ≤15) and prior non-biologic therapy were broadly consistent with the whole trial analyses. The PBAC considered the comparative effectiveness in the proposed PBS population </w:t>
      </w:r>
      <w:r w:rsidR="009F197B" w:rsidRPr="007E61A0">
        <w:rPr>
          <w:rFonts w:asciiTheme="minorHAnsi" w:hAnsiTheme="minorHAnsi"/>
          <w:snapToGrid w:val="0"/>
        </w:rPr>
        <w:t xml:space="preserve">(i.e., predominantly biologic naïve) </w:t>
      </w:r>
      <w:r w:rsidRPr="007E61A0">
        <w:rPr>
          <w:rFonts w:asciiTheme="minorHAnsi" w:hAnsiTheme="minorHAnsi"/>
          <w:snapToGrid w:val="0"/>
        </w:rPr>
        <w:t xml:space="preserve">was uncertain given the level of </w:t>
      </w:r>
      <w:r w:rsidR="009A3D60" w:rsidRPr="007E61A0">
        <w:rPr>
          <w:rFonts w:asciiTheme="minorHAnsi" w:hAnsiTheme="minorHAnsi"/>
          <w:snapToGrid w:val="0"/>
        </w:rPr>
        <w:t>prior</w:t>
      </w:r>
      <w:r w:rsidR="007F7DF5" w:rsidRPr="007E61A0">
        <w:rPr>
          <w:rFonts w:asciiTheme="minorHAnsi" w:hAnsiTheme="minorHAnsi"/>
          <w:snapToGrid w:val="0"/>
        </w:rPr>
        <w:t xml:space="preserve"> biologic </w:t>
      </w:r>
      <w:r w:rsidRPr="007E61A0">
        <w:rPr>
          <w:rFonts w:asciiTheme="minorHAnsi" w:hAnsiTheme="minorHAnsi"/>
          <w:snapToGrid w:val="0"/>
        </w:rPr>
        <w:t xml:space="preserve">use in the POETYK trials, however noted there were relevant subgroup results presented in Warren 2021 (paragraphs 6.36 and 6.38 refer) and the PSCR, which whilst not evaluated, were informative. Considering the totality of the available evidence, the PBAC was satisfied that deucravacitinib is likely to be of superior comparative effectiveness to apremilast, including in the submission proposed PBS population (of predominantly </w:t>
      </w:r>
      <w:r w:rsidR="007F7DF5" w:rsidRPr="007E61A0">
        <w:rPr>
          <w:rFonts w:asciiTheme="minorHAnsi" w:hAnsiTheme="minorHAnsi"/>
          <w:snapToGrid w:val="0"/>
        </w:rPr>
        <w:t>biologic</w:t>
      </w:r>
      <w:r w:rsidRPr="007E61A0">
        <w:rPr>
          <w:rFonts w:asciiTheme="minorHAnsi" w:hAnsiTheme="minorHAnsi"/>
          <w:snapToGrid w:val="0"/>
        </w:rPr>
        <w:t xml:space="preserve"> </w:t>
      </w:r>
      <w:r w:rsidR="009A3D60" w:rsidRPr="007E61A0">
        <w:rPr>
          <w:rFonts w:asciiTheme="minorHAnsi" w:hAnsiTheme="minorHAnsi"/>
          <w:snapToGrid w:val="0"/>
        </w:rPr>
        <w:t xml:space="preserve">naïve </w:t>
      </w:r>
      <w:r w:rsidRPr="007E61A0">
        <w:rPr>
          <w:rFonts w:asciiTheme="minorHAnsi" w:hAnsiTheme="minorHAnsi"/>
          <w:snapToGrid w:val="0"/>
        </w:rPr>
        <w:t>patients)</w:t>
      </w:r>
      <w:r w:rsidR="003152D0" w:rsidRPr="007E61A0">
        <w:rPr>
          <w:rFonts w:asciiTheme="minorHAnsi" w:hAnsiTheme="minorHAnsi"/>
          <w:snapToGrid w:val="0"/>
        </w:rPr>
        <w:t>, however there remained residual uncertainty as to the incremental benefit in the PBS population</w:t>
      </w:r>
      <w:r w:rsidRPr="007E61A0">
        <w:rPr>
          <w:rFonts w:asciiTheme="minorHAnsi" w:hAnsiTheme="minorHAnsi"/>
          <w:snapToGrid w:val="0"/>
        </w:rPr>
        <w:t>.</w:t>
      </w:r>
    </w:p>
    <w:p w14:paraId="190FFAC0" w14:textId="113F3A70" w:rsidR="00FA6969" w:rsidRPr="007E61A0" w:rsidRDefault="00210C83" w:rsidP="00FA6969">
      <w:pPr>
        <w:widowControl w:val="0"/>
        <w:numPr>
          <w:ilvl w:val="1"/>
          <w:numId w:val="1"/>
        </w:numPr>
        <w:spacing w:after="120"/>
        <w:rPr>
          <w:rFonts w:asciiTheme="minorHAnsi" w:hAnsiTheme="minorHAnsi"/>
          <w:snapToGrid w:val="0"/>
        </w:rPr>
      </w:pPr>
      <w:r w:rsidRPr="007E61A0">
        <w:rPr>
          <w:rFonts w:asciiTheme="minorHAnsi" w:hAnsiTheme="minorHAnsi"/>
          <w:snapToGrid w:val="0"/>
        </w:rPr>
        <w:t>The PBAC</w:t>
      </w:r>
      <w:r w:rsidR="00EA21D4" w:rsidRPr="007E61A0">
        <w:rPr>
          <w:rFonts w:asciiTheme="minorHAnsi" w:hAnsiTheme="minorHAnsi"/>
          <w:snapToGrid w:val="0"/>
        </w:rPr>
        <w:t xml:space="preserve"> noted the submission described deucravacitinib as being of non-inferior comparative safety to apremilast, and considered that based on the available data, this claim was reasonable. However, the PBAC noted there was limited long-term safety data for deucravacitinib, as the first in the TYK2 class of therapies. Furthermore, the Committee noted as the TYK2 pathway was a member of the </w:t>
      </w:r>
      <w:r w:rsidR="00206DE8" w:rsidRPr="007E61A0">
        <w:rPr>
          <w:rFonts w:asciiTheme="minorHAnsi" w:hAnsiTheme="minorHAnsi"/>
          <w:snapToGrid w:val="0"/>
        </w:rPr>
        <w:t>Janus</w:t>
      </w:r>
      <w:r w:rsidR="00EA21D4" w:rsidRPr="007E61A0">
        <w:rPr>
          <w:rFonts w:asciiTheme="minorHAnsi" w:hAnsiTheme="minorHAnsi"/>
          <w:snapToGrid w:val="0"/>
        </w:rPr>
        <w:t xml:space="preserve"> kinase (JAK) inhibitor family of drugs (albeit different to other existing JAK inhibitors which exert their effects on JAK 1-3 subunits),</w:t>
      </w:r>
      <w:r w:rsidR="0000533B" w:rsidRPr="007E61A0">
        <w:rPr>
          <w:rFonts w:asciiTheme="minorHAnsi" w:hAnsiTheme="minorHAnsi"/>
          <w:snapToGrid w:val="0"/>
        </w:rPr>
        <w:t xml:space="preserve"> and</w:t>
      </w:r>
      <w:r w:rsidR="00EA21D4" w:rsidRPr="007E61A0">
        <w:rPr>
          <w:rFonts w:asciiTheme="minorHAnsi" w:hAnsiTheme="minorHAnsi"/>
          <w:snapToGrid w:val="0"/>
        </w:rPr>
        <w:t xml:space="preserve"> it remained uncertain as to whether emerging safety issues with the JAK inhibitor class would also emerge in deucravacitinib in the future. </w:t>
      </w:r>
    </w:p>
    <w:p w14:paraId="1FEC253C" w14:textId="5EC93695" w:rsidR="00FA6969" w:rsidRPr="00402B2D" w:rsidRDefault="003152D0" w:rsidP="00402B2D">
      <w:pPr>
        <w:widowControl w:val="0"/>
        <w:numPr>
          <w:ilvl w:val="1"/>
          <w:numId w:val="1"/>
        </w:numPr>
        <w:spacing w:after="120"/>
        <w:rPr>
          <w:rFonts w:asciiTheme="minorHAnsi" w:hAnsiTheme="minorHAnsi"/>
          <w:snapToGrid w:val="0"/>
        </w:rPr>
      </w:pPr>
      <w:bookmarkStart w:id="99" w:name="_Ref165464030"/>
      <w:r w:rsidRPr="007E61A0">
        <w:rPr>
          <w:rFonts w:asciiTheme="minorHAnsi" w:hAnsiTheme="minorHAnsi"/>
          <w:snapToGrid w:val="0"/>
        </w:rPr>
        <w:t xml:space="preserve">The PBAC noted and agreed with the ESC that </w:t>
      </w:r>
      <w:r w:rsidR="009B5F8B" w:rsidRPr="007E61A0">
        <w:rPr>
          <w:rFonts w:asciiTheme="minorHAnsi" w:hAnsiTheme="minorHAnsi"/>
          <w:snapToGrid w:val="0"/>
        </w:rPr>
        <w:t xml:space="preserve">the structure of the economic model was reasonable for assessing the cost effectiveness of deucravacitinib and apremilast, however also agreed with the ESC that its revised base case, which applied a waning treatment effect to both deucravacitinib and apremilast, and using trial-based utilities, was a more reasonable base case (paragraph </w:t>
      </w:r>
      <w:r w:rsidR="009B5F8B" w:rsidRPr="007E61A0">
        <w:rPr>
          <w:rFonts w:asciiTheme="minorHAnsi" w:hAnsiTheme="minorHAnsi"/>
          <w:snapToGrid w:val="0"/>
        </w:rPr>
        <w:fldChar w:fldCharType="begin" w:fldLock="1"/>
      </w:r>
      <w:r w:rsidR="009B5F8B" w:rsidRPr="007E61A0">
        <w:rPr>
          <w:rFonts w:asciiTheme="minorHAnsi" w:hAnsiTheme="minorHAnsi"/>
          <w:snapToGrid w:val="0"/>
        </w:rPr>
        <w:instrText xml:space="preserve"> REF _Ref116633559 \r \h </w:instrText>
      </w:r>
      <w:r w:rsidR="009B5F8B" w:rsidRPr="007E61A0">
        <w:rPr>
          <w:rFonts w:asciiTheme="minorHAnsi" w:hAnsiTheme="minorHAnsi"/>
          <w:snapToGrid w:val="0"/>
        </w:rPr>
      </w:r>
      <w:r w:rsidR="009B5F8B" w:rsidRPr="007E61A0">
        <w:rPr>
          <w:rFonts w:asciiTheme="minorHAnsi" w:hAnsiTheme="minorHAnsi"/>
          <w:snapToGrid w:val="0"/>
        </w:rPr>
        <w:fldChar w:fldCharType="separate"/>
      </w:r>
      <w:r w:rsidR="00EC7993">
        <w:rPr>
          <w:rFonts w:asciiTheme="minorHAnsi" w:hAnsiTheme="minorHAnsi"/>
          <w:snapToGrid w:val="0"/>
        </w:rPr>
        <w:t>6.68</w:t>
      </w:r>
      <w:r w:rsidR="009B5F8B" w:rsidRPr="007E61A0">
        <w:rPr>
          <w:rFonts w:asciiTheme="minorHAnsi" w:hAnsiTheme="minorHAnsi"/>
          <w:snapToGrid w:val="0"/>
        </w:rPr>
        <w:fldChar w:fldCharType="end"/>
      </w:r>
      <w:r w:rsidR="009B5F8B" w:rsidRPr="007E61A0">
        <w:rPr>
          <w:rFonts w:asciiTheme="minorHAnsi" w:hAnsiTheme="minorHAnsi"/>
          <w:snapToGrid w:val="0"/>
        </w:rPr>
        <w:t xml:space="preserve"> refers). The PBAC noted the arguments in the PSCR and Pre-PBAC Response regarding the appropriateness of using the Zug (1995) utilities for consistency with prior PBAC considerations (paragraphs </w:t>
      </w:r>
      <w:r w:rsidR="0000533B" w:rsidRPr="007E61A0">
        <w:rPr>
          <w:rFonts w:asciiTheme="minorHAnsi" w:hAnsiTheme="minorHAnsi"/>
          <w:snapToGrid w:val="0"/>
        </w:rPr>
        <w:fldChar w:fldCharType="begin" w:fldLock="1"/>
      </w:r>
      <w:r w:rsidR="0000533B" w:rsidRPr="007E61A0">
        <w:rPr>
          <w:rFonts w:asciiTheme="minorHAnsi" w:hAnsiTheme="minorHAnsi"/>
          <w:snapToGrid w:val="0"/>
        </w:rPr>
        <w:instrText xml:space="preserve"> REF _Ref119331724 \r \h </w:instrText>
      </w:r>
      <w:r w:rsidR="0000533B" w:rsidRPr="007E61A0">
        <w:rPr>
          <w:rFonts w:asciiTheme="minorHAnsi" w:hAnsiTheme="minorHAnsi"/>
          <w:snapToGrid w:val="0"/>
        </w:rPr>
      </w:r>
      <w:r w:rsidR="0000533B" w:rsidRPr="007E61A0">
        <w:rPr>
          <w:rFonts w:asciiTheme="minorHAnsi" w:hAnsiTheme="minorHAnsi"/>
          <w:snapToGrid w:val="0"/>
        </w:rPr>
        <w:fldChar w:fldCharType="separate"/>
      </w:r>
      <w:r w:rsidR="00EC7993">
        <w:rPr>
          <w:rFonts w:asciiTheme="minorHAnsi" w:hAnsiTheme="minorHAnsi"/>
          <w:snapToGrid w:val="0"/>
        </w:rPr>
        <w:t>6.64</w:t>
      </w:r>
      <w:r w:rsidR="0000533B" w:rsidRPr="007E61A0">
        <w:rPr>
          <w:rFonts w:asciiTheme="minorHAnsi" w:hAnsiTheme="minorHAnsi"/>
          <w:snapToGrid w:val="0"/>
        </w:rPr>
        <w:fldChar w:fldCharType="end"/>
      </w:r>
      <w:r w:rsidR="009B5F8B" w:rsidRPr="007E61A0">
        <w:rPr>
          <w:rFonts w:asciiTheme="minorHAnsi" w:hAnsiTheme="minorHAnsi"/>
          <w:snapToGrid w:val="0"/>
        </w:rPr>
        <w:t xml:space="preserve"> and </w:t>
      </w:r>
      <w:r w:rsidR="0000533B" w:rsidRPr="007E61A0">
        <w:rPr>
          <w:rFonts w:asciiTheme="minorHAnsi" w:hAnsiTheme="minorHAnsi"/>
          <w:snapToGrid w:val="0"/>
        </w:rPr>
        <w:fldChar w:fldCharType="begin" w:fldLock="1"/>
      </w:r>
      <w:r w:rsidR="0000533B" w:rsidRPr="007E61A0">
        <w:rPr>
          <w:rFonts w:asciiTheme="minorHAnsi" w:hAnsiTheme="minorHAnsi"/>
          <w:snapToGrid w:val="0"/>
        </w:rPr>
        <w:instrText xml:space="preserve"> REF _Ref119412131 \r \h </w:instrText>
      </w:r>
      <w:r w:rsidR="0000533B" w:rsidRPr="007E61A0">
        <w:rPr>
          <w:rFonts w:asciiTheme="minorHAnsi" w:hAnsiTheme="minorHAnsi"/>
          <w:snapToGrid w:val="0"/>
        </w:rPr>
      </w:r>
      <w:r w:rsidR="0000533B" w:rsidRPr="007E61A0">
        <w:rPr>
          <w:rFonts w:asciiTheme="minorHAnsi" w:hAnsiTheme="minorHAnsi"/>
          <w:snapToGrid w:val="0"/>
        </w:rPr>
        <w:fldChar w:fldCharType="separate"/>
      </w:r>
      <w:r w:rsidR="00EC7993">
        <w:rPr>
          <w:rFonts w:asciiTheme="minorHAnsi" w:hAnsiTheme="minorHAnsi"/>
          <w:snapToGrid w:val="0"/>
        </w:rPr>
        <w:t>6.66</w:t>
      </w:r>
      <w:r w:rsidR="0000533B" w:rsidRPr="007E61A0">
        <w:rPr>
          <w:rFonts w:asciiTheme="minorHAnsi" w:hAnsiTheme="minorHAnsi"/>
          <w:snapToGrid w:val="0"/>
        </w:rPr>
        <w:fldChar w:fldCharType="end"/>
      </w:r>
      <w:r w:rsidR="009B5F8B" w:rsidRPr="007E61A0">
        <w:rPr>
          <w:rFonts w:asciiTheme="minorHAnsi" w:hAnsiTheme="minorHAnsi"/>
          <w:snapToGrid w:val="0"/>
        </w:rPr>
        <w:t xml:space="preserve"> refer)</w:t>
      </w:r>
      <w:r w:rsidR="00AD4190">
        <w:rPr>
          <w:rFonts w:asciiTheme="minorHAnsi" w:hAnsiTheme="minorHAnsi"/>
          <w:snapToGrid w:val="0"/>
        </w:rPr>
        <w:t>. H</w:t>
      </w:r>
      <w:r w:rsidR="009B5F8B" w:rsidRPr="007E61A0">
        <w:rPr>
          <w:rFonts w:asciiTheme="minorHAnsi" w:hAnsiTheme="minorHAnsi"/>
          <w:snapToGrid w:val="0"/>
        </w:rPr>
        <w:t>owever</w:t>
      </w:r>
      <w:r w:rsidR="00AD4190">
        <w:rPr>
          <w:rFonts w:asciiTheme="minorHAnsi" w:hAnsiTheme="minorHAnsi"/>
          <w:snapToGrid w:val="0"/>
        </w:rPr>
        <w:t xml:space="preserve">, the PBAC </w:t>
      </w:r>
      <w:r w:rsidR="009B5F8B" w:rsidRPr="007E61A0">
        <w:rPr>
          <w:rFonts w:asciiTheme="minorHAnsi" w:hAnsiTheme="minorHAnsi"/>
          <w:snapToGrid w:val="0"/>
        </w:rPr>
        <w:t xml:space="preserve">agreed with the ESC that </w:t>
      </w:r>
      <w:r w:rsidR="00F51395" w:rsidRPr="007E61A0">
        <w:rPr>
          <w:rFonts w:asciiTheme="minorHAnsi" w:hAnsiTheme="minorHAnsi"/>
          <w:snapToGrid w:val="0"/>
        </w:rPr>
        <w:t xml:space="preserve">there were methodological issues with the Zug (1995) study and an implausibly large difference between utility scores in the PASI 50-75 (0.59) and PASI 75-90 (0.89) (paragraph </w:t>
      </w:r>
      <w:r w:rsidR="00F51395" w:rsidRPr="007E61A0">
        <w:rPr>
          <w:rFonts w:asciiTheme="minorHAnsi" w:hAnsiTheme="minorHAnsi"/>
          <w:snapToGrid w:val="0"/>
        </w:rPr>
        <w:fldChar w:fldCharType="begin" w:fldLock="1"/>
      </w:r>
      <w:r w:rsidR="00F51395" w:rsidRPr="007E61A0">
        <w:rPr>
          <w:rFonts w:asciiTheme="minorHAnsi" w:hAnsiTheme="minorHAnsi"/>
          <w:snapToGrid w:val="0"/>
        </w:rPr>
        <w:instrText xml:space="preserve"> REF _Ref119316740 \r \h </w:instrText>
      </w:r>
      <w:r w:rsidR="00F51395" w:rsidRPr="007E61A0">
        <w:rPr>
          <w:rFonts w:asciiTheme="minorHAnsi" w:hAnsiTheme="minorHAnsi"/>
          <w:snapToGrid w:val="0"/>
        </w:rPr>
      </w:r>
      <w:r w:rsidR="00F51395" w:rsidRPr="007E61A0">
        <w:rPr>
          <w:rFonts w:asciiTheme="minorHAnsi" w:hAnsiTheme="minorHAnsi"/>
          <w:snapToGrid w:val="0"/>
        </w:rPr>
        <w:fldChar w:fldCharType="separate"/>
      </w:r>
      <w:r w:rsidR="00EC7993">
        <w:rPr>
          <w:rFonts w:asciiTheme="minorHAnsi" w:hAnsiTheme="minorHAnsi"/>
          <w:snapToGrid w:val="0"/>
        </w:rPr>
        <w:t>6.65</w:t>
      </w:r>
      <w:r w:rsidR="00F51395" w:rsidRPr="007E61A0">
        <w:rPr>
          <w:rFonts w:asciiTheme="minorHAnsi" w:hAnsiTheme="minorHAnsi"/>
          <w:snapToGrid w:val="0"/>
        </w:rPr>
        <w:fldChar w:fldCharType="end"/>
      </w:r>
      <w:r w:rsidR="00F51395" w:rsidRPr="007E61A0">
        <w:rPr>
          <w:rFonts w:asciiTheme="minorHAnsi" w:hAnsiTheme="minorHAnsi"/>
          <w:snapToGrid w:val="0"/>
        </w:rPr>
        <w:t xml:space="preserve"> refers)</w:t>
      </w:r>
      <w:r w:rsidR="00AD4190">
        <w:rPr>
          <w:rFonts w:asciiTheme="minorHAnsi" w:hAnsiTheme="minorHAnsi"/>
          <w:snapToGrid w:val="0"/>
        </w:rPr>
        <w:t xml:space="preserve">. The PBAC </w:t>
      </w:r>
      <w:r w:rsidR="00F51395" w:rsidRPr="007E61A0">
        <w:rPr>
          <w:rFonts w:asciiTheme="minorHAnsi" w:hAnsiTheme="minorHAnsi"/>
          <w:snapToGrid w:val="0"/>
        </w:rPr>
        <w:t xml:space="preserve">considered the utilities collected in the POETYK trials were likely to be a more reliable basis to consider the cost-effectiveness of deucravacitinib. </w:t>
      </w:r>
      <w:r w:rsidR="009F197B" w:rsidRPr="007E61A0">
        <w:rPr>
          <w:rFonts w:asciiTheme="minorHAnsi" w:hAnsiTheme="minorHAnsi"/>
          <w:snapToGrid w:val="0"/>
        </w:rPr>
        <w:t xml:space="preserve">The PBAC noted the revised base case ICER was </w:t>
      </w:r>
      <w:r w:rsidR="00402B2D" w:rsidRPr="00402B2D">
        <w:rPr>
          <w:rFonts w:asciiTheme="minorHAnsi" w:hAnsiTheme="minorHAnsi"/>
          <w:snapToGrid w:val="0"/>
        </w:rPr>
        <w:t>$155,000 to &lt; $255,000</w:t>
      </w:r>
      <w:r w:rsidR="00932180">
        <w:rPr>
          <w:rFonts w:asciiTheme="minorHAnsi" w:hAnsiTheme="minorHAnsi"/>
          <w:snapToGrid w:val="0"/>
        </w:rPr>
        <w:t xml:space="preserve"> </w:t>
      </w:r>
      <w:r w:rsidR="009F197B" w:rsidRPr="00402B2D">
        <w:rPr>
          <w:rFonts w:asciiTheme="minorHAnsi" w:hAnsiTheme="minorHAnsi"/>
          <w:snapToGrid w:val="0"/>
        </w:rPr>
        <w:t>per QALY using the published prices of apremilast and adalimumab and the ICER using effective prices would be higher.</w:t>
      </w:r>
      <w:bookmarkEnd w:id="99"/>
      <w:r w:rsidR="009F197B" w:rsidRPr="00402B2D">
        <w:rPr>
          <w:rFonts w:asciiTheme="minorHAnsi" w:hAnsiTheme="minorHAnsi"/>
          <w:snapToGrid w:val="0"/>
        </w:rPr>
        <w:t xml:space="preserve">  </w:t>
      </w:r>
    </w:p>
    <w:p w14:paraId="1B4DDFE9" w14:textId="2D1A35BC" w:rsidR="00FA6969" w:rsidRPr="007E61A0" w:rsidRDefault="00AE6B09" w:rsidP="00FA6969">
      <w:pPr>
        <w:widowControl w:val="0"/>
        <w:numPr>
          <w:ilvl w:val="1"/>
          <w:numId w:val="1"/>
        </w:numPr>
        <w:spacing w:after="120"/>
        <w:rPr>
          <w:rFonts w:asciiTheme="minorHAnsi" w:hAnsiTheme="minorHAnsi"/>
          <w:snapToGrid w:val="0"/>
        </w:rPr>
      </w:pPr>
      <w:r w:rsidRPr="007E61A0">
        <w:rPr>
          <w:rFonts w:asciiTheme="minorHAnsi" w:hAnsiTheme="minorHAnsi"/>
          <w:snapToGrid w:val="0"/>
        </w:rPr>
        <w:t xml:space="preserve">When considering the likely utilisation of deucravacitinib in practice, the PBAC agreed with the DUSC and considered the likely use was complex and considered revised estimates, using a mixed market share and epidemiological approach was likely a more reasonable approach. The Committee considered revised estimates of utilisation should be </w:t>
      </w:r>
      <w:r w:rsidR="0046571B" w:rsidRPr="007E61A0">
        <w:rPr>
          <w:rFonts w:asciiTheme="minorHAnsi" w:hAnsiTheme="minorHAnsi"/>
          <w:snapToGrid w:val="0"/>
        </w:rPr>
        <w:t xml:space="preserve">informed by </w:t>
      </w:r>
      <w:r w:rsidRPr="007E61A0">
        <w:rPr>
          <w:rFonts w:asciiTheme="minorHAnsi" w:hAnsiTheme="minorHAnsi"/>
          <w:snapToGrid w:val="0"/>
        </w:rPr>
        <w:t>the place in therapy and use in practice</w:t>
      </w:r>
      <w:r w:rsidR="0046571B" w:rsidRPr="007E61A0">
        <w:rPr>
          <w:rFonts w:asciiTheme="minorHAnsi" w:hAnsiTheme="minorHAnsi"/>
          <w:snapToGrid w:val="0"/>
        </w:rPr>
        <w:t>.</w:t>
      </w:r>
      <w:r w:rsidR="001C71B7" w:rsidRPr="007E61A0">
        <w:rPr>
          <w:rFonts w:asciiTheme="minorHAnsi" w:hAnsiTheme="minorHAnsi"/>
          <w:snapToGrid w:val="0"/>
        </w:rPr>
        <w:t xml:space="preserve"> </w:t>
      </w:r>
    </w:p>
    <w:p w14:paraId="1593BEA5" w14:textId="5C38042F" w:rsidR="00FA6969" w:rsidRPr="007E61A0" w:rsidRDefault="00AE6B09" w:rsidP="006554FC">
      <w:pPr>
        <w:widowControl w:val="0"/>
        <w:numPr>
          <w:ilvl w:val="1"/>
          <w:numId w:val="1"/>
        </w:numPr>
        <w:tabs>
          <w:tab w:val="left" w:pos="3119"/>
        </w:tabs>
        <w:spacing w:after="120"/>
        <w:rPr>
          <w:rFonts w:asciiTheme="minorHAnsi" w:hAnsiTheme="minorHAnsi"/>
          <w:snapToGrid w:val="0"/>
        </w:rPr>
      </w:pPr>
      <w:r w:rsidRPr="007E61A0">
        <w:rPr>
          <w:rFonts w:asciiTheme="minorHAnsi" w:hAnsiTheme="minorHAnsi"/>
          <w:snapToGrid w:val="0"/>
        </w:rPr>
        <w:t xml:space="preserve">The PBAC noted the submission did not provide a basis to consider the comparative </w:t>
      </w:r>
      <w:r w:rsidRPr="007E61A0">
        <w:rPr>
          <w:rFonts w:asciiTheme="minorHAnsi" w:hAnsiTheme="minorHAnsi"/>
          <w:snapToGrid w:val="0"/>
        </w:rPr>
        <w:lastRenderedPageBreak/>
        <w:t xml:space="preserve">effectiveness and safety or cost effectiveness of deucravacitinib to </w:t>
      </w:r>
      <w:r w:rsidR="007F7DF5" w:rsidRPr="007E61A0">
        <w:rPr>
          <w:rFonts w:asciiTheme="minorHAnsi" w:hAnsiTheme="minorHAnsi"/>
          <w:snapToGrid w:val="0"/>
        </w:rPr>
        <w:t>biologics</w:t>
      </w:r>
      <w:r w:rsidR="00F11C13" w:rsidRPr="007E61A0">
        <w:rPr>
          <w:rFonts w:asciiTheme="minorHAnsi" w:hAnsiTheme="minorHAnsi"/>
          <w:snapToGrid w:val="0"/>
        </w:rPr>
        <w:t xml:space="preserve"> and</w:t>
      </w:r>
      <w:r w:rsidRPr="007E61A0">
        <w:rPr>
          <w:rFonts w:asciiTheme="minorHAnsi" w:hAnsiTheme="minorHAnsi"/>
          <w:snapToGrid w:val="0"/>
        </w:rPr>
        <w:t xml:space="preserve"> considered that if </w:t>
      </w:r>
      <w:r w:rsidR="00575FF7">
        <w:rPr>
          <w:rFonts w:asciiTheme="minorHAnsi" w:hAnsiTheme="minorHAnsi"/>
          <w:snapToGrid w:val="0"/>
        </w:rPr>
        <w:t>this is the appropriate</w:t>
      </w:r>
      <w:r w:rsidRPr="007E61A0">
        <w:rPr>
          <w:rFonts w:asciiTheme="minorHAnsi" w:hAnsiTheme="minorHAnsi"/>
          <w:snapToGrid w:val="0"/>
        </w:rPr>
        <w:t xml:space="preserve"> place in therapy, a new submission would likely be required.</w:t>
      </w:r>
    </w:p>
    <w:p w14:paraId="74DAE4F3" w14:textId="7F18F637" w:rsidR="00FA6969" w:rsidRDefault="00FA6969" w:rsidP="0046571B">
      <w:pPr>
        <w:spacing w:before="240"/>
        <w:rPr>
          <w:rFonts w:asciiTheme="minorHAnsi" w:hAnsiTheme="minorHAnsi"/>
          <w:bCs/>
          <w:snapToGrid w:val="0"/>
        </w:rPr>
      </w:pPr>
      <w:r w:rsidRPr="007E61A0">
        <w:rPr>
          <w:rFonts w:asciiTheme="minorHAnsi" w:hAnsiTheme="minorHAnsi"/>
          <w:b/>
          <w:bCs/>
          <w:snapToGrid w:val="0"/>
        </w:rPr>
        <w:t>Outcome:</w:t>
      </w:r>
      <w:r w:rsidR="0046571B" w:rsidRPr="007E61A0">
        <w:rPr>
          <w:rFonts w:asciiTheme="minorHAnsi" w:hAnsiTheme="minorHAnsi"/>
          <w:b/>
          <w:bCs/>
          <w:snapToGrid w:val="0"/>
        </w:rPr>
        <w:t xml:space="preserve"> </w:t>
      </w:r>
      <w:r w:rsidR="0046571B" w:rsidRPr="007E61A0">
        <w:rPr>
          <w:rFonts w:asciiTheme="minorHAnsi" w:hAnsiTheme="minorHAnsi"/>
          <w:b/>
          <w:bCs/>
          <w:snapToGrid w:val="0"/>
        </w:rPr>
        <w:br/>
      </w:r>
      <w:r w:rsidRPr="007E61A0">
        <w:rPr>
          <w:rFonts w:asciiTheme="minorHAnsi" w:hAnsiTheme="minorHAnsi"/>
          <w:bCs/>
          <w:snapToGrid w:val="0"/>
        </w:rPr>
        <w:t>Deferred</w:t>
      </w:r>
    </w:p>
    <w:p w14:paraId="1DC74C46" w14:textId="085BBB65" w:rsidR="00197C97" w:rsidRDefault="00197C97" w:rsidP="00197C97">
      <w:pPr>
        <w:pStyle w:val="2-SectionHeading"/>
        <w:rPr>
          <w:bCs/>
          <w:lang w:val="en-GB"/>
        </w:rPr>
      </w:pPr>
      <w:r w:rsidRPr="00C07617">
        <w:t>Context for Decision</w:t>
      </w:r>
    </w:p>
    <w:p w14:paraId="01C5E051" w14:textId="77777777" w:rsidR="00197C97" w:rsidRPr="007129F2" w:rsidRDefault="00197C97" w:rsidP="00197C97">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F3B3076" w14:textId="641711F8" w:rsidR="00197C97" w:rsidRPr="00C07617" w:rsidRDefault="00197C97" w:rsidP="00197C97">
      <w:pPr>
        <w:pStyle w:val="2-SectionHeading"/>
        <w:rPr>
          <w:b w:val="0"/>
        </w:rPr>
      </w:pPr>
      <w:r>
        <w:t>Sponsor’s Comment</w:t>
      </w:r>
    </w:p>
    <w:p w14:paraId="7BAAAA6A" w14:textId="4B06B42A" w:rsidR="000031BD" w:rsidRDefault="002B7562" w:rsidP="002B7562">
      <w:pPr>
        <w:spacing w:after="120"/>
        <w:ind w:left="720"/>
        <w:rPr>
          <w:rFonts w:asciiTheme="minorHAnsi" w:hAnsiTheme="minorHAnsi"/>
          <w:bCs/>
        </w:rPr>
      </w:pPr>
      <w:r>
        <w:rPr>
          <w:rFonts w:asciiTheme="minorHAnsi" w:hAnsiTheme="minorHAnsi"/>
          <w:bCs/>
        </w:rPr>
        <w:t>Bristol-Myers Squibb looks forward to working with the PBAC to achieve PBS listing for deucravacitinib in the most timely possible manner.</w:t>
      </w:r>
      <w:bookmarkEnd w:id="93"/>
      <w:bookmarkEnd w:id="94"/>
      <w:bookmarkEnd w:id="95"/>
      <w:bookmarkEnd w:id="96"/>
    </w:p>
    <w:p w14:paraId="5B3A81C1" w14:textId="77777777" w:rsidR="000031BD" w:rsidRDefault="000031BD">
      <w:pPr>
        <w:jc w:val="left"/>
        <w:rPr>
          <w:rFonts w:asciiTheme="minorHAnsi" w:hAnsiTheme="minorHAnsi"/>
          <w:bCs/>
        </w:rPr>
      </w:pPr>
      <w:r>
        <w:rPr>
          <w:rFonts w:asciiTheme="minorHAnsi" w:hAnsiTheme="minorHAnsi"/>
          <w:bCs/>
        </w:rPr>
        <w:br w:type="page"/>
      </w:r>
    </w:p>
    <w:p w14:paraId="2657B8D2" w14:textId="7E888781" w:rsidR="000031BD" w:rsidRPr="00412CBE" w:rsidRDefault="000031BD" w:rsidP="00412CBE">
      <w:pPr>
        <w:pStyle w:val="1MainTitle"/>
        <w:ind w:left="1134" w:hanging="1134"/>
        <w:jc w:val="left"/>
        <w:rPr>
          <w:rFonts w:eastAsia="Calibri"/>
          <w:color w:val="FF0000"/>
          <w:sz w:val="28"/>
          <w:szCs w:val="28"/>
        </w:rPr>
      </w:pPr>
      <w:r w:rsidRPr="00412CBE">
        <w:rPr>
          <w:rFonts w:eastAsia="Calibri"/>
          <w:color w:val="FF0000"/>
          <w:sz w:val="28"/>
          <w:szCs w:val="28"/>
        </w:rPr>
        <w:lastRenderedPageBreak/>
        <w:t>Addendum to the November 2022 PBAC PSD:</w:t>
      </w:r>
    </w:p>
    <w:p w14:paraId="6707DB69" w14:textId="6C27CB9B" w:rsidR="000031BD" w:rsidRPr="00AB2BB9" w:rsidRDefault="000031BD" w:rsidP="000031BD">
      <w:pPr>
        <w:pStyle w:val="1-MainHeading"/>
      </w:pPr>
      <w:r>
        <w:t>4.02</w:t>
      </w:r>
      <w:r>
        <w:tab/>
      </w:r>
      <w:r w:rsidRPr="00AB2BB9">
        <w:t>DEUCRAVACITINIB,</w:t>
      </w:r>
      <w:r w:rsidRPr="00AB2BB9">
        <w:br/>
        <w:t>Tablet 6</w:t>
      </w:r>
      <w:r w:rsidR="00B71D61">
        <w:t> </w:t>
      </w:r>
      <w:r w:rsidRPr="00AB2BB9">
        <w:t>mg,</w:t>
      </w:r>
      <w:r w:rsidRPr="00AB2BB9">
        <w:br/>
        <w:t>Sotyktu®,</w:t>
      </w:r>
      <w:r w:rsidRPr="00AB2BB9">
        <w:br/>
        <w:t>Bristol-Myers Squibb Australia Pty Ltd.</w:t>
      </w:r>
    </w:p>
    <w:p w14:paraId="337933AC" w14:textId="77777777" w:rsidR="000031BD" w:rsidRDefault="000031BD" w:rsidP="000031BD">
      <w:pPr>
        <w:pStyle w:val="2-SectionHeading"/>
      </w:pPr>
      <w:r w:rsidRPr="0079346E">
        <w:t xml:space="preserve">Background </w:t>
      </w:r>
    </w:p>
    <w:p w14:paraId="4BC00FDF" w14:textId="60F86755" w:rsidR="000031BD" w:rsidRPr="00FE655F" w:rsidRDefault="000031BD" w:rsidP="000031BD">
      <w:pPr>
        <w:pStyle w:val="3-BodyText"/>
        <w:rPr>
          <w:bCs/>
        </w:rPr>
      </w:pPr>
      <w:r>
        <w:t>In November 2022, t</w:t>
      </w:r>
      <w:r w:rsidRPr="007E61A0">
        <w:t xml:space="preserve">he PBAC deferred making a recommendation for the listing of deucravacitinib for the treatment of severe chronic plaque psoriasis, to seek </w:t>
      </w:r>
      <w:r w:rsidRPr="0001360B">
        <w:t>additional expert clinical advice on its appropriate and likely place in therapy (see paragraph</w:t>
      </w:r>
      <w:r w:rsidR="00F665D5" w:rsidRPr="0001360B">
        <w:t xml:space="preserve"> </w:t>
      </w:r>
      <w:r w:rsidR="00F665D5" w:rsidRPr="0001360B">
        <w:fldChar w:fldCharType="begin" w:fldLock="1"/>
      </w:r>
      <w:r w:rsidR="00F665D5" w:rsidRPr="0001360B">
        <w:instrText xml:space="preserve"> REF _Ref165462314 \r \h </w:instrText>
      </w:r>
      <w:r w:rsidR="002935F6" w:rsidRPr="0001360B">
        <w:instrText xml:space="preserve"> \* MERGEFORMAT </w:instrText>
      </w:r>
      <w:r w:rsidR="00F665D5" w:rsidRPr="0001360B">
        <w:fldChar w:fldCharType="separate"/>
      </w:r>
      <w:r w:rsidR="00F665D5" w:rsidRPr="0001360B">
        <w:t>7.1</w:t>
      </w:r>
      <w:r w:rsidR="00F665D5" w:rsidRPr="0001360B">
        <w:fldChar w:fldCharType="end"/>
      </w:r>
      <w:r w:rsidRPr="0001360B">
        <w:t>).</w:t>
      </w:r>
      <w:r w:rsidRPr="007E61A0">
        <w:t xml:space="preserve"> </w:t>
      </w:r>
    </w:p>
    <w:p w14:paraId="222DB54E" w14:textId="77777777" w:rsidR="000031BD" w:rsidRPr="00452F39" w:rsidRDefault="000031BD" w:rsidP="000031BD">
      <w:pPr>
        <w:pStyle w:val="3-BodyText"/>
      </w:pPr>
      <w:r w:rsidRPr="00452F39">
        <w:t>Subsequently, the sponsor provided a proposal for consideration. Revisions include:</w:t>
      </w:r>
    </w:p>
    <w:p w14:paraId="4E913C43" w14:textId="359EA9BF" w:rsidR="000031BD" w:rsidRDefault="000031BD" w:rsidP="000031BD">
      <w:pPr>
        <w:pStyle w:val="3-BodyText"/>
        <w:numPr>
          <w:ilvl w:val="0"/>
          <w:numId w:val="36"/>
        </w:numPr>
        <w:ind w:left="1080"/>
        <w:rPr>
          <w:bCs/>
        </w:rPr>
      </w:pPr>
      <w:r>
        <w:rPr>
          <w:bCs/>
        </w:rPr>
        <w:t xml:space="preserve">A </w:t>
      </w:r>
      <w:r w:rsidR="001F08D6" w:rsidRPr="001F08D6">
        <w:rPr>
          <w:bCs/>
          <w:color w:val="000000"/>
          <w:w w:val="20"/>
          <w:shd w:val="solid" w:color="000000" w:fill="000000"/>
          <w:fitText w:val="80" w:id="-1236624128"/>
          <w14:textFill>
            <w14:solidFill>
              <w14:srgbClr w14:val="000000">
                <w14:alpha w14:val="100000"/>
              </w14:srgbClr>
            </w14:solidFill>
          </w14:textFill>
        </w:rPr>
        <w:t xml:space="preserve">|  </w:t>
      </w:r>
      <w:r w:rsidR="001F08D6" w:rsidRPr="001F08D6">
        <w:rPr>
          <w:bCs/>
          <w:color w:val="000000"/>
          <w:spacing w:val="15"/>
          <w:w w:val="20"/>
          <w:shd w:val="solid" w:color="000000" w:fill="000000"/>
          <w:fitText w:val="80" w:id="-1236624128"/>
          <w14:textFill>
            <w14:solidFill>
              <w14:srgbClr w14:val="000000">
                <w14:alpha w14:val="100000"/>
              </w14:srgbClr>
            </w14:solidFill>
          </w14:textFill>
        </w:rPr>
        <w:t>|</w:t>
      </w:r>
      <w:r>
        <w:rPr>
          <w:bCs/>
        </w:rPr>
        <w:t>% reduction in the price of deucravacitinib (from an ex-manufacturer price (EMP) of $</w:t>
      </w:r>
      <w:r w:rsidR="001F08D6" w:rsidRPr="009C7BF6">
        <w:rPr>
          <w:bCs/>
          <w:color w:val="000000"/>
          <w:w w:val="15"/>
          <w:shd w:val="solid" w:color="000000" w:fill="000000"/>
          <w:fitText w:val="-20" w:id="-1236624127"/>
          <w14:textFill>
            <w14:solidFill>
              <w14:srgbClr w14:val="000000">
                <w14:alpha w14:val="100000"/>
              </w14:srgbClr>
            </w14:solidFill>
          </w14:textFill>
        </w:rPr>
        <w:t xml:space="preserve">|  </w:t>
      </w:r>
      <w:r w:rsidR="001F08D6" w:rsidRPr="009C7BF6">
        <w:rPr>
          <w:bCs/>
          <w:color w:val="000000"/>
          <w:spacing w:val="-69"/>
          <w:w w:val="15"/>
          <w:shd w:val="solid" w:color="000000" w:fill="000000"/>
          <w:fitText w:val="-20" w:id="-1236624127"/>
          <w14:textFill>
            <w14:solidFill>
              <w14:srgbClr w14:val="000000">
                <w14:alpha w14:val="100000"/>
              </w14:srgbClr>
            </w14:solidFill>
          </w14:textFill>
        </w:rPr>
        <w:t>|</w:t>
      </w:r>
      <w:r>
        <w:rPr>
          <w:bCs/>
        </w:rPr>
        <w:t xml:space="preserve"> to $</w:t>
      </w:r>
      <w:r w:rsidR="001F08D6" w:rsidRPr="009C7BF6">
        <w:rPr>
          <w:bCs/>
          <w:color w:val="000000"/>
          <w:w w:val="15"/>
          <w:shd w:val="solid" w:color="000000" w:fill="000000"/>
          <w:fitText w:val="-20" w:id="-1236624126"/>
          <w14:textFill>
            <w14:solidFill>
              <w14:srgbClr w14:val="000000">
                <w14:alpha w14:val="100000"/>
              </w14:srgbClr>
            </w14:solidFill>
          </w14:textFill>
        </w:rPr>
        <w:t xml:space="preserve">|  </w:t>
      </w:r>
      <w:r w:rsidR="001F08D6" w:rsidRPr="009C7BF6">
        <w:rPr>
          <w:bCs/>
          <w:color w:val="000000"/>
          <w:spacing w:val="-69"/>
          <w:w w:val="15"/>
          <w:shd w:val="solid" w:color="000000" w:fill="000000"/>
          <w:fitText w:val="-20" w:id="-1236624126"/>
          <w14:textFill>
            <w14:solidFill>
              <w14:srgbClr w14:val="000000">
                <w14:alpha w14:val="100000"/>
              </w14:srgbClr>
            </w14:solidFill>
          </w14:textFill>
        </w:rPr>
        <w:t>|</w:t>
      </w:r>
      <w:r>
        <w:rPr>
          <w:bCs/>
        </w:rPr>
        <w:t>).</w:t>
      </w:r>
    </w:p>
    <w:p w14:paraId="34C1C8C2" w14:textId="34A10A7C" w:rsidR="000031BD" w:rsidRPr="0001360B" w:rsidRDefault="000031BD" w:rsidP="000031BD">
      <w:pPr>
        <w:pStyle w:val="3-BodyText"/>
        <w:numPr>
          <w:ilvl w:val="0"/>
          <w:numId w:val="36"/>
        </w:numPr>
        <w:ind w:left="1080"/>
        <w:rPr>
          <w:bCs/>
        </w:rPr>
      </w:pPr>
      <w:r w:rsidRPr="0001360B">
        <w:rPr>
          <w:bCs/>
        </w:rPr>
        <w:t>Reduced uptake of deucravacitinib (to address the concern that uptake was likely overestimated, see paragraph</w:t>
      </w:r>
      <w:r w:rsidR="00F2219B" w:rsidRPr="0001360B">
        <w:rPr>
          <w:bCs/>
        </w:rPr>
        <w:t xml:space="preserve"> </w:t>
      </w:r>
      <w:r w:rsidR="00F2219B" w:rsidRPr="0001360B">
        <w:rPr>
          <w:bCs/>
        </w:rPr>
        <w:fldChar w:fldCharType="begin" w:fldLock="1"/>
      </w:r>
      <w:r w:rsidR="00F2219B" w:rsidRPr="0001360B">
        <w:rPr>
          <w:bCs/>
        </w:rPr>
        <w:instrText xml:space="preserve"> REF _Ref165463710 \r \h </w:instrText>
      </w:r>
      <w:r w:rsidR="002935F6" w:rsidRPr="0001360B">
        <w:rPr>
          <w:bCs/>
        </w:rPr>
        <w:instrText xml:space="preserve"> \* MERGEFORMAT </w:instrText>
      </w:r>
      <w:r w:rsidR="00F2219B" w:rsidRPr="0001360B">
        <w:rPr>
          <w:bCs/>
        </w:rPr>
      </w:r>
      <w:r w:rsidR="00F2219B" w:rsidRPr="0001360B">
        <w:rPr>
          <w:bCs/>
        </w:rPr>
        <w:fldChar w:fldCharType="separate"/>
      </w:r>
      <w:r w:rsidR="00F2219B" w:rsidRPr="0001360B">
        <w:rPr>
          <w:bCs/>
        </w:rPr>
        <w:t>6.77</w:t>
      </w:r>
      <w:r w:rsidR="00F2219B" w:rsidRPr="0001360B">
        <w:rPr>
          <w:bCs/>
        </w:rPr>
        <w:fldChar w:fldCharType="end"/>
      </w:r>
      <w:r w:rsidRPr="0001360B">
        <w:rPr>
          <w:bCs/>
        </w:rPr>
        <w:t xml:space="preserve">). </w:t>
      </w:r>
    </w:p>
    <w:p w14:paraId="093F7BF8" w14:textId="77777777" w:rsidR="000031BD" w:rsidRPr="003260EF" w:rsidRDefault="000031BD" w:rsidP="000031BD">
      <w:pPr>
        <w:pStyle w:val="3-BodyText"/>
        <w:numPr>
          <w:ilvl w:val="0"/>
          <w:numId w:val="36"/>
        </w:numPr>
        <w:ind w:left="1080"/>
        <w:rPr>
          <w:bCs/>
        </w:rPr>
      </w:pPr>
      <w:r>
        <w:t>Inclusion of offsets for adalimumab (as a proxy for bDMARDs).</w:t>
      </w:r>
    </w:p>
    <w:p w14:paraId="63838320" w14:textId="77777777" w:rsidR="000031BD" w:rsidRDefault="000031BD" w:rsidP="000031BD">
      <w:pPr>
        <w:pStyle w:val="ListParagraph"/>
        <w:numPr>
          <w:ilvl w:val="0"/>
          <w:numId w:val="36"/>
        </w:numPr>
        <w:ind w:left="1080"/>
        <w:jc w:val="left"/>
      </w:pPr>
      <w:r w:rsidRPr="003260EF">
        <w:t>Minor changes to reflect updated mark ups</w:t>
      </w:r>
      <w:r>
        <w:t xml:space="preserve"> and other minor costs. </w:t>
      </w:r>
      <w:r w:rsidRPr="003260EF">
        <w:t xml:space="preserve"> </w:t>
      </w:r>
    </w:p>
    <w:p w14:paraId="474A5F01" w14:textId="211C1263" w:rsidR="000031BD" w:rsidRPr="0001360B" w:rsidRDefault="000031BD" w:rsidP="000031BD">
      <w:pPr>
        <w:pStyle w:val="3-BodyText"/>
      </w:pPr>
      <w:r w:rsidRPr="0001360B">
        <w:t>The proposal stated the offer was contingent on the PBAC recommending a PBS restriction for deucravacitinib in line with that previously proposed by the sponsor (i.e., consistent with the restriction criteria for apremilast, see paragraph</w:t>
      </w:r>
      <w:r w:rsidR="00F2219B" w:rsidRPr="0001360B">
        <w:t xml:space="preserve"> </w:t>
      </w:r>
      <w:r w:rsidR="00F2219B" w:rsidRPr="0001360B">
        <w:fldChar w:fldCharType="begin" w:fldLock="1"/>
      </w:r>
      <w:r w:rsidR="00F2219B" w:rsidRPr="0001360B">
        <w:instrText xml:space="preserve"> REF _Ref165463779 \r \h </w:instrText>
      </w:r>
      <w:r w:rsidR="002935F6" w:rsidRPr="0001360B">
        <w:instrText xml:space="preserve"> \* MERGEFORMAT </w:instrText>
      </w:r>
      <w:r w:rsidR="00F2219B" w:rsidRPr="0001360B">
        <w:fldChar w:fldCharType="separate"/>
      </w:r>
      <w:r w:rsidR="00F2219B" w:rsidRPr="0001360B">
        <w:t>3.1</w:t>
      </w:r>
      <w:r w:rsidR="00F2219B" w:rsidRPr="0001360B">
        <w:fldChar w:fldCharType="end"/>
      </w:r>
      <w:r w:rsidRPr="0001360B">
        <w:t>).</w:t>
      </w:r>
    </w:p>
    <w:p w14:paraId="0B2B9749" w14:textId="4CFA238D" w:rsidR="000031BD" w:rsidRDefault="000031BD" w:rsidP="000031BD">
      <w:pPr>
        <w:pStyle w:val="3-BodyText"/>
      </w:pPr>
      <w:bookmarkStart w:id="100" w:name="_Ref130480634"/>
      <w:r>
        <w:t>During its November 2022 consideration, “</w:t>
      </w:r>
      <w:r w:rsidRPr="003B4354">
        <w:t>the PBAC noted and agreed with the ESC that the structure of the economic model was reasonable for assessing the cost effectiveness of deucravacitinib and apremilast, however also agreed with the ESC that its revised base case, which applied a waning treatment effect to both deucravacitinib and apremilast, and using trial-based utilities, was a more reasonable base case</w:t>
      </w:r>
      <w:r w:rsidRPr="004C2155">
        <w:rPr>
          <w:i/>
          <w:iCs/>
        </w:rPr>
        <w:t xml:space="preserve">”. </w:t>
      </w:r>
      <w:r w:rsidRPr="003B4354">
        <w:t>Using the revised base case economic model</w:t>
      </w:r>
      <w:r>
        <w:t xml:space="preserve"> and using the effective EMP proposed for deucravacitinib in November 2022 (</w:t>
      </w:r>
      <w:r>
        <w:rPr>
          <w:bCs/>
        </w:rPr>
        <w:t>$</w:t>
      </w:r>
      <w:r w:rsidR="001F08D6" w:rsidRPr="001F08D6">
        <w:rPr>
          <w:bCs/>
          <w:color w:val="000000"/>
          <w:w w:val="20"/>
          <w:shd w:val="solid" w:color="000000" w:fill="000000"/>
          <w:fitText w:val="71" w:id="-1236624125"/>
          <w14:textFill>
            <w14:solidFill>
              <w14:srgbClr w14:val="000000">
                <w14:alpha w14:val="100000"/>
              </w14:srgbClr>
            </w14:solidFill>
          </w14:textFill>
        </w:rPr>
        <w:t>|  |</w:t>
      </w:r>
      <w:r>
        <w:t>)</w:t>
      </w:r>
      <w:r w:rsidRPr="003B4354">
        <w:t xml:space="preserve">, the ICER was </w:t>
      </w:r>
      <w:r w:rsidR="00D13A3C" w:rsidRPr="00402B2D">
        <w:t>$155,000 to &lt; $255,000</w:t>
      </w:r>
      <w:r w:rsidR="00D13A3C">
        <w:t xml:space="preserve"> per </w:t>
      </w:r>
      <w:r w:rsidRPr="003B4354">
        <w:t>QALY using the published</w:t>
      </w:r>
      <w:r w:rsidRPr="004C2155">
        <w:rPr>
          <w:i/>
          <w:iCs/>
        </w:rPr>
        <w:t xml:space="preserve"> </w:t>
      </w:r>
      <w:r>
        <w:t>prices of apremilast and adalimumab. The ICER using the confidential prices of apremilast and adalimumab is presented as Scenario A in</w:t>
      </w:r>
      <w:r w:rsidR="00F2219B">
        <w:t xml:space="preserve"> </w:t>
      </w:r>
      <w:r w:rsidR="00F2219B" w:rsidRPr="0001360B">
        <w:fldChar w:fldCharType="begin" w:fldLock="1"/>
      </w:r>
      <w:r w:rsidR="00F2219B" w:rsidRPr="0001360B">
        <w:instrText xml:space="preserve"> REF _Ref130900265 \h </w:instrText>
      </w:r>
      <w:r w:rsidR="002935F6" w:rsidRPr="0001360B">
        <w:instrText xml:space="preserve"> \* MERGEFORMAT </w:instrText>
      </w:r>
      <w:r w:rsidR="00F2219B" w:rsidRPr="0001360B">
        <w:fldChar w:fldCharType="separate"/>
      </w:r>
      <w:r w:rsidR="00F2219B" w:rsidRPr="0001360B">
        <w:t xml:space="preserve">Table </w:t>
      </w:r>
      <w:r w:rsidR="00F2219B" w:rsidRPr="0001360B">
        <w:rPr>
          <w:noProof/>
        </w:rPr>
        <w:t>17</w:t>
      </w:r>
      <w:r w:rsidR="00F2219B" w:rsidRPr="0001360B">
        <w:fldChar w:fldCharType="end"/>
      </w:r>
      <w:r w:rsidRPr="0001360B">
        <w:t>.</w:t>
      </w:r>
      <w:bookmarkEnd w:id="100"/>
      <w:r>
        <w:t xml:space="preserve">  </w:t>
      </w:r>
    </w:p>
    <w:p w14:paraId="225790E8" w14:textId="77777777" w:rsidR="000031BD" w:rsidRPr="0079346E" w:rsidRDefault="000031BD" w:rsidP="000031BD">
      <w:pPr>
        <w:pStyle w:val="2-SectionHeading"/>
      </w:pPr>
      <w:r w:rsidRPr="0079346E">
        <w:lastRenderedPageBreak/>
        <w:t>Consideration of the evidence</w:t>
      </w:r>
    </w:p>
    <w:p w14:paraId="145ECF67" w14:textId="77777777" w:rsidR="000031BD" w:rsidRDefault="000031BD" w:rsidP="000031BD">
      <w:pPr>
        <w:pStyle w:val="4-SubsectionHeading"/>
        <w:rPr>
          <w:iCs/>
        </w:rPr>
      </w:pPr>
      <w:r>
        <w:rPr>
          <w:iCs/>
        </w:rPr>
        <w:t>Economic analysis</w:t>
      </w:r>
    </w:p>
    <w:p w14:paraId="144761F6" w14:textId="3332ABEB" w:rsidR="000031BD" w:rsidRDefault="000031BD" w:rsidP="000031BD">
      <w:pPr>
        <w:pStyle w:val="3-BodyText"/>
      </w:pPr>
      <w:r w:rsidRPr="00FE7E4A">
        <w:t>The ICER using the respecified economic model</w:t>
      </w:r>
      <w:r>
        <w:t xml:space="preserve"> (as described in paragraph </w:t>
      </w:r>
      <w:r w:rsidR="00B71D61">
        <w:fldChar w:fldCharType="begin" w:fldLock="1"/>
      </w:r>
      <w:r w:rsidR="00B71D61">
        <w:instrText xml:space="preserve"> REF _Ref130480634 \r \h </w:instrText>
      </w:r>
      <w:r w:rsidR="00B71D61">
        <w:fldChar w:fldCharType="separate"/>
      </w:r>
      <w:r w:rsidR="00EC7993">
        <w:t>10.4</w:t>
      </w:r>
      <w:r w:rsidR="00B71D61">
        <w:fldChar w:fldCharType="end"/>
      </w:r>
      <w:r>
        <w:t>)</w:t>
      </w:r>
      <w:r w:rsidRPr="00FE7E4A">
        <w:t>, the revised price of deucravacitinib</w:t>
      </w:r>
      <w:r>
        <w:t xml:space="preserve"> (EMP </w:t>
      </w:r>
      <w:r>
        <w:rPr>
          <w:bCs/>
        </w:rPr>
        <w:t>$</w:t>
      </w:r>
      <w:r w:rsidR="001F08D6" w:rsidRPr="001F08D6">
        <w:rPr>
          <w:bCs/>
          <w:color w:val="000000"/>
          <w:w w:val="20"/>
          <w:shd w:val="solid" w:color="000000" w:fill="000000"/>
          <w:fitText w:val="72" w:id="-1236624124"/>
          <w14:textFill>
            <w14:solidFill>
              <w14:srgbClr w14:val="000000">
                <w14:alpha w14:val="100000"/>
              </w14:srgbClr>
            </w14:solidFill>
          </w14:textFill>
        </w:rPr>
        <w:t>|  |</w:t>
      </w:r>
      <w:r>
        <w:rPr>
          <w:bCs/>
        </w:rPr>
        <w:t>)</w:t>
      </w:r>
      <w:r>
        <w:t xml:space="preserve"> and the confidential</w:t>
      </w:r>
      <w:r w:rsidRPr="00FE7E4A">
        <w:t xml:space="preserve"> price</w:t>
      </w:r>
      <w:r>
        <w:t>s for</w:t>
      </w:r>
      <w:r w:rsidRPr="00FE7E4A">
        <w:t xml:space="preserve"> apremilast and adalimumab is </w:t>
      </w:r>
      <w:r>
        <w:t xml:space="preserve">presented as Scenario B </w:t>
      </w:r>
      <w:r w:rsidRPr="0001360B">
        <w:t>in</w:t>
      </w:r>
      <w:r w:rsidR="00F2219B" w:rsidRPr="0001360B">
        <w:t xml:space="preserve"> </w:t>
      </w:r>
      <w:r w:rsidR="00F2219B" w:rsidRPr="0001360B">
        <w:fldChar w:fldCharType="begin" w:fldLock="1"/>
      </w:r>
      <w:r w:rsidR="00F2219B" w:rsidRPr="0001360B">
        <w:instrText xml:space="preserve"> REF _Ref130900265 \h </w:instrText>
      </w:r>
      <w:r w:rsidR="002935F6" w:rsidRPr="0001360B">
        <w:instrText xml:space="preserve"> \* MERGEFORMAT </w:instrText>
      </w:r>
      <w:r w:rsidR="00F2219B" w:rsidRPr="0001360B">
        <w:fldChar w:fldCharType="separate"/>
      </w:r>
      <w:r w:rsidR="00F2219B" w:rsidRPr="0001360B">
        <w:t xml:space="preserve">Table </w:t>
      </w:r>
      <w:r w:rsidR="00F2219B" w:rsidRPr="0001360B">
        <w:rPr>
          <w:noProof/>
        </w:rPr>
        <w:t>17</w:t>
      </w:r>
      <w:r w:rsidR="00F2219B" w:rsidRPr="0001360B">
        <w:fldChar w:fldCharType="end"/>
      </w:r>
      <w:r w:rsidRPr="0001360B">
        <w:t>.</w:t>
      </w:r>
    </w:p>
    <w:p w14:paraId="1185CF0C" w14:textId="1A4409F2" w:rsidR="000031BD" w:rsidRDefault="000031BD" w:rsidP="000031BD">
      <w:pPr>
        <w:pStyle w:val="3-BodyText"/>
      </w:pPr>
      <w:r>
        <w:t xml:space="preserve">The sponsor stated that the proposed price reduction, along with adoption of the Zug utilities (as discussed above in paragraphs </w:t>
      </w:r>
      <w:r>
        <w:fldChar w:fldCharType="begin" w:fldLock="1"/>
      </w:r>
      <w:r>
        <w:instrText xml:space="preserve"> REF _Ref116633480 \r \h </w:instrText>
      </w:r>
      <w:r>
        <w:fldChar w:fldCharType="separate"/>
      </w:r>
      <w:r w:rsidR="00EC7993">
        <w:t>6.63</w:t>
      </w:r>
      <w:r>
        <w:fldChar w:fldCharType="end"/>
      </w:r>
      <w:r>
        <w:t xml:space="preserve"> to </w:t>
      </w:r>
      <w:r>
        <w:fldChar w:fldCharType="begin" w:fldLock="1"/>
      </w:r>
      <w:r>
        <w:instrText xml:space="preserve"> REF _Ref119412131 \r \h </w:instrText>
      </w:r>
      <w:r>
        <w:fldChar w:fldCharType="separate"/>
      </w:r>
      <w:r w:rsidR="00F2219B">
        <w:t>6.65</w:t>
      </w:r>
      <w:r>
        <w:fldChar w:fldCharType="end"/>
      </w:r>
      <w:r>
        <w:t xml:space="preserve">), reduced the ICER to an acceptable range.  </w:t>
      </w:r>
    </w:p>
    <w:p w14:paraId="5564A712" w14:textId="77777777" w:rsidR="000031BD" w:rsidRPr="001C3803" w:rsidRDefault="000031BD" w:rsidP="000031BD">
      <w:pPr>
        <w:pStyle w:val="3-BodyText"/>
        <w:numPr>
          <w:ilvl w:val="0"/>
          <w:numId w:val="0"/>
        </w:numPr>
        <w:jc w:val="center"/>
        <w:rPr>
          <w:b/>
          <w:bCs/>
        </w:rPr>
      </w:pPr>
      <w:r w:rsidRPr="001C3803">
        <w:rPr>
          <w:b/>
          <w:bCs/>
        </w:rPr>
        <w:t>Committee in confidence</w:t>
      </w:r>
    </w:p>
    <w:p w14:paraId="116A41B9" w14:textId="4B224908" w:rsidR="000031BD" w:rsidRPr="00FE7E4A" w:rsidRDefault="000031BD" w:rsidP="000031BD">
      <w:pPr>
        <w:pStyle w:val="Caption"/>
        <w:rPr>
          <w:snapToGrid w:val="0"/>
          <w:lang w:eastAsia="en-US" w:bidi="en-US"/>
        </w:rPr>
      </w:pPr>
      <w:bookmarkStart w:id="101" w:name="_Ref130900265"/>
      <w:r>
        <w:t xml:space="preserve">Table </w:t>
      </w:r>
      <w:fldSimple w:instr=" SEQ Table \* ARABIC " w:fldLock="1">
        <w:r w:rsidR="00EC7993">
          <w:rPr>
            <w:noProof/>
          </w:rPr>
          <w:t>17</w:t>
        </w:r>
      </w:fldSimple>
      <w:bookmarkEnd w:id="101"/>
      <w:r>
        <w:t xml:space="preserve">: </w:t>
      </w:r>
      <w:r w:rsidRPr="00FE7E4A">
        <w:rPr>
          <w:lang w:eastAsia="en-US" w:bidi="en-US"/>
        </w:rPr>
        <w:t xml:space="preserve">Summary of </w:t>
      </w:r>
      <w:r>
        <w:rPr>
          <w:lang w:eastAsia="en-US" w:bidi="en-US"/>
        </w:rPr>
        <w:t>ICERs</w:t>
      </w:r>
    </w:p>
    <w:tbl>
      <w:tblPr>
        <w:tblStyle w:val="LashStyleTable1"/>
        <w:tblW w:w="5000" w:type="pct"/>
        <w:tblLook w:val="04A0" w:firstRow="1" w:lastRow="0" w:firstColumn="1" w:lastColumn="0" w:noHBand="0" w:noVBand="1"/>
      </w:tblPr>
      <w:tblGrid>
        <w:gridCol w:w="420"/>
        <w:gridCol w:w="5297"/>
        <w:gridCol w:w="3300"/>
      </w:tblGrid>
      <w:tr w:rsidR="000031BD" w:rsidRPr="00FE7E4A" w14:paraId="209A547B" w14:textId="77777777" w:rsidTr="006F69AD">
        <w:tc>
          <w:tcPr>
            <w:tcW w:w="3170" w:type="pct"/>
            <w:gridSpan w:val="2"/>
          </w:tcPr>
          <w:p w14:paraId="34680410" w14:textId="77777777" w:rsidR="000031BD" w:rsidRPr="00FE7E4A" w:rsidRDefault="000031BD" w:rsidP="00B71D61">
            <w:pPr>
              <w:keepNext/>
              <w:keepLines/>
              <w:rPr>
                <w:rFonts w:ascii="Arial Narrow" w:hAnsi="Arial Narrow" w:cs="Times New Roman"/>
                <w:b/>
                <w:bCs/>
                <w:snapToGrid w:val="0"/>
                <w:sz w:val="20"/>
                <w:szCs w:val="20"/>
                <w:highlight w:val="yellow"/>
              </w:rPr>
            </w:pPr>
            <w:r w:rsidRPr="00FE7E4A">
              <w:rPr>
                <w:rFonts w:ascii="Arial Narrow" w:hAnsi="Arial Narrow" w:cs="Times New Roman"/>
                <w:b/>
                <w:bCs/>
                <w:snapToGrid w:val="0"/>
                <w:sz w:val="20"/>
                <w:szCs w:val="20"/>
              </w:rPr>
              <w:t>Scenario</w:t>
            </w:r>
          </w:p>
        </w:tc>
        <w:tc>
          <w:tcPr>
            <w:tcW w:w="1830" w:type="pct"/>
          </w:tcPr>
          <w:p w14:paraId="1570B9F3" w14:textId="77777777" w:rsidR="000031BD" w:rsidRPr="00FE7E4A" w:rsidRDefault="000031BD" w:rsidP="00B71D61">
            <w:pPr>
              <w:keepNext/>
              <w:keepLines/>
              <w:rPr>
                <w:rFonts w:ascii="Arial Narrow" w:hAnsi="Arial Narrow" w:cs="Times New Roman"/>
                <w:b/>
                <w:bCs/>
                <w:snapToGrid w:val="0"/>
                <w:sz w:val="20"/>
                <w:szCs w:val="20"/>
              </w:rPr>
            </w:pPr>
            <w:r w:rsidRPr="00FE7E4A">
              <w:rPr>
                <w:rFonts w:ascii="Arial Narrow" w:hAnsi="Arial Narrow" w:cs="Times New Roman"/>
                <w:b/>
                <w:bCs/>
                <w:snapToGrid w:val="0"/>
                <w:sz w:val="20"/>
                <w:szCs w:val="20"/>
              </w:rPr>
              <w:t>ICER</w:t>
            </w:r>
          </w:p>
        </w:tc>
      </w:tr>
      <w:tr w:rsidR="000031BD" w:rsidRPr="00FE7E4A" w14:paraId="3EB0DEC0" w14:textId="77777777" w:rsidTr="00B71D61">
        <w:trPr>
          <w:trHeight w:val="669"/>
        </w:trPr>
        <w:tc>
          <w:tcPr>
            <w:tcW w:w="233" w:type="pct"/>
          </w:tcPr>
          <w:p w14:paraId="5BA7A4CF" w14:textId="77777777" w:rsidR="000031BD" w:rsidRPr="00FE7E4A" w:rsidRDefault="000031BD" w:rsidP="00B71D61">
            <w:pPr>
              <w:keepNext/>
              <w:keepLines/>
              <w:rPr>
                <w:rFonts w:ascii="Arial Narrow" w:hAnsi="Arial Narrow" w:cs="Times New Roman"/>
                <w:snapToGrid w:val="0"/>
                <w:sz w:val="20"/>
                <w:szCs w:val="20"/>
              </w:rPr>
            </w:pPr>
            <w:r w:rsidRPr="00FE7E4A">
              <w:rPr>
                <w:rFonts w:ascii="Arial Narrow" w:hAnsi="Arial Narrow" w:cs="Times New Roman"/>
                <w:snapToGrid w:val="0"/>
                <w:sz w:val="20"/>
                <w:szCs w:val="20"/>
              </w:rPr>
              <w:t>A.</w:t>
            </w:r>
          </w:p>
        </w:tc>
        <w:tc>
          <w:tcPr>
            <w:tcW w:w="2937" w:type="pct"/>
          </w:tcPr>
          <w:p w14:paraId="496A86E5" w14:textId="77777777" w:rsidR="000031BD" w:rsidRPr="00FE7E4A" w:rsidRDefault="000031BD" w:rsidP="00B71D61">
            <w:pPr>
              <w:keepNext/>
              <w:keepLines/>
              <w:rPr>
                <w:rFonts w:ascii="Arial Narrow" w:hAnsi="Arial Narrow" w:cs="Times New Roman"/>
                <w:snapToGrid w:val="0"/>
                <w:sz w:val="20"/>
                <w:szCs w:val="20"/>
              </w:rPr>
            </w:pPr>
            <w:r w:rsidRPr="00FE7E4A">
              <w:rPr>
                <w:rFonts w:ascii="Arial Narrow" w:hAnsi="Arial Narrow" w:cs="Times New Roman"/>
                <w:snapToGrid w:val="0"/>
                <w:sz w:val="20"/>
                <w:szCs w:val="20"/>
              </w:rPr>
              <w:t>Considered in November 2022, respecified economic model, using effective price of apremilast and indication specific price of adalimumab</w:t>
            </w:r>
            <w:r>
              <w:rPr>
                <w:rFonts w:ascii="Arial Narrow" w:hAnsi="Arial Narrow" w:cs="Times New Roman"/>
                <w:snapToGrid w:val="0"/>
                <w:sz w:val="20"/>
                <w:szCs w:val="20"/>
              </w:rPr>
              <w:t xml:space="preserve"> (as a proxy for bDMARDs)</w:t>
            </w:r>
          </w:p>
        </w:tc>
        <w:tc>
          <w:tcPr>
            <w:tcW w:w="1830" w:type="pct"/>
          </w:tcPr>
          <w:p w14:paraId="16C5D609" w14:textId="77777777" w:rsidR="000031BD" w:rsidRPr="00FE7E4A" w:rsidRDefault="000031BD" w:rsidP="00B71D61">
            <w:pPr>
              <w:keepNext/>
              <w:keepLines/>
              <w:ind w:left="720" w:hanging="720"/>
              <w:rPr>
                <w:rFonts w:cs="Times New Roman"/>
                <w:snapToGrid w:val="0"/>
                <w:sz w:val="20"/>
                <w:szCs w:val="22"/>
                <w:highlight w:val="yellow"/>
              </w:rPr>
            </w:pPr>
            <w:r w:rsidRPr="001F08D6">
              <w:rPr>
                <w:rFonts w:ascii="Arial Narrow" w:hAnsi="Arial Narrow" w:cs="Times New Roman"/>
                <w:color w:val="000000"/>
                <w:spacing w:val="18"/>
                <w:sz w:val="20"/>
                <w:szCs w:val="20"/>
                <w:shd w:val="solid" w:color="000000" w:fill="000000"/>
                <w:fitText w:val="481" w:id="-1252888576"/>
                <w14:textFill>
                  <w14:solidFill>
                    <w14:srgbClr w14:val="000000">
                      <w14:alpha w14:val="100000"/>
                    </w14:srgbClr>
                  </w14:solidFill>
                </w14:textFill>
              </w:rPr>
              <w:t>|||  ||</w:t>
            </w:r>
            <w:r w:rsidRPr="001F08D6">
              <w:rPr>
                <w:rFonts w:ascii="Arial Narrow" w:hAnsi="Arial Narrow" w:cs="Times New Roman"/>
                <w:color w:val="000000"/>
                <w:spacing w:val="5"/>
                <w:sz w:val="20"/>
                <w:szCs w:val="20"/>
                <w:shd w:val="solid" w:color="000000" w:fill="000000"/>
                <w:fitText w:val="481" w:id="-1252888576"/>
                <w14:textFill>
                  <w14:solidFill>
                    <w14:srgbClr w14:val="000000">
                      <w14:alpha w14:val="100000"/>
                    </w14:srgbClr>
                  </w14:solidFill>
                </w14:textFill>
              </w:rPr>
              <w:t>|</w:t>
            </w:r>
            <w:r w:rsidRPr="00380835">
              <w:rPr>
                <w:rFonts w:ascii="Arial Narrow" w:hAnsi="Arial Narrow" w:cs="Times New Roman"/>
                <w:sz w:val="20"/>
                <w:szCs w:val="20"/>
              </w:rPr>
              <w:t xml:space="preserve"> </w:t>
            </w:r>
            <w:r w:rsidRPr="00B71D61">
              <w:rPr>
                <w:rFonts w:ascii="Arial Narrow" w:hAnsi="Arial Narrow" w:cs="Times New Roman"/>
                <w:color w:val="000000"/>
                <w:spacing w:val="19"/>
                <w:sz w:val="20"/>
                <w:szCs w:val="20"/>
                <w:shd w:val="solid" w:color="000000" w:fill="000000"/>
                <w:fitText w:val="481" w:id="-1252888575"/>
                <w14:textFill>
                  <w14:solidFill>
                    <w14:srgbClr w14:val="000000">
                      <w14:alpha w14:val="100000"/>
                    </w14:srgbClr>
                  </w14:solidFill>
                </w14:textFill>
              </w:rPr>
              <w:t>|||  ||</w:t>
            </w:r>
            <w:r w:rsidRPr="00B71D61">
              <w:rPr>
                <w:rFonts w:ascii="Arial Narrow" w:hAnsi="Arial Narrow" w:cs="Times New Roman"/>
                <w:color w:val="000000"/>
                <w:spacing w:val="2"/>
                <w:sz w:val="20"/>
                <w:szCs w:val="20"/>
                <w:shd w:val="solid" w:color="000000" w:fill="000000"/>
                <w:fitText w:val="481" w:id="-1252888575"/>
                <w14:textFill>
                  <w14:solidFill>
                    <w14:srgbClr w14:val="000000">
                      <w14:alpha w14:val="100000"/>
                    </w14:srgbClr>
                  </w14:solidFill>
                </w14:textFill>
              </w:rPr>
              <w:t>|</w:t>
            </w:r>
          </w:p>
        </w:tc>
      </w:tr>
      <w:tr w:rsidR="000031BD" w:rsidRPr="00FE7E4A" w14:paraId="795D4D26" w14:textId="77777777" w:rsidTr="006F69AD">
        <w:tc>
          <w:tcPr>
            <w:tcW w:w="233" w:type="pct"/>
          </w:tcPr>
          <w:p w14:paraId="225E5088" w14:textId="77777777" w:rsidR="000031BD" w:rsidRPr="00FE7E4A" w:rsidRDefault="000031BD" w:rsidP="00B71D61">
            <w:pPr>
              <w:keepNext/>
              <w:keepLines/>
              <w:rPr>
                <w:rFonts w:ascii="Arial Narrow" w:hAnsi="Arial Narrow" w:cs="Times New Roman"/>
                <w:snapToGrid w:val="0"/>
                <w:sz w:val="20"/>
                <w:szCs w:val="20"/>
              </w:rPr>
            </w:pPr>
            <w:r w:rsidRPr="00FE7E4A">
              <w:rPr>
                <w:rFonts w:ascii="Arial Narrow" w:hAnsi="Arial Narrow" w:cs="Times New Roman"/>
                <w:snapToGrid w:val="0"/>
                <w:sz w:val="20"/>
                <w:szCs w:val="20"/>
              </w:rPr>
              <w:t>B.</w:t>
            </w:r>
          </w:p>
        </w:tc>
        <w:tc>
          <w:tcPr>
            <w:tcW w:w="2937" w:type="pct"/>
          </w:tcPr>
          <w:p w14:paraId="174430A6" w14:textId="77777777" w:rsidR="000031BD" w:rsidRPr="00FE7E4A" w:rsidRDefault="000031BD" w:rsidP="00B71D61">
            <w:pPr>
              <w:keepNext/>
              <w:keepLines/>
              <w:rPr>
                <w:rFonts w:ascii="Arial Narrow" w:hAnsi="Arial Narrow" w:cs="Times New Roman"/>
                <w:snapToGrid w:val="0"/>
                <w:sz w:val="20"/>
                <w:szCs w:val="20"/>
              </w:rPr>
            </w:pPr>
            <w:r w:rsidRPr="00FE7E4A">
              <w:rPr>
                <w:rFonts w:ascii="Arial Narrow" w:hAnsi="Arial Narrow" w:cs="Times New Roman"/>
                <w:snapToGrid w:val="0"/>
                <w:sz w:val="20"/>
                <w:szCs w:val="20"/>
              </w:rPr>
              <w:t>(A) and using revised price, February 2023</w:t>
            </w:r>
          </w:p>
        </w:tc>
        <w:tc>
          <w:tcPr>
            <w:tcW w:w="1830" w:type="pct"/>
          </w:tcPr>
          <w:p w14:paraId="2E0B0F78" w14:textId="77777777" w:rsidR="000031BD" w:rsidRPr="00FE7E4A" w:rsidRDefault="000031BD" w:rsidP="00B71D61">
            <w:pPr>
              <w:keepNext/>
              <w:keepLines/>
              <w:rPr>
                <w:rFonts w:ascii="Arial Narrow" w:hAnsi="Arial Narrow" w:cs="Times New Roman"/>
                <w:snapToGrid w:val="0"/>
                <w:sz w:val="20"/>
                <w:szCs w:val="20"/>
              </w:rPr>
            </w:pPr>
            <w:r w:rsidRPr="001F08D6">
              <w:rPr>
                <w:rFonts w:ascii="Arial Narrow" w:hAnsi="Arial Narrow" w:cs="Times New Roman"/>
                <w:color w:val="000000"/>
                <w:spacing w:val="18"/>
                <w:sz w:val="20"/>
                <w:szCs w:val="20"/>
                <w:shd w:val="solid" w:color="000000" w:fill="000000"/>
                <w:fitText w:val="481" w:id="-1252888574"/>
                <w14:textFill>
                  <w14:solidFill>
                    <w14:srgbClr w14:val="000000">
                      <w14:alpha w14:val="100000"/>
                    </w14:srgbClr>
                  </w14:solidFill>
                </w14:textFill>
              </w:rPr>
              <w:t>|||  ||</w:t>
            </w:r>
            <w:r w:rsidRPr="001F08D6">
              <w:rPr>
                <w:rFonts w:ascii="Arial Narrow" w:hAnsi="Arial Narrow" w:cs="Times New Roman"/>
                <w:color w:val="000000"/>
                <w:spacing w:val="5"/>
                <w:sz w:val="20"/>
                <w:szCs w:val="20"/>
                <w:shd w:val="solid" w:color="000000" w:fill="000000"/>
                <w:fitText w:val="481" w:id="-1252888574"/>
                <w14:textFill>
                  <w14:solidFill>
                    <w14:srgbClr w14:val="000000">
                      <w14:alpha w14:val="100000"/>
                    </w14:srgbClr>
                  </w14:solidFill>
                </w14:textFill>
              </w:rPr>
              <w:t>|</w:t>
            </w:r>
            <w:r w:rsidRPr="00380835">
              <w:rPr>
                <w:rFonts w:ascii="Arial Narrow" w:hAnsi="Arial Narrow" w:cs="Times New Roman"/>
                <w:sz w:val="20"/>
                <w:szCs w:val="20"/>
              </w:rPr>
              <w:t xml:space="preserve"> </w:t>
            </w:r>
            <w:r w:rsidRPr="00B71D61">
              <w:rPr>
                <w:rFonts w:ascii="Arial Narrow" w:hAnsi="Arial Narrow" w:cs="Times New Roman"/>
                <w:color w:val="000000"/>
                <w:spacing w:val="19"/>
                <w:sz w:val="20"/>
                <w:szCs w:val="20"/>
                <w:shd w:val="solid" w:color="000000" w:fill="000000"/>
                <w:fitText w:val="481" w:id="-1252888573"/>
                <w14:textFill>
                  <w14:solidFill>
                    <w14:srgbClr w14:val="000000">
                      <w14:alpha w14:val="100000"/>
                    </w14:srgbClr>
                  </w14:solidFill>
                </w14:textFill>
              </w:rPr>
              <w:t>|||  ||</w:t>
            </w:r>
            <w:r w:rsidRPr="00B71D61">
              <w:rPr>
                <w:rFonts w:ascii="Arial Narrow" w:hAnsi="Arial Narrow" w:cs="Times New Roman"/>
                <w:color w:val="000000"/>
                <w:spacing w:val="2"/>
                <w:sz w:val="20"/>
                <w:szCs w:val="20"/>
                <w:shd w:val="solid" w:color="000000" w:fill="000000"/>
                <w:fitText w:val="481" w:id="-1252888573"/>
                <w14:textFill>
                  <w14:solidFill>
                    <w14:srgbClr w14:val="000000">
                      <w14:alpha w14:val="100000"/>
                    </w14:srgbClr>
                  </w14:solidFill>
                </w14:textFill>
              </w:rPr>
              <w:t>|</w:t>
            </w:r>
          </w:p>
        </w:tc>
      </w:tr>
    </w:tbl>
    <w:p w14:paraId="0B65B3DA" w14:textId="77777777" w:rsidR="000031BD" w:rsidRPr="00A73A91" w:rsidRDefault="000031BD" w:rsidP="000031BD">
      <w:pPr>
        <w:pStyle w:val="3-BodyText"/>
        <w:numPr>
          <w:ilvl w:val="0"/>
          <w:numId w:val="0"/>
        </w:numPr>
        <w:rPr>
          <w:rFonts w:ascii="Arial Narrow" w:hAnsi="Arial Narrow"/>
          <w:sz w:val="20"/>
          <w:szCs w:val="20"/>
        </w:rPr>
      </w:pPr>
      <w:r>
        <w:rPr>
          <w:rFonts w:ascii="Arial Narrow" w:hAnsi="Arial Narrow"/>
          <w:sz w:val="20"/>
          <w:szCs w:val="20"/>
        </w:rPr>
        <w:t xml:space="preserve">bDMARDs = biologic disease modifying anti-rheumatic drugs; </w:t>
      </w:r>
      <w:r w:rsidRPr="00A73A91">
        <w:rPr>
          <w:rFonts w:ascii="Arial Narrow" w:hAnsi="Arial Narrow"/>
          <w:sz w:val="20"/>
          <w:szCs w:val="20"/>
        </w:rPr>
        <w:t>ICER = incremental cost effectiveness ratio</w:t>
      </w:r>
      <w:r>
        <w:rPr>
          <w:rFonts w:ascii="Arial Narrow" w:hAnsi="Arial Narrow"/>
          <w:sz w:val="20"/>
          <w:szCs w:val="20"/>
        </w:rPr>
        <w:t>; QALY = quality adjusted life year</w:t>
      </w:r>
    </w:p>
    <w:p w14:paraId="57B16E36" w14:textId="77777777" w:rsidR="000031BD" w:rsidRPr="001C3803" w:rsidRDefault="000031BD" w:rsidP="000031BD">
      <w:pPr>
        <w:pStyle w:val="3-BodyText"/>
        <w:numPr>
          <w:ilvl w:val="0"/>
          <w:numId w:val="0"/>
        </w:numPr>
        <w:jc w:val="center"/>
        <w:rPr>
          <w:b/>
          <w:bCs/>
        </w:rPr>
      </w:pPr>
      <w:r w:rsidRPr="001C3803">
        <w:rPr>
          <w:b/>
          <w:bCs/>
        </w:rPr>
        <w:t>End committee in confidence</w:t>
      </w:r>
    </w:p>
    <w:p w14:paraId="4CDDFA6A" w14:textId="77777777" w:rsidR="000031BD" w:rsidRPr="00FE7E4A" w:rsidRDefault="000031BD" w:rsidP="000031BD">
      <w:pPr>
        <w:pStyle w:val="4-SubsectionHeading"/>
        <w:rPr>
          <w:iCs/>
        </w:rPr>
      </w:pPr>
      <w:r w:rsidRPr="00FE7E4A">
        <w:rPr>
          <w:iCs/>
        </w:rPr>
        <w:t>Estimated PBS usage &amp; financial implications</w:t>
      </w:r>
    </w:p>
    <w:p w14:paraId="7ADC8474" w14:textId="5D5DF6D1" w:rsidR="000031BD" w:rsidRPr="007E61A0" w:rsidRDefault="000031BD" w:rsidP="000031BD">
      <w:pPr>
        <w:pStyle w:val="3-BodyText"/>
      </w:pPr>
      <w:r>
        <w:fldChar w:fldCharType="begin" w:fldLock="1"/>
      </w:r>
      <w:r>
        <w:instrText xml:space="preserve"> REF _Ref130481651 \h </w:instrText>
      </w:r>
      <w:r>
        <w:fldChar w:fldCharType="separate"/>
      </w:r>
      <w:r w:rsidR="00EC7993" w:rsidRPr="007E61A0">
        <w:t xml:space="preserve">Table </w:t>
      </w:r>
      <w:r w:rsidR="00EC7993">
        <w:rPr>
          <w:noProof/>
        </w:rPr>
        <w:t>18</w:t>
      </w:r>
      <w:r>
        <w:fldChar w:fldCharType="end"/>
      </w:r>
      <w:r w:rsidRPr="007E61A0">
        <w:t xml:space="preserve"> presents the estimated use and financial implications of the proposed listing, based on the </w:t>
      </w:r>
      <w:r>
        <w:t xml:space="preserve">revised </w:t>
      </w:r>
      <w:r w:rsidRPr="007E61A0">
        <w:t>effective price for deucravacitinib</w:t>
      </w:r>
      <w:r>
        <w:t xml:space="preserve">, reduced uptake </w:t>
      </w:r>
      <w:r w:rsidRPr="007E61A0">
        <w:t xml:space="preserve">and published prices for other treatments. </w:t>
      </w:r>
      <w:r>
        <w:t xml:space="preserve">The estimates include offsets for reduced use of apremilast, ciclosporin, acitretin and adalimumab (as a proxy for bDMARDs). </w:t>
      </w:r>
    </w:p>
    <w:p w14:paraId="78D24F12" w14:textId="6FF4FEC6" w:rsidR="000031BD" w:rsidRPr="007E61A0" w:rsidRDefault="000031BD" w:rsidP="000031BD">
      <w:pPr>
        <w:pStyle w:val="Caption"/>
      </w:pPr>
      <w:bookmarkStart w:id="102" w:name="_Ref130481651"/>
      <w:r w:rsidRPr="007E61A0">
        <w:lastRenderedPageBreak/>
        <w:t xml:space="preserve">Table </w:t>
      </w:r>
      <w:fldSimple w:instr=" SEQ Table \* ARABIC " w:fldLock="1">
        <w:r w:rsidR="00EC7993">
          <w:rPr>
            <w:noProof/>
          </w:rPr>
          <w:t>18</w:t>
        </w:r>
      </w:fldSimple>
      <w:bookmarkEnd w:id="102"/>
      <w:r w:rsidRPr="007E61A0">
        <w:t>:</w:t>
      </w:r>
      <w:r w:rsidRPr="007E61A0">
        <w:rPr>
          <w:rStyle w:val="CommentReference"/>
          <w:b/>
          <w:szCs w:val="24"/>
        </w:rPr>
        <w:t xml:space="preserve"> Estimated use and financial implications </w:t>
      </w:r>
    </w:p>
    <w:tbl>
      <w:tblPr>
        <w:tblStyle w:val="LashStyleTable1"/>
        <w:tblW w:w="5502" w:type="pct"/>
        <w:tblInd w:w="-147" w:type="dxa"/>
        <w:tblLayout w:type="fixed"/>
        <w:tblLook w:val="04A0" w:firstRow="1" w:lastRow="0" w:firstColumn="1" w:lastColumn="0" w:noHBand="0" w:noVBand="1"/>
      </w:tblPr>
      <w:tblGrid>
        <w:gridCol w:w="1843"/>
        <w:gridCol w:w="1133"/>
        <w:gridCol w:w="1278"/>
        <w:gridCol w:w="1419"/>
        <w:gridCol w:w="1423"/>
        <w:gridCol w:w="1415"/>
        <w:gridCol w:w="1411"/>
      </w:tblGrid>
      <w:tr w:rsidR="001F08D6" w14:paraId="6912A994" w14:textId="77777777" w:rsidTr="00B71D61">
        <w:tc>
          <w:tcPr>
            <w:tcW w:w="929" w:type="pct"/>
            <w:hideMark/>
          </w:tcPr>
          <w:p w14:paraId="37306C56" w14:textId="77777777" w:rsidR="000031BD" w:rsidRPr="00314F11" w:rsidRDefault="000031BD" w:rsidP="006F69AD">
            <w:pPr>
              <w:pStyle w:val="null1"/>
              <w:keepNext/>
              <w:snapToGrid w:val="0"/>
              <w:jc w:val="center"/>
              <w:rPr>
                <w:rFonts w:ascii="Arial Narrow" w:hAnsi="Arial Narrow"/>
                <w:sz w:val="20"/>
                <w:szCs w:val="20"/>
              </w:rPr>
            </w:pPr>
            <w:r w:rsidRPr="00314F11">
              <w:rPr>
                <w:rStyle w:val="null"/>
                <w:rFonts w:ascii="Arial Narrow" w:hAnsi="Arial Narrow"/>
                <w:b/>
                <w:bCs/>
                <w:color w:val="000000"/>
                <w:sz w:val="20"/>
                <w:szCs w:val="20"/>
              </w:rPr>
              <w:t> </w:t>
            </w:r>
          </w:p>
        </w:tc>
        <w:tc>
          <w:tcPr>
            <w:tcW w:w="571" w:type="pct"/>
            <w:hideMark/>
          </w:tcPr>
          <w:p w14:paraId="57B8F063" w14:textId="77777777" w:rsidR="000031BD" w:rsidRPr="00314F11" w:rsidRDefault="000031BD" w:rsidP="006F69AD">
            <w:pPr>
              <w:pStyle w:val="null1"/>
              <w:keepNext/>
              <w:snapToGrid w:val="0"/>
              <w:jc w:val="center"/>
              <w:rPr>
                <w:rFonts w:ascii="Arial Narrow" w:hAnsi="Arial Narrow"/>
                <w:sz w:val="20"/>
                <w:szCs w:val="20"/>
              </w:rPr>
            </w:pPr>
            <w:r w:rsidRPr="00314F11">
              <w:rPr>
                <w:rStyle w:val="null"/>
                <w:rFonts w:ascii="Arial Narrow" w:hAnsi="Arial Narrow"/>
                <w:b/>
                <w:bCs/>
                <w:color w:val="000000"/>
                <w:sz w:val="20"/>
                <w:szCs w:val="20"/>
              </w:rPr>
              <w:t>Year 1</w:t>
            </w:r>
          </w:p>
        </w:tc>
        <w:tc>
          <w:tcPr>
            <w:tcW w:w="644" w:type="pct"/>
            <w:hideMark/>
          </w:tcPr>
          <w:p w14:paraId="6CEAFB4D" w14:textId="77777777" w:rsidR="000031BD" w:rsidRPr="00314F11" w:rsidRDefault="000031BD" w:rsidP="006F69AD">
            <w:pPr>
              <w:pStyle w:val="null1"/>
              <w:keepNext/>
              <w:snapToGrid w:val="0"/>
              <w:jc w:val="center"/>
              <w:rPr>
                <w:rFonts w:ascii="Arial Narrow" w:hAnsi="Arial Narrow"/>
                <w:sz w:val="20"/>
                <w:szCs w:val="20"/>
              </w:rPr>
            </w:pPr>
            <w:r w:rsidRPr="00314F11">
              <w:rPr>
                <w:rStyle w:val="null"/>
                <w:rFonts w:ascii="Arial Narrow" w:hAnsi="Arial Narrow"/>
                <w:b/>
                <w:bCs/>
                <w:color w:val="000000"/>
                <w:sz w:val="20"/>
                <w:szCs w:val="20"/>
              </w:rPr>
              <w:t>Year 2</w:t>
            </w:r>
          </w:p>
        </w:tc>
        <w:tc>
          <w:tcPr>
            <w:tcW w:w="715" w:type="pct"/>
            <w:hideMark/>
          </w:tcPr>
          <w:p w14:paraId="0DB7A40C" w14:textId="77777777" w:rsidR="000031BD" w:rsidRPr="00314F11" w:rsidRDefault="000031BD" w:rsidP="006F69AD">
            <w:pPr>
              <w:pStyle w:val="null1"/>
              <w:keepNext/>
              <w:snapToGrid w:val="0"/>
              <w:jc w:val="center"/>
              <w:rPr>
                <w:rFonts w:ascii="Arial Narrow" w:hAnsi="Arial Narrow"/>
                <w:sz w:val="20"/>
                <w:szCs w:val="20"/>
              </w:rPr>
            </w:pPr>
            <w:r w:rsidRPr="00314F11">
              <w:rPr>
                <w:rStyle w:val="null"/>
                <w:rFonts w:ascii="Arial Narrow" w:hAnsi="Arial Narrow"/>
                <w:b/>
                <w:bCs/>
                <w:color w:val="000000"/>
                <w:sz w:val="20"/>
                <w:szCs w:val="20"/>
              </w:rPr>
              <w:t>Year 3</w:t>
            </w:r>
          </w:p>
        </w:tc>
        <w:tc>
          <w:tcPr>
            <w:tcW w:w="717" w:type="pct"/>
            <w:hideMark/>
          </w:tcPr>
          <w:p w14:paraId="591D2990" w14:textId="77777777" w:rsidR="000031BD" w:rsidRPr="00314F11" w:rsidRDefault="000031BD" w:rsidP="006F69AD">
            <w:pPr>
              <w:pStyle w:val="null1"/>
              <w:keepNext/>
              <w:snapToGrid w:val="0"/>
              <w:jc w:val="center"/>
              <w:rPr>
                <w:rFonts w:ascii="Arial Narrow" w:hAnsi="Arial Narrow"/>
                <w:sz w:val="20"/>
                <w:szCs w:val="20"/>
              </w:rPr>
            </w:pPr>
            <w:r w:rsidRPr="00314F11">
              <w:rPr>
                <w:rStyle w:val="null"/>
                <w:rFonts w:ascii="Arial Narrow" w:hAnsi="Arial Narrow"/>
                <w:b/>
                <w:bCs/>
                <w:color w:val="000000"/>
                <w:sz w:val="20"/>
                <w:szCs w:val="20"/>
              </w:rPr>
              <w:t>Year 4</w:t>
            </w:r>
          </w:p>
        </w:tc>
        <w:tc>
          <w:tcPr>
            <w:tcW w:w="713" w:type="pct"/>
            <w:hideMark/>
          </w:tcPr>
          <w:p w14:paraId="4ED064E9" w14:textId="77777777" w:rsidR="000031BD" w:rsidRPr="00314F11" w:rsidRDefault="000031BD" w:rsidP="006F69AD">
            <w:pPr>
              <w:pStyle w:val="null1"/>
              <w:keepNext/>
              <w:snapToGrid w:val="0"/>
              <w:jc w:val="center"/>
              <w:rPr>
                <w:rFonts w:ascii="Arial Narrow" w:hAnsi="Arial Narrow"/>
                <w:sz w:val="20"/>
                <w:szCs w:val="20"/>
              </w:rPr>
            </w:pPr>
            <w:r w:rsidRPr="00314F11">
              <w:rPr>
                <w:rStyle w:val="null"/>
                <w:rFonts w:ascii="Arial Narrow" w:hAnsi="Arial Narrow"/>
                <w:b/>
                <w:bCs/>
                <w:color w:val="000000"/>
                <w:sz w:val="20"/>
                <w:szCs w:val="20"/>
              </w:rPr>
              <w:t>Year 5</w:t>
            </w:r>
          </w:p>
        </w:tc>
        <w:tc>
          <w:tcPr>
            <w:tcW w:w="711" w:type="pct"/>
            <w:hideMark/>
          </w:tcPr>
          <w:p w14:paraId="2BBC1231" w14:textId="77777777" w:rsidR="000031BD" w:rsidRPr="00314F11" w:rsidRDefault="000031BD" w:rsidP="006F69AD">
            <w:pPr>
              <w:pStyle w:val="null1"/>
              <w:keepNext/>
              <w:snapToGrid w:val="0"/>
              <w:jc w:val="center"/>
              <w:rPr>
                <w:rFonts w:ascii="Arial Narrow" w:hAnsi="Arial Narrow"/>
                <w:sz w:val="20"/>
                <w:szCs w:val="20"/>
              </w:rPr>
            </w:pPr>
            <w:r w:rsidRPr="00314F11">
              <w:rPr>
                <w:rStyle w:val="null"/>
                <w:rFonts w:ascii="Arial Narrow" w:hAnsi="Arial Narrow"/>
                <w:b/>
                <w:bCs/>
                <w:color w:val="000000"/>
                <w:sz w:val="20"/>
                <w:szCs w:val="20"/>
              </w:rPr>
              <w:t>Year 6</w:t>
            </w:r>
          </w:p>
        </w:tc>
      </w:tr>
      <w:tr w:rsidR="000031BD" w14:paraId="0D2444FE" w14:textId="77777777" w:rsidTr="001F08D6">
        <w:tc>
          <w:tcPr>
            <w:tcW w:w="5000" w:type="pct"/>
            <w:gridSpan w:val="7"/>
            <w:hideMark/>
          </w:tcPr>
          <w:p w14:paraId="0C00936C" w14:textId="77777777" w:rsidR="000031BD" w:rsidRPr="00314F11" w:rsidRDefault="000031BD" w:rsidP="006F69AD">
            <w:pPr>
              <w:pStyle w:val="null1"/>
              <w:keepNext/>
              <w:snapToGrid w:val="0"/>
              <w:rPr>
                <w:rFonts w:ascii="Arial Narrow" w:hAnsi="Arial Narrow"/>
                <w:sz w:val="20"/>
                <w:szCs w:val="20"/>
              </w:rPr>
            </w:pPr>
            <w:r w:rsidRPr="00314F11">
              <w:rPr>
                <w:rStyle w:val="null"/>
                <w:rFonts w:ascii="Arial Narrow" w:hAnsi="Arial Narrow"/>
                <w:b/>
                <w:bCs/>
                <w:color w:val="000000"/>
                <w:sz w:val="20"/>
                <w:szCs w:val="20"/>
              </w:rPr>
              <w:t>Estimated extent of use</w:t>
            </w:r>
          </w:p>
        </w:tc>
      </w:tr>
      <w:tr w:rsidR="001F08D6" w14:paraId="69BE8CA9" w14:textId="77777777" w:rsidTr="00B71D61">
        <w:tc>
          <w:tcPr>
            <w:tcW w:w="929" w:type="pct"/>
            <w:hideMark/>
          </w:tcPr>
          <w:p w14:paraId="437784F0"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Number of patients eligible</w:t>
            </w:r>
          </w:p>
        </w:tc>
        <w:tc>
          <w:tcPr>
            <w:tcW w:w="571" w:type="pct"/>
            <w:hideMark/>
          </w:tcPr>
          <w:p w14:paraId="5B33BBA9" w14:textId="1EAC3DD4" w:rsidR="000031BD" w:rsidRPr="00314F11" w:rsidRDefault="001F08D6" w:rsidP="006F69AD">
            <w:pPr>
              <w:pStyle w:val="null1"/>
              <w:keepNext/>
              <w:snapToGrid w:val="0"/>
              <w:jc w:val="center"/>
              <w:rPr>
                <w:rFonts w:ascii="Arial Narrow" w:hAnsi="Arial Narrow"/>
                <w:sz w:val="20"/>
                <w:szCs w:val="20"/>
              </w:rPr>
            </w:pPr>
            <w:r w:rsidRPr="001F08D6">
              <w:rPr>
                <w:rFonts w:ascii="Arial Narrow" w:hAnsi="Arial Narrow"/>
                <w:color w:val="000000"/>
                <w:spacing w:val="45"/>
                <w:sz w:val="20"/>
                <w:szCs w:val="20"/>
                <w:shd w:val="solid" w:color="000000" w:fill="000000"/>
                <w:fitText w:val="308" w:id="-1236624123"/>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23"/>
                <w14:textFill>
                  <w14:solidFill>
                    <w14:srgbClr w14:val="000000">
                      <w14:alpha w14:val="100000"/>
                    </w14:srgbClr>
                  </w14:solidFill>
                </w14:textFill>
              </w:rPr>
              <w:t>|</w:t>
            </w:r>
            <w:r w:rsidR="00D13A3C" w:rsidRPr="00D13A3C">
              <w:rPr>
                <w:rFonts w:ascii="Arial Narrow" w:hAnsi="Arial Narrow"/>
                <w:sz w:val="20"/>
                <w:szCs w:val="20"/>
                <w:vertAlign w:val="superscript"/>
              </w:rPr>
              <w:t>1</w:t>
            </w:r>
          </w:p>
        </w:tc>
        <w:tc>
          <w:tcPr>
            <w:tcW w:w="644" w:type="pct"/>
            <w:hideMark/>
          </w:tcPr>
          <w:p w14:paraId="6AB31F61" w14:textId="662B72C0" w:rsidR="000031BD" w:rsidRPr="00314F11" w:rsidRDefault="001F08D6" w:rsidP="006F69AD">
            <w:pPr>
              <w:pStyle w:val="null1"/>
              <w:keepNext/>
              <w:snapToGrid w:val="0"/>
              <w:jc w:val="center"/>
              <w:rPr>
                <w:rFonts w:ascii="Arial Narrow" w:hAnsi="Arial Narrow"/>
                <w:sz w:val="20"/>
                <w:szCs w:val="20"/>
              </w:rPr>
            </w:pPr>
            <w:r w:rsidRPr="001F08D6">
              <w:rPr>
                <w:rFonts w:ascii="Arial Narrow" w:hAnsi="Arial Narrow"/>
                <w:color w:val="000000"/>
                <w:spacing w:val="45"/>
                <w:sz w:val="20"/>
                <w:szCs w:val="20"/>
                <w:shd w:val="solid" w:color="000000" w:fill="000000"/>
                <w:fitText w:val="308" w:id="-1236624122"/>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22"/>
                <w14:textFill>
                  <w14:solidFill>
                    <w14:srgbClr w14:val="000000">
                      <w14:alpha w14:val="100000"/>
                    </w14:srgbClr>
                  </w14:solidFill>
                </w14:textFill>
              </w:rPr>
              <w:t>|</w:t>
            </w:r>
            <w:r w:rsidR="00D13A3C" w:rsidRPr="00D13A3C">
              <w:rPr>
                <w:rFonts w:ascii="Arial Narrow" w:hAnsi="Arial Narrow"/>
                <w:sz w:val="20"/>
                <w:szCs w:val="20"/>
                <w:vertAlign w:val="superscript"/>
              </w:rPr>
              <w:t>1</w:t>
            </w:r>
          </w:p>
        </w:tc>
        <w:tc>
          <w:tcPr>
            <w:tcW w:w="715" w:type="pct"/>
            <w:hideMark/>
          </w:tcPr>
          <w:p w14:paraId="74C7B609" w14:textId="42D2503C" w:rsidR="000031BD" w:rsidRPr="00314F11" w:rsidRDefault="001F08D6" w:rsidP="006F69AD">
            <w:pPr>
              <w:pStyle w:val="null1"/>
              <w:keepNext/>
              <w:snapToGrid w:val="0"/>
              <w:jc w:val="center"/>
              <w:rPr>
                <w:rFonts w:ascii="Arial Narrow" w:hAnsi="Arial Narrow"/>
                <w:sz w:val="20"/>
                <w:szCs w:val="20"/>
              </w:rPr>
            </w:pPr>
            <w:r w:rsidRPr="001F08D6">
              <w:rPr>
                <w:rFonts w:ascii="Arial Narrow" w:hAnsi="Arial Narrow"/>
                <w:color w:val="000000"/>
                <w:spacing w:val="45"/>
                <w:sz w:val="20"/>
                <w:szCs w:val="20"/>
                <w:shd w:val="solid" w:color="000000" w:fill="000000"/>
                <w:fitText w:val="308" w:id="-1236624121"/>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21"/>
                <w14:textFill>
                  <w14:solidFill>
                    <w14:srgbClr w14:val="000000">
                      <w14:alpha w14:val="100000"/>
                    </w14:srgbClr>
                  </w14:solidFill>
                </w14:textFill>
              </w:rPr>
              <w:t>|</w:t>
            </w:r>
            <w:r w:rsidR="00D13A3C" w:rsidRPr="00D13A3C">
              <w:rPr>
                <w:rFonts w:ascii="Arial Narrow" w:hAnsi="Arial Narrow"/>
                <w:sz w:val="20"/>
                <w:szCs w:val="20"/>
                <w:vertAlign w:val="superscript"/>
              </w:rPr>
              <w:t>1</w:t>
            </w:r>
          </w:p>
        </w:tc>
        <w:tc>
          <w:tcPr>
            <w:tcW w:w="717" w:type="pct"/>
            <w:hideMark/>
          </w:tcPr>
          <w:p w14:paraId="2C9F6364" w14:textId="672C5B81" w:rsidR="000031BD" w:rsidRPr="00314F11" w:rsidRDefault="001F08D6" w:rsidP="006F69AD">
            <w:pPr>
              <w:pStyle w:val="null1"/>
              <w:keepNext/>
              <w:snapToGrid w:val="0"/>
              <w:jc w:val="center"/>
              <w:rPr>
                <w:rFonts w:ascii="Arial Narrow" w:hAnsi="Arial Narrow"/>
                <w:sz w:val="20"/>
                <w:szCs w:val="20"/>
              </w:rPr>
            </w:pPr>
            <w:r w:rsidRPr="001F08D6">
              <w:rPr>
                <w:rFonts w:ascii="Arial Narrow" w:hAnsi="Arial Narrow"/>
                <w:color w:val="000000"/>
                <w:spacing w:val="205"/>
                <w:sz w:val="20"/>
                <w:szCs w:val="20"/>
                <w:shd w:val="solid" w:color="000000" w:fill="000000"/>
                <w:fitText w:val="291" w:id="-1236624120"/>
                <w14:textFill>
                  <w14:solidFill>
                    <w14:srgbClr w14:val="000000">
                      <w14:alpha w14:val="100000"/>
                    </w14:srgbClr>
                  </w14:solidFill>
                </w14:textFill>
              </w:rPr>
              <w:t>|</w:t>
            </w:r>
            <w:r w:rsidRPr="001F08D6">
              <w:rPr>
                <w:rFonts w:ascii="Arial Narrow" w:hAnsi="Arial Narrow"/>
                <w:color w:val="000000"/>
                <w:spacing w:val="1"/>
                <w:sz w:val="20"/>
                <w:szCs w:val="20"/>
                <w:shd w:val="solid" w:color="000000" w:fill="000000"/>
                <w:fitText w:val="291" w:id="-1236624120"/>
                <w14:textFill>
                  <w14:solidFill>
                    <w14:srgbClr w14:val="000000">
                      <w14:alpha w14:val="100000"/>
                    </w14:srgbClr>
                  </w14:solidFill>
                </w14:textFill>
              </w:rPr>
              <w:t>|</w:t>
            </w:r>
            <w:r w:rsidR="00D13A3C" w:rsidRPr="00D13A3C">
              <w:rPr>
                <w:rFonts w:ascii="Arial Narrow" w:hAnsi="Arial Narrow"/>
                <w:sz w:val="20"/>
                <w:szCs w:val="20"/>
                <w:vertAlign w:val="superscript"/>
              </w:rPr>
              <w:t>1</w:t>
            </w:r>
          </w:p>
        </w:tc>
        <w:tc>
          <w:tcPr>
            <w:tcW w:w="713" w:type="pct"/>
            <w:hideMark/>
          </w:tcPr>
          <w:p w14:paraId="79B4D15C" w14:textId="69AB923E" w:rsidR="000031BD" w:rsidRPr="00314F11" w:rsidRDefault="001F08D6" w:rsidP="006F69AD">
            <w:pPr>
              <w:pStyle w:val="null1"/>
              <w:keepNext/>
              <w:snapToGrid w:val="0"/>
              <w:jc w:val="center"/>
              <w:rPr>
                <w:rFonts w:ascii="Arial Narrow" w:hAnsi="Arial Narrow"/>
                <w:sz w:val="20"/>
                <w:szCs w:val="20"/>
              </w:rPr>
            </w:pPr>
            <w:r w:rsidRPr="001F08D6">
              <w:rPr>
                <w:rFonts w:ascii="Arial Narrow" w:hAnsi="Arial Narrow"/>
                <w:color w:val="000000"/>
                <w:spacing w:val="45"/>
                <w:sz w:val="20"/>
                <w:szCs w:val="20"/>
                <w:shd w:val="solid" w:color="000000" w:fill="000000"/>
                <w:fitText w:val="308" w:id="-1236624119"/>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19"/>
                <w14:textFill>
                  <w14:solidFill>
                    <w14:srgbClr w14:val="000000">
                      <w14:alpha w14:val="100000"/>
                    </w14:srgbClr>
                  </w14:solidFill>
                </w14:textFill>
              </w:rPr>
              <w:t>|</w:t>
            </w:r>
            <w:r w:rsidR="00D13A3C" w:rsidRPr="00D13A3C">
              <w:rPr>
                <w:rFonts w:ascii="Arial Narrow" w:hAnsi="Arial Narrow"/>
                <w:sz w:val="20"/>
                <w:szCs w:val="20"/>
                <w:vertAlign w:val="superscript"/>
              </w:rPr>
              <w:t>1</w:t>
            </w:r>
          </w:p>
        </w:tc>
        <w:tc>
          <w:tcPr>
            <w:tcW w:w="711" w:type="pct"/>
            <w:hideMark/>
          </w:tcPr>
          <w:p w14:paraId="28D0B50D" w14:textId="7F0023AE" w:rsidR="000031BD" w:rsidRPr="00314F11" w:rsidRDefault="001F08D6" w:rsidP="006F69AD">
            <w:pPr>
              <w:pStyle w:val="null1"/>
              <w:keepNext/>
              <w:snapToGrid w:val="0"/>
              <w:jc w:val="center"/>
              <w:rPr>
                <w:rFonts w:ascii="Arial Narrow" w:hAnsi="Arial Narrow"/>
                <w:sz w:val="20"/>
                <w:szCs w:val="20"/>
              </w:rPr>
            </w:pPr>
            <w:r w:rsidRPr="001F08D6">
              <w:rPr>
                <w:rFonts w:ascii="Arial Narrow" w:hAnsi="Arial Narrow"/>
                <w:color w:val="000000"/>
                <w:spacing w:val="45"/>
                <w:sz w:val="20"/>
                <w:szCs w:val="20"/>
                <w:shd w:val="solid" w:color="000000" w:fill="000000"/>
                <w:fitText w:val="308" w:id="-1236624118"/>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18"/>
                <w14:textFill>
                  <w14:solidFill>
                    <w14:srgbClr w14:val="000000">
                      <w14:alpha w14:val="100000"/>
                    </w14:srgbClr>
                  </w14:solidFill>
                </w14:textFill>
              </w:rPr>
              <w:t>|</w:t>
            </w:r>
            <w:r w:rsidR="00D13A3C" w:rsidRPr="00D13A3C">
              <w:rPr>
                <w:rFonts w:ascii="Arial Narrow" w:hAnsi="Arial Narrow"/>
                <w:sz w:val="20"/>
                <w:szCs w:val="20"/>
                <w:vertAlign w:val="superscript"/>
              </w:rPr>
              <w:t>1</w:t>
            </w:r>
          </w:p>
        </w:tc>
      </w:tr>
      <w:tr w:rsidR="001F08D6" w14:paraId="3908866A" w14:textId="77777777" w:rsidTr="00B71D61">
        <w:tc>
          <w:tcPr>
            <w:tcW w:w="929" w:type="pct"/>
            <w:hideMark/>
          </w:tcPr>
          <w:p w14:paraId="4E272089"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 xml:space="preserve">Uptake </w:t>
            </w:r>
          </w:p>
        </w:tc>
        <w:tc>
          <w:tcPr>
            <w:tcW w:w="571" w:type="pct"/>
            <w:hideMark/>
          </w:tcPr>
          <w:p w14:paraId="4E180C3F" w14:textId="77777777" w:rsidR="000031BD" w:rsidRPr="00314F11" w:rsidRDefault="000031BD" w:rsidP="006F69AD">
            <w:pPr>
              <w:pStyle w:val="null1"/>
              <w:keepNext/>
              <w:snapToGrid w:val="0"/>
              <w:jc w:val="center"/>
              <w:rPr>
                <w:rFonts w:ascii="Arial Narrow" w:hAnsi="Arial Narrow"/>
                <w:sz w:val="20"/>
                <w:szCs w:val="20"/>
              </w:rPr>
            </w:pPr>
            <w:r w:rsidRPr="00314F11">
              <w:rPr>
                <w:rFonts w:ascii="Arial Narrow" w:hAnsi="Arial Narrow"/>
                <w:sz w:val="20"/>
                <w:szCs w:val="20"/>
              </w:rPr>
              <w:t>7.50%</w:t>
            </w:r>
          </w:p>
        </w:tc>
        <w:tc>
          <w:tcPr>
            <w:tcW w:w="644" w:type="pct"/>
            <w:hideMark/>
          </w:tcPr>
          <w:p w14:paraId="0B9ABCFC" w14:textId="77777777" w:rsidR="000031BD" w:rsidRPr="00314F11" w:rsidRDefault="000031BD" w:rsidP="006F69AD">
            <w:pPr>
              <w:pStyle w:val="null1"/>
              <w:keepNext/>
              <w:snapToGrid w:val="0"/>
              <w:jc w:val="center"/>
              <w:rPr>
                <w:rFonts w:ascii="Arial Narrow" w:hAnsi="Arial Narrow"/>
                <w:sz w:val="20"/>
                <w:szCs w:val="20"/>
              </w:rPr>
            </w:pPr>
            <w:r w:rsidRPr="00314F11">
              <w:rPr>
                <w:rFonts w:ascii="Arial Narrow" w:hAnsi="Arial Narrow"/>
                <w:sz w:val="20"/>
                <w:szCs w:val="20"/>
              </w:rPr>
              <w:t>15.00%</w:t>
            </w:r>
          </w:p>
        </w:tc>
        <w:tc>
          <w:tcPr>
            <w:tcW w:w="715" w:type="pct"/>
            <w:hideMark/>
          </w:tcPr>
          <w:p w14:paraId="4A50B8D5" w14:textId="77777777" w:rsidR="000031BD" w:rsidRPr="00314F11" w:rsidRDefault="000031BD" w:rsidP="006F69AD">
            <w:pPr>
              <w:pStyle w:val="null1"/>
              <w:keepNext/>
              <w:snapToGrid w:val="0"/>
              <w:jc w:val="center"/>
              <w:rPr>
                <w:rFonts w:ascii="Arial Narrow" w:hAnsi="Arial Narrow"/>
                <w:sz w:val="20"/>
                <w:szCs w:val="20"/>
              </w:rPr>
            </w:pPr>
            <w:r w:rsidRPr="00314F11">
              <w:rPr>
                <w:rFonts w:ascii="Arial Narrow" w:hAnsi="Arial Narrow"/>
                <w:sz w:val="20"/>
                <w:szCs w:val="20"/>
              </w:rPr>
              <w:t>22.50%</w:t>
            </w:r>
          </w:p>
        </w:tc>
        <w:tc>
          <w:tcPr>
            <w:tcW w:w="717" w:type="pct"/>
            <w:hideMark/>
          </w:tcPr>
          <w:p w14:paraId="15CFA071" w14:textId="77777777" w:rsidR="000031BD" w:rsidRPr="00314F11" w:rsidRDefault="000031BD" w:rsidP="006F69AD">
            <w:pPr>
              <w:pStyle w:val="null1"/>
              <w:keepNext/>
              <w:snapToGrid w:val="0"/>
              <w:jc w:val="center"/>
              <w:rPr>
                <w:rFonts w:ascii="Arial Narrow" w:hAnsi="Arial Narrow"/>
                <w:sz w:val="20"/>
                <w:szCs w:val="20"/>
              </w:rPr>
            </w:pPr>
            <w:r w:rsidRPr="00314F11">
              <w:rPr>
                <w:rFonts w:ascii="Arial Narrow" w:hAnsi="Arial Narrow"/>
                <w:sz w:val="20"/>
                <w:szCs w:val="20"/>
              </w:rPr>
              <w:t>27.50%</w:t>
            </w:r>
          </w:p>
        </w:tc>
        <w:tc>
          <w:tcPr>
            <w:tcW w:w="713" w:type="pct"/>
            <w:hideMark/>
          </w:tcPr>
          <w:p w14:paraId="594AD974" w14:textId="77777777" w:rsidR="000031BD" w:rsidRPr="00314F11" w:rsidRDefault="000031BD" w:rsidP="006F69AD">
            <w:pPr>
              <w:pStyle w:val="null1"/>
              <w:keepNext/>
              <w:snapToGrid w:val="0"/>
              <w:jc w:val="center"/>
              <w:rPr>
                <w:rFonts w:ascii="Arial Narrow" w:hAnsi="Arial Narrow"/>
                <w:sz w:val="20"/>
                <w:szCs w:val="20"/>
              </w:rPr>
            </w:pPr>
            <w:r w:rsidRPr="00314F11">
              <w:rPr>
                <w:rFonts w:ascii="Arial Narrow" w:hAnsi="Arial Narrow"/>
                <w:sz w:val="20"/>
                <w:szCs w:val="20"/>
              </w:rPr>
              <w:t>32.50%</w:t>
            </w:r>
          </w:p>
        </w:tc>
        <w:tc>
          <w:tcPr>
            <w:tcW w:w="711" w:type="pct"/>
            <w:hideMark/>
          </w:tcPr>
          <w:p w14:paraId="27851F25" w14:textId="77777777" w:rsidR="000031BD" w:rsidRPr="00314F11" w:rsidRDefault="000031BD" w:rsidP="006F69AD">
            <w:pPr>
              <w:pStyle w:val="null1"/>
              <w:keepNext/>
              <w:snapToGrid w:val="0"/>
              <w:jc w:val="center"/>
              <w:rPr>
                <w:rFonts w:ascii="Arial Narrow" w:hAnsi="Arial Narrow"/>
                <w:sz w:val="20"/>
                <w:szCs w:val="20"/>
              </w:rPr>
            </w:pPr>
            <w:r w:rsidRPr="00314F11">
              <w:rPr>
                <w:rFonts w:ascii="Arial Narrow" w:hAnsi="Arial Narrow"/>
                <w:sz w:val="20"/>
                <w:szCs w:val="20"/>
              </w:rPr>
              <w:t>32.50%</w:t>
            </w:r>
          </w:p>
        </w:tc>
      </w:tr>
      <w:tr w:rsidR="001F08D6" w14:paraId="52C7ED4A" w14:textId="77777777" w:rsidTr="00B71D61">
        <w:tc>
          <w:tcPr>
            <w:tcW w:w="929" w:type="pct"/>
            <w:hideMark/>
          </w:tcPr>
          <w:p w14:paraId="17195E49"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Number of patients treated</w:t>
            </w:r>
          </w:p>
        </w:tc>
        <w:tc>
          <w:tcPr>
            <w:tcW w:w="571" w:type="pct"/>
            <w:hideMark/>
          </w:tcPr>
          <w:p w14:paraId="4342DED3" w14:textId="23DBC838"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45"/>
                <w:sz w:val="20"/>
                <w:szCs w:val="20"/>
                <w:shd w:val="solid" w:color="000000" w:fill="000000"/>
                <w:fitText w:val="308" w:id="-1236624117"/>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17"/>
                <w14:textFill>
                  <w14:solidFill>
                    <w14:srgbClr w14:val="000000">
                      <w14:alpha w14:val="100000"/>
                    </w14:srgbClr>
                  </w14:solidFill>
                </w14:textFill>
              </w:rPr>
              <w:t>|</w:t>
            </w:r>
            <w:r w:rsidR="0052187B">
              <w:rPr>
                <w:rFonts w:ascii="Arial Narrow" w:hAnsi="Arial Narrow"/>
                <w:sz w:val="20"/>
                <w:szCs w:val="20"/>
                <w:vertAlign w:val="superscript"/>
              </w:rPr>
              <w:t>2</w:t>
            </w:r>
          </w:p>
        </w:tc>
        <w:tc>
          <w:tcPr>
            <w:tcW w:w="644" w:type="pct"/>
            <w:hideMark/>
          </w:tcPr>
          <w:p w14:paraId="776B295A" w14:textId="693F4C30"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3"/>
                <w:sz w:val="20"/>
                <w:szCs w:val="20"/>
                <w:shd w:val="solid" w:color="000000" w:fill="000000"/>
                <w:fitText w:val="525" w:id="-1236624116"/>
                <w14:textFill>
                  <w14:solidFill>
                    <w14:srgbClr w14:val="000000">
                      <w14:alpha w14:val="100000"/>
                    </w14:srgbClr>
                  </w14:solidFill>
                </w14:textFill>
              </w:rPr>
              <w:t>|||||</w:t>
            </w:r>
            <w:r w:rsidRPr="001F08D6">
              <w:rPr>
                <w:rFonts w:ascii="Arial Narrow" w:hAnsi="Arial Narrow"/>
                <w:color w:val="000000"/>
                <w:spacing w:val="5"/>
                <w:sz w:val="20"/>
                <w:szCs w:val="20"/>
                <w:shd w:val="solid" w:color="000000" w:fill="000000"/>
                <w:fitText w:val="525" w:id="-1236624116"/>
                <w14:textFill>
                  <w14:solidFill>
                    <w14:srgbClr w14:val="000000">
                      <w14:alpha w14:val="100000"/>
                    </w14:srgbClr>
                  </w14:solidFill>
                </w14:textFill>
              </w:rPr>
              <w:t>|</w:t>
            </w:r>
            <w:r w:rsidR="0052187B">
              <w:rPr>
                <w:rFonts w:ascii="Arial Narrow" w:hAnsi="Arial Narrow"/>
                <w:sz w:val="20"/>
                <w:szCs w:val="20"/>
                <w:vertAlign w:val="superscript"/>
              </w:rPr>
              <w:t>2</w:t>
            </w:r>
          </w:p>
        </w:tc>
        <w:tc>
          <w:tcPr>
            <w:tcW w:w="715" w:type="pct"/>
            <w:hideMark/>
          </w:tcPr>
          <w:p w14:paraId="651E66B1" w14:textId="2D97C3AD"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45"/>
                <w:sz w:val="20"/>
                <w:szCs w:val="20"/>
                <w:shd w:val="solid" w:color="000000" w:fill="000000"/>
                <w:fitText w:val="308" w:id="-1236624113"/>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13"/>
                <w14:textFill>
                  <w14:solidFill>
                    <w14:srgbClr w14:val="000000">
                      <w14:alpha w14:val="100000"/>
                    </w14:srgbClr>
                  </w14:solidFill>
                </w14:textFill>
              </w:rPr>
              <w:t>|</w:t>
            </w:r>
            <w:r w:rsidR="0052187B">
              <w:rPr>
                <w:rFonts w:ascii="Arial Narrow" w:hAnsi="Arial Narrow"/>
                <w:sz w:val="20"/>
                <w:szCs w:val="20"/>
                <w:vertAlign w:val="superscript"/>
              </w:rPr>
              <w:t>3</w:t>
            </w:r>
          </w:p>
        </w:tc>
        <w:tc>
          <w:tcPr>
            <w:tcW w:w="717" w:type="pct"/>
            <w:hideMark/>
          </w:tcPr>
          <w:p w14:paraId="5A567E06" w14:textId="093BA34A"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205"/>
                <w:sz w:val="20"/>
                <w:szCs w:val="20"/>
                <w:shd w:val="solid" w:color="000000" w:fill="000000"/>
                <w:fitText w:val="291" w:id="-1236624112"/>
                <w14:textFill>
                  <w14:solidFill>
                    <w14:srgbClr w14:val="000000">
                      <w14:alpha w14:val="100000"/>
                    </w14:srgbClr>
                  </w14:solidFill>
                </w14:textFill>
              </w:rPr>
              <w:t>|</w:t>
            </w:r>
            <w:r w:rsidRPr="001F08D6">
              <w:rPr>
                <w:rFonts w:ascii="Arial Narrow" w:hAnsi="Arial Narrow"/>
                <w:color w:val="000000"/>
                <w:spacing w:val="1"/>
                <w:sz w:val="20"/>
                <w:szCs w:val="20"/>
                <w:shd w:val="solid" w:color="000000" w:fill="000000"/>
                <w:fitText w:val="291" w:id="-1236624112"/>
                <w14:textFill>
                  <w14:solidFill>
                    <w14:srgbClr w14:val="000000">
                      <w14:alpha w14:val="100000"/>
                    </w14:srgbClr>
                  </w14:solidFill>
                </w14:textFill>
              </w:rPr>
              <w:t>|</w:t>
            </w:r>
            <w:r w:rsidR="0052187B">
              <w:rPr>
                <w:rFonts w:ascii="Arial Narrow" w:hAnsi="Arial Narrow"/>
                <w:sz w:val="20"/>
                <w:szCs w:val="20"/>
                <w:vertAlign w:val="superscript"/>
              </w:rPr>
              <w:t>3</w:t>
            </w:r>
          </w:p>
        </w:tc>
        <w:tc>
          <w:tcPr>
            <w:tcW w:w="713" w:type="pct"/>
            <w:hideMark/>
          </w:tcPr>
          <w:p w14:paraId="432D9155" w14:textId="303B8481"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45"/>
                <w:sz w:val="20"/>
                <w:szCs w:val="20"/>
                <w:shd w:val="solid" w:color="000000" w:fill="000000"/>
                <w:fitText w:val="308" w:id="-1236624128"/>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28"/>
                <w14:textFill>
                  <w14:solidFill>
                    <w14:srgbClr w14:val="000000">
                      <w14:alpha w14:val="100000"/>
                    </w14:srgbClr>
                  </w14:solidFill>
                </w14:textFill>
              </w:rPr>
              <w:t>|</w:t>
            </w:r>
            <w:r w:rsidR="0052187B">
              <w:rPr>
                <w:rFonts w:ascii="Arial Narrow" w:hAnsi="Arial Narrow"/>
                <w:sz w:val="20"/>
                <w:szCs w:val="20"/>
                <w:vertAlign w:val="superscript"/>
              </w:rPr>
              <w:t>3</w:t>
            </w:r>
          </w:p>
        </w:tc>
        <w:tc>
          <w:tcPr>
            <w:tcW w:w="711" w:type="pct"/>
            <w:hideMark/>
          </w:tcPr>
          <w:p w14:paraId="462D4BF6" w14:textId="3DFFE49D"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45"/>
                <w:sz w:val="20"/>
                <w:szCs w:val="20"/>
                <w:shd w:val="solid" w:color="000000" w:fill="000000"/>
                <w:fitText w:val="308" w:id="-1236624127"/>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08" w:id="-1236624127"/>
                <w14:textFill>
                  <w14:solidFill>
                    <w14:srgbClr w14:val="000000">
                      <w14:alpha w14:val="100000"/>
                    </w14:srgbClr>
                  </w14:solidFill>
                </w14:textFill>
              </w:rPr>
              <w:t>|</w:t>
            </w:r>
            <w:r w:rsidR="0052187B">
              <w:rPr>
                <w:rFonts w:ascii="Arial Narrow" w:hAnsi="Arial Narrow"/>
                <w:sz w:val="20"/>
                <w:szCs w:val="20"/>
                <w:vertAlign w:val="superscript"/>
              </w:rPr>
              <w:t>3</w:t>
            </w:r>
          </w:p>
        </w:tc>
      </w:tr>
      <w:tr w:rsidR="001F08D6" w14:paraId="6C6B390D" w14:textId="77777777" w:rsidTr="00B71D61">
        <w:tc>
          <w:tcPr>
            <w:tcW w:w="929" w:type="pct"/>
            <w:hideMark/>
          </w:tcPr>
          <w:p w14:paraId="5AE71050" w14:textId="416F6E58"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Number of scripts dispensed</w:t>
            </w:r>
          </w:p>
        </w:tc>
        <w:tc>
          <w:tcPr>
            <w:tcW w:w="571" w:type="pct"/>
            <w:hideMark/>
          </w:tcPr>
          <w:p w14:paraId="6D69C47F" w14:textId="00A8A296" w:rsidR="000031BD" w:rsidRPr="00D13A3C" w:rsidRDefault="001F08D6" w:rsidP="006F69AD">
            <w:pPr>
              <w:pStyle w:val="null1"/>
              <w:keepNext/>
              <w:snapToGrid w:val="0"/>
              <w:jc w:val="center"/>
              <w:rPr>
                <w:rFonts w:ascii="Arial Narrow" w:hAnsi="Arial Narrow"/>
                <w:sz w:val="20"/>
                <w:szCs w:val="20"/>
                <w:highlight w:val="darkGray"/>
              </w:rPr>
            </w:pPr>
            <w:r w:rsidRPr="001F08D6">
              <w:rPr>
                <w:rStyle w:val="null"/>
                <w:rFonts w:ascii="Arial Narrow" w:hAnsi="Arial Narrow"/>
                <w:color w:val="000000"/>
                <w:spacing w:val="45"/>
                <w:sz w:val="20"/>
                <w:szCs w:val="20"/>
                <w:shd w:val="solid" w:color="000000" w:fill="000000"/>
                <w:fitText w:val="308" w:id="-1236624126"/>
                <w14:textFill>
                  <w14:solidFill>
                    <w14:srgbClr w14:val="000000">
                      <w14:alpha w14:val="100000"/>
                    </w14:srgbClr>
                  </w14:solidFill>
                </w14:textFill>
              </w:rPr>
              <w:t>|||</w:t>
            </w:r>
            <w:r w:rsidRPr="001F08D6">
              <w:rPr>
                <w:rStyle w:val="null"/>
                <w:rFonts w:ascii="Arial Narrow" w:hAnsi="Arial Narrow"/>
                <w:color w:val="000000"/>
                <w:spacing w:val="3"/>
                <w:sz w:val="20"/>
                <w:szCs w:val="20"/>
                <w:shd w:val="solid" w:color="000000" w:fill="000000"/>
                <w:fitText w:val="308" w:id="-1236624126"/>
                <w14:textFill>
                  <w14:solidFill>
                    <w14:srgbClr w14:val="000000">
                      <w14:alpha w14:val="100000"/>
                    </w14:srgbClr>
                  </w14:solidFill>
                </w14:textFill>
              </w:rPr>
              <w:t>|</w:t>
            </w:r>
            <w:r w:rsidR="0052187B" w:rsidRPr="00D13A3C">
              <w:rPr>
                <w:rFonts w:ascii="Arial Narrow" w:hAnsi="Arial Narrow"/>
                <w:sz w:val="20"/>
                <w:szCs w:val="20"/>
                <w:vertAlign w:val="superscript"/>
              </w:rPr>
              <w:t>1</w:t>
            </w:r>
          </w:p>
        </w:tc>
        <w:tc>
          <w:tcPr>
            <w:tcW w:w="644" w:type="pct"/>
            <w:hideMark/>
          </w:tcPr>
          <w:p w14:paraId="0DA42A82" w14:textId="3DDB2140" w:rsidR="000031BD" w:rsidRPr="00D13A3C" w:rsidRDefault="001F08D6" w:rsidP="006F69AD">
            <w:pPr>
              <w:pStyle w:val="null1"/>
              <w:keepNext/>
              <w:snapToGrid w:val="0"/>
              <w:jc w:val="center"/>
              <w:rPr>
                <w:rFonts w:ascii="Arial Narrow" w:hAnsi="Arial Narrow"/>
                <w:sz w:val="20"/>
                <w:szCs w:val="20"/>
                <w:highlight w:val="darkGray"/>
              </w:rPr>
            </w:pPr>
            <w:r w:rsidRPr="001F08D6">
              <w:rPr>
                <w:rStyle w:val="null"/>
                <w:rFonts w:ascii="Arial Narrow" w:hAnsi="Arial Narrow"/>
                <w:color w:val="000000"/>
                <w:spacing w:val="205"/>
                <w:sz w:val="20"/>
                <w:szCs w:val="20"/>
                <w:shd w:val="solid" w:color="000000" w:fill="000000"/>
                <w:fitText w:val="291" w:id="-1236624125"/>
                <w14:textFill>
                  <w14:solidFill>
                    <w14:srgbClr w14:val="000000">
                      <w14:alpha w14:val="100000"/>
                    </w14:srgbClr>
                  </w14:solidFill>
                </w14:textFill>
              </w:rPr>
              <w:t>|</w:t>
            </w:r>
            <w:r w:rsidRPr="001F08D6">
              <w:rPr>
                <w:rStyle w:val="null"/>
                <w:rFonts w:ascii="Arial Narrow" w:hAnsi="Arial Narrow"/>
                <w:color w:val="000000"/>
                <w:spacing w:val="1"/>
                <w:sz w:val="20"/>
                <w:szCs w:val="20"/>
                <w:shd w:val="solid" w:color="000000" w:fill="000000"/>
                <w:fitText w:val="291" w:id="-1236624125"/>
                <w14:textFill>
                  <w14:solidFill>
                    <w14:srgbClr w14:val="000000">
                      <w14:alpha w14:val="100000"/>
                    </w14:srgbClr>
                  </w14:solidFill>
                </w14:textFill>
              </w:rPr>
              <w:t>|</w:t>
            </w:r>
            <w:r w:rsidR="0052187B" w:rsidRPr="0052187B">
              <w:rPr>
                <w:rFonts w:ascii="Arial Narrow" w:hAnsi="Arial Narrow"/>
                <w:iCs/>
                <w:sz w:val="18"/>
                <w:szCs w:val="18"/>
                <w:vertAlign w:val="superscript"/>
              </w:rPr>
              <w:t>4</w:t>
            </w:r>
          </w:p>
        </w:tc>
        <w:tc>
          <w:tcPr>
            <w:tcW w:w="715" w:type="pct"/>
            <w:hideMark/>
          </w:tcPr>
          <w:p w14:paraId="6DFF8621" w14:textId="6A508543" w:rsidR="000031BD" w:rsidRPr="00D13A3C" w:rsidRDefault="001F08D6" w:rsidP="006F69AD">
            <w:pPr>
              <w:pStyle w:val="null1"/>
              <w:keepNext/>
              <w:snapToGrid w:val="0"/>
              <w:jc w:val="center"/>
              <w:rPr>
                <w:rFonts w:ascii="Arial Narrow" w:hAnsi="Arial Narrow"/>
                <w:sz w:val="20"/>
                <w:szCs w:val="20"/>
                <w:highlight w:val="darkGray"/>
              </w:rPr>
            </w:pPr>
            <w:r w:rsidRPr="001F08D6">
              <w:rPr>
                <w:rStyle w:val="null"/>
                <w:rFonts w:ascii="Arial Narrow" w:hAnsi="Arial Narrow"/>
                <w:color w:val="000000"/>
                <w:spacing w:val="53"/>
                <w:sz w:val="20"/>
                <w:szCs w:val="20"/>
                <w:shd w:val="solid" w:color="000000" w:fill="000000"/>
                <w:fitText w:val="525" w:id="-1236624124"/>
                <w14:textFill>
                  <w14:solidFill>
                    <w14:srgbClr w14:val="000000">
                      <w14:alpha w14:val="100000"/>
                    </w14:srgbClr>
                  </w14:solidFill>
                </w14:textFill>
              </w:rPr>
              <w:t>|||||</w:t>
            </w:r>
            <w:r w:rsidRPr="001F08D6">
              <w:rPr>
                <w:rStyle w:val="null"/>
                <w:rFonts w:ascii="Arial Narrow" w:hAnsi="Arial Narrow"/>
                <w:color w:val="000000"/>
                <w:spacing w:val="5"/>
                <w:sz w:val="20"/>
                <w:szCs w:val="20"/>
                <w:shd w:val="solid" w:color="000000" w:fill="000000"/>
                <w:fitText w:val="525" w:id="-1236624124"/>
                <w14:textFill>
                  <w14:solidFill>
                    <w14:srgbClr w14:val="000000">
                      <w14:alpha w14:val="100000"/>
                    </w14:srgbClr>
                  </w14:solidFill>
                </w14:textFill>
              </w:rPr>
              <w:t>|</w:t>
            </w:r>
            <w:r w:rsidR="0052187B">
              <w:rPr>
                <w:rFonts w:ascii="Arial Narrow" w:hAnsi="Arial Narrow"/>
                <w:iCs/>
                <w:sz w:val="18"/>
                <w:szCs w:val="18"/>
                <w:vertAlign w:val="superscript"/>
              </w:rPr>
              <w:t>5</w:t>
            </w:r>
          </w:p>
        </w:tc>
        <w:tc>
          <w:tcPr>
            <w:tcW w:w="717" w:type="pct"/>
            <w:hideMark/>
          </w:tcPr>
          <w:p w14:paraId="7EC99612" w14:textId="5BB9F93F" w:rsidR="000031BD" w:rsidRPr="00D13A3C" w:rsidRDefault="001F08D6" w:rsidP="006F69AD">
            <w:pPr>
              <w:pStyle w:val="null1"/>
              <w:keepNext/>
              <w:snapToGrid w:val="0"/>
              <w:jc w:val="center"/>
              <w:rPr>
                <w:rFonts w:ascii="Arial Narrow" w:hAnsi="Arial Narrow"/>
                <w:sz w:val="20"/>
                <w:szCs w:val="20"/>
                <w:highlight w:val="darkGray"/>
              </w:rPr>
            </w:pPr>
            <w:r w:rsidRPr="001F08D6">
              <w:rPr>
                <w:rStyle w:val="null"/>
                <w:rFonts w:ascii="Arial Narrow" w:hAnsi="Arial Narrow"/>
                <w:color w:val="000000"/>
                <w:spacing w:val="214"/>
                <w:sz w:val="20"/>
                <w:szCs w:val="20"/>
                <w:shd w:val="solid" w:color="000000" w:fill="000000"/>
                <w:fitText w:val="300" w:id="-1236624121"/>
                <w14:textFill>
                  <w14:solidFill>
                    <w14:srgbClr w14:val="000000">
                      <w14:alpha w14:val="100000"/>
                    </w14:srgbClr>
                  </w14:solidFill>
                </w14:textFill>
              </w:rPr>
              <w:t>|</w:t>
            </w:r>
            <w:r w:rsidRPr="001F08D6">
              <w:rPr>
                <w:rStyle w:val="null"/>
                <w:rFonts w:ascii="Arial Narrow" w:hAnsi="Arial Narrow"/>
                <w:color w:val="000000"/>
                <w:spacing w:val="1"/>
                <w:sz w:val="20"/>
                <w:szCs w:val="20"/>
                <w:shd w:val="solid" w:color="000000" w:fill="000000"/>
                <w:fitText w:val="300" w:id="-1236624121"/>
                <w14:textFill>
                  <w14:solidFill>
                    <w14:srgbClr w14:val="000000">
                      <w14:alpha w14:val="100000"/>
                    </w14:srgbClr>
                  </w14:solidFill>
                </w14:textFill>
              </w:rPr>
              <w:t>|</w:t>
            </w:r>
            <w:r w:rsidR="0052187B">
              <w:rPr>
                <w:rFonts w:ascii="Arial Narrow" w:hAnsi="Arial Narrow"/>
                <w:iCs/>
                <w:sz w:val="18"/>
                <w:szCs w:val="18"/>
                <w:vertAlign w:val="superscript"/>
              </w:rPr>
              <w:t>7</w:t>
            </w:r>
          </w:p>
        </w:tc>
        <w:tc>
          <w:tcPr>
            <w:tcW w:w="713" w:type="pct"/>
            <w:hideMark/>
          </w:tcPr>
          <w:p w14:paraId="168F3AEF" w14:textId="2DE04304" w:rsidR="000031BD" w:rsidRPr="00D13A3C" w:rsidRDefault="001F08D6" w:rsidP="006F69AD">
            <w:pPr>
              <w:pStyle w:val="null1"/>
              <w:keepNext/>
              <w:snapToGrid w:val="0"/>
              <w:jc w:val="center"/>
              <w:rPr>
                <w:rFonts w:ascii="Arial Narrow" w:hAnsi="Arial Narrow"/>
                <w:sz w:val="20"/>
                <w:szCs w:val="20"/>
                <w:highlight w:val="darkGray"/>
              </w:rPr>
            </w:pPr>
            <w:r w:rsidRPr="001F08D6">
              <w:rPr>
                <w:rStyle w:val="null"/>
                <w:rFonts w:ascii="Arial Narrow" w:hAnsi="Arial Narrow"/>
                <w:color w:val="000000"/>
                <w:spacing w:val="45"/>
                <w:sz w:val="20"/>
                <w:szCs w:val="20"/>
                <w:shd w:val="solid" w:color="000000" w:fill="000000"/>
                <w:fitText w:val="308" w:id="-1236624120"/>
                <w14:textFill>
                  <w14:solidFill>
                    <w14:srgbClr w14:val="000000">
                      <w14:alpha w14:val="100000"/>
                    </w14:srgbClr>
                  </w14:solidFill>
                </w14:textFill>
              </w:rPr>
              <w:t>|||</w:t>
            </w:r>
            <w:r w:rsidRPr="001F08D6">
              <w:rPr>
                <w:rStyle w:val="null"/>
                <w:rFonts w:ascii="Arial Narrow" w:hAnsi="Arial Narrow"/>
                <w:color w:val="000000"/>
                <w:spacing w:val="3"/>
                <w:sz w:val="20"/>
                <w:szCs w:val="20"/>
                <w:shd w:val="solid" w:color="000000" w:fill="000000"/>
                <w:fitText w:val="308" w:id="-1236624120"/>
                <w14:textFill>
                  <w14:solidFill>
                    <w14:srgbClr w14:val="000000">
                      <w14:alpha w14:val="100000"/>
                    </w14:srgbClr>
                  </w14:solidFill>
                </w14:textFill>
              </w:rPr>
              <w:t>|</w:t>
            </w:r>
            <w:r w:rsidR="0052187B">
              <w:rPr>
                <w:rFonts w:ascii="Arial Narrow" w:hAnsi="Arial Narrow"/>
                <w:iCs/>
                <w:sz w:val="18"/>
                <w:szCs w:val="18"/>
                <w:vertAlign w:val="superscript"/>
              </w:rPr>
              <w:t>8</w:t>
            </w:r>
          </w:p>
        </w:tc>
        <w:tc>
          <w:tcPr>
            <w:tcW w:w="711" w:type="pct"/>
            <w:hideMark/>
          </w:tcPr>
          <w:p w14:paraId="0FD4A92F" w14:textId="3E4BEB1F" w:rsidR="000031BD" w:rsidRPr="00D13A3C" w:rsidRDefault="001F08D6" w:rsidP="006F69AD">
            <w:pPr>
              <w:pStyle w:val="null1"/>
              <w:keepNext/>
              <w:snapToGrid w:val="0"/>
              <w:jc w:val="center"/>
              <w:rPr>
                <w:rFonts w:ascii="Arial Narrow" w:hAnsi="Arial Narrow"/>
                <w:sz w:val="20"/>
                <w:szCs w:val="20"/>
                <w:highlight w:val="darkGray"/>
              </w:rPr>
            </w:pPr>
            <w:r w:rsidRPr="001F08D6">
              <w:rPr>
                <w:rStyle w:val="null"/>
                <w:rFonts w:ascii="Arial Narrow" w:hAnsi="Arial Narrow"/>
                <w:color w:val="000000"/>
                <w:spacing w:val="45"/>
                <w:sz w:val="20"/>
                <w:szCs w:val="20"/>
                <w:shd w:val="solid" w:color="000000" w:fill="000000"/>
                <w:fitText w:val="308" w:id="-1236624119"/>
                <w14:textFill>
                  <w14:solidFill>
                    <w14:srgbClr w14:val="000000">
                      <w14:alpha w14:val="100000"/>
                    </w14:srgbClr>
                  </w14:solidFill>
                </w14:textFill>
              </w:rPr>
              <w:t>|||</w:t>
            </w:r>
            <w:r w:rsidRPr="001F08D6">
              <w:rPr>
                <w:rStyle w:val="null"/>
                <w:rFonts w:ascii="Arial Narrow" w:hAnsi="Arial Narrow"/>
                <w:color w:val="000000"/>
                <w:spacing w:val="3"/>
                <w:sz w:val="20"/>
                <w:szCs w:val="20"/>
                <w:shd w:val="solid" w:color="000000" w:fill="000000"/>
                <w:fitText w:val="308" w:id="-1236624119"/>
                <w14:textFill>
                  <w14:solidFill>
                    <w14:srgbClr w14:val="000000">
                      <w14:alpha w14:val="100000"/>
                    </w14:srgbClr>
                  </w14:solidFill>
                </w14:textFill>
              </w:rPr>
              <w:t>|</w:t>
            </w:r>
            <w:r w:rsidR="0052187B">
              <w:rPr>
                <w:rFonts w:ascii="Arial Narrow" w:hAnsi="Arial Narrow"/>
                <w:iCs/>
                <w:sz w:val="18"/>
                <w:szCs w:val="18"/>
                <w:vertAlign w:val="superscript"/>
              </w:rPr>
              <w:t>8</w:t>
            </w:r>
          </w:p>
        </w:tc>
      </w:tr>
      <w:tr w:rsidR="000031BD" w14:paraId="77564646" w14:textId="77777777" w:rsidTr="001F08D6">
        <w:tc>
          <w:tcPr>
            <w:tcW w:w="5000" w:type="pct"/>
            <w:gridSpan w:val="7"/>
            <w:hideMark/>
          </w:tcPr>
          <w:p w14:paraId="6878A4C7"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b/>
                <w:bCs/>
                <w:sz w:val="20"/>
                <w:szCs w:val="20"/>
              </w:rPr>
              <w:t>Estimated scripts of substituted and displaced medicines</w:t>
            </w:r>
          </w:p>
        </w:tc>
      </w:tr>
      <w:tr w:rsidR="001F08D6" w14:paraId="78F9653A" w14:textId="77777777" w:rsidTr="00B71D61">
        <w:tc>
          <w:tcPr>
            <w:tcW w:w="929" w:type="pct"/>
            <w:hideMark/>
          </w:tcPr>
          <w:p w14:paraId="43D2DF6B"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Apremilast</w:t>
            </w:r>
          </w:p>
        </w:tc>
        <w:tc>
          <w:tcPr>
            <w:tcW w:w="571" w:type="pct"/>
            <w:hideMark/>
          </w:tcPr>
          <w:p w14:paraId="0BD1EC9B" w14:textId="05D0F194"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4" w:id="-1236624118"/>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24" w:id="-1236624118"/>
                <w14:textFill>
                  <w14:solidFill>
                    <w14:srgbClr w14:val="000000">
                      <w14:alpha w14:val="100000"/>
                    </w14:srgbClr>
                  </w14:solidFill>
                </w14:textFill>
              </w:rPr>
              <w:t>|</w:t>
            </w:r>
            <w:r w:rsidR="006A7FE8">
              <w:rPr>
                <w:rFonts w:ascii="Arial Narrow" w:hAnsi="Arial Narrow"/>
                <w:sz w:val="20"/>
                <w:szCs w:val="20"/>
                <w:vertAlign w:val="superscript"/>
              </w:rPr>
              <w:t>9</w:t>
            </w:r>
          </w:p>
        </w:tc>
        <w:tc>
          <w:tcPr>
            <w:tcW w:w="644" w:type="pct"/>
            <w:hideMark/>
          </w:tcPr>
          <w:p w14:paraId="0F6EBCE5" w14:textId="4C8123E7"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17"/>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17"/>
                <w14:textFill>
                  <w14:solidFill>
                    <w14:srgbClr w14:val="000000">
                      <w14:alpha w14:val="100000"/>
                    </w14:srgbClr>
                  </w14:solidFill>
                </w14:textFill>
              </w:rPr>
              <w:t>|</w:t>
            </w:r>
            <w:r w:rsidR="006A7FE8" w:rsidRPr="00D13A3C">
              <w:rPr>
                <w:rFonts w:ascii="Arial Narrow" w:hAnsi="Arial Narrow"/>
                <w:sz w:val="20"/>
                <w:szCs w:val="20"/>
                <w:vertAlign w:val="superscript"/>
              </w:rPr>
              <w:t>1</w:t>
            </w:r>
          </w:p>
        </w:tc>
        <w:tc>
          <w:tcPr>
            <w:tcW w:w="715" w:type="pct"/>
            <w:hideMark/>
          </w:tcPr>
          <w:p w14:paraId="265154B7" w14:textId="43398767"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16"/>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16"/>
                <w14:textFill>
                  <w14:solidFill>
                    <w14:srgbClr w14:val="000000">
                      <w14:alpha w14:val="100000"/>
                    </w14:srgbClr>
                  </w14:solidFill>
                </w14:textFill>
              </w:rPr>
              <w:t>|</w:t>
            </w:r>
            <w:r w:rsidR="006A7FE8">
              <w:rPr>
                <w:rFonts w:ascii="Arial Narrow" w:hAnsi="Arial Narrow"/>
                <w:sz w:val="20"/>
                <w:szCs w:val="20"/>
                <w:vertAlign w:val="superscript"/>
              </w:rPr>
              <w:t>4</w:t>
            </w:r>
          </w:p>
        </w:tc>
        <w:tc>
          <w:tcPr>
            <w:tcW w:w="717" w:type="pct"/>
            <w:hideMark/>
          </w:tcPr>
          <w:p w14:paraId="192BBAD0" w14:textId="266DA213"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15"/>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15"/>
                <w14:textFill>
                  <w14:solidFill>
                    <w14:srgbClr w14:val="000000">
                      <w14:alpha w14:val="100000"/>
                    </w14:srgbClr>
                  </w14:solidFill>
                </w14:textFill>
              </w:rPr>
              <w:t>|</w:t>
            </w:r>
            <w:r w:rsidR="006A7FE8">
              <w:rPr>
                <w:rFonts w:ascii="Arial Narrow" w:hAnsi="Arial Narrow"/>
                <w:sz w:val="20"/>
                <w:szCs w:val="20"/>
                <w:vertAlign w:val="superscript"/>
              </w:rPr>
              <w:t>4</w:t>
            </w:r>
          </w:p>
        </w:tc>
        <w:tc>
          <w:tcPr>
            <w:tcW w:w="713" w:type="pct"/>
            <w:hideMark/>
          </w:tcPr>
          <w:p w14:paraId="3DAA783B" w14:textId="66F6EC7A"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65"/>
                <w:sz w:val="20"/>
                <w:szCs w:val="20"/>
                <w:shd w:val="solid" w:color="000000" w:fill="000000"/>
                <w:fitText w:val="366" w:id="-1236624114"/>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66" w:id="-1236624114"/>
                <w14:textFill>
                  <w14:solidFill>
                    <w14:srgbClr w14:val="000000">
                      <w14:alpha w14:val="100000"/>
                    </w14:srgbClr>
                  </w14:solidFill>
                </w14:textFill>
              </w:rPr>
              <w:t>|</w:t>
            </w:r>
            <w:r w:rsidR="006A7FE8">
              <w:rPr>
                <w:rFonts w:ascii="Arial Narrow" w:hAnsi="Arial Narrow"/>
                <w:sz w:val="20"/>
                <w:szCs w:val="20"/>
                <w:vertAlign w:val="superscript"/>
              </w:rPr>
              <w:t>10</w:t>
            </w:r>
          </w:p>
        </w:tc>
        <w:tc>
          <w:tcPr>
            <w:tcW w:w="711" w:type="pct"/>
            <w:hideMark/>
          </w:tcPr>
          <w:p w14:paraId="4FD351E4" w14:textId="04C158F0"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62"/>
                <w:sz w:val="20"/>
                <w:szCs w:val="20"/>
                <w:shd w:val="solid" w:color="000000" w:fill="000000"/>
                <w:fitText w:val="358" w:id="-1236624113"/>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58" w:id="-1236624113"/>
                <w14:textFill>
                  <w14:solidFill>
                    <w14:srgbClr w14:val="000000">
                      <w14:alpha w14:val="100000"/>
                    </w14:srgbClr>
                  </w14:solidFill>
                </w14:textFill>
              </w:rPr>
              <w:t>|</w:t>
            </w:r>
            <w:r w:rsidR="006A7FE8">
              <w:rPr>
                <w:rFonts w:ascii="Arial Narrow" w:hAnsi="Arial Narrow"/>
                <w:sz w:val="20"/>
                <w:szCs w:val="20"/>
                <w:vertAlign w:val="superscript"/>
              </w:rPr>
              <w:t>10</w:t>
            </w:r>
          </w:p>
        </w:tc>
      </w:tr>
      <w:tr w:rsidR="001F08D6" w14:paraId="68098687" w14:textId="77777777" w:rsidTr="00B71D61">
        <w:tc>
          <w:tcPr>
            <w:tcW w:w="929" w:type="pct"/>
            <w:hideMark/>
          </w:tcPr>
          <w:p w14:paraId="12AD5444"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Ciclosporin</w:t>
            </w:r>
          </w:p>
        </w:tc>
        <w:tc>
          <w:tcPr>
            <w:tcW w:w="571" w:type="pct"/>
            <w:hideMark/>
          </w:tcPr>
          <w:p w14:paraId="1E86614A" w14:textId="23CA7B26"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4" w:id="-1236624112"/>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24" w:id="-1236624112"/>
                <w14:textFill>
                  <w14:solidFill>
                    <w14:srgbClr w14:val="000000">
                      <w14:alpha w14:val="100000"/>
                    </w14:srgbClr>
                  </w14:solidFill>
                </w14:textFill>
              </w:rPr>
              <w:t>|</w:t>
            </w:r>
            <w:r w:rsidR="006A7FE8">
              <w:rPr>
                <w:rFonts w:ascii="Arial Narrow" w:hAnsi="Arial Narrow"/>
                <w:sz w:val="20"/>
                <w:szCs w:val="20"/>
                <w:vertAlign w:val="superscript"/>
              </w:rPr>
              <w:t>2</w:t>
            </w:r>
          </w:p>
        </w:tc>
        <w:tc>
          <w:tcPr>
            <w:tcW w:w="644" w:type="pct"/>
            <w:hideMark/>
          </w:tcPr>
          <w:p w14:paraId="244F0A48" w14:textId="109EF4E4"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28"/>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28"/>
                <w14:textFill>
                  <w14:solidFill>
                    <w14:srgbClr w14:val="000000">
                      <w14:alpha w14:val="100000"/>
                    </w14:srgbClr>
                  </w14:solidFill>
                </w14:textFill>
              </w:rPr>
              <w:t>|</w:t>
            </w:r>
            <w:r w:rsidR="006A7FE8">
              <w:rPr>
                <w:rFonts w:ascii="Arial Narrow" w:hAnsi="Arial Narrow"/>
                <w:sz w:val="20"/>
                <w:szCs w:val="20"/>
                <w:vertAlign w:val="superscript"/>
              </w:rPr>
              <w:t>2</w:t>
            </w:r>
          </w:p>
        </w:tc>
        <w:tc>
          <w:tcPr>
            <w:tcW w:w="715" w:type="pct"/>
            <w:hideMark/>
          </w:tcPr>
          <w:p w14:paraId="074A410E" w14:textId="3D71C833"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27"/>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27"/>
                <w14:textFill>
                  <w14:solidFill>
                    <w14:srgbClr w14:val="000000">
                      <w14:alpha w14:val="100000"/>
                    </w14:srgbClr>
                  </w14:solidFill>
                </w14:textFill>
              </w:rPr>
              <w:t>|</w:t>
            </w:r>
            <w:r w:rsidR="006A7FE8">
              <w:rPr>
                <w:rFonts w:ascii="Arial Narrow" w:hAnsi="Arial Narrow"/>
                <w:sz w:val="20"/>
                <w:szCs w:val="20"/>
                <w:vertAlign w:val="superscript"/>
              </w:rPr>
              <w:t>2</w:t>
            </w:r>
          </w:p>
        </w:tc>
        <w:tc>
          <w:tcPr>
            <w:tcW w:w="717" w:type="pct"/>
            <w:hideMark/>
          </w:tcPr>
          <w:p w14:paraId="46AE61D8" w14:textId="0FD97E0F"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26"/>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26"/>
                <w14:textFill>
                  <w14:solidFill>
                    <w14:srgbClr w14:val="000000">
                      <w14:alpha w14:val="100000"/>
                    </w14:srgbClr>
                  </w14:solidFill>
                </w14:textFill>
              </w:rPr>
              <w:t>|</w:t>
            </w:r>
            <w:r w:rsidR="006A7FE8">
              <w:rPr>
                <w:rFonts w:ascii="Arial Narrow" w:hAnsi="Arial Narrow"/>
                <w:sz w:val="20"/>
                <w:szCs w:val="20"/>
                <w:vertAlign w:val="superscript"/>
              </w:rPr>
              <w:t>3</w:t>
            </w:r>
          </w:p>
        </w:tc>
        <w:tc>
          <w:tcPr>
            <w:tcW w:w="713" w:type="pct"/>
            <w:hideMark/>
          </w:tcPr>
          <w:p w14:paraId="2AEC784E" w14:textId="71882DC8"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25"/>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25"/>
                <w14:textFill>
                  <w14:solidFill>
                    <w14:srgbClr w14:val="000000">
                      <w14:alpha w14:val="100000"/>
                    </w14:srgbClr>
                  </w14:solidFill>
                </w14:textFill>
              </w:rPr>
              <w:t>|</w:t>
            </w:r>
            <w:r w:rsidR="006A7FE8">
              <w:rPr>
                <w:rFonts w:ascii="Arial Narrow" w:hAnsi="Arial Narrow"/>
                <w:sz w:val="20"/>
                <w:szCs w:val="20"/>
                <w:vertAlign w:val="superscript"/>
              </w:rPr>
              <w:t>3</w:t>
            </w:r>
          </w:p>
        </w:tc>
        <w:tc>
          <w:tcPr>
            <w:tcW w:w="711" w:type="pct"/>
            <w:hideMark/>
          </w:tcPr>
          <w:p w14:paraId="4CD02433" w14:textId="507BDF0F"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24"/>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24"/>
                <w14:textFill>
                  <w14:solidFill>
                    <w14:srgbClr w14:val="000000">
                      <w14:alpha w14:val="100000"/>
                    </w14:srgbClr>
                  </w14:solidFill>
                </w14:textFill>
              </w:rPr>
              <w:t>|</w:t>
            </w:r>
            <w:r w:rsidR="006A7FE8">
              <w:rPr>
                <w:rFonts w:ascii="Arial Narrow" w:hAnsi="Arial Narrow"/>
                <w:sz w:val="20"/>
                <w:szCs w:val="20"/>
                <w:vertAlign w:val="superscript"/>
              </w:rPr>
              <w:t>3</w:t>
            </w:r>
          </w:p>
        </w:tc>
      </w:tr>
      <w:tr w:rsidR="001F08D6" w14:paraId="2AE74D7C" w14:textId="77777777" w:rsidTr="00B71D61">
        <w:tc>
          <w:tcPr>
            <w:tcW w:w="929" w:type="pct"/>
            <w:hideMark/>
          </w:tcPr>
          <w:p w14:paraId="507AC641"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Acitretin</w:t>
            </w:r>
          </w:p>
        </w:tc>
        <w:tc>
          <w:tcPr>
            <w:tcW w:w="571" w:type="pct"/>
            <w:hideMark/>
          </w:tcPr>
          <w:p w14:paraId="111483F5" w14:textId="40C0E976"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4" w:id="-1236624123"/>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24" w:id="-1236624123"/>
                <w14:textFill>
                  <w14:solidFill>
                    <w14:srgbClr w14:val="000000">
                      <w14:alpha w14:val="100000"/>
                    </w14:srgbClr>
                  </w14:solidFill>
                </w14:textFill>
              </w:rPr>
              <w:t>|</w:t>
            </w:r>
            <w:r w:rsidR="006A7FE8">
              <w:rPr>
                <w:rFonts w:ascii="Arial Narrow" w:hAnsi="Arial Narrow"/>
                <w:sz w:val="20"/>
                <w:szCs w:val="20"/>
                <w:vertAlign w:val="superscript"/>
              </w:rPr>
              <w:t>2</w:t>
            </w:r>
          </w:p>
        </w:tc>
        <w:tc>
          <w:tcPr>
            <w:tcW w:w="644" w:type="pct"/>
            <w:hideMark/>
          </w:tcPr>
          <w:p w14:paraId="5B170766" w14:textId="3DF43DDF"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22"/>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22"/>
                <w14:textFill>
                  <w14:solidFill>
                    <w14:srgbClr w14:val="000000">
                      <w14:alpha w14:val="100000"/>
                    </w14:srgbClr>
                  </w14:solidFill>
                </w14:textFill>
              </w:rPr>
              <w:t>|</w:t>
            </w:r>
            <w:r w:rsidR="006A7FE8">
              <w:rPr>
                <w:rFonts w:ascii="Arial Narrow" w:hAnsi="Arial Narrow"/>
                <w:sz w:val="20"/>
                <w:szCs w:val="20"/>
                <w:vertAlign w:val="superscript"/>
              </w:rPr>
              <w:t>2</w:t>
            </w:r>
          </w:p>
        </w:tc>
        <w:tc>
          <w:tcPr>
            <w:tcW w:w="715" w:type="pct"/>
            <w:hideMark/>
          </w:tcPr>
          <w:p w14:paraId="1D83B324" w14:textId="4CEF6884"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21"/>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21"/>
                <w14:textFill>
                  <w14:solidFill>
                    <w14:srgbClr w14:val="000000">
                      <w14:alpha w14:val="100000"/>
                    </w14:srgbClr>
                  </w14:solidFill>
                </w14:textFill>
              </w:rPr>
              <w:t>|</w:t>
            </w:r>
            <w:r w:rsidR="006A7FE8">
              <w:rPr>
                <w:rFonts w:ascii="Arial Narrow" w:hAnsi="Arial Narrow"/>
                <w:sz w:val="20"/>
                <w:szCs w:val="20"/>
                <w:vertAlign w:val="superscript"/>
              </w:rPr>
              <w:t>2</w:t>
            </w:r>
          </w:p>
        </w:tc>
        <w:tc>
          <w:tcPr>
            <w:tcW w:w="717" w:type="pct"/>
            <w:hideMark/>
          </w:tcPr>
          <w:p w14:paraId="607C32CF" w14:textId="49143460"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20"/>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20"/>
                <w14:textFill>
                  <w14:solidFill>
                    <w14:srgbClr w14:val="000000">
                      <w14:alpha w14:val="100000"/>
                    </w14:srgbClr>
                  </w14:solidFill>
                </w14:textFill>
              </w:rPr>
              <w:t>|</w:t>
            </w:r>
            <w:r w:rsidR="006A7FE8">
              <w:rPr>
                <w:rFonts w:ascii="Arial Narrow" w:hAnsi="Arial Narrow"/>
                <w:sz w:val="20"/>
                <w:szCs w:val="20"/>
                <w:vertAlign w:val="superscript"/>
              </w:rPr>
              <w:t>3</w:t>
            </w:r>
          </w:p>
        </w:tc>
        <w:tc>
          <w:tcPr>
            <w:tcW w:w="713" w:type="pct"/>
            <w:hideMark/>
          </w:tcPr>
          <w:p w14:paraId="17B61B06" w14:textId="43F4A545"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19"/>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19"/>
                <w14:textFill>
                  <w14:solidFill>
                    <w14:srgbClr w14:val="000000">
                      <w14:alpha w14:val="100000"/>
                    </w14:srgbClr>
                  </w14:solidFill>
                </w14:textFill>
              </w:rPr>
              <w:t>|</w:t>
            </w:r>
            <w:r w:rsidR="006A7FE8">
              <w:rPr>
                <w:rFonts w:ascii="Arial Narrow" w:hAnsi="Arial Narrow"/>
                <w:sz w:val="20"/>
                <w:szCs w:val="20"/>
                <w:vertAlign w:val="superscript"/>
              </w:rPr>
              <w:t>3</w:t>
            </w:r>
          </w:p>
        </w:tc>
        <w:tc>
          <w:tcPr>
            <w:tcW w:w="711" w:type="pct"/>
            <w:hideMark/>
          </w:tcPr>
          <w:p w14:paraId="40377744" w14:textId="04A694E2"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18"/>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18"/>
                <w14:textFill>
                  <w14:solidFill>
                    <w14:srgbClr w14:val="000000">
                      <w14:alpha w14:val="100000"/>
                    </w14:srgbClr>
                  </w14:solidFill>
                </w14:textFill>
              </w:rPr>
              <w:t>|</w:t>
            </w:r>
            <w:r w:rsidR="006A7FE8">
              <w:rPr>
                <w:rFonts w:ascii="Arial Narrow" w:hAnsi="Arial Narrow"/>
                <w:sz w:val="20"/>
                <w:szCs w:val="20"/>
                <w:vertAlign w:val="superscript"/>
              </w:rPr>
              <w:t>3</w:t>
            </w:r>
          </w:p>
        </w:tc>
      </w:tr>
      <w:tr w:rsidR="001F08D6" w14:paraId="24F7CF49" w14:textId="77777777" w:rsidTr="00B71D61">
        <w:tc>
          <w:tcPr>
            <w:tcW w:w="929" w:type="pct"/>
            <w:hideMark/>
          </w:tcPr>
          <w:p w14:paraId="06946977"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Biologics</w:t>
            </w:r>
          </w:p>
        </w:tc>
        <w:tc>
          <w:tcPr>
            <w:tcW w:w="571" w:type="pct"/>
            <w:hideMark/>
          </w:tcPr>
          <w:p w14:paraId="069E9E6D" w14:textId="5B473012"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4" w:id="-1236624117"/>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24" w:id="-1236624117"/>
                <w14:textFill>
                  <w14:solidFill>
                    <w14:srgbClr w14:val="000000">
                      <w14:alpha w14:val="100000"/>
                    </w14:srgbClr>
                  </w14:solidFill>
                </w14:textFill>
              </w:rPr>
              <w:t>|</w:t>
            </w:r>
            <w:r w:rsidR="006A7FE8">
              <w:rPr>
                <w:rFonts w:ascii="Arial Narrow" w:hAnsi="Arial Narrow"/>
                <w:sz w:val="20"/>
                <w:szCs w:val="20"/>
                <w:vertAlign w:val="superscript"/>
              </w:rPr>
              <w:t>3</w:t>
            </w:r>
          </w:p>
        </w:tc>
        <w:tc>
          <w:tcPr>
            <w:tcW w:w="644" w:type="pct"/>
            <w:hideMark/>
          </w:tcPr>
          <w:p w14:paraId="0E3064D0" w14:textId="2BBEB115"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16"/>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16"/>
                <w14:textFill>
                  <w14:solidFill>
                    <w14:srgbClr w14:val="000000">
                      <w14:alpha w14:val="100000"/>
                    </w14:srgbClr>
                  </w14:solidFill>
                </w14:textFill>
              </w:rPr>
              <w:t>|</w:t>
            </w:r>
            <w:r w:rsidR="006A7FE8">
              <w:rPr>
                <w:rFonts w:ascii="Arial Narrow" w:hAnsi="Arial Narrow"/>
                <w:sz w:val="20"/>
                <w:szCs w:val="20"/>
                <w:vertAlign w:val="superscript"/>
              </w:rPr>
              <w:t>9</w:t>
            </w:r>
          </w:p>
        </w:tc>
        <w:tc>
          <w:tcPr>
            <w:tcW w:w="715" w:type="pct"/>
            <w:hideMark/>
          </w:tcPr>
          <w:p w14:paraId="71982F4A" w14:textId="5D529244"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1"/>
                <w:sz w:val="20"/>
                <w:szCs w:val="20"/>
                <w:shd w:val="solid" w:color="000000" w:fill="000000"/>
                <w:fitText w:val="325" w:id="-1236624115"/>
                <w14:textFill>
                  <w14:solidFill>
                    <w14:srgbClr w14:val="000000">
                      <w14:alpha w14:val="100000"/>
                    </w14:srgbClr>
                  </w14:solidFill>
                </w14:textFill>
              </w:rPr>
              <w:t>|||</w:t>
            </w:r>
            <w:r w:rsidR="001F08D6" w:rsidRPr="001F08D6">
              <w:rPr>
                <w:rStyle w:val="null"/>
                <w:rFonts w:ascii="Arial Narrow" w:hAnsi="Arial Narrow"/>
                <w:color w:val="000000"/>
                <w:spacing w:val="2"/>
                <w:sz w:val="20"/>
                <w:szCs w:val="20"/>
                <w:shd w:val="solid" w:color="000000" w:fill="000000"/>
                <w:fitText w:val="325" w:id="-1236624115"/>
                <w14:textFill>
                  <w14:solidFill>
                    <w14:srgbClr w14:val="000000">
                      <w14:alpha w14:val="100000"/>
                    </w14:srgbClr>
                  </w14:solidFill>
                </w14:textFill>
              </w:rPr>
              <w:t>|</w:t>
            </w:r>
            <w:r w:rsidR="006A7FE8">
              <w:rPr>
                <w:rFonts w:ascii="Arial Narrow" w:hAnsi="Arial Narrow"/>
                <w:sz w:val="20"/>
                <w:szCs w:val="20"/>
                <w:vertAlign w:val="superscript"/>
              </w:rPr>
              <w:t>9</w:t>
            </w:r>
          </w:p>
        </w:tc>
        <w:tc>
          <w:tcPr>
            <w:tcW w:w="717" w:type="pct"/>
            <w:hideMark/>
          </w:tcPr>
          <w:p w14:paraId="765B1EC5" w14:textId="3AFBD942"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14"/>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14"/>
                <w14:textFill>
                  <w14:solidFill>
                    <w14:srgbClr w14:val="000000">
                      <w14:alpha w14:val="100000"/>
                    </w14:srgbClr>
                  </w14:solidFill>
                </w14:textFill>
              </w:rPr>
              <w:t>|</w:t>
            </w:r>
            <w:r w:rsidR="006A7FE8">
              <w:rPr>
                <w:rFonts w:ascii="Arial Narrow" w:hAnsi="Arial Narrow"/>
                <w:sz w:val="20"/>
                <w:szCs w:val="20"/>
                <w:vertAlign w:val="superscript"/>
              </w:rPr>
              <w:t>9</w:t>
            </w:r>
          </w:p>
        </w:tc>
        <w:tc>
          <w:tcPr>
            <w:tcW w:w="713" w:type="pct"/>
            <w:hideMark/>
          </w:tcPr>
          <w:p w14:paraId="20B85332" w14:textId="1ECB38FD" w:rsidR="000031BD" w:rsidRPr="006A7FE8"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13"/>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13"/>
                <w14:textFill>
                  <w14:solidFill>
                    <w14:srgbClr w14:val="000000">
                      <w14:alpha w14:val="100000"/>
                    </w14:srgbClr>
                  </w14:solidFill>
                </w14:textFill>
              </w:rPr>
              <w:t>|</w:t>
            </w:r>
            <w:r w:rsidR="00D77C78">
              <w:rPr>
                <w:rFonts w:ascii="Arial Narrow" w:hAnsi="Arial Narrow"/>
                <w:sz w:val="20"/>
                <w:szCs w:val="20"/>
                <w:vertAlign w:val="superscript"/>
              </w:rPr>
              <w:t>1</w:t>
            </w:r>
          </w:p>
        </w:tc>
        <w:tc>
          <w:tcPr>
            <w:tcW w:w="711" w:type="pct"/>
            <w:hideMark/>
          </w:tcPr>
          <w:p w14:paraId="5A5C60BB" w14:textId="691FA66F" w:rsidR="000031BD" w:rsidRPr="00D13A3C" w:rsidRDefault="000031BD" w:rsidP="006F69AD">
            <w:pPr>
              <w:pStyle w:val="null1"/>
              <w:keepNext/>
              <w:snapToGrid w:val="0"/>
              <w:jc w:val="center"/>
              <w:rPr>
                <w:rFonts w:ascii="Arial Narrow" w:hAnsi="Arial Narrow"/>
                <w:sz w:val="20"/>
                <w:szCs w:val="20"/>
                <w:highlight w:val="darkGray"/>
              </w:rPr>
            </w:pPr>
            <w:r w:rsidRPr="00D77C78">
              <w:rPr>
                <w:rStyle w:val="null"/>
                <w:rFonts w:ascii="Arial Narrow" w:hAnsi="Arial Narrow"/>
                <w:color w:val="000000"/>
                <w:sz w:val="20"/>
                <w:szCs w:val="20"/>
              </w:rPr>
              <w:t>-</w:t>
            </w:r>
            <w:r w:rsidR="001F08D6" w:rsidRPr="001F08D6">
              <w:rPr>
                <w:rStyle w:val="null"/>
                <w:rFonts w:ascii="Arial Narrow" w:hAnsi="Arial Narrow"/>
                <w:color w:val="000000"/>
                <w:spacing w:val="54"/>
                <w:sz w:val="20"/>
                <w:szCs w:val="20"/>
                <w:shd w:val="solid" w:color="000000" w:fill="000000"/>
                <w:fitText w:val="333" w:id="-1236624112"/>
                <w14:textFill>
                  <w14:solidFill>
                    <w14:srgbClr w14:val="000000">
                      <w14:alpha w14:val="100000"/>
                    </w14:srgbClr>
                  </w14:solidFill>
                </w14:textFill>
              </w:rPr>
              <w:t>|||</w:t>
            </w:r>
            <w:r w:rsidR="001F08D6" w:rsidRPr="001F08D6">
              <w:rPr>
                <w:rStyle w:val="null"/>
                <w:rFonts w:ascii="Arial Narrow" w:hAnsi="Arial Narrow"/>
                <w:color w:val="000000"/>
                <w:spacing w:val="1"/>
                <w:sz w:val="20"/>
                <w:szCs w:val="20"/>
                <w:shd w:val="solid" w:color="000000" w:fill="000000"/>
                <w:fitText w:val="333" w:id="-1236624112"/>
                <w14:textFill>
                  <w14:solidFill>
                    <w14:srgbClr w14:val="000000">
                      <w14:alpha w14:val="100000"/>
                    </w14:srgbClr>
                  </w14:solidFill>
                </w14:textFill>
              </w:rPr>
              <w:t>|</w:t>
            </w:r>
            <w:r w:rsidR="00D77C78">
              <w:rPr>
                <w:rFonts w:ascii="Arial Narrow" w:hAnsi="Arial Narrow"/>
                <w:sz w:val="20"/>
                <w:szCs w:val="20"/>
                <w:vertAlign w:val="superscript"/>
              </w:rPr>
              <w:t>1</w:t>
            </w:r>
          </w:p>
        </w:tc>
      </w:tr>
      <w:tr w:rsidR="000031BD" w14:paraId="6298ECB3" w14:textId="77777777" w:rsidTr="001F08D6">
        <w:tc>
          <w:tcPr>
            <w:tcW w:w="5000" w:type="pct"/>
            <w:gridSpan w:val="7"/>
            <w:hideMark/>
          </w:tcPr>
          <w:p w14:paraId="51D7E5D5"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b/>
                <w:bCs/>
                <w:sz w:val="20"/>
                <w:szCs w:val="20"/>
              </w:rPr>
              <w:t>Estimated financial implications of deucravacitinib (effective price)</w:t>
            </w:r>
          </w:p>
        </w:tc>
      </w:tr>
      <w:tr w:rsidR="001F08D6" w14:paraId="4B5EDD52" w14:textId="77777777" w:rsidTr="00B71D61">
        <w:tc>
          <w:tcPr>
            <w:tcW w:w="929" w:type="pct"/>
            <w:hideMark/>
          </w:tcPr>
          <w:p w14:paraId="1FBD8471" w14:textId="6AE907E6"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Cost to PBS/RPBS less co-payments</w:t>
            </w:r>
            <w:r w:rsidR="00D13A3C">
              <w:rPr>
                <w:rFonts w:ascii="Arial Narrow" w:hAnsi="Arial Narrow"/>
                <w:sz w:val="20"/>
                <w:szCs w:val="20"/>
                <w:vertAlign w:val="superscript"/>
              </w:rPr>
              <w:t xml:space="preserve"> </w:t>
            </w:r>
            <w:r w:rsidR="00D13A3C" w:rsidRPr="00D13A3C">
              <w:rPr>
                <w:rFonts w:ascii="Arial Narrow" w:hAnsi="Arial Narrow"/>
                <w:sz w:val="20"/>
                <w:szCs w:val="20"/>
              </w:rPr>
              <w:t>($)</w:t>
            </w:r>
          </w:p>
        </w:tc>
        <w:tc>
          <w:tcPr>
            <w:tcW w:w="571" w:type="pct"/>
            <w:hideMark/>
          </w:tcPr>
          <w:p w14:paraId="448EAEBA" w14:textId="50A106D1"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1"/>
                <w:sz w:val="20"/>
                <w:szCs w:val="20"/>
                <w:shd w:val="solid" w:color="000000" w:fill="000000"/>
                <w:fitText w:val="325" w:id="-1236624128"/>
                <w14:textFill>
                  <w14:solidFill>
                    <w14:srgbClr w14:val="000000">
                      <w14:alpha w14:val="100000"/>
                    </w14:srgbClr>
                  </w14:solidFill>
                </w14:textFill>
              </w:rPr>
              <w:t>|||</w:t>
            </w:r>
            <w:r w:rsidRPr="001F08D6">
              <w:rPr>
                <w:rFonts w:ascii="Arial Narrow" w:hAnsi="Arial Narrow"/>
                <w:color w:val="000000"/>
                <w:spacing w:val="2"/>
                <w:sz w:val="20"/>
                <w:szCs w:val="20"/>
                <w:shd w:val="solid" w:color="000000" w:fill="000000"/>
                <w:fitText w:val="325" w:id="-1236624128"/>
                <w14:textFill>
                  <w14:solidFill>
                    <w14:srgbClr w14:val="000000">
                      <w14:alpha w14:val="100000"/>
                    </w14:srgbClr>
                  </w14:solidFill>
                </w14:textFill>
              </w:rPr>
              <w:t>|</w:t>
            </w:r>
            <w:r w:rsidR="00D77C78">
              <w:rPr>
                <w:rFonts w:ascii="Arial Narrow" w:hAnsi="Arial Narrow"/>
                <w:sz w:val="20"/>
                <w:szCs w:val="20"/>
                <w:vertAlign w:val="superscript"/>
              </w:rPr>
              <w:t>11</w:t>
            </w:r>
          </w:p>
        </w:tc>
        <w:tc>
          <w:tcPr>
            <w:tcW w:w="644" w:type="pct"/>
            <w:hideMark/>
          </w:tcPr>
          <w:p w14:paraId="30D200F2" w14:textId="45199347"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7"/>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7"/>
                <w14:textFill>
                  <w14:solidFill>
                    <w14:srgbClr w14:val="000000">
                      <w14:alpha w14:val="100000"/>
                    </w14:srgbClr>
                  </w14:solidFill>
                </w14:textFill>
              </w:rPr>
              <w:t>|</w:t>
            </w:r>
            <w:r w:rsidR="00D77C78">
              <w:rPr>
                <w:rFonts w:ascii="Arial Narrow" w:hAnsi="Arial Narrow"/>
                <w:sz w:val="20"/>
                <w:szCs w:val="20"/>
                <w:vertAlign w:val="superscript"/>
              </w:rPr>
              <w:t>12</w:t>
            </w:r>
          </w:p>
        </w:tc>
        <w:tc>
          <w:tcPr>
            <w:tcW w:w="715" w:type="pct"/>
            <w:hideMark/>
          </w:tcPr>
          <w:p w14:paraId="037B028F" w14:textId="060ABFFF"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6"/>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6"/>
                <w14:textFill>
                  <w14:solidFill>
                    <w14:srgbClr w14:val="000000">
                      <w14:alpha w14:val="100000"/>
                    </w14:srgbClr>
                  </w14:solidFill>
                </w14:textFill>
              </w:rPr>
              <w:t>|</w:t>
            </w:r>
            <w:r w:rsidR="00D77C78">
              <w:rPr>
                <w:rFonts w:ascii="Arial Narrow" w:hAnsi="Arial Narrow"/>
                <w:sz w:val="20"/>
                <w:szCs w:val="20"/>
                <w:vertAlign w:val="superscript"/>
              </w:rPr>
              <w:t>13</w:t>
            </w:r>
          </w:p>
        </w:tc>
        <w:tc>
          <w:tcPr>
            <w:tcW w:w="717" w:type="pct"/>
            <w:hideMark/>
          </w:tcPr>
          <w:p w14:paraId="211DD5BC" w14:textId="45814E3E"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5"/>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5"/>
                <w14:textFill>
                  <w14:solidFill>
                    <w14:srgbClr w14:val="000000">
                      <w14:alpha w14:val="100000"/>
                    </w14:srgbClr>
                  </w14:solidFill>
                </w14:textFill>
              </w:rPr>
              <w:t>|</w:t>
            </w:r>
            <w:r w:rsidR="00D77C78">
              <w:rPr>
                <w:rFonts w:ascii="Arial Narrow" w:hAnsi="Arial Narrow"/>
                <w:sz w:val="20"/>
                <w:szCs w:val="20"/>
                <w:vertAlign w:val="superscript"/>
              </w:rPr>
              <w:t>13</w:t>
            </w:r>
          </w:p>
        </w:tc>
        <w:tc>
          <w:tcPr>
            <w:tcW w:w="713" w:type="pct"/>
            <w:hideMark/>
          </w:tcPr>
          <w:p w14:paraId="109D401A" w14:textId="7041D01D"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4"/>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4"/>
                <w14:textFill>
                  <w14:solidFill>
                    <w14:srgbClr w14:val="000000">
                      <w14:alpha w14:val="100000"/>
                    </w14:srgbClr>
                  </w14:solidFill>
                </w14:textFill>
              </w:rPr>
              <w:t>|</w:t>
            </w:r>
            <w:r w:rsidR="00D77C78">
              <w:rPr>
                <w:rFonts w:ascii="Arial Narrow" w:hAnsi="Arial Narrow"/>
                <w:sz w:val="20"/>
                <w:szCs w:val="20"/>
                <w:vertAlign w:val="superscript"/>
              </w:rPr>
              <w:t>14</w:t>
            </w:r>
          </w:p>
        </w:tc>
        <w:tc>
          <w:tcPr>
            <w:tcW w:w="711" w:type="pct"/>
            <w:hideMark/>
          </w:tcPr>
          <w:p w14:paraId="7BB0DEC3" w14:textId="3EBE1343" w:rsidR="000031BD" w:rsidRPr="00D13A3C" w:rsidRDefault="001F08D6" w:rsidP="006F69AD">
            <w:pPr>
              <w:pStyle w:val="null1"/>
              <w:keepNext/>
              <w:snapToGrid w:val="0"/>
              <w:jc w:val="center"/>
              <w:rPr>
                <w:rFonts w:ascii="Arial Narrow" w:hAnsi="Arial Narrow"/>
                <w:sz w:val="20"/>
                <w:szCs w:val="20"/>
                <w:highlight w:val="darkGray"/>
              </w:rPr>
            </w:pPr>
            <w:r w:rsidRPr="00FA07B2">
              <w:rPr>
                <w:rFonts w:ascii="Arial Narrow" w:hAnsi="Arial Narrow"/>
                <w:color w:val="000000"/>
                <w:spacing w:val="70"/>
                <w:sz w:val="20"/>
                <w:szCs w:val="20"/>
                <w:shd w:val="solid" w:color="000000" w:fill="000000"/>
                <w:fitText w:val="383" w:id="-1236624123"/>
                <w14:textFill>
                  <w14:solidFill>
                    <w14:srgbClr w14:val="000000">
                      <w14:alpha w14:val="100000"/>
                    </w14:srgbClr>
                  </w14:solidFill>
                </w14:textFill>
              </w:rPr>
              <w:t>|||</w:t>
            </w:r>
            <w:r w:rsidRPr="00FA07B2">
              <w:rPr>
                <w:rFonts w:ascii="Arial Narrow" w:hAnsi="Arial Narrow"/>
                <w:color w:val="000000"/>
                <w:spacing w:val="3"/>
                <w:sz w:val="20"/>
                <w:szCs w:val="20"/>
                <w:shd w:val="solid" w:color="000000" w:fill="000000"/>
                <w:fitText w:val="383" w:id="-1236624123"/>
                <w14:textFill>
                  <w14:solidFill>
                    <w14:srgbClr w14:val="000000">
                      <w14:alpha w14:val="100000"/>
                    </w14:srgbClr>
                  </w14:solidFill>
                </w14:textFill>
              </w:rPr>
              <w:t>|</w:t>
            </w:r>
            <w:r w:rsidR="00FA07B2" w:rsidRPr="00FA07B2">
              <w:rPr>
                <w:rFonts w:ascii="Arial Narrow" w:hAnsi="Arial Narrow"/>
                <w:color w:val="000000"/>
                <w:spacing w:val="114"/>
                <w:sz w:val="20"/>
                <w:szCs w:val="20"/>
                <w:shd w:val="solid" w:color="000000" w:fill="000000"/>
                <w:fitText w:val="200" w:id="-1230858496"/>
                <w14:textFill>
                  <w14:solidFill>
                    <w14:srgbClr w14:val="000000">
                      <w14:alpha w14:val="100000"/>
                    </w14:srgbClr>
                  </w14:solidFill>
                </w14:textFill>
              </w:rPr>
              <w:t>|</w:t>
            </w:r>
            <w:r w:rsidR="00FA07B2" w:rsidRPr="00FA07B2">
              <w:rPr>
                <w:rFonts w:ascii="Arial Narrow" w:hAnsi="Arial Narrow"/>
                <w:color w:val="000000"/>
                <w:sz w:val="20"/>
                <w:szCs w:val="20"/>
                <w:shd w:val="solid" w:color="000000" w:fill="000000"/>
                <w:fitText w:val="200" w:id="-1230858496"/>
                <w14:textFill>
                  <w14:solidFill>
                    <w14:srgbClr w14:val="000000">
                      <w14:alpha w14:val="100000"/>
                    </w14:srgbClr>
                  </w14:solidFill>
                </w14:textFill>
              </w:rPr>
              <w:t>|</w:t>
            </w:r>
            <w:r>
              <w:rPr>
                <w:rFonts w:ascii="Arial Narrow" w:hAnsi="Arial Narrow"/>
                <w:sz w:val="20"/>
                <w:szCs w:val="20"/>
                <w:vertAlign w:val="superscript"/>
              </w:rPr>
              <w:t>14</w:t>
            </w:r>
          </w:p>
        </w:tc>
      </w:tr>
      <w:tr w:rsidR="000031BD" w14:paraId="45DE4806" w14:textId="77777777" w:rsidTr="001F08D6">
        <w:tc>
          <w:tcPr>
            <w:tcW w:w="5000" w:type="pct"/>
            <w:gridSpan w:val="7"/>
            <w:hideMark/>
          </w:tcPr>
          <w:p w14:paraId="115D5DA5"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b/>
                <w:bCs/>
                <w:sz w:val="20"/>
                <w:szCs w:val="20"/>
              </w:rPr>
              <w:t>Estimated financial implications for substitution of other medicines (published prices)</w:t>
            </w:r>
          </w:p>
        </w:tc>
      </w:tr>
      <w:tr w:rsidR="001F08D6" w14:paraId="1A2F3836" w14:textId="77777777" w:rsidTr="00B71D61">
        <w:tc>
          <w:tcPr>
            <w:tcW w:w="929" w:type="pct"/>
            <w:hideMark/>
          </w:tcPr>
          <w:p w14:paraId="7B7DFA26" w14:textId="37C6E5BE"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Cost to PBS/RPBS less co-payments</w:t>
            </w:r>
            <w:r w:rsidR="00D13A3C" w:rsidRPr="00D13A3C">
              <w:rPr>
                <w:rFonts w:ascii="Arial Narrow" w:hAnsi="Arial Narrow"/>
                <w:sz w:val="20"/>
                <w:szCs w:val="20"/>
              </w:rPr>
              <w:t>($)</w:t>
            </w:r>
          </w:p>
        </w:tc>
        <w:tc>
          <w:tcPr>
            <w:tcW w:w="571" w:type="pct"/>
            <w:hideMark/>
          </w:tcPr>
          <w:p w14:paraId="2AF27A31" w14:textId="5AA9CBD6" w:rsidR="000031BD" w:rsidRPr="00D13A3C" w:rsidRDefault="00FA07B2" w:rsidP="006F69AD">
            <w:pPr>
              <w:pStyle w:val="null1"/>
              <w:keepNext/>
              <w:snapToGrid w:val="0"/>
              <w:jc w:val="center"/>
              <w:rPr>
                <w:rFonts w:ascii="Arial Narrow" w:hAnsi="Arial Narrow"/>
                <w:sz w:val="20"/>
                <w:szCs w:val="20"/>
                <w:highlight w:val="darkGray"/>
              </w:rPr>
            </w:pPr>
            <w:r w:rsidRPr="009C7BF6">
              <w:rPr>
                <w:rFonts w:ascii="Arial Narrow" w:hAnsi="Arial Narrow" w:hint="eastAsia"/>
                <w:color w:val="000000"/>
                <w:w w:val="15"/>
                <w:sz w:val="20"/>
                <w:szCs w:val="20"/>
                <w:shd w:val="solid" w:color="000000" w:fill="000000"/>
                <w:fitText w:val="10" w:id="-1230858495"/>
                <w14:textFill>
                  <w14:solidFill>
                    <w14:srgbClr w14:val="000000">
                      <w14:alpha w14:val="100000"/>
                    </w14:srgbClr>
                  </w14:solidFill>
                </w14:textFill>
              </w:rPr>
              <w:t xml:space="preserve">　</w:t>
            </w:r>
            <w:r w:rsidR="00D24173" w:rsidRPr="009C7BF6">
              <w:rPr>
                <w:rFonts w:ascii="Arial Narrow" w:hAnsi="Arial Narrow" w:hint="eastAsia"/>
                <w:color w:val="000000"/>
                <w:w w:val="15"/>
                <w:sz w:val="20"/>
                <w:szCs w:val="20"/>
                <w:shd w:val="solid" w:color="000000" w:fill="000000"/>
                <w:fitText w:val="10" w:id="-1230858495"/>
                <w14:textFill>
                  <w14:solidFill>
                    <w14:srgbClr w14:val="000000">
                      <w14:alpha w14:val="100000"/>
                    </w14:srgbClr>
                  </w14:solidFill>
                </w14:textFill>
              </w:rPr>
              <w:t xml:space="preserve"> </w:t>
            </w:r>
            <w:r w:rsidR="00D24173" w:rsidRPr="009C7BF6">
              <w:rPr>
                <w:rFonts w:ascii="Arial Narrow" w:hAnsi="Arial Narrow"/>
                <w:color w:val="000000"/>
                <w:w w:val="15"/>
                <w:sz w:val="20"/>
                <w:szCs w:val="20"/>
                <w:shd w:val="solid" w:color="000000" w:fill="000000"/>
                <w:fitText w:val="10" w:id="-1230858495"/>
                <w14:textFill>
                  <w14:solidFill>
                    <w14:srgbClr w14:val="000000">
                      <w14:alpha w14:val="100000"/>
                    </w14:srgbClr>
                  </w14:solidFill>
                </w14:textFill>
              </w:rPr>
              <w:t xml:space="preserve">                                             </w:t>
            </w:r>
            <w:r w:rsidRPr="009C7BF6">
              <w:rPr>
                <w:rFonts w:ascii="Arial Narrow" w:hAnsi="Arial Narrow"/>
                <w:color w:val="000000"/>
                <w:w w:val="15"/>
                <w:sz w:val="20"/>
                <w:szCs w:val="20"/>
                <w:shd w:val="solid" w:color="000000" w:fill="000000"/>
                <w:fitText w:val="10" w:id="-1230858495"/>
                <w14:textFill>
                  <w14:solidFill>
                    <w14:srgbClr w14:val="000000">
                      <w14:alpha w14:val="100000"/>
                    </w14:srgbClr>
                  </w14:solidFill>
                </w14:textFill>
              </w:rPr>
              <w:t>|</w:t>
            </w:r>
            <w:r w:rsidRPr="009C7BF6">
              <w:rPr>
                <w:rFonts w:ascii="Arial Narrow" w:hAnsi="Arial Narrow" w:hint="eastAsia"/>
                <w:color w:val="000000"/>
                <w:spacing w:val="-370"/>
                <w:w w:val="15"/>
                <w:sz w:val="20"/>
                <w:szCs w:val="20"/>
                <w:shd w:val="solid" w:color="000000" w:fill="000000"/>
                <w:fitText w:val="10" w:id="-1230858495"/>
                <w14:textFill>
                  <w14:solidFill>
                    <w14:srgbClr w14:val="000000">
                      <w14:alpha w14:val="100000"/>
                    </w14:srgbClr>
                  </w14:solidFill>
                </w14:textFill>
              </w:rPr>
              <w:t xml:space="preserve">　</w:t>
            </w:r>
            <w:r w:rsidR="00D77C78">
              <w:rPr>
                <w:rFonts w:ascii="Arial Narrow" w:hAnsi="Arial Narrow"/>
                <w:sz w:val="20"/>
                <w:szCs w:val="20"/>
                <w:vertAlign w:val="superscript"/>
              </w:rPr>
              <w:t>15</w:t>
            </w:r>
          </w:p>
        </w:tc>
        <w:tc>
          <w:tcPr>
            <w:tcW w:w="644" w:type="pct"/>
            <w:hideMark/>
          </w:tcPr>
          <w:p w14:paraId="33468357" w14:textId="06471282"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2"/>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2"/>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5" w:type="pct"/>
            <w:hideMark/>
          </w:tcPr>
          <w:p w14:paraId="33297CC5" w14:textId="148B09CF"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1"/>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1"/>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7" w:type="pct"/>
            <w:hideMark/>
          </w:tcPr>
          <w:p w14:paraId="59A45513" w14:textId="3AF37BDB"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0"/>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0"/>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3" w:type="pct"/>
            <w:hideMark/>
          </w:tcPr>
          <w:p w14:paraId="1060ACFF" w14:textId="5D751C7D"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19"/>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19"/>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1" w:type="pct"/>
            <w:hideMark/>
          </w:tcPr>
          <w:p w14:paraId="67D9661C" w14:textId="3693D824"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6"/>
                <w:sz w:val="20"/>
                <w:szCs w:val="20"/>
                <w:shd w:val="solid" w:color="000000" w:fill="000000"/>
                <w:fitText w:val="341" w:id="-1236624118"/>
                <w14:textFill>
                  <w14:solidFill>
                    <w14:srgbClr w14:val="000000">
                      <w14:alpha w14:val="100000"/>
                    </w14:srgbClr>
                  </w14:solidFill>
                </w14:textFill>
              </w:rPr>
              <w:t>|||</w:t>
            </w:r>
            <w:r w:rsidRPr="00D868AE">
              <w:rPr>
                <w:rFonts w:ascii="Arial Narrow" w:hAnsi="Arial Narrow"/>
                <w:color w:val="000000"/>
                <w:spacing w:val="3"/>
                <w:sz w:val="20"/>
                <w:szCs w:val="20"/>
                <w:shd w:val="solid" w:color="000000" w:fill="000000"/>
                <w:fitText w:val="341" w:id="-1236624118"/>
                <w14:textFill>
                  <w14:solidFill>
                    <w14:srgbClr w14:val="000000">
                      <w14:alpha w14:val="100000"/>
                    </w14:srgbClr>
                  </w14:solidFill>
                </w14:textFill>
              </w:rPr>
              <w:t>|</w:t>
            </w:r>
            <w:r w:rsidR="00D77C78">
              <w:rPr>
                <w:rFonts w:ascii="Arial Narrow" w:hAnsi="Arial Narrow"/>
                <w:sz w:val="20"/>
                <w:szCs w:val="20"/>
                <w:vertAlign w:val="superscript"/>
              </w:rPr>
              <w:t>15</w:t>
            </w:r>
          </w:p>
        </w:tc>
      </w:tr>
      <w:tr w:rsidR="000031BD" w14:paraId="3B19E22B" w14:textId="77777777" w:rsidTr="001F08D6">
        <w:tc>
          <w:tcPr>
            <w:tcW w:w="5000" w:type="pct"/>
            <w:gridSpan w:val="7"/>
            <w:hideMark/>
          </w:tcPr>
          <w:p w14:paraId="208C22A5" w14:textId="77777777" w:rsidR="000031BD" w:rsidRPr="00314F11" w:rsidRDefault="000031BD" w:rsidP="006F69AD">
            <w:pPr>
              <w:pStyle w:val="null1"/>
              <w:keepNext/>
              <w:snapToGrid w:val="0"/>
              <w:rPr>
                <w:rFonts w:ascii="Arial Narrow" w:hAnsi="Arial Narrow"/>
                <w:sz w:val="20"/>
                <w:szCs w:val="20"/>
              </w:rPr>
            </w:pPr>
            <w:r w:rsidRPr="00314F11">
              <w:rPr>
                <w:rFonts w:ascii="Arial Narrow" w:hAnsi="Arial Narrow"/>
                <w:b/>
                <w:bCs/>
                <w:sz w:val="20"/>
                <w:szCs w:val="20"/>
              </w:rPr>
              <w:t>Net financial implications</w:t>
            </w:r>
            <w:r w:rsidRPr="00314F11">
              <w:rPr>
                <w:rStyle w:val="null"/>
                <w:rFonts w:ascii="Arial Narrow" w:hAnsi="Arial Narrow"/>
                <w:b/>
                <w:bCs/>
                <w:color w:val="4BACC6"/>
                <w:sz w:val="20"/>
                <w:szCs w:val="20"/>
              </w:rPr>
              <w:t xml:space="preserve"> </w:t>
            </w:r>
          </w:p>
        </w:tc>
      </w:tr>
      <w:tr w:rsidR="001F08D6" w14:paraId="33B049BA" w14:textId="77777777" w:rsidTr="00B71D61">
        <w:tc>
          <w:tcPr>
            <w:tcW w:w="929" w:type="pct"/>
            <w:hideMark/>
          </w:tcPr>
          <w:p w14:paraId="6B06575F" w14:textId="64688848"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Net cost to PBS/RPBS</w:t>
            </w:r>
            <w:r w:rsidR="00D13A3C" w:rsidRPr="00D13A3C">
              <w:rPr>
                <w:rFonts w:ascii="Arial Narrow" w:hAnsi="Arial Narrow"/>
                <w:sz w:val="20"/>
                <w:szCs w:val="20"/>
              </w:rPr>
              <w:t>($)</w:t>
            </w:r>
          </w:p>
        </w:tc>
        <w:tc>
          <w:tcPr>
            <w:tcW w:w="571" w:type="pct"/>
            <w:hideMark/>
          </w:tcPr>
          <w:p w14:paraId="6D52C9DA" w14:textId="6052DEA5"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1"/>
                <w:sz w:val="20"/>
                <w:szCs w:val="20"/>
                <w:shd w:val="solid" w:color="000000" w:fill="000000"/>
                <w:fitText w:val="325" w:id="-1236624117"/>
                <w14:textFill>
                  <w14:solidFill>
                    <w14:srgbClr w14:val="000000">
                      <w14:alpha w14:val="100000"/>
                    </w14:srgbClr>
                  </w14:solidFill>
                </w14:textFill>
              </w:rPr>
              <w:t>|||</w:t>
            </w:r>
            <w:r w:rsidRPr="001F08D6">
              <w:rPr>
                <w:rFonts w:ascii="Arial Narrow" w:hAnsi="Arial Narrow"/>
                <w:color w:val="000000"/>
                <w:spacing w:val="2"/>
                <w:sz w:val="20"/>
                <w:szCs w:val="20"/>
                <w:shd w:val="solid" w:color="000000" w:fill="000000"/>
                <w:fitText w:val="325" w:id="-1236624117"/>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644" w:type="pct"/>
            <w:hideMark/>
          </w:tcPr>
          <w:p w14:paraId="1C16913B" w14:textId="505C6273"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16"/>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16"/>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5" w:type="pct"/>
            <w:hideMark/>
          </w:tcPr>
          <w:p w14:paraId="28CE409A" w14:textId="28720E48"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15"/>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15"/>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7" w:type="pct"/>
            <w:hideMark/>
          </w:tcPr>
          <w:p w14:paraId="0B912851" w14:textId="2FB6053B"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14"/>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14"/>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3" w:type="pct"/>
            <w:hideMark/>
          </w:tcPr>
          <w:p w14:paraId="5AC47321" w14:textId="15D1C450"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13"/>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13"/>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1" w:type="pct"/>
            <w:hideMark/>
          </w:tcPr>
          <w:p w14:paraId="3D81B2AC" w14:textId="77B86C09"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6"/>
                <w:sz w:val="20"/>
                <w:szCs w:val="20"/>
                <w:shd w:val="solid" w:color="000000" w:fill="000000"/>
                <w:fitText w:val="341" w:id="-1236624112"/>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41" w:id="-1236624112"/>
                <w14:textFill>
                  <w14:solidFill>
                    <w14:srgbClr w14:val="000000">
                      <w14:alpha w14:val="100000"/>
                    </w14:srgbClr>
                  </w14:solidFill>
                </w14:textFill>
              </w:rPr>
              <w:t>|</w:t>
            </w:r>
            <w:r w:rsidR="00D77C78">
              <w:rPr>
                <w:rFonts w:ascii="Arial Narrow" w:hAnsi="Arial Narrow"/>
                <w:sz w:val="20"/>
                <w:szCs w:val="20"/>
                <w:vertAlign w:val="superscript"/>
              </w:rPr>
              <w:t>16</w:t>
            </w:r>
          </w:p>
        </w:tc>
      </w:tr>
      <w:tr w:rsidR="001F08D6" w14:paraId="4F93733E" w14:textId="77777777" w:rsidTr="00B71D61">
        <w:tc>
          <w:tcPr>
            <w:tcW w:w="929" w:type="pct"/>
            <w:hideMark/>
          </w:tcPr>
          <w:p w14:paraId="0D0924DD" w14:textId="19411F54"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Net cost to MBS</w:t>
            </w:r>
            <w:r w:rsidR="00D13A3C" w:rsidRPr="00D13A3C">
              <w:rPr>
                <w:rFonts w:ascii="Arial Narrow" w:hAnsi="Arial Narrow"/>
                <w:sz w:val="20"/>
                <w:szCs w:val="20"/>
              </w:rPr>
              <w:t>($)</w:t>
            </w:r>
          </w:p>
        </w:tc>
        <w:tc>
          <w:tcPr>
            <w:tcW w:w="571" w:type="pct"/>
            <w:hideMark/>
          </w:tcPr>
          <w:p w14:paraId="32D7DFEB" w14:textId="482059D4"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1"/>
                <w:sz w:val="20"/>
                <w:szCs w:val="20"/>
                <w:shd w:val="solid" w:color="000000" w:fill="000000"/>
                <w:fitText w:val="325" w:id="-1236624128"/>
                <w14:textFill>
                  <w14:solidFill>
                    <w14:srgbClr w14:val="000000">
                      <w14:alpha w14:val="100000"/>
                    </w14:srgbClr>
                  </w14:solidFill>
                </w14:textFill>
              </w:rPr>
              <w:t>|||</w:t>
            </w:r>
            <w:r w:rsidRPr="001F08D6">
              <w:rPr>
                <w:rFonts w:ascii="Arial Narrow" w:hAnsi="Arial Narrow"/>
                <w:color w:val="000000"/>
                <w:spacing w:val="2"/>
                <w:sz w:val="20"/>
                <w:szCs w:val="20"/>
                <w:shd w:val="solid" w:color="000000" w:fill="000000"/>
                <w:fitText w:val="325" w:id="-1236624128"/>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644" w:type="pct"/>
            <w:hideMark/>
          </w:tcPr>
          <w:p w14:paraId="1EB6059A" w14:textId="43610A67"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7"/>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7"/>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5" w:type="pct"/>
            <w:hideMark/>
          </w:tcPr>
          <w:p w14:paraId="4801A682" w14:textId="2BEE50A0"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6"/>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6"/>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7" w:type="pct"/>
            <w:hideMark/>
          </w:tcPr>
          <w:p w14:paraId="025DA099" w14:textId="1F281975"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5"/>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5"/>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3" w:type="pct"/>
            <w:hideMark/>
          </w:tcPr>
          <w:p w14:paraId="5CE6B91D" w14:textId="2818FB00"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4"/>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4"/>
                <w14:textFill>
                  <w14:solidFill>
                    <w14:srgbClr w14:val="000000">
                      <w14:alpha w14:val="100000"/>
                    </w14:srgbClr>
                  </w14:solidFill>
                </w14:textFill>
              </w:rPr>
              <w:t>|</w:t>
            </w:r>
            <w:r w:rsidR="00D77C78">
              <w:rPr>
                <w:rFonts w:ascii="Arial Narrow" w:hAnsi="Arial Narrow"/>
                <w:sz w:val="20"/>
                <w:szCs w:val="20"/>
                <w:vertAlign w:val="superscript"/>
              </w:rPr>
              <w:t>15</w:t>
            </w:r>
          </w:p>
        </w:tc>
        <w:tc>
          <w:tcPr>
            <w:tcW w:w="711" w:type="pct"/>
            <w:hideMark/>
          </w:tcPr>
          <w:p w14:paraId="1A587BD6" w14:textId="41CBB7D5"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6"/>
                <w:sz w:val="20"/>
                <w:szCs w:val="20"/>
                <w:shd w:val="solid" w:color="000000" w:fill="000000"/>
                <w:fitText w:val="341" w:id="-1236624123"/>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41" w:id="-1236624123"/>
                <w14:textFill>
                  <w14:solidFill>
                    <w14:srgbClr w14:val="000000">
                      <w14:alpha w14:val="100000"/>
                    </w14:srgbClr>
                  </w14:solidFill>
                </w14:textFill>
              </w:rPr>
              <w:t>|</w:t>
            </w:r>
            <w:r w:rsidR="00D77C78">
              <w:rPr>
                <w:rFonts w:ascii="Arial Narrow" w:hAnsi="Arial Narrow"/>
                <w:sz w:val="20"/>
                <w:szCs w:val="20"/>
                <w:vertAlign w:val="superscript"/>
              </w:rPr>
              <w:t>15</w:t>
            </w:r>
          </w:p>
        </w:tc>
      </w:tr>
      <w:tr w:rsidR="001F08D6" w14:paraId="44DCDA2A" w14:textId="77777777" w:rsidTr="00B71D61">
        <w:tc>
          <w:tcPr>
            <w:tcW w:w="929" w:type="pct"/>
            <w:hideMark/>
          </w:tcPr>
          <w:p w14:paraId="66B8FBB2" w14:textId="725BA5F1" w:rsidR="000031BD" w:rsidRPr="00314F11" w:rsidRDefault="000031BD" w:rsidP="006F69AD">
            <w:pPr>
              <w:pStyle w:val="null1"/>
              <w:keepNext/>
              <w:snapToGrid w:val="0"/>
              <w:rPr>
                <w:rFonts w:ascii="Arial Narrow" w:hAnsi="Arial Narrow"/>
                <w:sz w:val="20"/>
                <w:szCs w:val="20"/>
              </w:rPr>
            </w:pPr>
            <w:r w:rsidRPr="00314F11">
              <w:rPr>
                <w:rFonts w:ascii="Arial Narrow" w:hAnsi="Arial Narrow"/>
                <w:sz w:val="20"/>
                <w:szCs w:val="20"/>
              </w:rPr>
              <w:t>Net cost to PBS/RPBS/MBS</w:t>
            </w:r>
            <w:r w:rsidR="00D13A3C" w:rsidRPr="00D13A3C">
              <w:rPr>
                <w:rFonts w:ascii="Arial Narrow" w:hAnsi="Arial Narrow"/>
                <w:sz w:val="20"/>
                <w:szCs w:val="20"/>
              </w:rPr>
              <w:t>($)</w:t>
            </w:r>
          </w:p>
        </w:tc>
        <w:tc>
          <w:tcPr>
            <w:tcW w:w="571" w:type="pct"/>
            <w:hideMark/>
          </w:tcPr>
          <w:p w14:paraId="619CC443" w14:textId="4336B6AF"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1"/>
                <w:sz w:val="20"/>
                <w:szCs w:val="20"/>
                <w:shd w:val="solid" w:color="000000" w:fill="000000"/>
                <w:fitText w:val="325" w:id="-1236624122"/>
                <w14:textFill>
                  <w14:solidFill>
                    <w14:srgbClr w14:val="000000">
                      <w14:alpha w14:val="100000"/>
                    </w14:srgbClr>
                  </w14:solidFill>
                </w14:textFill>
              </w:rPr>
              <w:t>|||</w:t>
            </w:r>
            <w:r w:rsidRPr="001F08D6">
              <w:rPr>
                <w:rFonts w:ascii="Arial Narrow" w:hAnsi="Arial Narrow"/>
                <w:color w:val="000000"/>
                <w:spacing w:val="2"/>
                <w:sz w:val="20"/>
                <w:szCs w:val="20"/>
                <w:shd w:val="solid" w:color="000000" w:fill="000000"/>
                <w:fitText w:val="325" w:id="-1236624122"/>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644" w:type="pct"/>
            <w:hideMark/>
          </w:tcPr>
          <w:p w14:paraId="56222E0F" w14:textId="682E9D39"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1"/>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1"/>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5" w:type="pct"/>
            <w:hideMark/>
          </w:tcPr>
          <w:p w14:paraId="784DC89E" w14:textId="1117F559"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20"/>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20"/>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7" w:type="pct"/>
            <w:hideMark/>
          </w:tcPr>
          <w:p w14:paraId="5B164710" w14:textId="4A4C630A"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19"/>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19"/>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3" w:type="pct"/>
            <w:hideMark/>
          </w:tcPr>
          <w:p w14:paraId="00B11FC9" w14:textId="55A41992" w:rsidR="000031BD" w:rsidRPr="00D13A3C" w:rsidRDefault="001F08D6" w:rsidP="006F69AD">
            <w:pPr>
              <w:pStyle w:val="null1"/>
              <w:keepNext/>
              <w:snapToGrid w:val="0"/>
              <w:jc w:val="center"/>
              <w:rPr>
                <w:rFonts w:ascii="Arial Narrow" w:hAnsi="Arial Narrow"/>
                <w:sz w:val="20"/>
                <w:szCs w:val="20"/>
                <w:highlight w:val="darkGray"/>
              </w:rPr>
            </w:pPr>
            <w:r w:rsidRPr="00D868AE">
              <w:rPr>
                <w:rFonts w:ascii="Arial Narrow" w:hAnsi="Arial Narrow"/>
                <w:color w:val="000000"/>
                <w:spacing w:val="50"/>
                <w:sz w:val="20"/>
                <w:szCs w:val="20"/>
                <w:shd w:val="solid" w:color="000000" w:fill="000000"/>
                <w:fitText w:val="333" w:id="-1236624118"/>
                <w14:textFill>
                  <w14:solidFill>
                    <w14:srgbClr w14:val="000000">
                      <w14:alpha w14:val="100000"/>
                    </w14:srgbClr>
                  </w14:solidFill>
                </w14:textFill>
              </w:rPr>
              <w:t>|||</w:t>
            </w:r>
            <w:r w:rsidRPr="00D868AE">
              <w:rPr>
                <w:rFonts w:ascii="Arial Narrow" w:hAnsi="Arial Narrow"/>
                <w:color w:val="000000"/>
                <w:spacing w:val="20"/>
                <w:sz w:val="20"/>
                <w:szCs w:val="20"/>
                <w:shd w:val="solid" w:color="000000" w:fill="000000"/>
                <w:fitText w:val="333" w:id="-1236624118"/>
                <w14:textFill>
                  <w14:solidFill>
                    <w14:srgbClr w14:val="000000">
                      <w14:alpha w14:val="100000"/>
                    </w14:srgbClr>
                  </w14:solidFill>
                </w14:textFill>
              </w:rPr>
              <w:t>|</w:t>
            </w:r>
            <w:r w:rsidR="00D77C78">
              <w:rPr>
                <w:rFonts w:ascii="Arial Narrow" w:hAnsi="Arial Narrow"/>
                <w:sz w:val="20"/>
                <w:szCs w:val="20"/>
                <w:vertAlign w:val="superscript"/>
              </w:rPr>
              <w:t>16</w:t>
            </w:r>
          </w:p>
        </w:tc>
        <w:tc>
          <w:tcPr>
            <w:tcW w:w="711" w:type="pct"/>
            <w:hideMark/>
          </w:tcPr>
          <w:p w14:paraId="261D15DF" w14:textId="320FBBCB" w:rsidR="000031BD" w:rsidRPr="00D13A3C" w:rsidRDefault="001F08D6" w:rsidP="006F69AD">
            <w:pPr>
              <w:pStyle w:val="null1"/>
              <w:keepNext/>
              <w:snapToGrid w:val="0"/>
              <w:jc w:val="center"/>
              <w:rPr>
                <w:rFonts w:ascii="Arial Narrow" w:hAnsi="Arial Narrow"/>
                <w:sz w:val="20"/>
                <w:szCs w:val="20"/>
                <w:highlight w:val="darkGray"/>
              </w:rPr>
            </w:pPr>
            <w:r w:rsidRPr="001F08D6">
              <w:rPr>
                <w:rFonts w:ascii="Arial Narrow" w:hAnsi="Arial Narrow"/>
                <w:color w:val="000000"/>
                <w:spacing w:val="56"/>
                <w:sz w:val="20"/>
                <w:szCs w:val="20"/>
                <w:shd w:val="solid" w:color="000000" w:fill="000000"/>
                <w:fitText w:val="341" w:id="-1236624117"/>
                <w14:textFill>
                  <w14:solidFill>
                    <w14:srgbClr w14:val="000000">
                      <w14:alpha w14:val="100000"/>
                    </w14:srgbClr>
                  </w14:solidFill>
                </w14:textFill>
              </w:rPr>
              <w:t>|||</w:t>
            </w:r>
            <w:r w:rsidRPr="001F08D6">
              <w:rPr>
                <w:rFonts w:ascii="Arial Narrow" w:hAnsi="Arial Narrow"/>
                <w:color w:val="000000"/>
                <w:spacing w:val="3"/>
                <w:sz w:val="20"/>
                <w:szCs w:val="20"/>
                <w:shd w:val="solid" w:color="000000" w:fill="000000"/>
                <w:fitText w:val="341" w:id="-1236624117"/>
                <w14:textFill>
                  <w14:solidFill>
                    <w14:srgbClr w14:val="000000">
                      <w14:alpha w14:val="100000"/>
                    </w14:srgbClr>
                  </w14:solidFill>
                </w14:textFill>
              </w:rPr>
              <w:t>|</w:t>
            </w:r>
            <w:r w:rsidR="00D77C78">
              <w:rPr>
                <w:rFonts w:ascii="Arial Narrow" w:hAnsi="Arial Narrow"/>
                <w:sz w:val="20"/>
                <w:szCs w:val="20"/>
                <w:vertAlign w:val="superscript"/>
              </w:rPr>
              <w:t>16</w:t>
            </w:r>
          </w:p>
        </w:tc>
      </w:tr>
    </w:tbl>
    <w:p w14:paraId="29D47C1C" w14:textId="77777777" w:rsidR="00B71D61" w:rsidRDefault="00D13A3C" w:rsidP="00D13A3C">
      <w:pPr>
        <w:rPr>
          <w:rFonts w:ascii="Arial Narrow" w:hAnsi="Arial Narrow"/>
          <w:i/>
          <w:sz w:val="18"/>
          <w:szCs w:val="18"/>
        </w:rPr>
      </w:pPr>
      <w:r>
        <w:rPr>
          <w:rFonts w:ascii="Arial Narrow" w:hAnsi="Arial Narrow"/>
          <w:i/>
          <w:sz w:val="18"/>
          <w:szCs w:val="18"/>
        </w:rPr>
        <w:t>The redacted values correspond to the following ranges:</w:t>
      </w:r>
    </w:p>
    <w:p w14:paraId="0A3F4156" w14:textId="57A9FED5" w:rsidR="00D13A3C" w:rsidRDefault="00D13A3C" w:rsidP="00D13A3C">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700EA0">
        <w:rPr>
          <w:rFonts w:ascii="Arial Narrow" w:hAnsi="Arial Narrow"/>
          <w:i/>
          <w:sz w:val="18"/>
          <w:szCs w:val="18"/>
        </w:rPr>
        <w:t>20,000 to &lt; 30,000</w:t>
      </w:r>
    </w:p>
    <w:p w14:paraId="37BA331F" w14:textId="77777777" w:rsidR="00D13A3C" w:rsidRDefault="00D13A3C" w:rsidP="00D13A3C">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700EA0">
        <w:rPr>
          <w:rFonts w:ascii="Arial Narrow" w:hAnsi="Arial Narrow"/>
          <w:i/>
          <w:sz w:val="18"/>
          <w:szCs w:val="18"/>
        </w:rPr>
        <w:t>500 to &lt; 5,000</w:t>
      </w:r>
    </w:p>
    <w:p w14:paraId="37C20FD3" w14:textId="04087367" w:rsidR="0052187B" w:rsidRDefault="00D13A3C" w:rsidP="00D13A3C">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0052187B" w:rsidRPr="0052187B">
        <w:rPr>
          <w:rFonts w:ascii="Arial Narrow" w:hAnsi="Arial Narrow"/>
          <w:i/>
          <w:sz w:val="18"/>
          <w:szCs w:val="18"/>
        </w:rPr>
        <w:t>5,000 to &lt; 10,000</w:t>
      </w:r>
    </w:p>
    <w:p w14:paraId="7D47EC8C" w14:textId="38E83B91" w:rsidR="00D13A3C" w:rsidRDefault="0052187B" w:rsidP="00D13A3C">
      <w:pPr>
        <w:rPr>
          <w:rFonts w:ascii="Arial Narrow" w:hAnsi="Arial Narrow"/>
          <w:i/>
          <w:sz w:val="18"/>
          <w:szCs w:val="18"/>
        </w:rPr>
      </w:pPr>
      <w:r>
        <w:rPr>
          <w:rFonts w:ascii="Arial Narrow" w:hAnsi="Arial Narrow"/>
          <w:i/>
          <w:sz w:val="18"/>
          <w:szCs w:val="18"/>
          <w:vertAlign w:val="superscript"/>
        </w:rPr>
        <w:t>4</w:t>
      </w:r>
      <w:r w:rsidR="00D13A3C" w:rsidRPr="0069022C">
        <w:rPr>
          <w:rFonts w:ascii="Arial Narrow" w:hAnsi="Arial Narrow"/>
          <w:i/>
          <w:sz w:val="18"/>
          <w:szCs w:val="18"/>
        </w:rPr>
        <w:t>30,000 to &lt; 40,000</w:t>
      </w:r>
    </w:p>
    <w:p w14:paraId="127F2179" w14:textId="0B27E676" w:rsidR="0052187B" w:rsidRDefault="0052187B" w:rsidP="0052187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69022C">
        <w:rPr>
          <w:rFonts w:ascii="Arial Narrow" w:hAnsi="Arial Narrow"/>
          <w:i/>
          <w:sz w:val="18"/>
          <w:szCs w:val="18"/>
        </w:rPr>
        <w:t>60,000 to &lt; 70,000</w:t>
      </w:r>
    </w:p>
    <w:p w14:paraId="1F06E3E7" w14:textId="333AFF0F" w:rsidR="0052187B" w:rsidRDefault="0052187B" w:rsidP="0052187B">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69022C">
        <w:rPr>
          <w:rFonts w:ascii="Arial Narrow" w:hAnsi="Arial Narrow"/>
          <w:i/>
          <w:sz w:val="18"/>
          <w:szCs w:val="18"/>
        </w:rPr>
        <w:t>80,000 to &lt; 90,000</w:t>
      </w:r>
    </w:p>
    <w:p w14:paraId="0F52268B" w14:textId="591F65C1" w:rsidR="0052187B" w:rsidRDefault="0052187B" w:rsidP="0052187B">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52187B">
        <w:rPr>
          <w:rFonts w:ascii="Arial Narrow" w:hAnsi="Arial Narrow"/>
          <w:i/>
          <w:sz w:val="18"/>
          <w:szCs w:val="18"/>
        </w:rPr>
        <w:t>90,000 to &lt; 100,000</w:t>
      </w:r>
    </w:p>
    <w:p w14:paraId="248F8AE3" w14:textId="4B1B006A" w:rsidR="0052187B" w:rsidRDefault="0052187B" w:rsidP="0052187B">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52187B">
        <w:rPr>
          <w:rFonts w:ascii="Arial Narrow" w:hAnsi="Arial Narrow"/>
          <w:i/>
          <w:sz w:val="18"/>
          <w:szCs w:val="18"/>
        </w:rPr>
        <w:t>100,000 to &lt; 200,000</w:t>
      </w:r>
    </w:p>
    <w:p w14:paraId="65EBC257" w14:textId="6DC48AAA" w:rsidR="006A7FE8" w:rsidRDefault="006A7FE8" w:rsidP="0052187B">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6A7FE8">
        <w:rPr>
          <w:rFonts w:ascii="Arial Narrow" w:hAnsi="Arial Narrow"/>
          <w:i/>
          <w:sz w:val="18"/>
          <w:szCs w:val="18"/>
        </w:rPr>
        <w:t>10,000 to &lt; 20,000</w:t>
      </w:r>
    </w:p>
    <w:p w14:paraId="54CA8A3F" w14:textId="45587E8C" w:rsidR="006A7FE8" w:rsidRDefault="006A7FE8" w:rsidP="006A7FE8">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6A7FE8">
        <w:rPr>
          <w:rFonts w:ascii="Arial Narrow" w:hAnsi="Arial Narrow"/>
          <w:i/>
          <w:sz w:val="18"/>
          <w:szCs w:val="18"/>
        </w:rPr>
        <w:t>40,000 to &lt; 50,000</w:t>
      </w:r>
    </w:p>
    <w:p w14:paraId="2B2E711C" w14:textId="64FC80ED" w:rsidR="0052187B" w:rsidRDefault="00D77C78" w:rsidP="00D13A3C">
      <w:pPr>
        <w:rPr>
          <w:rFonts w:ascii="Arial Narrow" w:hAnsi="Arial Narrow"/>
          <w:i/>
          <w:sz w:val="18"/>
          <w:szCs w:val="18"/>
          <w:vertAlign w:val="superscript"/>
        </w:rPr>
      </w:pPr>
      <w:r>
        <w:rPr>
          <w:rFonts w:ascii="Arial Narrow" w:hAnsi="Arial Narrow"/>
          <w:i/>
          <w:sz w:val="18"/>
          <w:szCs w:val="18"/>
          <w:vertAlign w:val="superscript"/>
        </w:rPr>
        <w:t>11</w:t>
      </w:r>
      <w:r>
        <w:rPr>
          <w:rFonts w:ascii="Arial Narrow" w:hAnsi="Arial Narrow"/>
          <w:i/>
          <w:sz w:val="18"/>
          <w:szCs w:val="18"/>
        </w:rPr>
        <w:t xml:space="preserve"> </w:t>
      </w:r>
      <w:r w:rsidRPr="00D77C78">
        <w:rPr>
          <w:rFonts w:ascii="Arial Narrow" w:hAnsi="Arial Narrow"/>
          <w:i/>
          <w:sz w:val="18"/>
          <w:szCs w:val="18"/>
        </w:rPr>
        <w:t>$10 million to &lt; $20 million</w:t>
      </w:r>
    </w:p>
    <w:p w14:paraId="4B4AB138" w14:textId="266E1131" w:rsidR="00D13A3C" w:rsidRDefault="00D77C78" w:rsidP="00D13A3C">
      <w:pPr>
        <w:rPr>
          <w:rFonts w:ascii="Arial Narrow" w:hAnsi="Arial Narrow"/>
          <w:i/>
          <w:sz w:val="18"/>
          <w:szCs w:val="18"/>
        </w:rPr>
      </w:pPr>
      <w:r>
        <w:rPr>
          <w:rFonts w:ascii="Arial Narrow" w:hAnsi="Arial Narrow"/>
          <w:i/>
          <w:sz w:val="18"/>
          <w:szCs w:val="18"/>
          <w:vertAlign w:val="superscript"/>
        </w:rPr>
        <w:t>12</w:t>
      </w:r>
      <w:r w:rsidR="00D13A3C">
        <w:rPr>
          <w:rFonts w:ascii="Arial Narrow" w:hAnsi="Arial Narrow"/>
          <w:i/>
          <w:sz w:val="18"/>
          <w:szCs w:val="18"/>
        </w:rPr>
        <w:t xml:space="preserve"> </w:t>
      </w:r>
      <w:r w:rsidR="00D13A3C" w:rsidRPr="0069022C">
        <w:rPr>
          <w:rFonts w:ascii="Arial Narrow" w:hAnsi="Arial Narrow"/>
          <w:i/>
          <w:sz w:val="18"/>
          <w:szCs w:val="18"/>
        </w:rPr>
        <w:t>$20 million to &lt; $30 million</w:t>
      </w:r>
    </w:p>
    <w:p w14:paraId="76F48A3E" w14:textId="28D0D4AF" w:rsidR="00D77C78" w:rsidRDefault="00D77C78" w:rsidP="00D77C78">
      <w:pPr>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w:t>
      </w:r>
      <w:r w:rsidRPr="0069022C">
        <w:rPr>
          <w:rFonts w:ascii="Arial Narrow" w:hAnsi="Arial Narrow"/>
          <w:i/>
          <w:sz w:val="18"/>
          <w:szCs w:val="18"/>
        </w:rPr>
        <w:t>$40 million to &lt; $50 million</w:t>
      </w:r>
    </w:p>
    <w:p w14:paraId="50CD78D0" w14:textId="3B89B4F6" w:rsidR="00D77C78" w:rsidRDefault="00D77C78" w:rsidP="00D77C78">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Pr="00D77C78">
        <w:rPr>
          <w:rFonts w:ascii="Arial Narrow" w:hAnsi="Arial Narrow"/>
          <w:i/>
          <w:sz w:val="18"/>
          <w:szCs w:val="18"/>
        </w:rPr>
        <w:t>$50 million to &lt; $60 million</w:t>
      </w:r>
    </w:p>
    <w:p w14:paraId="0B7D7CA6" w14:textId="15FAAF73" w:rsidR="00D13A3C" w:rsidRDefault="00D77C78" w:rsidP="00D13A3C">
      <w:pPr>
        <w:rPr>
          <w:rFonts w:ascii="Arial Narrow" w:hAnsi="Arial Narrow"/>
          <w:i/>
          <w:sz w:val="18"/>
          <w:szCs w:val="18"/>
        </w:rPr>
      </w:pPr>
      <w:r>
        <w:rPr>
          <w:rFonts w:ascii="Arial Narrow" w:hAnsi="Arial Narrow"/>
          <w:i/>
          <w:sz w:val="18"/>
          <w:szCs w:val="18"/>
          <w:vertAlign w:val="superscript"/>
        </w:rPr>
        <w:t>1</w:t>
      </w:r>
      <w:r w:rsidR="00D13A3C">
        <w:rPr>
          <w:rFonts w:ascii="Arial Narrow" w:hAnsi="Arial Narrow"/>
          <w:i/>
          <w:sz w:val="18"/>
          <w:szCs w:val="18"/>
          <w:vertAlign w:val="superscript"/>
        </w:rPr>
        <w:t>5</w:t>
      </w:r>
      <w:r w:rsidR="00D13A3C">
        <w:rPr>
          <w:rFonts w:ascii="Arial Narrow" w:hAnsi="Arial Narrow"/>
          <w:i/>
          <w:sz w:val="18"/>
          <w:szCs w:val="18"/>
        </w:rPr>
        <w:t xml:space="preserve"> </w:t>
      </w:r>
      <w:r w:rsidR="00D13A3C" w:rsidRPr="0069022C">
        <w:rPr>
          <w:rFonts w:ascii="Arial Narrow" w:hAnsi="Arial Narrow"/>
          <w:i/>
          <w:sz w:val="18"/>
          <w:szCs w:val="18"/>
        </w:rPr>
        <w:t>net cost saving</w:t>
      </w:r>
    </w:p>
    <w:p w14:paraId="67AA4D8B" w14:textId="2FA22837" w:rsidR="000031BD" w:rsidRPr="00B71D61" w:rsidRDefault="00D77C78" w:rsidP="00B71D61">
      <w:pPr>
        <w:spacing w:after="120"/>
        <w:rPr>
          <w:rFonts w:ascii="Arial Narrow" w:hAnsi="Arial Narrow"/>
          <w:i/>
          <w:sz w:val="18"/>
          <w:szCs w:val="18"/>
        </w:rPr>
      </w:pPr>
      <w:r>
        <w:rPr>
          <w:rFonts w:ascii="Arial Narrow" w:hAnsi="Arial Narrow"/>
          <w:i/>
          <w:sz w:val="18"/>
          <w:szCs w:val="18"/>
          <w:vertAlign w:val="superscript"/>
        </w:rPr>
        <w:t>1</w:t>
      </w:r>
      <w:r w:rsidR="00D13A3C">
        <w:rPr>
          <w:rFonts w:ascii="Arial Narrow" w:hAnsi="Arial Narrow"/>
          <w:i/>
          <w:sz w:val="18"/>
          <w:szCs w:val="18"/>
          <w:vertAlign w:val="superscript"/>
        </w:rPr>
        <w:t>6</w:t>
      </w:r>
      <w:r w:rsidR="00D13A3C">
        <w:rPr>
          <w:rFonts w:ascii="Arial Narrow" w:hAnsi="Arial Narrow"/>
          <w:i/>
          <w:sz w:val="18"/>
          <w:szCs w:val="18"/>
        </w:rPr>
        <w:t xml:space="preserve"> </w:t>
      </w:r>
      <w:r w:rsidRPr="00D77C78">
        <w:rPr>
          <w:rFonts w:ascii="Arial Narrow" w:hAnsi="Arial Narrow"/>
          <w:i/>
          <w:sz w:val="18"/>
          <w:szCs w:val="18"/>
        </w:rPr>
        <w:t>$0 to &lt; $10 million</w:t>
      </w:r>
    </w:p>
    <w:p w14:paraId="0B6DAC36" w14:textId="7156FDE5" w:rsidR="000031BD" w:rsidRDefault="000031BD" w:rsidP="000031BD">
      <w:pPr>
        <w:pStyle w:val="3-BodyText"/>
      </w:pPr>
      <w:r w:rsidRPr="00974A4D">
        <w:t xml:space="preserve">The total net cost to the PBS/RPBS of listing deucravacitinib was estimated to be </w:t>
      </w:r>
      <w:r w:rsidR="00D77C78" w:rsidRPr="00D77C78">
        <w:t>$0 to &lt;</w:t>
      </w:r>
      <w:r w:rsidR="00B71D61">
        <w:t> </w:t>
      </w:r>
      <w:r w:rsidR="00D77C78" w:rsidRPr="00D77C78">
        <w:t>$10 million</w:t>
      </w:r>
      <w:r w:rsidR="00CE751A">
        <w:t xml:space="preserve"> </w:t>
      </w:r>
      <w:r w:rsidRPr="00974A4D">
        <w:t xml:space="preserve">in Year 6, and a total of </w:t>
      </w:r>
      <w:r w:rsidR="009E3096" w:rsidRPr="009E3096">
        <w:t>$0 to &lt; $10 million</w:t>
      </w:r>
      <w:r w:rsidR="00CE751A">
        <w:t xml:space="preserve"> </w:t>
      </w:r>
      <w:r w:rsidRPr="00974A4D">
        <w:t>in the first 6 years of listing</w:t>
      </w:r>
      <w:r>
        <w:t xml:space="preserve"> (using effective price for deucravacitinib and the published prices of substituted medicines)</w:t>
      </w:r>
      <w:r w:rsidRPr="00974A4D">
        <w:t xml:space="preserve">. </w:t>
      </w:r>
      <w:r>
        <w:t xml:space="preserve">The use of the published price for apremilast will overestimate the offsets as it has a special pricing arrangement. </w:t>
      </w:r>
    </w:p>
    <w:p w14:paraId="09743783" w14:textId="328C924D" w:rsidR="000031BD" w:rsidRPr="00974A4D" w:rsidRDefault="000031BD" w:rsidP="000031BD">
      <w:pPr>
        <w:pStyle w:val="3-BodyText"/>
        <w:numPr>
          <w:ilvl w:val="0"/>
          <w:numId w:val="0"/>
        </w:numPr>
        <w:ind w:left="720"/>
      </w:pPr>
      <w:r w:rsidRPr="007E61A0">
        <w:rPr>
          <w:i/>
        </w:rPr>
        <w:t xml:space="preserve">For more detail on PBAC’s view, see section </w:t>
      </w:r>
      <w:r w:rsidR="00070A9C">
        <w:rPr>
          <w:i/>
        </w:rPr>
        <w:t>12</w:t>
      </w:r>
      <w:r w:rsidR="00070A9C" w:rsidRPr="007E61A0">
        <w:rPr>
          <w:i/>
        </w:rPr>
        <w:t xml:space="preserve"> </w:t>
      </w:r>
      <w:r w:rsidRPr="007E61A0">
        <w:rPr>
          <w:i/>
        </w:rPr>
        <w:t>PBAC outcome.</w:t>
      </w:r>
    </w:p>
    <w:p w14:paraId="4A82504A" w14:textId="77777777" w:rsidR="000031BD" w:rsidRPr="0079346E" w:rsidRDefault="000031BD" w:rsidP="00B71D61">
      <w:pPr>
        <w:pStyle w:val="2-SectionHeading"/>
        <w:spacing w:before="120"/>
      </w:pPr>
      <w:r w:rsidRPr="0079346E">
        <w:lastRenderedPageBreak/>
        <w:t>PBAC outcome</w:t>
      </w:r>
    </w:p>
    <w:p w14:paraId="044F0D77" w14:textId="77777777" w:rsidR="000031BD" w:rsidRDefault="000031BD" w:rsidP="000031BD">
      <w:pPr>
        <w:pStyle w:val="3-BodyText"/>
      </w:pPr>
      <w:r>
        <w:t xml:space="preserve">The PBAC recommended the </w:t>
      </w:r>
      <w:r w:rsidRPr="007E61A0">
        <w:t>Authority Required (STREAMLINED)</w:t>
      </w:r>
      <w:r>
        <w:t xml:space="preserve"> listing of deucravacitinib for the treatment of severe chronic plaque psoriasis (CPP). </w:t>
      </w:r>
      <w:r w:rsidRPr="00BA45C9">
        <w:t>The PBAC’s recommendation for listing was based on, among other matters, its assessment</w:t>
      </w:r>
      <w:r>
        <w:t xml:space="preserve"> </w:t>
      </w:r>
      <w:r w:rsidRPr="00BA45C9">
        <w:t xml:space="preserve">that the cost-effectiveness of </w:t>
      </w:r>
      <w:r>
        <w:t>deucravacitinib</w:t>
      </w:r>
      <w:r w:rsidRPr="00BA45C9">
        <w:t xml:space="preserve"> would be acceptable </w:t>
      </w:r>
      <w:r>
        <w:t xml:space="preserve">with an ICER of $30,000 to $45,000/ QALY. </w:t>
      </w:r>
    </w:p>
    <w:p w14:paraId="67C434E4" w14:textId="77777777" w:rsidR="000031BD" w:rsidRPr="001F64B4" w:rsidRDefault="000031BD" w:rsidP="000031BD">
      <w:pPr>
        <w:widowControl w:val="0"/>
        <w:numPr>
          <w:ilvl w:val="1"/>
          <w:numId w:val="1"/>
        </w:numPr>
        <w:spacing w:after="120"/>
        <w:contextualSpacing/>
        <w:rPr>
          <w:rFonts w:asciiTheme="minorHAnsi" w:hAnsiTheme="minorHAnsi"/>
          <w:snapToGrid w:val="0"/>
        </w:rPr>
      </w:pPr>
      <w:r w:rsidRPr="00D8553E">
        <w:rPr>
          <w:rFonts w:asciiTheme="minorHAnsi" w:hAnsiTheme="minorHAnsi"/>
          <w:bCs/>
          <w:snapToGrid w:val="0"/>
          <w:lang w:val="en-GB"/>
        </w:rPr>
        <w:t xml:space="preserve">The PBAC is satisfied that </w:t>
      </w:r>
      <w:r>
        <w:rPr>
          <w:rFonts w:asciiTheme="minorHAnsi" w:hAnsiTheme="minorHAnsi"/>
          <w:bCs/>
          <w:snapToGrid w:val="0"/>
          <w:lang w:val="en-GB"/>
        </w:rPr>
        <w:t xml:space="preserve">deucravacitinib </w:t>
      </w:r>
      <w:r w:rsidRPr="00D8553E">
        <w:rPr>
          <w:rFonts w:asciiTheme="minorHAnsi" w:hAnsiTheme="minorHAnsi"/>
          <w:bCs/>
          <w:snapToGrid w:val="0"/>
          <w:lang w:val="en-GB"/>
        </w:rPr>
        <w:t xml:space="preserve">provides, for some patients, a significant </w:t>
      </w:r>
      <w:r w:rsidRPr="001F64B4">
        <w:rPr>
          <w:rFonts w:asciiTheme="minorHAnsi" w:hAnsiTheme="minorHAnsi"/>
          <w:snapToGrid w:val="0"/>
        </w:rPr>
        <w:t>improvement in efficacy over apremilast.</w:t>
      </w:r>
    </w:p>
    <w:p w14:paraId="6D2E048A" w14:textId="55D57313" w:rsidR="000031BD" w:rsidRPr="001F64B4" w:rsidRDefault="000031BD" w:rsidP="000031BD">
      <w:pPr>
        <w:pStyle w:val="3-BodyText"/>
      </w:pPr>
      <w:r>
        <w:t xml:space="preserve">The PBAC recalled it had previously deferred making a recommendation for deucravacitinib as it was uncertain whether the proposed clinical place of deucravacitinib (in the same line of therapy as apremilast) was reasonable. </w:t>
      </w:r>
      <w:r w:rsidRPr="001F64B4">
        <w:t xml:space="preserve">The PBAC </w:t>
      </w:r>
      <w:r>
        <w:t xml:space="preserve">noted some uncertainties remained regarding how deucravacitinib would be used in clinical practice, but </w:t>
      </w:r>
      <w:r w:rsidRPr="001F64B4">
        <w:t xml:space="preserve">considered </w:t>
      </w:r>
      <w:r>
        <w:t xml:space="preserve">that, overall, </w:t>
      </w:r>
      <w:r w:rsidRPr="001F64B4">
        <w:t xml:space="preserve">the proposed place in therapy was reasonable and apremilast was the appropriate comparator. </w:t>
      </w:r>
    </w:p>
    <w:p w14:paraId="197109B0" w14:textId="77777777" w:rsidR="000031BD" w:rsidRDefault="000031BD" w:rsidP="000031BD">
      <w:pPr>
        <w:pStyle w:val="3-BodyText"/>
      </w:pPr>
      <w:r>
        <w:t xml:space="preserve">The PBAC considered it was appropriate for the restriction criteria for deucravacitinib to be consistent with the criteria for apremilast. </w:t>
      </w:r>
    </w:p>
    <w:p w14:paraId="208D599D" w14:textId="77777777" w:rsidR="000031BD" w:rsidRDefault="000031BD" w:rsidP="000031BD">
      <w:pPr>
        <w:pStyle w:val="3-BodyText"/>
      </w:pPr>
      <w:r>
        <w:t xml:space="preserve">The PBAC noted </w:t>
      </w:r>
      <w:r w:rsidRPr="00664A85">
        <w:t>flow-on</w:t>
      </w:r>
      <w:r>
        <w:t xml:space="preserve"> changes to the apremilast criteria will be required to preclude concurrent treatment with deucravacitinib and flow-on changes to the bDMARD criteria for severe chronic plaque psoriasis will be required to add deucravacitinib to the list of prior therapies </w:t>
      </w:r>
      <w:r w:rsidRPr="000E1116">
        <w:rPr>
          <w:bCs/>
          <w:iCs/>
        </w:rPr>
        <w:t xml:space="preserve">that patients </w:t>
      </w:r>
      <w:r>
        <w:rPr>
          <w:bCs/>
          <w:iCs/>
        </w:rPr>
        <w:t xml:space="preserve">may </w:t>
      </w:r>
      <w:r w:rsidRPr="000E1116">
        <w:rPr>
          <w:bCs/>
          <w:iCs/>
        </w:rPr>
        <w:t>trial before being eligible for PBS-subsidised biologics</w:t>
      </w:r>
      <w:r w:rsidRPr="000E1116">
        <w:rPr>
          <w:iCs/>
        </w:rPr>
        <w:t>.</w:t>
      </w:r>
      <w:r>
        <w:t xml:space="preserve">  </w:t>
      </w:r>
    </w:p>
    <w:p w14:paraId="69B3AA1C" w14:textId="4D7A4067" w:rsidR="000031BD" w:rsidRDefault="000031BD" w:rsidP="000031BD">
      <w:pPr>
        <w:pStyle w:val="3-BodyText"/>
      </w:pPr>
      <w:r>
        <w:t xml:space="preserve">The PBAC reiterated its previous consideration that it was appropriate to use the trial-based utilities in the economic model, rather than the Zug utilities </w:t>
      </w:r>
      <w:r w:rsidRPr="0001360B">
        <w:t>(see paragraph</w:t>
      </w:r>
      <w:r w:rsidR="00FE7AAB" w:rsidRPr="0001360B">
        <w:t xml:space="preserve"> </w:t>
      </w:r>
      <w:r w:rsidR="00FE7AAB" w:rsidRPr="0001360B">
        <w:fldChar w:fldCharType="begin" w:fldLock="1"/>
      </w:r>
      <w:r w:rsidR="00FE7AAB" w:rsidRPr="0001360B">
        <w:instrText xml:space="preserve"> REF _Ref165464030 \r \h </w:instrText>
      </w:r>
      <w:r w:rsidR="002935F6" w:rsidRPr="0001360B">
        <w:instrText xml:space="preserve"> \* MERGEFORMAT </w:instrText>
      </w:r>
      <w:r w:rsidR="00FE7AAB" w:rsidRPr="0001360B">
        <w:fldChar w:fldCharType="separate"/>
      </w:r>
      <w:r w:rsidR="00FE7AAB" w:rsidRPr="0001360B">
        <w:t>7.7</w:t>
      </w:r>
      <w:r w:rsidR="00FE7AAB" w:rsidRPr="0001360B">
        <w:fldChar w:fldCharType="end"/>
      </w:r>
      <w:r w:rsidRPr="0001360B">
        <w:t>). The PBAC noted the ICER using the revised economic model, the revised price of deucravacitinib, the confidential prices of apremilast and adalimumab remained high (see</w:t>
      </w:r>
      <w:r w:rsidR="00FE7AAB" w:rsidRPr="0001360B">
        <w:t xml:space="preserve"> </w:t>
      </w:r>
      <w:r w:rsidR="00FE7AAB" w:rsidRPr="0001360B">
        <w:fldChar w:fldCharType="begin" w:fldLock="1"/>
      </w:r>
      <w:r w:rsidR="00FE7AAB" w:rsidRPr="0001360B">
        <w:instrText xml:space="preserve"> REF _Ref130481651 \h </w:instrText>
      </w:r>
      <w:r w:rsidR="002935F6" w:rsidRPr="0001360B">
        <w:instrText xml:space="preserve"> \* MERGEFORMAT </w:instrText>
      </w:r>
      <w:r w:rsidR="00FE7AAB" w:rsidRPr="0001360B">
        <w:fldChar w:fldCharType="separate"/>
      </w:r>
      <w:r w:rsidR="00FE7AAB" w:rsidRPr="0001360B">
        <w:t xml:space="preserve">Table </w:t>
      </w:r>
      <w:r w:rsidR="00FE7AAB" w:rsidRPr="0001360B">
        <w:rPr>
          <w:noProof/>
        </w:rPr>
        <w:t>18</w:t>
      </w:r>
      <w:r w:rsidR="00FE7AAB" w:rsidRPr="0001360B">
        <w:fldChar w:fldCharType="end"/>
      </w:r>
      <w:r w:rsidR="00FE7AAB" w:rsidRPr="0001360B">
        <w:t>)</w:t>
      </w:r>
      <w:r w:rsidRPr="0001360B">
        <w:t>.</w:t>
      </w:r>
      <w:r>
        <w:t xml:space="preserve"> </w:t>
      </w:r>
    </w:p>
    <w:p w14:paraId="2C91D85A" w14:textId="3157209F" w:rsidR="000031BD" w:rsidRDefault="000031BD" w:rsidP="000031BD">
      <w:pPr>
        <w:pStyle w:val="3-BodyText"/>
      </w:pPr>
      <w:r>
        <w:t xml:space="preserve">The PBAC advised an additional price reduction of approximately 4% would be required to ensure deucravacitinib is cost-effective for the treatment of CPP. The PBAC considered deucravacitinib would be cost-effective with an ICER of $30,000 to $45,000/QALY. The PBAC noted this is within the ICER range previously accepted for treatments for severe CPP ($15,000 to $45,000/ QALY) (Section 12, ustekinumab PSD, November 2009 PBAC meeting; paragraph 4.7, CPP PMR, July 2020 PBAC meeting). </w:t>
      </w:r>
    </w:p>
    <w:p w14:paraId="7225C8E9" w14:textId="78AC8521" w:rsidR="000031BD" w:rsidRDefault="000031BD" w:rsidP="000031BD">
      <w:pPr>
        <w:pStyle w:val="3-BodyText"/>
      </w:pPr>
      <w:r>
        <w:t xml:space="preserve">The PBAC considered the financial estimates model provided with the proposal was reasonable, but the financial implications of listing need to be revised to incorporate a lower deucravacitinib price. The PBAC noted the financial estimates model assumed cost savings due to reduced use of apremilast and adalimumab (as a proxy for bDMARDs). The PBAC considered it was likely deucravacitinib would replace apremilast in clinical practice given deucravacitinib was more effective. The PBAC considered cost savings due to reduced use of bDMARDs is likely to be realised (at </w:t>
      </w:r>
      <w:r>
        <w:lastRenderedPageBreak/>
        <w:t xml:space="preserve">least initially) as the use of the more costly bDMARDs will be displaced in a proportion of patients. </w:t>
      </w:r>
    </w:p>
    <w:p w14:paraId="2E999924" w14:textId="77777777" w:rsidR="000031BD" w:rsidRPr="007F2F21" w:rsidRDefault="000031BD" w:rsidP="000031BD">
      <w:pPr>
        <w:pStyle w:val="3-BodyText"/>
      </w:pPr>
      <w:r w:rsidRPr="007F2F21">
        <w:t xml:space="preserve">The PBAC advised a risk sharing arrangement with </w:t>
      </w:r>
      <w:r>
        <w:t xml:space="preserve">expenditure caps based on the revised financial estimates (as outlined in the paragraph above) and a 100% rebate for any use above the caps would be appropriate to manage the uncertainty associated with the utilisation of deucravacitinib. </w:t>
      </w:r>
    </w:p>
    <w:p w14:paraId="5594D5B7" w14:textId="77777777" w:rsidR="000031BD" w:rsidRPr="00BA5F18" w:rsidRDefault="000031BD" w:rsidP="000031BD">
      <w:pPr>
        <w:pStyle w:val="3-BodyText"/>
      </w:pPr>
      <w:r w:rsidRPr="007F2F21">
        <w:t xml:space="preserve">The PBAC found that the criteria prescribed by the </w:t>
      </w:r>
      <w:bookmarkStart w:id="103" w:name="_Hlk104208947"/>
      <w:r w:rsidRPr="007F2F21">
        <w:rPr>
          <w:i/>
        </w:rPr>
        <w:t>National Health</w:t>
      </w:r>
      <w:r w:rsidRPr="00BA5F18">
        <w:rPr>
          <w:i/>
        </w:rPr>
        <w:t xml:space="preserve"> (Pharmaceuticals and Vaccines – Cost Recovery) Regulations 20</w:t>
      </w:r>
      <w:r>
        <w:rPr>
          <w:i/>
        </w:rPr>
        <w:t>22</w:t>
      </w:r>
      <w:r w:rsidRPr="00BA5F18">
        <w:t xml:space="preserve"> </w:t>
      </w:r>
      <w:bookmarkEnd w:id="103"/>
      <w:r w:rsidRPr="00BA5F18">
        <w:t xml:space="preserve">for Pricing Pathway A </w:t>
      </w:r>
      <w:r>
        <w:t>were not</w:t>
      </w:r>
      <w:r w:rsidRPr="00BA5F18">
        <w:t xml:space="preserve"> met. Specifically</w:t>
      </w:r>
      <w:r>
        <w:t>,</w:t>
      </w:r>
      <w:r w:rsidRPr="00BA5F18">
        <w:t xml:space="preserve"> the PBAC found that in the circumstances of its recommendation for </w:t>
      </w:r>
      <w:r>
        <w:t>deucravacitinib</w:t>
      </w:r>
      <w:r w:rsidRPr="00BA5F18">
        <w:t>:</w:t>
      </w:r>
    </w:p>
    <w:p w14:paraId="49D7ACF0" w14:textId="77777777" w:rsidR="000031BD" w:rsidRPr="0038455F" w:rsidRDefault="000031BD" w:rsidP="00FE7AAB">
      <w:pPr>
        <w:pStyle w:val="ListParagraph"/>
        <w:widowControl w:val="0"/>
        <w:numPr>
          <w:ilvl w:val="0"/>
          <w:numId w:val="37"/>
        </w:numPr>
        <w:ind w:left="1077" w:hanging="357"/>
        <w:rPr>
          <w:szCs w:val="32"/>
        </w:rPr>
      </w:pPr>
      <w:r w:rsidRPr="00C67BA6">
        <w:rPr>
          <w:szCs w:val="32"/>
        </w:rPr>
        <w:t xml:space="preserve">The </w:t>
      </w:r>
      <w:r w:rsidRPr="0038455F">
        <w:rPr>
          <w:szCs w:val="32"/>
        </w:rPr>
        <w:t xml:space="preserve">treatment is expected to provide </w:t>
      </w:r>
      <w:r>
        <w:rPr>
          <w:szCs w:val="32"/>
        </w:rPr>
        <w:t xml:space="preserve">a </w:t>
      </w:r>
      <w:r w:rsidRPr="0038455F">
        <w:rPr>
          <w:szCs w:val="32"/>
        </w:rPr>
        <w:t>clinically relevant improvement in efficacy</w:t>
      </w:r>
      <w:r>
        <w:rPr>
          <w:szCs w:val="32"/>
        </w:rPr>
        <w:t xml:space="preserve"> </w:t>
      </w:r>
      <w:r w:rsidRPr="0038455F">
        <w:rPr>
          <w:szCs w:val="32"/>
        </w:rPr>
        <w:t>over</w:t>
      </w:r>
      <w:r>
        <w:rPr>
          <w:szCs w:val="32"/>
        </w:rPr>
        <w:t xml:space="preserve"> apremilast; however, the clinical benefit was likely to be mod</w:t>
      </w:r>
      <w:r w:rsidRPr="00B5309A">
        <w:rPr>
          <w:szCs w:val="32"/>
        </w:rPr>
        <w:t>est;</w:t>
      </w:r>
      <w:r w:rsidRPr="0038455F">
        <w:rPr>
          <w:szCs w:val="32"/>
        </w:rPr>
        <w:t xml:space="preserve"> </w:t>
      </w:r>
    </w:p>
    <w:p w14:paraId="72125CC2" w14:textId="77777777" w:rsidR="000031BD" w:rsidRPr="0038455F" w:rsidRDefault="000031BD" w:rsidP="00FE7AAB">
      <w:pPr>
        <w:pStyle w:val="ListParagraph"/>
        <w:widowControl w:val="0"/>
        <w:numPr>
          <w:ilvl w:val="0"/>
          <w:numId w:val="37"/>
        </w:numPr>
        <w:ind w:left="1077" w:hanging="357"/>
        <w:rPr>
          <w:szCs w:val="32"/>
        </w:rPr>
      </w:pPr>
      <w:r w:rsidRPr="0038455F">
        <w:rPr>
          <w:szCs w:val="32"/>
        </w:rPr>
        <w:t>The treatment is not expected to address a high and urgent unmet clinical need due to the availability of other treatment</w:t>
      </w:r>
      <w:r>
        <w:rPr>
          <w:szCs w:val="32"/>
        </w:rPr>
        <w:t xml:space="preserve"> options for CPP</w:t>
      </w:r>
      <w:r w:rsidRPr="0038455F">
        <w:rPr>
          <w:szCs w:val="32"/>
        </w:rPr>
        <w:t>;</w:t>
      </w:r>
    </w:p>
    <w:p w14:paraId="457D7C0E" w14:textId="77777777" w:rsidR="000031BD" w:rsidRPr="0038455F" w:rsidRDefault="000031BD" w:rsidP="00FE7AAB">
      <w:pPr>
        <w:pStyle w:val="ListParagraph"/>
        <w:widowControl w:val="0"/>
        <w:numPr>
          <w:ilvl w:val="0"/>
          <w:numId w:val="37"/>
        </w:numPr>
        <w:ind w:left="1077" w:hanging="357"/>
        <w:rPr>
          <w:szCs w:val="32"/>
        </w:rPr>
      </w:pPr>
      <w:r w:rsidRPr="0038455F">
        <w:rPr>
          <w:szCs w:val="32"/>
        </w:rPr>
        <w:t>It was not necessary to make a finding in relation to whether it would be in the public interest for the subsequent pricing application to be progressed under Pricing Pathway A because one or more of the preceding tests had failed.</w:t>
      </w:r>
    </w:p>
    <w:p w14:paraId="7A0D0F68" w14:textId="77777777" w:rsidR="000031BD" w:rsidRDefault="000031BD" w:rsidP="000031BD">
      <w:pPr>
        <w:pStyle w:val="3-BodyText"/>
        <w:rPr>
          <w:lang w:val="en-GB"/>
        </w:rPr>
      </w:pPr>
      <w:r w:rsidRPr="00880772">
        <w:rPr>
          <w:lang w:val="en-GB"/>
        </w:rPr>
        <w:t xml:space="preserve">The PBAC recommended that </w:t>
      </w:r>
      <w:r>
        <w:rPr>
          <w:lang w:val="en-GB"/>
        </w:rPr>
        <w:t xml:space="preserve">deucravacitinib </w:t>
      </w:r>
      <w:r w:rsidRPr="00880772">
        <w:rPr>
          <w:lang w:val="en-GB"/>
        </w:rPr>
        <w:t>should not be treated as interchangeable with any other drugs</w:t>
      </w:r>
      <w:r>
        <w:rPr>
          <w:lang w:val="en-GB"/>
        </w:rPr>
        <w:t>.</w:t>
      </w:r>
    </w:p>
    <w:p w14:paraId="6214FF51" w14:textId="77777777" w:rsidR="000031BD" w:rsidRPr="00D8553E" w:rsidRDefault="000031BD" w:rsidP="000031BD">
      <w:pPr>
        <w:widowControl w:val="0"/>
        <w:numPr>
          <w:ilvl w:val="1"/>
          <w:numId w:val="1"/>
        </w:numPr>
        <w:spacing w:after="120"/>
        <w:rPr>
          <w:rFonts w:asciiTheme="minorHAnsi" w:hAnsiTheme="minorHAnsi"/>
          <w:bCs/>
          <w:snapToGrid w:val="0"/>
          <w:lang w:val="en-GB"/>
        </w:rPr>
      </w:pPr>
      <w:r w:rsidRPr="00D8553E">
        <w:rPr>
          <w:rFonts w:asciiTheme="minorHAnsi" w:hAnsiTheme="minorHAnsi"/>
          <w:bCs/>
          <w:snapToGrid w:val="0"/>
          <w:lang w:val="en-GB"/>
        </w:rPr>
        <w:t xml:space="preserve">The PBAC advised that </w:t>
      </w:r>
      <w:r>
        <w:rPr>
          <w:rFonts w:asciiTheme="minorHAnsi" w:hAnsiTheme="minorHAnsi"/>
          <w:bCs/>
          <w:snapToGrid w:val="0"/>
          <w:lang w:val="en-GB"/>
        </w:rPr>
        <w:t xml:space="preserve">deucravacitinib </w:t>
      </w:r>
      <w:r w:rsidRPr="00D8553E">
        <w:rPr>
          <w:rFonts w:asciiTheme="minorHAnsi" w:hAnsiTheme="minorHAnsi"/>
          <w:bCs/>
          <w:snapToGrid w:val="0"/>
          <w:lang w:val="en-GB"/>
        </w:rPr>
        <w:t xml:space="preserve">is not suitable for prescribing by nurse practitioners. </w:t>
      </w:r>
    </w:p>
    <w:p w14:paraId="5A93AE0D" w14:textId="77777777" w:rsidR="000031BD" w:rsidRPr="00D8553E" w:rsidRDefault="000031BD" w:rsidP="000031BD">
      <w:pPr>
        <w:widowControl w:val="0"/>
        <w:numPr>
          <w:ilvl w:val="1"/>
          <w:numId w:val="1"/>
        </w:numPr>
        <w:spacing w:after="120"/>
        <w:rPr>
          <w:rFonts w:asciiTheme="minorHAnsi" w:hAnsiTheme="minorHAnsi"/>
          <w:bCs/>
          <w:snapToGrid w:val="0"/>
          <w:lang w:val="en-GB"/>
        </w:rPr>
      </w:pPr>
      <w:r w:rsidRPr="00664A85">
        <w:rPr>
          <w:rFonts w:asciiTheme="minorHAnsi" w:hAnsiTheme="minorHAnsi"/>
          <w:bCs/>
          <w:snapToGrid w:val="0"/>
          <w:lang w:val="en-GB"/>
        </w:rPr>
        <w:t xml:space="preserve">The PBAC recommended that the Early Supply Rule should apply. </w:t>
      </w:r>
    </w:p>
    <w:p w14:paraId="6E890A94" w14:textId="77777777" w:rsidR="000031BD" w:rsidRDefault="000031BD" w:rsidP="000031BD">
      <w:pPr>
        <w:pStyle w:val="3-BodyText"/>
      </w:pPr>
      <w:r w:rsidRPr="00D8553E">
        <w:rPr>
          <w:bCs/>
          <w:lang w:val="en-GB"/>
        </w:rPr>
        <w:t xml:space="preserve">The PBAC noted that this submission </w:t>
      </w:r>
      <w:r>
        <w:rPr>
          <w:bCs/>
          <w:lang w:val="en-GB"/>
        </w:rPr>
        <w:t>i</w:t>
      </w:r>
      <w:r w:rsidRPr="00D8553E">
        <w:rPr>
          <w:bCs/>
          <w:lang w:val="en-GB"/>
        </w:rPr>
        <w:t>s not eligible for an Independent Review</w:t>
      </w:r>
    </w:p>
    <w:p w14:paraId="1A67B226" w14:textId="77777777" w:rsidR="000031BD" w:rsidRPr="0003273E" w:rsidRDefault="000031BD" w:rsidP="000031BD">
      <w:pPr>
        <w:pStyle w:val="3-BodyText"/>
        <w:numPr>
          <w:ilvl w:val="0"/>
          <w:numId w:val="0"/>
        </w:numPr>
        <w:spacing w:after="0"/>
        <w:rPr>
          <w:b/>
          <w:bCs/>
        </w:rPr>
      </w:pPr>
      <w:r w:rsidRPr="0003273E">
        <w:rPr>
          <w:b/>
          <w:bCs/>
        </w:rPr>
        <w:t>Outcome:</w:t>
      </w:r>
    </w:p>
    <w:p w14:paraId="172A2251" w14:textId="77777777" w:rsidR="000031BD" w:rsidRDefault="000031BD" w:rsidP="000031BD">
      <w:pPr>
        <w:pStyle w:val="3-BodyText"/>
        <w:numPr>
          <w:ilvl w:val="0"/>
          <w:numId w:val="0"/>
        </w:numPr>
      </w:pPr>
      <w:r>
        <w:t>Recommended</w:t>
      </w:r>
    </w:p>
    <w:p w14:paraId="46732DFB" w14:textId="77777777" w:rsidR="000031BD" w:rsidRDefault="000031BD" w:rsidP="000031BD">
      <w:pPr>
        <w:pStyle w:val="2-SectionHeading"/>
      </w:pPr>
      <w:r>
        <w:t>Recommended listing</w:t>
      </w:r>
    </w:p>
    <w:p w14:paraId="4BB7C4A2" w14:textId="77777777" w:rsidR="000031BD" w:rsidRDefault="000031BD" w:rsidP="000031BD">
      <w:pPr>
        <w:pStyle w:val="3-BodyText"/>
      </w:pPr>
      <w: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1225"/>
        <w:gridCol w:w="1225"/>
        <w:gridCol w:w="1098"/>
        <w:gridCol w:w="702"/>
        <w:gridCol w:w="1592"/>
      </w:tblGrid>
      <w:tr w:rsidR="000031BD" w:rsidRPr="007E61A0" w14:paraId="4AA30F58" w14:textId="77777777" w:rsidTr="006F69AD">
        <w:trPr>
          <w:cantSplit/>
          <w:trHeight w:val="20"/>
        </w:trPr>
        <w:tc>
          <w:tcPr>
            <w:tcW w:w="1761" w:type="pct"/>
            <w:vAlign w:val="center"/>
          </w:tcPr>
          <w:p w14:paraId="63FF5B82" w14:textId="77777777" w:rsidR="000031BD" w:rsidRPr="007E61A0" w:rsidRDefault="000031BD" w:rsidP="006F69AD">
            <w:pPr>
              <w:keepLines/>
              <w:jc w:val="center"/>
              <w:rPr>
                <w:rFonts w:ascii="Arial Narrow" w:hAnsi="Arial Narrow"/>
                <w:b/>
                <w:bCs/>
                <w:sz w:val="20"/>
                <w:szCs w:val="20"/>
              </w:rPr>
            </w:pPr>
            <w:r w:rsidRPr="007E61A0">
              <w:rPr>
                <w:rFonts w:ascii="Arial Narrow" w:hAnsi="Arial Narrow"/>
                <w:b/>
                <w:bCs/>
                <w:sz w:val="20"/>
                <w:szCs w:val="20"/>
              </w:rPr>
              <w:t>MEDICINAL PRODUCT</w:t>
            </w:r>
          </w:p>
          <w:p w14:paraId="56667034" w14:textId="77777777" w:rsidR="000031BD" w:rsidRPr="007E61A0" w:rsidRDefault="000031BD" w:rsidP="006F69AD">
            <w:pPr>
              <w:pStyle w:val="TableText0"/>
              <w:jc w:val="center"/>
              <w:rPr>
                <w:b/>
                <w:bCs w:val="0"/>
                <w:szCs w:val="20"/>
              </w:rPr>
            </w:pPr>
            <w:r w:rsidRPr="007E61A0">
              <w:rPr>
                <w:b/>
                <w:szCs w:val="20"/>
              </w:rPr>
              <w:t>medicinal product pack</w:t>
            </w:r>
          </w:p>
        </w:tc>
        <w:tc>
          <w:tcPr>
            <w:tcW w:w="679" w:type="pct"/>
          </w:tcPr>
          <w:p w14:paraId="32EB5CE6" w14:textId="77777777" w:rsidR="000031BD" w:rsidRPr="007E61A0" w:rsidRDefault="000031BD" w:rsidP="006F69AD">
            <w:pPr>
              <w:keepLines/>
              <w:jc w:val="center"/>
              <w:rPr>
                <w:rFonts w:ascii="Arial Narrow" w:hAnsi="Arial Narrow"/>
                <w:b/>
                <w:sz w:val="20"/>
                <w:szCs w:val="20"/>
              </w:rPr>
            </w:pPr>
            <w:r>
              <w:rPr>
                <w:rFonts w:ascii="Arial Narrow" w:hAnsi="Arial Narrow"/>
                <w:b/>
                <w:sz w:val="20"/>
                <w:szCs w:val="20"/>
              </w:rPr>
              <w:t>PBS item code</w:t>
            </w:r>
          </w:p>
        </w:tc>
        <w:tc>
          <w:tcPr>
            <w:tcW w:w="679" w:type="pct"/>
            <w:vAlign w:val="center"/>
          </w:tcPr>
          <w:p w14:paraId="0A57AD83" w14:textId="77777777" w:rsidR="000031BD" w:rsidRPr="007E61A0" w:rsidRDefault="000031BD" w:rsidP="006F69AD">
            <w:pPr>
              <w:keepLines/>
              <w:jc w:val="center"/>
              <w:rPr>
                <w:rFonts w:ascii="Arial Narrow" w:hAnsi="Arial Narrow"/>
                <w:b/>
                <w:sz w:val="20"/>
                <w:szCs w:val="20"/>
              </w:rPr>
            </w:pPr>
            <w:r w:rsidRPr="007E61A0">
              <w:rPr>
                <w:rFonts w:ascii="Arial Narrow" w:hAnsi="Arial Narrow"/>
                <w:b/>
                <w:sz w:val="20"/>
                <w:szCs w:val="20"/>
              </w:rPr>
              <w:t>Max. qty packs</w:t>
            </w:r>
          </w:p>
        </w:tc>
        <w:tc>
          <w:tcPr>
            <w:tcW w:w="609" w:type="pct"/>
            <w:vAlign w:val="center"/>
          </w:tcPr>
          <w:p w14:paraId="60A838C7" w14:textId="77777777" w:rsidR="000031BD" w:rsidRPr="007E61A0" w:rsidRDefault="000031BD" w:rsidP="006F69AD">
            <w:pPr>
              <w:keepLines/>
              <w:jc w:val="center"/>
              <w:rPr>
                <w:rFonts w:ascii="Arial Narrow" w:hAnsi="Arial Narrow"/>
                <w:b/>
                <w:sz w:val="20"/>
                <w:szCs w:val="20"/>
              </w:rPr>
            </w:pPr>
            <w:r w:rsidRPr="007E61A0">
              <w:rPr>
                <w:rFonts w:ascii="Arial Narrow" w:hAnsi="Arial Narrow"/>
                <w:b/>
                <w:sz w:val="20"/>
                <w:szCs w:val="20"/>
              </w:rPr>
              <w:t>Max. qty units</w:t>
            </w:r>
          </w:p>
        </w:tc>
        <w:tc>
          <w:tcPr>
            <w:tcW w:w="389" w:type="pct"/>
            <w:vAlign w:val="center"/>
          </w:tcPr>
          <w:p w14:paraId="3097215B" w14:textId="77777777" w:rsidR="000031BD" w:rsidRPr="007E61A0" w:rsidRDefault="000031BD" w:rsidP="006F69AD">
            <w:pPr>
              <w:keepLines/>
              <w:jc w:val="center"/>
              <w:rPr>
                <w:rFonts w:ascii="Arial Narrow" w:hAnsi="Arial Narrow"/>
                <w:b/>
                <w:sz w:val="20"/>
                <w:szCs w:val="20"/>
              </w:rPr>
            </w:pPr>
            <w:r w:rsidRPr="007E61A0">
              <w:rPr>
                <w:rFonts w:ascii="Arial Narrow" w:hAnsi="Arial Narrow"/>
                <w:b/>
                <w:sz w:val="20"/>
                <w:szCs w:val="20"/>
              </w:rPr>
              <w:t>№.of</w:t>
            </w:r>
          </w:p>
          <w:p w14:paraId="30E76B96" w14:textId="77777777" w:rsidR="000031BD" w:rsidRPr="007E61A0" w:rsidRDefault="000031BD" w:rsidP="006F69AD">
            <w:pPr>
              <w:keepLines/>
              <w:jc w:val="center"/>
              <w:rPr>
                <w:rFonts w:ascii="Arial Narrow" w:hAnsi="Arial Narrow"/>
                <w:b/>
                <w:sz w:val="20"/>
                <w:szCs w:val="20"/>
              </w:rPr>
            </w:pPr>
            <w:r w:rsidRPr="007E61A0">
              <w:rPr>
                <w:rFonts w:ascii="Arial Narrow" w:hAnsi="Arial Narrow"/>
                <w:b/>
                <w:sz w:val="20"/>
                <w:szCs w:val="20"/>
              </w:rPr>
              <w:t>Rpts</w:t>
            </w:r>
          </w:p>
        </w:tc>
        <w:tc>
          <w:tcPr>
            <w:tcW w:w="882" w:type="pct"/>
            <w:vAlign w:val="center"/>
          </w:tcPr>
          <w:p w14:paraId="391736EE" w14:textId="77777777" w:rsidR="000031BD" w:rsidRPr="007E61A0" w:rsidRDefault="000031BD" w:rsidP="006F69AD">
            <w:pPr>
              <w:keepLines/>
              <w:jc w:val="center"/>
              <w:rPr>
                <w:rFonts w:ascii="Arial Narrow" w:hAnsi="Arial Narrow"/>
                <w:b/>
                <w:sz w:val="20"/>
                <w:szCs w:val="20"/>
              </w:rPr>
            </w:pPr>
            <w:r w:rsidRPr="007E61A0">
              <w:rPr>
                <w:rFonts w:ascii="Arial Narrow" w:hAnsi="Arial Narrow"/>
                <w:b/>
                <w:sz w:val="20"/>
                <w:szCs w:val="20"/>
              </w:rPr>
              <w:t>Available brands</w:t>
            </w:r>
          </w:p>
        </w:tc>
      </w:tr>
      <w:tr w:rsidR="000031BD" w:rsidRPr="007E61A0" w14:paraId="7D19ADFD" w14:textId="77777777" w:rsidTr="006F69AD">
        <w:trPr>
          <w:cantSplit/>
          <w:trHeight w:val="20"/>
        </w:trPr>
        <w:tc>
          <w:tcPr>
            <w:tcW w:w="5000" w:type="pct"/>
            <w:gridSpan w:val="6"/>
          </w:tcPr>
          <w:p w14:paraId="6C90765D" w14:textId="77777777" w:rsidR="000031BD" w:rsidRPr="007E61A0" w:rsidRDefault="000031BD" w:rsidP="006F69AD">
            <w:pPr>
              <w:pStyle w:val="TableText0"/>
              <w:rPr>
                <w:rFonts w:cs="Arial"/>
                <w:szCs w:val="20"/>
              </w:rPr>
            </w:pPr>
            <w:r w:rsidRPr="007E61A0">
              <w:t>DEUCRAVACITINIB</w:t>
            </w:r>
          </w:p>
        </w:tc>
      </w:tr>
      <w:tr w:rsidR="000031BD" w:rsidRPr="007E61A0" w14:paraId="2C5FFAE7" w14:textId="77777777" w:rsidTr="006F69AD">
        <w:trPr>
          <w:cantSplit/>
          <w:trHeight w:val="20"/>
        </w:trPr>
        <w:tc>
          <w:tcPr>
            <w:tcW w:w="1761" w:type="pct"/>
            <w:vAlign w:val="center"/>
          </w:tcPr>
          <w:p w14:paraId="5D34CBCD" w14:textId="77777777" w:rsidR="000031BD" w:rsidRPr="007E61A0" w:rsidRDefault="000031BD" w:rsidP="006F69AD">
            <w:pPr>
              <w:pStyle w:val="TableText0"/>
              <w:rPr>
                <w:szCs w:val="20"/>
              </w:rPr>
            </w:pPr>
            <w:bookmarkStart w:id="104" w:name="_Hlk131083031"/>
            <w:r w:rsidRPr="007E61A0">
              <w:t>Deucravacitinib 6 mg tablet</w:t>
            </w:r>
            <w:bookmarkEnd w:id="104"/>
            <w:r w:rsidRPr="007E61A0">
              <w:t>, 28</w:t>
            </w:r>
          </w:p>
        </w:tc>
        <w:tc>
          <w:tcPr>
            <w:tcW w:w="679" w:type="pct"/>
          </w:tcPr>
          <w:p w14:paraId="4D7B7248" w14:textId="77777777" w:rsidR="000031BD" w:rsidRPr="007E61A0" w:rsidRDefault="000031BD" w:rsidP="006F69AD">
            <w:pPr>
              <w:pStyle w:val="TableText0"/>
              <w:jc w:val="center"/>
            </w:pPr>
            <w:r>
              <w:t>NEW</w:t>
            </w:r>
          </w:p>
        </w:tc>
        <w:tc>
          <w:tcPr>
            <w:tcW w:w="679" w:type="pct"/>
            <w:vAlign w:val="center"/>
          </w:tcPr>
          <w:p w14:paraId="13DC02D5" w14:textId="77777777" w:rsidR="000031BD" w:rsidRPr="007E61A0" w:rsidRDefault="000031BD" w:rsidP="006F69AD">
            <w:pPr>
              <w:pStyle w:val="TableText0"/>
              <w:jc w:val="center"/>
              <w:rPr>
                <w:szCs w:val="20"/>
              </w:rPr>
            </w:pPr>
            <w:r w:rsidRPr="007E61A0">
              <w:t>1</w:t>
            </w:r>
          </w:p>
        </w:tc>
        <w:tc>
          <w:tcPr>
            <w:tcW w:w="609" w:type="pct"/>
            <w:vAlign w:val="center"/>
          </w:tcPr>
          <w:p w14:paraId="7A657493" w14:textId="77777777" w:rsidR="000031BD" w:rsidRPr="007E61A0" w:rsidRDefault="000031BD" w:rsidP="006F69AD">
            <w:pPr>
              <w:pStyle w:val="TableText0"/>
              <w:jc w:val="center"/>
              <w:rPr>
                <w:szCs w:val="20"/>
              </w:rPr>
            </w:pPr>
            <w:r w:rsidRPr="007E61A0">
              <w:rPr>
                <w:szCs w:val="20"/>
              </w:rPr>
              <w:t>28</w:t>
            </w:r>
          </w:p>
        </w:tc>
        <w:tc>
          <w:tcPr>
            <w:tcW w:w="389" w:type="pct"/>
            <w:vAlign w:val="center"/>
          </w:tcPr>
          <w:p w14:paraId="21362B62" w14:textId="77777777" w:rsidR="000031BD" w:rsidRPr="007E61A0" w:rsidRDefault="000031BD" w:rsidP="006F69AD">
            <w:pPr>
              <w:pStyle w:val="TableText0"/>
              <w:jc w:val="center"/>
              <w:rPr>
                <w:szCs w:val="20"/>
              </w:rPr>
            </w:pPr>
            <w:r w:rsidRPr="007E61A0">
              <w:t>5</w:t>
            </w:r>
          </w:p>
        </w:tc>
        <w:tc>
          <w:tcPr>
            <w:tcW w:w="882" w:type="pct"/>
            <w:vAlign w:val="center"/>
          </w:tcPr>
          <w:p w14:paraId="362B0B5F" w14:textId="77777777" w:rsidR="000031BD" w:rsidRPr="007E61A0" w:rsidRDefault="000031BD" w:rsidP="006F69AD">
            <w:pPr>
              <w:pStyle w:val="TableText0"/>
              <w:rPr>
                <w:szCs w:val="20"/>
              </w:rPr>
            </w:pPr>
            <w:r w:rsidRPr="007E61A0">
              <w:rPr>
                <w:szCs w:val="20"/>
              </w:rPr>
              <w:t>Sotyktu®</w:t>
            </w:r>
          </w:p>
        </w:tc>
      </w:tr>
    </w:tbl>
    <w:p w14:paraId="79293D04" w14:textId="77777777" w:rsidR="000031BD" w:rsidRPr="007E61A0" w:rsidRDefault="000031BD" w:rsidP="000031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271"/>
        <w:gridCol w:w="7746"/>
      </w:tblGrid>
      <w:tr w:rsidR="000031BD" w:rsidRPr="007E61A0" w14:paraId="09AF5EC9" w14:textId="77777777" w:rsidTr="006F69AD">
        <w:trPr>
          <w:cantSplit/>
          <w:trHeight w:val="20"/>
        </w:trPr>
        <w:tc>
          <w:tcPr>
            <w:tcW w:w="5000" w:type="pct"/>
            <w:gridSpan w:val="2"/>
          </w:tcPr>
          <w:p w14:paraId="3E16BF22" w14:textId="77777777" w:rsidR="000031BD" w:rsidRPr="006E143D" w:rsidRDefault="000031BD" w:rsidP="006F69AD">
            <w:pPr>
              <w:rPr>
                <w:rFonts w:ascii="Arial Narrow" w:hAnsi="Arial Narrow"/>
                <w:b/>
                <w:sz w:val="18"/>
                <w:szCs w:val="18"/>
              </w:rPr>
            </w:pPr>
            <w:r w:rsidRPr="003D0904">
              <w:rPr>
                <w:rFonts w:ascii="Arial Narrow" w:hAnsi="Arial Narrow"/>
                <w:b/>
                <w:sz w:val="18"/>
                <w:szCs w:val="18"/>
              </w:rPr>
              <w:t>Restriction Summary [new</w:t>
            </w:r>
            <w:r>
              <w:rPr>
                <w:rFonts w:ascii="Arial Narrow" w:hAnsi="Arial Narrow"/>
                <w:b/>
                <w:sz w:val="18"/>
                <w:szCs w:val="18"/>
              </w:rPr>
              <w:t xml:space="preserve"> 1</w:t>
            </w:r>
            <w:r w:rsidRPr="003D0904">
              <w:rPr>
                <w:rFonts w:ascii="Arial Narrow" w:hAnsi="Arial Narrow"/>
                <w:b/>
                <w:sz w:val="18"/>
                <w:szCs w:val="18"/>
              </w:rPr>
              <w:t>] / Treatment of Concept: [new</w:t>
            </w:r>
            <w:r>
              <w:rPr>
                <w:rFonts w:ascii="Arial Narrow" w:hAnsi="Arial Narrow"/>
                <w:b/>
                <w:sz w:val="18"/>
                <w:szCs w:val="18"/>
              </w:rPr>
              <w:t xml:space="preserve"> 2</w:t>
            </w:r>
            <w:r w:rsidRPr="003D0904">
              <w:rPr>
                <w:rFonts w:ascii="Arial Narrow" w:hAnsi="Arial Narrow"/>
                <w:b/>
                <w:sz w:val="18"/>
                <w:szCs w:val="18"/>
              </w:rPr>
              <w:t>]</w:t>
            </w:r>
          </w:p>
        </w:tc>
      </w:tr>
      <w:tr w:rsidR="000031BD" w:rsidRPr="007E61A0" w14:paraId="22AD4365" w14:textId="77777777" w:rsidTr="006F69AD">
        <w:trPr>
          <w:cantSplit/>
          <w:trHeight w:val="20"/>
        </w:trPr>
        <w:tc>
          <w:tcPr>
            <w:tcW w:w="705" w:type="pct"/>
            <w:vMerge w:val="restart"/>
          </w:tcPr>
          <w:p w14:paraId="2AB34783" w14:textId="25976AE0" w:rsidR="000031BD" w:rsidRPr="007E61A0" w:rsidRDefault="000031BD" w:rsidP="006F69AD">
            <w:pPr>
              <w:pStyle w:val="TableText0"/>
              <w:keepNext w:val="0"/>
              <w:jc w:val="center"/>
              <w:rPr>
                <w:b/>
              </w:rPr>
            </w:pPr>
          </w:p>
        </w:tc>
        <w:tc>
          <w:tcPr>
            <w:tcW w:w="4295" w:type="pct"/>
          </w:tcPr>
          <w:p w14:paraId="3ACB41EF" w14:textId="77777777" w:rsidR="000031BD" w:rsidRPr="007E61A0" w:rsidRDefault="000031BD" w:rsidP="006F69AD">
            <w:pPr>
              <w:pStyle w:val="TableText0"/>
              <w:keepNext w:val="0"/>
            </w:pPr>
            <w:r w:rsidRPr="007E61A0">
              <w:rPr>
                <w:b/>
              </w:rPr>
              <w:t xml:space="preserve">Category / Program: </w:t>
            </w:r>
            <w:r w:rsidRPr="007E61A0">
              <w:t>General Schedule</w:t>
            </w:r>
            <w:r w:rsidRPr="003D0904">
              <w:rPr>
                <w:rFonts w:cs="Arial"/>
                <w:sz w:val="18"/>
                <w:szCs w:val="18"/>
              </w:rPr>
              <w:t xml:space="preserve"> (Code GE)</w:t>
            </w:r>
          </w:p>
        </w:tc>
      </w:tr>
      <w:tr w:rsidR="000031BD" w:rsidRPr="007E61A0" w14:paraId="30AC965D" w14:textId="77777777" w:rsidTr="006F69AD">
        <w:trPr>
          <w:cantSplit/>
          <w:trHeight w:val="20"/>
        </w:trPr>
        <w:tc>
          <w:tcPr>
            <w:tcW w:w="705" w:type="pct"/>
            <w:vMerge/>
          </w:tcPr>
          <w:p w14:paraId="6BFF3DCD" w14:textId="77777777" w:rsidR="000031BD" w:rsidRPr="007E61A0" w:rsidRDefault="000031BD" w:rsidP="006F69AD">
            <w:pPr>
              <w:pStyle w:val="TableText0"/>
              <w:keepNext w:val="0"/>
              <w:rPr>
                <w:b/>
              </w:rPr>
            </w:pPr>
          </w:p>
        </w:tc>
        <w:tc>
          <w:tcPr>
            <w:tcW w:w="4295" w:type="pct"/>
          </w:tcPr>
          <w:p w14:paraId="39F2BF95" w14:textId="77777777" w:rsidR="000031BD" w:rsidRPr="007E61A0" w:rsidRDefault="000031BD" w:rsidP="006F69AD">
            <w:pPr>
              <w:pStyle w:val="TableText0"/>
              <w:keepNext w:val="0"/>
              <w:rPr>
                <w:b/>
              </w:rPr>
            </w:pPr>
            <w:r w:rsidRPr="007E61A0">
              <w:rPr>
                <w:b/>
              </w:rPr>
              <w:t xml:space="preserve">Prescriber type: </w:t>
            </w:r>
            <w:r w:rsidRPr="007E61A0">
              <w:t xml:space="preserve"> </w:t>
            </w:r>
            <w:r w:rsidRPr="007E61A0">
              <w:fldChar w:fldCharType="begin" w:fldLock="1">
                <w:ffData>
                  <w:name w:val=""/>
                  <w:enabled/>
                  <w:calcOnExit w:val="0"/>
                  <w:checkBox>
                    <w:sizeAuto/>
                    <w:default w:val="1"/>
                  </w:checkBox>
                </w:ffData>
              </w:fldChar>
            </w:r>
            <w:r w:rsidRPr="007E61A0">
              <w:instrText xml:space="preserve"> FORMCHECKBOX </w:instrText>
            </w:r>
            <w:r w:rsidR="009C7BF6">
              <w:fldChar w:fldCharType="separate"/>
            </w:r>
            <w:r w:rsidRPr="007E61A0">
              <w:fldChar w:fldCharType="end"/>
            </w:r>
            <w:r w:rsidRPr="007E61A0">
              <w:t xml:space="preserve">Medical Practitioners </w:t>
            </w:r>
          </w:p>
        </w:tc>
      </w:tr>
      <w:tr w:rsidR="000031BD" w:rsidRPr="007E61A0" w14:paraId="24AC5F0C" w14:textId="77777777" w:rsidTr="006F69AD">
        <w:trPr>
          <w:cantSplit/>
          <w:trHeight w:val="20"/>
        </w:trPr>
        <w:tc>
          <w:tcPr>
            <w:tcW w:w="705" w:type="pct"/>
            <w:vMerge/>
          </w:tcPr>
          <w:p w14:paraId="68114274" w14:textId="77777777" w:rsidR="000031BD" w:rsidRPr="007E61A0" w:rsidRDefault="000031BD" w:rsidP="006F69AD">
            <w:pPr>
              <w:pStyle w:val="TableText0"/>
              <w:keepNext w:val="0"/>
              <w:rPr>
                <w:b/>
              </w:rPr>
            </w:pPr>
          </w:p>
        </w:tc>
        <w:tc>
          <w:tcPr>
            <w:tcW w:w="4295" w:type="pct"/>
          </w:tcPr>
          <w:p w14:paraId="792F3FB8" w14:textId="77777777" w:rsidR="000031BD" w:rsidRPr="007E61A0" w:rsidRDefault="000031BD" w:rsidP="006F69AD">
            <w:pPr>
              <w:pStyle w:val="TableText0"/>
              <w:keepNext w:val="0"/>
              <w:rPr>
                <w:rFonts w:eastAsia="Times New Roman"/>
              </w:rPr>
            </w:pPr>
            <w:r w:rsidRPr="007E61A0">
              <w:rPr>
                <w:b/>
              </w:rPr>
              <w:t xml:space="preserve">Restriction type: </w:t>
            </w:r>
            <w:r w:rsidRPr="007E61A0">
              <w:rPr>
                <w:rFonts w:eastAsia="Times New Roman"/>
              </w:rPr>
              <w:fldChar w:fldCharType="begin" w:fldLock="1">
                <w:ffData>
                  <w:name w:val=""/>
                  <w:enabled/>
                  <w:calcOnExit w:val="0"/>
                  <w:checkBox>
                    <w:sizeAuto/>
                    <w:default w:val="1"/>
                  </w:checkBox>
                </w:ffData>
              </w:fldChar>
            </w:r>
            <w:r w:rsidRPr="007E61A0">
              <w:rPr>
                <w:rFonts w:eastAsia="Times New Roman"/>
              </w:rPr>
              <w:instrText xml:space="preserve"> FORMCHECKBOX </w:instrText>
            </w:r>
            <w:r w:rsidR="009C7BF6">
              <w:rPr>
                <w:rFonts w:eastAsia="Times New Roman"/>
              </w:rPr>
            </w:r>
            <w:r w:rsidR="009C7BF6">
              <w:rPr>
                <w:rFonts w:eastAsia="Times New Roman"/>
              </w:rPr>
              <w:fldChar w:fldCharType="separate"/>
            </w:r>
            <w:r w:rsidRPr="007E61A0">
              <w:rPr>
                <w:rFonts w:eastAsia="Times New Roman"/>
              </w:rPr>
              <w:fldChar w:fldCharType="end"/>
            </w:r>
            <w:r w:rsidRPr="007E61A0">
              <w:rPr>
                <w:rFonts w:eastAsia="Times New Roman"/>
              </w:rPr>
              <w:t>Authority Required (STREAMLINED)</w:t>
            </w:r>
            <w:r>
              <w:rPr>
                <w:rFonts w:eastAsia="Times New Roman"/>
              </w:rPr>
              <w:t xml:space="preserve"> (code: new 2)</w:t>
            </w:r>
          </w:p>
        </w:tc>
      </w:tr>
      <w:tr w:rsidR="000031BD" w:rsidRPr="007E61A0" w14:paraId="693D3C36" w14:textId="77777777" w:rsidTr="006F69AD">
        <w:trPr>
          <w:cantSplit/>
          <w:trHeight w:val="20"/>
        </w:trPr>
        <w:tc>
          <w:tcPr>
            <w:tcW w:w="705" w:type="pct"/>
          </w:tcPr>
          <w:p w14:paraId="03C703BD" w14:textId="3CEBD8D6" w:rsidR="000031BD" w:rsidRPr="006E143D" w:rsidRDefault="000031BD" w:rsidP="006F69AD">
            <w:pPr>
              <w:pStyle w:val="TableText0"/>
              <w:keepNext w:val="0"/>
              <w:jc w:val="center"/>
              <w:rPr>
                <w:bCs w:val="0"/>
              </w:rPr>
            </w:pPr>
          </w:p>
        </w:tc>
        <w:tc>
          <w:tcPr>
            <w:tcW w:w="4295" w:type="pct"/>
            <w:vAlign w:val="center"/>
          </w:tcPr>
          <w:p w14:paraId="04E71BDE" w14:textId="77777777" w:rsidR="000031BD" w:rsidRPr="00664A85" w:rsidRDefault="000031BD" w:rsidP="006F69AD">
            <w:pPr>
              <w:rPr>
                <w:rFonts w:ascii="Arial Narrow" w:hAnsi="Arial Narrow"/>
                <w:color w:val="333333"/>
                <w:sz w:val="20"/>
                <w:szCs w:val="20"/>
              </w:rPr>
            </w:pPr>
            <w:r w:rsidRPr="00664A85">
              <w:rPr>
                <w:rFonts w:ascii="Arial Narrow" w:hAnsi="Arial Narrow"/>
                <w:b/>
                <w:bCs/>
                <w:color w:val="333333"/>
                <w:sz w:val="20"/>
                <w:szCs w:val="20"/>
              </w:rPr>
              <w:t>Administrative Advice:</w:t>
            </w:r>
          </w:p>
          <w:p w14:paraId="3124BB96" w14:textId="77777777" w:rsidR="000031BD" w:rsidRPr="007E61A0" w:rsidRDefault="000031BD" w:rsidP="006F69AD">
            <w:pPr>
              <w:pStyle w:val="TableText0"/>
              <w:keepNext w:val="0"/>
              <w:rPr>
                <w:b/>
              </w:rPr>
            </w:pPr>
            <w:r w:rsidRPr="00664A85">
              <w:rPr>
                <w:color w:val="000000" w:themeColor="text1"/>
                <w:szCs w:val="20"/>
              </w:rPr>
              <w:t>No increase in the maximum quantity or number of units may be authorised.</w:t>
            </w:r>
          </w:p>
        </w:tc>
      </w:tr>
      <w:tr w:rsidR="000031BD" w:rsidRPr="007E61A0" w14:paraId="48E54DC7" w14:textId="77777777" w:rsidTr="006F69AD">
        <w:trPr>
          <w:cantSplit/>
          <w:trHeight w:val="20"/>
        </w:trPr>
        <w:tc>
          <w:tcPr>
            <w:tcW w:w="705" w:type="pct"/>
          </w:tcPr>
          <w:p w14:paraId="6D3BD1D6" w14:textId="3EEA4BD4" w:rsidR="000031BD" w:rsidRPr="006E143D" w:rsidRDefault="000031BD" w:rsidP="006F69AD">
            <w:pPr>
              <w:pStyle w:val="TableText0"/>
              <w:keepNext w:val="0"/>
              <w:jc w:val="center"/>
              <w:rPr>
                <w:bCs w:val="0"/>
              </w:rPr>
            </w:pPr>
          </w:p>
        </w:tc>
        <w:tc>
          <w:tcPr>
            <w:tcW w:w="4295" w:type="pct"/>
            <w:vAlign w:val="center"/>
          </w:tcPr>
          <w:p w14:paraId="2AEDE000" w14:textId="77777777" w:rsidR="000031BD" w:rsidRPr="00664A85" w:rsidRDefault="000031BD" w:rsidP="006F69AD">
            <w:pPr>
              <w:rPr>
                <w:rFonts w:ascii="Arial Narrow" w:hAnsi="Arial Narrow"/>
                <w:b/>
                <w:bCs/>
                <w:color w:val="333333"/>
                <w:sz w:val="20"/>
                <w:szCs w:val="20"/>
              </w:rPr>
            </w:pPr>
            <w:r w:rsidRPr="00664A85">
              <w:rPr>
                <w:rFonts w:ascii="Arial Narrow" w:hAnsi="Arial Narrow"/>
                <w:b/>
                <w:bCs/>
                <w:color w:val="333333"/>
                <w:sz w:val="20"/>
                <w:szCs w:val="20"/>
              </w:rPr>
              <w:t>Administrative Advice:</w:t>
            </w:r>
          </w:p>
          <w:p w14:paraId="02B73127" w14:textId="77777777" w:rsidR="000031BD" w:rsidRPr="007E61A0" w:rsidRDefault="000031BD" w:rsidP="006F69AD">
            <w:pPr>
              <w:pStyle w:val="TableText0"/>
              <w:keepNext w:val="0"/>
              <w:rPr>
                <w:b/>
              </w:rPr>
            </w:pPr>
            <w:r w:rsidRPr="00664A85">
              <w:rPr>
                <w:color w:val="333333"/>
                <w:szCs w:val="20"/>
              </w:rPr>
              <w:t>No increase in the maximum number of repeats may be authorised.</w:t>
            </w:r>
          </w:p>
        </w:tc>
      </w:tr>
      <w:tr w:rsidR="000031BD" w:rsidRPr="007E61A0" w14:paraId="46B31055" w14:textId="77777777" w:rsidTr="006F69AD">
        <w:trPr>
          <w:cantSplit/>
          <w:trHeight w:val="20"/>
        </w:trPr>
        <w:tc>
          <w:tcPr>
            <w:tcW w:w="705" w:type="pct"/>
          </w:tcPr>
          <w:p w14:paraId="1FE5B65F" w14:textId="3D6BE5CC" w:rsidR="000031BD" w:rsidRPr="006E143D" w:rsidRDefault="000031BD" w:rsidP="006F69AD">
            <w:pPr>
              <w:pStyle w:val="TableText0"/>
              <w:keepNext w:val="0"/>
              <w:jc w:val="center"/>
              <w:rPr>
                <w:bCs w:val="0"/>
              </w:rPr>
            </w:pPr>
          </w:p>
        </w:tc>
        <w:tc>
          <w:tcPr>
            <w:tcW w:w="4295" w:type="pct"/>
            <w:vAlign w:val="center"/>
          </w:tcPr>
          <w:p w14:paraId="4A921448" w14:textId="77777777" w:rsidR="000031BD" w:rsidRPr="00664A85" w:rsidRDefault="000031BD" w:rsidP="006F69AD">
            <w:pPr>
              <w:rPr>
                <w:rFonts w:ascii="Arial Narrow" w:hAnsi="Arial Narrow"/>
                <w:b/>
                <w:bCs/>
                <w:color w:val="333333"/>
                <w:sz w:val="20"/>
                <w:szCs w:val="20"/>
              </w:rPr>
            </w:pPr>
            <w:r w:rsidRPr="00664A85">
              <w:rPr>
                <w:rFonts w:ascii="Arial Narrow" w:hAnsi="Arial Narrow"/>
                <w:b/>
                <w:bCs/>
                <w:color w:val="333333"/>
                <w:sz w:val="20"/>
                <w:szCs w:val="20"/>
              </w:rPr>
              <w:t>Administrative Advice:</w:t>
            </w:r>
          </w:p>
          <w:p w14:paraId="6120E9B8" w14:textId="77777777" w:rsidR="000031BD" w:rsidRPr="007E61A0" w:rsidRDefault="000031BD" w:rsidP="006F69AD">
            <w:pPr>
              <w:pStyle w:val="TableText0"/>
              <w:keepNext w:val="0"/>
              <w:rPr>
                <w:b/>
              </w:rPr>
            </w:pPr>
            <w:r w:rsidRPr="00664A85">
              <w:rPr>
                <w:color w:val="333333"/>
                <w:szCs w:val="20"/>
              </w:rPr>
              <w:t>Special Pricing Arrangements apply.</w:t>
            </w:r>
          </w:p>
        </w:tc>
      </w:tr>
      <w:tr w:rsidR="000031BD" w:rsidRPr="007E61A0" w14:paraId="295CA85F" w14:textId="77777777" w:rsidTr="006F69AD">
        <w:trPr>
          <w:cantSplit/>
          <w:trHeight w:val="20"/>
        </w:trPr>
        <w:tc>
          <w:tcPr>
            <w:tcW w:w="705" w:type="pct"/>
          </w:tcPr>
          <w:p w14:paraId="5E867A93" w14:textId="77777777" w:rsidR="000031BD" w:rsidRPr="007E61A0" w:rsidRDefault="000031BD" w:rsidP="006F69AD">
            <w:pPr>
              <w:pStyle w:val="TableText0"/>
              <w:keepNext w:val="0"/>
              <w:rPr>
                <w:b/>
              </w:rPr>
            </w:pPr>
          </w:p>
        </w:tc>
        <w:tc>
          <w:tcPr>
            <w:tcW w:w="4295" w:type="pct"/>
            <w:vAlign w:val="center"/>
          </w:tcPr>
          <w:p w14:paraId="6819303E" w14:textId="77777777" w:rsidR="000031BD" w:rsidRPr="006E143D" w:rsidRDefault="000031BD" w:rsidP="006F69AD">
            <w:pPr>
              <w:pStyle w:val="TableText0"/>
              <w:keepNext w:val="0"/>
              <w:rPr>
                <w:color w:val="A6A6A6" w:themeColor="background1" w:themeShade="A6"/>
              </w:rPr>
            </w:pPr>
            <w:r w:rsidRPr="006E143D">
              <w:rPr>
                <w:b/>
                <w:color w:val="A6A6A6" w:themeColor="background1" w:themeShade="A6"/>
              </w:rPr>
              <w:t xml:space="preserve">Episodicity: </w:t>
            </w:r>
            <w:r w:rsidRPr="006E143D">
              <w:rPr>
                <w:bCs w:val="0"/>
                <w:color w:val="A6A6A6" w:themeColor="background1" w:themeShade="A6"/>
              </w:rPr>
              <w:t>Chronic</w:t>
            </w:r>
          </w:p>
        </w:tc>
      </w:tr>
      <w:tr w:rsidR="000031BD" w:rsidRPr="007E61A0" w14:paraId="0E236F8F" w14:textId="77777777" w:rsidTr="006F69AD">
        <w:trPr>
          <w:cantSplit/>
          <w:trHeight w:val="20"/>
        </w:trPr>
        <w:tc>
          <w:tcPr>
            <w:tcW w:w="705" w:type="pct"/>
          </w:tcPr>
          <w:p w14:paraId="62B402ED" w14:textId="77777777" w:rsidR="000031BD" w:rsidRPr="007E61A0" w:rsidRDefault="000031BD" w:rsidP="006F69AD">
            <w:pPr>
              <w:pStyle w:val="TableText0"/>
              <w:keepNext w:val="0"/>
              <w:rPr>
                <w:b/>
              </w:rPr>
            </w:pPr>
          </w:p>
        </w:tc>
        <w:tc>
          <w:tcPr>
            <w:tcW w:w="4295" w:type="pct"/>
            <w:vAlign w:val="center"/>
          </w:tcPr>
          <w:p w14:paraId="2EE123B4" w14:textId="77777777" w:rsidR="000031BD" w:rsidRPr="006E143D" w:rsidRDefault="000031BD" w:rsidP="006F69AD">
            <w:pPr>
              <w:pStyle w:val="TableText0"/>
              <w:keepNext w:val="0"/>
              <w:rPr>
                <w:b/>
                <w:color w:val="A6A6A6" w:themeColor="background1" w:themeShade="A6"/>
              </w:rPr>
            </w:pPr>
            <w:r w:rsidRPr="006E143D">
              <w:rPr>
                <w:b/>
                <w:color w:val="A6A6A6" w:themeColor="background1" w:themeShade="A6"/>
              </w:rPr>
              <w:t xml:space="preserve">Severity: </w:t>
            </w:r>
            <w:r w:rsidRPr="006E143D">
              <w:rPr>
                <w:bCs w:val="0"/>
                <w:color w:val="A6A6A6" w:themeColor="background1" w:themeShade="A6"/>
              </w:rPr>
              <w:t>Severe</w:t>
            </w:r>
          </w:p>
        </w:tc>
      </w:tr>
      <w:tr w:rsidR="000031BD" w:rsidRPr="007E61A0" w14:paraId="7D5E7E91" w14:textId="77777777" w:rsidTr="006F69AD">
        <w:trPr>
          <w:cantSplit/>
          <w:trHeight w:val="20"/>
        </w:trPr>
        <w:tc>
          <w:tcPr>
            <w:tcW w:w="705" w:type="pct"/>
          </w:tcPr>
          <w:p w14:paraId="007B7926" w14:textId="77777777" w:rsidR="000031BD" w:rsidRPr="007E61A0" w:rsidRDefault="000031BD" w:rsidP="006F69AD">
            <w:pPr>
              <w:pStyle w:val="TableText0"/>
              <w:keepNext w:val="0"/>
              <w:rPr>
                <w:b/>
              </w:rPr>
            </w:pPr>
          </w:p>
        </w:tc>
        <w:tc>
          <w:tcPr>
            <w:tcW w:w="4295" w:type="pct"/>
            <w:vAlign w:val="center"/>
          </w:tcPr>
          <w:p w14:paraId="1BE36320" w14:textId="77777777" w:rsidR="000031BD" w:rsidRPr="006E143D" w:rsidRDefault="000031BD" w:rsidP="006F69AD">
            <w:pPr>
              <w:pStyle w:val="TableText0"/>
              <w:keepNext w:val="0"/>
              <w:rPr>
                <w:b/>
                <w:color w:val="A6A6A6" w:themeColor="background1" w:themeShade="A6"/>
              </w:rPr>
            </w:pPr>
            <w:r w:rsidRPr="006E143D">
              <w:rPr>
                <w:b/>
                <w:color w:val="A6A6A6" w:themeColor="background1" w:themeShade="A6"/>
              </w:rPr>
              <w:t xml:space="preserve">Condition: </w:t>
            </w:r>
            <w:r w:rsidRPr="006E143D">
              <w:rPr>
                <w:bCs w:val="0"/>
                <w:color w:val="A6A6A6" w:themeColor="background1" w:themeShade="A6"/>
              </w:rPr>
              <w:t>Plaque psoriasis</w:t>
            </w:r>
          </w:p>
        </w:tc>
      </w:tr>
      <w:tr w:rsidR="000031BD" w:rsidRPr="007E61A0" w14:paraId="38A40F0B" w14:textId="77777777" w:rsidTr="006F69AD">
        <w:trPr>
          <w:cantSplit/>
          <w:trHeight w:val="20"/>
        </w:trPr>
        <w:tc>
          <w:tcPr>
            <w:tcW w:w="705" w:type="pct"/>
          </w:tcPr>
          <w:p w14:paraId="2D2A7202" w14:textId="6F5B9E85" w:rsidR="000031BD" w:rsidRPr="006E143D" w:rsidRDefault="000031BD" w:rsidP="006F69AD">
            <w:pPr>
              <w:pStyle w:val="TableText0"/>
              <w:keepNext w:val="0"/>
              <w:jc w:val="center"/>
              <w:rPr>
                <w:bCs w:val="0"/>
              </w:rPr>
            </w:pPr>
          </w:p>
        </w:tc>
        <w:tc>
          <w:tcPr>
            <w:tcW w:w="4295" w:type="pct"/>
            <w:vAlign w:val="center"/>
            <w:hideMark/>
          </w:tcPr>
          <w:p w14:paraId="50647331" w14:textId="77777777" w:rsidR="000031BD" w:rsidRPr="007E61A0" w:rsidRDefault="000031BD" w:rsidP="006F69AD">
            <w:pPr>
              <w:pStyle w:val="TableText0"/>
              <w:keepNext w:val="0"/>
            </w:pPr>
            <w:r w:rsidRPr="007E61A0">
              <w:rPr>
                <w:b/>
              </w:rPr>
              <w:t>Indication:</w:t>
            </w:r>
            <w:r w:rsidRPr="007E61A0">
              <w:t xml:space="preserve"> Severe chronic plaque psoriasis</w:t>
            </w:r>
          </w:p>
        </w:tc>
      </w:tr>
      <w:tr w:rsidR="000031BD" w:rsidRPr="007E61A0" w14:paraId="04EEE36F" w14:textId="77777777" w:rsidTr="006F69AD">
        <w:trPr>
          <w:cantSplit/>
          <w:trHeight w:val="20"/>
        </w:trPr>
        <w:tc>
          <w:tcPr>
            <w:tcW w:w="705" w:type="pct"/>
          </w:tcPr>
          <w:p w14:paraId="08E1F696" w14:textId="28DD453C" w:rsidR="000031BD" w:rsidRPr="006E143D" w:rsidRDefault="000031BD" w:rsidP="006F69AD">
            <w:pPr>
              <w:pStyle w:val="TableText0"/>
              <w:keepNext w:val="0"/>
              <w:jc w:val="center"/>
              <w:rPr>
                <w:bCs w:val="0"/>
              </w:rPr>
            </w:pPr>
          </w:p>
        </w:tc>
        <w:tc>
          <w:tcPr>
            <w:tcW w:w="4295" w:type="pct"/>
            <w:vAlign w:val="center"/>
            <w:hideMark/>
          </w:tcPr>
          <w:p w14:paraId="5FBD86F2" w14:textId="77777777" w:rsidR="000031BD" w:rsidRPr="007E61A0" w:rsidRDefault="000031BD" w:rsidP="006F69AD">
            <w:pPr>
              <w:pStyle w:val="TableText0"/>
              <w:keepNext w:val="0"/>
            </w:pPr>
            <w:r w:rsidRPr="007E61A0">
              <w:rPr>
                <w:b/>
              </w:rPr>
              <w:t>Clinical criteria:</w:t>
            </w:r>
          </w:p>
        </w:tc>
      </w:tr>
      <w:tr w:rsidR="000031BD" w:rsidRPr="007E61A0" w14:paraId="0C4BFE73" w14:textId="77777777" w:rsidTr="006F69AD">
        <w:trPr>
          <w:cantSplit/>
          <w:trHeight w:val="20"/>
        </w:trPr>
        <w:tc>
          <w:tcPr>
            <w:tcW w:w="705" w:type="pct"/>
          </w:tcPr>
          <w:p w14:paraId="5B97D3EB" w14:textId="4BB5DE72" w:rsidR="000031BD" w:rsidRPr="007E61A0" w:rsidRDefault="000031BD" w:rsidP="006F69AD">
            <w:pPr>
              <w:pStyle w:val="TableText0"/>
              <w:keepNext w:val="0"/>
              <w:jc w:val="center"/>
            </w:pPr>
          </w:p>
        </w:tc>
        <w:tc>
          <w:tcPr>
            <w:tcW w:w="4295" w:type="pct"/>
            <w:vAlign w:val="center"/>
            <w:hideMark/>
          </w:tcPr>
          <w:p w14:paraId="6AA9B9DB" w14:textId="77777777" w:rsidR="000031BD" w:rsidRPr="007E61A0" w:rsidRDefault="000031BD" w:rsidP="006F69AD">
            <w:pPr>
              <w:pStyle w:val="TableText0"/>
              <w:keepNext w:val="0"/>
            </w:pPr>
            <w:r w:rsidRPr="007E61A0">
              <w:t xml:space="preserve">Patient must </w:t>
            </w:r>
            <w:r>
              <w:t xml:space="preserve">not </w:t>
            </w:r>
            <w:r w:rsidRPr="007E61A0">
              <w:t xml:space="preserve">have </w:t>
            </w:r>
            <w:r>
              <w:t>achieved</w:t>
            </w:r>
            <w:r w:rsidRPr="007E61A0">
              <w:t xml:space="preserve"> adequate response after at least 6 weeks of treatment with methotrexate prior to initiating treatment with this drug; OR</w:t>
            </w:r>
          </w:p>
        </w:tc>
      </w:tr>
      <w:tr w:rsidR="000031BD" w:rsidRPr="007E61A0" w14:paraId="4193EEE7" w14:textId="77777777" w:rsidTr="006F69AD">
        <w:trPr>
          <w:cantSplit/>
          <w:trHeight w:val="20"/>
        </w:trPr>
        <w:tc>
          <w:tcPr>
            <w:tcW w:w="705" w:type="pct"/>
          </w:tcPr>
          <w:p w14:paraId="5A6D26DE" w14:textId="1B23987A" w:rsidR="000031BD" w:rsidRPr="007E61A0" w:rsidRDefault="000031BD" w:rsidP="006F69AD">
            <w:pPr>
              <w:pStyle w:val="TableText0"/>
              <w:keepNext w:val="0"/>
              <w:jc w:val="center"/>
            </w:pPr>
          </w:p>
        </w:tc>
        <w:tc>
          <w:tcPr>
            <w:tcW w:w="4295" w:type="pct"/>
            <w:vAlign w:val="center"/>
          </w:tcPr>
          <w:p w14:paraId="2878E91E" w14:textId="77777777" w:rsidR="000031BD" w:rsidRPr="007E61A0" w:rsidRDefault="000031BD" w:rsidP="006F69AD">
            <w:pPr>
              <w:pStyle w:val="TableText0"/>
              <w:keepNext w:val="0"/>
            </w:pPr>
            <w:r w:rsidRPr="007E61A0">
              <w:t>Patient must have a contraindication to methotrexate according to the Therapeutic Goods Administration (TGA) approved Product Information; OR</w:t>
            </w:r>
          </w:p>
        </w:tc>
      </w:tr>
      <w:tr w:rsidR="000031BD" w:rsidRPr="007E61A0" w14:paraId="2E0DD025" w14:textId="77777777" w:rsidTr="006F69AD">
        <w:trPr>
          <w:cantSplit/>
          <w:trHeight w:val="20"/>
        </w:trPr>
        <w:tc>
          <w:tcPr>
            <w:tcW w:w="705" w:type="pct"/>
          </w:tcPr>
          <w:p w14:paraId="6340E6F0" w14:textId="3F9D4AB9" w:rsidR="000031BD" w:rsidRPr="007E61A0" w:rsidRDefault="000031BD" w:rsidP="006F69AD">
            <w:pPr>
              <w:pStyle w:val="TableText0"/>
              <w:keepNext w:val="0"/>
              <w:jc w:val="center"/>
            </w:pPr>
          </w:p>
        </w:tc>
        <w:tc>
          <w:tcPr>
            <w:tcW w:w="4295" w:type="pct"/>
            <w:vAlign w:val="center"/>
          </w:tcPr>
          <w:p w14:paraId="4BE868EB" w14:textId="77777777" w:rsidR="000031BD" w:rsidRPr="007E61A0" w:rsidRDefault="000031BD" w:rsidP="006F69AD">
            <w:pPr>
              <w:pStyle w:val="TableText0"/>
              <w:keepNext w:val="0"/>
            </w:pPr>
            <w:r w:rsidRPr="007E61A0">
              <w:t>Patient must have demonstrated severe intolerance of, or toxicity due to</w:t>
            </w:r>
            <w:r>
              <w:t>,</w:t>
            </w:r>
            <w:r w:rsidRPr="007E61A0">
              <w:t xml:space="preserve"> methotrexate</w:t>
            </w:r>
          </w:p>
        </w:tc>
      </w:tr>
      <w:tr w:rsidR="000031BD" w:rsidRPr="007E61A0" w14:paraId="0E94C120" w14:textId="77777777" w:rsidTr="006F69AD">
        <w:trPr>
          <w:cantSplit/>
          <w:trHeight w:val="20"/>
        </w:trPr>
        <w:tc>
          <w:tcPr>
            <w:tcW w:w="705" w:type="pct"/>
          </w:tcPr>
          <w:p w14:paraId="62F6EDF0" w14:textId="77777777" w:rsidR="000031BD" w:rsidRPr="007E61A0" w:rsidRDefault="000031BD" w:rsidP="006F69AD">
            <w:pPr>
              <w:pStyle w:val="TableText0"/>
              <w:keepNext w:val="0"/>
              <w:jc w:val="center"/>
              <w:rPr>
                <w:b/>
              </w:rPr>
            </w:pPr>
          </w:p>
        </w:tc>
        <w:tc>
          <w:tcPr>
            <w:tcW w:w="4295" w:type="pct"/>
            <w:vAlign w:val="center"/>
            <w:hideMark/>
          </w:tcPr>
          <w:p w14:paraId="3612E981" w14:textId="77777777" w:rsidR="000031BD" w:rsidRPr="007E61A0" w:rsidRDefault="000031BD" w:rsidP="006F69AD">
            <w:pPr>
              <w:pStyle w:val="TableText0"/>
              <w:keepNext w:val="0"/>
            </w:pPr>
            <w:r w:rsidRPr="007E61A0">
              <w:rPr>
                <w:b/>
              </w:rPr>
              <w:t>AND</w:t>
            </w:r>
          </w:p>
        </w:tc>
      </w:tr>
      <w:tr w:rsidR="000031BD" w:rsidRPr="007E61A0" w14:paraId="1FE84BE8" w14:textId="77777777" w:rsidTr="006F69AD">
        <w:trPr>
          <w:cantSplit/>
          <w:trHeight w:val="20"/>
        </w:trPr>
        <w:tc>
          <w:tcPr>
            <w:tcW w:w="705" w:type="pct"/>
          </w:tcPr>
          <w:p w14:paraId="7BC19222" w14:textId="10488336" w:rsidR="000031BD" w:rsidRPr="006E143D" w:rsidRDefault="000031BD" w:rsidP="006F69AD">
            <w:pPr>
              <w:pStyle w:val="TableText0"/>
              <w:keepNext w:val="0"/>
              <w:jc w:val="center"/>
              <w:rPr>
                <w:bCs w:val="0"/>
              </w:rPr>
            </w:pPr>
          </w:p>
        </w:tc>
        <w:tc>
          <w:tcPr>
            <w:tcW w:w="4295" w:type="pct"/>
            <w:vAlign w:val="center"/>
            <w:hideMark/>
          </w:tcPr>
          <w:p w14:paraId="4C101451" w14:textId="77777777" w:rsidR="000031BD" w:rsidRPr="007E61A0" w:rsidRDefault="000031BD" w:rsidP="006F69AD">
            <w:pPr>
              <w:pStyle w:val="TableText0"/>
              <w:keepNext w:val="0"/>
            </w:pPr>
            <w:r w:rsidRPr="007E61A0">
              <w:rPr>
                <w:b/>
              </w:rPr>
              <w:t>Clinical criteria:</w:t>
            </w:r>
          </w:p>
        </w:tc>
      </w:tr>
      <w:tr w:rsidR="000031BD" w:rsidRPr="007E61A0" w14:paraId="38141EB9" w14:textId="77777777" w:rsidTr="006F69AD">
        <w:trPr>
          <w:cantSplit/>
          <w:trHeight w:val="20"/>
        </w:trPr>
        <w:tc>
          <w:tcPr>
            <w:tcW w:w="705" w:type="pct"/>
          </w:tcPr>
          <w:p w14:paraId="2DB4CD03" w14:textId="48DE6697" w:rsidR="000031BD" w:rsidRPr="007E61A0" w:rsidRDefault="000031BD" w:rsidP="006F69AD">
            <w:pPr>
              <w:pStyle w:val="TableText0"/>
              <w:keepNext w:val="0"/>
              <w:jc w:val="center"/>
            </w:pPr>
          </w:p>
        </w:tc>
        <w:tc>
          <w:tcPr>
            <w:tcW w:w="4295" w:type="pct"/>
            <w:vAlign w:val="center"/>
            <w:hideMark/>
          </w:tcPr>
          <w:p w14:paraId="0C29BBBE" w14:textId="77777777" w:rsidR="000031BD" w:rsidRPr="007E61A0" w:rsidRDefault="000031BD" w:rsidP="006F69AD">
            <w:pPr>
              <w:pStyle w:val="TableText0"/>
              <w:keepNext w:val="0"/>
            </w:pPr>
            <w:r w:rsidRPr="007E61A0">
              <w:t>The condition must have caused significant interference with quality of life.</w:t>
            </w:r>
          </w:p>
        </w:tc>
      </w:tr>
      <w:tr w:rsidR="000031BD" w:rsidRPr="007E61A0" w14:paraId="5C5F3DD1" w14:textId="77777777" w:rsidTr="006F69AD">
        <w:trPr>
          <w:cantSplit/>
          <w:trHeight w:val="20"/>
        </w:trPr>
        <w:tc>
          <w:tcPr>
            <w:tcW w:w="705" w:type="pct"/>
          </w:tcPr>
          <w:p w14:paraId="76EB699C" w14:textId="77777777" w:rsidR="000031BD" w:rsidRPr="007E61A0" w:rsidRDefault="000031BD" w:rsidP="006F69AD">
            <w:pPr>
              <w:pStyle w:val="TableText0"/>
              <w:keepNext w:val="0"/>
              <w:jc w:val="center"/>
              <w:rPr>
                <w:b/>
              </w:rPr>
            </w:pPr>
          </w:p>
        </w:tc>
        <w:tc>
          <w:tcPr>
            <w:tcW w:w="4295" w:type="pct"/>
            <w:vAlign w:val="center"/>
          </w:tcPr>
          <w:p w14:paraId="403F6DAC" w14:textId="77777777" w:rsidR="000031BD" w:rsidRPr="007E61A0" w:rsidRDefault="000031BD" w:rsidP="006F69AD">
            <w:pPr>
              <w:pStyle w:val="TableText0"/>
              <w:keepNext w:val="0"/>
            </w:pPr>
            <w:r w:rsidRPr="007E61A0">
              <w:rPr>
                <w:b/>
              </w:rPr>
              <w:t>AND</w:t>
            </w:r>
          </w:p>
        </w:tc>
      </w:tr>
      <w:tr w:rsidR="000031BD" w:rsidRPr="007E61A0" w14:paraId="721DFE62" w14:textId="77777777" w:rsidTr="006F69AD">
        <w:trPr>
          <w:cantSplit/>
          <w:trHeight w:val="20"/>
        </w:trPr>
        <w:tc>
          <w:tcPr>
            <w:tcW w:w="705" w:type="pct"/>
          </w:tcPr>
          <w:p w14:paraId="4CD36F10" w14:textId="17127CA2" w:rsidR="000031BD" w:rsidRPr="006E143D" w:rsidRDefault="000031BD" w:rsidP="006F69AD">
            <w:pPr>
              <w:pStyle w:val="TableText0"/>
              <w:keepNext w:val="0"/>
              <w:jc w:val="center"/>
              <w:rPr>
                <w:bCs w:val="0"/>
              </w:rPr>
            </w:pPr>
          </w:p>
        </w:tc>
        <w:tc>
          <w:tcPr>
            <w:tcW w:w="4295" w:type="pct"/>
            <w:vAlign w:val="center"/>
          </w:tcPr>
          <w:p w14:paraId="6658A77B" w14:textId="77777777" w:rsidR="000031BD" w:rsidRPr="007E61A0" w:rsidRDefault="000031BD" w:rsidP="006F69AD">
            <w:pPr>
              <w:pStyle w:val="TableText0"/>
              <w:keepNext w:val="0"/>
            </w:pPr>
            <w:r w:rsidRPr="007E61A0">
              <w:rPr>
                <w:b/>
              </w:rPr>
              <w:t>Clinical criteria:</w:t>
            </w:r>
          </w:p>
        </w:tc>
      </w:tr>
      <w:tr w:rsidR="000031BD" w:rsidRPr="007E61A0" w14:paraId="54B1FA7D" w14:textId="77777777" w:rsidTr="006F69AD">
        <w:trPr>
          <w:cantSplit/>
          <w:trHeight w:val="20"/>
        </w:trPr>
        <w:tc>
          <w:tcPr>
            <w:tcW w:w="705" w:type="pct"/>
          </w:tcPr>
          <w:p w14:paraId="03B4FA9A" w14:textId="3B441B28" w:rsidR="000031BD" w:rsidRPr="007E61A0" w:rsidRDefault="000031BD" w:rsidP="006F69AD">
            <w:pPr>
              <w:pStyle w:val="TableText0"/>
              <w:keepNext w:val="0"/>
              <w:jc w:val="center"/>
            </w:pPr>
          </w:p>
        </w:tc>
        <w:tc>
          <w:tcPr>
            <w:tcW w:w="4295" w:type="pct"/>
            <w:vAlign w:val="center"/>
          </w:tcPr>
          <w:p w14:paraId="50FEA94E" w14:textId="77777777" w:rsidR="000031BD" w:rsidRPr="007E61A0" w:rsidRDefault="000031BD" w:rsidP="006F69AD">
            <w:pPr>
              <w:pStyle w:val="TableText0"/>
              <w:keepNext w:val="0"/>
            </w:pPr>
            <w:bookmarkStart w:id="105" w:name="_Hlk131083278"/>
            <w:r w:rsidRPr="007E61A0">
              <w:t>Patient must not be undergoing concurrent PBS-subsidised treatment for psoriasis with each of: (i) a biological medicine, (ii) ciclosporin</w:t>
            </w:r>
            <w:r w:rsidRPr="00664A85">
              <w:t xml:space="preserve">; </w:t>
            </w:r>
            <w:r w:rsidRPr="00664A85">
              <w:rPr>
                <w:color w:val="333333"/>
                <w:szCs w:val="20"/>
              </w:rPr>
              <w:t>(iii) apremilast</w:t>
            </w:r>
            <w:bookmarkEnd w:id="105"/>
          </w:p>
        </w:tc>
      </w:tr>
      <w:tr w:rsidR="000031BD" w:rsidRPr="007E61A0" w14:paraId="309C5E19" w14:textId="77777777" w:rsidTr="006F69AD">
        <w:trPr>
          <w:cantSplit/>
          <w:trHeight w:val="20"/>
        </w:trPr>
        <w:tc>
          <w:tcPr>
            <w:tcW w:w="705" w:type="pct"/>
          </w:tcPr>
          <w:p w14:paraId="4AE36F7E" w14:textId="3ED2B23C" w:rsidR="000031BD" w:rsidRPr="006E143D" w:rsidRDefault="000031BD" w:rsidP="006F69AD">
            <w:pPr>
              <w:pStyle w:val="TableText0"/>
              <w:keepNext w:val="0"/>
              <w:jc w:val="center"/>
              <w:rPr>
                <w:bCs w:val="0"/>
              </w:rPr>
            </w:pPr>
          </w:p>
        </w:tc>
        <w:tc>
          <w:tcPr>
            <w:tcW w:w="4295" w:type="pct"/>
            <w:vAlign w:val="center"/>
            <w:hideMark/>
          </w:tcPr>
          <w:p w14:paraId="123905B3" w14:textId="77777777" w:rsidR="000031BD" w:rsidRPr="007E61A0" w:rsidRDefault="000031BD" w:rsidP="006F69AD">
            <w:pPr>
              <w:pStyle w:val="TableText0"/>
              <w:keepNext w:val="0"/>
            </w:pPr>
            <w:r w:rsidRPr="007E61A0">
              <w:rPr>
                <w:b/>
              </w:rPr>
              <w:t>Treatment criteria:</w:t>
            </w:r>
          </w:p>
        </w:tc>
      </w:tr>
      <w:tr w:rsidR="000031BD" w:rsidRPr="007E61A0" w14:paraId="3B264B0A" w14:textId="77777777" w:rsidTr="006F69AD">
        <w:trPr>
          <w:cantSplit/>
          <w:trHeight w:val="20"/>
        </w:trPr>
        <w:tc>
          <w:tcPr>
            <w:tcW w:w="705" w:type="pct"/>
          </w:tcPr>
          <w:p w14:paraId="79D2B627" w14:textId="340C866F" w:rsidR="000031BD" w:rsidRPr="00664A85" w:rsidRDefault="000031BD" w:rsidP="006F69AD">
            <w:pPr>
              <w:pStyle w:val="TableText0"/>
              <w:keepNext w:val="0"/>
              <w:jc w:val="center"/>
            </w:pPr>
          </w:p>
        </w:tc>
        <w:tc>
          <w:tcPr>
            <w:tcW w:w="4295" w:type="pct"/>
            <w:vAlign w:val="center"/>
            <w:hideMark/>
          </w:tcPr>
          <w:p w14:paraId="23A2E48A" w14:textId="77777777" w:rsidR="000031BD" w:rsidRPr="007E61A0" w:rsidRDefault="000031BD" w:rsidP="006F69AD">
            <w:pPr>
              <w:pStyle w:val="TableText0"/>
              <w:keepNext w:val="0"/>
            </w:pPr>
            <w:r w:rsidRPr="00664A85">
              <w:t>Must be treated by a medical practitioner who is either: (i) a dermatologist, (ii) an accredited dermatology registrar in consultation with a dermatologist; OR</w:t>
            </w:r>
          </w:p>
        </w:tc>
      </w:tr>
      <w:tr w:rsidR="000031BD" w:rsidRPr="007E61A0" w14:paraId="06A3C1A4" w14:textId="77777777" w:rsidTr="006F69AD">
        <w:trPr>
          <w:cantSplit/>
          <w:trHeight w:val="20"/>
        </w:trPr>
        <w:tc>
          <w:tcPr>
            <w:tcW w:w="705" w:type="pct"/>
          </w:tcPr>
          <w:p w14:paraId="47198E5B" w14:textId="5F8E139C" w:rsidR="000031BD" w:rsidRPr="00664A85" w:rsidRDefault="000031BD" w:rsidP="006F69AD">
            <w:pPr>
              <w:pStyle w:val="TableText0"/>
              <w:keepNext w:val="0"/>
              <w:jc w:val="center"/>
            </w:pPr>
          </w:p>
        </w:tc>
        <w:tc>
          <w:tcPr>
            <w:tcW w:w="4295" w:type="pct"/>
            <w:vAlign w:val="center"/>
          </w:tcPr>
          <w:p w14:paraId="3A771D17" w14:textId="77777777" w:rsidR="000031BD" w:rsidRPr="00664A85" w:rsidRDefault="000031BD" w:rsidP="006F69AD">
            <w:pPr>
              <w:pStyle w:val="TableText0"/>
              <w:keepNext w:val="0"/>
            </w:pPr>
            <w:r w:rsidRPr="00664A85">
              <w:t>Must be treated by a general practitioner who has been directed to continue treatment (not initiate treatment) by one of the above practitioner types</w:t>
            </w:r>
          </w:p>
        </w:tc>
      </w:tr>
      <w:tr w:rsidR="000031BD" w:rsidRPr="007E61A0" w14:paraId="2957B0A8" w14:textId="77777777" w:rsidTr="006F69AD">
        <w:trPr>
          <w:cantSplit/>
          <w:trHeight w:val="20"/>
        </w:trPr>
        <w:tc>
          <w:tcPr>
            <w:tcW w:w="705" w:type="pct"/>
          </w:tcPr>
          <w:p w14:paraId="53487297" w14:textId="689325DB" w:rsidR="000031BD" w:rsidRPr="003119FA" w:rsidRDefault="000031BD" w:rsidP="006F69AD">
            <w:pPr>
              <w:pStyle w:val="TableText0"/>
              <w:keepNext w:val="0"/>
              <w:jc w:val="center"/>
              <w:rPr>
                <w:bCs w:val="0"/>
              </w:rPr>
            </w:pPr>
          </w:p>
        </w:tc>
        <w:tc>
          <w:tcPr>
            <w:tcW w:w="4295" w:type="pct"/>
            <w:vAlign w:val="center"/>
            <w:hideMark/>
          </w:tcPr>
          <w:p w14:paraId="1D60E5AC" w14:textId="77777777" w:rsidR="000031BD" w:rsidRPr="007E61A0" w:rsidRDefault="000031BD" w:rsidP="006F69AD">
            <w:pPr>
              <w:pStyle w:val="TableText0"/>
              <w:keepNext w:val="0"/>
            </w:pPr>
            <w:r w:rsidRPr="007E61A0">
              <w:rPr>
                <w:b/>
              </w:rPr>
              <w:t>Population criteria:</w:t>
            </w:r>
          </w:p>
        </w:tc>
      </w:tr>
      <w:tr w:rsidR="000031BD" w:rsidRPr="007E61A0" w14:paraId="0DDD91D2" w14:textId="77777777" w:rsidTr="006F69AD">
        <w:trPr>
          <w:cantSplit/>
          <w:trHeight w:val="20"/>
        </w:trPr>
        <w:tc>
          <w:tcPr>
            <w:tcW w:w="705" w:type="pct"/>
          </w:tcPr>
          <w:p w14:paraId="2420E736" w14:textId="702028C2" w:rsidR="000031BD" w:rsidRPr="007E61A0" w:rsidRDefault="000031BD" w:rsidP="006F69AD">
            <w:pPr>
              <w:pStyle w:val="TableText0"/>
              <w:keepNext w:val="0"/>
              <w:jc w:val="center"/>
            </w:pPr>
          </w:p>
        </w:tc>
        <w:tc>
          <w:tcPr>
            <w:tcW w:w="4295" w:type="pct"/>
            <w:vAlign w:val="center"/>
          </w:tcPr>
          <w:p w14:paraId="1D52D5B7" w14:textId="77777777" w:rsidR="000031BD" w:rsidRPr="007E61A0" w:rsidRDefault="000031BD" w:rsidP="006F69AD">
            <w:pPr>
              <w:pStyle w:val="TableText0"/>
              <w:keepNext w:val="0"/>
            </w:pPr>
            <w:r>
              <w:t xml:space="preserve"> Pa</w:t>
            </w:r>
            <w:r w:rsidRPr="003119FA">
              <w:t>tient must be at least 18 years of age</w:t>
            </w:r>
          </w:p>
        </w:tc>
      </w:tr>
    </w:tbl>
    <w:p w14:paraId="2CA1BFA3" w14:textId="77777777" w:rsidR="000031BD" w:rsidRDefault="000031BD" w:rsidP="00681A5F">
      <w:pPr>
        <w:pStyle w:val="3-BodyText"/>
        <w:spacing w:before="120"/>
      </w:pPr>
      <w:r w:rsidRPr="003D0904">
        <w:t>Flow on changes</w:t>
      </w:r>
      <w:r>
        <w:t>:</w:t>
      </w:r>
    </w:p>
    <w:p w14:paraId="5441A602" w14:textId="77777777" w:rsidR="000031BD" w:rsidRDefault="000031BD" w:rsidP="000031BD">
      <w:pPr>
        <w:widowControl w:val="0"/>
        <w:rPr>
          <w:rFonts w:asciiTheme="minorHAnsi" w:hAnsiTheme="minorHAnsi"/>
          <w:bCs/>
          <w:i/>
          <w:snapToGrid w:val="0"/>
        </w:rPr>
      </w:pPr>
      <w:r>
        <w:rPr>
          <w:rFonts w:asciiTheme="minorHAnsi" w:hAnsiTheme="minorHAnsi"/>
          <w:bCs/>
          <w:i/>
          <w:snapToGrid w:val="0"/>
        </w:rPr>
        <w:t>1- to apremilast listing to:</w:t>
      </w:r>
    </w:p>
    <w:p w14:paraId="758A73BD" w14:textId="1CC89164" w:rsidR="000031BD" w:rsidRPr="00D93477" w:rsidRDefault="000031BD" w:rsidP="000031BD">
      <w:pPr>
        <w:pStyle w:val="ListParagraph"/>
        <w:widowControl w:val="0"/>
        <w:numPr>
          <w:ilvl w:val="0"/>
          <w:numId w:val="38"/>
        </w:numPr>
        <w:rPr>
          <w:bCs/>
          <w:i/>
        </w:rPr>
      </w:pPr>
      <w:r w:rsidRPr="00D93477">
        <w:rPr>
          <w:bCs/>
          <w:iCs/>
        </w:rPr>
        <w:t>preclude concurrent treatment with deucravacitinib and</w:t>
      </w:r>
      <w:r>
        <w:rPr>
          <w:bCs/>
          <w:i/>
        </w:rPr>
        <w:t xml:space="preserve"> </w:t>
      </w:r>
      <w:r>
        <w:t xml:space="preserve">replace clinical criterion </w:t>
      </w:r>
      <w:r w:rsidRPr="00D93477">
        <w:t xml:space="preserve"> </w:t>
      </w:r>
      <w:r>
        <w:t>‘</w:t>
      </w:r>
      <w:r w:rsidRPr="00D93477">
        <w:rPr>
          <w:i/>
          <w:iCs/>
        </w:rPr>
        <w:t>Patient must not be undergoing concurrent PBS-subsidised treatment for psoriasis with each of: (i) a biological medicine, (ii) ciclosporin’</w:t>
      </w:r>
      <w:r>
        <w:t xml:space="preserve"> with a new criterion: ‘</w:t>
      </w:r>
      <w:r w:rsidRPr="00D93477">
        <w:rPr>
          <w:i/>
          <w:iCs/>
        </w:rPr>
        <w:t>Patient must not be undergoing concurrent PBS-subsidised treatment for psoriasis with each of: (i) a biological medicine, (ii) ciclosporin; (iii) deucravacitinib</w:t>
      </w:r>
      <w:r>
        <w:rPr>
          <w:i/>
          <w:iCs/>
        </w:rPr>
        <w:t>’</w:t>
      </w:r>
    </w:p>
    <w:p w14:paraId="67C192FF" w14:textId="38335C9D" w:rsidR="000031BD" w:rsidRPr="00681A5F" w:rsidRDefault="000031BD" w:rsidP="00681A5F">
      <w:pPr>
        <w:pStyle w:val="ListBullet"/>
        <w:numPr>
          <w:ilvl w:val="0"/>
          <w:numId w:val="38"/>
        </w:numPr>
        <w:spacing w:after="120"/>
        <w:rPr>
          <w:i/>
          <w:iCs/>
        </w:rPr>
      </w:pPr>
      <w:r>
        <w:t xml:space="preserve">replace clinical criterion </w:t>
      </w:r>
      <w:r w:rsidRPr="00D93477">
        <w:rPr>
          <w:i/>
          <w:iCs/>
        </w:rPr>
        <w:t>‘Patient must have failed to achieve an adequate response after at least 6 weeks of treatment with methotrexate prior to initiating treatment with this drug; or’</w:t>
      </w:r>
      <w:r>
        <w:t xml:space="preserve"> with new concept ‘</w:t>
      </w:r>
      <w:r w:rsidRPr="00D93477">
        <w:rPr>
          <w:i/>
          <w:iCs/>
        </w:rPr>
        <w:t xml:space="preserve">Patient must not have </w:t>
      </w:r>
      <w:r>
        <w:rPr>
          <w:i/>
          <w:iCs/>
        </w:rPr>
        <w:t>achieved</w:t>
      </w:r>
      <w:r w:rsidRPr="00D93477">
        <w:rPr>
          <w:i/>
          <w:iCs/>
        </w:rPr>
        <w:t xml:space="preserve"> adequate response after at least 6 weeks of treatment with methotrexate prior to initiating treatment with this drug</w:t>
      </w:r>
      <w:r>
        <w:rPr>
          <w:i/>
          <w:iCs/>
        </w:rPr>
        <w:t>; or’</w:t>
      </w:r>
    </w:p>
    <w:p w14:paraId="6340F8E8" w14:textId="2574BE0A" w:rsidR="000031BD" w:rsidRPr="003D0904" w:rsidRDefault="000031BD" w:rsidP="00681A5F">
      <w:pPr>
        <w:widowControl w:val="0"/>
        <w:spacing w:after="120"/>
        <w:rPr>
          <w:rFonts w:asciiTheme="minorHAnsi" w:hAnsiTheme="minorHAnsi"/>
          <w:bCs/>
          <w:i/>
          <w:snapToGrid w:val="0"/>
        </w:rPr>
      </w:pPr>
      <w:r>
        <w:rPr>
          <w:rFonts w:asciiTheme="minorHAnsi" w:hAnsiTheme="minorHAnsi"/>
          <w:bCs/>
          <w:i/>
          <w:snapToGrid w:val="0"/>
        </w:rPr>
        <w:t>2-</w:t>
      </w:r>
      <w:r w:rsidRPr="003D0904">
        <w:rPr>
          <w:rFonts w:asciiTheme="minorHAnsi" w:hAnsiTheme="minorHAnsi"/>
          <w:bCs/>
          <w:i/>
          <w:snapToGrid w:val="0"/>
        </w:rPr>
        <w:t xml:space="preserve"> to biological medicines for severe chronic plaque psoriasis: </w:t>
      </w:r>
    </w:p>
    <w:p w14:paraId="4E99CB79" w14:textId="1A0A3EEF" w:rsidR="000031BD" w:rsidRPr="003D0904" w:rsidRDefault="000031BD" w:rsidP="000031BD">
      <w:pPr>
        <w:widowControl w:val="0"/>
        <w:rPr>
          <w:rFonts w:asciiTheme="minorHAnsi" w:hAnsiTheme="minorHAnsi"/>
          <w:bCs/>
          <w:i/>
          <w:snapToGrid w:val="0"/>
        </w:rPr>
      </w:pPr>
      <w:r w:rsidRPr="003D0904">
        <w:rPr>
          <w:rFonts w:asciiTheme="minorHAnsi" w:hAnsiTheme="minorHAnsi"/>
          <w:bCs/>
          <w:i/>
          <w:snapToGrid w:val="0"/>
        </w:rPr>
        <w:lastRenderedPageBreak/>
        <w:t xml:space="preserve">Add </w:t>
      </w:r>
      <w:r>
        <w:rPr>
          <w:rFonts w:asciiTheme="minorHAnsi" w:hAnsiTheme="minorHAnsi"/>
          <w:bCs/>
          <w:i/>
          <w:snapToGrid w:val="0"/>
        </w:rPr>
        <w:t>deucravacitinib</w:t>
      </w:r>
      <w:r w:rsidRPr="003D0904">
        <w:rPr>
          <w:rFonts w:asciiTheme="minorHAnsi" w:hAnsiTheme="minorHAnsi"/>
          <w:bCs/>
          <w:i/>
          <w:snapToGrid w:val="0"/>
        </w:rPr>
        <w:t xml:space="preserve"> to the list of prior therapies that patients </w:t>
      </w:r>
      <w:r>
        <w:rPr>
          <w:rFonts w:asciiTheme="minorHAnsi" w:hAnsiTheme="minorHAnsi"/>
          <w:bCs/>
          <w:i/>
          <w:snapToGrid w:val="0"/>
        </w:rPr>
        <w:t xml:space="preserve">may </w:t>
      </w:r>
      <w:r w:rsidRPr="003D0904">
        <w:rPr>
          <w:rFonts w:asciiTheme="minorHAnsi" w:hAnsiTheme="minorHAnsi"/>
          <w:bCs/>
          <w:i/>
          <w:snapToGrid w:val="0"/>
        </w:rPr>
        <w:t xml:space="preserve">trial before being eligible for PBS-subsidised biologics. An example of one of the relevant concepts </w:t>
      </w:r>
      <w:r>
        <w:rPr>
          <w:rFonts w:asciiTheme="minorHAnsi" w:hAnsiTheme="minorHAnsi"/>
          <w:bCs/>
          <w:i/>
          <w:snapToGrid w:val="0"/>
        </w:rPr>
        <w:t>(</w:t>
      </w:r>
      <w:r w:rsidRPr="003D0904">
        <w:rPr>
          <w:rFonts w:asciiTheme="minorHAnsi" w:hAnsiTheme="minorHAnsi"/>
          <w:bCs/>
          <w:i/>
          <w:snapToGrid w:val="0"/>
        </w:rPr>
        <w:t xml:space="preserve">attached to etanercept) is reproduced below: </w:t>
      </w:r>
    </w:p>
    <w:p w14:paraId="7D1FD013" w14:textId="77777777" w:rsidR="000031BD" w:rsidRPr="003D0904" w:rsidRDefault="000031BD" w:rsidP="000031BD">
      <w:pPr>
        <w:widowControl w:val="0"/>
        <w:rPr>
          <w:rFonts w:asciiTheme="minorHAnsi" w:hAnsiTheme="minorHAnsi"/>
          <w:bCs/>
          <w:i/>
          <w:snapToGrid w:val="0"/>
        </w:rPr>
      </w:pPr>
    </w:p>
    <w:p w14:paraId="487E510D" w14:textId="75E9DD92" w:rsidR="000031BD" w:rsidRPr="004D2EF6" w:rsidRDefault="000031BD" w:rsidP="000031BD">
      <w:pPr>
        <w:widowControl w:val="0"/>
        <w:ind w:left="426" w:right="521"/>
        <w:rPr>
          <w:rFonts w:ascii="Arial Narrow" w:hAnsi="Arial Narrow"/>
          <w:bCs/>
          <w:i/>
          <w:iCs/>
          <w:snapToGrid w:val="0"/>
          <w:sz w:val="18"/>
          <w:szCs w:val="18"/>
        </w:rPr>
      </w:pPr>
      <w:r w:rsidRPr="003D0904">
        <w:rPr>
          <w:rFonts w:ascii="Arial Narrow" w:hAnsi="Arial Narrow"/>
          <w:bCs/>
          <w:snapToGrid w:val="0"/>
          <w:sz w:val="18"/>
          <w:szCs w:val="18"/>
        </w:rPr>
        <w:t xml:space="preserve"> </w:t>
      </w:r>
      <w:r w:rsidRPr="003119FA">
        <w:rPr>
          <w:rFonts w:ascii="Arial Narrow" w:hAnsi="Arial Narrow"/>
          <w:bCs/>
          <w:snapToGrid w:val="0"/>
          <w:sz w:val="18"/>
          <w:szCs w:val="18"/>
        </w:rP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w:t>
      </w:r>
      <w:r>
        <w:rPr>
          <w:rFonts w:ascii="Arial Narrow" w:hAnsi="Arial Narrow"/>
          <w:bCs/>
          <w:snapToGrid w:val="0"/>
          <w:sz w:val="18"/>
          <w:szCs w:val="18"/>
        </w:rPr>
        <w:t xml:space="preserve">; (vi) </w:t>
      </w:r>
      <w:r w:rsidRPr="004D2EF6">
        <w:rPr>
          <w:rFonts w:ascii="Arial Narrow" w:hAnsi="Arial Narrow"/>
          <w:bCs/>
          <w:i/>
          <w:iCs/>
          <w:snapToGrid w:val="0"/>
          <w:sz w:val="18"/>
          <w:szCs w:val="18"/>
        </w:rPr>
        <w:t>deucravacitinib at a dose of 6 mg once daily for at least 6 weeks.</w:t>
      </w:r>
    </w:p>
    <w:p w14:paraId="30F84C25" w14:textId="77777777" w:rsidR="000031BD" w:rsidRPr="004D2EF6" w:rsidRDefault="000031BD" w:rsidP="000031BD">
      <w:pPr>
        <w:tabs>
          <w:tab w:val="left" w:pos="5501"/>
        </w:tabs>
        <w:rPr>
          <w:b/>
          <w:i/>
          <w:iCs/>
          <w:sz w:val="4"/>
          <w:szCs w:val="4"/>
        </w:rPr>
      </w:pPr>
    </w:p>
    <w:p w14:paraId="408DFAE9" w14:textId="77777777" w:rsidR="000031BD" w:rsidRDefault="000031BD" w:rsidP="000031BD">
      <w:pPr>
        <w:pStyle w:val="3-BodyText"/>
        <w:numPr>
          <w:ilvl w:val="0"/>
          <w:numId w:val="0"/>
        </w:numPr>
        <w:ind w:left="720" w:hanging="720"/>
        <w:rPr>
          <w:i/>
        </w:rPr>
      </w:pPr>
    </w:p>
    <w:p w14:paraId="21DFA3D3" w14:textId="3A51F5D0" w:rsidR="00412CBE" w:rsidRDefault="000031BD" w:rsidP="000031BD">
      <w:pPr>
        <w:tabs>
          <w:tab w:val="left" w:pos="5501"/>
        </w:tabs>
        <w:rPr>
          <w:rFonts w:asciiTheme="minorHAnsi" w:hAnsiTheme="minorHAnsi"/>
          <w:b/>
          <w:szCs w:val="22"/>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p>
    <w:p w14:paraId="19A813E1" w14:textId="3D2A7239" w:rsidR="00412CBE" w:rsidRPr="00412CBE" w:rsidRDefault="00412CBE" w:rsidP="00412CBE">
      <w:pPr>
        <w:pStyle w:val="2-SectionHeading"/>
      </w:pPr>
      <w:bookmarkStart w:id="106" w:name="_Hlk112834232"/>
      <w:r w:rsidRPr="00C07617">
        <w:t>Context for Decision</w:t>
      </w:r>
    </w:p>
    <w:p w14:paraId="600F50DD" w14:textId="77777777" w:rsidR="00412CBE" w:rsidRPr="007129F2" w:rsidRDefault="00412CBE" w:rsidP="001F08D6">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69E1BFB" w14:textId="33CB6463" w:rsidR="00412CBE" w:rsidRPr="00412CBE" w:rsidRDefault="00412CBE" w:rsidP="00412CBE">
      <w:pPr>
        <w:pStyle w:val="2-SectionHeading"/>
      </w:pPr>
      <w:r>
        <w:t>Sponsor’s Comment</w:t>
      </w:r>
    </w:p>
    <w:p w14:paraId="6A57F2B3" w14:textId="69DD56C0" w:rsidR="00197C97" w:rsidRPr="000031BD" w:rsidRDefault="00A57FF3" w:rsidP="009C7BF6">
      <w:pPr>
        <w:tabs>
          <w:tab w:val="left" w:pos="5501"/>
        </w:tabs>
        <w:ind w:left="720"/>
      </w:pPr>
      <w:r w:rsidRPr="00D41430">
        <w:rPr>
          <w:lang w:val="en-GB"/>
        </w:rPr>
        <w:t>The Sponsor welcomes this recommendation from the PBAC and looks forward to continuing to work with the Department</w:t>
      </w:r>
      <w:r>
        <w:rPr>
          <w:lang w:val="en-GB"/>
        </w:rPr>
        <w:t xml:space="preserve"> </w:t>
      </w:r>
      <w:r w:rsidRPr="00D41430">
        <w:rPr>
          <w:lang w:val="en-GB"/>
        </w:rPr>
        <w:t>of Health to provide access to deucravacitinib for the treatment of chronic plaque psoriasis (CPP).</w:t>
      </w:r>
      <w:bookmarkEnd w:id="106"/>
    </w:p>
    <w:sectPr w:rsidR="00197C97" w:rsidRPr="000031BD" w:rsidSect="00F2219B">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D5E2" w14:textId="77777777" w:rsidR="00BF2891" w:rsidRDefault="00BF2891" w:rsidP="00124A51">
      <w:r>
        <w:separator/>
      </w:r>
    </w:p>
    <w:p w14:paraId="6A90115F" w14:textId="77777777" w:rsidR="00BF2891" w:rsidRDefault="00BF2891"/>
  </w:endnote>
  <w:endnote w:type="continuationSeparator" w:id="0">
    <w:p w14:paraId="32694824" w14:textId="77777777" w:rsidR="00BF2891" w:rsidRDefault="00BF2891" w:rsidP="00124A51">
      <w:r>
        <w:continuationSeparator/>
      </w:r>
    </w:p>
    <w:p w14:paraId="0C015BD5" w14:textId="77777777" w:rsidR="00BF2891" w:rsidRDefault="00BF2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C437" w14:textId="77777777" w:rsidR="001F08D6" w:rsidRDefault="001F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632D6C" w:rsidRDefault="00632D6C" w:rsidP="00753B29">
    <w:pPr>
      <w:pStyle w:val="Footer"/>
      <w:jc w:val="center"/>
    </w:pPr>
  </w:p>
  <w:p w14:paraId="37484CD3" w14:textId="5752CA2B" w:rsidR="00632D6C" w:rsidRPr="00856BE7" w:rsidRDefault="009C7BF6"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632D6C" w:rsidRPr="00856BE7">
          <w:rPr>
            <w:b/>
            <w:bCs/>
          </w:rPr>
          <w:fldChar w:fldCharType="begin"/>
        </w:r>
        <w:r w:rsidR="00632D6C" w:rsidRPr="00856BE7">
          <w:rPr>
            <w:b/>
            <w:bCs/>
          </w:rPr>
          <w:instrText xml:space="preserve"> PAGE   \* MERGEFORMAT </w:instrText>
        </w:r>
        <w:r w:rsidR="00632D6C" w:rsidRPr="00856BE7">
          <w:rPr>
            <w:b/>
            <w:bCs/>
          </w:rPr>
          <w:fldChar w:fldCharType="separate"/>
        </w:r>
        <w:r w:rsidR="00632D6C" w:rsidRPr="00856BE7">
          <w:rPr>
            <w:b/>
            <w:bCs/>
            <w:noProof/>
          </w:rPr>
          <w:t>2</w:t>
        </w:r>
        <w:r w:rsidR="00632D6C" w:rsidRPr="00856BE7">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DE43" w14:textId="77777777" w:rsidR="001F08D6" w:rsidRDefault="001F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D9E4" w14:textId="77777777" w:rsidR="00BF2891" w:rsidRDefault="00BF2891" w:rsidP="00124A51">
      <w:r>
        <w:separator/>
      </w:r>
    </w:p>
    <w:p w14:paraId="53D8C61C" w14:textId="77777777" w:rsidR="00BF2891" w:rsidRDefault="00BF2891"/>
  </w:footnote>
  <w:footnote w:type="continuationSeparator" w:id="0">
    <w:p w14:paraId="1395BDAD" w14:textId="77777777" w:rsidR="00BF2891" w:rsidRDefault="00BF2891" w:rsidP="00124A51">
      <w:r>
        <w:continuationSeparator/>
      </w:r>
    </w:p>
    <w:p w14:paraId="729A4F04" w14:textId="77777777" w:rsidR="00BF2891" w:rsidRDefault="00BF2891"/>
  </w:footnote>
  <w:footnote w:id="1">
    <w:p w14:paraId="41AED4ED" w14:textId="0D77B994" w:rsidR="00632D6C" w:rsidRPr="00E97A09" w:rsidRDefault="00632D6C">
      <w:pPr>
        <w:pStyle w:val="FootnoteText"/>
        <w:rPr>
          <w:lang w:val="en-US"/>
        </w:rPr>
      </w:pPr>
      <w:r>
        <w:rPr>
          <w:rStyle w:val="FootnoteReference"/>
        </w:rPr>
        <w:footnoteRef/>
      </w:r>
      <w:r>
        <w:t xml:space="preserve"> </w:t>
      </w:r>
      <w:r w:rsidRPr="00E97A09">
        <w:t xml:space="preserve">Armstrong et. al., (2020), Comparison of Biologics and Oral Treatments for Plaque Psoriasis: A Meta-Analysis, JAMA Dermatology, 156(3):258-269. </w:t>
      </w:r>
      <w:hyperlink r:id="rId1" w:history="1">
        <w:r w:rsidRPr="004A3676">
          <w:rPr>
            <w:rStyle w:val="Hyperlink"/>
          </w:rPr>
          <w:t>https://jamanetwork.com/journals/jamadermatology/fullarticle/2759772</w:t>
        </w:r>
      </w:hyperlink>
      <w:r>
        <w:t xml:space="preserve"> </w:t>
      </w:r>
    </w:p>
  </w:footnote>
  <w:footnote w:id="2">
    <w:p w14:paraId="1A30BC25" w14:textId="1748255C" w:rsidR="00632D6C" w:rsidRPr="004B30E1" w:rsidRDefault="00632D6C">
      <w:pPr>
        <w:pStyle w:val="FootnoteText"/>
        <w:rPr>
          <w:lang w:val="en-US"/>
        </w:rPr>
      </w:pPr>
      <w:r>
        <w:rPr>
          <w:rStyle w:val="FootnoteReference"/>
        </w:rPr>
        <w:footnoteRef/>
      </w:r>
      <w:r>
        <w:t xml:space="preserve"> Australian College of Dermatologists (2017) Consensus statement: Treatment goals for psoriasis, </w:t>
      </w:r>
      <w:hyperlink r:id="rId2" w:history="1">
        <w:r w:rsidRPr="004A3676">
          <w:rPr>
            <w:rStyle w:val="Hyperlink"/>
          </w:rPr>
          <w:t>https://www.dermcoll.edu.au/wp-content/uploads/ACD-Consensus-Statement-Treatment-goals-for-psoriasis-March-2017.pdf</w:t>
        </w:r>
      </w:hyperlink>
      <w:r>
        <w:t xml:space="preserve"> </w:t>
      </w:r>
    </w:p>
  </w:footnote>
  <w:footnote w:id="3">
    <w:p w14:paraId="4F639007" w14:textId="77777777" w:rsidR="003642B4" w:rsidRDefault="003642B4" w:rsidP="003642B4">
      <w:pPr>
        <w:pStyle w:val="FootnoteText"/>
      </w:pPr>
      <w:r>
        <w:rPr>
          <w:rStyle w:val="FootnoteReference"/>
        </w:rPr>
        <w:footnoteRef/>
      </w:r>
      <w:r>
        <w:t xml:space="preserve"> </w:t>
      </w:r>
      <w:r w:rsidRPr="00FC1CAB">
        <w:t>Warren , R., Armstrong , A., Gooderham, M., Strober , B., Thaci, D., Imafuku, S., Sofen, H., Spelman, L., Korman, N., Zheng, M., Colston, E., Throup , J., Kundu, S., Kisa, R., Banerjee, S., &amp; Blauvelt, A. . (2022). Deucravacitinib, an Oral, Selective Tyrosine Kinase 2 (TYK2) Inhibitor, in Moderate to Severe Plaque Psoriasis: 52-Week Efficacy Results From the Phase 3 POETYK PSO-1 and PSO-2 Trials. SKIN The Journal of Cutaneous Medicine, 6(2), s4. https://doi.org/10.25251/skin.6.supp.4</w:t>
      </w:r>
    </w:p>
  </w:footnote>
  <w:footnote w:id="4">
    <w:p w14:paraId="2299DE53" w14:textId="77777777" w:rsidR="00632D6C" w:rsidRPr="00C94BBD" w:rsidRDefault="00632D6C" w:rsidP="00DA10BD">
      <w:pPr>
        <w:pStyle w:val="FooterTableFigure"/>
        <w:rPr>
          <w:lang w:val="en-US"/>
        </w:rPr>
      </w:pPr>
      <w:r>
        <w:rPr>
          <w:rStyle w:val="FootnoteReference"/>
        </w:rPr>
        <w:footnoteRef/>
      </w:r>
      <w:r>
        <w:t xml:space="preserve"> </w:t>
      </w:r>
      <w:r w:rsidRPr="00C94BBD">
        <w:t xml:space="preserve">Armstrong AW, Soliman AM, Betts KA, </w:t>
      </w:r>
      <w:r>
        <w:t>et al</w:t>
      </w:r>
      <w:r w:rsidRPr="00C94BBD">
        <w:t xml:space="preserve">. Long-Term Benefit–Risk Profiles of Treatments for Moderate-to-Severe Plaque Psoriasis: A Network Meta-Analysis. </w:t>
      </w:r>
      <w:r w:rsidRPr="00C94BBD">
        <w:rPr>
          <w:i/>
          <w:iCs/>
        </w:rPr>
        <w:t>Dermatology and therapy</w:t>
      </w:r>
      <w:r w:rsidRPr="00C94BBD">
        <w:t>. 2022 Jan;12(1):167-84</w:t>
      </w:r>
      <w:r>
        <w:t>.</w:t>
      </w:r>
    </w:p>
  </w:footnote>
  <w:footnote w:id="5">
    <w:p w14:paraId="03F2EC40" w14:textId="77777777" w:rsidR="00632D6C" w:rsidRPr="003224D9" w:rsidRDefault="00632D6C" w:rsidP="00DA10BD">
      <w:pPr>
        <w:pStyle w:val="FooterTableFigure"/>
        <w:rPr>
          <w:lang w:val="en-US"/>
        </w:rPr>
      </w:pPr>
      <w:r>
        <w:rPr>
          <w:rStyle w:val="FootnoteReference"/>
        </w:rPr>
        <w:footnoteRef/>
      </w:r>
      <w:r>
        <w:t xml:space="preserve"> </w:t>
      </w:r>
      <w:r w:rsidRPr="00CD0D59">
        <w:rPr>
          <w:i/>
          <w:iCs/>
        </w:rPr>
        <w:t>Life tables, 2018-2020</w:t>
      </w:r>
      <w:r>
        <w:t>, Australian Bureau of Statistics, released 4 November 2021.</w:t>
      </w:r>
    </w:p>
  </w:footnote>
  <w:footnote w:id="6">
    <w:p w14:paraId="195DFB6A" w14:textId="77777777" w:rsidR="00632D6C" w:rsidRPr="003224D9" w:rsidRDefault="00632D6C" w:rsidP="00DA10BD">
      <w:pPr>
        <w:pStyle w:val="FooterTableFigure"/>
        <w:rPr>
          <w:lang w:val="en-US"/>
        </w:rPr>
      </w:pPr>
      <w:r>
        <w:rPr>
          <w:rStyle w:val="FootnoteReference"/>
        </w:rPr>
        <w:footnoteRef/>
      </w:r>
      <w:r>
        <w:t xml:space="preserve"> </w:t>
      </w:r>
      <w:r w:rsidRPr="003224D9">
        <w:t xml:space="preserve">Hendrix N, Ollendorf DA, Chapman RH, Loos A, Liu S, Kumar V, Linder JA, Pearson SD, Veenstra DL. Cost-Effectiveness of Targeted Pharmacotherapy for Moderate to Severe Plaque Psoriasis. </w:t>
      </w:r>
      <w:r w:rsidRPr="002A6956">
        <w:rPr>
          <w:i/>
          <w:iCs/>
        </w:rPr>
        <w:t>J Manag Care Spec Pharm</w:t>
      </w:r>
      <w:r w:rsidRPr="003224D9">
        <w:t>. 2018 Dec;24(12):1210-1217</w:t>
      </w:r>
      <w:r>
        <w:t>.</w:t>
      </w:r>
    </w:p>
  </w:footnote>
  <w:footnote w:id="7">
    <w:p w14:paraId="4582D2C5" w14:textId="77777777" w:rsidR="00632D6C" w:rsidRPr="0040499C" w:rsidRDefault="00632D6C" w:rsidP="00DA10BD">
      <w:pPr>
        <w:pStyle w:val="FooterTableFigure"/>
        <w:rPr>
          <w:lang w:val="en-US"/>
        </w:rPr>
      </w:pPr>
      <w:r>
        <w:rPr>
          <w:rStyle w:val="FootnoteReference"/>
        </w:rPr>
        <w:footnoteRef/>
      </w:r>
      <w:r>
        <w:t xml:space="preserve"> </w:t>
      </w:r>
      <w:r w:rsidRPr="0040499C">
        <w:t>Zug KA, Littenberg B, Baughman RD,</w:t>
      </w:r>
      <w:r>
        <w:t xml:space="preserve"> et al</w:t>
      </w:r>
      <w:r w:rsidRPr="0040499C">
        <w:t xml:space="preserve">. Assessing the preferences of patients with psoriasis: a quantitative, utility approach. </w:t>
      </w:r>
      <w:r w:rsidRPr="0040499C">
        <w:rPr>
          <w:i/>
          <w:iCs/>
        </w:rPr>
        <w:t>Archives of Dermatology</w:t>
      </w:r>
      <w:r w:rsidRPr="0040499C">
        <w:t>. 1995 May 1;131(5):561-8</w:t>
      </w:r>
      <w:r>
        <w:t>.</w:t>
      </w:r>
    </w:p>
  </w:footnote>
  <w:footnote w:id="8">
    <w:p w14:paraId="46DCB16C" w14:textId="77777777" w:rsidR="00632D6C" w:rsidRPr="00DB0A37" w:rsidRDefault="00632D6C" w:rsidP="00DA10BD">
      <w:pPr>
        <w:pStyle w:val="FooterTableFigure"/>
        <w:rPr>
          <w:lang w:val="en-US"/>
        </w:rPr>
      </w:pPr>
      <w:r>
        <w:rPr>
          <w:rStyle w:val="FootnoteReference"/>
        </w:rPr>
        <w:footnoteRef/>
      </w:r>
      <w:r>
        <w:t xml:space="preserve"> </w:t>
      </w:r>
      <w:r w:rsidRPr="00DB0A37">
        <w:t xml:space="preserve">Zug KA, Littenberg B, Baughman RD, Kneeland T, Nease RF, Sumner W, O'Connor GT, Jones R, Morrison E, Cimis R. Assessing the preferences of patients with psoriasis: a quantitative, utility approach. </w:t>
      </w:r>
      <w:r w:rsidRPr="00DB0A37">
        <w:rPr>
          <w:i/>
          <w:iCs/>
        </w:rPr>
        <w:t>Archives of Dermatology</w:t>
      </w:r>
      <w:r w:rsidRPr="00DB0A37">
        <w:t>. 1995 May 1;131(5):561-8</w:t>
      </w:r>
      <w:r>
        <w:t>.</w:t>
      </w:r>
    </w:p>
  </w:footnote>
  <w:footnote w:id="9">
    <w:p w14:paraId="662D99D4" w14:textId="77777777" w:rsidR="00632D6C" w:rsidRPr="00AA2091" w:rsidRDefault="00632D6C" w:rsidP="00DA10BD">
      <w:pPr>
        <w:pStyle w:val="FooterTableFigure"/>
        <w:rPr>
          <w:lang w:val="en-US"/>
        </w:rPr>
      </w:pPr>
      <w:r>
        <w:rPr>
          <w:rStyle w:val="FootnoteReference"/>
        </w:rPr>
        <w:footnoteRef/>
      </w:r>
      <w:r>
        <w:t xml:space="preserve"> </w:t>
      </w:r>
      <w:r w:rsidRPr="00AA2091">
        <w:t xml:space="preserve">Bewley A, Barker J, Mughal F, Cawston H, Damera V, Morris J, Tencer T. Cost-effectiveness of apremilast in moderate to severe psoriasis in the United Kingdom. </w:t>
      </w:r>
      <w:r w:rsidRPr="00AA2091">
        <w:rPr>
          <w:i/>
          <w:iCs/>
        </w:rPr>
        <w:t>Cogent Medicine</w:t>
      </w:r>
      <w:r w:rsidRPr="00AA2091">
        <w:t>. 2018 Jan 1;5(1):1495593</w:t>
      </w:r>
      <w:r>
        <w:t>.</w:t>
      </w:r>
    </w:p>
  </w:footnote>
  <w:footnote w:id="10">
    <w:p w14:paraId="7E735053" w14:textId="77777777" w:rsidR="00632D6C" w:rsidRPr="00743886" w:rsidRDefault="00632D6C" w:rsidP="00DA10BD">
      <w:pPr>
        <w:pStyle w:val="FooterTableFigure"/>
        <w:rPr>
          <w:lang w:val="en-US"/>
        </w:rPr>
      </w:pPr>
      <w:r>
        <w:rPr>
          <w:rStyle w:val="FootnoteReference"/>
        </w:rPr>
        <w:footnoteRef/>
      </w:r>
      <w:r>
        <w:t xml:space="preserve"> Table S.4.3.2, p119 of the POETYK 1 CSR Supplementary Tables; Table </w:t>
      </w:r>
      <w:r w:rsidRPr="0051464F">
        <w:t>S.4.3.2, p1</w:t>
      </w:r>
      <w:r>
        <w:t>47</w:t>
      </w:r>
      <w:r w:rsidRPr="0051464F">
        <w:t xml:space="preserve"> of the POETYK </w:t>
      </w:r>
      <w:r>
        <w:t>2</w:t>
      </w:r>
      <w:r w:rsidRPr="0051464F">
        <w:t xml:space="preserve"> CSR Supplementary Tables</w:t>
      </w:r>
      <w:r>
        <w:t>.</w:t>
      </w:r>
    </w:p>
  </w:footnote>
  <w:footnote w:id="11">
    <w:p w14:paraId="28DD7917" w14:textId="77777777" w:rsidR="00632D6C" w:rsidRPr="00AC49A3" w:rsidRDefault="00632D6C" w:rsidP="00DA10BD">
      <w:pPr>
        <w:pStyle w:val="FooterTableFigure"/>
        <w:rPr>
          <w:lang w:val="en-US"/>
        </w:rPr>
      </w:pPr>
      <w:r>
        <w:rPr>
          <w:rStyle w:val="FootnoteReference"/>
        </w:rPr>
        <w:footnoteRef/>
      </w:r>
      <w:r>
        <w:t xml:space="preserve"> POETYK 1 trial: 38.9% (p80 </w:t>
      </w:r>
      <w:r w:rsidRPr="00AC49A3">
        <w:t>of the POETYK 1 CSR</w:t>
      </w:r>
      <w:r>
        <w:t xml:space="preserve">) POETYK 2 trial: 32.1% (p94 of the POETYK 2 CSR). </w:t>
      </w:r>
    </w:p>
  </w:footnote>
  <w:footnote w:id="12">
    <w:p w14:paraId="3331F13D" w14:textId="77777777" w:rsidR="00FA6969" w:rsidRPr="002E5D94" w:rsidRDefault="00FA6969" w:rsidP="00FA6969">
      <w:pPr>
        <w:pStyle w:val="FooterTableFigure"/>
        <w:rPr>
          <w:lang w:val="en-US"/>
        </w:rPr>
      </w:pPr>
      <w:r>
        <w:rPr>
          <w:rStyle w:val="FootnoteReference"/>
        </w:rPr>
        <w:footnoteRef/>
      </w:r>
      <w:r>
        <w:t xml:space="preserve"> </w:t>
      </w:r>
      <w:bookmarkStart w:id="83" w:name="_Hlk110956359"/>
      <w:bookmarkStart w:id="84" w:name="_Hlk110956360"/>
      <w:r w:rsidRPr="002E5D94">
        <w:t xml:space="preserve">Sullivan, J. R., &amp; Preda, V. A. (2009). Treatments for severe psoriasis. </w:t>
      </w:r>
      <w:r w:rsidRPr="002E5D94">
        <w:rPr>
          <w:i/>
          <w:iCs/>
        </w:rPr>
        <w:t>Australian Prescriber</w:t>
      </w:r>
      <w:r w:rsidRPr="002E5D94">
        <w:t>, 32(1), 14-18</w:t>
      </w:r>
      <w:r>
        <w:t xml:space="preserve">. </w:t>
      </w:r>
      <w:r w:rsidRPr="00F05FA1">
        <w:t xml:space="preserve">The </w:t>
      </w:r>
      <w:r>
        <w:t xml:space="preserve">submission reported that a </w:t>
      </w:r>
      <w:r w:rsidRPr="00F05FA1">
        <w:t xml:space="preserve">standard treatment course </w:t>
      </w:r>
      <w:r>
        <w:t>of</w:t>
      </w:r>
      <w:r w:rsidRPr="00F05FA1">
        <w:t xml:space="preserve"> phototherapy </w:t>
      </w:r>
      <w:r>
        <w:t>was</w:t>
      </w:r>
      <w:r w:rsidRPr="00F05FA1">
        <w:t xml:space="preserve"> 3 times a week</w:t>
      </w:r>
      <w:r>
        <w:t>, for</w:t>
      </w:r>
      <w:r w:rsidRPr="00F05FA1">
        <w:t xml:space="preserve"> 6-12 weeks, </w:t>
      </w:r>
      <w:r>
        <w:t xml:space="preserve">providing </w:t>
      </w:r>
      <w:r w:rsidRPr="00F05FA1">
        <w:t>patients with 3-6 months of improved disease contro</w:t>
      </w:r>
      <w:r>
        <w:t>l. Taking a median of 9 weeks’ treatment per course and two courses per year, the submission assumed 54 services per patient per year.</w:t>
      </w:r>
      <w:bookmarkEnd w:id="83"/>
      <w:bookmarkEnd w:id="8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ADCA" w14:textId="77777777" w:rsidR="001F08D6" w:rsidRDefault="001F0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1C7" w14:textId="77B09635" w:rsidR="00856BE7" w:rsidRPr="00056684" w:rsidRDefault="00EF6ADE" w:rsidP="00856BE7">
    <w:pPr>
      <w:pStyle w:val="Header"/>
      <w:ind w:left="360"/>
      <w:rPr>
        <w:rFonts w:asciiTheme="minorHAnsi" w:hAnsiTheme="minorHAnsi"/>
        <w:i/>
        <w:color w:val="808080"/>
      </w:rPr>
    </w:pPr>
    <w:r>
      <w:rPr>
        <w:rFonts w:asciiTheme="minorHAnsi" w:hAnsiTheme="minorHAnsi"/>
        <w:i/>
        <w:color w:val="808080"/>
      </w:rPr>
      <w:t>Public Summary Document</w:t>
    </w:r>
    <w:r w:rsidR="00856BE7" w:rsidRPr="00056684">
      <w:rPr>
        <w:rFonts w:asciiTheme="minorHAnsi" w:hAnsiTheme="minorHAnsi"/>
        <w:i/>
        <w:color w:val="808080"/>
      </w:rPr>
      <w:t xml:space="preserve"> –</w:t>
    </w:r>
    <w:r w:rsidR="00856BE7">
      <w:rPr>
        <w:rFonts w:asciiTheme="minorHAnsi" w:hAnsiTheme="minorHAnsi"/>
        <w:i/>
        <w:color w:val="808080"/>
      </w:rPr>
      <w:t xml:space="preserve"> November 2022</w:t>
    </w:r>
    <w:r w:rsidR="00856BE7" w:rsidRPr="00056684">
      <w:rPr>
        <w:rFonts w:asciiTheme="minorHAnsi" w:hAnsiTheme="minorHAnsi"/>
        <w:i/>
        <w:color w:val="808080"/>
      </w:rPr>
      <w:t xml:space="preserve"> PBAC Meeting</w:t>
    </w:r>
    <w:r w:rsidR="000031BD">
      <w:rPr>
        <w:rFonts w:asciiTheme="minorHAnsi" w:hAnsiTheme="minorHAnsi"/>
        <w:i/>
        <w:color w:val="808080"/>
      </w:rPr>
      <w:t xml:space="preserve"> with March 2023 Addendum</w:t>
    </w:r>
  </w:p>
  <w:p w14:paraId="03AF943B" w14:textId="77777777" w:rsidR="00632D6C" w:rsidRPr="008C7ECB" w:rsidRDefault="00632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D190" w14:textId="77777777" w:rsidR="001F08D6" w:rsidRDefault="001F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00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D2966"/>
    <w:multiLevelType w:val="hybridMultilevel"/>
    <w:tmpl w:val="B43E1DFC"/>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B30DC8"/>
    <w:multiLevelType w:val="hybridMultilevel"/>
    <w:tmpl w:val="B54CC1BC"/>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E5C79"/>
    <w:multiLevelType w:val="hybridMultilevel"/>
    <w:tmpl w:val="C47C49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171EF9"/>
    <w:multiLevelType w:val="hybridMultilevel"/>
    <w:tmpl w:val="F47E2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712D1"/>
    <w:multiLevelType w:val="hybridMultilevel"/>
    <w:tmpl w:val="8F66E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D3CEC"/>
    <w:multiLevelType w:val="hybridMultilevel"/>
    <w:tmpl w:val="C090C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7873AE"/>
    <w:multiLevelType w:val="hybridMultilevel"/>
    <w:tmpl w:val="686456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B0314D2"/>
    <w:multiLevelType w:val="hybridMultilevel"/>
    <w:tmpl w:val="F19E003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26A228E"/>
    <w:multiLevelType w:val="hybridMultilevel"/>
    <w:tmpl w:val="91C2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E168CB"/>
    <w:multiLevelType w:val="hybridMultilevel"/>
    <w:tmpl w:val="51605C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EB514C"/>
    <w:multiLevelType w:val="hybridMultilevel"/>
    <w:tmpl w:val="3718E894"/>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A11057"/>
    <w:multiLevelType w:val="hybridMultilevel"/>
    <w:tmpl w:val="3E26B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352269"/>
    <w:multiLevelType w:val="hybridMultilevel"/>
    <w:tmpl w:val="7F10F48A"/>
    <w:lvl w:ilvl="0" w:tplc="F1FE4698">
      <w:start w:val="1"/>
      <w:numFmt w:val="bullet"/>
      <w:lvlText w:val=""/>
      <w:lvlJc w:val="left"/>
      <w:pPr>
        <w:tabs>
          <w:tab w:val="num" w:pos="720"/>
        </w:tabs>
        <w:ind w:left="720" w:hanging="360"/>
      </w:pPr>
      <w:rPr>
        <w:rFonts w:ascii="Symbol" w:hAnsi="Symbol" w:hint="default"/>
      </w:rPr>
    </w:lvl>
    <w:lvl w:ilvl="1" w:tplc="86028022" w:tentative="1">
      <w:start w:val="1"/>
      <w:numFmt w:val="bullet"/>
      <w:lvlText w:val=""/>
      <w:lvlJc w:val="left"/>
      <w:pPr>
        <w:tabs>
          <w:tab w:val="num" w:pos="1440"/>
        </w:tabs>
        <w:ind w:left="1440" w:hanging="360"/>
      </w:pPr>
      <w:rPr>
        <w:rFonts w:ascii="Symbol" w:hAnsi="Symbol" w:hint="default"/>
      </w:rPr>
    </w:lvl>
    <w:lvl w:ilvl="2" w:tplc="346458E2" w:tentative="1">
      <w:start w:val="1"/>
      <w:numFmt w:val="bullet"/>
      <w:lvlText w:val=""/>
      <w:lvlJc w:val="left"/>
      <w:pPr>
        <w:tabs>
          <w:tab w:val="num" w:pos="2160"/>
        </w:tabs>
        <w:ind w:left="2160" w:hanging="360"/>
      </w:pPr>
      <w:rPr>
        <w:rFonts w:ascii="Symbol" w:hAnsi="Symbol" w:hint="default"/>
      </w:rPr>
    </w:lvl>
    <w:lvl w:ilvl="3" w:tplc="38C693B6" w:tentative="1">
      <w:start w:val="1"/>
      <w:numFmt w:val="bullet"/>
      <w:lvlText w:val=""/>
      <w:lvlJc w:val="left"/>
      <w:pPr>
        <w:tabs>
          <w:tab w:val="num" w:pos="2880"/>
        </w:tabs>
        <w:ind w:left="2880" w:hanging="360"/>
      </w:pPr>
      <w:rPr>
        <w:rFonts w:ascii="Symbol" w:hAnsi="Symbol" w:hint="default"/>
      </w:rPr>
    </w:lvl>
    <w:lvl w:ilvl="4" w:tplc="1FFE9672" w:tentative="1">
      <w:start w:val="1"/>
      <w:numFmt w:val="bullet"/>
      <w:lvlText w:val=""/>
      <w:lvlJc w:val="left"/>
      <w:pPr>
        <w:tabs>
          <w:tab w:val="num" w:pos="3600"/>
        </w:tabs>
        <w:ind w:left="3600" w:hanging="360"/>
      </w:pPr>
      <w:rPr>
        <w:rFonts w:ascii="Symbol" w:hAnsi="Symbol" w:hint="default"/>
      </w:rPr>
    </w:lvl>
    <w:lvl w:ilvl="5" w:tplc="40847558" w:tentative="1">
      <w:start w:val="1"/>
      <w:numFmt w:val="bullet"/>
      <w:lvlText w:val=""/>
      <w:lvlJc w:val="left"/>
      <w:pPr>
        <w:tabs>
          <w:tab w:val="num" w:pos="4320"/>
        </w:tabs>
        <w:ind w:left="4320" w:hanging="360"/>
      </w:pPr>
      <w:rPr>
        <w:rFonts w:ascii="Symbol" w:hAnsi="Symbol" w:hint="default"/>
      </w:rPr>
    </w:lvl>
    <w:lvl w:ilvl="6" w:tplc="0E124AB6" w:tentative="1">
      <w:start w:val="1"/>
      <w:numFmt w:val="bullet"/>
      <w:lvlText w:val=""/>
      <w:lvlJc w:val="left"/>
      <w:pPr>
        <w:tabs>
          <w:tab w:val="num" w:pos="5040"/>
        </w:tabs>
        <w:ind w:left="5040" w:hanging="360"/>
      </w:pPr>
      <w:rPr>
        <w:rFonts w:ascii="Symbol" w:hAnsi="Symbol" w:hint="default"/>
      </w:rPr>
    </w:lvl>
    <w:lvl w:ilvl="7" w:tplc="A9A0D0B0" w:tentative="1">
      <w:start w:val="1"/>
      <w:numFmt w:val="bullet"/>
      <w:lvlText w:val=""/>
      <w:lvlJc w:val="left"/>
      <w:pPr>
        <w:tabs>
          <w:tab w:val="num" w:pos="5760"/>
        </w:tabs>
        <w:ind w:left="5760" w:hanging="360"/>
      </w:pPr>
      <w:rPr>
        <w:rFonts w:ascii="Symbol" w:hAnsi="Symbol" w:hint="default"/>
      </w:rPr>
    </w:lvl>
    <w:lvl w:ilvl="8" w:tplc="7054CA9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A3C06"/>
    <w:multiLevelType w:val="hybridMultilevel"/>
    <w:tmpl w:val="6D5E0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9828C0"/>
    <w:multiLevelType w:val="hybridMultilevel"/>
    <w:tmpl w:val="12885B8E"/>
    <w:lvl w:ilvl="0" w:tplc="EF820F64">
      <w:start w:val="1"/>
      <w:numFmt w:val="bullet"/>
      <w:lvlText w:val=""/>
      <w:lvlJc w:val="left"/>
      <w:pPr>
        <w:ind w:left="729" w:hanging="360"/>
      </w:pPr>
      <w:rPr>
        <w:rFonts w:ascii="Symbol" w:hAnsi="Symbol" w:hint="default"/>
        <w:color w:val="auto"/>
      </w:rPr>
    </w:lvl>
    <w:lvl w:ilvl="1" w:tplc="0C090003">
      <w:start w:val="1"/>
      <w:numFmt w:val="bullet"/>
      <w:lvlText w:val="o"/>
      <w:lvlJc w:val="left"/>
      <w:pPr>
        <w:ind w:left="669" w:hanging="360"/>
      </w:pPr>
      <w:rPr>
        <w:rFonts w:ascii="Courier New" w:hAnsi="Courier New" w:cs="Courier New" w:hint="default"/>
      </w:rPr>
    </w:lvl>
    <w:lvl w:ilvl="2" w:tplc="0C090001">
      <w:start w:val="1"/>
      <w:numFmt w:val="bullet"/>
      <w:lvlText w:val=""/>
      <w:lvlJc w:val="left"/>
      <w:pPr>
        <w:ind w:left="1389" w:hanging="360"/>
      </w:pPr>
      <w:rPr>
        <w:rFonts w:ascii="Symbol" w:hAnsi="Symbol" w:hint="default"/>
      </w:rPr>
    </w:lvl>
    <w:lvl w:ilvl="3" w:tplc="0C090001">
      <w:start w:val="1"/>
      <w:numFmt w:val="bullet"/>
      <w:lvlText w:val=""/>
      <w:lvlJc w:val="left"/>
      <w:pPr>
        <w:ind w:left="2109" w:hanging="360"/>
      </w:pPr>
      <w:rPr>
        <w:rFonts w:ascii="Symbol" w:hAnsi="Symbol" w:hint="default"/>
      </w:rPr>
    </w:lvl>
    <w:lvl w:ilvl="4" w:tplc="0C090003">
      <w:start w:val="1"/>
      <w:numFmt w:val="bullet"/>
      <w:lvlText w:val="o"/>
      <w:lvlJc w:val="left"/>
      <w:pPr>
        <w:ind w:left="2829" w:hanging="360"/>
      </w:pPr>
      <w:rPr>
        <w:rFonts w:ascii="Courier New" w:hAnsi="Courier New" w:cs="Courier New" w:hint="default"/>
      </w:rPr>
    </w:lvl>
    <w:lvl w:ilvl="5" w:tplc="0C090005" w:tentative="1">
      <w:start w:val="1"/>
      <w:numFmt w:val="bullet"/>
      <w:lvlText w:val=""/>
      <w:lvlJc w:val="left"/>
      <w:pPr>
        <w:ind w:left="3549" w:hanging="360"/>
      </w:pPr>
      <w:rPr>
        <w:rFonts w:ascii="Wingdings" w:hAnsi="Wingdings" w:hint="default"/>
      </w:rPr>
    </w:lvl>
    <w:lvl w:ilvl="6" w:tplc="0C090001" w:tentative="1">
      <w:start w:val="1"/>
      <w:numFmt w:val="bullet"/>
      <w:lvlText w:val=""/>
      <w:lvlJc w:val="left"/>
      <w:pPr>
        <w:ind w:left="4269" w:hanging="360"/>
      </w:pPr>
      <w:rPr>
        <w:rFonts w:ascii="Symbol" w:hAnsi="Symbol" w:hint="default"/>
      </w:rPr>
    </w:lvl>
    <w:lvl w:ilvl="7" w:tplc="0C090003" w:tentative="1">
      <w:start w:val="1"/>
      <w:numFmt w:val="bullet"/>
      <w:lvlText w:val="o"/>
      <w:lvlJc w:val="left"/>
      <w:pPr>
        <w:ind w:left="4989" w:hanging="360"/>
      </w:pPr>
      <w:rPr>
        <w:rFonts w:ascii="Courier New" w:hAnsi="Courier New" w:cs="Courier New" w:hint="default"/>
      </w:rPr>
    </w:lvl>
    <w:lvl w:ilvl="8" w:tplc="0C090005" w:tentative="1">
      <w:start w:val="1"/>
      <w:numFmt w:val="bullet"/>
      <w:lvlText w:val=""/>
      <w:lvlJc w:val="left"/>
      <w:pPr>
        <w:ind w:left="5709" w:hanging="360"/>
      </w:pPr>
      <w:rPr>
        <w:rFonts w:ascii="Wingdings" w:hAnsi="Wingdings" w:hint="default"/>
      </w:rPr>
    </w:lvl>
  </w:abstractNum>
  <w:abstractNum w:abstractNumId="29" w15:restartNumberingAfterBreak="0">
    <w:nsid w:val="784D033C"/>
    <w:multiLevelType w:val="multilevel"/>
    <w:tmpl w:val="0F9E919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16cid:durableId="955062139">
    <w:abstractNumId w:val="29"/>
  </w:num>
  <w:num w:numId="2" w16cid:durableId="915169170">
    <w:abstractNumId w:val="15"/>
  </w:num>
  <w:num w:numId="3" w16cid:durableId="1538855576">
    <w:abstractNumId w:val="16"/>
  </w:num>
  <w:num w:numId="4" w16cid:durableId="1041636921">
    <w:abstractNumId w:val="0"/>
  </w:num>
  <w:num w:numId="5" w16cid:durableId="1735160665">
    <w:abstractNumId w:val="24"/>
  </w:num>
  <w:num w:numId="6" w16cid:durableId="612982370">
    <w:abstractNumId w:val="17"/>
  </w:num>
  <w:num w:numId="7" w16cid:durableId="1602373891">
    <w:abstractNumId w:val="12"/>
  </w:num>
  <w:num w:numId="8" w16cid:durableId="1225721341">
    <w:abstractNumId w:val="14"/>
  </w:num>
  <w:num w:numId="9" w16cid:durableId="1632400884">
    <w:abstractNumId w:val="9"/>
  </w:num>
  <w:num w:numId="10" w16cid:durableId="2710600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92289">
    <w:abstractNumId w:val="11"/>
  </w:num>
  <w:num w:numId="12" w16cid:durableId="699629009">
    <w:abstractNumId w:val="2"/>
  </w:num>
  <w:num w:numId="13" w16cid:durableId="1409155928">
    <w:abstractNumId w:val="28"/>
  </w:num>
  <w:num w:numId="14" w16cid:durableId="1324701464">
    <w:abstractNumId w:val="18"/>
  </w:num>
  <w:num w:numId="15" w16cid:durableId="1036807389">
    <w:abstractNumId w:val="25"/>
  </w:num>
  <w:num w:numId="16" w16cid:durableId="960454549">
    <w:abstractNumId w:val="26"/>
  </w:num>
  <w:num w:numId="17" w16cid:durableId="520171267">
    <w:abstractNumId w:val="23"/>
  </w:num>
  <w:num w:numId="18" w16cid:durableId="1055086619">
    <w:abstractNumId w:val="19"/>
  </w:num>
  <w:num w:numId="19" w16cid:durableId="2037001949">
    <w:abstractNumId w:val="20"/>
  </w:num>
  <w:num w:numId="20" w16cid:durableId="1950577129">
    <w:abstractNumId w:val="21"/>
  </w:num>
  <w:num w:numId="21" w16cid:durableId="829443647">
    <w:abstractNumId w:val="4"/>
  </w:num>
  <w:num w:numId="22" w16cid:durableId="1126659777">
    <w:abstractNumId w:val="1"/>
  </w:num>
  <w:num w:numId="23" w16cid:durableId="819343305">
    <w:abstractNumId w:val="8"/>
  </w:num>
  <w:num w:numId="24" w16cid:durableId="320037229">
    <w:abstractNumId w:val="10"/>
  </w:num>
  <w:num w:numId="25" w16cid:durableId="591166709">
    <w:abstractNumId w:val="7"/>
  </w:num>
  <w:num w:numId="26" w16cid:durableId="2366697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85146">
    <w:abstractNumId w:val="27"/>
  </w:num>
  <w:num w:numId="28" w16cid:durableId="1470321363">
    <w:abstractNumId w:val="5"/>
  </w:num>
  <w:num w:numId="29" w16cid:durableId="505511168">
    <w:abstractNumId w:val="29"/>
  </w:num>
  <w:num w:numId="30" w16cid:durableId="424886713">
    <w:abstractNumId w:val="29"/>
  </w:num>
  <w:num w:numId="31" w16cid:durableId="459108254">
    <w:abstractNumId w:val="29"/>
  </w:num>
  <w:num w:numId="32" w16cid:durableId="400561061">
    <w:abstractNumId w:val="29"/>
  </w:num>
  <w:num w:numId="33" w16cid:durableId="428354296">
    <w:abstractNumId w:val="29"/>
  </w:num>
  <w:num w:numId="34" w16cid:durableId="791483050">
    <w:abstractNumId w:val="29"/>
  </w:num>
  <w:num w:numId="35" w16cid:durableId="418334297">
    <w:abstractNumId w:val="29"/>
  </w:num>
  <w:num w:numId="36" w16cid:durableId="1423797969">
    <w:abstractNumId w:val="3"/>
  </w:num>
  <w:num w:numId="37" w16cid:durableId="1226795333">
    <w:abstractNumId w:val="13"/>
  </w:num>
  <w:num w:numId="38" w16cid:durableId="661543305">
    <w:abstractNumId w:val="6"/>
  </w:num>
  <w:num w:numId="39" w16cid:durableId="1968317016">
    <w:abstractNumId w:val="29"/>
  </w:num>
  <w:num w:numId="40" w16cid:durableId="138806479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0NzE3NzEyMzA3MTFS0lEKTi0uzszPAykwqgUAl7LMyiwAAAA="/>
  </w:docVars>
  <w:rsids>
    <w:rsidRoot w:val="00E65E79"/>
    <w:rsid w:val="000005EE"/>
    <w:rsid w:val="00000790"/>
    <w:rsid w:val="0000110B"/>
    <w:rsid w:val="00001EFC"/>
    <w:rsid w:val="0000220D"/>
    <w:rsid w:val="000031BD"/>
    <w:rsid w:val="00003499"/>
    <w:rsid w:val="000039B7"/>
    <w:rsid w:val="00003B4A"/>
    <w:rsid w:val="00004101"/>
    <w:rsid w:val="0000533B"/>
    <w:rsid w:val="000056B9"/>
    <w:rsid w:val="0000639A"/>
    <w:rsid w:val="0001136A"/>
    <w:rsid w:val="00013247"/>
    <w:rsid w:val="0001360B"/>
    <w:rsid w:val="00015886"/>
    <w:rsid w:val="000162EF"/>
    <w:rsid w:val="0001760E"/>
    <w:rsid w:val="00017C35"/>
    <w:rsid w:val="000207C9"/>
    <w:rsid w:val="000210A3"/>
    <w:rsid w:val="0002225F"/>
    <w:rsid w:val="00023763"/>
    <w:rsid w:val="00024EB5"/>
    <w:rsid w:val="000252D9"/>
    <w:rsid w:val="000274B8"/>
    <w:rsid w:val="00030CA3"/>
    <w:rsid w:val="00031EF6"/>
    <w:rsid w:val="00032A91"/>
    <w:rsid w:val="000330E2"/>
    <w:rsid w:val="00033863"/>
    <w:rsid w:val="00035DC0"/>
    <w:rsid w:val="00036829"/>
    <w:rsid w:val="00040895"/>
    <w:rsid w:val="000410A0"/>
    <w:rsid w:val="000435EE"/>
    <w:rsid w:val="00043C37"/>
    <w:rsid w:val="00045017"/>
    <w:rsid w:val="00045A2B"/>
    <w:rsid w:val="0004698F"/>
    <w:rsid w:val="00046D64"/>
    <w:rsid w:val="0004741F"/>
    <w:rsid w:val="00047786"/>
    <w:rsid w:val="000508C2"/>
    <w:rsid w:val="00050E5A"/>
    <w:rsid w:val="00050FAB"/>
    <w:rsid w:val="00052599"/>
    <w:rsid w:val="0005288A"/>
    <w:rsid w:val="00052905"/>
    <w:rsid w:val="00052910"/>
    <w:rsid w:val="000539D0"/>
    <w:rsid w:val="00053AF1"/>
    <w:rsid w:val="00054621"/>
    <w:rsid w:val="0005466F"/>
    <w:rsid w:val="000546D7"/>
    <w:rsid w:val="00054A8D"/>
    <w:rsid w:val="00056ECF"/>
    <w:rsid w:val="000604DF"/>
    <w:rsid w:val="00061028"/>
    <w:rsid w:val="00061832"/>
    <w:rsid w:val="000618F4"/>
    <w:rsid w:val="00062324"/>
    <w:rsid w:val="000653B5"/>
    <w:rsid w:val="00066059"/>
    <w:rsid w:val="00066360"/>
    <w:rsid w:val="000663F8"/>
    <w:rsid w:val="00066AF8"/>
    <w:rsid w:val="0006798C"/>
    <w:rsid w:val="00070A9C"/>
    <w:rsid w:val="00071248"/>
    <w:rsid w:val="000720B9"/>
    <w:rsid w:val="000737F7"/>
    <w:rsid w:val="00074A73"/>
    <w:rsid w:val="00074DC5"/>
    <w:rsid w:val="0007650B"/>
    <w:rsid w:val="0007672F"/>
    <w:rsid w:val="00076B54"/>
    <w:rsid w:val="000774F0"/>
    <w:rsid w:val="000803B4"/>
    <w:rsid w:val="00080909"/>
    <w:rsid w:val="000812CA"/>
    <w:rsid w:val="00081E63"/>
    <w:rsid w:val="0008258D"/>
    <w:rsid w:val="00083E99"/>
    <w:rsid w:val="00084FA8"/>
    <w:rsid w:val="000856C5"/>
    <w:rsid w:val="00085C31"/>
    <w:rsid w:val="00086588"/>
    <w:rsid w:val="00087DA8"/>
    <w:rsid w:val="000902D9"/>
    <w:rsid w:val="00090561"/>
    <w:rsid w:val="00090B9C"/>
    <w:rsid w:val="00090C7E"/>
    <w:rsid w:val="00090FFD"/>
    <w:rsid w:val="000911AC"/>
    <w:rsid w:val="0009230D"/>
    <w:rsid w:val="00092600"/>
    <w:rsid w:val="0009262B"/>
    <w:rsid w:val="00093310"/>
    <w:rsid w:val="00093CC2"/>
    <w:rsid w:val="0009445C"/>
    <w:rsid w:val="00095200"/>
    <w:rsid w:val="000952A1"/>
    <w:rsid w:val="00095FE5"/>
    <w:rsid w:val="00096284"/>
    <w:rsid w:val="00097F4B"/>
    <w:rsid w:val="000A1BC0"/>
    <w:rsid w:val="000A2F9E"/>
    <w:rsid w:val="000A3065"/>
    <w:rsid w:val="000A33A7"/>
    <w:rsid w:val="000A3CCD"/>
    <w:rsid w:val="000A3E47"/>
    <w:rsid w:val="000A522B"/>
    <w:rsid w:val="000A5852"/>
    <w:rsid w:val="000A6039"/>
    <w:rsid w:val="000A7453"/>
    <w:rsid w:val="000A7685"/>
    <w:rsid w:val="000A7D08"/>
    <w:rsid w:val="000B0121"/>
    <w:rsid w:val="000B0670"/>
    <w:rsid w:val="000B0E75"/>
    <w:rsid w:val="000B1E48"/>
    <w:rsid w:val="000B2DB9"/>
    <w:rsid w:val="000B2DCB"/>
    <w:rsid w:val="000B3286"/>
    <w:rsid w:val="000B47B9"/>
    <w:rsid w:val="000B5CE0"/>
    <w:rsid w:val="000B6CAC"/>
    <w:rsid w:val="000B7612"/>
    <w:rsid w:val="000B78AE"/>
    <w:rsid w:val="000C19BC"/>
    <w:rsid w:val="000C3DF9"/>
    <w:rsid w:val="000C48D0"/>
    <w:rsid w:val="000C4CF2"/>
    <w:rsid w:val="000C610F"/>
    <w:rsid w:val="000C6713"/>
    <w:rsid w:val="000D0157"/>
    <w:rsid w:val="000D0237"/>
    <w:rsid w:val="000D1BFC"/>
    <w:rsid w:val="000D1D5D"/>
    <w:rsid w:val="000D281A"/>
    <w:rsid w:val="000D2848"/>
    <w:rsid w:val="000D29D4"/>
    <w:rsid w:val="000D2BC9"/>
    <w:rsid w:val="000D326A"/>
    <w:rsid w:val="000D51FB"/>
    <w:rsid w:val="000D6069"/>
    <w:rsid w:val="000E04FD"/>
    <w:rsid w:val="000E0640"/>
    <w:rsid w:val="000E135D"/>
    <w:rsid w:val="000E23EB"/>
    <w:rsid w:val="000F00BA"/>
    <w:rsid w:val="000F204E"/>
    <w:rsid w:val="000F239A"/>
    <w:rsid w:val="000F316A"/>
    <w:rsid w:val="000F3C74"/>
    <w:rsid w:val="000F40FE"/>
    <w:rsid w:val="000F4BB8"/>
    <w:rsid w:val="000F4FA9"/>
    <w:rsid w:val="000F506F"/>
    <w:rsid w:val="000F53FB"/>
    <w:rsid w:val="000F7118"/>
    <w:rsid w:val="000F7127"/>
    <w:rsid w:val="000F7B54"/>
    <w:rsid w:val="001000B3"/>
    <w:rsid w:val="00100F8A"/>
    <w:rsid w:val="001020B3"/>
    <w:rsid w:val="00104363"/>
    <w:rsid w:val="0010452E"/>
    <w:rsid w:val="001052C4"/>
    <w:rsid w:val="00105AE2"/>
    <w:rsid w:val="001060C6"/>
    <w:rsid w:val="00106B80"/>
    <w:rsid w:val="0011032E"/>
    <w:rsid w:val="00113385"/>
    <w:rsid w:val="0011348B"/>
    <w:rsid w:val="001134BA"/>
    <w:rsid w:val="00114E88"/>
    <w:rsid w:val="00115982"/>
    <w:rsid w:val="0011649A"/>
    <w:rsid w:val="00116C53"/>
    <w:rsid w:val="001172DC"/>
    <w:rsid w:val="001203BC"/>
    <w:rsid w:val="00120517"/>
    <w:rsid w:val="00121799"/>
    <w:rsid w:val="001222FC"/>
    <w:rsid w:val="001228AB"/>
    <w:rsid w:val="0012303B"/>
    <w:rsid w:val="00123902"/>
    <w:rsid w:val="00124A51"/>
    <w:rsid w:val="00125002"/>
    <w:rsid w:val="00126621"/>
    <w:rsid w:val="00126B1D"/>
    <w:rsid w:val="0013003F"/>
    <w:rsid w:val="001301E9"/>
    <w:rsid w:val="0013042E"/>
    <w:rsid w:val="00131D82"/>
    <w:rsid w:val="00132A7C"/>
    <w:rsid w:val="00132B22"/>
    <w:rsid w:val="00133D36"/>
    <w:rsid w:val="0013586D"/>
    <w:rsid w:val="00136D86"/>
    <w:rsid w:val="00137645"/>
    <w:rsid w:val="0014015A"/>
    <w:rsid w:val="001407A2"/>
    <w:rsid w:val="00140E99"/>
    <w:rsid w:val="00141C70"/>
    <w:rsid w:val="00143F67"/>
    <w:rsid w:val="00145234"/>
    <w:rsid w:val="00145540"/>
    <w:rsid w:val="001456B0"/>
    <w:rsid w:val="00146E6D"/>
    <w:rsid w:val="0015470B"/>
    <w:rsid w:val="001547AB"/>
    <w:rsid w:val="0015530D"/>
    <w:rsid w:val="00155D74"/>
    <w:rsid w:val="00156D90"/>
    <w:rsid w:val="00156F8F"/>
    <w:rsid w:val="00157130"/>
    <w:rsid w:val="001576B1"/>
    <w:rsid w:val="001577D6"/>
    <w:rsid w:val="0016047B"/>
    <w:rsid w:val="00160A4C"/>
    <w:rsid w:val="00162753"/>
    <w:rsid w:val="00162913"/>
    <w:rsid w:val="00162D84"/>
    <w:rsid w:val="001634B3"/>
    <w:rsid w:val="00163EFF"/>
    <w:rsid w:val="00163F66"/>
    <w:rsid w:val="0016478E"/>
    <w:rsid w:val="00164AB3"/>
    <w:rsid w:val="00165EC4"/>
    <w:rsid w:val="001661FB"/>
    <w:rsid w:val="0016661E"/>
    <w:rsid w:val="001671A0"/>
    <w:rsid w:val="0016767F"/>
    <w:rsid w:val="0017144E"/>
    <w:rsid w:val="00171B8D"/>
    <w:rsid w:val="001723B9"/>
    <w:rsid w:val="00172B5C"/>
    <w:rsid w:val="00172C83"/>
    <w:rsid w:val="00172DE4"/>
    <w:rsid w:val="001733DB"/>
    <w:rsid w:val="00173565"/>
    <w:rsid w:val="00173B07"/>
    <w:rsid w:val="001751FA"/>
    <w:rsid w:val="001765A9"/>
    <w:rsid w:val="001771D6"/>
    <w:rsid w:val="00177FC1"/>
    <w:rsid w:val="00180F7E"/>
    <w:rsid w:val="00181C10"/>
    <w:rsid w:val="00181D9C"/>
    <w:rsid w:val="001831B3"/>
    <w:rsid w:val="001837FF"/>
    <w:rsid w:val="001847B6"/>
    <w:rsid w:val="00184B0E"/>
    <w:rsid w:val="001856B9"/>
    <w:rsid w:val="0018596C"/>
    <w:rsid w:val="0018752F"/>
    <w:rsid w:val="001879FC"/>
    <w:rsid w:val="00192109"/>
    <w:rsid w:val="00193838"/>
    <w:rsid w:val="00194AD8"/>
    <w:rsid w:val="00195222"/>
    <w:rsid w:val="00195452"/>
    <w:rsid w:val="001975D8"/>
    <w:rsid w:val="00197C97"/>
    <w:rsid w:val="001A01BE"/>
    <w:rsid w:val="001A178E"/>
    <w:rsid w:val="001A1BE1"/>
    <w:rsid w:val="001A2BE9"/>
    <w:rsid w:val="001A31ED"/>
    <w:rsid w:val="001A43FA"/>
    <w:rsid w:val="001A47C5"/>
    <w:rsid w:val="001A555A"/>
    <w:rsid w:val="001A59FB"/>
    <w:rsid w:val="001A5E9E"/>
    <w:rsid w:val="001A6354"/>
    <w:rsid w:val="001A6366"/>
    <w:rsid w:val="001A6506"/>
    <w:rsid w:val="001A7AE8"/>
    <w:rsid w:val="001B18CB"/>
    <w:rsid w:val="001B204E"/>
    <w:rsid w:val="001B2372"/>
    <w:rsid w:val="001B3443"/>
    <w:rsid w:val="001B3EF8"/>
    <w:rsid w:val="001B4D20"/>
    <w:rsid w:val="001B5C45"/>
    <w:rsid w:val="001B7F84"/>
    <w:rsid w:val="001C1C2D"/>
    <w:rsid w:val="001C1F9A"/>
    <w:rsid w:val="001C2A9B"/>
    <w:rsid w:val="001C3AB5"/>
    <w:rsid w:val="001C3DD6"/>
    <w:rsid w:val="001C41E3"/>
    <w:rsid w:val="001C4299"/>
    <w:rsid w:val="001C4874"/>
    <w:rsid w:val="001C5F94"/>
    <w:rsid w:val="001C6E66"/>
    <w:rsid w:val="001C71B7"/>
    <w:rsid w:val="001D1100"/>
    <w:rsid w:val="001D1391"/>
    <w:rsid w:val="001D25D7"/>
    <w:rsid w:val="001D2E8F"/>
    <w:rsid w:val="001D413A"/>
    <w:rsid w:val="001D46EB"/>
    <w:rsid w:val="001D50B2"/>
    <w:rsid w:val="001D6E02"/>
    <w:rsid w:val="001D71F4"/>
    <w:rsid w:val="001D7645"/>
    <w:rsid w:val="001E1E86"/>
    <w:rsid w:val="001E238E"/>
    <w:rsid w:val="001E2483"/>
    <w:rsid w:val="001E2774"/>
    <w:rsid w:val="001E2B1E"/>
    <w:rsid w:val="001E2CFF"/>
    <w:rsid w:val="001E2F24"/>
    <w:rsid w:val="001E30D4"/>
    <w:rsid w:val="001E34DF"/>
    <w:rsid w:val="001E3A49"/>
    <w:rsid w:val="001E52EB"/>
    <w:rsid w:val="001E548F"/>
    <w:rsid w:val="001E61D2"/>
    <w:rsid w:val="001E740C"/>
    <w:rsid w:val="001F08D6"/>
    <w:rsid w:val="001F0BB5"/>
    <w:rsid w:val="001F0F79"/>
    <w:rsid w:val="001F1235"/>
    <w:rsid w:val="001F1CB3"/>
    <w:rsid w:val="001F29E5"/>
    <w:rsid w:val="001F38B5"/>
    <w:rsid w:val="001F4081"/>
    <w:rsid w:val="001F5022"/>
    <w:rsid w:val="001F7361"/>
    <w:rsid w:val="00200809"/>
    <w:rsid w:val="0020104A"/>
    <w:rsid w:val="002011B0"/>
    <w:rsid w:val="00203181"/>
    <w:rsid w:val="00203783"/>
    <w:rsid w:val="0020383B"/>
    <w:rsid w:val="0020385F"/>
    <w:rsid w:val="0020607A"/>
    <w:rsid w:val="002068A0"/>
    <w:rsid w:val="00206DE8"/>
    <w:rsid w:val="00207021"/>
    <w:rsid w:val="0020732F"/>
    <w:rsid w:val="002075A0"/>
    <w:rsid w:val="00207792"/>
    <w:rsid w:val="00207D00"/>
    <w:rsid w:val="002105C1"/>
    <w:rsid w:val="00210C83"/>
    <w:rsid w:val="002116FD"/>
    <w:rsid w:val="0021342F"/>
    <w:rsid w:val="00213451"/>
    <w:rsid w:val="00213EF5"/>
    <w:rsid w:val="00214A19"/>
    <w:rsid w:val="00216BF5"/>
    <w:rsid w:val="0022192A"/>
    <w:rsid w:val="00223219"/>
    <w:rsid w:val="00223B49"/>
    <w:rsid w:val="00223D5A"/>
    <w:rsid w:val="00224DD4"/>
    <w:rsid w:val="00226285"/>
    <w:rsid w:val="002278A0"/>
    <w:rsid w:val="002278A4"/>
    <w:rsid w:val="0023034B"/>
    <w:rsid w:val="0023046F"/>
    <w:rsid w:val="002309CC"/>
    <w:rsid w:val="00230C72"/>
    <w:rsid w:val="00231BA9"/>
    <w:rsid w:val="00231EB8"/>
    <w:rsid w:val="0023209F"/>
    <w:rsid w:val="00233C01"/>
    <w:rsid w:val="00233D61"/>
    <w:rsid w:val="0023413C"/>
    <w:rsid w:val="002346F0"/>
    <w:rsid w:val="0023629D"/>
    <w:rsid w:val="002371BA"/>
    <w:rsid w:val="00237255"/>
    <w:rsid w:val="002402E3"/>
    <w:rsid w:val="0024059F"/>
    <w:rsid w:val="002424AF"/>
    <w:rsid w:val="002439DC"/>
    <w:rsid w:val="002441D2"/>
    <w:rsid w:val="00244DC8"/>
    <w:rsid w:val="00245496"/>
    <w:rsid w:val="002458BA"/>
    <w:rsid w:val="00245CE9"/>
    <w:rsid w:val="0024636C"/>
    <w:rsid w:val="002471A4"/>
    <w:rsid w:val="00247925"/>
    <w:rsid w:val="0025082A"/>
    <w:rsid w:val="00251006"/>
    <w:rsid w:val="002524D5"/>
    <w:rsid w:val="00253B1D"/>
    <w:rsid w:val="0025475F"/>
    <w:rsid w:val="00254DCF"/>
    <w:rsid w:val="0025534B"/>
    <w:rsid w:val="00255BB7"/>
    <w:rsid w:val="00257541"/>
    <w:rsid w:val="00257A39"/>
    <w:rsid w:val="00257AC4"/>
    <w:rsid w:val="00257BBE"/>
    <w:rsid w:val="00261EEF"/>
    <w:rsid w:val="00262A1A"/>
    <w:rsid w:val="00262A87"/>
    <w:rsid w:val="00263187"/>
    <w:rsid w:val="00264D26"/>
    <w:rsid w:val="0026648D"/>
    <w:rsid w:val="00267642"/>
    <w:rsid w:val="00267AEA"/>
    <w:rsid w:val="002700E6"/>
    <w:rsid w:val="00270178"/>
    <w:rsid w:val="0027294B"/>
    <w:rsid w:val="00273EB4"/>
    <w:rsid w:val="00274682"/>
    <w:rsid w:val="00275158"/>
    <w:rsid w:val="002757D1"/>
    <w:rsid w:val="00275C5A"/>
    <w:rsid w:val="00277325"/>
    <w:rsid w:val="00281014"/>
    <w:rsid w:val="0028371F"/>
    <w:rsid w:val="00285BCE"/>
    <w:rsid w:val="0028635A"/>
    <w:rsid w:val="0028665D"/>
    <w:rsid w:val="002866D5"/>
    <w:rsid w:val="002867C3"/>
    <w:rsid w:val="00290375"/>
    <w:rsid w:val="002935F6"/>
    <w:rsid w:val="00293A0D"/>
    <w:rsid w:val="00295EE2"/>
    <w:rsid w:val="002A14AB"/>
    <w:rsid w:val="002A2738"/>
    <w:rsid w:val="002A2ADE"/>
    <w:rsid w:val="002A2F50"/>
    <w:rsid w:val="002A3AB4"/>
    <w:rsid w:val="002A5BE0"/>
    <w:rsid w:val="002A62F4"/>
    <w:rsid w:val="002A7943"/>
    <w:rsid w:val="002B0594"/>
    <w:rsid w:val="002B05A1"/>
    <w:rsid w:val="002B09A4"/>
    <w:rsid w:val="002B0C1C"/>
    <w:rsid w:val="002B1C1F"/>
    <w:rsid w:val="002B391B"/>
    <w:rsid w:val="002B432F"/>
    <w:rsid w:val="002B59A3"/>
    <w:rsid w:val="002B62B3"/>
    <w:rsid w:val="002B6754"/>
    <w:rsid w:val="002B6CCE"/>
    <w:rsid w:val="002B7562"/>
    <w:rsid w:val="002C215E"/>
    <w:rsid w:val="002C2510"/>
    <w:rsid w:val="002C2775"/>
    <w:rsid w:val="002C27C1"/>
    <w:rsid w:val="002C2D21"/>
    <w:rsid w:val="002C36E3"/>
    <w:rsid w:val="002C39F6"/>
    <w:rsid w:val="002C47E5"/>
    <w:rsid w:val="002C4818"/>
    <w:rsid w:val="002C5099"/>
    <w:rsid w:val="002C5137"/>
    <w:rsid w:val="002C5159"/>
    <w:rsid w:val="002C5889"/>
    <w:rsid w:val="002C71CE"/>
    <w:rsid w:val="002D08F8"/>
    <w:rsid w:val="002D148F"/>
    <w:rsid w:val="002D21C5"/>
    <w:rsid w:val="002D3E57"/>
    <w:rsid w:val="002D4B86"/>
    <w:rsid w:val="002D50DF"/>
    <w:rsid w:val="002D577C"/>
    <w:rsid w:val="002D5795"/>
    <w:rsid w:val="002D5C3A"/>
    <w:rsid w:val="002D6BA5"/>
    <w:rsid w:val="002D7832"/>
    <w:rsid w:val="002E0E73"/>
    <w:rsid w:val="002E1071"/>
    <w:rsid w:val="002E15B9"/>
    <w:rsid w:val="002E1D45"/>
    <w:rsid w:val="002E1F8A"/>
    <w:rsid w:val="002E2158"/>
    <w:rsid w:val="002E2785"/>
    <w:rsid w:val="002E4F02"/>
    <w:rsid w:val="002E62C0"/>
    <w:rsid w:val="002E7486"/>
    <w:rsid w:val="002E7722"/>
    <w:rsid w:val="002F07BA"/>
    <w:rsid w:val="002F0DA9"/>
    <w:rsid w:val="002F1014"/>
    <w:rsid w:val="002F1E3B"/>
    <w:rsid w:val="002F46AB"/>
    <w:rsid w:val="002F4C0D"/>
    <w:rsid w:val="002F643C"/>
    <w:rsid w:val="002F6C0E"/>
    <w:rsid w:val="002F71C0"/>
    <w:rsid w:val="002F74F1"/>
    <w:rsid w:val="002F7BC2"/>
    <w:rsid w:val="002F7DF7"/>
    <w:rsid w:val="00301017"/>
    <w:rsid w:val="003010CD"/>
    <w:rsid w:val="0030155F"/>
    <w:rsid w:val="00304A2F"/>
    <w:rsid w:val="0030587B"/>
    <w:rsid w:val="00306D8B"/>
    <w:rsid w:val="00306D98"/>
    <w:rsid w:val="0030711F"/>
    <w:rsid w:val="0030786C"/>
    <w:rsid w:val="00307FCC"/>
    <w:rsid w:val="0031031A"/>
    <w:rsid w:val="00310981"/>
    <w:rsid w:val="00311D9B"/>
    <w:rsid w:val="003124D9"/>
    <w:rsid w:val="00312594"/>
    <w:rsid w:val="00314AED"/>
    <w:rsid w:val="003152D0"/>
    <w:rsid w:val="00315498"/>
    <w:rsid w:val="00316474"/>
    <w:rsid w:val="003175FD"/>
    <w:rsid w:val="00322107"/>
    <w:rsid w:val="00322355"/>
    <w:rsid w:val="00322453"/>
    <w:rsid w:val="00322846"/>
    <w:rsid w:val="00326DA7"/>
    <w:rsid w:val="003270E4"/>
    <w:rsid w:val="00330DAA"/>
    <w:rsid w:val="00330F5C"/>
    <w:rsid w:val="00331FAB"/>
    <w:rsid w:val="0033224E"/>
    <w:rsid w:val="00335A74"/>
    <w:rsid w:val="003366C9"/>
    <w:rsid w:val="0033696E"/>
    <w:rsid w:val="003371B0"/>
    <w:rsid w:val="00340DF1"/>
    <w:rsid w:val="00342812"/>
    <w:rsid w:val="00344649"/>
    <w:rsid w:val="00347F45"/>
    <w:rsid w:val="0035085E"/>
    <w:rsid w:val="003517F9"/>
    <w:rsid w:val="00351BA9"/>
    <w:rsid w:val="00354F64"/>
    <w:rsid w:val="0035620E"/>
    <w:rsid w:val="003569E3"/>
    <w:rsid w:val="003575BE"/>
    <w:rsid w:val="00360345"/>
    <w:rsid w:val="00361934"/>
    <w:rsid w:val="00361A05"/>
    <w:rsid w:val="003624C4"/>
    <w:rsid w:val="00363B00"/>
    <w:rsid w:val="003642B4"/>
    <w:rsid w:val="00364FAE"/>
    <w:rsid w:val="003654AC"/>
    <w:rsid w:val="003708D6"/>
    <w:rsid w:val="003710CF"/>
    <w:rsid w:val="0037358A"/>
    <w:rsid w:val="00374F51"/>
    <w:rsid w:val="003750F6"/>
    <w:rsid w:val="003760FC"/>
    <w:rsid w:val="00376659"/>
    <w:rsid w:val="003767BB"/>
    <w:rsid w:val="0038365C"/>
    <w:rsid w:val="0038369B"/>
    <w:rsid w:val="00383B78"/>
    <w:rsid w:val="00384BD8"/>
    <w:rsid w:val="00385A9D"/>
    <w:rsid w:val="00385B0B"/>
    <w:rsid w:val="00385BE0"/>
    <w:rsid w:val="00387092"/>
    <w:rsid w:val="00387121"/>
    <w:rsid w:val="003902B1"/>
    <w:rsid w:val="0039179C"/>
    <w:rsid w:val="00392AF1"/>
    <w:rsid w:val="00392DBB"/>
    <w:rsid w:val="00394006"/>
    <w:rsid w:val="00394786"/>
    <w:rsid w:val="00396896"/>
    <w:rsid w:val="00396FD0"/>
    <w:rsid w:val="003A1A7A"/>
    <w:rsid w:val="003A2392"/>
    <w:rsid w:val="003A2831"/>
    <w:rsid w:val="003A3CB6"/>
    <w:rsid w:val="003A3ED1"/>
    <w:rsid w:val="003A434D"/>
    <w:rsid w:val="003A44DB"/>
    <w:rsid w:val="003A4C14"/>
    <w:rsid w:val="003A671F"/>
    <w:rsid w:val="003A6E36"/>
    <w:rsid w:val="003B263B"/>
    <w:rsid w:val="003B279B"/>
    <w:rsid w:val="003B3971"/>
    <w:rsid w:val="003B4791"/>
    <w:rsid w:val="003B55D1"/>
    <w:rsid w:val="003B5B61"/>
    <w:rsid w:val="003B6386"/>
    <w:rsid w:val="003B7460"/>
    <w:rsid w:val="003C1654"/>
    <w:rsid w:val="003C2AAD"/>
    <w:rsid w:val="003C5542"/>
    <w:rsid w:val="003C5EE7"/>
    <w:rsid w:val="003C634E"/>
    <w:rsid w:val="003C6DA9"/>
    <w:rsid w:val="003C7572"/>
    <w:rsid w:val="003C7C15"/>
    <w:rsid w:val="003C7D19"/>
    <w:rsid w:val="003C7D2F"/>
    <w:rsid w:val="003D0C5A"/>
    <w:rsid w:val="003D0D44"/>
    <w:rsid w:val="003D1828"/>
    <w:rsid w:val="003D1DE4"/>
    <w:rsid w:val="003D1E9A"/>
    <w:rsid w:val="003D2422"/>
    <w:rsid w:val="003D39A1"/>
    <w:rsid w:val="003D3B0F"/>
    <w:rsid w:val="003D3FBF"/>
    <w:rsid w:val="003D4A30"/>
    <w:rsid w:val="003D4E7A"/>
    <w:rsid w:val="003D59C2"/>
    <w:rsid w:val="003D7452"/>
    <w:rsid w:val="003D79BB"/>
    <w:rsid w:val="003D7C98"/>
    <w:rsid w:val="003D7D9D"/>
    <w:rsid w:val="003E0543"/>
    <w:rsid w:val="003E10CB"/>
    <w:rsid w:val="003E19AA"/>
    <w:rsid w:val="003E3529"/>
    <w:rsid w:val="003E5603"/>
    <w:rsid w:val="003E6087"/>
    <w:rsid w:val="003E7216"/>
    <w:rsid w:val="003E749E"/>
    <w:rsid w:val="003E7EE7"/>
    <w:rsid w:val="003F2265"/>
    <w:rsid w:val="003F3421"/>
    <w:rsid w:val="003F4156"/>
    <w:rsid w:val="003F4D1C"/>
    <w:rsid w:val="003F5ADF"/>
    <w:rsid w:val="00400B29"/>
    <w:rsid w:val="00400E0F"/>
    <w:rsid w:val="00402812"/>
    <w:rsid w:val="00402B2D"/>
    <w:rsid w:val="00402D4E"/>
    <w:rsid w:val="00402F1B"/>
    <w:rsid w:val="00404493"/>
    <w:rsid w:val="0040504B"/>
    <w:rsid w:val="004059F4"/>
    <w:rsid w:val="0040703E"/>
    <w:rsid w:val="00407872"/>
    <w:rsid w:val="00407FE5"/>
    <w:rsid w:val="004100AF"/>
    <w:rsid w:val="004101B0"/>
    <w:rsid w:val="00410326"/>
    <w:rsid w:val="00410708"/>
    <w:rsid w:val="00410E90"/>
    <w:rsid w:val="00410EC7"/>
    <w:rsid w:val="00411B39"/>
    <w:rsid w:val="004127A7"/>
    <w:rsid w:val="00412CBE"/>
    <w:rsid w:val="00413A1E"/>
    <w:rsid w:val="00414476"/>
    <w:rsid w:val="00414C2E"/>
    <w:rsid w:val="004151CF"/>
    <w:rsid w:val="00415EDB"/>
    <w:rsid w:val="00416364"/>
    <w:rsid w:val="00417C8A"/>
    <w:rsid w:val="0042047F"/>
    <w:rsid w:val="00420AA6"/>
    <w:rsid w:val="00420B9F"/>
    <w:rsid w:val="00420FD6"/>
    <w:rsid w:val="0042192C"/>
    <w:rsid w:val="0042198C"/>
    <w:rsid w:val="004219E4"/>
    <w:rsid w:val="00422260"/>
    <w:rsid w:val="0042369D"/>
    <w:rsid w:val="00423B87"/>
    <w:rsid w:val="0042413F"/>
    <w:rsid w:val="00425ADF"/>
    <w:rsid w:val="0043049B"/>
    <w:rsid w:val="004319F8"/>
    <w:rsid w:val="00431E55"/>
    <w:rsid w:val="004321F6"/>
    <w:rsid w:val="00433044"/>
    <w:rsid w:val="00434088"/>
    <w:rsid w:val="00434515"/>
    <w:rsid w:val="004347D6"/>
    <w:rsid w:val="0043590E"/>
    <w:rsid w:val="00436B80"/>
    <w:rsid w:val="00437320"/>
    <w:rsid w:val="004375B9"/>
    <w:rsid w:val="00437E1D"/>
    <w:rsid w:val="004428D0"/>
    <w:rsid w:val="00442DB8"/>
    <w:rsid w:val="00444185"/>
    <w:rsid w:val="004443A7"/>
    <w:rsid w:val="0044442C"/>
    <w:rsid w:val="00445941"/>
    <w:rsid w:val="004464EB"/>
    <w:rsid w:val="004476CC"/>
    <w:rsid w:val="00447D26"/>
    <w:rsid w:val="00447DFC"/>
    <w:rsid w:val="0045535B"/>
    <w:rsid w:val="00455D45"/>
    <w:rsid w:val="00456F8E"/>
    <w:rsid w:val="00457A4E"/>
    <w:rsid w:val="00463C22"/>
    <w:rsid w:val="00464595"/>
    <w:rsid w:val="0046571B"/>
    <w:rsid w:val="004658B5"/>
    <w:rsid w:val="00467010"/>
    <w:rsid w:val="00467409"/>
    <w:rsid w:val="00471EA5"/>
    <w:rsid w:val="00472A5D"/>
    <w:rsid w:val="00472A79"/>
    <w:rsid w:val="00473F19"/>
    <w:rsid w:val="004750C4"/>
    <w:rsid w:val="00475E22"/>
    <w:rsid w:val="0048088E"/>
    <w:rsid w:val="00480F2B"/>
    <w:rsid w:val="00482720"/>
    <w:rsid w:val="004835E7"/>
    <w:rsid w:val="0048411F"/>
    <w:rsid w:val="004859E1"/>
    <w:rsid w:val="004867E2"/>
    <w:rsid w:val="00490B17"/>
    <w:rsid w:val="004912D2"/>
    <w:rsid w:val="00491658"/>
    <w:rsid w:val="00491B3A"/>
    <w:rsid w:val="00492C2C"/>
    <w:rsid w:val="00492CFD"/>
    <w:rsid w:val="00493031"/>
    <w:rsid w:val="00493582"/>
    <w:rsid w:val="00494198"/>
    <w:rsid w:val="00494207"/>
    <w:rsid w:val="00494DD5"/>
    <w:rsid w:val="00495733"/>
    <w:rsid w:val="004962D2"/>
    <w:rsid w:val="004962EF"/>
    <w:rsid w:val="004A0D06"/>
    <w:rsid w:val="004A0DA1"/>
    <w:rsid w:val="004A13D6"/>
    <w:rsid w:val="004A2A24"/>
    <w:rsid w:val="004A52E9"/>
    <w:rsid w:val="004A6040"/>
    <w:rsid w:val="004A6597"/>
    <w:rsid w:val="004A706E"/>
    <w:rsid w:val="004A7506"/>
    <w:rsid w:val="004A7848"/>
    <w:rsid w:val="004A793B"/>
    <w:rsid w:val="004A7F45"/>
    <w:rsid w:val="004B1236"/>
    <w:rsid w:val="004B1765"/>
    <w:rsid w:val="004B1CB4"/>
    <w:rsid w:val="004B2F18"/>
    <w:rsid w:val="004B30E1"/>
    <w:rsid w:val="004B3206"/>
    <w:rsid w:val="004B3DDB"/>
    <w:rsid w:val="004B3F4F"/>
    <w:rsid w:val="004B44FD"/>
    <w:rsid w:val="004B5CFC"/>
    <w:rsid w:val="004B618F"/>
    <w:rsid w:val="004B6F79"/>
    <w:rsid w:val="004B774D"/>
    <w:rsid w:val="004C2AC2"/>
    <w:rsid w:val="004C4AED"/>
    <w:rsid w:val="004C7CA9"/>
    <w:rsid w:val="004D2C2D"/>
    <w:rsid w:val="004D4FB6"/>
    <w:rsid w:val="004D69B5"/>
    <w:rsid w:val="004D69FF"/>
    <w:rsid w:val="004D7227"/>
    <w:rsid w:val="004D7738"/>
    <w:rsid w:val="004D7B35"/>
    <w:rsid w:val="004D7B5E"/>
    <w:rsid w:val="004E0E7F"/>
    <w:rsid w:val="004E0EB8"/>
    <w:rsid w:val="004E18E9"/>
    <w:rsid w:val="004E2ADC"/>
    <w:rsid w:val="004E43B2"/>
    <w:rsid w:val="004F01BD"/>
    <w:rsid w:val="004F1A99"/>
    <w:rsid w:val="004F1D02"/>
    <w:rsid w:val="004F2679"/>
    <w:rsid w:val="004F2EC3"/>
    <w:rsid w:val="004F2F21"/>
    <w:rsid w:val="004F3DE5"/>
    <w:rsid w:val="004F4A43"/>
    <w:rsid w:val="004F4CFB"/>
    <w:rsid w:val="004F6913"/>
    <w:rsid w:val="004F6A4C"/>
    <w:rsid w:val="004F7865"/>
    <w:rsid w:val="0050174E"/>
    <w:rsid w:val="00501854"/>
    <w:rsid w:val="0050219B"/>
    <w:rsid w:val="00502A28"/>
    <w:rsid w:val="00503CA3"/>
    <w:rsid w:val="00503F17"/>
    <w:rsid w:val="00503F3A"/>
    <w:rsid w:val="00506928"/>
    <w:rsid w:val="005077EF"/>
    <w:rsid w:val="005078AF"/>
    <w:rsid w:val="00510976"/>
    <w:rsid w:val="00511AD5"/>
    <w:rsid w:val="00511DC7"/>
    <w:rsid w:val="00514267"/>
    <w:rsid w:val="005142C5"/>
    <w:rsid w:val="0051501B"/>
    <w:rsid w:val="005152B5"/>
    <w:rsid w:val="00515886"/>
    <w:rsid w:val="00515A74"/>
    <w:rsid w:val="0051729B"/>
    <w:rsid w:val="00520627"/>
    <w:rsid w:val="0052123C"/>
    <w:rsid w:val="00521319"/>
    <w:rsid w:val="0052187B"/>
    <w:rsid w:val="00522BC8"/>
    <w:rsid w:val="00523C28"/>
    <w:rsid w:val="00527CC1"/>
    <w:rsid w:val="0053176B"/>
    <w:rsid w:val="00531C52"/>
    <w:rsid w:val="00532478"/>
    <w:rsid w:val="005341B3"/>
    <w:rsid w:val="005347E4"/>
    <w:rsid w:val="00534AF0"/>
    <w:rsid w:val="00535E34"/>
    <w:rsid w:val="00536F42"/>
    <w:rsid w:val="00537182"/>
    <w:rsid w:val="00537EE1"/>
    <w:rsid w:val="00541EDD"/>
    <w:rsid w:val="00542743"/>
    <w:rsid w:val="00542C2D"/>
    <w:rsid w:val="00542D19"/>
    <w:rsid w:val="005466D5"/>
    <w:rsid w:val="00546CC1"/>
    <w:rsid w:val="00547661"/>
    <w:rsid w:val="005478BD"/>
    <w:rsid w:val="005479E3"/>
    <w:rsid w:val="00551985"/>
    <w:rsid w:val="005524B2"/>
    <w:rsid w:val="00552BD3"/>
    <w:rsid w:val="005532A0"/>
    <w:rsid w:val="0055382F"/>
    <w:rsid w:val="00554512"/>
    <w:rsid w:val="00555109"/>
    <w:rsid w:val="00555F6F"/>
    <w:rsid w:val="005561B2"/>
    <w:rsid w:val="00556B35"/>
    <w:rsid w:val="0055741A"/>
    <w:rsid w:val="00560623"/>
    <w:rsid w:val="005606F7"/>
    <w:rsid w:val="005611B7"/>
    <w:rsid w:val="005618D4"/>
    <w:rsid w:val="00564867"/>
    <w:rsid w:val="00565C79"/>
    <w:rsid w:val="00565DF0"/>
    <w:rsid w:val="0056696F"/>
    <w:rsid w:val="0056762D"/>
    <w:rsid w:val="00570F81"/>
    <w:rsid w:val="005717FF"/>
    <w:rsid w:val="00572269"/>
    <w:rsid w:val="0057244A"/>
    <w:rsid w:val="00572455"/>
    <w:rsid w:val="00572F26"/>
    <w:rsid w:val="005739DA"/>
    <w:rsid w:val="00574387"/>
    <w:rsid w:val="005750C5"/>
    <w:rsid w:val="00575174"/>
    <w:rsid w:val="005752DE"/>
    <w:rsid w:val="0057533B"/>
    <w:rsid w:val="00575A93"/>
    <w:rsid w:val="00575CD3"/>
    <w:rsid w:val="00575D60"/>
    <w:rsid w:val="00575D8D"/>
    <w:rsid w:val="00575FF7"/>
    <w:rsid w:val="00576972"/>
    <w:rsid w:val="00577248"/>
    <w:rsid w:val="005806C9"/>
    <w:rsid w:val="00581931"/>
    <w:rsid w:val="00583699"/>
    <w:rsid w:val="00585CDD"/>
    <w:rsid w:val="00586850"/>
    <w:rsid w:val="00587058"/>
    <w:rsid w:val="00590E8E"/>
    <w:rsid w:val="00591926"/>
    <w:rsid w:val="00591957"/>
    <w:rsid w:val="00591AE6"/>
    <w:rsid w:val="00593883"/>
    <w:rsid w:val="00593AA2"/>
    <w:rsid w:val="00596994"/>
    <w:rsid w:val="0059763F"/>
    <w:rsid w:val="00597BF9"/>
    <w:rsid w:val="005A0C11"/>
    <w:rsid w:val="005A309A"/>
    <w:rsid w:val="005A373D"/>
    <w:rsid w:val="005A4E83"/>
    <w:rsid w:val="005A4FA0"/>
    <w:rsid w:val="005A792F"/>
    <w:rsid w:val="005B0B58"/>
    <w:rsid w:val="005B2AF3"/>
    <w:rsid w:val="005B4E53"/>
    <w:rsid w:val="005B55AD"/>
    <w:rsid w:val="005B5857"/>
    <w:rsid w:val="005C19C4"/>
    <w:rsid w:val="005C1A27"/>
    <w:rsid w:val="005C1B83"/>
    <w:rsid w:val="005C25FF"/>
    <w:rsid w:val="005C2D55"/>
    <w:rsid w:val="005C346B"/>
    <w:rsid w:val="005C5ABC"/>
    <w:rsid w:val="005C6D6A"/>
    <w:rsid w:val="005C72A4"/>
    <w:rsid w:val="005C73EC"/>
    <w:rsid w:val="005D044D"/>
    <w:rsid w:val="005D0ABD"/>
    <w:rsid w:val="005D18AD"/>
    <w:rsid w:val="005D26B4"/>
    <w:rsid w:val="005E1995"/>
    <w:rsid w:val="005E564B"/>
    <w:rsid w:val="005E5D5E"/>
    <w:rsid w:val="005E6CBC"/>
    <w:rsid w:val="005E6D6C"/>
    <w:rsid w:val="005E72FF"/>
    <w:rsid w:val="005E73C0"/>
    <w:rsid w:val="005E7EDB"/>
    <w:rsid w:val="005F07ED"/>
    <w:rsid w:val="005F11E9"/>
    <w:rsid w:val="005F19F4"/>
    <w:rsid w:val="005F2706"/>
    <w:rsid w:val="005F33C4"/>
    <w:rsid w:val="005F50C3"/>
    <w:rsid w:val="005F5925"/>
    <w:rsid w:val="005F6A8F"/>
    <w:rsid w:val="005F6BB7"/>
    <w:rsid w:val="005F7588"/>
    <w:rsid w:val="00600B09"/>
    <w:rsid w:val="0060388D"/>
    <w:rsid w:val="00603C48"/>
    <w:rsid w:val="00603DB9"/>
    <w:rsid w:val="00605FA6"/>
    <w:rsid w:val="00606618"/>
    <w:rsid w:val="00606FBA"/>
    <w:rsid w:val="00607669"/>
    <w:rsid w:val="006076F4"/>
    <w:rsid w:val="00607AFD"/>
    <w:rsid w:val="006101E9"/>
    <w:rsid w:val="00610BDC"/>
    <w:rsid w:val="00611B12"/>
    <w:rsid w:val="00612F97"/>
    <w:rsid w:val="00613105"/>
    <w:rsid w:val="0061345D"/>
    <w:rsid w:val="00613BCB"/>
    <w:rsid w:val="0061549B"/>
    <w:rsid w:val="00616802"/>
    <w:rsid w:val="00617746"/>
    <w:rsid w:val="00617E12"/>
    <w:rsid w:val="00620C25"/>
    <w:rsid w:val="00621477"/>
    <w:rsid w:val="00621ADA"/>
    <w:rsid w:val="00623A50"/>
    <w:rsid w:val="00623F7B"/>
    <w:rsid w:val="00624BD4"/>
    <w:rsid w:val="00626504"/>
    <w:rsid w:val="00627C53"/>
    <w:rsid w:val="0063158F"/>
    <w:rsid w:val="00631D6B"/>
    <w:rsid w:val="0063209C"/>
    <w:rsid w:val="00632183"/>
    <w:rsid w:val="0063290F"/>
    <w:rsid w:val="00632D6C"/>
    <w:rsid w:val="006330A1"/>
    <w:rsid w:val="0063479F"/>
    <w:rsid w:val="006353F0"/>
    <w:rsid w:val="006357B5"/>
    <w:rsid w:val="006364A1"/>
    <w:rsid w:val="0063678E"/>
    <w:rsid w:val="00636ABA"/>
    <w:rsid w:val="00636FE0"/>
    <w:rsid w:val="0063734F"/>
    <w:rsid w:val="00637BFD"/>
    <w:rsid w:val="00637C5C"/>
    <w:rsid w:val="00640D4B"/>
    <w:rsid w:val="00641C4E"/>
    <w:rsid w:val="00641FB3"/>
    <w:rsid w:val="006425BF"/>
    <w:rsid w:val="00642F94"/>
    <w:rsid w:val="0064434C"/>
    <w:rsid w:val="006471CC"/>
    <w:rsid w:val="006472FE"/>
    <w:rsid w:val="0064758A"/>
    <w:rsid w:val="00647A29"/>
    <w:rsid w:val="0065020A"/>
    <w:rsid w:val="006504E7"/>
    <w:rsid w:val="0065079F"/>
    <w:rsid w:val="00652A28"/>
    <w:rsid w:val="0065379F"/>
    <w:rsid w:val="0065523F"/>
    <w:rsid w:val="006554FC"/>
    <w:rsid w:val="006559B3"/>
    <w:rsid w:val="00655E9B"/>
    <w:rsid w:val="00656188"/>
    <w:rsid w:val="006564CA"/>
    <w:rsid w:val="00656B9D"/>
    <w:rsid w:val="0065715A"/>
    <w:rsid w:val="006603BA"/>
    <w:rsid w:val="006610F1"/>
    <w:rsid w:val="006616BF"/>
    <w:rsid w:val="00661917"/>
    <w:rsid w:val="00661C6B"/>
    <w:rsid w:val="00662D3E"/>
    <w:rsid w:val="00662EF5"/>
    <w:rsid w:val="00664867"/>
    <w:rsid w:val="006656CF"/>
    <w:rsid w:val="00665CFB"/>
    <w:rsid w:val="00666562"/>
    <w:rsid w:val="00666C3D"/>
    <w:rsid w:val="00667BE3"/>
    <w:rsid w:val="00671004"/>
    <w:rsid w:val="00672646"/>
    <w:rsid w:val="006734AF"/>
    <w:rsid w:val="006742E8"/>
    <w:rsid w:val="00674E42"/>
    <w:rsid w:val="00676563"/>
    <w:rsid w:val="006813F8"/>
    <w:rsid w:val="00681A5F"/>
    <w:rsid w:val="00682112"/>
    <w:rsid w:val="00682BA6"/>
    <w:rsid w:val="0068315B"/>
    <w:rsid w:val="00686957"/>
    <w:rsid w:val="006872BA"/>
    <w:rsid w:val="00687562"/>
    <w:rsid w:val="0068788D"/>
    <w:rsid w:val="0069022C"/>
    <w:rsid w:val="00690795"/>
    <w:rsid w:val="00691648"/>
    <w:rsid w:val="006917D7"/>
    <w:rsid w:val="0069434C"/>
    <w:rsid w:val="00694C2E"/>
    <w:rsid w:val="00694F44"/>
    <w:rsid w:val="00696EF9"/>
    <w:rsid w:val="00696F51"/>
    <w:rsid w:val="0069790D"/>
    <w:rsid w:val="006979A5"/>
    <w:rsid w:val="006A016F"/>
    <w:rsid w:val="006A0DF7"/>
    <w:rsid w:val="006A30B9"/>
    <w:rsid w:val="006A30BA"/>
    <w:rsid w:val="006A3EAB"/>
    <w:rsid w:val="006A4321"/>
    <w:rsid w:val="006A43D9"/>
    <w:rsid w:val="006A55CD"/>
    <w:rsid w:val="006A6B99"/>
    <w:rsid w:val="006A6D4C"/>
    <w:rsid w:val="006A7E5F"/>
    <w:rsid w:val="006A7FE8"/>
    <w:rsid w:val="006B261B"/>
    <w:rsid w:val="006B2C90"/>
    <w:rsid w:val="006B35E6"/>
    <w:rsid w:val="006B465A"/>
    <w:rsid w:val="006B4E88"/>
    <w:rsid w:val="006B6DD0"/>
    <w:rsid w:val="006B7DFC"/>
    <w:rsid w:val="006C0399"/>
    <w:rsid w:val="006C0DC1"/>
    <w:rsid w:val="006C2A8E"/>
    <w:rsid w:val="006C3255"/>
    <w:rsid w:val="006C365A"/>
    <w:rsid w:val="006C3F26"/>
    <w:rsid w:val="006C516A"/>
    <w:rsid w:val="006C5188"/>
    <w:rsid w:val="006C5251"/>
    <w:rsid w:val="006C6825"/>
    <w:rsid w:val="006C6FBD"/>
    <w:rsid w:val="006C75F8"/>
    <w:rsid w:val="006C7C05"/>
    <w:rsid w:val="006D0001"/>
    <w:rsid w:val="006D0D17"/>
    <w:rsid w:val="006D1A69"/>
    <w:rsid w:val="006D3C7D"/>
    <w:rsid w:val="006D4659"/>
    <w:rsid w:val="006D5A46"/>
    <w:rsid w:val="006D5D5F"/>
    <w:rsid w:val="006D68FB"/>
    <w:rsid w:val="006D79A9"/>
    <w:rsid w:val="006E161B"/>
    <w:rsid w:val="006E17E4"/>
    <w:rsid w:val="006E2868"/>
    <w:rsid w:val="006E2B9E"/>
    <w:rsid w:val="006E2EF9"/>
    <w:rsid w:val="006E3EA1"/>
    <w:rsid w:val="006E5E16"/>
    <w:rsid w:val="006F066A"/>
    <w:rsid w:val="006F306C"/>
    <w:rsid w:val="006F3E7A"/>
    <w:rsid w:val="006F558E"/>
    <w:rsid w:val="006F6215"/>
    <w:rsid w:val="006F63A5"/>
    <w:rsid w:val="006F70E0"/>
    <w:rsid w:val="006F7108"/>
    <w:rsid w:val="006F7895"/>
    <w:rsid w:val="00700887"/>
    <w:rsid w:val="007008C5"/>
    <w:rsid w:val="00700EA0"/>
    <w:rsid w:val="00701119"/>
    <w:rsid w:val="0070142B"/>
    <w:rsid w:val="0070276E"/>
    <w:rsid w:val="00702BD5"/>
    <w:rsid w:val="00702F8F"/>
    <w:rsid w:val="007069E3"/>
    <w:rsid w:val="007079FC"/>
    <w:rsid w:val="0071061E"/>
    <w:rsid w:val="0071080F"/>
    <w:rsid w:val="00710962"/>
    <w:rsid w:val="00711134"/>
    <w:rsid w:val="00711A36"/>
    <w:rsid w:val="007125D3"/>
    <w:rsid w:val="00712D6D"/>
    <w:rsid w:val="00713E67"/>
    <w:rsid w:val="00714C26"/>
    <w:rsid w:val="00714FE3"/>
    <w:rsid w:val="0071529C"/>
    <w:rsid w:val="007170DA"/>
    <w:rsid w:val="007172AD"/>
    <w:rsid w:val="00717546"/>
    <w:rsid w:val="00717622"/>
    <w:rsid w:val="00720801"/>
    <w:rsid w:val="00721656"/>
    <w:rsid w:val="00722B1B"/>
    <w:rsid w:val="0072416F"/>
    <w:rsid w:val="0072625C"/>
    <w:rsid w:val="00726DD5"/>
    <w:rsid w:val="00727075"/>
    <w:rsid w:val="00727C94"/>
    <w:rsid w:val="00730604"/>
    <w:rsid w:val="00731879"/>
    <w:rsid w:val="00731B0A"/>
    <w:rsid w:val="00731EAE"/>
    <w:rsid w:val="00732BBE"/>
    <w:rsid w:val="00733073"/>
    <w:rsid w:val="00734BE8"/>
    <w:rsid w:val="00735033"/>
    <w:rsid w:val="00735328"/>
    <w:rsid w:val="00736476"/>
    <w:rsid w:val="0073685B"/>
    <w:rsid w:val="007423E7"/>
    <w:rsid w:val="007434DC"/>
    <w:rsid w:val="007449BF"/>
    <w:rsid w:val="00745162"/>
    <w:rsid w:val="007463FE"/>
    <w:rsid w:val="00746BC0"/>
    <w:rsid w:val="007510B4"/>
    <w:rsid w:val="00752142"/>
    <w:rsid w:val="007523F9"/>
    <w:rsid w:val="0075357E"/>
    <w:rsid w:val="00753B29"/>
    <w:rsid w:val="007541BE"/>
    <w:rsid w:val="00754C83"/>
    <w:rsid w:val="0075591D"/>
    <w:rsid w:val="00755D2E"/>
    <w:rsid w:val="00756828"/>
    <w:rsid w:val="007573E8"/>
    <w:rsid w:val="007579E9"/>
    <w:rsid w:val="007605E0"/>
    <w:rsid w:val="00760C4E"/>
    <w:rsid w:val="00760F9E"/>
    <w:rsid w:val="007616E6"/>
    <w:rsid w:val="007627BE"/>
    <w:rsid w:val="00763628"/>
    <w:rsid w:val="007648A1"/>
    <w:rsid w:val="00764F03"/>
    <w:rsid w:val="00765B1A"/>
    <w:rsid w:val="00765DC1"/>
    <w:rsid w:val="00766183"/>
    <w:rsid w:val="00771754"/>
    <w:rsid w:val="007733E5"/>
    <w:rsid w:val="00777335"/>
    <w:rsid w:val="007802F1"/>
    <w:rsid w:val="00782FA5"/>
    <w:rsid w:val="007843F2"/>
    <w:rsid w:val="007846FA"/>
    <w:rsid w:val="00785A9F"/>
    <w:rsid w:val="007876D8"/>
    <w:rsid w:val="0079017D"/>
    <w:rsid w:val="007925DF"/>
    <w:rsid w:val="007958B3"/>
    <w:rsid w:val="007A035B"/>
    <w:rsid w:val="007A08AA"/>
    <w:rsid w:val="007A0A12"/>
    <w:rsid w:val="007A132D"/>
    <w:rsid w:val="007A1345"/>
    <w:rsid w:val="007A2DDB"/>
    <w:rsid w:val="007A6794"/>
    <w:rsid w:val="007A70BA"/>
    <w:rsid w:val="007B0D68"/>
    <w:rsid w:val="007B251D"/>
    <w:rsid w:val="007B33B6"/>
    <w:rsid w:val="007B33FA"/>
    <w:rsid w:val="007B3533"/>
    <w:rsid w:val="007B48A7"/>
    <w:rsid w:val="007B4F58"/>
    <w:rsid w:val="007B528D"/>
    <w:rsid w:val="007B63CA"/>
    <w:rsid w:val="007B77D1"/>
    <w:rsid w:val="007B7C9E"/>
    <w:rsid w:val="007C0581"/>
    <w:rsid w:val="007C072A"/>
    <w:rsid w:val="007C07C7"/>
    <w:rsid w:val="007C1CD9"/>
    <w:rsid w:val="007C225C"/>
    <w:rsid w:val="007C32EF"/>
    <w:rsid w:val="007C361D"/>
    <w:rsid w:val="007C3A7E"/>
    <w:rsid w:val="007C4B84"/>
    <w:rsid w:val="007C5066"/>
    <w:rsid w:val="007C706A"/>
    <w:rsid w:val="007C70FF"/>
    <w:rsid w:val="007C763B"/>
    <w:rsid w:val="007C79D6"/>
    <w:rsid w:val="007C7C25"/>
    <w:rsid w:val="007D004F"/>
    <w:rsid w:val="007D035F"/>
    <w:rsid w:val="007D06B2"/>
    <w:rsid w:val="007D0B38"/>
    <w:rsid w:val="007D5440"/>
    <w:rsid w:val="007D69EB"/>
    <w:rsid w:val="007E128F"/>
    <w:rsid w:val="007E4E39"/>
    <w:rsid w:val="007E56E6"/>
    <w:rsid w:val="007E61A0"/>
    <w:rsid w:val="007E7524"/>
    <w:rsid w:val="007F1017"/>
    <w:rsid w:val="007F1526"/>
    <w:rsid w:val="007F4132"/>
    <w:rsid w:val="007F4A3F"/>
    <w:rsid w:val="007F4A61"/>
    <w:rsid w:val="007F4B6F"/>
    <w:rsid w:val="007F5255"/>
    <w:rsid w:val="007F56CC"/>
    <w:rsid w:val="007F61C2"/>
    <w:rsid w:val="007F6395"/>
    <w:rsid w:val="007F7DF5"/>
    <w:rsid w:val="00800888"/>
    <w:rsid w:val="008017B2"/>
    <w:rsid w:val="00803642"/>
    <w:rsid w:val="00803845"/>
    <w:rsid w:val="0080402A"/>
    <w:rsid w:val="00805142"/>
    <w:rsid w:val="00805FCE"/>
    <w:rsid w:val="00807384"/>
    <w:rsid w:val="008074B5"/>
    <w:rsid w:val="00807970"/>
    <w:rsid w:val="00807A8B"/>
    <w:rsid w:val="00811383"/>
    <w:rsid w:val="00812149"/>
    <w:rsid w:val="008127B0"/>
    <w:rsid w:val="00812B04"/>
    <w:rsid w:val="00812CAC"/>
    <w:rsid w:val="008136C9"/>
    <w:rsid w:val="0081507E"/>
    <w:rsid w:val="00816361"/>
    <w:rsid w:val="008166EF"/>
    <w:rsid w:val="00816FEF"/>
    <w:rsid w:val="00820A8C"/>
    <w:rsid w:val="008215FB"/>
    <w:rsid w:val="0082199F"/>
    <w:rsid w:val="008220CC"/>
    <w:rsid w:val="00823174"/>
    <w:rsid w:val="00825751"/>
    <w:rsid w:val="008264EB"/>
    <w:rsid w:val="008268CE"/>
    <w:rsid w:val="00827581"/>
    <w:rsid w:val="00827C23"/>
    <w:rsid w:val="008300A9"/>
    <w:rsid w:val="00833B05"/>
    <w:rsid w:val="00834407"/>
    <w:rsid w:val="00834827"/>
    <w:rsid w:val="008362B4"/>
    <w:rsid w:val="00840CA2"/>
    <w:rsid w:val="00841231"/>
    <w:rsid w:val="0084188A"/>
    <w:rsid w:val="008421FC"/>
    <w:rsid w:val="0084374F"/>
    <w:rsid w:val="00844421"/>
    <w:rsid w:val="00844A22"/>
    <w:rsid w:val="00845961"/>
    <w:rsid w:val="00845CFD"/>
    <w:rsid w:val="00847703"/>
    <w:rsid w:val="00847DF5"/>
    <w:rsid w:val="0085309D"/>
    <w:rsid w:val="00853578"/>
    <w:rsid w:val="00856897"/>
    <w:rsid w:val="00856BE7"/>
    <w:rsid w:val="00856E9A"/>
    <w:rsid w:val="00860025"/>
    <w:rsid w:val="0086075D"/>
    <w:rsid w:val="0086129C"/>
    <w:rsid w:val="00861911"/>
    <w:rsid w:val="00862502"/>
    <w:rsid w:val="00862CC1"/>
    <w:rsid w:val="00863751"/>
    <w:rsid w:val="008642A7"/>
    <w:rsid w:val="008653B9"/>
    <w:rsid w:val="008660D4"/>
    <w:rsid w:val="008678F7"/>
    <w:rsid w:val="00871638"/>
    <w:rsid w:val="00871FA9"/>
    <w:rsid w:val="00872445"/>
    <w:rsid w:val="0087289E"/>
    <w:rsid w:val="008728E9"/>
    <w:rsid w:val="00873A4B"/>
    <w:rsid w:val="00875D5F"/>
    <w:rsid w:val="0087630B"/>
    <w:rsid w:val="008770D3"/>
    <w:rsid w:val="00881E2D"/>
    <w:rsid w:val="00882874"/>
    <w:rsid w:val="00882E3C"/>
    <w:rsid w:val="0088308A"/>
    <w:rsid w:val="00883787"/>
    <w:rsid w:val="0088531C"/>
    <w:rsid w:val="008855E4"/>
    <w:rsid w:val="00886CD2"/>
    <w:rsid w:val="008877B7"/>
    <w:rsid w:val="00887DC4"/>
    <w:rsid w:val="00890205"/>
    <w:rsid w:val="00891E6F"/>
    <w:rsid w:val="0089275D"/>
    <w:rsid w:val="00892A36"/>
    <w:rsid w:val="00893054"/>
    <w:rsid w:val="00893239"/>
    <w:rsid w:val="008942FB"/>
    <w:rsid w:val="00894489"/>
    <w:rsid w:val="00894CD6"/>
    <w:rsid w:val="008963A5"/>
    <w:rsid w:val="00896D5D"/>
    <w:rsid w:val="008A3158"/>
    <w:rsid w:val="008A3363"/>
    <w:rsid w:val="008A3371"/>
    <w:rsid w:val="008A3C3E"/>
    <w:rsid w:val="008A54A9"/>
    <w:rsid w:val="008A664A"/>
    <w:rsid w:val="008A79DE"/>
    <w:rsid w:val="008A7F2C"/>
    <w:rsid w:val="008B1757"/>
    <w:rsid w:val="008B1C33"/>
    <w:rsid w:val="008B1F3A"/>
    <w:rsid w:val="008B244F"/>
    <w:rsid w:val="008B2F4D"/>
    <w:rsid w:val="008B4A3D"/>
    <w:rsid w:val="008B4B6F"/>
    <w:rsid w:val="008B55A8"/>
    <w:rsid w:val="008B7992"/>
    <w:rsid w:val="008B7D7E"/>
    <w:rsid w:val="008B7ECB"/>
    <w:rsid w:val="008C2BFA"/>
    <w:rsid w:val="008C3C3F"/>
    <w:rsid w:val="008C4E1E"/>
    <w:rsid w:val="008C4FBF"/>
    <w:rsid w:val="008C5610"/>
    <w:rsid w:val="008C5739"/>
    <w:rsid w:val="008C7282"/>
    <w:rsid w:val="008C746E"/>
    <w:rsid w:val="008C7ECB"/>
    <w:rsid w:val="008D28E7"/>
    <w:rsid w:val="008D3B86"/>
    <w:rsid w:val="008D43FD"/>
    <w:rsid w:val="008D46E0"/>
    <w:rsid w:val="008D4755"/>
    <w:rsid w:val="008D4C3D"/>
    <w:rsid w:val="008D4CF7"/>
    <w:rsid w:val="008D547E"/>
    <w:rsid w:val="008D5601"/>
    <w:rsid w:val="008D743C"/>
    <w:rsid w:val="008D7607"/>
    <w:rsid w:val="008E0D3C"/>
    <w:rsid w:val="008E1B9E"/>
    <w:rsid w:val="008E2283"/>
    <w:rsid w:val="008E55AB"/>
    <w:rsid w:val="008E6CC1"/>
    <w:rsid w:val="008F025D"/>
    <w:rsid w:val="008F120A"/>
    <w:rsid w:val="008F1A05"/>
    <w:rsid w:val="008F277D"/>
    <w:rsid w:val="008F27E0"/>
    <w:rsid w:val="008F48EB"/>
    <w:rsid w:val="008F4F0B"/>
    <w:rsid w:val="008F5536"/>
    <w:rsid w:val="009046C4"/>
    <w:rsid w:val="009062A5"/>
    <w:rsid w:val="00907699"/>
    <w:rsid w:val="00910FA7"/>
    <w:rsid w:val="00911272"/>
    <w:rsid w:val="00911339"/>
    <w:rsid w:val="009135D6"/>
    <w:rsid w:val="00914C77"/>
    <w:rsid w:val="00921ACB"/>
    <w:rsid w:val="00921FD6"/>
    <w:rsid w:val="0092369B"/>
    <w:rsid w:val="00932180"/>
    <w:rsid w:val="0093220D"/>
    <w:rsid w:val="00933A67"/>
    <w:rsid w:val="0093412E"/>
    <w:rsid w:val="00934988"/>
    <w:rsid w:val="009363B0"/>
    <w:rsid w:val="00937044"/>
    <w:rsid w:val="00937089"/>
    <w:rsid w:val="009400B1"/>
    <w:rsid w:val="00944F8A"/>
    <w:rsid w:val="0094721F"/>
    <w:rsid w:val="0095011B"/>
    <w:rsid w:val="00950D3E"/>
    <w:rsid w:val="009510A2"/>
    <w:rsid w:val="00953257"/>
    <w:rsid w:val="0095474C"/>
    <w:rsid w:val="00956314"/>
    <w:rsid w:val="00957D92"/>
    <w:rsid w:val="009611A0"/>
    <w:rsid w:val="00962CB9"/>
    <w:rsid w:val="00964312"/>
    <w:rsid w:val="00965B8A"/>
    <w:rsid w:val="0097009B"/>
    <w:rsid w:val="00970313"/>
    <w:rsid w:val="0097071F"/>
    <w:rsid w:val="009717AC"/>
    <w:rsid w:val="0097368C"/>
    <w:rsid w:val="009745B6"/>
    <w:rsid w:val="0097488C"/>
    <w:rsid w:val="009751C1"/>
    <w:rsid w:val="00975BB9"/>
    <w:rsid w:val="009811F1"/>
    <w:rsid w:val="0098133F"/>
    <w:rsid w:val="009822BB"/>
    <w:rsid w:val="009828E7"/>
    <w:rsid w:val="00982DB6"/>
    <w:rsid w:val="00982DDA"/>
    <w:rsid w:val="00983C29"/>
    <w:rsid w:val="00983E57"/>
    <w:rsid w:val="00984997"/>
    <w:rsid w:val="00984DC0"/>
    <w:rsid w:val="00985DE2"/>
    <w:rsid w:val="0098675D"/>
    <w:rsid w:val="009873BA"/>
    <w:rsid w:val="00987BA4"/>
    <w:rsid w:val="00992608"/>
    <w:rsid w:val="009926E0"/>
    <w:rsid w:val="009942F6"/>
    <w:rsid w:val="0099436E"/>
    <w:rsid w:val="0099451E"/>
    <w:rsid w:val="009946F0"/>
    <w:rsid w:val="00994ED8"/>
    <w:rsid w:val="00995AEC"/>
    <w:rsid w:val="00996B1A"/>
    <w:rsid w:val="00997AC0"/>
    <w:rsid w:val="009A0AE5"/>
    <w:rsid w:val="009A18F6"/>
    <w:rsid w:val="009A2DCC"/>
    <w:rsid w:val="009A3A6C"/>
    <w:rsid w:val="009A3D60"/>
    <w:rsid w:val="009A5ABC"/>
    <w:rsid w:val="009A7F10"/>
    <w:rsid w:val="009B056C"/>
    <w:rsid w:val="009B098A"/>
    <w:rsid w:val="009B18FE"/>
    <w:rsid w:val="009B3E26"/>
    <w:rsid w:val="009B5909"/>
    <w:rsid w:val="009B5A0F"/>
    <w:rsid w:val="009B5F8B"/>
    <w:rsid w:val="009B6FA8"/>
    <w:rsid w:val="009B7AC5"/>
    <w:rsid w:val="009C1271"/>
    <w:rsid w:val="009C3706"/>
    <w:rsid w:val="009C3A3A"/>
    <w:rsid w:val="009C6CEA"/>
    <w:rsid w:val="009C7B85"/>
    <w:rsid w:val="009C7BF6"/>
    <w:rsid w:val="009D0254"/>
    <w:rsid w:val="009D1A64"/>
    <w:rsid w:val="009D4020"/>
    <w:rsid w:val="009D4370"/>
    <w:rsid w:val="009D4BDD"/>
    <w:rsid w:val="009D5B91"/>
    <w:rsid w:val="009D792E"/>
    <w:rsid w:val="009E0DFE"/>
    <w:rsid w:val="009E18A4"/>
    <w:rsid w:val="009E3096"/>
    <w:rsid w:val="009E31F6"/>
    <w:rsid w:val="009E42F6"/>
    <w:rsid w:val="009E4C07"/>
    <w:rsid w:val="009E5AF2"/>
    <w:rsid w:val="009E6B6C"/>
    <w:rsid w:val="009E74B6"/>
    <w:rsid w:val="009E777F"/>
    <w:rsid w:val="009E7F10"/>
    <w:rsid w:val="009F197B"/>
    <w:rsid w:val="009F6120"/>
    <w:rsid w:val="00A00D76"/>
    <w:rsid w:val="00A01184"/>
    <w:rsid w:val="00A01449"/>
    <w:rsid w:val="00A037C2"/>
    <w:rsid w:val="00A03D43"/>
    <w:rsid w:val="00A04380"/>
    <w:rsid w:val="00A04786"/>
    <w:rsid w:val="00A04F32"/>
    <w:rsid w:val="00A05472"/>
    <w:rsid w:val="00A05C32"/>
    <w:rsid w:val="00A0610A"/>
    <w:rsid w:val="00A0653F"/>
    <w:rsid w:val="00A07832"/>
    <w:rsid w:val="00A105A3"/>
    <w:rsid w:val="00A11719"/>
    <w:rsid w:val="00A11CD0"/>
    <w:rsid w:val="00A13948"/>
    <w:rsid w:val="00A1466A"/>
    <w:rsid w:val="00A1555B"/>
    <w:rsid w:val="00A155C5"/>
    <w:rsid w:val="00A162CC"/>
    <w:rsid w:val="00A16AD8"/>
    <w:rsid w:val="00A2021E"/>
    <w:rsid w:val="00A20A3F"/>
    <w:rsid w:val="00A21C95"/>
    <w:rsid w:val="00A21CF3"/>
    <w:rsid w:val="00A24813"/>
    <w:rsid w:val="00A25736"/>
    <w:rsid w:val="00A25781"/>
    <w:rsid w:val="00A26CD5"/>
    <w:rsid w:val="00A27AEC"/>
    <w:rsid w:val="00A27CC5"/>
    <w:rsid w:val="00A30F87"/>
    <w:rsid w:val="00A320DB"/>
    <w:rsid w:val="00A34B49"/>
    <w:rsid w:val="00A34FD1"/>
    <w:rsid w:val="00A35D16"/>
    <w:rsid w:val="00A368CC"/>
    <w:rsid w:val="00A37BCD"/>
    <w:rsid w:val="00A41689"/>
    <w:rsid w:val="00A42592"/>
    <w:rsid w:val="00A43C59"/>
    <w:rsid w:val="00A4458C"/>
    <w:rsid w:val="00A44665"/>
    <w:rsid w:val="00A47CC6"/>
    <w:rsid w:val="00A50ECD"/>
    <w:rsid w:val="00A518F3"/>
    <w:rsid w:val="00A51BF6"/>
    <w:rsid w:val="00A52729"/>
    <w:rsid w:val="00A53675"/>
    <w:rsid w:val="00A564D7"/>
    <w:rsid w:val="00A56638"/>
    <w:rsid w:val="00A56B6A"/>
    <w:rsid w:val="00A578DC"/>
    <w:rsid w:val="00A57FF3"/>
    <w:rsid w:val="00A61FB6"/>
    <w:rsid w:val="00A63252"/>
    <w:rsid w:val="00A640E2"/>
    <w:rsid w:val="00A64D65"/>
    <w:rsid w:val="00A6725B"/>
    <w:rsid w:val="00A70605"/>
    <w:rsid w:val="00A72738"/>
    <w:rsid w:val="00A73134"/>
    <w:rsid w:val="00A7365A"/>
    <w:rsid w:val="00A76001"/>
    <w:rsid w:val="00A764F2"/>
    <w:rsid w:val="00A76CEC"/>
    <w:rsid w:val="00A777B2"/>
    <w:rsid w:val="00A825C8"/>
    <w:rsid w:val="00A825D4"/>
    <w:rsid w:val="00A828F6"/>
    <w:rsid w:val="00A82B73"/>
    <w:rsid w:val="00A86E8B"/>
    <w:rsid w:val="00A87164"/>
    <w:rsid w:val="00A871A9"/>
    <w:rsid w:val="00A93072"/>
    <w:rsid w:val="00A938BD"/>
    <w:rsid w:val="00A93953"/>
    <w:rsid w:val="00A953F9"/>
    <w:rsid w:val="00A959D8"/>
    <w:rsid w:val="00A97588"/>
    <w:rsid w:val="00AA0BD0"/>
    <w:rsid w:val="00AA1039"/>
    <w:rsid w:val="00AA113D"/>
    <w:rsid w:val="00AA183F"/>
    <w:rsid w:val="00AA1928"/>
    <w:rsid w:val="00AA3357"/>
    <w:rsid w:val="00AA6981"/>
    <w:rsid w:val="00AA6BD5"/>
    <w:rsid w:val="00AA6BD8"/>
    <w:rsid w:val="00AA6C7D"/>
    <w:rsid w:val="00AA7FD6"/>
    <w:rsid w:val="00AB042A"/>
    <w:rsid w:val="00AB094B"/>
    <w:rsid w:val="00AB11AD"/>
    <w:rsid w:val="00AB1881"/>
    <w:rsid w:val="00AB19EF"/>
    <w:rsid w:val="00AB1BF0"/>
    <w:rsid w:val="00AB2495"/>
    <w:rsid w:val="00AB2D34"/>
    <w:rsid w:val="00AB3430"/>
    <w:rsid w:val="00AB37B9"/>
    <w:rsid w:val="00AB38E0"/>
    <w:rsid w:val="00AB4AD1"/>
    <w:rsid w:val="00AB5E07"/>
    <w:rsid w:val="00AB7CFA"/>
    <w:rsid w:val="00AC1669"/>
    <w:rsid w:val="00AC5B42"/>
    <w:rsid w:val="00AC5B48"/>
    <w:rsid w:val="00AC759C"/>
    <w:rsid w:val="00AD1450"/>
    <w:rsid w:val="00AD15E8"/>
    <w:rsid w:val="00AD2220"/>
    <w:rsid w:val="00AD356D"/>
    <w:rsid w:val="00AD4190"/>
    <w:rsid w:val="00AD6352"/>
    <w:rsid w:val="00AD6502"/>
    <w:rsid w:val="00AD7B05"/>
    <w:rsid w:val="00AE0695"/>
    <w:rsid w:val="00AE3E7E"/>
    <w:rsid w:val="00AE4E3B"/>
    <w:rsid w:val="00AE5351"/>
    <w:rsid w:val="00AE5AA0"/>
    <w:rsid w:val="00AE6B09"/>
    <w:rsid w:val="00AE755A"/>
    <w:rsid w:val="00AE78EF"/>
    <w:rsid w:val="00AE7E53"/>
    <w:rsid w:val="00AF02AC"/>
    <w:rsid w:val="00AF1315"/>
    <w:rsid w:val="00AF19BF"/>
    <w:rsid w:val="00AF2DC3"/>
    <w:rsid w:val="00AF602B"/>
    <w:rsid w:val="00AF648C"/>
    <w:rsid w:val="00B024CB"/>
    <w:rsid w:val="00B032DA"/>
    <w:rsid w:val="00B033E5"/>
    <w:rsid w:val="00B037FE"/>
    <w:rsid w:val="00B03A63"/>
    <w:rsid w:val="00B0409C"/>
    <w:rsid w:val="00B05EE9"/>
    <w:rsid w:val="00B11ECE"/>
    <w:rsid w:val="00B129A4"/>
    <w:rsid w:val="00B13E0C"/>
    <w:rsid w:val="00B14EC9"/>
    <w:rsid w:val="00B201A4"/>
    <w:rsid w:val="00B201D1"/>
    <w:rsid w:val="00B20635"/>
    <w:rsid w:val="00B20832"/>
    <w:rsid w:val="00B213A6"/>
    <w:rsid w:val="00B22D00"/>
    <w:rsid w:val="00B235B0"/>
    <w:rsid w:val="00B24DF6"/>
    <w:rsid w:val="00B26869"/>
    <w:rsid w:val="00B27A61"/>
    <w:rsid w:val="00B31422"/>
    <w:rsid w:val="00B3294D"/>
    <w:rsid w:val="00B33035"/>
    <w:rsid w:val="00B33DE2"/>
    <w:rsid w:val="00B34FE2"/>
    <w:rsid w:val="00B35095"/>
    <w:rsid w:val="00B35166"/>
    <w:rsid w:val="00B357D8"/>
    <w:rsid w:val="00B360F4"/>
    <w:rsid w:val="00B36650"/>
    <w:rsid w:val="00B367E0"/>
    <w:rsid w:val="00B36A00"/>
    <w:rsid w:val="00B3792B"/>
    <w:rsid w:val="00B37BFC"/>
    <w:rsid w:val="00B40358"/>
    <w:rsid w:val="00B41614"/>
    <w:rsid w:val="00B42851"/>
    <w:rsid w:val="00B42E80"/>
    <w:rsid w:val="00B42F80"/>
    <w:rsid w:val="00B43386"/>
    <w:rsid w:val="00B435CB"/>
    <w:rsid w:val="00B44199"/>
    <w:rsid w:val="00B465EC"/>
    <w:rsid w:val="00B46DAC"/>
    <w:rsid w:val="00B505C8"/>
    <w:rsid w:val="00B50DB8"/>
    <w:rsid w:val="00B5202C"/>
    <w:rsid w:val="00B53654"/>
    <w:rsid w:val="00B53905"/>
    <w:rsid w:val="00B546DB"/>
    <w:rsid w:val="00B54B5B"/>
    <w:rsid w:val="00B5562E"/>
    <w:rsid w:val="00B55862"/>
    <w:rsid w:val="00B55D65"/>
    <w:rsid w:val="00B56305"/>
    <w:rsid w:val="00B56849"/>
    <w:rsid w:val="00B57000"/>
    <w:rsid w:val="00B60939"/>
    <w:rsid w:val="00B60AFD"/>
    <w:rsid w:val="00B62715"/>
    <w:rsid w:val="00B64E76"/>
    <w:rsid w:val="00B65611"/>
    <w:rsid w:val="00B65CFA"/>
    <w:rsid w:val="00B66C84"/>
    <w:rsid w:val="00B6755D"/>
    <w:rsid w:val="00B70E8E"/>
    <w:rsid w:val="00B71252"/>
    <w:rsid w:val="00B71D61"/>
    <w:rsid w:val="00B7516E"/>
    <w:rsid w:val="00B76C92"/>
    <w:rsid w:val="00B80B52"/>
    <w:rsid w:val="00B80EFD"/>
    <w:rsid w:val="00B818A4"/>
    <w:rsid w:val="00B83739"/>
    <w:rsid w:val="00B83D51"/>
    <w:rsid w:val="00B84117"/>
    <w:rsid w:val="00B858F0"/>
    <w:rsid w:val="00B85A64"/>
    <w:rsid w:val="00B85AA2"/>
    <w:rsid w:val="00B8649C"/>
    <w:rsid w:val="00B8695D"/>
    <w:rsid w:val="00B87F0A"/>
    <w:rsid w:val="00B90529"/>
    <w:rsid w:val="00B92D0B"/>
    <w:rsid w:val="00B93464"/>
    <w:rsid w:val="00B946ED"/>
    <w:rsid w:val="00B94945"/>
    <w:rsid w:val="00B94DD6"/>
    <w:rsid w:val="00BA0417"/>
    <w:rsid w:val="00BA04B4"/>
    <w:rsid w:val="00BA13D5"/>
    <w:rsid w:val="00BA1885"/>
    <w:rsid w:val="00BA1DA5"/>
    <w:rsid w:val="00BA20E5"/>
    <w:rsid w:val="00BA322D"/>
    <w:rsid w:val="00BA63FA"/>
    <w:rsid w:val="00BA7A03"/>
    <w:rsid w:val="00BB00B3"/>
    <w:rsid w:val="00BB0BDD"/>
    <w:rsid w:val="00BB176C"/>
    <w:rsid w:val="00BB1CDA"/>
    <w:rsid w:val="00BB2A73"/>
    <w:rsid w:val="00BB3A45"/>
    <w:rsid w:val="00BB4ACC"/>
    <w:rsid w:val="00BB703E"/>
    <w:rsid w:val="00BB732D"/>
    <w:rsid w:val="00BB7405"/>
    <w:rsid w:val="00BC20AD"/>
    <w:rsid w:val="00BC3631"/>
    <w:rsid w:val="00BC591F"/>
    <w:rsid w:val="00BC615C"/>
    <w:rsid w:val="00BC7D6D"/>
    <w:rsid w:val="00BD1627"/>
    <w:rsid w:val="00BD1AD5"/>
    <w:rsid w:val="00BD2108"/>
    <w:rsid w:val="00BD68A3"/>
    <w:rsid w:val="00BD6938"/>
    <w:rsid w:val="00BD6CF3"/>
    <w:rsid w:val="00BD70F3"/>
    <w:rsid w:val="00BD7F72"/>
    <w:rsid w:val="00BE02B6"/>
    <w:rsid w:val="00BE0DF6"/>
    <w:rsid w:val="00BE0ECA"/>
    <w:rsid w:val="00BE2180"/>
    <w:rsid w:val="00BE21F2"/>
    <w:rsid w:val="00BE24D6"/>
    <w:rsid w:val="00BE2B3D"/>
    <w:rsid w:val="00BE2BF9"/>
    <w:rsid w:val="00BE4275"/>
    <w:rsid w:val="00BE4C34"/>
    <w:rsid w:val="00BE5323"/>
    <w:rsid w:val="00BF06AE"/>
    <w:rsid w:val="00BF0F95"/>
    <w:rsid w:val="00BF2433"/>
    <w:rsid w:val="00BF2891"/>
    <w:rsid w:val="00BF2E6E"/>
    <w:rsid w:val="00BF61C9"/>
    <w:rsid w:val="00BF6C94"/>
    <w:rsid w:val="00BF7399"/>
    <w:rsid w:val="00BF7DB8"/>
    <w:rsid w:val="00C00424"/>
    <w:rsid w:val="00C00BB0"/>
    <w:rsid w:val="00C013A1"/>
    <w:rsid w:val="00C01D6D"/>
    <w:rsid w:val="00C02A08"/>
    <w:rsid w:val="00C06D4E"/>
    <w:rsid w:val="00C101C5"/>
    <w:rsid w:val="00C1179F"/>
    <w:rsid w:val="00C127B9"/>
    <w:rsid w:val="00C12835"/>
    <w:rsid w:val="00C128FA"/>
    <w:rsid w:val="00C12C14"/>
    <w:rsid w:val="00C13A10"/>
    <w:rsid w:val="00C152F3"/>
    <w:rsid w:val="00C1543B"/>
    <w:rsid w:val="00C1587A"/>
    <w:rsid w:val="00C15F04"/>
    <w:rsid w:val="00C16C56"/>
    <w:rsid w:val="00C179B3"/>
    <w:rsid w:val="00C17E3F"/>
    <w:rsid w:val="00C200AA"/>
    <w:rsid w:val="00C21826"/>
    <w:rsid w:val="00C22D7C"/>
    <w:rsid w:val="00C237ED"/>
    <w:rsid w:val="00C24632"/>
    <w:rsid w:val="00C2496C"/>
    <w:rsid w:val="00C25418"/>
    <w:rsid w:val="00C25D9C"/>
    <w:rsid w:val="00C2778B"/>
    <w:rsid w:val="00C31649"/>
    <w:rsid w:val="00C32BDB"/>
    <w:rsid w:val="00C33C47"/>
    <w:rsid w:val="00C3434C"/>
    <w:rsid w:val="00C35BCF"/>
    <w:rsid w:val="00C40385"/>
    <w:rsid w:val="00C41768"/>
    <w:rsid w:val="00C43C95"/>
    <w:rsid w:val="00C440F9"/>
    <w:rsid w:val="00C475AA"/>
    <w:rsid w:val="00C527C7"/>
    <w:rsid w:val="00C53AC3"/>
    <w:rsid w:val="00C53C98"/>
    <w:rsid w:val="00C55617"/>
    <w:rsid w:val="00C56FCF"/>
    <w:rsid w:val="00C57722"/>
    <w:rsid w:val="00C57B6C"/>
    <w:rsid w:val="00C60868"/>
    <w:rsid w:val="00C61A59"/>
    <w:rsid w:val="00C628A6"/>
    <w:rsid w:val="00C62E03"/>
    <w:rsid w:val="00C6381D"/>
    <w:rsid w:val="00C64344"/>
    <w:rsid w:val="00C65108"/>
    <w:rsid w:val="00C6547B"/>
    <w:rsid w:val="00C65576"/>
    <w:rsid w:val="00C66165"/>
    <w:rsid w:val="00C7060A"/>
    <w:rsid w:val="00C713D9"/>
    <w:rsid w:val="00C7151A"/>
    <w:rsid w:val="00C717E3"/>
    <w:rsid w:val="00C71F60"/>
    <w:rsid w:val="00C72241"/>
    <w:rsid w:val="00C7349A"/>
    <w:rsid w:val="00C750C8"/>
    <w:rsid w:val="00C7560F"/>
    <w:rsid w:val="00C75ACD"/>
    <w:rsid w:val="00C75BD1"/>
    <w:rsid w:val="00C80A0E"/>
    <w:rsid w:val="00C816A5"/>
    <w:rsid w:val="00C8213F"/>
    <w:rsid w:val="00C82146"/>
    <w:rsid w:val="00C8236F"/>
    <w:rsid w:val="00C8303F"/>
    <w:rsid w:val="00C83A62"/>
    <w:rsid w:val="00C8430F"/>
    <w:rsid w:val="00C85154"/>
    <w:rsid w:val="00C858A1"/>
    <w:rsid w:val="00C85A70"/>
    <w:rsid w:val="00C87161"/>
    <w:rsid w:val="00C8797A"/>
    <w:rsid w:val="00C879C9"/>
    <w:rsid w:val="00C87AA0"/>
    <w:rsid w:val="00C900B8"/>
    <w:rsid w:val="00C90197"/>
    <w:rsid w:val="00C90C71"/>
    <w:rsid w:val="00C91FD1"/>
    <w:rsid w:val="00C9307A"/>
    <w:rsid w:val="00C931CF"/>
    <w:rsid w:val="00C938CF"/>
    <w:rsid w:val="00C93B2E"/>
    <w:rsid w:val="00C94053"/>
    <w:rsid w:val="00C9534B"/>
    <w:rsid w:val="00C9624D"/>
    <w:rsid w:val="00C969DA"/>
    <w:rsid w:val="00CA0339"/>
    <w:rsid w:val="00CA07A0"/>
    <w:rsid w:val="00CA12F8"/>
    <w:rsid w:val="00CA2BCB"/>
    <w:rsid w:val="00CA2C77"/>
    <w:rsid w:val="00CA444F"/>
    <w:rsid w:val="00CA4829"/>
    <w:rsid w:val="00CA5245"/>
    <w:rsid w:val="00CA71F4"/>
    <w:rsid w:val="00CA74F0"/>
    <w:rsid w:val="00CA7B09"/>
    <w:rsid w:val="00CB12A5"/>
    <w:rsid w:val="00CB1CAC"/>
    <w:rsid w:val="00CB2F2A"/>
    <w:rsid w:val="00CB303B"/>
    <w:rsid w:val="00CB4AF5"/>
    <w:rsid w:val="00CB5649"/>
    <w:rsid w:val="00CB5B1A"/>
    <w:rsid w:val="00CB6557"/>
    <w:rsid w:val="00CB6B22"/>
    <w:rsid w:val="00CB6C3E"/>
    <w:rsid w:val="00CB7F5F"/>
    <w:rsid w:val="00CC116C"/>
    <w:rsid w:val="00CC1582"/>
    <w:rsid w:val="00CC1B39"/>
    <w:rsid w:val="00CC1BFA"/>
    <w:rsid w:val="00CC2E9F"/>
    <w:rsid w:val="00CC35EA"/>
    <w:rsid w:val="00CC3848"/>
    <w:rsid w:val="00CC4A0E"/>
    <w:rsid w:val="00CC6D5E"/>
    <w:rsid w:val="00CC73AA"/>
    <w:rsid w:val="00CD0200"/>
    <w:rsid w:val="00CD0DBA"/>
    <w:rsid w:val="00CD3F77"/>
    <w:rsid w:val="00CD5846"/>
    <w:rsid w:val="00CD5E2D"/>
    <w:rsid w:val="00CD6ADC"/>
    <w:rsid w:val="00CD7193"/>
    <w:rsid w:val="00CE068A"/>
    <w:rsid w:val="00CE38C8"/>
    <w:rsid w:val="00CE524F"/>
    <w:rsid w:val="00CE58CC"/>
    <w:rsid w:val="00CE6274"/>
    <w:rsid w:val="00CE751A"/>
    <w:rsid w:val="00CE75B6"/>
    <w:rsid w:val="00CE77B6"/>
    <w:rsid w:val="00CF18A5"/>
    <w:rsid w:val="00CF2B8D"/>
    <w:rsid w:val="00CF3A1B"/>
    <w:rsid w:val="00CF456B"/>
    <w:rsid w:val="00CF5A22"/>
    <w:rsid w:val="00CF71D1"/>
    <w:rsid w:val="00CF71FD"/>
    <w:rsid w:val="00D0169C"/>
    <w:rsid w:val="00D0262E"/>
    <w:rsid w:val="00D03207"/>
    <w:rsid w:val="00D03679"/>
    <w:rsid w:val="00D03F08"/>
    <w:rsid w:val="00D04F9B"/>
    <w:rsid w:val="00D05E3D"/>
    <w:rsid w:val="00D06139"/>
    <w:rsid w:val="00D110BD"/>
    <w:rsid w:val="00D13675"/>
    <w:rsid w:val="00D1392D"/>
    <w:rsid w:val="00D13A3C"/>
    <w:rsid w:val="00D141E1"/>
    <w:rsid w:val="00D141E9"/>
    <w:rsid w:val="00D15314"/>
    <w:rsid w:val="00D15B48"/>
    <w:rsid w:val="00D17D6C"/>
    <w:rsid w:val="00D20B1B"/>
    <w:rsid w:val="00D2155B"/>
    <w:rsid w:val="00D21EAC"/>
    <w:rsid w:val="00D21FF5"/>
    <w:rsid w:val="00D22F96"/>
    <w:rsid w:val="00D2378E"/>
    <w:rsid w:val="00D23D11"/>
    <w:rsid w:val="00D23D25"/>
    <w:rsid w:val="00D24173"/>
    <w:rsid w:val="00D244B6"/>
    <w:rsid w:val="00D2754D"/>
    <w:rsid w:val="00D27B27"/>
    <w:rsid w:val="00D30D5B"/>
    <w:rsid w:val="00D30F50"/>
    <w:rsid w:val="00D333DF"/>
    <w:rsid w:val="00D33BE9"/>
    <w:rsid w:val="00D33F93"/>
    <w:rsid w:val="00D34768"/>
    <w:rsid w:val="00D357FF"/>
    <w:rsid w:val="00D35DDC"/>
    <w:rsid w:val="00D424C7"/>
    <w:rsid w:val="00D43B2A"/>
    <w:rsid w:val="00D43CF1"/>
    <w:rsid w:val="00D43D83"/>
    <w:rsid w:val="00D44999"/>
    <w:rsid w:val="00D47444"/>
    <w:rsid w:val="00D47575"/>
    <w:rsid w:val="00D514CD"/>
    <w:rsid w:val="00D5243B"/>
    <w:rsid w:val="00D533EC"/>
    <w:rsid w:val="00D53B3E"/>
    <w:rsid w:val="00D53EC8"/>
    <w:rsid w:val="00D56A95"/>
    <w:rsid w:val="00D57240"/>
    <w:rsid w:val="00D6076E"/>
    <w:rsid w:val="00D63BEB"/>
    <w:rsid w:val="00D650B8"/>
    <w:rsid w:val="00D67EE3"/>
    <w:rsid w:val="00D70ED2"/>
    <w:rsid w:val="00D70F16"/>
    <w:rsid w:val="00D71469"/>
    <w:rsid w:val="00D716C2"/>
    <w:rsid w:val="00D72617"/>
    <w:rsid w:val="00D72F57"/>
    <w:rsid w:val="00D74A2A"/>
    <w:rsid w:val="00D76A44"/>
    <w:rsid w:val="00D77C78"/>
    <w:rsid w:val="00D815EF"/>
    <w:rsid w:val="00D81949"/>
    <w:rsid w:val="00D81F26"/>
    <w:rsid w:val="00D822E2"/>
    <w:rsid w:val="00D843F2"/>
    <w:rsid w:val="00D85D5F"/>
    <w:rsid w:val="00D86231"/>
    <w:rsid w:val="00D868AE"/>
    <w:rsid w:val="00D9088B"/>
    <w:rsid w:val="00D912AB"/>
    <w:rsid w:val="00D9141F"/>
    <w:rsid w:val="00D91923"/>
    <w:rsid w:val="00D91C62"/>
    <w:rsid w:val="00D929B4"/>
    <w:rsid w:val="00D93062"/>
    <w:rsid w:val="00D93753"/>
    <w:rsid w:val="00DA10BD"/>
    <w:rsid w:val="00DA11E7"/>
    <w:rsid w:val="00DA2AF5"/>
    <w:rsid w:val="00DA3167"/>
    <w:rsid w:val="00DA3913"/>
    <w:rsid w:val="00DA3D16"/>
    <w:rsid w:val="00DA4DC3"/>
    <w:rsid w:val="00DA5F35"/>
    <w:rsid w:val="00DA77A5"/>
    <w:rsid w:val="00DB0E36"/>
    <w:rsid w:val="00DB3DBF"/>
    <w:rsid w:val="00DB484F"/>
    <w:rsid w:val="00DB73AF"/>
    <w:rsid w:val="00DC04F6"/>
    <w:rsid w:val="00DC0690"/>
    <w:rsid w:val="00DC1D65"/>
    <w:rsid w:val="00DC34AE"/>
    <w:rsid w:val="00DC3689"/>
    <w:rsid w:val="00DC3C57"/>
    <w:rsid w:val="00DC4045"/>
    <w:rsid w:val="00DC5501"/>
    <w:rsid w:val="00DC5DE4"/>
    <w:rsid w:val="00DC5F3F"/>
    <w:rsid w:val="00DC7154"/>
    <w:rsid w:val="00DC7E8A"/>
    <w:rsid w:val="00DD0F78"/>
    <w:rsid w:val="00DD102F"/>
    <w:rsid w:val="00DD273C"/>
    <w:rsid w:val="00DD3C43"/>
    <w:rsid w:val="00DD3F28"/>
    <w:rsid w:val="00DD4446"/>
    <w:rsid w:val="00DD4537"/>
    <w:rsid w:val="00DD4E15"/>
    <w:rsid w:val="00DD5322"/>
    <w:rsid w:val="00DD70F7"/>
    <w:rsid w:val="00DD76C7"/>
    <w:rsid w:val="00DE1C20"/>
    <w:rsid w:val="00DE2304"/>
    <w:rsid w:val="00DE3138"/>
    <w:rsid w:val="00DE322E"/>
    <w:rsid w:val="00DE345B"/>
    <w:rsid w:val="00DE367C"/>
    <w:rsid w:val="00DE37F8"/>
    <w:rsid w:val="00DE4273"/>
    <w:rsid w:val="00DE4FCB"/>
    <w:rsid w:val="00DE5D07"/>
    <w:rsid w:val="00DE72A7"/>
    <w:rsid w:val="00DE7832"/>
    <w:rsid w:val="00DE7A1F"/>
    <w:rsid w:val="00DF18FC"/>
    <w:rsid w:val="00DF1F60"/>
    <w:rsid w:val="00DF5D2B"/>
    <w:rsid w:val="00DF6341"/>
    <w:rsid w:val="00DF69AA"/>
    <w:rsid w:val="00E009B7"/>
    <w:rsid w:val="00E00E8E"/>
    <w:rsid w:val="00E018F4"/>
    <w:rsid w:val="00E04F3D"/>
    <w:rsid w:val="00E05630"/>
    <w:rsid w:val="00E06DBB"/>
    <w:rsid w:val="00E10149"/>
    <w:rsid w:val="00E10D02"/>
    <w:rsid w:val="00E11340"/>
    <w:rsid w:val="00E12242"/>
    <w:rsid w:val="00E122A1"/>
    <w:rsid w:val="00E154B4"/>
    <w:rsid w:val="00E16372"/>
    <w:rsid w:val="00E16AD8"/>
    <w:rsid w:val="00E16FC5"/>
    <w:rsid w:val="00E17FFA"/>
    <w:rsid w:val="00E20E4D"/>
    <w:rsid w:val="00E20ED6"/>
    <w:rsid w:val="00E21358"/>
    <w:rsid w:val="00E2249B"/>
    <w:rsid w:val="00E22A0D"/>
    <w:rsid w:val="00E2356A"/>
    <w:rsid w:val="00E244F6"/>
    <w:rsid w:val="00E2522E"/>
    <w:rsid w:val="00E258DB"/>
    <w:rsid w:val="00E2771E"/>
    <w:rsid w:val="00E27A57"/>
    <w:rsid w:val="00E27F70"/>
    <w:rsid w:val="00E311EF"/>
    <w:rsid w:val="00E32180"/>
    <w:rsid w:val="00E326BF"/>
    <w:rsid w:val="00E33301"/>
    <w:rsid w:val="00E33731"/>
    <w:rsid w:val="00E34948"/>
    <w:rsid w:val="00E359CD"/>
    <w:rsid w:val="00E37569"/>
    <w:rsid w:val="00E401B2"/>
    <w:rsid w:val="00E40648"/>
    <w:rsid w:val="00E41E30"/>
    <w:rsid w:val="00E42F73"/>
    <w:rsid w:val="00E4306C"/>
    <w:rsid w:val="00E43D70"/>
    <w:rsid w:val="00E466F3"/>
    <w:rsid w:val="00E47827"/>
    <w:rsid w:val="00E478B6"/>
    <w:rsid w:val="00E47B2C"/>
    <w:rsid w:val="00E50CBD"/>
    <w:rsid w:val="00E51560"/>
    <w:rsid w:val="00E51821"/>
    <w:rsid w:val="00E53FC8"/>
    <w:rsid w:val="00E54347"/>
    <w:rsid w:val="00E54AEF"/>
    <w:rsid w:val="00E55424"/>
    <w:rsid w:val="00E55915"/>
    <w:rsid w:val="00E55BB5"/>
    <w:rsid w:val="00E60BBC"/>
    <w:rsid w:val="00E611DF"/>
    <w:rsid w:val="00E63C92"/>
    <w:rsid w:val="00E64310"/>
    <w:rsid w:val="00E64DD9"/>
    <w:rsid w:val="00E659AD"/>
    <w:rsid w:val="00E65E79"/>
    <w:rsid w:val="00E66BA2"/>
    <w:rsid w:val="00E66BA4"/>
    <w:rsid w:val="00E67416"/>
    <w:rsid w:val="00E67D87"/>
    <w:rsid w:val="00E7170C"/>
    <w:rsid w:val="00E718B6"/>
    <w:rsid w:val="00E71DC1"/>
    <w:rsid w:val="00E723BA"/>
    <w:rsid w:val="00E73581"/>
    <w:rsid w:val="00E75D99"/>
    <w:rsid w:val="00E77C66"/>
    <w:rsid w:val="00E8159F"/>
    <w:rsid w:val="00E833F7"/>
    <w:rsid w:val="00E83BDF"/>
    <w:rsid w:val="00E83DF2"/>
    <w:rsid w:val="00E85322"/>
    <w:rsid w:val="00E86514"/>
    <w:rsid w:val="00E86FCC"/>
    <w:rsid w:val="00E87A1D"/>
    <w:rsid w:val="00E9094A"/>
    <w:rsid w:val="00E91362"/>
    <w:rsid w:val="00E91D35"/>
    <w:rsid w:val="00E926A5"/>
    <w:rsid w:val="00E936A4"/>
    <w:rsid w:val="00E94249"/>
    <w:rsid w:val="00E94ABF"/>
    <w:rsid w:val="00E962CC"/>
    <w:rsid w:val="00E97A09"/>
    <w:rsid w:val="00EA03A2"/>
    <w:rsid w:val="00EA17C3"/>
    <w:rsid w:val="00EA21D4"/>
    <w:rsid w:val="00EA29D5"/>
    <w:rsid w:val="00EA2CAA"/>
    <w:rsid w:val="00EA3864"/>
    <w:rsid w:val="00EA7F1C"/>
    <w:rsid w:val="00EB15B6"/>
    <w:rsid w:val="00EB3D06"/>
    <w:rsid w:val="00EB40A6"/>
    <w:rsid w:val="00EB4916"/>
    <w:rsid w:val="00EB561E"/>
    <w:rsid w:val="00EB5E5E"/>
    <w:rsid w:val="00EB5F19"/>
    <w:rsid w:val="00EB61D8"/>
    <w:rsid w:val="00EC00C9"/>
    <w:rsid w:val="00EC0354"/>
    <w:rsid w:val="00EC0DD9"/>
    <w:rsid w:val="00EC2649"/>
    <w:rsid w:val="00EC31ED"/>
    <w:rsid w:val="00EC3C25"/>
    <w:rsid w:val="00EC5836"/>
    <w:rsid w:val="00EC688C"/>
    <w:rsid w:val="00EC6D64"/>
    <w:rsid w:val="00EC6F00"/>
    <w:rsid w:val="00EC7993"/>
    <w:rsid w:val="00ED12E3"/>
    <w:rsid w:val="00ED19BE"/>
    <w:rsid w:val="00ED1BC4"/>
    <w:rsid w:val="00ED29CC"/>
    <w:rsid w:val="00ED4B04"/>
    <w:rsid w:val="00ED57EA"/>
    <w:rsid w:val="00ED5BD4"/>
    <w:rsid w:val="00ED6BED"/>
    <w:rsid w:val="00EE071D"/>
    <w:rsid w:val="00EE07D3"/>
    <w:rsid w:val="00EE1881"/>
    <w:rsid w:val="00EE1996"/>
    <w:rsid w:val="00EE1C01"/>
    <w:rsid w:val="00EE22AF"/>
    <w:rsid w:val="00EE45CB"/>
    <w:rsid w:val="00EE4F9C"/>
    <w:rsid w:val="00EE5D42"/>
    <w:rsid w:val="00EE63A5"/>
    <w:rsid w:val="00EF0171"/>
    <w:rsid w:val="00EF1B25"/>
    <w:rsid w:val="00EF1DA0"/>
    <w:rsid w:val="00EF253E"/>
    <w:rsid w:val="00EF4747"/>
    <w:rsid w:val="00EF48F4"/>
    <w:rsid w:val="00EF4BF8"/>
    <w:rsid w:val="00EF50CA"/>
    <w:rsid w:val="00EF6ADE"/>
    <w:rsid w:val="00EF7DEE"/>
    <w:rsid w:val="00F0153A"/>
    <w:rsid w:val="00F01836"/>
    <w:rsid w:val="00F02253"/>
    <w:rsid w:val="00F02290"/>
    <w:rsid w:val="00F03C2E"/>
    <w:rsid w:val="00F04A66"/>
    <w:rsid w:val="00F04B4B"/>
    <w:rsid w:val="00F04E03"/>
    <w:rsid w:val="00F0516C"/>
    <w:rsid w:val="00F067A2"/>
    <w:rsid w:val="00F06CA0"/>
    <w:rsid w:val="00F07868"/>
    <w:rsid w:val="00F07B9E"/>
    <w:rsid w:val="00F1116F"/>
    <w:rsid w:val="00F11C13"/>
    <w:rsid w:val="00F1263A"/>
    <w:rsid w:val="00F1328D"/>
    <w:rsid w:val="00F139A3"/>
    <w:rsid w:val="00F139C5"/>
    <w:rsid w:val="00F144FB"/>
    <w:rsid w:val="00F15B77"/>
    <w:rsid w:val="00F160E1"/>
    <w:rsid w:val="00F1616F"/>
    <w:rsid w:val="00F21236"/>
    <w:rsid w:val="00F2208B"/>
    <w:rsid w:val="00F2219B"/>
    <w:rsid w:val="00F239DF"/>
    <w:rsid w:val="00F24837"/>
    <w:rsid w:val="00F256CB"/>
    <w:rsid w:val="00F2575F"/>
    <w:rsid w:val="00F27155"/>
    <w:rsid w:val="00F27565"/>
    <w:rsid w:val="00F30EBF"/>
    <w:rsid w:val="00F310D4"/>
    <w:rsid w:val="00F31D5A"/>
    <w:rsid w:val="00F33975"/>
    <w:rsid w:val="00F33DE9"/>
    <w:rsid w:val="00F35E6D"/>
    <w:rsid w:val="00F3619A"/>
    <w:rsid w:val="00F36395"/>
    <w:rsid w:val="00F400F7"/>
    <w:rsid w:val="00F407EB"/>
    <w:rsid w:val="00F408B8"/>
    <w:rsid w:val="00F40AAA"/>
    <w:rsid w:val="00F40BA7"/>
    <w:rsid w:val="00F40F9D"/>
    <w:rsid w:val="00F41ACD"/>
    <w:rsid w:val="00F42E0E"/>
    <w:rsid w:val="00F45262"/>
    <w:rsid w:val="00F46222"/>
    <w:rsid w:val="00F46CB6"/>
    <w:rsid w:val="00F4756D"/>
    <w:rsid w:val="00F47654"/>
    <w:rsid w:val="00F47DE8"/>
    <w:rsid w:val="00F511B1"/>
    <w:rsid w:val="00F51395"/>
    <w:rsid w:val="00F5276F"/>
    <w:rsid w:val="00F542C1"/>
    <w:rsid w:val="00F550E3"/>
    <w:rsid w:val="00F55E73"/>
    <w:rsid w:val="00F55EDA"/>
    <w:rsid w:val="00F56C80"/>
    <w:rsid w:val="00F5731D"/>
    <w:rsid w:val="00F60092"/>
    <w:rsid w:val="00F60693"/>
    <w:rsid w:val="00F61C18"/>
    <w:rsid w:val="00F6480E"/>
    <w:rsid w:val="00F64956"/>
    <w:rsid w:val="00F65F4B"/>
    <w:rsid w:val="00F665D5"/>
    <w:rsid w:val="00F6746C"/>
    <w:rsid w:val="00F67A69"/>
    <w:rsid w:val="00F70BFF"/>
    <w:rsid w:val="00F70C9D"/>
    <w:rsid w:val="00F73E08"/>
    <w:rsid w:val="00F74871"/>
    <w:rsid w:val="00F74CD9"/>
    <w:rsid w:val="00F770D1"/>
    <w:rsid w:val="00F800E4"/>
    <w:rsid w:val="00F8085B"/>
    <w:rsid w:val="00F8097B"/>
    <w:rsid w:val="00F80A7B"/>
    <w:rsid w:val="00F80C66"/>
    <w:rsid w:val="00F80E5D"/>
    <w:rsid w:val="00F81E78"/>
    <w:rsid w:val="00F82400"/>
    <w:rsid w:val="00F834B5"/>
    <w:rsid w:val="00F83916"/>
    <w:rsid w:val="00F851CE"/>
    <w:rsid w:val="00F85AA6"/>
    <w:rsid w:val="00F875C5"/>
    <w:rsid w:val="00F9047F"/>
    <w:rsid w:val="00F91219"/>
    <w:rsid w:val="00F92444"/>
    <w:rsid w:val="00F9393E"/>
    <w:rsid w:val="00F96FD0"/>
    <w:rsid w:val="00F97A78"/>
    <w:rsid w:val="00FA07B2"/>
    <w:rsid w:val="00FA0B20"/>
    <w:rsid w:val="00FA1139"/>
    <w:rsid w:val="00FA242F"/>
    <w:rsid w:val="00FA24E7"/>
    <w:rsid w:val="00FA463D"/>
    <w:rsid w:val="00FA5EE6"/>
    <w:rsid w:val="00FA6969"/>
    <w:rsid w:val="00FA7956"/>
    <w:rsid w:val="00FA7D84"/>
    <w:rsid w:val="00FB0824"/>
    <w:rsid w:val="00FB1CFE"/>
    <w:rsid w:val="00FB2FCB"/>
    <w:rsid w:val="00FB4C9C"/>
    <w:rsid w:val="00FB7C55"/>
    <w:rsid w:val="00FC1074"/>
    <w:rsid w:val="00FC1884"/>
    <w:rsid w:val="00FC1CAB"/>
    <w:rsid w:val="00FC371D"/>
    <w:rsid w:val="00FC4D27"/>
    <w:rsid w:val="00FC5F0B"/>
    <w:rsid w:val="00FD0A75"/>
    <w:rsid w:val="00FD14BE"/>
    <w:rsid w:val="00FD2100"/>
    <w:rsid w:val="00FD2DD4"/>
    <w:rsid w:val="00FD40DA"/>
    <w:rsid w:val="00FD436C"/>
    <w:rsid w:val="00FD446D"/>
    <w:rsid w:val="00FD4F2C"/>
    <w:rsid w:val="00FD540E"/>
    <w:rsid w:val="00FD6394"/>
    <w:rsid w:val="00FD7E76"/>
    <w:rsid w:val="00FE0B58"/>
    <w:rsid w:val="00FE0BC6"/>
    <w:rsid w:val="00FE0E6C"/>
    <w:rsid w:val="00FE14BE"/>
    <w:rsid w:val="00FE1CDC"/>
    <w:rsid w:val="00FE26A6"/>
    <w:rsid w:val="00FE4CD3"/>
    <w:rsid w:val="00FE70C3"/>
    <w:rsid w:val="00FE7AAB"/>
    <w:rsid w:val="00FF1A8B"/>
    <w:rsid w:val="00FF229E"/>
    <w:rsid w:val="00FF25AA"/>
    <w:rsid w:val="00FF2AD9"/>
    <w:rsid w:val="00FF2CA1"/>
    <w:rsid w:val="00FF359F"/>
    <w:rsid w:val="00FF3DCF"/>
    <w:rsid w:val="00FF410A"/>
    <w:rsid w:val="00FF492C"/>
    <w:rsid w:val="00FF4A21"/>
    <w:rsid w:val="00FF53DC"/>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aption Char1,Caption Char Char,Char Char Char,Char Char1,Char Char,Char1,Table caption,Caption 3,c,appendix,Char,Caption2,Caption Char Char Char Char Char,Caption Char Char1 Char,Caption Char1 Char1"/>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ayer Caption Char,IB Caption Char,Medical Caption Char,Caption Char1 Char,Caption Char Char Char,Char Char Char Char,Char Char1 Char,Char Char Char1,Char1 Char,Table caption Char,Caption 3 Char,c Char,appendix Char,Char Char2,Caption2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Figure_name,Numbered Indented Text,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Figure_nam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Conclusion box,Table Grid nm"/>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4D7B35"/>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C6086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79017D"/>
    <w:rPr>
      <w:sz w:val="20"/>
      <w:szCs w:val="20"/>
    </w:rPr>
  </w:style>
  <w:style w:type="character" w:customStyle="1" w:styleId="FootnoteTextChar">
    <w:name w:val="Footnote Text Char"/>
    <w:basedOn w:val="DefaultParagraphFont"/>
    <w:link w:val="FootnoteText"/>
    <w:semiHidden/>
    <w:rsid w:val="0079017D"/>
    <w:rPr>
      <w:rFonts w:ascii="Calibri" w:hAnsi="Calibri" w:cs="Arial"/>
    </w:rPr>
  </w:style>
  <w:style w:type="character" w:styleId="FootnoteReference">
    <w:name w:val="footnote reference"/>
    <w:basedOn w:val="DefaultParagraphFont"/>
    <w:semiHidden/>
    <w:unhideWhenUsed/>
    <w:rsid w:val="0079017D"/>
    <w:rPr>
      <w:vertAlign w:val="superscript"/>
    </w:rPr>
  </w:style>
  <w:style w:type="character" w:styleId="UnresolvedMention">
    <w:name w:val="Unresolved Mention"/>
    <w:basedOn w:val="DefaultParagraphFont"/>
    <w:uiPriority w:val="99"/>
    <w:semiHidden/>
    <w:unhideWhenUsed/>
    <w:rsid w:val="00E97A09"/>
    <w:rPr>
      <w:color w:val="605E5C"/>
      <w:shd w:val="clear" w:color="auto" w:fill="E1DFDD"/>
    </w:rPr>
  </w:style>
  <w:style w:type="paragraph" w:customStyle="1" w:styleId="Bodytextitalics">
    <w:name w:val="Body text italics"/>
    <w:basedOn w:val="BodyText"/>
    <w:qFormat/>
    <w:rsid w:val="00DA10BD"/>
    <w:pPr>
      <w:spacing w:after="120"/>
      <w:ind w:left="720" w:hanging="720"/>
    </w:pPr>
    <w:rPr>
      <w:rFonts w:asciiTheme="minorHAnsi" w:eastAsiaTheme="minorHAnsi" w:hAnsiTheme="minorHAnsi" w:cstheme="minorBidi"/>
      <w:i/>
      <w:szCs w:val="22"/>
    </w:rPr>
  </w:style>
  <w:style w:type="paragraph" w:customStyle="1" w:styleId="3-SubsectionHeading">
    <w:name w:val="3-Subsection Heading"/>
    <w:basedOn w:val="Heading2"/>
    <w:next w:val="Normal"/>
    <w:link w:val="3-SubsectionHeadingChar"/>
    <w:qFormat/>
    <w:rsid w:val="003E721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E7216"/>
    <w:rPr>
      <w:rFonts w:asciiTheme="minorHAnsi" w:eastAsiaTheme="majorEastAsia" w:hAnsiTheme="minorHAnsi" w:cstheme="majorBidi"/>
      <w:b/>
      <w:i/>
      <w:snapToGrid/>
      <w:spacing w:val="5"/>
      <w:kern w:val="28"/>
      <w:sz w:val="28"/>
      <w:szCs w:val="36"/>
      <w:lang w:eastAsia="en-US"/>
    </w:rPr>
  </w:style>
  <w:style w:type="table" w:customStyle="1" w:styleId="LashStyleTable1">
    <w:name w:val="Lash Style Table1"/>
    <w:basedOn w:val="TableNormal"/>
    <w:next w:val="TableGrid"/>
    <w:uiPriority w:val="39"/>
    <w:rsid w:val="000031BD"/>
    <w:rPr>
      <w:rFonts w:ascii="Arial Narrow"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ll1">
    <w:name w:val="null1"/>
    <w:basedOn w:val="Normal"/>
    <w:rsid w:val="000031BD"/>
    <w:pPr>
      <w:spacing w:before="100" w:beforeAutospacing="1" w:after="100" w:afterAutospacing="1"/>
      <w:jc w:val="left"/>
    </w:pPr>
    <w:rPr>
      <w:rFonts w:eastAsiaTheme="minorHAnsi" w:cs="Calibri"/>
      <w:sz w:val="22"/>
      <w:szCs w:val="22"/>
    </w:rPr>
  </w:style>
  <w:style w:type="character" w:customStyle="1" w:styleId="null">
    <w:name w:val="null"/>
    <w:basedOn w:val="DefaultParagraphFont"/>
    <w:rsid w:val="000031BD"/>
  </w:style>
  <w:style w:type="paragraph" w:customStyle="1" w:styleId="1MainTitle">
    <w:name w:val="1. Main Title"/>
    <w:basedOn w:val="Title"/>
    <w:link w:val="1MainTitleChar"/>
    <w:qFormat/>
    <w:rsid w:val="00412CBE"/>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412CBE"/>
    <w:rPr>
      <w:rFonts w:asciiTheme="minorHAnsi" w:eastAsiaTheme="majorEastAsia" w:hAnsiTheme="minorHAnsi" w:cstheme="majorBidi"/>
      <w:b/>
      <w:bCs w:val="0"/>
      <w:snapToGrid/>
      <w:spacing w:val="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98">
      <w:bodyDiv w:val="1"/>
      <w:marLeft w:val="0"/>
      <w:marRight w:val="0"/>
      <w:marTop w:val="0"/>
      <w:marBottom w:val="0"/>
      <w:divBdr>
        <w:top w:val="none" w:sz="0" w:space="0" w:color="auto"/>
        <w:left w:val="none" w:sz="0" w:space="0" w:color="auto"/>
        <w:bottom w:val="none" w:sz="0" w:space="0" w:color="auto"/>
        <w:right w:val="none" w:sz="0" w:space="0" w:color="auto"/>
      </w:divBdr>
    </w:div>
    <w:div w:id="54819886">
      <w:bodyDiv w:val="1"/>
      <w:marLeft w:val="0"/>
      <w:marRight w:val="0"/>
      <w:marTop w:val="0"/>
      <w:marBottom w:val="0"/>
      <w:divBdr>
        <w:top w:val="none" w:sz="0" w:space="0" w:color="auto"/>
        <w:left w:val="none" w:sz="0" w:space="0" w:color="auto"/>
        <w:bottom w:val="none" w:sz="0" w:space="0" w:color="auto"/>
        <w:right w:val="none" w:sz="0" w:space="0" w:color="auto"/>
      </w:divBdr>
    </w:div>
    <w:div w:id="59596939">
      <w:bodyDiv w:val="1"/>
      <w:marLeft w:val="0"/>
      <w:marRight w:val="0"/>
      <w:marTop w:val="0"/>
      <w:marBottom w:val="0"/>
      <w:divBdr>
        <w:top w:val="none" w:sz="0" w:space="0" w:color="auto"/>
        <w:left w:val="none" w:sz="0" w:space="0" w:color="auto"/>
        <w:bottom w:val="none" w:sz="0" w:space="0" w:color="auto"/>
        <w:right w:val="none" w:sz="0" w:space="0" w:color="auto"/>
      </w:divBdr>
    </w:div>
    <w:div w:id="62021611">
      <w:bodyDiv w:val="1"/>
      <w:marLeft w:val="0"/>
      <w:marRight w:val="0"/>
      <w:marTop w:val="0"/>
      <w:marBottom w:val="0"/>
      <w:divBdr>
        <w:top w:val="none" w:sz="0" w:space="0" w:color="auto"/>
        <w:left w:val="none" w:sz="0" w:space="0" w:color="auto"/>
        <w:bottom w:val="none" w:sz="0" w:space="0" w:color="auto"/>
        <w:right w:val="none" w:sz="0" w:space="0" w:color="auto"/>
      </w:divBdr>
    </w:div>
    <w:div w:id="9549213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4543867">
      <w:bodyDiv w:val="1"/>
      <w:marLeft w:val="0"/>
      <w:marRight w:val="0"/>
      <w:marTop w:val="0"/>
      <w:marBottom w:val="0"/>
      <w:divBdr>
        <w:top w:val="none" w:sz="0" w:space="0" w:color="auto"/>
        <w:left w:val="none" w:sz="0" w:space="0" w:color="auto"/>
        <w:bottom w:val="none" w:sz="0" w:space="0" w:color="auto"/>
        <w:right w:val="none" w:sz="0" w:space="0" w:color="auto"/>
      </w:divBdr>
    </w:div>
    <w:div w:id="154802809">
      <w:bodyDiv w:val="1"/>
      <w:marLeft w:val="0"/>
      <w:marRight w:val="0"/>
      <w:marTop w:val="0"/>
      <w:marBottom w:val="0"/>
      <w:divBdr>
        <w:top w:val="none" w:sz="0" w:space="0" w:color="auto"/>
        <w:left w:val="none" w:sz="0" w:space="0" w:color="auto"/>
        <w:bottom w:val="none" w:sz="0" w:space="0" w:color="auto"/>
        <w:right w:val="none" w:sz="0" w:space="0" w:color="auto"/>
      </w:divBdr>
    </w:div>
    <w:div w:id="162354551">
      <w:bodyDiv w:val="1"/>
      <w:marLeft w:val="0"/>
      <w:marRight w:val="0"/>
      <w:marTop w:val="0"/>
      <w:marBottom w:val="0"/>
      <w:divBdr>
        <w:top w:val="none" w:sz="0" w:space="0" w:color="auto"/>
        <w:left w:val="none" w:sz="0" w:space="0" w:color="auto"/>
        <w:bottom w:val="none" w:sz="0" w:space="0" w:color="auto"/>
        <w:right w:val="none" w:sz="0" w:space="0" w:color="auto"/>
      </w:divBdr>
    </w:div>
    <w:div w:id="168525692">
      <w:bodyDiv w:val="1"/>
      <w:marLeft w:val="0"/>
      <w:marRight w:val="0"/>
      <w:marTop w:val="0"/>
      <w:marBottom w:val="0"/>
      <w:divBdr>
        <w:top w:val="none" w:sz="0" w:space="0" w:color="auto"/>
        <w:left w:val="none" w:sz="0" w:space="0" w:color="auto"/>
        <w:bottom w:val="none" w:sz="0" w:space="0" w:color="auto"/>
        <w:right w:val="none" w:sz="0" w:space="0" w:color="auto"/>
      </w:divBdr>
    </w:div>
    <w:div w:id="211432101">
      <w:bodyDiv w:val="1"/>
      <w:marLeft w:val="0"/>
      <w:marRight w:val="0"/>
      <w:marTop w:val="0"/>
      <w:marBottom w:val="0"/>
      <w:divBdr>
        <w:top w:val="none" w:sz="0" w:space="0" w:color="auto"/>
        <w:left w:val="none" w:sz="0" w:space="0" w:color="auto"/>
        <w:bottom w:val="none" w:sz="0" w:space="0" w:color="auto"/>
        <w:right w:val="none" w:sz="0" w:space="0" w:color="auto"/>
      </w:divBdr>
    </w:div>
    <w:div w:id="212623358">
      <w:bodyDiv w:val="1"/>
      <w:marLeft w:val="0"/>
      <w:marRight w:val="0"/>
      <w:marTop w:val="0"/>
      <w:marBottom w:val="0"/>
      <w:divBdr>
        <w:top w:val="none" w:sz="0" w:space="0" w:color="auto"/>
        <w:left w:val="none" w:sz="0" w:space="0" w:color="auto"/>
        <w:bottom w:val="none" w:sz="0" w:space="0" w:color="auto"/>
        <w:right w:val="none" w:sz="0" w:space="0" w:color="auto"/>
      </w:divBdr>
    </w:div>
    <w:div w:id="232854482">
      <w:bodyDiv w:val="1"/>
      <w:marLeft w:val="0"/>
      <w:marRight w:val="0"/>
      <w:marTop w:val="0"/>
      <w:marBottom w:val="0"/>
      <w:divBdr>
        <w:top w:val="none" w:sz="0" w:space="0" w:color="auto"/>
        <w:left w:val="none" w:sz="0" w:space="0" w:color="auto"/>
        <w:bottom w:val="none" w:sz="0" w:space="0" w:color="auto"/>
        <w:right w:val="none" w:sz="0" w:space="0" w:color="auto"/>
      </w:divBdr>
    </w:div>
    <w:div w:id="233709721">
      <w:bodyDiv w:val="1"/>
      <w:marLeft w:val="0"/>
      <w:marRight w:val="0"/>
      <w:marTop w:val="0"/>
      <w:marBottom w:val="0"/>
      <w:divBdr>
        <w:top w:val="none" w:sz="0" w:space="0" w:color="auto"/>
        <w:left w:val="none" w:sz="0" w:space="0" w:color="auto"/>
        <w:bottom w:val="none" w:sz="0" w:space="0" w:color="auto"/>
        <w:right w:val="none" w:sz="0" w:space="0" w:color="auto"/>
      </w:divBdr>
    </w:div>
    <w:div w:id="235896155">
      <w:bodyDiv w:val="1"/>
      <w:marLeft w:val="0"/>
      <w:marRight w:val="0"/>
      <w:marTop w:val="0"/>
      <w:marBottom w:val="0"/>
      <w:divBdr>
        <w:top w:val="none" w:sz="0" w:space="0" w:color="auto"/>
        <w:left w:val="none" w:sz="0" w:space="0" w:color="auto"/>
        <w:bottom w:val="none" w:sz="0" w:space="0" w:color="auto"/>
        <w:right w:val="none" w:sz="0" w:space="0" w:color="auto"/>
      </w:divBdr>
    </w:div>
    <w:div w:id="269624517">
      <w:bodyDiv w:val="1"/>
      <w:marLeft w:val="0"/>
      <w:marRight w:val="0"/>
      <w:marTop w:val="0"/>
      <w:marBottom w:val="0"/>
      <w:divBdr>
        <w:top w:val="none" w:sz="0" w:space="0" w:color="auto"/>
        <w:left w:val="none" w:sz="0" w:space="0" w:color="auto"/>
        <w:bottom w:val="none" w:sz="0" w:space="0" w:color="auto"/>
        <w:right w:val="none" w:sz="0" w:space="0" w:color="auto"/>
      </w:divBdr>
    </w:div>
    <w:div w:id="278033500">
      <w:bodyDiv w:val="1"/>
      <w:marLeft w:val="0"/>
      <w:marRight w:val="0"/>
      <w:marTop w:val="0"/>
      <w:marBottom w:val="0"/>
      <w:divBdr>
        <w:top w:val="none" w:sz="0" w:space="0" w:color="auto"/>
        <w:left w:val="none" w:sz="0" w:space="0" w:color="auto"/>
        <w:bottom w:val="none" w:sz="0" w:space="0" w:color="auto"/>
        <w:right w:val="none" w:sz="0" w:space="0" w:color="auto"/>
      </w:divBdr>
    </w:div>
    <w:div w:id="279461505">
      <w:bodyDiv w:val="1"/>
      <w:marLeft w:val="0"/>
      <w:marRight w:val="0"/>
      <w:marTop w:val="0"/>
      <w:marBottom w:val="0"/>
      <w:divBdr>
        <w:top w:val="none" w:sz="0" w:space="0" w:color="auto"/>
        <w:left w:val="none" w:sz="0" w:space="0" w:color="auto"/>
        <w:bottom w:val="none" w:sz="0" w:space="0" w:color="auto"/>
        <w:right w:val="none" w:sz="0" w:space="0" w:color="auto"/>
      </w:divBdr>
    </w:div>
    <w:div w:id="28523607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9183931">
      <w:bodyDiv w:val="1"/>
      <w:marLeft w:val="0"/>
      <w:marRight w:val="0"/>
      <w:marTop w:val="0"/>
      <w:marBottom w:val="0"/>
      <w:divBdr>
        <w:top w:val="none" w:sz="0" w:space="0" w:color="auto"/>
        <w:left w:val="none" w:sz="0" w:space="0" w:color="auto"/>
        <w:bottom w:val="none" w:sz="0" w:space="0" w:color="auto"/>
        <w:right w:val="none" w:sz="0" w:space="0" w:color="auto"/>
      </w:divBdr>
    </w:div>
    <w:div w:id="408965812">
      <w:bodyDiv w:val="1"/>
      <w:marLeft w:val="0"/>
      <w:marRight w:val="0"/>
      <w:marTop w:val="0"/>
      <w:marBottom w:val="0"/>
      <w:divBdr>
        <w:top w:val="none" w:sz="0" w:space="0" w:color="auto"/>
        <w:left w:val="none" w:sz="0" w:space="0" w:color="auto"/>
        <w:bottom w:val="none" w:sz="0" w:space="0" w:color="auto"/>
        <w:right w:val="none" w:sz="0" w:space="0" w:color="auto"/>
      </w:divBdr>
    </w:div>
    <w:div w:id="425275020">
      <w:bodyDiv w:val="1"/>
      <w:marLeft w:val="0"/>
      <w:marRight w:val="0"/>
      <w:marTop w:val="0"/>
      <w:marBottom w:val="0"/>
      <w:divBdr>
        <w:top w:val="none" w:sz="0" w:space="0" w:color="auto"/>
        <w:left w:val="none" w:sz="0" w:space="0" w:color="auto"/>
        <w:bottom w:val="none" w:sz="0" w:space="0" w:color="auto"/>
        <w:right w:val="none" w:sz="0" w:space="0" w:color="auto"/>
      </w:divBdr>
    </w:div>
    <w:div w:id="528882000">
      <w:bodyDiv w:val="1"/>
      <w:marLeft w:val="0"/>
      <w:marRight w:val="0"/>
      <w:marTop w:val="0"/>
      <w:marBottom w:val="0"/>
      <w:divBdr>
        <w:top w:val="none" w:sz="0" w:space="0" w:color="auto"/>
        <w:left w:val="none" w:sz="0" w:space="0" w:color="auto"/>
        <w:bottom w:val="none" w:sz="0" w:space="0" w:color="auto"/>
        <w:right w:val="none" w:sz="0" w:space="0" w:color="auto"/>
      </w:divBdr>
    </w:div>
    <w:div w:id="534195832">
      <w:bodyDiv w:val="1"/>
      <w:marLeft w:val="0"/>
      <w:marRight w:val="0"/>
      <w:marTop w:val="0"/>
      <w:marBottom w:val="0"/>
      <w:divBdr>
        <w:top w:val="none" w:sz="0" w:space="0" w:color="auto"/>
        <w:left w:val="none" w:sz="0" w:space="0" w:color="auto"/>
        <w:bottom w:val="none" w:sz="0" w:space="0" w:color="auto"/>
        <w:right w:val="none" w:sz="0" w:space="0" w:color="auto"/>
      </w:divBdr>
    </w:div>
    <w:div w:id="556477565">
      <w:bodyDiv w:val="1"/>
      <w:marLeft w:val="0"/>
      <w:marRight w:val="0"/>
      <w:marTop w:val="0"/>
      <w:marBottom w:val="0"/>
      <w:divBdr>
        <w:top w:val="none" w:sz="0" w:space="0" w:color="auto"/>
        <w:left w:val="none" w:sz="0" w:space="0" w:color="auto"/>
        <w:bottom w:val="none" w:sz="0" w:space="0" w:color="auto"/>
        <w:right w:val="none" w:sz="0" w:space="0" w:color="auto"/>
      </w:divBdr>
    </w:div>
    <w:div w:id="565148698">
      <w:bodyDiv w:val="1"/>
      <w:marLeft w:val="0"/>
      <w:marRight w:val="0"/>
      <w:marTop w:val="0"/>
      <w:marBottom w:val="0"/>
      <w:divBdr>
        <w:top w:val="none" w:sz="0" w:space="0" w:color="auto"/>
        <w:left w:val="none" w:sz="0" w:space="0" w:color="auto"/>
        <w:bottom w:val="none" w:sz="0" w:space="0" w:color="auto"/>
        <w:right w:val="none" w:sz="0" w:space="0" w:color="auto"/>
      </w:divBdr>
    </w:div>
    <w:div w:id="600378900">
      <w:bodyDiv w:val="1"/>
      <w:marLeft w:val="0"/>
      <w:marRight w:val="0"/>
      <w:marTop w:val="0"/>
      <w:marBottom w:val="0"/>
      <w:divBdr>
        <w:top w:val="none" w:sz="0" w:space="0" w:color="auto"/>
        <w:left w:val="none" w:sz="0" w:space="0" w:color="auto"/>
        <w:bottom w:val="none" w:sz="0" w:space="0" w:color="auto"/>
        <w:right w:val="none" w:sz="0" w:space="0" w:color="auto"/>
      </w:divBdr>
      <w:divsChild>
        <w:div w:id="1599369585">
          <w:marLeft w:val="547"/>
          <w:marRight w:val="0"/>
          <w:marTop w:val="200"/>
          <w:marBottom w:val="0"/>
          <w:divBdr>
            <w:top w:val="none" w:sz="0" w:space="0" w:color="auto"/>
            <w:left w:val="none" w:sz="0" w:space="0" w:color="auto"/>
            <w:bottom w:val="none" w:sz="0" w:space="0" w:color="auto"/>
            <w:right w:val="none" w:sz="0" w:space="0" w:color="auto"/>
          </w:divBdr>
        </w:div>
      </w:divsChild>
    </w:div>
    <w:div w:id="630787065">
      <w:bodyDiv w:val="1"/>
      <w:marLeft w:val="0"/>
      <w:marRight w:val="0"/>
      <w:marTop w:val="0"/>
      <w:marBottom w:val="0"/>
      <w:divBdr>
        <w:top w:val="none" w:sz="0" w:space="0" w:color="auto"/>
        <w:left w:val="none" w:sz="0" w:space="0" w:color="auto"/>
        <w:bottom w:val="none" w:sz="0" w:space="0" w:color="auto"/>
        <w:right w:val="none" w:sz="0" w:space="0" w:color="auto"/>
      </w:divBdr>
    </w:div>
    <w:div w:id="632058393">
      <w:bodyDiv w:val="1"/>
      <w:marLeft w:val="0"/>
      <w:marRight w:val="0"/>
      <w:marTop w:val="0"/>
      <w:marBottom w:val="0"/>
      <w:divBdr>
        <w:top w:val="none" w:sz="0" w:space="0" w:color="auto"/>
        <w:left w:val="none" w:sz="0" w:space="0" w:color="auto"/>
        <w:bottom w:val="none" w:sz="0" w:space="0" w:color="auto"/>
        <w:right w:val="none" w:sz="0" w:space="0" w:color="auto"/>
      </w:divBdr>
    </w:div>
    <w:div w:id="636683169">
      <w:bodyDiv w:val="1"/>
      <w:marLeft w:val="0"/>
      <w:marRight w:val="0"/>
      <w:marTop w:val="0"/>
      <w:marBottom w:val="0"/>
      <w:divBdr>
        <w:top w:val="none" w:sz="0" w:space="0" w:color="auto"/>
        <w:left w:val="none" w:sz="0" w:space="0" w:color="auto"/>
        <w:bottom w:val="none" w:sz="0" w:space="0" w:color="auto"/>
        <w:right w:val="none" w:sz="0" w:space="0" w:color="auto"/>
      </w:divBdr>
    </w:div>
    <w:div w:id="639070938">
      <w:bodyDiv w:val="1"/>
      <w:marLeft w:val="0"/>
      <w:marRight w:val="0"/>
      <w:marTop w:val="0"/>
      <w:marBottom w:val="0"/>
      <w:divBdr>
        <w:top w:val="none" w:sz="0" w:space="0" w:color="auto"/>
        <w:left w:val="none" w:sz="0" w:space="0" w:color="auto"/>
        <w:bottom w:val="none" w:sz="0" w:space="0" w:color="auto"/>
        <w:right w:val="none" w:sz="0" w:space="0" w:color="auto"/>
      </w:divBdr>
    </w:div>
    <w:div w:id="650255448">
      <w:bodyDiv w:val="1"/>
      <w:marLeft w:val="0"/>
      <w:marRight w:val="0"/>
      <w:marTop w:val="0"/>
      <w:marBottom w:val="0"/>
      <w:divBdr>
        <w:top w:val="none" w:sz="0" w:space="0" w:color="auto"/>
        <w:left w:val="none" w:sz="0" w:space="0" w:color="auto"/>
        <w:bottom w:val="none" w:sz="0" w:space="0" w:color="auto"/>
        <w:right w:val="none" w:sz="0" w:space="0" w:color="auto"/>
      </w:divBdr>
    </w:div>
    <w:div w:id="75277547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5364097">
      <w:bodyDiv w:val="1"/>
      <w:marLeft w:val="0"/>
      <w:marRight w:val="0"/>
      <w:marTop w:val="0"/>
      <w:marBottom w:val="0"/>
      <w:divBdr>
        <w:top w:val="none" w:sz="0" w:space="0" w:color="auto"/>
        <w:left w:val="none" w:sz="0" w:space="0" w:color="auto"/>
        <w:bottom w:val="none" w:sz="0" w:space="0" w:color="auto"/>
        <w:right w:val="none" w:sz="0" w:space="0" w:color="auto"/>
      </w:divBdr>
    </w:div>
    <w:div w:id="932013894">
      <w:bodyDiv w:val="1"/>
      <w:marLeft w:val="0"/>
      <w:marRight w:val="0"/>
      <w:marTop w:val="0"/>
      <w:marBottom w:val="0"/>
      <w:divBdr>
        <w:top w:val="none" w:sz="0" w:space="0" w:color="auto"/>
        <w:left w:val="none" w:sz="0" w:space="0" w:color="auto"/>
        <w:bottom w:val="none" w:sz="0" w:space="0" w:color="auto"/>
        <w:right w:val="none" w:sz="0" w:space="0" w:color="auto"/>
      </w:divBdr>
    </w:div>
    <w:div w:id="941648392">
      <w:bodyDiv w:val="1"/>
      <w:marLeft w:val="0"/>
      <w:marRight w:val="0"/>
      <w:marTop w:val="0"/>
      <w:marBottom w:val="0"/>
      <w:divBdr>
        <w:top w:val="none" w:sz="0" w:space="0" w:color="auto"/>
        <w:left w:val="none" w:sz="0" w:space="0" w:color="auto"/>
        <w:bottom w:val="none" w:sz="0" w:space="0" w:color="auto"/>
        <w:right w:val="none" w:sz="0" w:space="0" w:color="auto"/>
      </w:divBdr>
    </w:div>
    <w:div w:id="970523741">
      <w:bodyDiv w:val="1"/>
      <w:marLeft w:val="0"/>
      <w:marRight w:val="0"/>
      <w:marTop w:val="0"/>
      <w:marBottom w:val="0"/>
      <w:divBdr>
        <w:top w:val="none" w:sz="0" w:space="0" w:color="auto"/>
        <w:left w:val="none" w:sz="0" w:space="0" w:color="auto"/>
        <w:bottom w:val="none" w:sz="0" w:space="0" w:color="auto"/>
        <w:right w:val="none" w:sz="0" w:space="0" w:color="auto"/>
      </w:divBdr>
    </w:div>
    <w:div w:id="1010523753">
      <w:bodyDiv w:val="1"/>
      <w:marLeft w:val="0"/>
      <w:marRight w:val="0"/>
      <w:marTop w:val="0"/>
      <w:marBottom w:val="0"/>
      <w:divBdr>
        <w:top w:val="none" w:sz="0" w:space="0" w:color="auto"/>
        <w:left w:val="none" w:sz="0" w:space="0" w:color="auto"/>
        <w:bottom w:val="none" w:sz="0" w:space="0" w:color="auto"/>
        <w:right w:val="none" w:sz="0" w:space="0" w:color="auto"/>
      </w:divBdr>
    </w:div>
    <w:div w:id="1014306623">
      <w:bodyDiv w:val="1"/>
      <w:marLeft w:val="0"/>
      <w:marRight w:val="0"/>
      <w:marTop w:val="0"/>
      <w:marBottom w:val="0"/>
      <w:divBdr>
        <w:top w:val="none" w:sz="0" w:space="0" w:color="auto"/>
        <w:left w:val="none" w:sz="0" w:space="0" w:color="auto"/>
        <w:bottom w:val="none" w:sz="0" w:space="0" w:color="auto"/>
        <w:right w:val="none" w:sz="0" w:space="0" w:color="auto"/>
      </w:divBdr>
    </w:div>
    <w:div w:id="1041367679">
      <w:bodyDiv w:val="1"/>
      <w:marLeft w:val="0"/>
      <w:marRight w:val="0"/>
      <w:marTop w:val="0"/>
      <w:marBottom w:val="0"/>
      <w:divBdr>
        <w:top w:val="none" w:sz="0" w:space="0" w:color="auto"/>
        <w:left w:val="none" w:sz="0" w:space="0" w:color="auto"/>
        <w:bottom w:val="none" w:sz="0" w:space="0" w:color="auto"/>
        <w:right w:val="none" w:sz="0" w:space="0" w:color="auto"/>
      </w:divBdr>
    </w:div>
    <w:div w:id="1080176559">
      <w:bodyDiv w:val="1"/>
      <w:marLeft w:val="0"/>
      <w:marRight w:val="0"/>
      <w:marTop w:val="0"/>
      <w:marBottom w:val="0"/>
      <w:divBdr>
        <w:top w:val="none" w:sz="0" w:space="0" w:color="auto"/>
        <w:left w:val="none" w:sz="0" w:space="0" w:color="auto"/>
        <w:bottom w:val="none" w:sz="0" w:space="0" w:color="auto"/>
        <w:right w:val="none" w:sz="0" w:space="0" w:color="auto"/>
      </w:divBdr>
    </w:div>
    <w:div w:id="1084716817">
      <w:bodyDiv w:val="1"/>
      <w:marLeft w:val="0"/>
      <w:marRight w:val="0"/>
      <w:marTop w:val="0"/>
      <w:marBottom w:val="0"/>
      <w:divBdr>
        <w:top w:val="none" w:sz="0" w:space="0" w:color="auto"/>
        <w:left w:val="none" w:sz="0" w:space="0" w:color="auto"/>
        <w:bottom w:val="none" w:sz="0" w:space="0" w:color="auto"/>
        <w:right w:val="none" w:sz="0" w:space="0" w:color="auto"/>
      </w:divBdr>
    </w:div>
    <w:div w:id="1090469176">
      <w:bodyDiv w:val="1"/>
      <w:marLeft w:val="0"/>
      <w:marRight w:val="0"/>
      <w:marTop w:val="0"/>
      <w:marBottom w:val="0"/>
      <w:divBdr>
        <w:top w:val="none" w:sz="0" w:space="0" w:color="auto"/>
        <w:left w:val="none" w:sz="0" w:space="0" w:color="auto"/>
        <w:bottom w:val="none" w:sz="0" w:space="0" w:color="auto"/>
        <w:right w:val="none" w:sz="0" w:space="0" w:color="auto"/>
      </w:divBdr>
    </w:div>
    <w:div w:id="1100368466">
      <w:bodyDiv w:val="1"/>
      <w:marLeft w:val="0"/>
      <w:marRight w:val="0"/>
      <w:marTop w:val="0"/>
      <w:marBottom w:val="0"/>
      <w:divBdr>
        <w:top w:val="none" w:sz="0" w:space="0" w:color="auto"/>
        <w:left w:val="none" w:sz="0" w:space="0" w:color="auto"/>
        <w:bottom w:val="none" w:sz="0" w:space="0" w:color="auto"/>
        <w:right w:val="none" w:sz="0" w:space="0" w:color="auto"/>
      </w:divBdr>
    </w:div>
    <w:div w:id="1141533839">
      <w:bodyDiv w:val="1"/>
      <w:marLeft w:val="0"/>
      <w:marRight w:val="0"/>
      <w:marTop w:val="0"/>
      <w:marBottom w:val="0"/>
      <w:divBdr>
        <w:top w:val="none" w:sz="0" w:space="0" w:color="auto"/>
        <w:left w:val="none" w:sz="0" w:space="0" w:color="auto"/>
        <w:bottom w:val="none" w:sz="0" w:space="0" w:color="auto"/>
        <w:right w:val="none" w:sz="0" w:space="0" w:color="auto"/>
      </w:divBdr>
    </w:div>
    <w:div w:id="116516648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7176868">
      <w:bodyDiv w:val="1"/>
      <w:marLeft w:val="0"/>
      <w:marRight w:val="0"/>
      <w:marTop w:val="0"/>
      <w:marBottom w:val="0"/>
      <w:divBdr>
        <w:top w:val="none" w:sz="0" w:space="0" w:color="auto"/>
        <w:left w:val="none" w:sz="0" w:space="0" w:color="auto"/>
        <w:bottom w:val="none" w:sz="0" w:space="0" w:color="auto"/>
        <w:right w:val="none" w:sz="0" w:space="0" w:color="auto"/>
      </w:divBdr>
    </w:div>
    <w:div w:id="1213731033">
      <w:bodyDiv w:val="1"/>
      <w:marLeft w:val="0"/>
      <w:marRight w:val="0"/>
      <w:marTop w:val="0"/>
      <w:marBottom w:val="0"/>
      <w:divBdr>
        <w:top w:val="none" w:sz="0" w:space="0" w:color="auto"/>
        <w:left w:val="none" w:sz="0" w:space="0" w:color="auto"/>
        <w:bottom w:val="none" w:sz="0" w:space="0" w:color="auto"/>
        <w:right w:val="none" w:sz="0" w:space="0" w:color="auto"/>
      </w:divBdr>
    </w:div>
    <w:div w:id="1221479601">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9800538">
      <w:bodyDiv w:val="1"/>
      <w:marLeft w:val="0"/>
      <w:marRight w:val="0"/>
      <w:marTop w:val="0"/>
      <w:marBottom w:val="0"/>
      <w:divBdr>
        <w:top w:val="none" w:sz="0" w:space="0" w:color="auto"/>
        <w:left w:val="none" w:sz="0" w:space="0" w:color="auto"/>
        <w:bottom w:val="none" w:sz="0" w:space="0" w:color="auto"/>
        <w:right w:val="none" w:sz="0" w:space="0" w:color="auto"/>
      </w:divBdr>
    </w:div>
    <w:div w:id="1292512584">
      <w:bodyDiv w:val="1"/>
      <w:marLeft w:val="0"/>
      <w:marRight w:val="0"/>
      <w:marTop w:val="0"/>
      <w:marBottom w:val="0"/>
      <w:divBdr>
        <w:top w:val="none" w:sz="0" w:space="0" w:color="auto"/>
        <w:left w:val="none" w:sz="0" w:space="0" w:color="auto"/>
        <w:bottom w:val="none" w:sz="0" w:space="0" w:color="auto"/>
        <w:right w:val="none" w:sz="0" w:space="0" w:color="auto"/>
      </w:divBdr>
    </w:div>
    <w:div w:id="1318025576">
      <w:bodyDiv w:val="1"/>
      <w:marLeft w:val="0"/>
      <w:marRight w:val="0"/>
      <w:marTop w:val="0"/>
      <w:marBottom w:val="0"/>
      <w:divBdr>
        <w:top w:val="none" w:sz="0" w:space="0" w:color="auto"/>
        <w:left w:val="none" w:sz="0" w:space="0" w:color="auto"/>
        <w:bottom w:val="none" w:sz="0" w:space="0" w:color="auto"/>
        <w:right w:val="none" w:sz="0" w:space="0" w:color="auto"/>
      </w:divBdr>
    </w:div>
    <w:div w:id="1319647851">
      <w:bodyDiv w:val="1"/>
      <w:marLeft w:val="0"/>
      <w:marRight w:val="0"/>
      <w:marTop w:val="0"/>
      <w:marBottom w:val="0"/>
      <w:divBdr>
        <w:top w:val="none" w:sz="0" w:space="0" w:color="auto"/>
        <w:left w:val="none" w:sz="0" w:space="0" w:color="auto"/>
        <w:bottom w:val="none" w:sz="0" w:space="0" w:color="auto"/>
        <w:right w:val="none" w:sz="0" w:space="0" w:color="auto"/>
      </w:divBdr>
    </w:div>
    <w:div w:id="1321423506">
      <w:bodyDiv w:val="1"/>
      <w:marLeft w:val="0"/>
      <w:marRight w:val="0"/>
      <w:marTop w:val="0"/>
      <w:marBottom w:val="0"/>
      <w:divBdr>
        <w:top w:val="none" w:sz="0" w:space="0" w:color="auto"/>
        <w:left w:val="none" w:sz="0" w:space="0" w:color="auto"/>
        <w:bottom w:val="none" w:sz="0" w:space="0" w:color="auto"/>
        <w:right w:val="none" w:sz="0" w:space="0" w:color="auto"/>
      </w:divBdr>
    </w:div>
    <w:div w:id="1360930014">
      <w:bodyDiv w:val="1"/>
      <w:marLeft w:val="0"/>
      <w:marRight w:val="0"/>
      <w:marTop w:val="0"/>
      <w:marBottom w:val="0"/>
      <w:divBdr>
        <w:top w:val="none" w:sz="0" w:space="0" w:color="auto"/>
        <w:left w:val="none" w:sz="0" w:space="0" w:color="auto"/>
        <w:bottom w:val="none" w:sz="0" w:space="0" w:color="auto"/>
        <w:right w:val="none" w:sz="0" w:space="0" w:color="auto"/>
      </w:divBdr>
    </w:div>
    <w:div w:id="1372916784">
      <w:bodyDiv w:val="1"/>
      <w:marLeft w:val="0"/>
      <w:marRight w:val="0"/>
      <w:marTop w:val="0"/>
      <w:marBottom w:val="0"/>
      <w:divBdr>
        <w:top w:val="none" w:sz="0" w:space="0" w:color="auto"/>
        <w:left w:val="none" w:sz="0" w:space="0" w:color="auto"/>
        <w:bottom w:val="none" w:sz="0" w:space="0" w:color="auto"/>
        <w:right w:val="none" w:sz="0" w:space="0" w:color="auto"/>
      </w:divBdr>
    </w:div>
    <w:div w:id="1418550141">
      <w:bodyDiv w:val="1"/>
      <w:marLeft w:val="0"/>
      <w:marRight w:val="0"/>
      <w:marTop w:val="0"/>
      <w:marBottom w:val="0"/>
      <w:divBdr>
        <w:top w:val="none" w:sz="0" w:space="0" w:color="auto"/>
        <w:left w:val="none" w:sz="0" w:space="0" w:color="auto"/>
        <w:bottom w:val="none" w:sz="0" w:space="0" w:color="auto"/>
        <w:right w:val="none" w:sz="0" w:space="0" w:color="auto"/>
      </w:divBdr>
    </w:div>
    <w:div w:id="1461415932">
      <w:bodyDiv w:val="1"/>
      <w:marLeft w:val="0"/>
      <w:marRight w:val="0"/>
      <w:marTop w:val="0"/>
      <w:marBottom w:val="0"/>
      <w:divBdr>
        <w:top w:val="none" w:sz="0" w:space="0" w:color="auto"/>
        <w:left w:val="none" w:sz="0" w:space="0" w:color="auto"/>
        <w:bottom w:val="none" w:sz="0" w:space="0" w:color="auto"/>
        <w:right w:val="none" w:sz="0" w:space="0" w:color="auto"/>
      </w:divBdr>
    </w:div>
    <w:div w:id="1475292161">
      <w:bodyDiv w:val="1"/>
      <w:marLeft w:val="0"/>
      <w:marRight w:val="0"/>
      <w:marTop w:val="0"/>
      <w:marBottom w:val="0"/>
      <w:divBdr>
        <w:top w:val="none" w:sz="0" w:space="0" w:color="auto"/>
        <w:left w:val="none" w:sz="0" w:space="0" w:color="auto"/>
        <w:bottom w:val="none" w:sz="0" w:space="0" w:color="auto"/>
        <w:right w:val="none" w:sz="0" w:space="0" w:color="auto"/>
      </w:divBdr>
    </w:div>
    <w:div w:id="1488521382">
      <w:bodyDiv w:val="1"/>
      <w:marLeft w:val="0"/>
      <w:marRight w:val="0"/>
      <w:marTop w:val="0"/>
      <w:marBottom w:val="0"/>
      <w:divBdr>
        <w:top w:val="none" w:sz="0" w:space="0" w:color="auto"/>
        <w:left w:val="none" w:sz="0" w:space="0" w:color="auto"/>
        <w:bottom w:val="none" w:sz="0" w:space="0" w:color="auto"/>
        <w:right w:val="none" w:sz="0" w:space="0" w:color="auto"/>
      </w:divBdr>
    </w:div>
    <w:div w:id="1498836929">
      <w:bodyDiv w:val="1"/>
      <w:marLeft w:val="0"/>
      <w:marRight w:val="0"/>
      <w:marTop w:val="0"/>
      <w:marBottom w:val="0"/>
      <w:divBdr>
        <w:top w:val="none" w:sz="0" w:space="0" w:color="auto"/>
        <w:left w:val="none" w:sz="0" w:space="0" w:color="auto"/>
        <w:bottom w:val="none" w:sz="0" w:space="0" w:color="auto"/>
        <w:right w:val="none" w:sz="0" w:space="0" w:color="auto"/>
      </w:divBdr>
    </w:div>
    <w:div w:id="1500345193">
      <w:bodyDiv w:val="1"/>
      <w:marLeft w:val="0"/>
      <w:marRight w:val="0"/>
      <w:marTop w:val="0"/>
      <w:marBottom w:val="0"/>
      <w:divBdr>
        <w:top w:val="none" w:sz="0" w:space="0" w:color="auto"/>
        <w:left w:val="none" w:sz="0" w:space="0" w:color="auto"/>
        <w:bottom w:val="none" w:sz="0" w:space="0" w:color="auto"/>
        <w:right w:val="none" w:sz="0" w:space="0" w:color="auto"/>
      </w:divBdr>
    </w:div>
    <w:div w:id="1513840569">
      <w:bodyDiv w:val="1"/>
      <w:marLeft w:val="0"/>
      <w:marRight w:val="0"/>
      <w:marTop w:val="0"/>
      <w:marBottom w:val="0"/>
      <w:divBdr>
        <w:top w:val="none" w:sz="0" w:space="0" w:color="auto"/>
        <w:left w:val="none" w:sz="0" w:space="0" w:color="auto"/>
        <w:bottom w:val="none" w:sz="0" w:space="0" w:color="auto"/>
        <w:right w:val="none" w:sz="0" w:space="0" w:color="auto"/>
      </w:divBdr>
    </w:div>
    <w:div w:id="1528904576">
      <w:bodyDiv w:val="1"/>
      <w:marLeft w:val="0"/>
      <w:marRight w:val="0"/>
      <w:marTop w:val="0"/>
      <w:marBottom w:val="0"/>
      <w:divBdr>
        <w:top w:val="none" w:sz="0" w:space="0" w:color="auto"/>
        <w:left w:val="none" w:sz="0" w:space="0" w:color="auto"/>
        <w:bottom w:val="none" w:sz="0" w:space="0" w:color="auto"/>
        <w:right w:val="none" w:sz="0" w:space="0" w:color="auto"/>
      </w:divBdr>
    </w:div>
    <w:div w:id="1613971358">
      <w:bodyDiv w:val="1"/>
      <w:marLeft w:val="0"/>
      <w:marRight w:val="0"/>
      <w:marTop w:val="0"/>
      <w:marBottom w:val="0"/>
      <w:divBdr>
        <w:top w:val="none" w:sz="0" w:space="0" w:color="auto"/>
        <w:left w:val="none" w:sz="0" w:space="0" w:color="auto"/>
        <w:bottom w:val="none" w:sz="0" w:space="0" w:color="auto"/>
        <w:right w:val="none" w:sz="0" w:space="0" w:color="auto"/>
      </w:divBdr>
    </w:div>
    <w:div w:id="1618219721">
      <w:bodyDiv w:val="1"/>
      <w:marLeft w:val="0"/>
      <w:marRight w:val="0"/>
      <w:marTop w:val="0"/>
      <w:marBottom w:val="0"/>
      <w:divBdr>
        <w:top w:val="none" w:sz="0" w:space="0" w:color="auto"/>
        <w:left w:val="none" w:sz="0" w:space="0" w:color="auto"/>
        <w:bottom w:val="none" w:sz="0" w:space="0" w:color="auto"/>
        <w:right w:val="none" w:sz="0" w:space="0" w:color="auto"/>
      </w:divBdr>
    </w:div>
    <w:div w:id="1641612456">
      <w:bodyDiv w:val="1"/>
      <w:marLeft w:val="0"/>
      <w:marRight w:val="0"/>
      <w:marTop w:val="0"/>
      <w:marBottom w:val="0"/>
      <w:divBdr>
        <w:top w:val="none" w:sz="0" w:space="0" w:color="auto"/>
        <w:left w:val="none" w:sz="0" w:space="0" w:color="auto"/>
        <w:bottom w:val="none" w:sz="0" w:space="0" w:color="auto"/>
        <w:right w:val="none" w:sz="0" w:space="0" w:color="auto"/>
      </w:divBdr>
    </w:div>
    <w:div w:id="1652127196">
      <w:bodyDiv w:val="1"/>
      <w:marLeft w:val="0"/>
      <w:marRight w:val="0"/>
      <w:marTop w:val="0"/>
      <w:marBottom w:val="0"/>
      <w:divBdr>
        <w:top w:val="none" w:sz="0" w:space="0" w:color="auto"/>
        <w:left w:val="none" w:sz="0" w:space="0" w:color="auto"/>
        <w:bottom w:val="none" w:sz="0" w:space="0" w:color="auto"/>
        <w:right w:val="none" w:sz="0" w:space="0" w:color="auto"/>
      </w:divBdr>
    </w:div>
    <w:div w:id="1683972135">
      <w:bodyDiv w:val="1"/>
      <w:marLeft w:val="0"/>
      <w:marRight w:val="0"/>
      <w:marTop w:val="0"/>
      <w:marBottom w:val="0"/>
      <w:divBdr>
        <w:top w:val="none" w:sz="0" w:space="0" w:color="auto"/>
        <w:left w:val="none" w:sz="0" w:space="0" w:color="auto"/>
        <w:bottom w:val="none" w:sz="0" w:space="0" w:color="auto"/>
        <w:right w:val="none" w:sz="0" w:space="0" w:color="auto"/>
      </w:divBdr>
    </w:div>
    <w:div w:id="1688864969">
      <w:bodyDiv w:val="1"/>
      <w:marLeft w:val="0"/>
      <w:marRight w:val="0"/>
      <w:marTop w:val="0"/>
      <w:marBottom w:val="0"/>
      <w:divBdr>
        <w:top w:val="none" w:sz="0" w:space="0" w:color="auto"/>
        <w:left w:val="none" w:sz="0" w:space="0" w:color="auto"/>
        <w:bottom w:val="none" w:sz="0" w:space="0" w:color="auto"/>
        <w:right w:val="none" w:sz="0" w:space="0" w:color="auto"/>
      </w:divBdr>
    </w:div>
    <w:div w:id="1707946718">
      <w:bodyDiv w:val="1"/>
      <w:marLeft w:val="0"/>
      <w:marRight w:val="0"/>
      <w:marTop w:val="0"/>
      <w:marBottom w:val="0"/>
      <w:divBdr>
        <w:top w:val="none" w:sz="0" w:space="0" w:color="auto"/>
        <w:left w:val="none" w:sz="0" w:space="0" w:color="auto"/>
        <w:bottom w:val="none" w:sz="0" w:space="0" w:color="auto"/>
        <w:right w:val="none" w:sz="0" w:space="0" w:color="auto"/>
      </w:divBdr>
    </w:div>
    <w:div w:id="1708069182">
      <w:bodyDiv w:val="1"/>
      <w:marLeft w:val="0"/>
      <w:marRight w:val="0"/>
      <w:marTop w:val="0"/>
      <w:marBottom w:val="0"/>
      <w:divBdr>
        <w:top w:val="none" w:sz="0" w:space="0" w:color="auto"/>
        <w:left w:val="none" w:sz="0" w:space="0" w:color="auto"/>
        <w:bottom w:val="none" w:sz="0" w:space="0" w:color="auto"/>
        <w:right w:val="none" w:sz="0" w:space="0" w:color="auto"/>
      </w:divBdr>
    </w:div>
    <w:div w:id="1736007165">
      <w:bodyDiv w:val="1"/>
      <w:marLeft w:val="0"/>
      <w:marRight w:val="0"/>
      <w:marTop w:val="0"/>
      <w:marBottom w:val="0"/>
      <w:divBdr>
        <w:top w:val="none" w:sz="0" w:space="0" w:color="auto"/>
        <w:left w:val="none" w:sz="0" w:space="0" w:color="auto"/>
        <w:bottom w:val="none" w:sz="0" w:space="0" w:color="auto"/>
        <w:right w:val="none" w:sz="0" w:space="0" w:color="auto"/>
      </w:divBdr>
    </w:div>
    <w:div w:id="1740981053">
      <w:bodyDiv w:val="1"/>
      <w:marLeft w:val="0"/>
      <w:marRight w:val="0"/>
      <w:marTop w:val="0"/>
      <w:marBottom w:val="0"/>
      <w:divBdr>
        <w:top w:val="none" w:sz="0" w:space="0" w:color="auto"/>
        <w:left w:val="none" w:sz="0" w:space="0" w:color="auto"/>
        <w:bottom w:val="none" w:sz="0" w:space="0" w:color="auto"/>
        <w:right w:val="none" w:sz="0" w:space="0" w:color="auto"/>
      </w:divBdr>
    </w:div>
    <w:div w:id="1759791658">
      <w:bodyDiv w:val="1"/>
      <w:marLeft w:val="0"/>
      <w:marRight w:val="0"/>
      <w:marTop w:val="0"/>
      <w:marBottom w:val="0"/>
      <w:divBdr>
        <w:top w:val="none" w:sz="0" w:space="0" w:color="auto"/>
        <w:left w:val="none" w:sz="0" w:space="0" w:color="auto"/>
        <w:bottom w:val="none" w:sz="0" w:space="0" w:color="auto"/>
        <w:right w:val="none" w:sz="0" w:space="0" w:color="auto"/>
      </w:divBdr>
    </w:div>
    <w:div w:id="1766608688">
      <w:bodyDiv w:val="1"/>
      <w:marLeft w:val="0"/>
      <w:marRight w:val="0"/>
      <w:marTop w:val="0"/>
      <w:marBottom w:val="0"/>
      <w:divBdr>
        <w:top w:val="none" w:sz="0" w:space="0" w:color="auto"/>
        <w:left w:val="none" w:sz="0" w:space="0" w:color="auto"/>
        <w:bottom w:val="none" w:sz="0" w:space="0" w:color="auto"/>
        <w:right w:val="none" w:sz="0" w:space="0" w:color="auto"/>
      </w:divBdr>
    </w:div>
    <w:div w:id="1835410078">
      <w:bodyDiv w:val="1"/>
      <w:marLeft w:val="0"/>
      <w:marRight w:val="0"/>
      <w:marTop w:val="0"/>
      <w:marBottom w:val="0"/>
      <w:divBdr>
        <w:top w:val="none" w:sz="0" w:space="0" w:color="auto"/>
        <w:left w:val="none" w:sz="0" w:space="0" w:color="auto"/>
        <w:bottom w:val="none" w:sz="0" w:space="0" w:color="auto"/>
        <w:right w:val="none" w:sz="0" w:space="0" w:color="auto"/>
      </w:divBdr>
    </w:div>
    <w:div w:id="1915167110">
      <w:bodyDiv w:val="1"/>
      <w:marLeft w:val="0"/>
      <w:marRight w:val="0"/>
      <w:marTop w:val="0"/>
      <w:marBottom w:val="0"/>
      <w:divBdr>
        <w:top w:val="none" w:sz="0" w:space="0" w:color="auto"/>
        <w:left w:val="none" w:sz="0" w:space="0" w:color="auto"/>
        <w:bottom w:val="none" w:sz="0" w:space="0" w:color="auto"/>
        <w:right w:val="none" w:sz="0" w:space="0" w:color="auto"/>
      </w:divBdr>
    </w:div>
    <w:div w:id="1945841539">
      <w:bodyDiv w:val="1"/>
      <w:marLeft w:val="0"/>
      <w:marRight w:val="0"/>
      <w:marTop w:val="0"/>
      <w:marBottom w:val="0"/>
      <w:divBdr>
        <w:top w:val="none" w:sz="0" w:space="0" w:color="auto"/>
        <w:left w:val="none" w:sz="0" w:space="0" w:color="auto"/>
        <w:bottom w:val="none" w:sz="0" w:space="0" w:color="auto"/>
        <w:right w:val="none" w:sz="0" w:space="0" w:color="auto"/>
      </w:divBdr>
    </w:div>
    <w:div w:id="195200754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541803">
      <w:bodyDiv w:val="1"/>
      <w:marLeft w:val="0"/>
      <w:marRight w:val="0"/>
      <w:marTop w:val="0"/>
      <w:marBottom w:val="0"/>
      <w:divBdr>
        <w:top w:val="none" w:sz="0" w:space="0" w:color="auto"/>
        <w:left w:val="none" w:sz="0" w:space="0" w:color="auto"/>
        <w:bottom w:val="none" w:sz="0" w:space="0" w:color="auto"/>
        <w:right w:val="none" w:sz="0" w:space="0" w:color="auto"/>
      </w:divBdr>
    </w:div>
    <w:div w:id="1968268397">
      <w:bodyDiv w:val="1"/>
      <w:marLeft w:val="0"/>
      <w:marRight w:val="0"/>
      <w:marTop w:val="0"/>
      <w:marBottom w:val="0"/>
      <w:divBdr>
        <w:top w:val="none" w:sz="0" w:space="0" w:color="auto"/>
        <w:left w:val="none" w:sz="0" w:space="0" w:color="auto"/>
        <w:bottom w:val="none" w:sz="0" w:space="0" w:color="auto"/>
        <w:right w:val="none" w:sz="0" w:space="0" w:color="auto"/>
      </w:divBdr>
    </w:div>
    <w:div w:id="1986691036">
      <w:bodyDiv w:val="1"/>
      <w:marLeft w:val="0"/>
      <w:marRight w:val="0"/>
      <w:marTop w:val="0"/>
      <w:marBottom w:val="0"/>
      <w:divBdr>
        <w:top w:val="none" w:sz="0" w:space="0" w:color="auto"/>
        <w:left w:val="none" w:sz="0" w:space="0" w:color="auto"/>
        <w:bottom w:val="none" w:sz="0" w:space="0" w:color="auto"/>
        <w:right w:val="none" w:sz="0" w:space="0" w:color="auto"/>
      </w:divBdr>
    </w:div>
    <w:div w:id="2046057056">
      <w:bodyDiv w:val="1"/>
      <w:marLeft w:val="0"/>
      <w:marRight w:val="0"/>
      <w:marTop w:val="0"/>
      <w:marBottom w:val="0"/>
      <w:divBdr>
        <w:top w:val="none" w:sz="0" w:space="0" w:color="auto"/>
        <w:left w:val="none" w:sz="0" w:space="0" w:color="auto"/>
        <w:bottom w:val="none" w:sz="0" w:space="0" w:color="auto"/>
        <w:right w:val="none" w:sz="0" w:space="0" w:color="auto"/>
      </w:divBdr>
    </w:div>
    <w:div w:id="2050297045">
      <w:bodyDiv w:val="1"/>
      <w:marLeft w:val="0"/>
      <w:marRight w:val="0"/>
      <w:marTop w:val="0"/>
      <w:marBottom w:val="0"/>
      <w:divBdr>
        <w:top w:val="none" w:sz="0" w:space="0" w:color="auto"/>
        <w:left w:val="none" w:sz="0" w:space="0" w:color="auto"/>
        <w:bottom w:val="none" w:sz="0" w:space="0" w:color="auto"/>
        <w:right w:val="none" w:sz="0" w:space="0" w:color="auto"/>
      </w:divBdr>
    </w:div>
    <w:div w:id="2060549939">
      <w:bodyDiv w:val="1"/>
      <w:marLeft w:val="0"/>
      <w:marRight w:val="0"/>
      <w:marTop w:val="0"/>
      <w:marBottom w:val="0"/>
      <w:divBdr>
        <w:top w:val="none" w:sz="0" w:space="0" w:color="auto"/>
        <w:left w:val="none" w:sz="0" w:space="0" w:color="auto"/>
        <w:bottom w:val="none" w:sz="0" w:space="0" w:color="auto"/>
        <w:right w:val="none" w:sz="0" w:space="0" w:color="auto"/>
      </w:divBdr>
    </w:div>
    <w:div w:id="2069375244">
      <w:bodyDiv w:val="1"/>
      <w:marLeft w:val="0"/>
      <w:marRight w:val="0"/>
      <w:marTop w:val="0"/>
      <w:marBottom w:val="0"/>
      <w:divBdr>
        <w:top w:val="none" w:sz="0" w:space="0" w:color="auto"/>
        <w:left w:val="none" w:sz="0" w:space="0" w:color="auto"/>
        <w:bottom w:val="none" w:sz="0" w:space="0" w:color="auto"/>
        <w:right w:val="none" w:sz="0" w:space="0" w:color="auto"/>
      </w:divBdr>
    </w:div>
    <w:div w:id="2089038037">
      <w:bodyDiv w:val="1"/>
      <w:marLeft w:val="0"/>
      <w:marRight w:val="0"/>
      <w:marTop w:val="0"/>
      <w:marBottom w:val="0"/>
      <w:divBdr>
        <w:top w:val="none" w:sz="0" w:space="0" w:color="auto"/>
        <w:left w:val="none" w:sz="0" w:space="0" w:color="auto"/>
        <w:bottom w:val="none" w:sz="0" w:space="0" w:color="auto"/>
        <w:right w:val="none" w:sz="0" w:space="0" w:color="auto"/>
      </w:divBdr>
    </w:div>
    <w:div w:id="21360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dermcoll.edu.au/wp-content/uploads/ACD-Consensus-Statement-Treatment-goals-for-psoriasis-March-2017.pdf" TargetMode="External"/><Relationship Id="rId1" Type="http://schemas.openxmlformats.org/officeDocument/2006/relationships/hyperlink" Target="https://jamanetwork.com/journals/jamadermatology/fullarticle/2759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16007</Words>
  <Characters>89672</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2024-05-01T03:56:00Z</dcterms:created>
  <dcterms:modified xsi:type="dcterms:W3CDTF">2024-06-24T03:28:00Z</dcterms:modified>
</cp:coreProperties>
</file>