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B01D2" w14:textId="0E0AD660" w:rsidR="00E61D7B" w:rsidRPr="007E75AE" w:rsidRDefault="00E61D7B" w:rsidP="00E61D7B">
      <w:pPr>
        <w:rPr>
          <w:rFonts w:eastAsia="Calibri" w:cstheme="minorHAnsi"/>
          <w:color w:val="FF0000"/>
        </w:rPr>
      </w:pPr>
      <w:bookmarkStart w:id="0" w:name="_Toc114052513"/>
      <w:bookmarkStart w:id="1" w:name="_Ref92641178"/>
      <w:r w:rsidRPr="007E75AE">
        <w:rPr>
          <w:rFonts w:eastAsia="Calibri" w:cstheme="minorHAnsi"/>
          <w:color w:val="FF0000"/>
        </w:rPr>
        <w:t xml:space="preserve">An addendum to this </w:t>
      </w:r>
      <w:r w:rsidR="003A7D69">
        <w:rPr>
          <w:rFonts w:eastAsia="Calibri" w:cstheme="minorHAnsi"/>
          <w:color w:val="FF0000"/>
        </w:rPr>
        <w:t>public summary document</w:t>
      </w:r>
      <w:r w:rsidR="00B9761E" w:rsidRPr="007E75AE">
        <w:rPr>
          <w:rFonts w:eastAsia="Calibri" w:cstheme="minorHAnsi"/>
          <w:color w:val="FF0000"/>
        </w:rPr>
        <w:t xml:space="preserve"> </w:t>
      </w:r>
      <w:r w:rsidRPr="007E75AE">
        <w:rPr>
          <w:rFonts w:eastAsia="Calibri" w:cstheme="minorHAnsi"/>
          <w:color w:val="FF0000"/>
        </w:rPr>
        <w:t>has been included at the end of the document.</w:t>
      </w:r>
    </w:p>
    <w:p w14:paraId="239DE0AC" w14:textId="0C86E1FE" w:rsidR="0092254A" w:rsidRPr="00576299" w:rsidRDefault="0092254A" w:rsidP="0092254A">
      <w:pPr>
        <w:pStyle w:val="1-MainHeading"/>
      </w:pPr>
      <w:r w:rsidRPr="00576299">
        <w:t>7.03</w:t>
      </w:r>
      <w:r w:rsidRPr="00576299">
        <w:tab/>
      </w:r>
      <w:r w:rsidRPr="00576299">
        <w:rPr>
          <w:caps/>
        </w:rPr>
        <w:t>Dostarlimab</w:t>
      </w:r>
      <w:r w:rsidRPr="00576299">
        <w:t>,</w:t>
      </w:r>
      <w:r w:rsidRPr="00576299">
        <w:br/>
        <w:t>Solution concentrate for I.V. infusion 500 mg in 10</w:t>
      </w:r>
      <w:r w:rsidR="00663A40">
        <w:t> </w:t>
      </w:r>
      <w:r w:rsidRPr="00576299">
        <w:t>mL,</w:t>
      </w:r>
      <w:r w:rsidRPr="00576299">
        <w:br/>
        <w:t>Jemperli®,</w:t>
      </w:r>
      <w:r w:rsidRPr="00576299">
        <w:br/>
        <w:t>GlaxoSmithKline Australia Pty Ltd.</w:t>
      </w:r>
      <w:bookmarkEnd w:id="0"/>
    </w:p>
    <w:p w14:paraId="3DA2FF2B" w14:textId="77777777" w:rsidR="0092254A" w:rsidRPr="00576299" w:rsidRDefault="0092254A" w:rsidP="0092254A">
      <w:pPr>
        <w:pStyle w:val="2-SectionHeading"/>
        <w:numPr>
          <w:ilvl w:val="0"/>
          <w:numId w:val="1"/>
        </w:numPr>
      </w:pPr>
      <w:bookmarkStart w:id="2" w:name="_Toc114052515"/>
      <w:r w:rsidRPr="00576299">
        <w:t>Purpose of submission</w:t>
      </w:r>
      <w:bookmarkEnd w:id="2"/>
    </w:p>
    <w:p w14:paraId="3123E9BE" w14:textId="7F0CA24E" w:rsidR="0092254A" w:rsidRPr="00576299" w:rsidRDefault="0092254A" w:rsidP="0092254A">
      <w:pPr>
        <w:pStyle w:val="3-BodyText"/>
      </w:pPr>
      <w:r w:rsidRPr="00576299">
        <w:t xml:space="preserve">The Standard Re-entry submission requested </w:t>
      </w:r>
      <w:r w:rsidR="00DA31F5">
        <w:t xml:space="preserve">a </w:t>
      </w:r>
      <w:r w:rsidRPr="00576299">
        <w:t xml:space="preserve">Section 100 listing for dostarlimab for the treatment of recurrent or advanced </w:t>
      </w:r>
      <w:r w:rsidR="001A308C" w:rsidRPr="00576299">
        <w:t xml:space="preserve">(A/R) </w:t>
      </w:r>
      <w:r w:rsidRPr="00576299">
        <w:t xml:space="preserve">mismatch repair deficient </w:t>
      </w:r>
      <w:r w:rsidR="001A308C" w:rsidRPr="00576299">
        <w:t xml:space="preserve">(dMMR) </w:t>
      </w:r>
      <w:r w:rsidRPr="00576299">
        <w:t xml:space="preserve">endometrial cancer (EC) that has progressed on or following prior treatment with a platinum-containing regimen. This was the </w:t>
      </w:r>
      <w:r w:rsidR="005C7171">
        <w:t xml:space="preserve">second </w:t>
      </w:r>
      <w:r w:rsidRPr="00576299">
        <w:t>submission for dostarlimab. Dostarlimab is not currently PBS-listed.</w:t>
      </w:r>
    </w:p>
    <w:p w14:paraId="6A524108" w14:textId="0918430E" w:rsidR="00D135B6" w:rsidRPr="00576299" w:rsidRDefault="0092254A" w:rsidP="0092254A">
      <w:pPr>
        <w:pStyle w:val="3-BodyText"/>
      </w:pPr>
      <w:r w:rsidRPr="00576299">
        <w:t xml:space="preserve">Listing was requested on the basis of: (i) a cost-effectiveness analysis versus standard of care (SoC) </w:t>
      </w:r>
      <w:r w:rsidR="00DA31F5">
        <w:t>comprising</w:t>
      </w:r>
      <w:r w:rsidRPr="00576299">
        <w:t xml:space="preserve"> single agent chemotherapy and platinum-based chemotherapy (PBC); and (ii) a cost-minimisation approach versus pembrolizumab + lenvatinib (PEM+LEN). The resubmission stated that the final effective price for dostarlimab would be determined based on the economic evaluation the PBAC consider</w:t>
      </w:r>
      <w:r w:rsidR="00D45D46" w:rsidRPr="00576299">
        <w:t>s</w:t>
      </w:r>
      <w:r w:rsidRPr="00576299">
        <w:t xml:space="preserve"> appropriate for decision-making, which was expected to depend on whether the sponsors of PEM+LEN have commenced the PBS listing process by the time of the November 2022 </w:t>
      </w:r>
      <w:r w:rsidR="00D135B6" w:rsidRPr="00576299">
        <w:t xml:space="preserve">PBAC </w:t>
      </w:r>
      <w:r w:rsidRPr="00576299">
        <w:t xml:space="preserve">meeting. </w:t>
      </w:r>
    </w:p>
    <w:p w14:paraId="49CADEB0" w14:textId="347E884C" w:rsidR="0092254A" w:rsidRPr="00576299" w:rsidRDefault="0092254A" w:rsidP="0092254A">
      <w:pPr>
        <w:pStyle w:val="3-BodyText"/>
      </w:pPr>
      <w:r w:rsidRPr="00576299">
        <w:fldChar w:fldCharType="begin"/>
      </w:r>
      <w:r w:rsidRPr="00576299">
        <w:instrText xml:space="preserve"> REF _Ref111412535 \h </w:instrText>
      </w:r>
      <w:r w:rsidRPr="00576299">
        <w:fldChar w:fldCharType="separate"/>
      </w:r>
      <w:r w:rsidR="00CD09E9" w:rsidRPr="00576299">
        <w:t xml:space="preserve">Table </w:t>
      </w:r>
      <w:r w:rsidR="00CD09E9">
        <w:rPr>
          <w:noProof/>
        </w:rPr>
        <w:t>1</w:t>
      </w:r>
      <w:r w:rsidRPr="00576299">
        <w:fldChar w:fldCharType="end"/>
      </w:r>
      <w:r w:rsidRPr="00576299">
        <w:t xml:space="preserve"> presents the key components of the clinical issue addressed by the resubmission. </w:t>
      </w:r>
    </w:p>
    <w:p w14:paraId="06CDD66A" w14:textId="164B88D8" w:rsidR="0092254A" w:rsidRPr="00576299" w:rsidRDefault="0092254A" w:rsidP="000E1DA3">
      <w:pPr>
        <w:pStyle w:val="Caption"/>
      </w:pPr>
      <w:bookmarkStart w:id="3" w:name="_Ref111412535"/>
      <w:r w:rsidRPr="00576299">
        <w:lastRenderedPageBreak/>
        <w:t xml:space="preserve">Table </w:t>
      </w:r>
      <w:fldSimple w:instr=" SEQ Table \* ARABIC ">
        <w:r w:rsidR="00CD09E9">
          <w:rPr>
            <w:noProof/>
          </w:rPr>
          <w:t>1</w:t>
        </w:r>
      </w:fldSimple>
      <w:bookmarkEnd w:id="3"/>
      <w:r w:rsidRPr="00576299">
        <w:t>:</w:t>
      </w:r>
      <w:r w:rsidRPr="00576299">
        <w:rPr>
          <w:rStyle w:val="CommentReference"/>
          <w:b/>
          <w:szCs w:val="24"/>
        </w:rPr>
        <w:t xml:space="preserve"> Key components of the clinical issue addressed by the resubmission</w:t>
      </w:r>
    </w:p>
    <w:tbl>
      <w:tblPr>
        <w:tblStyle w:val="TableGrid"/>
        <w:tblW w:w="5000" w:type="pct"/>
        <w:tblLook w:val="04A0" w:firstRow="1" w:lastRow="0" w:firstColumn="1" w:lastColumn="0" w:noHBand="0" w:noVBand="1"/>
      </w:tblPr>
      <w:tblGrid>
        <w:gridCol w:w="1212"/>
        <w:gridCol w:w="1524"/>
        <w:gridCol w:w="6281"/>
      </w:tblGrid>
      <w:tr w:rsidR="0092254A" w:rsidRPr="00576299" w14:paraId="77C7E923" w14:textId="77777777" w:rsidTr="001032D8">
        <w:tc>
          <w:tcPr>
            <w:tcW w:w="672" w:type="pct"/>
            <w:shd w:val="clear" w:color="auto" w:fill="auto"/>
            <w:vAlign w:val="center"/>
          </w:tcPr>
          <w:p w14:paraId="21A75722" w14:textId="77777777" w:rsidR="0092254A" w:rsidRPr="00576299" w:rsidRDefault="0092254A" w:rsidP="000E1DA3">
            <w:pPr>
              <w:pStyle w:val="In-tableHeading"/>
              <w:rPr>
                <w:lang w:val="en-AU"/>
              </w:rPr>
            </w:pPr>
            <w:r w:rsidRPr="00576299">
              <w:rPr>
                <w:lang w:val="en-AU"/>
              </w:rPr>
              <w:t>Component</w:t>
            </w:r>
          </w:p>
        </w:tc>
        <w:tc>
          <w:tcPr>
            <w:tcW w:w="4328" w:type="pct"/>
            <w:gridSpan w:val="2"/>
            <w:shd w:val="clear" w:color="auto" w:fill="auto"/>
          </w:tcPr>
          <w:p w14:paraId="2BC676CA" w14:textId="77777777" w:rsidR="0092254A" w:rsidRPr="00576299" w:rsidRDefault="0092254A" w:rsidP="000E1DA3">
            <w:pPr>
              <w:pStyle w:val="In-tableHeading"/>
              <w:rPr>
                <w:lang w:val="en-AU"/>
              </w:rPr>
            </w:pPr>
            <w:r w:rsidRPr="00576299">
              <w:rPr>
                <w:lang w:val="en-AU"/>
              </w:rPr>
              <w:t>Description</w:t>
            </w:r>
          </w:p>
        </w:tc>
      </w:tr>
      <w:tr w:rsidR="0092254A" w:rsidRPr="00576299" w14:paraId="59067F1D" w14:textId="77777777" w:rsidTr="001032D8">
        <w:tc>
          <w:tcPr>
            <w:tcW w:w="672" w:type="pct"/>
            <w:vAlign w:val="center"/>
          </w:tcPr>
          <w:p w14:paraId="4B47E80A" w14:textId="77777777" w:rsidR="0092254A" w:rsidRPr="00576299" w:rsidRDefault="0092254A" w:rsidP="000E1DA3">
            <w:pPr>
              <w:pStyle w:val="TableText0"/>
            </w:pPr>
            <w:r w:rsidRPr="00576299">
              <w:t>Population</w:t>
            </w:r>
          </w:p>
        </w:tc>
        <w:tc>
          <w:tcPr>
            <w:tcW w:w="4328" w:type="pct"/>
            <w:gridSpan w:val="2"/>
          </w:tcPr>
          <w:p w14:paraId="209D9915" w14:textId="77777777" w:rsidR="0092254A" w:rsidRPr="00576299" w:rsidRDefault="0092254A" w:rsidP="000E1DA3">
            <w:pPr>
              <w:pStyle w:val="TableText0"/>
              <w:jc w:val="both"/>
            </w:pPr>
            <w:r w:rsidRPr="00576299">
              <w:t>Patients with recurrent or advanced (A/R) mismatch repair deficient (dMMR) endometrial cancer (EC) that has progressed on or following prior treatment with a platinum-containing regimen.</w:t>
            </w:r>
          </w:p>
        </w:tc>
      </w:tr>
      <w:tr w:rsidR="0092254A" w:rsidRPr="00576299" w14:paraId="0A3E9829" w14:textId="77777777" w:rsidTr="001032D8">
        <w:tc>
          <w:tcPr>
            <w:tcW w:w="672" w:type="pct"/>
            <w:vAlign w:val="center"/>
          </w:tcPr>
          <w:p w14:paraId="6947561F" w14:textId="77777777" w:rsidR="0092254A" w:rsidRPr="00576299" w:rsidRDefault="0092254A" w:rsidP="000E1DA3">
            <w:pPr>
              <w:pStyle w:val="TableText0"/>
            </w:pPr>
            <w:r w:rsidRPr="00576299">
              <w:t>Intervention</w:t>
            </w:r>
          </w:p>
        </w:tc>
        <w:tc>
          <w:tcPr>
            <w:tcW w:w="4328" w:type="pct"/>
            <w:gridSpan w:val="2"/>
          </w:tcPr>
          <w:p w14:paraId="70BFD440" w14:textId="77777777" w:rsidR="0092254A" w:rsidRPr="00576299" w:rsidRDefault="0092254A" w:rsidP="000E1DA3">
            <w:pPr>
              <w:pStyle w:val="TableText0"/>
              <w:jc w:val="both"/>
            </w:pPr>
            <w:r w:rsidRPr="00576299">
              <w:t>Dostarlimab 500 mg Q3W given intravenously (IV) for the first four doses, followed by 1,000 mg Q6W for all cycles thereafter for up to 2 years.</w:t>
            </w:r>
          </w:p>
        </w:tc>
      </w:tr>
      <w:tr w:rsidR="0092254A" w:rsidRPr="00576299" w14:paraId="1624305F" w14:textId="77777777" w:rsidTr="001032D8">
        <w:trPr>
          <w:trHeight w:val="223"/>
        </w:trPr>
        <w:tc>
          <w:tcPr>
            <w:tcW w:w="672" w:type="pct"/>
            <w:vMerge w:val="restart"/>
            <w:vAlign w:val="center"/>
          </w:tcPr>
          <w:p w14:paraId="1E600895" w14:textId="77777777" w:rsidR="0092254A" w:rsidRPr="00576299" w:rsidRDefault="0092254A" w:rsidP="000E1DA3">
            <w:pPr>
              <w:pStyle w:val="TableText0"/>
            </w:pPr>
            <w:r w:rsidRPr="00576299">
              <w:t>Comparator</w:t>
            </w:r>
          </w:p>
        </w:tc>
        <w:tc>
          <w:tcPr>
            <w:tcW w:w="845" w:type="pct"/>
            <w:vAlign w:val="center"/>
          </w:tcPr>
          <w:p w14:paraId="6535EBA2" w14:textId="77777777" w:rsidR="0092254A" w:rsidRPr="00576299" w:rsidRDefault="0092254A" w:rsidP="000E1DA3">
            <w:pPr>
              <w:pStyle w:val="TableText0"/>
              <w:jc w:val="both"/>
            </w:pPr>
            <w:r w:rsidRPr="00576299">
              <w:t xml:space="preserve">Main comparator </w:t>
            </w:r>
          </w:p>
        </w:tc>
        <w:tc>
          <w:tcPr>
            <w:tcW w:w="3483" w:type="pct"/>
            <w:vAlign w:val="center"/>
          </w:tcPr>
          <w:p w14:paraId="609D85D5" w14:textId="77777777" w:rsidR="0092254A" w:rsidRPr="00576299" w:rsidRDefault="0092254A" w:rsidP="000E1DA3">
            <w:pPr>
              <w:pStyle w:val="TableText0"/>
            </w:pPr>
            <w:r w:rsidRPr="00576299">
              <w:t>Standard of care (SoC) comprising single-agent and platinum-based chemotherapies</w:t>
            </w:r>
          </w:p>
        </w:tc>
      </w:tr>
      <w:tr w:rsidR="0092254A" w:rsidRPr="00576299" w14:paraId="628EDD32" w14:textId="77777777" w:rsidTr="006843C3">
        <w:trPr>
          <w:trHeight w:val="810"/>
        </w:trPr>
        <w:tc>
          <w:tcPr>
            <w:tcW w:w="672" w:type="pct"/>
            <w:vMerge/>
            <w:vAlign w:val="center"/>
          </w:tcPr>
          <w:p w14:paraId="056066E2" w14:textId="77777777" w:rsidR="0092254A" w:rsidRPr="00576299" w:rsidRDefault="0092254A" w:rsidP="000E1DA3">
            <w:pPr>
              <w:pStyle w:val="TableText0"/>
            </w:pPr>
          </w:p>
        </w:tc>
        <w:tc>
          <w:tcPr>
            <w:tcW w:w="845" w:type="pct"/>
            <w:vAlign w:val="center"/>
          </w:tcPr>
          <w:p w14:paraId="5E57B2AF" w14:textId="77777777" w:rsidR="0092254A" w:rsidRPr="00576299" w:rsidRDefault="0092254A" w:rsidP="000E1DA3">
            <w:pPr>
              <w:pStyle w:val="TableText0"/>
              <w:rPr>
                <w:u w:val="single"/>
              </w:rPr>
            </w:pPr>
            <w:r w:rsidRPr="00576299">
              <w:rPr>
                <w:u w:val="single"/>
              </w:rPr>
              <w:t xml:space="preserve">Near market comparator </w:t>
            </w:r>
            <w:r w:rsidRPr="00576299">
              <w:rPr>
                <w:u w:val="single"/>
                <w:vertAlign w:val="superscript"/>
              </w:rPr>
              <w:t>a,b</w:t>
            </w:r>
          </w:p>
        </w:tc>
        <w:tc>
          <w:tcPr>
            <w:tcW w:w="3483" w:type="pct"/>
            <w:vAlign w:val="center"/>
          </w:tcPr>
          <w:p w14:paraId="656EC175" w14:textId="37FFE169" w:rsidR="0092254A" w:rsidRPr="00576299" w:rsidRDefault="0092254A" w:rsidP="000E1DA3">
            <w:pPr>
              <w:pStyle w:val="TableText0"/>
              <w:jc w:val="both"/>
              <w:rPr>
                <w:rFonts w:cs="Times New Roman"/>
                <w:u w:val="single"/>
              </w:rPr>
            </w:pPr>
            <w:r w:rsidRPr="00576299">
              <w:rPr>
                <w:rFonts w:cs="Times New Roman"/>
                <w:u w:val="single"/>
              </w:rPr>
              <w:t>Pembrolizumab 200mg IV Q3W plus lenvatinib 20mg daily orally (PEM+LEN): clinical and economic comparator</w:t>
            </w:r>
          </w:p>
          <w:p w14:paraId="65009632" w14:textId="77777777" w:rsidR="0092254A" w:rsidRPr="00576299" w:rsidRDefault="0092254A" w:rsidP="000E1DA3">
            <w:pPr>
              <w:pStyle w:val="TableText0"/>
              <w:jc w:val="both"/>
              <w:rPr>
                <w:b/>
                <w:u w:val="single"/>
              </w:rPr>
            </w:pPr>
            <w:r w:rsidRPr="00576299">
              <w:rPr>
                <w:rFonts w:cs="Times New Roman"/>
                <w:u w:val="single"/>
              </w:rPr>
              <w:t>Pembrolizumab 200mg IV Q3W monotherapy: supplementary clinical comparator</w:t>
            </w:r>
          </w:p>
        </w:tc>
      </w:tr>
      <w:tr w:rsidR="0092254A" w:rsidRPr="00576299" w14:paraId="05994517" w14:textId="77777777" w:rsidTr="001032D8">
        <w:tc>
          <w:tcPr>
            <w:tcW w:w="672" w:type="pct"/>
            <w:vAlign w:val="center"/>
          </w:tcPr>
          <w:p w14:paraId="1DC8A99F" w14:textId="77777777" w:rsidR="0092254A" w:rsidRPr="00576299" w:rsidRDefault="0092254A" w:rsidP="000E1DA3">
            <w:pPr>
              <w:pStyle w:val="TableText0"/>
            </w:pPr>
            <w:r w:rsidRPr="00576299">
              <w:t>Outcomes</w:t>
            </w:r>
          </w:p>
        </w:tc>
        <w:tc>
          <w:tcPr>
            <w:tcW w:w="4328" w:type="pct"/>
            <w:gridSpan w:val="2"/>
          </w:tcPr>
          <w:p w14:paraId="3620062A" w14:textId="77777777" w:rsidR="0092254A" w:rsidRPr="00576299" w:rsidRDefault="0092254A" w:rsidP="000E1DA3">
            <w:pPr>
              <w:pStyle w:val="TableText0"/>
              <w:jc w:val="both"/>
            </w:pPr>
            <w:r w:rsidRPr="00576299">
              <w:t>Objective response rate, duration of response, progression-free survival, overall survival, safety.</w:t>
            </w:r>
          </w:p>
        </w:tc>
      </w:tr>
      <w:tr w:rsidR="0092254A" w:rsidRPr="00576299" w14:paraId="169F5FA6" w14:textId="77777777" w:rsidTr="006843C3">
        <w:trPr>
          <w:trHeight w:val="1292"/>
        </w:trPr>
        <w:tc>
          <w:tcPr>
            <w:tcW w:w="672" w:type="pct"/>
            <w:vAlign w:val="center"/>
          </w:tcPr>
          <w:p w14:paraId="63FC2FF0" w14:textId="77777777" w:rsidR="0092254A" w:rsidRPr="00576299" w:rsidRDefault="0092254A" w:rsidP="000E1DA3">
            <w:pPr>
              <w:pStyle w:val="TableText0"/>
            </w:pPr>
            <w:r w:rsidRPr="00576299">
              <w:t>Clinical claim</w:t>
            </w:r>
          </w:p>
        </w:tc>
        <w:tc>
          <w:tcPr>
            <w:tcW w:w="4328" w:type="pct"/>
            <w:gridSpan w:val="2"/>
          </w:tcPr>
          <w:p w14:paraId="5CC7E6F3" w14:textId="77777777" w:rsidR="0092254A" w:rsidRPr="00576299" w:rsidRDefault="0092254A" w:rsidP="000E1DA3">
            <w:pPr>
              <w:pStyle w:val="TableText0"/>
              <w:jc w:val="both"/>
            </w:pPr>
            <w:r w:rsidRPr="00576299">
              <w:t>In patients with A/R dMMR EC that has progressed on or following prior treatment with a platinum-containing regimen:</w:t>
            </w:r>
          </w:p>
          <w:p w14:paraId="7BF3CD2B" w14:textId="77777777" w:rsidR="0092254A" w:rsidRPr="00576299" w:rsidRDefault="0092254A" w:rsidP="000E1DA3">
            <w:pPr>
              <w:pStyle w:val="TableText0"/>
              <w:jc w:val="both"/>
            </w:pPr>
            <w:r w:rsidRPr="00576299">
              <w:t>Dostarlimab is superior in terms of efficacy and non-inferior in terms of safety compared with SoC.</w:t>
            </w:r>
          </w:p>
          <w:p w14:paraId="5312E31B" w14:textId="10906234" w:rsidR="0092254A" w:rsidRPr="00576299" w:rsidRDefault="006843C3" w:rsidP="000E1DA3">
            <w:pPr>
              <w:pStyle w:val="TableText0"/>
              <w:jc w:val="both"/>
              <w:rPr>
                <w:u w:val="single"/>
              </w:rPr>
            </w:pPr>
            <w:r>
              <w:rPr>
                <w:u w:val="single"/>
                <w:vertAlign w:val="superscript"/>
              </w:rPr>
              <w:t>b</w:t>
            </w:r>
            <w:r w:rsidR="0092254A" w:rsidRPr="00576299">
              <w:rPr>
                <w:u w:val="single"/>
              </w:rPr>
              <w:t xml:space="preserve"> Dostarlimab is non-inferior in terms of efficacy and superior in terms of safety compared with PEM+LEN. Dostarlimab is non-inferior in terms of efficacy and safety compared with pembrolizumab monotherapy.</w:t>
            </w:r>
          </w:p>
        </w:tc>
      </w:tr>
    </w:tbl>
    <w:p w14:paraId="613B073B" w14:textId="77777777" w:rsidR="00C73213" w:rsidRPr="00576299" w:rsidRDefault="00C73213" w:rsidP="000E1DA3">
      <w:pPr>
        <w:pStyle w:val="FooterTableFigure"/>
        <w:keepNext/>
      </w:pPr>
      <w:r w:rsidRPr="00576299">
        <w:t>Source: Table 3, p 23 of the resubmission.</w:t>
      </w:r>
    </w:p>
    <w:p w14:paraId="1A4809BD" w14:textId="70223CF6" w:rsidR="00C73213" w:rsidRPr="00576299" w:rsidRDefault="00C73213" w:rsidP="000E1DA3">
      <w:pPr>
        <w:pStyle w:val="FooterTableFigure"/>
        <w:keepNext/>
      </w:pPr>
      <w:r w:rsidRPr="00576299">
        <w:t>A/R = recurrent or advanced; dMMR = mismatch repair deficient; EC = endometrial cancer; Q3W = every 3 weeks; Q6W = every 6 weeks; PEM+LEN = pembrolizumab plus lenvatinib; SoC = standard of care</w:t>
      </w:r>
    </w:p>
    <w:p w14:paraId="7B2518CD" w14:textId="77777777" w:rsidR="0092254A" w:rsidRPr="00576299" w:rsidRDefault="0092254A" w:rsidP="000E1DA3">
      <w:pPr>
        <w:pStyle w:val="FooterTableFigure"/>
        <w:keepNext/>
      </w:pPr>
      <w:r w:rsidRPr="00576299">
        <w:rPr>
          <w:vertAlign w:val="superscript"/>
        </w:rPr>
        <w:t>a</w:t>
      </w:r>
      <w:r w:rsidRPr="00576299">
        <w:t xml:space="preserve"> The near market comparators PEM+LEN and pembrolizumab monotherapy were not presented in the previous dostarlimab submission.</w:t>
      </w:r>
    </w:p>
    <w:p w14:paraId="593564D6" w14:textId="3C0C9CB1" w:rsidR="0092254A" w:rsidRPr="00576299" w:rsidRDefault="007E7B49" w:rsidP="000E1DA3">
      <w:pPr>
        <w:pStyle w:val="FooterTableFigure"/>
        <w:keepNext/>
      </w:pPr>
      <w:r w:rsidRPr="00576299">
        <w:rPr>
          <w:vertAlign w:val="superscript"/>
        </w:rPr>
        <w:t>b</w:t>
      </w:r>
      <w:r w:rsidRPr="00576299">
        <w:t xml:space="preserve"> </w:t>
      </w:r>
      <w:r w:rsidR="0092254A" w:rsidRPr="00576299">
        <w:t>The resubmission stated that of the two near market comparators, PEM+LEN was considered to be the more relevant as it was recommended for listing in A/R EC following PBC (irrespective of MMR status), whereas pembrolizumab monotherapy was not recommended for listing in A/R dMMR EC following PBC.</w:t>
      </w:r>
    </w:p>
    <w:p w14:paraId="05724AD7" w14:textId="739C0B1C" w:rsidR="0092254A" w:rsidRPr="00576299" w:rsidRDefault="0092254A" w:rsidP="000E1DA3">
      <w:pPr>
        <w:pStyle w:val="FooterTableFigure"/>
        <w:keepNext/>
      </w:pPr>
      <w:r w:rsidRPr="00576299">
        <w:t>Underlined text indicates changes since the previous dostarlimab submission.</w:t>
      </w:r>
    </w:p>
    <w:p w14:paraId="0CADDD52" w14:textId="77777777" w:rsidR="0092254A" w:rsidRPr="00576299" w:rsidRDefault="0092254A" w:rsidP="0092254A">
      <w:pPr>
        <w:pStyle w:val="2-SectionHeading"/>
        <w:numPr>
          <w:ilvl w:val="0"/>
          <w:numId w:val="1"/>
        </w:numPr>
      </w:pPr>
      <w:bookmarkStart w:id="4" w:name="_Toc114052516"/>
      <w:r w:rsidRPr="00576299">
        <w:t>Background</w:t>
      </w:r>
      <w:bookmarkEnd w:id="4"/>
    </w:p>
    <w:p w14:paraId="051043A5" w14:textId="77777777" w:rsidR="0092254A" w:rsidRPr="00576299" w:rsidRDefault="0092254A" w:rsidP="0092254A">
      <w:pPr>
        <w:pStyle w:val="4-SubsectionHeading"/>
      </w:pPr>
      <w:bookmarkStart w:id="5" w:name="_Toc22897638"/>
      <w:bookmarkStart w:id="6" w:name="_Toc114052517"/>
      <w:r w:rsidRPr="00576299">
        <w:t>Registration status</w:t>
      </w:r>
      <w:bookmarkEnd w:id="5"/>
      <w:bookmarkEnd w:id="6"/>
    </w:p>
    <w:p w14:paraId="5BFFD4E6" w14:textId="02D129DC" w:rsidR="0092254A" w:rsidRPr="00576299" w:rsidRDefault="0092254A" w:rsidP="0092254A">
      <w:pPr>
        <w:pStyle w:val="3-BodyText"/>
      </w:pPr>
      <w:r w:rsidRPr="00576299">
        <w:t xml:space="preserve">Dostarlimab was </w:t>
      </w:r>
      <w:r w:rsidR="00D135B6" w:rsidRPr="00576299">
        <w:t xml:space="preserve">registered, with </w:t>
      </w:r>
      <w:r w:rsidRPr="00576299">
        <w:t>provisional approval</w:t>
      </w:r>
      <w:r w:rsidR="00DA31F5">
        <w:t>,</w:t>
      </w:r>
      <w:r w:rsidRPr="00576299">
        <w:t xml:space="preserve"> on 1</w:t>
      </w:r>
      <w:r w:rsidR="00D135B6" w:rsidRPr="00576299">
        <w:t>7</w:t>
      </w:r>
      <w:r w:rsidRPr="00576299">
        <w:t xml:space="preserve"> February 2022 for the following indication: “JEMPERLI is indicated as monotherapy for the treatment of adult patients with recurrent or advanced mismatch repair deficient (dMMR) endometrial cancer (EC) that has progressed on or following prior treatment with a platinum-containing regimen.”</w:t>
      </w:r>
    </w:p>
    <w:p w14:paraId="00977218" w14:textId="3D867FD6" w:rsidR="0092254A" w:rsidRPr="00576299" w:rsidRDefault="0092254A" w:rsidP="0092254A">
      <w:pPr>
        <w:pStyle w:val="3-BodyText"/>
      </w:pPr>
      <w:r w:rsidRPr="00576299">
        <w:t>The dostarlimab Product Information (PI) states: “This medicine and indication have provisional approval, based on objective response rate and duration of response in a single-arm trial. Full registration for this indication depends on verification and description of clinical benefit in confirmatory trials.”</w:t>
      </w:r>
      <w:r w:rsidR="00BE3572" w:rsidRPr="00576299">
        <w:t xml:space="preserve"> </w:t>
      </w:r>
    </w:p>
    <w:p w14:paraId="4D00C3D5" w14:textId="77777777" w:rsidR="0092254A" w:rsidRPr="00576299" w:rsidRDefault="0092254A" w:rsidP="0092254A">
      <w:pPr>
        <w:pStyle w:val="4-SubsectionHeading"/>
      </w:pPr>
      <w:bookmarkStart w:id="7" w:name="_Toc22897639"/>
      <w:bookmarkStart w:id="8" w:name="_Toc114052518"/>
      <w:r w:rsidRPr="00576299">
        <w:t>Previous PBAC consideration</w:t>
      </w:r>
      <w:bookmarkEnd w:id="7"/>
      <w:bookmarkEnd w:id="8"/>
    </w:p>
    <w:p w14:paraId="7CF1AD9D" w14:textId="51944A10" w:rsidR="003464F6" w:rsidRPr="00576299" w:rsidRDefault="003464F6" w:rsidP="0092254A">
      <w:pPr>
        <w:pStyle w:val="3-BodyText"/>
      </w:pPr>
      <w:r w:rsidRPr="00576299">
        <w:t>Dostarlimab for the treatment of A/R dMMR EC that has progressed o</w:t>
      </w:r>
      <w:r w:rsidR="00966DAB" w:rsidRPr="00576299">
        <w:t>n or following prior PBC was previously considered by PBAC in March 2022.</w:t>
      </w:r>
    </w:p>
    <w:p w14:paraId="3165964D" w14:textId="5E16C628" w:rsidR="0092254A" w:rsidRPr="00576299" w:rsidRDefault="0092254A" w:rsidP="0092254A">
      <w:pPr>
        <w:pStyle w:val="3-BodyText"/>
      </w:pPr>
      <w:r w:rsidRPr="00576299">
        <w:t xml:space="preserve">At the March 2022 PBAC meeting, </w:t>
      </w:r>
      <w:r w:rsidR="00A12F6C" w:rsidRPr="00576299">
        <w:t xml:space="preserve">PEM+LEN and pembrolizumab monotherapy (referred to as pembrolizumab </w:t>
      </w:r>
      <w:r w:rsidR="00A12F6C" w:rsidRPr="00576299">
        <w:rPr>
          <w:rFonts w:cstheme="minorHAnsi"/>
        </w:rPr>
        <w:t>±</w:t>
      </w:r>
      <w:r w:rsidR="00A12F6C" w:rsidRPr="00576299">
        <w:t xml:space="preserve"> lenvatinib from herein) </w:t>
      </w:r>
      <w:r w:rsidR="008E7C75" w:rsidRPr="00576299">
        <w:t xml:space="preserve">were </w:t>
      </w:r>
      <w:r w:rsidR="00394C1D" w:rsidRPr="00576299">
        <w:t xml:space="preserve">also considered for A/R EC that has progressed on or following prior PBC. </w:t>
      </w:r>
      <w:r w:rsidRPr="00576299">
        <w:t xml:space="preserve">PEM+LEN </w:t>
      </w:r>
      <w:r w:rsidR="00495ED5" w:rsidRPr="00576299">
        <w:t>was</w:t>
      </w:r>
      <w:r w:rsidRPr="00576299">
        <w:t xml:space="preserve"> recommend</w:t>
      </w:r>
      <w:r w:rsidR="00495ED5" w:rsidRPr="00576299">
        <w:t>ed</w:t>
      </w:r>
      <w:r w:rsidRPr="00576299">
        <w:t xml:space="preserve"> for the treatment of advanced, metastatic or recurrent EC in patients who have received a prior PBC regimen for this condition</w:t>
      </w:r>
      <w:r w:rsidR="00394C1D" w:rsidRPr="00576299">
        <w:t>, irrespective of MMR status</w:t>
      </w:r>
      <w:r w:rsidRPr="00576299">
        <w:t xml:space="preserve">. </w:t>
      </w:r>
      <w:r w:rsidR="00566E81" w:rsidRPr="00576299">
        <w:t xml:space="preserve">Pembrolizumab </w:t>
      </w:r>
      <w:r w:rsidR="00566E81" w:rsidRPr="00576299">
        <w:lastRenderedPageBreak/>
        <w:t xml:space="preserve">monotherapy was not recommended. </w:t>
      </w:r>
      <w:r w:rsidR="00323C4A" w:rsidRPr="00576299">
        <w:t xml:space="preserve">At the time of </w:t>
      </w:r>
      <w:r w:rsidR="006843C3">
        <w:t>PBAC consideration</w:t>
      </w:r>
      <w:r w:rsidRPr="00576299">
        <w:t xml:space="preserve"> PEM+LEN ha</w:t>
      </w:r>
      <w:r w:rsidR="006843C3">
        <w:t>d</w:t>
      </w:r>
      <w:r w:rsidRPr="00576299">
        <w:t xml:space="preserve"> not been listed on the PBS for the treatment of EC.</w:t>
      </w:r>
    </w:p>
    <w:p w14:paraId="2143D7B3" w14:textId="38F6A104" w:rsidR="0092254A" w:rsidRPr="00576299" w:rsidRDefault="0092254A" w:rsidP="0092254A">
      <w:pPr>
        <w:pStyle w:val="3-BodyText"/>
      </w:pPr>
      <w:r w:rsidRPr="00576299">
        <w:fldChar w:fldCharType="begin"/>
      </w:r>
      <w:r w:rsidRPr="00576299">
        <w:instrText xml:space="preserve"> REF _Ref111412573 \h </w:instrText>
      </w:r>
      <w:r w:rsidRPr="00576299">
        <w:fldChar w:fldCharType="separate"/>
      </w:r>
      <w:r w:rsidR="00CD09E9" w:rsidRPr="00576299">
        <w:t xml:space="preserve">Table </w:t>
      </w:r>
      <w:r w:rsidR="00CD09E9">
        <w:rPr>
          <w:noProof/>
        </w:rPr>
        <w:t>2</w:t>
      </w:r>
      <w:r w:rsidRPr="00576299">
        <w:fldChar w:fldCharType="end"/>
      </w:r>
      <w:r w:rsidRPr="00576299">
        <w:t xml:space="preserve"> summarises the key matters from the previous PBAC consideration and how the resubmission addressed those concerns.</w:t>
      </w:r>
    </w:p>
    <w:p w14:paraId="42B6ABB2" w14:textId="6A29E3A1" w:rsidR="0092254A" w:rsidRPr="00576299" w:rsidRDefault="0092254A" w:rsidP="0092254A">
      <w:pPr>
        <w:pStyle w:val="Caption"/>
      </w:pPr>
      <w:bookmarkStart w:id="9" w:name="_Ref111412573"/>
      <w:bookmarkStart w:id="10" w:name="_Toc107935165"/>
      <w:r w:rsidRPr="00576299">
        <w:t xml:space="preserve">Table </w:t>
      </w:r>
      <w:fldSimple w:instr=" SEQ Table \* ARABIC ">
        <w:r w:rsidR="00CD09E9">
          <w:rPr>
            <w:noProof/>
          </w:rPr>
          <w:t>2</w:t>
        </w:r>
      </w:fldSimple>
      <w:bookmarkEnd w:id="9"/>
      <w:r w:rsidRPr="00576299">
        <w:t xml:space="preserve">: Summary of key matters </w:t>
      </w:r>
      <w:bookmarkEnd w:id="10"/>
      <w:r w:rsidRPr="00576299">
        <w:t>of concern</w:t>
      </w:r>
    </w:p>
    <w:tbl>
      <w:tblPr>
        <w:tblStyle w:val="TableGrid"/>
        <w:tblW w:w="5000" w:type="pct"/>
        <w:tblCellMar>
          <w:top w:w="11" w:type="dxa"/>
          <w:left w:w="11" w:type="dxa"/>
          <w:bottom w:w="11" w:type="dxa"/>
          <w:right w:w="11" w:type="dxa"/>
        </w:tblCellMar>
        <w:tblLook w:val="04A0" w:firstRow="1" w:lastRow="0" w:firstColumn="1" w:lastColumn="0" w:noHBand="0" w:noVBand="1"/>
      </w:tblPr>
      <w:tblGrid>
        <w:gridCol w:w="1144"/>
        <w:gridCol w:w="3821"/>
        <w:gridCol w:w="4052"/>
      </w:tblGrid>
      <w:tr w:rsidR="0092254A" w:rsidRPr="00576299" w14:paraId="207E5A12" w14:textId="77777777" w:rsidTr="009A33A1">
        <w:trPr>
          <w:cantSplit/>
          <w:tblHeader/>
        </w:trPr>
        <w:tc>
          <w:tcPr>
            <w:tcW w:w="626" w:type="pct"/>
            <w:vAlign w:val="center"/>
          </w:tcPr>
          <w:p w14:paraId="74E591F2" w14:textId="77777777" w:rsidR="0092254A" w:rsidRPr="00576299" w:rsidRDefault="0092254A" w:rsidP="00131509">
            <w:pPr>
              <w:pStyle w:val="In-tableHeading"/>
              <w:rPr>
                <w:lang w:val="en-AU"/>
              </w:rPr>
            </w:pPr>
            <w:r w:rsidRPr="00576299">
              <w:rPr>
                <w:lang w:val="en-AU"/>
              </w:rPr>
              <w:t>Component</w:t>
            </w:r>
          </w:p>
        </w:tc>
        <w:tc>
          <w:tcPr>
            <w:tcW w:w="2123" w:type="pct"/>
            <w:shd w:val="clear" w:color="auto" w:fill="auto"/>
            <w:vAlign w:val="center"/>
          </w:tcPr>
          <w:p w14:paraId="261CD94B" w14:textId="77777777" w:rsidR="0092254A" w:rsidRPr="00576299" w:rsidRDefault="0092254A" w:rsidP="00954FBC">
            <w:pPr>
              <w:pStyle w:val="In-tableHeading"/>
              <w:jc w:val="center"/>
              <w:rPr>
                <w:lang w:val="en-AU"/>
              </w:rPr>
            </w:pPr>
            <w:bookmarkStart w:id="11" w:name="_Hlk106184787"/>
            <w:r w:rsidRPr="00576299">
              <w:rPr>
                <w:lang w:val="en-AU"/>
              </w:rPr>
              <w:t>Matter of concern</w:t>
            </w:r>
          </w:p>
        </w:tc>
        <w:tc>
          <w:tcPr>
            <w:tcW w:w="2251" w:type="pct"/>
            <w:shd w:val="clear" w:color="auto" w:fill="auto"/>
            <w:vAlign w:val="center"/>
          </w:tcPr>
          <w:p w14:paraId="3BC8C6C5" w14:textId="77777777" w:rsidR="0092254A" w:rsidRPr="00576299" w:rsidRDefault="0092254A" w:rsidP="00954FBC">
            <w:pPr>
              <w:pStyle w:val="In-tableHeading"/>
              <w:jc w:val="center"/>
              <w:rPr>
                <w:lang w:val="en-AU"/>
              </w:rPr>
            </w:pPr>
            <w:r w:rsidRPr="00576299">
              <w:rPr>
                <w:lang w:val="en-AU"/>
              </w:rPr>
              <w:t>How the resubmission addresses it</w:t>
            </w:r>
          </w:p>
        </w:tc>
      </w:tr>
      <w:tr w:rsidR="0092254A" w:rsidRPr="00576299" w14:paraId="79C485F6" w14:textId="77777777" w:rsidTr="009A33A1">
        <w:trPr>
          <w:cantSplit/>
        </w:trPr>
        <w:tc>
          <w:tcPr>
            <w:tcW w:w="626" w:type="pct"/>
            <w:vAlign w:val="center"/>
          </w:tcPr>
          <w:p w14:paraId="2A522A99" w14:textId="77777777" w:rsidR="0092254A" w:rsidRPr="00576299" w:rsidRDefault="0092254A" w:rsidP="00131509">
            <w:pPr>
              <w:pStyle w:val="Tabletext"/>
            </w:pPr>
            <w:r w:rsidRPr="00576299">
              <w:t>Requested restriction</w:t>
            </w:r>
          </w:p>
        </w:tc>
        <w:tc>
          <w:tcPr>
            <w:tcW w:w="2123" w:type="pct"/>
            <w:shd w:val="clear" w:color="auto" w:fill="auto"/>
            <w:vAlign w:val="center"/>
          </w:tcPr>
          <w:p w14:paraId="2D39030E" w14:textId="4A305DEF" w:rsidR="0092254A" w:rsidRPr="00576299" w:rsidRDefault="0092254A" w:rsidP="00954FBC">
            <w:pPr>
              <w:pStyle w:val="Tabletext"/>
            </w:pPr>
            <w:r w:rsidRPr="00576299">
              <w:t xml:space="preserve">The PBAC considered that the requested listing and restrictions were generally appropriate and should also specify that the patient has not received prior PD-(L)1 therapy for this condition (paragraph 7.2, </w:t>
            </w:r>
            <w:r w:rsidR="00986D1D" w:rsidRPr="00576299">
              <w:t xml:space="preserve">dostarlimab </w:t>
            </w:r>
            <w:r w:rsidR="006843C3">
              <w:t>PSD</w:t>
            </w:r>
            <w:r w:rsidR="00986D1D" w:rsidRPr="00576299">
              <w:t xml:space="preserve">, </w:t>
            </w:r>
            <w:r w:rsidRPr="00576299">
              <w:t>March 2022</w:t>
            </w:r>
            <w:r w:rsidR="00986D1D" w:rsidRPr="00576299">
              <w:t xml:space="preserve"> PBAC meeting</w:t>
            </w:r>
            <w:r w:rsidRPr="00576299">
              <w:t>).</w:t>
            </w:r>
          </w:p>
        </w:tc>
        <w:tc>
          <w:tcPr>
            <w:tcW w:w="2251" w:type="pct"/>
            <w:shd w:val="clear" w:color="auto" w:fill="auto"/>
            <w:vAlign w:val="center"/>
          </w:tcPr>
          <w:p w14:paraId="7F36F0E5" w14:textId="080A02C5" w:rsidR="0092254A" w:rsidRPr="00576299" w:rsidRDefault="001438C7" w:rsidP="00954FBC">
            <w:pPr>
              <w:pStyle w:val="Tabletext"/>
            </w:pPr>
            <w:r w:rsidRPr="00576299">
              <w:t xml:space="preserve">Addressed. </w:t>
            </w:r>
            <w:r w:rsidR="0092254A" w:rsidRPr="00576299">
              <w:t xml:space="preserve">Restriction amended to reflect PBAC comments. </w:t>
            </w:r>
          </w:p>
        </w:tc>
      </w:tr>
      <w:tr w:rsidR="0092254A" w:rsidRPr="00576299" w14:paraId="145A6D79" w14:textId="77777777" w:rsidTr="009A33A1">
        <w:trPr>
          <w:cantSplit/>
        </w:trPr>
        <w:tc>
          <w:tcPr>
            <w:tcW w:w="626" w:type="pct"/>
            <w:vAlign w:val="center"/>
          </w:tcPr>
          <w:p w14:paraId="0354297A" w14:textId="77777777" w:rsidR="0092254A" w:rsidRPr="00576299" w:rsidRDefault="0092254A" w:rsidP="00131509">
            <w:pPr>
              <w:pStyle w:val="Tabletext"/>
            </w:pPr>
            <w:r w:rsidRPr="00576299">
              <w:t>Comparator</w:t>
            </w:r>
          </w:p>
        </w:tc>
        <w:tc>
          <w:tcPr>
            <w:tcW w:w="2123" w:type="pct"/>
            <w:shd w:val="clear" w:color="auto" w:fill="auto"/>
            <w:vAlign w:val="center"/>
          </w:tcPr>
          <w:p w14:paraId="4EC7F194" w14:textId="3C906BCC" w:rsidR="0092254A" w:rsidRPr="00576299" w:rsidRDefault="0092254A" w:rsidP="00954FBC">
            <w:pPr>
              <w:pStyle w:val="Tabletext"/>
            </w:pPr>
            <w:r w:rsidRPr="00576299">
              <w:t xml:space="preserve">Overall, the PBAC considered that the nominated comparator was appropriate, however noted that, should pembrolizumab ± lenvatinib be PBS listed in this indication, it may become the relevant comparator for dostarlimab (paragraph 7.4, </w:t>
            </w:r>
            <w:r w:rsidR="00986D1D" w:rsidRPr="00576299">
              <w:t xml:space="preserve">dostarlimab </w:t>
            </w:r>
            <w:r w:rsidR="006843C3">
              <w:t>PSD</w:t>
            </w:r>
            <w:r w:rsidR="00986D1D" w:rsidRPr="00576299">
              <w:t>, March 2022 PBAC meeting</w:t>
            </w:r>
            <w:r w:rsidRPr="00576299">
              <w:t>).</w:t>
            </w:r>
          </w:p>
        </w:tc>
        <w:tc>
          <w:tcPr>
            <w:tcW w:w="2251" w:type="pct"/>
            <w:shd w:val="clear" w:color="auto" w:fill="auto"/>
            <w:vAlign w:val="center"/>
          </w:tcPr>
          <w:p w14:paraId="678BA6D0" w14:textId="77777777" w:rsidR="0092254A" w:rsidRPr="00576299" w:rsidRDefault="0092254A" w:rsidP="00954FBC">
            <w:pPr>
              <w:pStyle w:val="Tabletext"/>
            </w:pPr>
            <w:r w:rsidRPr="00576299">
              <w:t>Addressed. The resubmission nominated the following comparators:</w:t>
            </w:r>
          </w:p>
          <w:p w14:paraId="738B678E" w14:textId="77777777" w:rsidR="0092254A" w:rsidRPr="00576299" w:rsidRDefault="0092254A" w:rsidP="00954FBC">
            <w:pPr>
              <w:pStyle w:val="Tabletext"/>
            </w:pPr>
            <w:r w:rsidRPr="00576299">
              <w:t>Main comparator: SoC; comprising single-agent and platinum-based chemotherapies.</w:t>
            </w:r>
          </w:p>
          <w:p w14:paraId="4610A54D" w14:textId="2742F097" w:rsidR="0092254A" w:rsidRPr="00576299" w:rsidRDefault="0092254A" w:rsidP="00954FBC">
            <w:pPr>
              <w:pStyle w:val="Tabletext"/>
            </w:pPr>
            <w:r w:rsidRPr="00576299">
              <w:t>Near market comparator:</w:t>
            </w:r>
          </w:p>
          <w:p w14:paraId="07A25869" w14:textId="77777777" w:rsidR="0092254A" w:rsidRPr="00576299" w:rsidRDefault="0092254A" w:rsidP="00954FBC">
            <w:pPr>
              <w:pStyle w:val="Tabletext"/>
            </w:pPr>
            <w:r w:rsidRPr="00576299">
              <w:t>PEM+LEN: clinical and economic comparator</w:t>
            </w:r>
          </w:p>
          <w:p w14:paraId="314A8EF0" w14:textId="74E17974" w:rsidR="0092254A" w:rsidRPr="00576299" w:rsidRDefault="0092254A" w:rsidP="00954FBC">
            <w:pPr>
              <w:pStyle w:val="Tabletext"/>
            </w:pPr>
            <w:r w:rsidRPr="00576299">
              <w:t>Pembrolizumab monotherapy: supplementary clinical comparator</w:t>
            </w:r>
            <w:r w:rsidR="000B0137" w:rsidRPr="00576299">
              <w:t xml:space="preserve"> (</w:t>
            </w:r>
            <w:r w:rsidR="003074F6" w:rsidRPr="00576299">
              <w:t xml:space="preserve">see </w:t>
            </w:r>
            <w:r w:rsidR="000034CA" w:rsidRPr="00576299">
              <w:t>p</w:t>
            </w:r>
            <w:r w:rsidR="000B0137" w:rsidRPr="00576299">
              <w:t xml:space="preserve">aragraph </w:t>
            </w:r>
            <w:r w:rsidR="000B0137" w:rsidRPr="00576299">
              <w:fldChar w:fldCharType="begin"/>
            </w:r>
            <w:r w:rsidR="000B0137" w:rsidRPr="00576299">
              <w:instrText xml:space="preserve"> REF _Ref111486017 \r \h </w:instrText>
            </w:r>
            <w:r w:rsidR="00C535E4" w:rsidRPr="00576299">
              <w:instrText xml:space="preserve"> \* MERGEFORMAT </w:instrText>
            </w:r>
            <w:r w:rsidR="000B0137" w:rsidRPr="00576299">
              <w:fldChar w:fldCharType="separate"/>
            </w:r>
            <w:r w:rsidR="00CD09E9">
              <w:t>5.1</w:t>
            </w:r>
            <w:r w:rsidR="000B0137" w:rsidRPr="00576299">
              <w:fldChar w:fldCharType="end"/>
            </w:r>
            <w:r w:rsidR="000B0137" w:rsidRPr="00576299">
              <w:t>)</w:t>
            </w:r>
          </w:p>
        </w:tc>
      </w:tr>
      <w:tr w:rsidR="0092254A" w:rsidRPr="00576299" w14:paraId="64017604" w14:textId="77777777" w:rsidTr="009A33A1">
        <w:trPr>
          <w:cantSplit/>
        </w:trPr>
        <w:tc>
          <w:tcPr>
            <w:tcW w:w="626" w:type="pct"/>
            <w:vAlign w:val="center"/>
          </w:tcPr>
          <w:p w14:paraId="6C267E17" w14:textId="77777777" w:rsidR="0092254A" w:rsidRPr="00576299" w:rsidRDefault="0092254A" w:rsidP="00131509">
            <w:pPr>
              <w:pStyle w:val="Tabletext"/>
            </w:pPr>
            <w:r w:rsidRPr="00576299">
              <w:t>Clinical evaluation</w:t>
            </w:r>
          </w:p>
        </w:tc>
        <w:tc>
          <w:tcPr>
            <w:tcW w:w="2123" w:type="pct"/>
            <w:shd w:val="clear" w:color="auto" w:fill="auto"/>
            <w:vAlign w:val="center"/>
          </w:tcPr>
          <w:p w14:paraId="1BC02EF8" w14:textId="0B844003" w:rsidR="0092254A" w:rsidRPr="00576299" w:rsidRDefault="0092254A" w:rsidP="00954FBC">
            <w:pPr>
              <w:pStyle w:val="Tabletext"/>
            </w:pPr>
            <w:r w:rsidRPr="00576299">
              <w:t xml:space="preserve">The PBAC considered that a comparison with pembrolizumab ± lenvatinib, to support a claim of non-inferior effectiveness, would require full independent evaluation (paragraph 7.8, </w:t>
            </w:r>
            <w:r w:rsidR="00986D1D" w:rsidRPr="00576299">
              <w:t xml:space="preserve">dostarlimab </w:t>
            </w:r>
            <w:r w:rsidR="006843C3">
              <w:t>PSD</w:t>
            </w:r>
            <w:r w:rsidR="00986D1D" w:rsidRPr="00576299">
              <w:t>, March 2022 PBAC meeting</w:t>
            </w:r>
            <w:r w:rsidRPr="00576299">
              <w:t>).</w:t>
            </w:r>
          </w:p>
        </w:tc>
        <w:tc>
          <w:tcPr>
            <w:tcW w:w="2251" w:type="pct"/>
            <w:shd w:val="clear" w:color="auto" w:fill="auto"/>
            <w:vAlign w:val="center"/>
          </w:tcPr>
          <w:p w14:paraId="36D6A840" w14:textId="675B89D3" w:rsidR="0092254A" w:rsidRPr="00576299" w:rsidRDefault="0092254A" w:rsidP="00954FBC">
            <w:pPr>
              <w:pStyle w:val="Tabletext"/>
            </w:pPr>
            <w:r w:rsidRPr="00576299">
              <w:t>Addressed.</w:t>
            </w:r>
            <w:r w:rsidR="000974AC" w:rsidRPr="00576299">
              <w:t xml:space="preserve"> Naïve indirect comparison with pembrolizumab ± lenvatinib presented.</w:t>
            </w:r>
          </w:p>
        </w:tc>
      </w:tr>
      <w:tr w:rsidR="0092254A" w:rsidRPr="00576299" w14:paraId="13E73C23" w14:textId="77777777" w:rsidTr="009A33A1">
        <w:trPr>
          <w:cantSplit/>
        </w:trPr>
        <w:tc>
          <w:tcPr>
            <w:tcW w:w="626" w:type="pct"/>
            <w:vAlign w:val="center"/>
          </w:tcPr>
          <w:p w14:paraId="27195E55" w14:textId="77777777" w:rsidR="0092254A" w:rsidRPr="00576299" w:rsidRDefault="0092254A" w:rsidP="00131509">
            <w:pPr>
              <w:pStyle w:val="Tabletext"/>
            </w:pPr>
            <w:r w:rsidRPr="00576299">
              <w:t>Clinical effectiveness</w:t>
            </w:r>
          </w:p>
        </w:tc>
        <w:tc>
          <w:tcPr>
            <w:tcW w:w="2123" w:type="pct"/>
            <w:shd w:val="clear" w:color="auto" w:fill="auto"/>
            <w:vAlign w:val="center"/>
          </w:tcPr>
          <w:p w14:paraId="1344A56B" w14:textId="77777777" w:rsidR="0092254A" w:rsidRPr="00576299" w:rsidRDefault="0092254A" w:rsidP="00954FBC">
            <w:pPr>
              <w:pStyle w:val="Tabletext"/>
            </w:pPr>
            <w:r w:rsidRPr="00576299">
              <w:rPr>
                <w:iCs/>
              </w:rPr>
              <w:t>The evidence submitted for dostarlimab was based on a relatively small single arm study with immature follow-up and considered there were</w:t>
            </w:r>
            <w:r w:rsidRPr="00576299">
              <w:t xml:space="preserve"> </w:t>
            </w:r>
            <w:r w:rsidRPr="00576299">
              <w:rPr>
                <w:iCs/>
              </w:rPr>
              <w:t>key transitivity and methodological issues</w:t>
            </w:r>
            <w:r w:rsidRPr="00576299">
              <w:t xml:space="preserve"> with the indirect comparisons presented in the submission</w:t>
            </w:r>
            <w:r w:rsidRPr="00576299">
              <w:rPr>
                <w:iCs/>
              </w:rPr>
              <w:t>.</w:t>
            </w:r>
          </w:p>
          <w:p w14:paraId="4B8AB8BC" w14:textId="6B9870D4" w:rsidR="0092254A" w:rsidRPr="00576299" w:rsidRDefault="0092254A" w:rsidP="00954FBC">
            <w:pPr>
              <w:pStyle w:val="Tabletext"/>
            </w:pPr>
            <w:r w:rsidRPr="00576299">
              <w:t xml:space="preserve">The PBAC considered that the magnitude of benefit for dostarlimab over chemotherapy was uncertain (paragraph 7.1, </w:t>
            </w:r>
            <w:r w:rsidR="00986D1D" w:rsidRPr="00576299">
              <w:t xml:space="preserve">dostarlimab </w:t>
            </w:r>
            <w:r w:rsidR="006843C3">
              <w:t>PSD</w:t>
            </w:r>
            <w:r w:rsidR="00986D1D" w:rsidRPr="00576299">
              <w:t>, March 2022 PBAC meeting</w:t>
            </w:r>
            <w:r w:rsidRPr="00576299">
              <w:t>).</w:t>
            </w:r>
          </w:p>
        </w:tc>
        <w:tc>
          <w:tcPr>
            <w:tcW w:w="2251" w:type="pct"/>
            <w:shd w:val="clear" w:color="auto" w:fill="auto"/>
            <w:vAlign w:val="center"/>
          </w:tcPr>
          <w:p w14:paraId="23DDED59" w14:textId="297E4B25" w:rsidR="0092254A" w:rsidRPr="00576299" w:rsidRDefault="00C47C99" w:rsidP="00954FBC">
            <w:pPr>
              <w:pStyle w:val="Tabletext"/>
            </w:pPr>
            <w:r>
              <w:t>The evaluation considered this was not adequately</w:t>
            </w:r>
            <w:r w:rsidR="0092254A" w:rsidRPr="00576299">
              <w:t xml:space="preserve"> addressed. As in the previous dostarlimab submission, the evidence consisted of only one single arm study of dostarlimab, GARNET. The naïve indirect comparisons presented by the resubmission involved various arms of different trials which lead to a high risk of bias and the results of the analysis were highly uncertain. </w:t>
            </w:r>
            <w:r w:rsidR="0006257F" w:rsidRPr="00576299">
              <w:t>(paragraph</w:t>
            </w:r>
            <w:r w:rsidR="00CB714D" w:rsidRPr="00576299">
              <w:t>s</w:t>
            </w:r>
            <w:r w:rsidR="0006257F" w:rsidRPr="00576299">
              <w:t xml:space="preserve"> </w:t>
            </w:r>
            <w:r w:rsidR="002A0C5F" w:rsidRPr="00576299">
              <w:fldChar w:fldCharType="begin"/>
            </w:r>
            <w:r w:rsidR="002A0C5F" w:rsidRPr="00576299">
              <w:instrText xml:space="preserve"> REF _Ref111507472 \r \h </w:instrText>
            </w:r>
            <w:r w:rsidR="00C535E4" w:rsidRPr="00576299">
              <w:instrText xml:space="preserve"> \* MERGEFORMAT </w:instrText>
            </w:r>
            <w:r w:rsidR="002A0C5F" w:rsidRPr="00576299">
              <w:fldChar w:fldCharType="separate"/>
            </w:r>
            <w:r w:rsidR="00CD09E9">
              <w:t>6.12</w:t>
            </w:r>
            <w:r w:rsidR="002A0C5F" w:rsidRPr="00576299">
              <w:fldChar w:fldCharType="end"/>
            </w:r>
            <w:r w:rsidR="002A0C5F" w:rsidRPr="00576299">
              <w:t xml:space="preserve"> </w:t>
            </w:r>
            <w:r w:rsidR="0006257F" w:rsidRPr="00576299">
              <w:t xml:space="preserve">to </w:t>
            </w:r>
            <w:r w:rsidR="0006257F" w:rsidRPr="00576299">
              <w:fldChar w:fldCharType="begin"/>
            </w:r>
            <w:r w:rsidR="0006257F" w:rsidRPr="00576299">
              <w:instrText xml:space="preserve"> REF _Ref111507477 \r \h </w:instrText>
            </w:r>
            <w:r w:rsidR="00C535E4" w:rsidRPr="00576299">
              <w:instrText xml:space="preserve"> \* MERGEFORMAT </w:instrText>
            </w:r>
            <w:r w:rsidR="0006257F" w:rsidRPr="00576299">
              <w:fldChar w:fldCharType="separate"/>
            </w:r>
            <w:r w:rsidR="00CD09E9">
              <w:t>6.23</w:t>
            </w:r>
            <w:r w:rsidR="0006257F" w:rsidRPr="00576299">
              <w:fldChar w:fldCharType="end"/>
            </w:r>
            <w:r w:rsidR="0006257F" w:rsidRPr="00576299">
              <w:t>)</w:t>
            </w:r>
          </w:p>
        </w:tc>
      </w:tr>
      <w:tr w:rsidR="0092254A" w:rsidRPr="00576299" w14:paraId="48C55D6A" w14:textId="77777777" w:rsidTr="009A33A1">
        <w:trPr>
          <w:cantSplit/>
        </w:trPr>
        <w:tc>
          <w:tcPr>
            <w:tcW w:w="626" w:type="pct"/>
            <w:vAlign w:val="center"/>
          </w:tcPr>
          <w:p w14:paraId="28FAC529" w14:textId="77777777" w:rsidR="0092254A" w:rsidRPr="00576299" w:rsidRDefault="0092254A" w:rsidP="00131509">
            <w:pPr>
              <w:pStyle w:val="Tabletext"/>
            </w:pPr>
            <w:r w:rsidRPr="00576299">
              <w:t>Clinical effectiveness</w:t>
            </w:r>
          </w:p>
        </w:tc>
        <w:tc>
          <w:tcPr>
            <w:tcW w:w="2123" w:type="pct"/>
            <w:shd w:val="clear" w:color="auto" w:fill="auto"/>
            <w:vAlign w:val="center"/>
          </w:tcPr>
          <w:p w14:paraId="376A8372" w14:textId="522D68A1" w:rsidR="0092254A" w:rsidRPr="00576299" w:rsidRDefault="0092254A" w:rsidP="00954FBC">
            <w:pPr>
              <w:pStyle w:val="Tabletext"/>
            </w:pPr>
            <w:r w:rsidRPr="00576299">
              <w:t xml:space="preserve">The PBAC noted that even with the longer follow-up (data cut IA3) for GARNET Cohort A1 provided in the PSCR, the OS data were relatively immature with median survival not reached (paragraph 7.5, </w:t>
            </w:r>
            <w:r w:rsidR="00986D1D" w:rsidRPr="00576299">
              <w:t xml:space="preserve">dostarlimab </w:t>
            </w:r>
            <w:r w:rsidR="006843C3">
              <w:t>PSD</w:t>
            </w:r>
            <w:r w:rsidR="00986D1D" w:rsidRPr="00576299">
              <w:t>, March 2022 PBAC meeting</w:t>
            </w:r>
            <w:r w:rsidRPr="00576299">
              <w:t xml:space="preserve">). </w:t>
            </w:r>
          </w:p>
        </w:tc>
        <w:tc>
          <w:tcPr>
            <w:tcW w:w="2251" w:type="pct"/>
            <w:shd w:val="clear" w:color="auto" w:fill="auto"/>
            <w:vAlign w:val="center"/>
          </w:tcPr>
          <w:p w14:paraId="0C41862E" w14:textId="78D66787" w:rsidR="0092254A" w:rsidRPr="00576299" w:rsidRDefault="00C47C99" w:rsidP="00954FBC">
            <w:pPr>
              <w:pStyle w:val="Tabletext"/>
            </w:pPr>
            <w:r>
              <w:t>The evaluation considered this was not adequately</w:t>
            </w:r>
            <w:r w:rsidRPr="00576299">
              <w:t xml:space="preserve"> addressed</w:t>
            </w:r>
            <w:r w:rsidR="0092254A" w:rsidRPr="00576299">
              <w:t xml:space="preserve">. Data from GARNET Cohort A1 data cut IA3 </w:t>
            </w:r>
            <w:r>
              <w:t xml:space="preserve">were </w:t>
            </w:r>
            <w:r w:rsidR="0092254A" w:rsidRPr="00576299">
              <w:t xml:space="preserve">used in the clinical evaluation in the resubmission. </w:t>
            </w:r>
            <w:r w:rsidR="0006257F" w:rsidRPr="00576299">
              <w:t>(paragraph</w:t>
            </w:r>
            <w:r w:rsidR="00CB714D" w:rsidRPr="00576299">
              <w:t>s</w:t>
            </w:r>
            <w:r w:rsidR="0006257F" w:rsidRPr="00576299">
              <w:t xml:space="preserve"> </w:t>
            </w:r>
            <w:r w:rsidR="002A0C5F" w:rsidRPr="00576299">
              <w:fldChar w:fldCharType="begin"/>
            </w:r>
            <w:r w:rsidR="002A0C5F" w:rsidRPr="00576299">
              <w:instrText xml:space="preserve"> REF _Ref111507472 \r \h </w:instrText>
            </w:r>
            <w:r w:rsidR="00C535E4" w:rsidRPr="00576299">
              <w:instrText xml:space="preserve"> \* MERGEFORMAT </w:instrText>
            </w:r>
            <w:r w:rsidR="002A0C5F" w:rsidRPr="00576299">
              <w:fldChar w:fldCharType="separate"/>
            </w:r>
            <w:r w:rsidR="00CD09E9">
              <w:t>6.12</w:t>
            </w:r>
            <w:r w:rsidR="002A0C5F" w:rsidRPr="00576299">
              <w:fldChar w:fldCharType="end"/>
            </w:r>
            <w:r w:rsidR="002A0C5F" w:rsidRPr="00576299">
              <w:t xml:space="preserve"> </w:t>
            </w:r>
            <w:r w:rsidR="0006257F" w:rsidRPr="00576299">
              <w:t xml:space="preserve">to </w:t>
            </w:r>
            <w:r w:rsidR="0006257F" w:rsidRPr="00576299">
              <w:fldChar w:fldCharType="begin"/>
            </w:r>
            <w:r w:rsidR="0006257F" w:rsidRPr="00576299">
              <w:instrText xml:space="preserve"> REF _Ref111507477 \r \h </w:instrText>
            </w:r>
            <w:r w:rsidR="00C535E4" w:rsidRPr="00576299">
              <w:instrText xml:space="preserve"> \* MERGEFORMAT </w:instrText>
            </w:r>
            <w:r w:rsidR="0006257F" w:rsidRPr="00576299">
              <w:fldChar w:fldCharType="separate"/>
            </w:r>
            <w:r w:rsidR="00CD09E9">
              <w:t>6.23</w:t>
            </w:r>
            <w:r w:rsidR="0006257F" w:rsidRPr="00576299">
              <w:fldChar w:fldCharType="end"/>
            </w:r>
            <w:r w:rsidR="0006257F" w:rsidRPr="00576299">
              <w:t>)</w:t>
            </w:r>
          </w:p>
        </w:tc>
      </w:tr>
      <w:tr w:rsidR="0092254A" w:rsidRPr="00576299" w14:paraId="4D64B86C" w14:textId="77777777" w:rsidTr="009A33A1">
        <w:trPr>
          <w:cantSplit/>
        </w:trPr>
        <w:tc>
          <w:tcPr>
            <w:tcW w:w="626" w:type="pct"/>
            <w:vAlign w:val="center"/>
          </w:tcPr>
          <w:p w14:paraId="569D8904" w14:textId="77777777" w:rsidR="0092254A" w:rsidRPr="00576299" w:rsidRDefault="0092254A" w:rsidP="00131509">
            <w:pPr>
              <w:pStyle w:val="Tabletext"/>
            </w:pPr>
            <w:r w:rsidRPr="00576299">
              <w:t>Pending clinical data</w:t>
            </w:r>
          </w:p>
        </w:tc>
        <w:tc>
          <w:tcPr>
            <w:tcW w:w="2123" w:type="pct"/>
            <w:shd w:val="clear" w:color="auto" w:fill="auto"/>
            <w:vAlign w:val="center"/>
          </w:tcPr>
          <w:p w14:paraId="749E52AA" w14:textId="3313CCD2" w:rsidR="0092254A" w:rsidRPr="00576299" w:rsidRDefault="0092254A" w:rsidP="00954FBC">
            <w:pPr>
              <w:pStyle w:val="Tabletext"/>
            </w:pPr>
            <w:r w:rsidRPr="00576299">
              <w:t xml:space="preserve">The PBAC noted there was an on-going randomised, double-blind phase III study of dostarlimab + chemotherapy versus chemotherapy alone in patients with recurrent (first recurrence only) or primary advanced EC, the RUBY trial. The PBAC considered that evidence from the RUBY trial may shift the clinical place for dostarlimab to the first line setting in combination with chemotherapy (paragraph 7.3, </w:t>
            </w:r>
            <w:r w:rsidR="00986D1D" w:rsidRPr="00576299">
              <w:t xml:space="preserve">dostarlimab </w:t>
            </w:r>
            <w:r w:rsidR="006843C3">
              <w:t>PSD</w:t>
            </w:r>
            <w:r w:rsidR="00986D1D" w:rsidRPr="00576299">
              <w:t>, March 2022 PBAC meeting</w:t>
            </w:r>
            <w:r w:rsidRPr="00576299">
              <w:t>).</w:t>
            </w:r>
          </w:p>
        </w:tc>
        <w:tc>
          <w:tcPr>
            <w:tcW w:w="2251" w:type="pct"/>
            <w:shd w:val="clear" w:color="auto" w:fill="auto"/>
            <w:vAlign w:val="center"/>
          </w:tcPr>
          <w:p w14:paraId="78D63964" w14:textId="7AB7DA5A" w:rsidR="0092254A" w:rsidRPr="00576299" w:rsidRDefault="00011CE6" w:rsidP="00954FBC">
            <w:pPr>
              <w:pStyle w:val="Tabletext"/>
            </w:pPr>
            <w:r w:rsidRPr="00576299">
              <w:t xml:space="preserve">Partially addressed. </w:t>
            </w:r>
            <w:r w:rsidR="0092254A" w:rsidRPr="00576299">
              <w:t xml:space="preserve">Results for the RUBY trial </w:t>
            </w:r>
            <w:r w:rsidR="00323C4A" w:rsidRPr="00576299">
              <w:t xml:space="preserve">were </w:t>
            </w:r>
            <w:r w:rsidR="0092254A" w:rsidRPr="00576299">
              <w:t>not provided in the resubmission. The resubmission reported that the primary completion date for the RUBY trial is estimated to occur in 2022 (with exact timings based on PFS events).</w:t>
            </w:r>
          </w:p>
        </w:tc>
      </w:tr>
      <w:tr w:rsidR="0092254A" w:rsidRPr="00576299" w14:paraId="33C512AC" w14:textId="77777777" w:rsidTr="009A33A1">
        <w:trPr>
          <w:cantSplit/>
        </w:trPr>
        <w:tc>
          <w:tcPr>
            <w:tcW w:w="626" w:type="pct"/>
            <w:vAlign w:val="center"/>
          </w:tcPr>
          <w:p w14:paraId="2C03F442" w14:textId="77777777" w:rsidR="0092254A" w:rsidRPr="00576299" w:rsidRDefault="0092254A" w:rsidP="00131509">
            <w:pPr>
              <w:pStyle w:val="Tabletext"/>
            </w:pPr>
            <w:r w:rsidRPr="00576299">
              <w:lastRenderedPageBreak/>
              <w:t>Safety</w:t>
            </w:r>
          </w:p>
        </w:tc>
        <w:tc>
          <w:tcPr>
            <w:tcW w:w="2123" w:type="pct"/>
            <w:shd w:val="clear" w:color="auto" w:fill="auto"/>
            <w:vAlign w:val="center"/>
          </w:tcPr>
          <w:p w14:paraId="2EBE4678" w14:textId="19A55016" w:rsidR="0092254A" w:rsidRPr="00576299" w:rsidRDefault="0092254A" w:rsidP="00954FBC">
            <w:pPr>
              <w:pStyle w:val="Tabletext"/>
            </w:pPr>
            <w:r w:rsidRPr="00576299">
              <w:t xml:space="preserve">The PBAC considered that the safety comparison of dostarlimab to SoC was limited due to inconsistent reporting of disaggregated safety outcomes across the included studies and because relatively few patients have been exposed to the approved dostarlimab dose, with limited follow-up (paragraph 7.7, </w:t>
            </w:r>
            <w:r w:rsidR="00986D1D" w:rsidRPr="00576299">
              <w:t xml:space="preserve">dostarlimab </w:t>
            </w:r>
            <w:r w:rsidR="006843C3">
              <w:t>PSD</w:t>
            </w:r>
            <w:r w:rsidR="00986D1D" w:rsidRPr="00576299">
              <w:t>, March 2022 PBAC meeting</w:t>
            </w:r>
            <w:r w:rsidRPr="00576299">
              <w:t>).</w:t>
            </w:r>
          </w:p>
        </w:tc>
        <w:tc>
          <w:tcPr>
            <w:tcW w:w="2251" w:type="pct"/>
            <w:shd w:val="clear" w:color="auto" w:fill="auto"/>
            <w:vAlign w:val="center"/>
          </w:tcPr>
          <w:p w14:paraId="6D10ACE1" w14:textId="54770B12" w:rsidR="0092254A" w:rsidRPr="00576299" w:rsidRDefault="00C47C99" w:rsidP="00954FBC">
            <w:pPr>
              <w:pStyle w:val="Tabletext"/>
            </w:pPr>
            <w:r>
              <w:t>The evaluation considered this was not adequately</w:t>
            </w:r>
            <w:r w:rsidRPr="00576299">
              <w:t xml:space="preserve"> addressed.</w:t>
            </w:r>
            <w:r w:rsidR="0092254A" w:rsidRPr="00576299">
              <w:t xml:space="preserve"> Safety data for GARNET cohort A1 data cut IA3 was presented in the resubmission, which provided limited additional data compared to data presented in the previous submission. For PEM+LEN and pembrolizumab monotherapy, the resubmission stated that event specific safety data were inconsistently reported across the identified studies and no comparative safety data was provided.</w:t>
            </w:r>
            <w:r w:rsidR="0006257F" w:rsidRPr="00576299">
              <w:t xml:space="preserve"> (</w:t>
            </w:r>
            <w:r w:rsidR="0057649E" w:rsidRPr="00576299">
              <w:t>paragraph</w:t>
            </w:r>
            <w:r w:rsidR="00CB714D" w:rsidRPr="00576299">
              <w:t>s</w:t>
            </w:r>
            <w:r w:rsidR="0057649E" w:rsidRPr="00576299">
              <w:t xml:space="preserve"> </w:t>
            </w:r>
            <w:r w:rsidR="0006257F" w:rsidRPr="00576299">
              <w:fldChar w:fldCharType="begin"/>
            </w:r>
            <w:r w:rsidR="0006257F" w:rsidRPr="00576299">
              <w:instrText xml:space="preserve"> REF _Ref111507513 \r \h </w:instrText>
            </w:r>
            <w:r w:rsidR="00C535E4" w:rsidRPr="00576299">
              <w:instrText xml:space="preserve"> \* MERGEFORMAT </w:instrText>
            </w:r>
            <w:r w:rsidR="0006257F" w:rsidRPr="00576299">
              <w:fldChar w:fldCharType="separate"/>
            </w:r>
            <w:r w:rsidR="00CD09E9">
              <w:t>6.28</w:t>
            </w:r>
            <w:r w:rsidR="0006257F" w:rsidRPr="00576299">
              <w:fldChar w:fldCharType="end"/>
            </w:r>
            <w:r w:rsidR="0006257F" w:rsidRPr="00576299">
              <w:t xml:space="preserve"> to </w:t>
            </w:r>
            <w:r w:rsidR="0006257F" w:rsidRPr="00576299">
              <w:fldChar w:fldCharType="begin"/>
            </w:r>
            <w:r w:rsidR="0006257F" w:rsidRPr="00576299">
              <w:instrText xml:space="preserve"> REF _Ref111507516 \r \h </w:instrText>
            </w:r>
            <w:r w:rsidR="00C535E4" w:rsidRPr="00576299">
              <w:instrText xml:space="preserve"> \* MERGEFORMAT </w:instrText>
            </w:r>
            <w:r w:rsidR="0006257F" w:rsidRPr="00576299">
              <w:fldChar w:fldCharType="separate"/>
            </w:r>
            <w:r w:rsidR="00CD09E9">
              <w:t>6.32</w:t>
            </w:r>
            <w:r w:rsidR="0006257F" w:rsidRPr="00576299">
              <w:fldChar w:fldCharType="end"/>
            </w:r>
            <w:r w:rsidR="0006257F" w:rsidRPr="00576299">
              <w:t>)</w:t>
            </w:r>
          </w:p>
        </w:tc>
      </w:tr>
      <w:tr w:rsidR="0092254A" w:rsidRPr="00576299" w14:paraId="1124D408" w14:textId="77777777" w:rsidTr="009A33A1">
        <w:trPr>
          <w:cantSplit/>
        </w:trPr>
        <w:tc>
          <w:tcPr>
            <w:tcW w:w="626" w:type="pct"/>
            <w:vAlign w:val="center"/>
          </w:tcPr>
          <w:p w14:paraId="2A6A2FB8" w14:textId="426732E7" w:rsidR="0092254A" w:rsidRPr="00576299" w:rsidRDefault="000043E5" w:rsidP="00131509">
            <w:pPr>
              <w:pStyle w:val="Tabletext"/>
            </w:pPr>
            <w:r w:rsidRPr="00576299">
              <w:t>Comparison versus pembrolizumab ± lenvatinib</w:t>
            </w:r>
          </w:p>
        </w:tc>
        <w:tc>
          <w:tcPr>
            <w:tcW w:w="2123" w:type="pct"/>
            <w:shd w:val="clear" w:color="auto" w:fill="auto"/>
            <w:vAlign w:val="center"/>
          </w:tcPr>
          <w:p w14:paraId="46B57A83" w14:textId="75FE0D84" w:rsidR="0092254A" w:rsidRPr="00576299" w:rsidRDefault="0092254A" w:rsidP="00954FBC">
            <w:pPr>
              <w:pStyle w:val="Tabletext"/>
            </w:pPr>
            <w:r w:rsidRPr="00576299">
              <w:t xml:space="preserve">The PBAC considered that a comparison with </w:t>
            </w:r>
            <w:r w:rsidR="000043E5" w:rsidRPr="00576299">
              <w:t xml:space="preserve">pembrolizumab ± lenvatinib </w:t>
            </w:r>
            <w:r w:rsidRPr="00576299">
              <w:t xml:space="preserve">would require a full analysis as per the PBAC guidelines and evaluation (paragraph 7.12, </w:t>
            </w:r>
            <w:r w:rsidR="00986D1D" w:rsidRPr="00576299">
              <w:t xml:space="preserve">dostarlimab </w:t>
            </w:r>
            <w:r w:rsidR="006843C3">
              <w:t>PSD</w:t>
            </w:r>
            <w:r w:rsidR="00986D1D" w:rsidRPr="00576299">
              <w:t>, March 2022 PBAC meeting</w:t>
            </w:r>
            <w:r w:rsidRPr="00576299">
              <w:t>).</w:t>
            </w:r>
          </w:p>
        </w:tc>
        <w:tc>
          <w:tcPr>
            <w:tcW w:w="2251" w:type="pct"/>
            <w:shd w:val="clear" w:color="auto" w:fill="auto"/>
            <w:vAlign w:val="center"/>
          </w:tcPr>
          <w:p w14:paraId="4F3075D2" w14:textId="269EAB3E" w:rsidR="0092254A" w:rsidRPr="00576299" w:rsidRDefault="0092254A" w:rsidP="00954FBC">
            <w:pPr>
              <w:pStyle w:val="Tabletext"/>
            </w:pPr>
            <w:r w:rsidRPr="00576299">
              <w:t>Addressed. The resubmission presented a</w:t>
            </w:r>
            <w:r w:rsidR="00EF1BAB" w:rsidRPr="00576299">
              <w:t xml:space="preserve"> cost minimisation analysis of </w:t>
            </w:r>
            <w:r w:rsidRPr="00576299">
              <w:t xml:space="preserve">dostarlimab versus PEM+LEN in A/R dMMR EC following PBC. </w:t>
            </w:r>
            <w:r w:rsidR="00EF1BAB" w:rsidRPr="00576299">
              <w:t xml:space="preserve">This was consistent with </w:t>
            </w:r>
            <w:r w:rsidRPr="00576299">
              <w:t>the clinical claims of non-inferior effectiveness and superior safety proposed for dostarlimab relative to PEM+LEN in Section 2</w:t>
            </w:r>
            <w:r w:rsidR="0092175B" w:rsidRPr="00576299">
              <w:t xml:space="preserve"> </w:t>
            </w:r>
            <w:r w:rsidR="0006257F" w:rsidRPr="00576299">
              <w:t>(</w:t>
            </w:r>
            <w:r w:rsidR="0057649E" w:rsidRPr="00576299">
              <w:t>paragraph</w:t>
            </w:r>
            <w:r w:rsidR="00CB714D" w:rsidRPr="00576299">
              <w:t>s</w:t>
            </w:r>
            <w:r w:rsidR="0057649E" w:rsidRPr="00576299">
              <w:t xml:space="preserve"> </w:t>
            </w:r>
            <w:r w:rsidR="0006257F" w:rsidRPr="00576299">
              <w:fldChar w:fldCharType="begin"/>
            </w:r>
            <w:r w:rsidR="0006257F" w:rsidRPr="00576299">
              <w:instrText xml:space="preserve"> REF _Ref111507545 \r \h </w:instrText>
            </w:r>
            <w:r w:rsidR="00C535E4" w:rsidRPr="00576299">
              <w:instrText xml:space="preserve"> \* MERGEFORMAT </w:instrText>
            </w:r>
            <w:r w:rsidR="0006257F" w:rsidRPr="00576299">
              <w:fldChar w:fldCharType="separate"/>
            </w:r>
            <w:r w:rsidR="00CD09E9">
              <w:t>6.48</w:t>
            </w:r>
            <w:r w:rsidR="0006257F" w:rsidRPr="00576299">
              <w:fldChar w:fldCharType="end"/>
            </w:r>
            <w:r w:rsidR="0006257F" w:rsidRPr="00576299">
              <w:t>)</w:t>
            </w:r>
            <w:r w:rsidR="00EF1BAB" w:rsidRPr="00576299">
              <w:t xml:space="preserve">. No </w:t>
            </w:r>
            <w:r w:rsidR="007A216D" w:rsidRPr="00576299">
              <w:t>analysis against pembrolizumab monotherapy was conducted as it was not recommended for listing by PBAC.</w:t>
            </w:r>
            <w:r w:rsidR="0006257F" w:rsidRPr="00576299">
              <w:t xml:space="preserve"> </w:t>
            </w:r>
          </w:p>
        </w:tc>
      </w:tr>
      <w:tr w:rsidR="0092254A" w:rsidRPr="00576299" w14:paraId="05147853" w14:textId="77777777" w:rsidTr="009A33A1">
        <w:trPr>
          <w:cantSplit/>
        </w:trPr>
        <w:tc>
          <w:tcPr>
            <w:tcW w:w="626" w:type="pct"/>
            <w:vAlign w:val="center"/>
          </w:tcPr>
          <w:p w14:paraId="4CE6E91C" w14:textId="77777777" w:rsidR="0092254A" w:rsidRPr="00576299" w:rsidRDefault="0092254A" w:rsidP="00131509">
            <w:pPr>
              <w:pStyle w:val="Tabletext"/>
            </w:pPr>
            <w:r w:rsidRPr="00576299">
              <w:t>Economic evaluation</w:t>
            </w:r>
          </w:p>
        </w:tc>
        <w:tc>
          <w:tcPr>
            <w:tcW w:w="2123" w:type="pct"/>
            <w:shd w:val="clear" w:color="auto" w:fill="auto"/>
            <w:vAlign w:val="center"/>
          </w:tcPr>
          <w:p w14:paraId="5189A579" w14:textId="2E5983A1" w:rsidR="0092254A" w:rsidRPr="00576299" w:rsidRDefault="0092254A" w:rsidP="00954FBC">
            <w:pPr>
              <w:pStyle w:val="Tabletext"/>
            </w:pPr>
            <w:r w:rsidRPr="00576299">
              <w:t xml:space="preserve">The PBAC considered a resubmission for dostarlimab may require additional </w:t>
            </w:r>
            <w:r w:rsidR="00DD59F1" w:rsidRPr="00576299">
              <w:t>longer-term</w:t>
            </w:r>
            <w:r w:rsidRPr="00576299">
              <w:t xml:space="preserve"> data to support the modelled OS benefit, however the PBAC noted that additional data is not expected until 2024. The PBAC considered that a conservative modelling approach would be required to address the uncertainty in the magnitude of benefit and long-term OS for dostarlimab (paragraph 7.12, </w:t>
            </w:r>
            <w:r w:rsidR="000C6CB8" w:rsidRPr="00576299">
              <w:t xml:space="preserve">dostarlimab </w:t>
            </w:r>
            <w:r w:rsidR="006843C3">
              <w:t>PSD</w:t>
            </w:r>
            <w:r w:rsidR="000C6CB8" w:rsidRPr="00576299">
              <w:t>, March 2022 PBAC meeting</w:t>
            </w:r>
            <w:r w:rsidRPr="00576299">
              <w:t>).</w:t>
            </w:r>
          </w:p>
        </w:tc>
        <w:tc>
          <w:tcPr>
            <w:tcW w:w="2251" w:type="pct"/>
            <w:shd w:val="clear" w:color="auto" w:fill="auto"/>
            <w:vAlign w:val="center"/>
          </w:tcPr>
          <w:p w14:paraId="0DB8C970" w14:textId="43C4C153" w:rsidR="0092254A" w:rsidRPr="00576299" w:rsidRDefault="0092254A" w:rsidP="00954FBC">
            <w:pPr>
              <w:pStyle w:val="Tabletext"/>
            </w:pPr>
            <w:r w:rsidRPr="00576299">
              <w:t xml:space="preserve">Partially addressed. The IA3 GARNET data-cut </w:t>
            </w:r>
            <w:r w:rsidR="00D83FC2" w:rsidRPr="00576299">
              <w:t xml:space="preserve">(previously presented in the PSCR for the previous submission) </w:t>
            </w:r>
            <w:r w:rsidRPr="00576299">
              <w:t>was incorporated into the model, increasing the applied KM data from 12.5 months to 27.6 months in the dostarlimab arm of the mode</w:t>
            </w:r>
            <w:r w:rsidR="00CF056C" w:rsidRPr="00576299">
              <w:t>l</w:t>
            </w:r>
            <w:r w:rsidRPr="00576299">
              <w:t xml:space="preserve">. The time horizon was reduced from 10 years to 6 years, with curve convergence applied between 4 and 6 years </w:t>
            </w:r>
            <w:r w:rsidR="0006257F" w:rsidRPr="00576299">
              <w:t xml:space="preserve">(paragraph </w:t>
            </w:r>
            <w:r w:rsidR="0006257F" w:rsidRPr="00576299">
              <w:fldChar w:fldCharType="begin"/>
            </w:r>
            <w:r w:rsidR="0006257F" w:rsidRPr="00576299">
              <w:instrText xml:space="preserve"> REF _Ref111502527 \r \h  \* MERGEFORMAT </w:instrText>
            </w:r>
            <w:r w:rsidR="0006257F" w:rsidRPr="00576299">
              <w:fldChar w:fldCharType="separate"/>
            </w:r>
            <w:r w:rsidR="00CD09E9">
              <w:t>6.51</w:t>
            </w:r>
            <w:r w:rsidR="0006257F" w:rsidRPr="00576299">
              <w:fldChar w:fldCharType="end"/>
            </w:r>
            <w:r w:rsidR="0006257F" w:rsidRPr="00576299">
              <w:t>)</w:t>
            </w:r>
            <w:r w:rsidR="0018476F">
              <w:t>.</w:t>
            </w:r>
          </w:p>
        </w:tc>
      </w:tr>
      <w:tr w:rsidR="0092254A" w:rsidRPr="00576299" w14:paraId="23E1F3D2" w14:textId="77777777" w:rsidTr="009A33A1">
        <w:trPr>
          <w:cantSplit/>
        </w:trPr>
        <w:tc>
          <w:tcPr>
            <w:tcW w:w="626" w:type="pct"/>
            <w:vAlign w:val="center"/>
          </w:tcPr>
          <w:p w14:paraId="7D58C930" w14:textId="77777777" w:rsidR="0092254A" w:rsidRPr="00576299" w:rsidRDefault="0092254A" w:rsidP="00131509">
            <w:pPr>
              <w:pStyle w:val="Tabletext"/>
            </w:pPr>
            <w:r w:rsidRPr="00576299">
              <w:t>Financial estimates</w:t>
            </w:r>
          </w:p>
        </w:tc>
        <w:tc>
          <w:tcPr>
            <w:tcW w:w="2123" w:type="pct"/>
            <w:shd w:val="clear" w:color="auto" w:fill="auto"/>
            <w:vAlign w:val="center"/>
          </w:tcPr>
          <w:p w14:paraId="522B29C0" w14:textId="3B1B88F0" w:rsidR="0092254A" w:rsidRPr="00576299" w:rsidRDefault="0092254A" w:rsidP="00954FBC">
            <w:pPr>
              <w:pStyle w:val="Tabletext"/>
            </w:pPr>
            <w:r w:rsidRPr="00576299">
              <w:t xml:space="preserve">The PBAC considered that the submission’s financial estimates appeared underestimated. (paragraph 7.11, </w:t>
            </w:r>
            <w:r w:rsidR="000C6CB8" w:rsidRPr="00576299">
              <w:t xml:space="preserve">dostarlimab </w:t>
            </w:r>
            <w:r w:rsidR="006843C3">
              <w:t>PSD</w:t>
            </w:r>
            <w:r w:rsidR="000C6CB8" w:rsidRPr="00576299">
              <w:t>, March 2022 PBAC meeting</w:t>
            </w:r>
            <w:r w:rsidRPr="00576299">
              <w:t>).</w:t>
            </w:r>
          </w:p>
        </w:tc>
        <w:tc>
          <w:tcPr>
            <w:tcW w:w="2251" w:type="pct"/>
            <w:shd w:val="clear" w:color="auto" w:fill="auto"/>
            <w:vAlign w:val="center"/>
          </w:tcPr>
          <w:p w14:paraId="22294251" w14:textId="3037092E" w:rsidR="0092254A" w:rsidRPr="00576299" w:rsidRDefault="0092254A" w:rsidP="00954FBC">
            <w:pPr>
              <w:pStyle w:val="Tabletext"/>
            </w:pPr>
            <w:r w:rsidRPr="00576299">
              <w:t xml:space="preserve">Partially addressed. </w:t>
            </w:r>
            <w:r w:rsidR="009A33A1" w:rsidRPr="00576299">
              <w:t xml:space="preserve">A number of </w:t>
            </w:r>
            <w:r w:rsidRPr="00576299">
              <w:t xml:space="preserve">PBAC and DUSC recommendations were incorporated into the financial estimates, </w:t>
            </w:r>
            <w:r w:rsidR="009A33A1" w:rsidRPr="00576299">
              <w:t xml:space="preserve">but </w:t>
            </w:r>
            <w:r w:rsidRPr="00576299">
              <w:t xml:space="preserve">the </w:t>
            </w:r>
            <w:r w:rsidR="00C47C99">
              <w:t xml:space="preserve">evaluation considered the </w:t>
            </w:r>
            <w:r w:rsidRPr="00576299">
              <w:t>number of eligible patients in the resubmission may still be underestimated as prevalent patients were not included in the financial estimates (5.07.DUS</w:t>
            </w:r>
            <w:r w:rsidR="00576299">
              <w:t>C</w:t>
            </w:r>
            <w:r w:rsidRPr="00576299">
              <w:t xml:space="preserve"> ADV.2, March 2022), stage III patients who would be treated with curative intent were not considered (5.07.DUSC ADV.5, March 2022) and the proportion of patients receiving 1L PBC after listing of dostarlimab was likely underestimated</w:t>
            </w:r>
            <w:r w:rsidR="008F64EA" w:rsidRPr="00576299">
              <w:t xml:space="preserve"> </w:t>
            </w:r>
            <w:r w:rsidR="0006257F" w:rsidRPr="00576299">
              <w:t xml:space="preserve">(See </w:t>
            </w:r>
            <w:r w:rsidR="0006257F" w:rsidRPr="00576299">
              <w:fldChar w:fldCharType="begin"/>
            </w:r>
            <w:r w:rsidR="0006257F" w:rsidRPr="00576299">
              <w:instrText xml:space="preserve"> REF _Ref111460288 \h </w:instrText>
            </w:r>
            <w:r w:rsidR="00F50A30" w:rsidRPr="00576299">
              <w:instrText xml:space="preserve"> \* MERGEFORMAT </w:instrText>
            </w:r>
            <w:r w:rsidR="0006257F" w:rsidRPr="00576299">
              <w:fldChar w:fldCharType="separate"/>
            </w:r>
            <w:r w:rsidR="00CD09E9" w:rsidRPr="00576299">
              <w:t xml:space="preserve">Table </w:t>
            </w:r>
            <w:r w:rsidR="00CD09E9">
              <w:t>23</w:t>
            </w:r>
            <w:r w:rsidR="0006257F" w:rsidRPr="00576299">
              <w:fldChar w:fldCharType="end"/>
            </w:r>
            <w:r w:rsidR="0006257F" w:rsidRPr="00576299">
              <w:t>)</w:t>
            </w:r>
            <w:r w:rsidR="001D42D8" w:rsidRPr="00576299">
              <w:rPr>
                <w:i/>
                <w:iCs/>
              </w:rPr>
              <w:t xml:space="preserve">. </w:t>
            </w:r>
            <w:r w:rsidR="001D42D8" w:rsidRPr="004654C2">
              <w:t>These issues were subsequently addressed in the PSCR.</w:t>
            </w:r>
          </w:p>
        </w:tc>
      </w:tr>
    </w:tbl>
    <w:bookmarkEnd w:id="11"/>
    <w:p w14:paraId="472D5BBB" w14:textId="77777777" w:rsidR="00C73213" w:rsidRPr="00576299" w:rsidRDefault="00C73213" w:rsidP="00C73213">
      <w:pPr>
        <w:pStyle w:val="TableNotes"/>
        <w:spacing w:after="0"/>
        <w:rPr>
          <w:szCs w:val="18"/>
        </w:rPr>
      </w:pPr>
      <w:r w:rsidRPr="00576299">
        <w:rPr>
          <w:szCs w:val="18"/>
        </w:rPr>
        <w:t>Source: Table 1, p19 of the resubmission</w:t>
      </w:r>
    </w:p>
    <w:p w14:paraId="3C5F0F46" w14:textId="3251090E" w:rsidR="004654C2" w:rsidRDefault="0092254A" w:rsidP="000E1DA3">
      <w:pPr>
        <w:pStyle w:val="TableNotes"/>
        <w:spacing w:after="120"/>
        <w:rPr>
          <w:szCs w:val="18"/>
        </w:rPr>
      </w:pPr>
      <w:r w:rsidRPr="00576299">
        <w:rPr>
          <w:szCs w:val="18"/>
        </w:rPr>
        <w:t>A/R = recurrent or advanced; dMMR = mismatch repair deficient; DUSC = Drug Utilisation Sub Committee; EC = endometrial cancer; IA3 = interim analysis 3; OS = overall survival; PBAC = Pharmaceutical Benefits Advisory Committee; PBC = platinum-based chemotherapy; PBS = Pharmaceutical Benefits Scheme; PD-1 = programmed cell death protein 1; PD-L1 = programmed cell death-ligand protein 1; PEM+LEN = pembrolizumab plus lenvatinib; PSCR = pre-subcommittee response;</w:t>
      </w:r>
      <w:r w:rsidR="006843C3">
        <w:rPr>
          <w:szCs w:val="18"/>
        </w:rPr>
        <w:t xml:space="preserve"> PSD = Public Summary Document;</w:t>
      </w:r>
      <w:r w:rsidRPr="00576299">
        <w:rPr>
          <w:szCs w:val="18"/>
        </w:rPr>
        <w:t xml:space="preserve"> SoC = standard of care.</w:t>
      </w:r>
    </w:p>
    <w:p w14:paraId="2713A07A" w14:textId="77777777" w:rsidR="004654C2" w:rsidRPr="00C33D30" w:rsidRDefault="004654C2" w:rsidP="004654C2">
      <w:pPr>
        <w:rPr>
          <w:rFonts w:asciiTheme="minorHAnsi" w:hAnsiTheme="minorHAnsi"/>
          <w:i/>
        </w:rPr>
      </w:pPr>
      <w:bookmarkStart w:id="12" w:name="_Hlk76375324"/>
      <w:r w:rsidRPr="00C33D30">
        <w:rPr>
          <w:rFonts w:asciiTheme="minorHAnsi" w:hAnsiTheme="minorHAnsi"/>
          <w:i/>
        </w:rPr>
        <w:t>For more detail on PBAC’s view, see section 7 PBAC outcome.</w:t>
      </w:r>
    </w:p>
    <w:bookmarkEnd w:id="12"/>
    <w:p w14:paraId="2B8E34A4" w14:textId="77777777" w:rsidR="004654C2" w:rsidRPr="00576299" w:rsidRDefault="004654C2" w:rsidP="00394C1D">
      <w:pPr>
        <w:pStyle w:val="TableNotes"/>
        <w:spacing w:after="0"/>
        <w:rPr>
          <w:szCs w:val="18"/>
        </w:rPr>
      </w:pPr>
    </w:p>
    <w:p w14:paraId="7819C699" w14:textId="554525D3" w:rsidR="0092254A" w:rsidRPr="00576299" w:rsidRDefault="0092254A" w:rsidP="0018476F">
      <w:pPr>
        <w:pStyle w:val="2-SectionHeading"/>
        <w:keepLines/>
        <w:widowControl w:val="0"/>
        <w:numPr>
          <w:ilvl w:val="0"/>
          <w:numId w:val="1"/>
        </w:numPr>
      </w:pPr>
      <w:bookmarkStart w:id="13" w:name="_Toc114052519"/>
      <w:r w:rsidRPr="00576299">
        <w:lastRenderedPageBreak/>
        <w:t>Requested listing</w:t>
      </w:r>
      <w:bookmarkEnd w:id="13"/>
    </w:p>
    <w:p w14:paraId="2F089491" w14:textId="1D79A419" w:rsidR="00491E62" w:rsidRPr="004654C2" w:rsidRDefault="00DA31F5" w:rsidP="0010725F">
      <w:pPr>
        <w:pStyle w:val="3-BodyText"/>
      </w:pPr>
      <w:r>
        <w:t xml:space="preserve">The restriction requested in the resubmission is outlined below. </w:t>
      </w:r>
      <w:r w:rsidR="0010725F" w:rsidRPr="00576299">
        <w:t>S</w:t>
      </w:r>
      <w:r w:rsidR="0010725F">
        <w:t>ecretariat s</w:t>
      </w:r>
      <w:r w:rsidR="0010725F" w:rsidRPr="00576299">
        <w:t>uggested additions are in italics and deletions are in strikethrough.</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8"/>
        <w:gridCol w:w="1446"/>
        <w:gridCol w:w="2681"/>
        <w:gridCol w:w="1119"/>
        <w:gridCol w:w="859"/>
        <w:gridCol w:w="1289"/>
      </w:tblGrid>
      <w:tr w:rsidR="0092254A" w:rsidRPr="00576299" w14:paraId="0225B365" w14:textId="77777777" w:rsidTr="000B1BA0">
        <w:trPr>
          <w:cantSplit/>
          <w:trHeight w:val="20"/>
        </w:trPr>
        <w:tc>
          <w:tcPr>
            <w:tcW w:w="3074" w:type="dxa"/>
            <w:gridSpan w:val="2"/>
            <w:vAlign w:val="center"/>
          </w:tcPr>
          <w:p w14:paraId="0FE4D63E" w14:textId="77777777" w:rsidR="0092254A" w:rsidRPr="00576299" w:rsidRDefault="0092254A" w:rsidP="0018476F">
            <w:pPr>
              <w:pStyle w:val="In-tableHeading"/>
              <w:keepLines/>
              <w:widowControl w:val="0"/>
              <w:rPr>
                <w:lang w:val="en-AU"/>
              </w:rPr>
            </w:pPr>
            <w:r w:rsidRPr="00576299">
              <w:rPr>
                <w:lang w:val="en-AU"/>
              </w:rPr>
              <w:t>MEDICINAL PRODUCT</w:t>
            </w:r>
          </w:p>
          <w:p w14:paraId="58FBC956" w14:textId="77777777" w:rsidR="0092254A" w:rsidRPr="00576299" w:rsidRDefault="0092254A" w:rsidP="0018476F">
            <w:pPr>
              <w:pStyle w:val="In-tableHeading"/>
              <w:keepLines/>
              <w:widowControl w:val="0"/>
              <w:rPr>
                <w:lang w:val="en-AU"/>
              </w:rPr>
            </w:pPr>
            <w:r w:rsidRPr="00576299">
              <w:rPr>
                <w:lang w:val="en-AU"/>
              </w:rPr>
              <w:t>medicinal product pack</w:t>
            </w:r>
          </w:p>
        </w:tc>
        <w:tc>
          <w:tcPr>
            <w:tcW w:w="2681" w:type="dxa"/>
            <w:vAlign w:val="center"/>
          </w:tcPr>
          <w:p w14:paraId="4E67C6A7" w14:textId="624363AB" w:rsidR="0092254A" w:rsidRPr="00576299" w:rsidRDefault="0092254A" w:rsidP="0018476F">
            <w:pPr>
              <w:pStyle w:val="In-tableHeading"/>
              <w:keepLines/>
              <w:widowControl w:val="0"/>
              <w:jc w:val="center"/>
              <w:rPr>
                <w:lang w:val="en-AU"/>
              </w:rPr>
            </w:pPr>
            <w:r w:rsidRPr="00576299">
              <w:rPr>
                <w:lang w:val="en-AU"/>
              </w:rPr>
              <w:t>Dispensed Price for Max. Amount</w:t>
            </w:r>
            <w:r w:rsidRPr="00576299">
              <w:rPr>
                <w:snapToGrid w:val="0"/>
                <w:lang w:val="en-AU"/>
              </w:rPr>
              <w:t xml:space="preserve"> </w:t>
            </w:r>
          </w:p>
        </w:tc>
        <w:tc>
          <w:tcPr>
            <w:tcW w:w="1119" w:type="dxa"/>
            <w:vAlign w:val="center"/>
          </w:tcPr>
          <w:p w14:paraId="7E3CC969" w14:textId="77777777" w:rsidR="0092254A" w:rsidRPr="00576299" w:rsidRDefault="0092254A" w:rsidP="0018476F">
            <w:pPr>
              <w:pStyle w:val="In-tableHeading"/>
              <w:keepLines/>
              <w:widowControl w:val="0"/>
              <w:jc w:val="center"/>
              <w:rPr>
                <w:lang w:val="en-AU"/>
              </w:rPr>
            </w:pPr>
            <w:r w:rsidRPr="00576299">
              <w:rPr>
                <w:lang w:val="en-AU"/>
              </w:rPr>
              <w:t>Max. amount (units)</w:t>
            </w:r>
          </w:p>
        </w:tc>
        <w:tc>
          <w:tcPr>
            <w:tcW w:w="859" w:type="dxa"/>
            <w:vAlign w:val="center"/>
          </w:tcPr>
          <w:p w14:paraId="7D07ABB0" w14:textId="77777777" w:rsidR="0092254A" w:rsidRPr="00576299" w:rsidRDefault="0092254A" w:rsidP="0018476F">
            <w:pPr>
              <w:pStyle w:val="In-tableHeading"/>
              <w:keepLines/>
              <w:widowControl w:val="0"/>
              <w:jc w:val="center"/>
              <w:rPr>
                <w:lang w:val="en-AU"/>
              </w:rPr>
            </w:pPr>
            <w:r w:rsidRPr="00576299">
              <w:rPr>
                <w:lang w:val="en-AU"/>
              </w:rPr>
              <w:t>№.of</w:t>
            </w:r>
          </w:p>
          <w:p w14:paraId="2A528A88" w14:textId="77777777" w:rsidR="0092254A" w:rsidRPr="00576299" w:rsidRDefault="0092254A" w:rsidP="0018476F">
            <w:pPr>
              <w:pStyle w:val="In-tableHeading"/>
              <w:keepLines/>
              <w:widowControl w:val="0"/>
              <w:jc w:val="center"/>
              <w:rPr>
                <w:lang w:val="en-AU"/>
              </w:rPr>
            </w:pPr>
            <w:r w:rsidRPr="00576299">
              <w:rPr>
                <w:lang w:val="en-AU"/>
              </w:rPr>
              <w:t>Rpts</w:t>
            </w:r>
          </w:p>
        </w:tc>
        <w:tc>
          <w:tcPr>
            <w:tcW w:w="1289" w:type="dxa"/>
            <w:vAlign w:val="center"/>
          </w:tcPr>
          <w:p w14:paraId="3B99462B" w14:textId="77777777" w:rsidR="0092254A" w:rsidRPr="00576299" w:rsidRDefault="0092254A" w:rsidP="0018476F">
            <w:pPr>
              <w:pStyle w:val="In-tableHeading"/>
              <w:keepLines/>
              <w:widowControl w:val="0"/>
              <w:jc w:val="center"/>
              <w:rPr>
                <w:lang w:val="en-AU"/>
              </w:rPr>
            </w:pPr>
            <w:r w:rsidRPr="00576299">
              <w:rPr>
                <w:lang w:val="en-AU"/>
              </w:rPr>
              <w:t>Available brands</w:t>
            </w:r>
          </w:p>
        </w:tc>
      </w:tr>
      <w:tr w:rsidR="0092254A" w:rsidRPr="00576299" w14:paraId="2821C762" w14:textId="77777777" w:rsidTr="000E1DA3">
        <w:trPr>
          <w:cantSplit/>
          <w:trHeight w:val="343"/>
        </w:trPr>
        <w:tc>
          <w:tcPr>
            <w:tcW w:w="9022" w:type="dxa"/>
            <w:gridSpan w:val="6"/>
            <w:vAlign w:val="center"/>
          </w:tcPr>
          <w:p w14:paraId="7B5FE003" w14:textId="5DF9095C" w:rsidR="0092254A" w:rsidRPr="00576299" w:rsidRDefault="0092254A" w:rsidP="00EA777B">
            <w:pPr>
              <w:pStyle w:val="TableText0"/>
              <w:keepNext w:val="0"/>
              <w:widowControl w:val="0"/>
              <w:rPr>
                <w:rFonts w:cs="Arial"/>
                <w:szCs w:val="20"/>
              </w:rPr>
            </w:pPr>
            <w:r w:rsidRPr="00576299">
              <w:rPr>
                <w:rFonts w:cs="Arial"/>
                <w:szCs w:val="20"/>
              </w:rPr>
              <w:t>Initial treatment</w:t>
            </w:r>
          </w:p>
        </w:tc>
      </w:tr>
      <w:tr w:rsidR="0092254A" w:rsidRPr="00576299" w14:paraId="4537BFA2" w14:textId="77777777" w:rsidTr="000B1BA0">
        <w:trPr>
          <w:cantSplit/>
          <w:trHeight w:val="20"/>
        </w:trPr>
        <w:tc>
          <w:tcPr>
            <w:tcW w:w="3074" w:type="dxa"/>
            <w:gridSpan w:val="2"/>
            <w:vAlign w:val="center"/>
          </w:tcPr>
          <w:p w14:paraId="32EAC18F" w14:textId="77777777" w:rsidR="0092254A" w:rsidRPr="00576299" w:rsidRDefault="0092254A" w:rsidP="00EA777B">
            <w:pPr>
              <w:pStyle w:val="TableText0"/>
              <w:keepNext w:val="0"/>
              <w:widowControl w:val="0"/>
            </w:pPr>
            <w:r w:rsidRPr="00576299">
              <w:t>Dostarlimab</w:t>
            </w:r>
          </w:p>
          <w:p w14:paraId="7310654F" w14:textId="77777777" w:rsidR="0092254A" w:rsidRPr="00576299" w:rsidRDefault="0092254A" w:rsidP="00EA777B">
            <w:pPr>
              <w:pStyle w:val="TableText0"/>
              <w:keepNext w:val="0"/>
              <w:widowControl w:val="0"/>
            </w:pPr>
            <w:r w:rsidRPr="00576299">
              <w:t>500mg/10mL injection,</w:t>
            </w:r>
          </w:p>
          <w:p w14:paraId="570B8A26" w14:textId="77777777" w:rsidR="0092254A" w:rsidRPr="00576299" w:rsidRDefault="0092254A" w:rsidP="00EA777B">
            <w:pPr>
              <w:pStyle w:val="TableText0"/>
              <w:keepNext w:val="0"/>
              <w:widowControl w:val="0"/>
              <w:rPr>
                <w:szCs w:val="20"/>
              </w:rPr>
            </w:pPr>
            <w:r w:rsidRPr="00576299">
              <w:t>1 x 10mL vial</w:t>
            </w:r>
          </w:p>
        </w:tc>
        <w:tc>
          <w:tcPr>
            <w:tcW w:w="2681" w:type="dxa"/>
          </w:tcPr>
          <w:p w14:paraId="70BFB6C8" w14:textId="108C1383" w:rsidR="0092254A" w:rsidRPr="00576299" w:rsidRDefault="0092254A" w:rsidP="00EA777B">
            <w:pPr>
              <w:pStyle w:val="Tabletext"/>
              <w:widowControl w:val="0"/>
            </w:pPr>
            <w:r w:rsidRPr="00576299">
              <w:t>$</w:t>
            </w:r>
            <w:r w:rsidR="00833009" w:rsidRPr="00833009">
              <w:rPr>
                <w:color w:val="000000"/>
                <w:spacing w:val="38"/>
                <w:shd w:val="solid" w:color="000000" w:fill="000000"/>
                <w:fitText w:val="451" w:id="-1304167936"/>
                <w14:textFill>
                  <w14:solidFill>
                    <w14:srgbClr w14:val="000000">
                      <w14:alpha w14:val="100000"/>
                    </w14:srgbClr>
                  </w14:solidFill>
                </w14:textFill>
              </w:rPr>
              <w:t>|||||</w:t>
            </w:r>
            <w:r w:rsidR="00833009" w:rsidRPr="00833009">
              <w:rPr>
                <w:color w:val="000000"/>
                <w:spacing w:val="3"/>
                <w:shd w:val="solid" w:color="000000" w:fill="000000"/>
                <w:fitText w:val="451" w:id="-1304167936"/>
                <w14:textFill>
                  <w14:solidFill>
                    <w14:srgbClr w14:val="000000">
                      <w14:alpha w14:val="100000"/>
                    </w14:srgbClr>
                  </w14:solidFill>
                </w14:textFill>
              </w:rPr>
              <w:t>|</w:t>
            </w:r>
            <w:r w:rsidRPr="00576299">
              <w:t>(public, published)</w:t>
            </w:r>
          </w:p>
          <w:p w14:paraId="05D414D7" w14:textId="2F775E5C" w:rsidR="0092254A" w:rsidRPr="00576299" w:rsidRDefault="0092254A" w:rsidP="00EA777B">
            <w:pPr>
              <w:pStyle w:val="Tabletext"/>
              <w:widowControl w:val="0"/>
            </w:pPr>
            <w:r w:rsidRPr="00576299">
              <w:t>$</w:t>
            </w:r>
            <w:r w:rsidR="00833009" w:rsidRPr="00833009">
              <w:rPr>
                <w:color w:val="000000"/>
                <w:spacing w:val="38"/>
                <w:shd w:val="solid" w:color="000000" w:fill="000000"/>
                <w:fitText w:val="451" w:id="-1304167935"/>
                <w14:textFill>
                  <w14:solidFill>
                    <w14:srgbClr w14:val="000000">
                      <w14:alpha w14:val="100000"/>
                    </w14:srgbClr>
                  </w14:solidFill>
                </w14:textFill>
              </w:rPr>
              <w:t>|||||</w:t>
            </w:r>
            <w:r w:rsidR="00833009" w:rsidRPr="00833009">
              <w:rPr>
                <w:color w:val="000000"/>
                <w:spacing w:val="3"/>
                <w:shd w:val="solid" w:color="000000" w:fill="000000"/>
                <w:fitText w:val="451" w:id="-1304167935"/>
                <w14:textFill>
                  <w14:solidFill>
                    <w14:srgbClr w14:val="000000">
                      <w14:alpha w14:val="100000"/>
                    </w14:srgbClr>
                  </w14:solidFill>
                </w14:textFill>
              </w:rPr>
              <w:t>|</w:t>
            </w:r>
            <w:r w:rsidRPr="00576299">
              <w:t>(private, published)</w:t>
            </w:r>
          </w:p>
          <w:p w14:paraId="34302B16" w14:textId="12303AC1" w:rsidR="0092254A" w:rsidRPr="00576299" w:rsidRDefault="0092254A" w:rsidP="00EA777B">
            <w:pPr>
              <w:pStyle w:val="Tabletext"/>
              <w:widowControl w:val="0"/>
            </w:pPr>
            <w:r w:rsidRPr="00576299">
              <w:t>$</w:t>
            </w:r>
            <w:r w:rsidR="00833009" w:rsidRPr="00833009">
              <w:rPr>
                <w:color w:val="000000"/>
                <w:spacing w:val="38"/>
                <w:shd w:val="solid" w:color="000000" w:fill="000000"/>
                <w:fitText w:val="451" w:id="-1304167934"/>
                <w14:textFill>
                  <w14:solidFill>
                    <w14:srgbClr w14:val="000000">
                      <w14:alpha w14:val="100000"/>
                    </w14:srgbClr>
                  </w14:solidFill>
                </w14:textFill>
              </w:rPr>
              <w:t>|||||</w:t>
            </w:r>
            <w:r w:rsidR="00833009" w:rsidRPr="00833009">
              <w:rPr>
                <w:color w:val="000000"/>
                <w:spacing w:val="3"/>
                <w:shd w:val="solid" w:color="000000" w:fill="000000"/>
                <w:fitText w:val="451" w:id="-1304167934"/>
                <w14:textFill>
                  <w14:solidFill>
                    <w14:srgbClr w14:val="000000">
                      <w14:alpha w14:val="100000"/>
                    </w14:srgbClr>
                  </w14:solidFill>
                </w14:textFill>
              </w:rPr>
              <w:t>|</w:t>
            </w:r>
            <w:r w:rsidRPr="00576299">
              <w:t xml:space="preserve"> (public, effective)</w:t>
            </w:r>
          </w:p>
          <w:p w14:paraId="36F1C090" w14:textId="24009C31" w:rsidR="0092254A" w:rsidRPr="00576299" w:rsidRDefault="0092254A" w:rsidP="00EA777B">
            <w:pPr>
              <w:pStyle w:val="Tabletext"/>
              <w:widowControl w:val="0"/>
              <w:rPr>
                <w:szCs w:val="20"/>
              </w:rPr>
            </w:pPr>
            <w:r w:rsidRPr="00576299">
              <w:t>$</w:t>
            </w:r>
            <w:r w:rsidR="00833009" w:rsidRPr="00833009">
              <w:rPr>
                <w:color w:val="000000"/>
                <w:spacing w:val="38"/>
                <w:shd w:val="solid" w:color="000000" w:fill="000000"/>
                <w:fitText w:val="451" w:id="-1304167933"/>
                <w14:textFill>
                  <w14:solidFill>
                    <w14:srgbClr w14:val="000000">
                      <w14:alpha w14:val="100000"/>
                    </w14:srgbClr>
                  </w14:solidFill>
                </w14:textFill>
              </w:rPr>
              <w:t>|||||</w:t>
            </w:r>
            <w:r w:rsidR="00833009" w:rsidRPr="00833009">
              <w:rPr>
                <w:color w:val="000000"/>
                <w:spacing w:val="3"/>
                <w:shd w:val="solid" w:color="000000" w:fill="000000"/>
                <w:fitText w:val="451" w:id="-1304167933"/>
                <w14:textFill>
                  <w14:solidFill>
                    <w14:srgbClr w14:val="000000">
                      <w14:alpha w14:val="100000"/>
                    </w14:srgbClr>
                  </w14:solidFill>
                </w14:textFill>
              </w:rPr>
              <w:t>|</w:t>
            </w:r>
            <w:r w:rsidRPr="00576299">
              <w:t xml:space="preserve"> (private, effective)</w:t>
            </w:r>
          </w:p>
        </w:tc>
        <w:tc>
          <w:tcPr>
            <w:tcW w:w="1119" w:type="dxa"/>
            <w:vAlign w:val="center"/>
          </w:tcPr>
          <w:p w14:paraId="7375186B" w14:textId="77777777" w:rsidR="0092254A" w:rsidRPr="00576299" w:rsidRDefault="0092254A" w:rsidP="00EA777B">
            <w:pPr>
              <w:widowControl w:val="0"/>
              <w:jc w:val="center"/>
              <w:rPr>
                <w:rFonts w:ascii="Arial Narrow" w:hAnsi="Arial Narrow"/>
                <w:sz w:val="20"/>
                <w:szCs w:val="20"/>
              </w:rPr>
            </w:pPr>
            <w:r w:rsidRPr="00576299">
              <w:rPr>
                <w:rFonts w:ascii="Arial Narrow" w:hAnsi="Arial Narrow"/>
                <w:sz w:val="20"/>
              </w:rPr>
              <w:t>500 mg</w:t>
            </w:r>
          </w:p>
        </w:tc>
        <w:tc>
          <w:tcPr>
            <w:tcW w:w="859" w:type="dxa"/>
            <w:vAlign w:val="center"/>
          </w:tcPr>
          <w:p w14:paraId="6E36C558" w14:textId="77777777" w:rsidR="0092254A" w:rsidRPr="00576299" w:rsidRDefault="0092254A" w:rsidP="00EA777B">
            <w:pPr>
              <w:widowControl w:val="0"/>
              <w:jc w:val="center"/>
              <w:rPr>
                <w:rFonts w:ascii="Arial Narrow" w:hAnsi="Arial Narrow"/>
                <w:sz w:val="20"/>
                <w:szCs w:val="20"/>
              </w:rPr>
            </w:pPr>
            <w:r w:rsidRPr="00576299">
              <w:rPr>
                <w:rFonts w:ascii="Arial Narrow" w:hAnsi="Arial Narrow"/>
                <w:sz w:val="20"/>
              </w:rPr>
              <w:t>3</w:t>
            </w:r>
          </w:p>
        </w:tc>
        <w:tc>
          <w:tcPr>
            <w:tcW w:w="1289" w:type="dxa"/>
            <w:vAlign w:val="center"/>
          </w:tcPr>
          <w:p w14:paraId="463DA034" w14:textId="77777777" w:rsidR="0092254A" w:rsidRPr="00576299" w:rsidRDefault="0092254A" w:rsidP="00EA777B">
            <w:pPr>
              <w:widowControl w:val="0"/>
              <w:jc w:val="center"/>
              <w:rPr>
                <w:rFonts w:ascii="Arial Narrow" w:hAnsi="Arial Narrow"/>
                <w:sz w:val="20"/>
                <w:szCs w:val="20"/>
              </w:rPr>
            </w:pPr>
            <w:r w:rsidRPr="00576299">
              <w:rPr>
                <w:rFonts w:ascii="Arial Narrow" w:hAnsi="Arial Narrow"/>
                <w:sz w:val="20"/>
                <w:szCs w:val="20"/>
              </w:rPr>
              <w:t>Jemperli</w:t>
            </w:r>
          </w:p>
        </w:tc>
      </w:tr>
      <w:tr w:rsidR="0092254A" w:rsidRPr="00576299" w14:paraId="0A2E20D4" w14:textId="77777777" w:rsidTr="000B1BA0">
        <w:tblPrEx>
          <w:tblCellMar>
            <w:top w:w="15" w:type="dxa"/>
            <w:left w:w="15" w:type="dxa"/>
            <w:bottom w:w="15" w:type="dxa"/>
            <w:right w:w="15" w:type="dxa"/>
          </w:tblCellMar>
          <w:tblLook w:val="04A0" w:firstRow="1" w:lastRow="0" w:firstColumn="1" w:lastColumn="0" w:noHBand="0" w:noVBand="1"/>
        </w:tblPrEx>
        <w:tc>
          <w:tcPr>
            <w:tcW w:w="1628" w:type="dxa"/>
          </w:tcPr>
          <w:p w14:paraId="21CBCD65" w14:textId="77777777" w:rsidR="0092254A" w:rsidRPr="00576299" w:rsidRDefault="0092254A" w:rsidP="00450615">
            <w:pPr>
              <w:pStyle w:val="TableText0"/>
              <w:keepNext w:val="0"/>
              <w:widowControl w:val="0"/>
            </w:pPr>
            <w:r w:rsidRPr="00576299">
              <w:t>Category/Program:</w:t>
            </w:r>
          </w:p>
        </w:tc>
        <w:tc>
          <w:tcPr>
            <w:tcW w:w="7394" w:type="dxa"/>
            <w:gridSpan w:val="5"/>
          </w:tcPr>
          <w:p w14:paraId="22935B9B" w14:textId="77777777" w:rsidR="0092254A" w:rsidRPr="00576299" w:rsidRDefault="0092254A" w:rsidP="00450615">
            <w:pPr>
              <w:pStyle w:val="TableText0"/>
              <w:keepNext w:val="0"/>
              <w:widowControl w:val="0"/>
            </w:pPr>
            <w:r w:rsidRPr="00576299">
              <w:t>Section 100 – Efficient Funding of Chemotherapy Public/Private hospitals</w:t>
            </w:r>
          </w:p>
        </w:tc>
      </w:tr>
      <w:tr w:rsidR="0092254A" w:rsidRPr="00576299" w14:paraId="6E9DE50E" w14:textId="77777777" w:rsidTr="000B1BA0">
        <w:tblPrEx>
          <w:tblCellMar>
            <w:top w:w="15" w:type="dxa"/>
            <w:left w:w="15" w:type="dxa"/>
            <w:bottom w:w="15" w:type="dxa"/>
            <w:right w:w="15" w:type="dxa"/>
          </w:tblCellMar>
          <w:tblLook w:val="04A0" w:firstRow="1" w:lastRow="0" w:firstColumn="1" w:lastColumn="0" w:noHBand="0" w:noVBand="1"/>
        </w:tblPrEx>
        <w:tc>
          <w:tcPr>
            <w:tcW w:w="1628" w:type="dxa"/>
          </w:tcPr>
          <w:p w14:paraId="26AE1E7D" w14:textId="77777777" w:rsidR="0092254A" w:rsidRPr="00576299" w:rsidRDefault="0092254A" w:rsidP="00450615">
            <w:pPr>
              <w:pStyle w:val="TableText0"/>
              <w:keepNext w:val="0"/>
              <w:widowControl w:val="0"/>
            </w:pPr>
            <w:r w:rsidRPr="00576299">
              <w:t>Prescriber type:</w:t>
            </w:r>
          </w:p>
        </w:tc>
        <w:tc>
          <w:tcPr>
            <w:tcW w:w="7394" w:type="dxa"/>
            <w:gridSpan w:val="5"/>
            <w:vAlign w:val="center"/>
          </w:tcPr>
          <w:p w14:paraId="00D4611A" w14:textId="2FDC6C9E" w:rsidR="0092254A" w:rsidRPr="00576299" w:rsidRDefault="0092254A" w:rsidP="00450615">
            <w:pPr>
              <w:pStyle w:val="TableText0"/>
              <w:keepNext w:val="0"/>
              <w:widowControl w:val="0"/>
            </w:pPr>
            <w:r w:rsidRPr="00576299">
              <w:t>Medical Practitioners</w:t>
            </w:r>
          </w:p>
        </w:tc>
      </w:tr>
      <w:tr w:rsidR="0092254A" w:rsidRPr="00576299" w14:paraId="4BD8BE40" w14:textId="77777777" w:rsidTr="000B1BA0">
        <w:tblPrEx>
          <w:tblCellMar>
            <w:top w:w="15" w:type="dxa"/>
            <w:left w:w="15" w:type="dxa"/>
            <w:bottom w:w="15" w:type="dxa"/>
            <w:right w:w="15" w:type="dxa"/>
          </w:tblCellMar>
          <w:tblLook w:val="04A0" w:firstRow="1" w:lastRow="0" w:firstColumn="1" w:lastColumn="0" w:noHBand="0" w:noVBand="1"/>
        </w:tblPrEx>
        <w:tc>
          <w:tcPr>
            <w:tcW w:w="1628" w:type="dxa"/>
          </w:tcPr>
          <w:p w14:paraId="3A693649" w14:textId="77777777" w:rsidR="0092254A" w:rsidRPr="00576299" w:rsidRDefault="0092254A" w:rsidP="00450615">
            <w:pPr>
              <w:pStyle w:val="TableText0"/>
              <w:keepNext w:val="0"/>
              <w:widowControl w:val="0"/>
            </w:pPr>
            <w:r w:rsidRPr="00576299">
              <w:t>Restriction type:</w:t>
            </w:r>
          </w:p>
        </w:tc>
        <w:tc>
          <w:tcPr>
            <w:tcW w:w="7394" w:type="dxa"/>
            <w:gridSpan w:val="5"/>
            <w:vAlign w:val="center"/>
          </w:tcPr>
          <w:p w14:paraId="22CB2551" w14:textId="77777777" w:rsidR="0010725F" w:rsidRPr="00576299" w:rsidRDefault="0010725F" w:rsidP="0010725F">
            <w:pPr>
              <w:keepNext/>
              <w:keepLines/>
              <w:rPr>
                <w:rFonts w:ascii="Arial Narrow" w:eastAsia="Calibri" w:hAnsi="Arial Narrow"/>
                <w:i/>
                <w:strike/>
                <w:sz w:val="20"/>
                <w:szCs w:val="20"/>
              </w:rPr>
            </w:pPr>
            <w:r w:rsidRPr="00576299">
              <w:rPr>
                <w:rFonts w:ascii="Arial Narrow" w:eastAsia="Calibri" w:hAnsi="Arial Narrow"/>
                <w:i/>
                <w:strike/>
                <w:sz w:val="20"/>
                <w:szCs w:val="20"/>
              </w:rPr>
              <w:fldChar w:fldCharType="begin">
                <w:ffData>
                  <w:name w:val="Check3"/>
                  <w:enabled/>
                  <w:calcOnExit w:val="0"/>
                  <w:checkBox>
                    <w:sizeAuto/>
                    <w:default w:val="1"/>
                  </w:checkBox>
                </w:ffData>
              </w:fldChar>
            </w:r>
            <w:r w:rsidRPr="00576299">
              <w:rPr>
                <w:rFonts w:ascii="Arial Narrow" w:eastAsia="Calibri" w:hAnsi="Arial Narrow"/>
                <w:i/>
                <w:strike/>
                <w:sz w:val="20"/>
                <w:szCs w:val="20"/>
              </w:rPr>
              <w:instrText xml:space="preserve"> FORMCHECKBOX </w:instrText>
            </w:r>
            <w:r w:rsidR="00CD09E9">
              <w:rPr>
                <w:rFonts w:ascii="Arial Narrow" w:eastAsia="Calibri" w:hAnsi="Arial Narrow"/>
                <w:i/>
                <w:strike/>
                <w:sz w:val="20"/>
                <w:szCs w:val="20"/>
              </w:rPr>
            </w:r>
            <w:r w:rsidR="00CD09E9">
              <w:rPr>
                <w:rFonts w:ascii="Arial Narrow" w:eastAsia="Calibri" w:hAnsi="Arial Narrow"/>
                <w:i/>
                <w:strike/>
                <w:sz w:val="20"/>
                <w:szCs w:val="20"/>
              </w:rPr>
              <w:fldChar w:fldCharType="separate"/>
            </w:r>
            <w:r w:rsidRPr="00576299">
              <w:rPr>
                <w:rFonts w:ascii="Arial Narrow" w:eastAsia="Calibri" w:hAnsi="Arial Narrow"/>
                <w:i/>
                <w:strike/>
                <w:sz w:val="20"/>
                <w:szCs w:val="20"/>
              </w:rPr>
              <w:fldChar w:fldCharType="end"/>
            </w:r>
            <w:r w:rsidRPr="00576299">
              <w:rPr>
                <w:rFonts w:ascii="Arial Narrow" w:eastAsia="Calibri" w:hAnsi="Arial Narrow"/>
                <w:i/>
                <w:strike/>
                <w:sz w:val="20"/>
                <w:szCs w:val="20"/>
              </w:rPr>
              <w:t xml:space="preserve"> </w:t>
            </w:r>
            <w:r w:rsidRPr="00576299">
              <w:rPr>
                <w:rFonts w:ascii="Arial Narrow" w:eastAsia="Calibri" w:hAnsi="Arial Narrow"/>
                <w:strike/>
                <w:sz w:val="20"/>
                <w:szCs w:val="20"/>
              </w:rPr>
              <w:t>Streamlined</w:t>
            </w:r>
          </w:p>
          <w:p w14:paraId="7154589F" w14:textId="498AE574" w:rsidR="0092254A" w:rsidRPr="00576299" w:rsidRDefault="0010725F" w:rsidP="0010725F">
            <w:pPr>
              <w:pStyle w:val="TableText0"/>
              <w:keepNext w:val="0"/>
              <w:widowControl w:val="0"/>
            </w:pPr>
            <w:r w:rsidRPr="00576299">
              <w:rPr>
                <w:i/>
                <w:szCs w:val="20"/>
              </w:rPr>
              <w:fldChar w:fldCharType="begin">
                <w:ffData>
                  <w:name w:val="Check3"/>
                  <w:enabled/>
                  <w:calcOnExit w:val="0"/>
                  <w:checkBox>
                    <w:sizeAuto/>
                    <w:default w:val="1"/>
                  </w:checkBox>
                </w:ffData>
              </w:fldChar>
            </w:r>
            <w:r w:rsidRPr="00576299">
              <w:rPr>
                <w:i/>
                <w:szCs w:val="20"/>
              </w:rPr>
              <w:instrText xml:space="preserve"> FORMCHECKBOX </w:instrText>
            </w:r>
            <w:r w:rsidR="00CD09E9">
              <w:rPr>
                <w:i/>
                <w:szCs w:val="20"/>
              </w:rPr>
            </w:r>
            <w:r w:rsidR="00CD09E9">
              <w:rPr>
                <w:i/>
                <w:szCs w:val="20"/>
              </w:rPr>
              <w:fldChar w:fldCharType="separate"/>
            </w:r>
            <w:r w:rsidRPr="00576299">
              <w:rPr>
                <w:i/>
                <w:szCs w:val="20"/>
              </w:rPr>
              <w:fldChar w:fldCharType="end"/>
            </w:r>
            <w:r w:rsidRPr="00576299">
              <w:rPr>
                <w:i/>
                <w:szCs w:val="20"/>
              </w:rPr>
              <w:t xml:space="preserve"> </w:t>
            </w:r>
            <w:r w:rsidR="00132821" w:rsidRPr="00132821">
              <w:rPr>
                <w:i/>
                <w:szCs w:val="20"/>
              </w:rPr>
              <w:t>Authority Required (telephone/online PBS authorities system)</w:t>
            </w:r>
          </w:p>
        </w:tc>
      </w:tr>
      <w:tr w:rsidR="0092254A" w:rsidRPr="00576299" w14:paraId="05C9DA52" w14:textId="77777777" w:rsidTr="000B1BA0">
        <w:tblPrEx>
          <w:tblCellMar>
            <w:top w:w="15" w:type="dxa"/>
            <w:left w:w="15" w:type="dxa"/>
            <w:bottom w:w="15" w:type="dxa"/>
            <w:right w:w="15" w:type="dxa"/>
          </w:tblCellMar>
          <w:tblLook w:val="04A0" w:firstRow="1" w:lastRow="0" w:firstColumn="1" w:lastColumn="0" w:noHBand="0" w:noVBand="1"/>
        </w:tblPrEx>
        <w:tc>
          <w:tcPr>
            <w:tcW w:w="1628" w:type="dxa"/>
          </w:tcPr>
          <w:p w14:paraId="55078C11" w14:textId="77777777" w:rsidR="0092254A" w:rsidRPr="00576299" w:rsidRDefault="0092254A" w:rsidP="00450615">
            <w:pPr>
              <w:pStyle w:val="TableText0"/>
              <w:keepNext w:val="0"/>
              <w:widowControl w:val="0"/>
            </w:pPr>
            <w:r w:rsidRPr="00576299">
              <w:t>Severity:</w:t>
            </w:r>
          </w:p>
        </w:tc>
        <w:tc>
          <w:tcPr>
            <w:tcW w:w="7394" w:type="dxa"/>
            <w:gridSpan w:val="5"/>
            <w:vAlign w:val="center"/>
          </w:tcPr>
          <w:p w14:paraId="1D955AD2" w14:textId="77777777" w:rsidR="0092254A" w:rsidRPr="00576299" w:rsidRDefault="0092254A" w:rsidP="00450615">
            <w:pPr>
              <w:pStyle w:val="TableText0"/>
              <w:keepNext w:val="0"/>
              <w:widowControl w:val="0"/>
            </w:pPr>
            <w:r w:rsidRPr="00576299">
              <w:t>Recurrent or advanced</w:t>
            </w:r>
          </w:p>
        </w:tc>
      </w:tr>
      <w:tr w:rsidR="0092254A" w:rsidRPr="00576299" w14:paraId="0935471B" w14:textId="77777777" w:rsidTr="000B1BA0">
        <w:tblPrEx>
          <w:tblCellMar>
            <w:top w:w="15" w:type="dxa"/>
            <w:left w:w="15" w:type="dxa"/>
            <w:bottom w:w="15" w:type="dxa"/>
            <w:right w:w="15" w:type="dxa"/>
          </w:tblCellMar>
          <w:tblLook w:val="04A0" w:firstRow="1" w:lastRow="0" w:firstColumn="1" w:lastColumn="0" w:noHBand="0" w:noVBand="1"/>
        </w:tblPrEx>
        <w:tc>
          <w:tcPr>
            <w:tcW w:w="1628" w:type="dxa"/>
          </w:tcPr>
          <w:p w14:paraId="2BC93FD3" w14:textId="77777777" w:rsidR="0092254A" w:rsidRPr="00576299" w:rsidRDefault="0092254A" w:rsidP="00450615">
            <w:pPr>
              <w:pStyle w:val="TableText0"/>
              <w:keepNext w:val="0"/>
              <w:widowControl w:val="0"/>
            </w:pPr>
            <w:r w:rsidRPr="00576299">
              <w:t>Condition:</w:t>
            </w:r>
          </w:p>
        </w:tc>
        <w:tc>
          <w:tcPr>
            <w:tcW w:w="7394" w:type="dxa"/>
            <w:gridSpan w:val="5"/>
            <w:vAlign w:val="center"/>
          </w:tcPr>
          <w:p w14:paraId="62A258CB" w14:textId="77777777" w:rsidR="0092254A" w:rsidRPr="00576299" w:rsidRDefault="0092254A" w:rsidP="00450615">
            <w:pPr>
              <w:pStyle w:val="TableText0"/>
              <w:keepNext w:val="0"/>
              <w:widowControl w:val="0"/>
            </w:pPr>
            <w:r w:rsidRPr="0010725F">
              <w:rPr>
                <w:strike/>
              </w:rPr>
              <w:t>Mismatch repair deficient</w:t>
            </w:r>
            <w:r w:rsidRPr="00576299">
              <w:t xml:space="preserve"> endometrial cancer</w:t>
            </w:r>
          </w:p>
        </w:tc>
      </w:tr>
      <w:tr w:rsidR="0092254A" w:rsidRPr="00576299" w14:paraId="09D26949" w14:textId="77777777" w:rsidTr="000B1BA0">
        <w:tblPrEx>
          <w:tblCellMar>
            <w:top w:w="15" w:type="dxa"/>
            <w:left w:w="15" w:type="dxa"/>
            <w:bottom w:w="15" w:type="dxa"/>
            <w:right w:w="15" w:type="dxa"/>
          </w:tblCellMar>
          <w:tblLook w:val="04A0" w:firstRow="1" w:lastRow="0" w:firstColumn="1" w:lastColumn="0" w:noHBand="0" w:noVBand="1"/>
        </w:tblPrEx>
        <w:tc>
          <w:tcPr>
            <w:tcW w:w="1628" w:type="dxa"/>
          </w:tcPr>
          <w:p w14:paraId="5BF584BD" w14:textId="77777777" w:rsidR="0092254A" w:rsidRPr="00576299" w:rsidRDefault="0092254A" w:rsidP="00450615">
            <w:pPr>
              <w:pStyle w:val="TableText0"/>
              <w:keepNext w:val="0"/>
              <w:widowControl w:val="0"/>
            </w:pPr>
            <w:r w:rsidRPr="00576299">
              <w:t>Indication:</w:t>
            </w:r>
          </w:p>
        </w:tc>
        <w:tc>
          <w:tcPr>
            <w:tcW w:w="7394" w:type="dxa"/>
            <w:gridSpan w:val="5"/>
            <w:vAlign w:val="center"/>
            <w:hideMark/>
          </w:tcPr>
          <w:p w14:paraId="74F22DC2" w14:textId="77777777" w:rsidR="0092254A" w:rsidRPr="00576299" w:rsidRDefault="0092254A" w:rsidP="00450615">
            <w:pPr>
              <w:pStyle w:val="TableText0"/>
              <w:keepNext w:val="0"/>
              <w:widowControl w:val="0"/>
            </w:pPr>
            <w:r w:rsidRPr="00576299">
              <w:t xml:space="preserve">Recurrent or advanced </w:t>
            </w:r>
            <w:r w:rsidRPr="0010725F">
              <w:rPr>
                <w:strike/>
              </w:rPr>
              <w:t>mismatch repair deficient (dMMR)</w:t>
            </w:r>
            <w:r w:rsidRPr="00576299">
              <w:t xml:space="preserve"> endometrial cancer</w:t>
            </w:r>
          </w:p>
        </w:tc>
      </w:tr>
      <w:tr w:rsidR="0092254A" w:rsidRPr="00576299" w14:paraId="588FA966" w14:textId="77777777" w:rsidTr="000B1BA0">
        <w:tblPrEx>
          <w:tblCellMar>
            <w:top w:w="15" w:type="dxa"/>
            <w:left w:w="15" w:type="dxa"/>
            <w:bottom w:w="15" w:type="dxa"/>
            <w:right w:w="15" w:type="dxa"/>
          </w:tblCellMar>
          <w:tblLook w:val="04A0" w:firstRow="1" w:lastRow="0" w:firstColumn="1" w:lastColumn="0" w:noHBand="0" w:noVBand="1"/>
        </w:tblPrEx>
        <w:tc>
          <w:tcPr>
            <w:tcW w:w="1628" w:type="dxa"/>
          </w:tcPr>
          <w:p w14:paraId="681DC818" w14:textId="77777777" w:rsidR="0092254A" w:rsidRPr="00576299" w:rsidRDefault="0092254A" w:rsidP="00450615">
            <w:pPr>
              <w:pStyle w:val="TableText0"/>
              <w:keepNext w:val="0"/>
              <w:widowControl w:val="0"/>
            </w:pPr>
            <w:r w:rsidRPr="00576299">
              <w:t>Treatment Phase:</w:t>
            </w:r>
          </w:p>
        </w:tc>
        <w:tc>
          <w:tcPr>
            <w:tcW w:w="7394" w:type="dxa"/>
            <w:gridSpan w:val="5"/>
            <w:vAlign w:val="center"/>
            <w:hideMark/>
          </w:tcPr>
          <w:p w14:paraId="599231DC" w14:textId="1D57F95B" w:rsidR="0092254A" w:rsidRPr="00576299" w:rsidRDefault="0092254A" w:rsidP="00450615">
            <w:pPr>
              <w:pStyle w:val="TableText0"/>
              <w:keepNext w:val="0"/>
              <w:widowControl w:val="0"/>
            </w:pPr>
            <w:r w:rsidRPr="00576299">
              <w:t>Initial</w:t>
            </w:r>
          </w:p>
        </w:tc>
      </w:tr>
      <w:tr w:rsidR="0092254A" w:rsidRPr="00576299" w14:paraId="0CDE1D46" w14:textId="77777777" w:rsidTr="000B1BA0">
        <w:tblPrEx>
          <w:tblCellMar>
            <w:top w:w="15" w:type="dxa"/>
            <w:left w:w="15" w:type="dxa"/>
            <w:bottom w:w="15" w:type="dxa"/>
            <w:right w:w="15" w:type="dxa"/>
          </w:tblCellMar>
          <w:tblLook w:val="04A0" w:firstRow="1" w:lastRow="0" w:firstColumn="1" w:lastColumn="0" w:noHBand="0" w:noVBand="1"/>
        </w:tblPrEx>
        <w:tc>
          <w:tcPr>
            <w:tcW w:w="1628" w:type="dxa"/>
          </w:tcPr>
          <w:p w14:paraId="1A629E26" w14:textId="77777777" w:rsidR="0092254A" w:rsidRPr="00576299" w:rsidRDefault="0092254A" w:rsidP="00450615">
            <w:pPr>
              <w:pStyle w:val="TableText0"/>
              <w:keepNext w:val="0"/>
              <w:widowControl w:val="0"/>
            </w:pPr>
            <w:r w:rsidRPr="00576299">
              <w:t>Clinical criteria:</w:t>
            </w:r>
          </w:p>
        </w:tc>
        <w:tc>
          <w:tcPr>
            <w:tcW w:w="7394" w:type="dxa"/>
            <w:gridSpan w:val="5"/>
            <w:vAlign w:val="center"/>
            <w:hideMark/>
          </w:tcPr>
          <w:p w14:paraId="5459E774" w14:textId="77777777" w:rsidR="0092254A" w:rsidRPr="00576299" w:rsidRDefault="0092254A" w:rsidP="00450615">
            <w:pPr>
              <w:pStyle w:val="TableText0"/>
              <w:keepNext w:val="0"/>
              <w:widowControl w:val="0"/>
              <w:rPr>
                <w:u w:val="single"/>
              </w:rPr>
            </w:pPr>
            <w:r w:rsidRPr="00576299">
              <w:rPr>
                <w:u w:val="single"/>
              </w:rPr>
              <w:t>Initial</w:t>
            </w:r>
          </w:p>
          <w:p w14:paraId="18112A34" w14:textId="77777777" w:rsidR="0092254A" w:rsidRPr="00576299" w:rsidRDefault="0092254A" w:rsidP="00450615">
            <w:pPr>
              <w:pStyle w:val="TableText0"/>
              <w:keepNext w:val="0"/>
              <w:widowControl w:val="0"/>
            </w:pPr>
            <w:r w:rsidRPr="00576299">
              <w:t>Patient must have received a prior platinum-based chemotherapy regimen for this condition,</w:t>
            </w:r>
          </w:p>
          <w:p w14:paraId="658CD74B" w14:textId="77777777" w:rsidR="0092254A" w:rsidRPr="00576299" w:rsidRDefault="0092254A" w:rsidP="00450615">
            <w:pPr>
              <w:pStyle w:val="TableText0"/>
              <w:keepNext w:val="0"/>
              <w:widowControl w:val="0"/>
            </w:pPr>
            <w:r w:rsidRPr="00576299">
              <w:t>AND</w:t>
            </w:r>
          </w:p>
          <w:p w14:paraId="672C403F" w14:textId="4C3C2747" w:rsidR="0092254A" w:rsidRPr="00576299" w:rsidRDefault="0092254A" w:rsidP="00450615">
            <w:pPr>
              <w:pStyle w:val="TableText0"/>
              <w:keepNext w:val="0"/>
              <w:widowControl w:val="0"/>
            </w:pPr>
            <w:r w:rsidRPr="00576299">
              <w:t>Patient must have a</w:t>
            </w:r>
            <w:r w:rsidRPr="00300713">
              <w:rPr>
                <w:strike/>
              </w:rPr>
              <w:t>n</w:t>
            </w:r>
            <w:r w:rsidRPr="00576299">
              <w:t xml:space="preserve"> </w:t>
            </w:r>
            <w:r w:rsidRPr="00300713">
              <w:rPr>
                <w:strike/>
              </w:rPr>
              <w:t>ECOG</w:t>
            </w:r>
            <w:r w:rsidR="00300713">
              <w:t xml:space="preserve"> </w:t>
            </w:r>
            <w:r w:rsidR="00300713" w:rsidRPr="00300713">
              <w:rPr>
                <w:i/>
                <w:iCs/>
              </w:rPr>
              <w:t>WHO</w:t>
            </w:r>
            <w:r w:rsidRPr="00576299">
              <w:t xml:space="preserve"> performance status of 0 or 1,</w:t>
            </w:r>
          </w:p>
          <w:p w14:paraId="27A98F39" w14:textId="77777777" w:rsidR="0092254A" w:rsidRPr="00576299" w:rsidRDefault="0092254A" w:rsidP="00450615">
            <w:pPr>
              <w:pStyle w:val="TableText0"/>
              <w:keepNext w:val="0"/>
              <w:widowControl w:val="0"/>
            </w:pPr>
            <w:r w:rsidRPr="00576299">
              <w:t>AND</w:t>
            </w:r>
          </w:p>
          <w:p w14:paraId="2EE84B7C" w14:textId="282EA9C8" w:rsidR="0092254A" w:rsidRPr="00576299" w:rsidRDefault="0092254A" w:rsidP="00450615">
            <w:pPr>
              <w:pStyle w:val="TableText0"/>
              <w:keepNext w:val="0"/>
              <w:widowControl w:val="0"/>
            </w:pPr>
            <w:r w:rsidRPr="00132821">
              <w:rPr>
                <w:strike/>
              </w:rPr>
              <w:t>Patient must have</w:t>
            </w:r>
            <w:r w:rsidRPr="00576299">
              <w:t xml:space="preserve"> </w:t>
            </w:r>
            <w:r w:rsidR="00132821">
              <w:rPr>
                <w:i/>
                <w:iCs/>
              </w:rPr>
              <w:t xml:space="preserve">The condition must be </w:t>
            </w:r>
            <w:r w:rsidRPr="00576299">
              <w:t xml:space="preserve">mismatch repair deficient (dMMR) </w:t>
            </w:r>
            <w:r w:rsidRPr="00132821">
              <w:rPr>
                <w:strike/>
              </w:rPr>
              <w:t>endometrial</w:t>
            </w:r>
            <w:r w:rsidRPr="00576299">
              <w:t xml:space="preserve"> </w:t>
            </w:r>
            <w:r w:rsidR="00132821">
              <w:rPr>
                <w:i/>
                <w:iCs/>
              </w:rPr>
              <w:t xml:space="preserve">type </w:t>
            </w:r>
            <w:r w:rsidRPr="00576299">
              <w:t>cancer, as determined by immunohistochemistry test,</w:t>
            </w:r>
          </w:p>
          <w:p w14:paraId="20A49C5B" w14:textId="77777777" w:rsidR="0092254A" w:rsidRPr="00576299" w:rsidRDefault="0092254A" w:rsidP="00450615">
            <w:pPr>
              <w:pStyle w:val="TableText0"/>
              <w:keepNext w:val="0"/>
              <w:widowControl w:val="0"/>
            </w:pPr>
            <w:r w:rsidRPr="00576299">
              <w:t>AND</w:t>
            </w:r>
          </w:p>
          <w:p w14:paraId="14549B7F" w14:textId="4D8469D7" w:rsidR="0092254A" w:rsidRPr="004E4DCA" w:rsidRDefault="0092254A" w:rsidP="00450615">
            <w:pPr>
              <w:pStyle w:val="TableText0"/>
              <w:keepNext w:val="0"/>
              <w:widowControl w:val="0"/>
              <w:rPr>
                <w:i/>
                <w:iCs/>
              </w:rPr>
            </w:pPr>
            <w:r w:rsidRPr="00576299">
              <w:t xml:space="preserve">Patient must not have received prior treatment with a programmed cell death-1 (PD-1) inhibitor or a programmed cell death ligand-1 (PD-L1) inhibitor for </w:t>
            </w:r>
            <w:r w:rsidRPr="004E4DCA">
              <w:rPr>
                <w:strike/>
              </w:rPr>
              <w:t>endometrial cancer</w:t>
            </w:r>
            <w:r w:rsidR="004E4DCA" w:rsidRPr="004E4DCA">
              <w:t xml:space="preserve"> </w:t>
            </w:r>
            <w:r w:rsidR="004E4DCA" w:rsidRPr="004E4DCA">
              <w:rPr>
                <w:i/>
                <w:iCs/>
              </w:rPr>
              <w:t>this condition</w:t>
            </w:r>
          </w:p>
        </w:tc>
      </w:tr>
      <w:tr w:rsidR="0092254A" w:rsidRPr="00576299" w14:paraId="632CB123" w14:textId="77777777" w:rsidTr="000B1BA0">
        <w:tblPrEx>
          <w:tblCellMar>
            <w:top w:w="15" w:type="dxa"/>
            <w:left w:w="15" w:type="dxa"/>
            <w:bottom w:w="15" w:type="dxa"/>
            <w:right w:w="15" w:type="dxa"/>
          </w:tblCellMar>
          <w:tblLook w:val="04A0" w:firstRow="1" w:lastRow="0" w:firstColumn="1" w:lastColumn="0" w:noHBand="0" w:noVBand="1"/>
        </w:tblPrEx>
        <w:trPr>
          <w:trHeight w:val="1274"/>
        </w:trPr>
        <w:tc>
          <w:tcPr>
            <w:tcW w:w="1628" w:type="dxa"/>
          </w:tcPr>
          <w:p w14:paraId="4015BA81" w14:textId="77777777" w:rsidR="0092254A" w:rsidRPr="00576299" w:rsidRDefault="0092254A" w:rsidP="00450615">
            <w:pPr>
              <w:pStyle w:val="TableText0"/>
              <w:keepNext w:val="0"/>
              <w:widowControl w:val="0"/>
            </w:pPr>
            <w:r w:rsidRPr="00576299">
              <w:t>Administrative Advice:</w:t>
            </w:r>
          </w:p>
        </w:tc>
        <w:tc>
          <w:tcPr>
            <w:tcW w:w="7394" w:type="dxa"/>
            <w:gridSpan w:val="5"/>
            <w:vAlign w:val="center"/>
            <w:hideMark/>
          </w:tcPr>
          <w:p w14:paraId="1604753B" w14:textId="5330EE1A" w:rsidR="000B1BA0" w:rsidRDefault="000B1BA0" w:rsidP="00450615">
            <w:pPr>
              <w:pStyle w:val="TableText0"/>
              <w:keepNext w:val="0"/>
              <w:widowControl w:val="0"/>
            </w:pPr>
            <w:r w:rsidRPr="00576299">
              <w:rPr>
                <w:i/>
                <w:szCs w:val="20"/>
              </w:rPr>
              <w:t>Applications for authorisation under this restriction may be made in real time using the Online PBS Authorities system (see www.servicesaustralia.gov.au/HPOS) or by telephone by contacting Services Australia on 1800 888 333</w:t>
            </w:r>
          </w:p>
          <w:p w14:paraId="1CA0C9EC" w14:textId="548539BA" w:rsidR="0092254A" w:rsidRPr="00132821" w:rsidRDefault="0092254A" w:rsidP="00450615">
            <w:pPr>
              <w:pStyle w:val="TableText0"/>
              <w:keepNext w:val="0"/>
              <w:widowControl w:val="0"/>
              <w:rPr>
                <w:strike/>
              </w:rPr>
            </w:pPr>
            <w:r w:rsidRPr="00132821">
              <w:rPr>
                <w:strike/>
              </w:rPr>
              <w:t>In the first few months after start of immunotherapy, some patients can have a transient tumour flare with subsequent disease response. When progression is suspected, this should be confirmed through a confirmatory scan, taken at least 4 weeks later.</w:t>
            </w:r>
          </w:p>
          <w:p w14:paraId="3A6EFED2" w14:textId="4F329940" w:rsidR="000B1BA0" w:rsidRPr="00576299" w:rsidRDefault="000B1BA0" w:rsidP="00450615">
            <w:pPr>
              <w:pStyle w:val="TableText0"/>
              <w:keepNext w:val="0"/>
              <w:widowControl w:val="0"/>
            </w:pPr>
            <w:r w:rsidRPr="00576299">
              <w:rPr>
                <w:i/>
                <w:iCs/>
                <w:szCs w:val="20"/>
              </w:rPr>
              <w:t>No increase in the maximum quantity or number of units may be authorised</w:t>
            </w:r>
          </w:p>
          <w:p w14:paraId="55E4280E" w14:textId="4D527057" w:rsidR="0092254A" w:rsidRPr="00576299" w:rsidRDefault="0092254A" w:rsidP="00450615">
            <w:pPr>
              <w:pStyle w:val="TableText0"/>
              <w:keepNext w:val="0"/>
              <w:widowControl w:val="0"/>
            </w:pPr>
            <w:r w:rsidRPr="00576299">
              <w:t>No increase in the maximum number of repeats may be authorised.</w:t>
            </w:r>
          </w:p>
          <w:p w14:paraId="2CE1880A" w14:textId="77777777" w:rsidR="0092254A" w:rsidRPr="00576299" w:rsidRDefault="0092254A" w:rsidP="00450615">
            <w:pPr>
              <w:pStyle w:val="TableText0"/>
              <w:keepNext w:val="0"/>
              <w:widowControl w:val="0"/>
            </w:pPr>
            <w:r w:rsidRPr="00576299">
              <w:t>Special Pricing Arrangements apply.</w:t>
            </w:r>
          </w:p>
        </w:tc>
      </w:tr>
      <w:tr w:rsidR="000B1BA0" w:rsidRPr="00576299" w14:paraId="255FCED1" w14:textId="77777777" w:rsidTr="000B1BA0">
        <w:trPr>
          <w:cantSplit/>
          <w:trHeight w:val="20"/>
        </w:trPr>
        <w:tc>
          <w:tcPr>
            <w:tcW w:w="9022" w:type="dxa"/>
            <w:gridSpan w:val="6"/>
            <w:vAlign w:val="center"/>
          </w:tcPr>
          <w:p w14:paraId="5E282F77" w14:textId="77777777" w:rsidR="000B1BA0" w:rsidRDefault="000B1BA0" w:rsidP="005A432E">
            <w:pPr>
              <w:pStyle w:val="TableText0"/>
              <w:keepNext w:val="0"/>
              <w:widowControl w:val="0"/>
            </w:pPr>
          </w:p>
          <w:p w14:paraId="5CE05668" w14:textId="183902AC" w:rsidR="000B1BA0" w:rsidRPr="00576299" w:rsidRDefault="000B1BA0" w:rsidP="005A432E">
            <w:pPr>
              <w:pStyle w:val="TableText0"/>
              <w:keepNext w:val="0"/>
              <w:widowControl w:val="0"/>
              <w:rPr>
                <w:rFonts w:cs="Arial"/>
                <w:szCs w:val="20"/>
              </w:rPr>
            </w:pPr>
            <w:r w:rsidRPr="00576299">
              <w:rPr>
                <w:rFonts w:cs="Arial"/>
                <w:szCs w:val="20"/>
              </w:rPr>
              <w:t>Continuing treatment</w:t>
            </w:r>
          </w:p>
        </w:tc>
      </w:tr>
      <w:tr w:rsidR="000B1BA0" w:rsidRPr="00576299" w14:paraId="4EA24FD3" w14:textId="77777777" w:rsidTr="000B1BA0">
        <w:trPr>
          <w:cantSplit/>
          <w:trHeight w:val="20"/>
        </w:trPr>
        <w:tc>
          <w:tcPr>
            <w:tcW w:w="3074" w:type="dxa"/>
            <w:gridSpan w:val="2"/>
            <w:vAlign w:val="center"/>
          </w:tcPr>
          <w:p w14:paraId="678DE524" w14:textId="77777777" w:rsidR="000B1BA0" w:rsidRPr="00576299" w:rsidRDefault="000B1BA0" w:rsidP="005A432E">
            <w:pPr>
              <w:pStyle w:val="TableText0"/>
              <w:keepNext w:val="0"/>
              <w:widowControl w:val="0"/>
            </w:pPr>
            <w:r w:rsidRPr="00576299">
              <w:t>Dostarlimab</w:t>
            </w:r>
          </w:p>
          <w:p w14:paraId="499C7F47" w14:textId="77777777" w:rsidR="000B1BA0" w:rsidRPr="00576299" w:rsidRDefault="000B1BA0" w:rsidP="005A432E">
            <w:pPr>
              <w:pStyle w:val="TableText0"/>
              <w:keepNext w:val="0"/>
              <w:widowControl w:val="0"/>
            </w:pPr>
            <w:r w:rsidRPr="00576299">
              <w:t>500mg/10mL injection,</w:t>
            </w:r>
          </w:p>
          <w:p w14:paraId="13CBA189" w14:textId="77777777" w:rsidR="000B1BA0" w:rsidRPr="00576299" w:rsidRDefault="000B1BA0" w:rsidP="005A432E">
            <w:pPr>
              <w:pStyle w:val="TableText0"/>
              <w:keepNext w:val="0"/>
              <w:widowControl w:val="0"/>
              <w:rPr>
                <w:szCs w:val="20"/>
              </w:rPr>
            </w:pPr>
            <w:r w:rsidRPr="00576299">
              <w:t>1 x 10mL vial</w:t>
            </w:r>
          </w:p>
        </w:tc>
        <w:tc>
          <w:tcPr>
            <w:tcW w:w="2681" w:type="dxa"/>
            <w:vAlign w:val="center"/>
          </w:tcPr>
          <w:p w14:paraId="0600B6FA" w14:textId="21F96B43" w:rsidR="000B1BA0" w:rsidRPr="00576299" w:rsidRDefault="000B1BA0" w:rsidP="005A432E">
            <w:pPr>
              <w:pStyle w:val="Tabletext"/>
              <w:widowControl w:val="0"/>
            </w:pPr>
            <w:r w:rsidRPr="00576299">
              <w:t>$</w:t>
            </w:r>
            <w:r w:rsidR="00833009" w:rsidRPr="00833009">
              <w:rPr>
                <w:color w:val="000000"/>
                <w:spacing w:val="38"/>
                <w:shd w:val="solid" w:color="000000" w:fill="000000"/>
                <w:fitText w:val="451" w:id="-1304167932"/>
                <w14:textFill>
                  <w14:solidFill>
                    <w14:srgbClr w14:val="000000">
                      <w14:alpha w14:val="100000"/>
                    </w14:srgbClr>
                  </w14:solidFill>
                </w14:textFill>
              </w:rPr>
              <w:t>|||||</w:t>
            </w:r>
            <w:r w:rsidR="00833009" w:rsidRPr="00833009">
              <w:rPr>
                <w:color w:val="000000"/>
                <w:spacing w:val="3"/>
                <w:shd w:val="solid" w:color="000000" w:fill="000000"/>
                <w:fitText w:val="451" w:id="-1304167932"/>
                <w14:textFill>
                  <w14:solidFill>
                    <w14:srgbClr w14:val="000000">
                      <w14:alpha w14:val="100000"/>
                    </w14:srgbClr>
                  </w14:solidFill>
                </w14:textFill>
              </w:rPr>
              <w:t>|</w:t>
            </w:r>
            <w:r w:rsidRPr="00576299">
              <w:t>(public, published)</w:t>
            </w:r>
          </w:p>
          <w:p w14:paraId="64783CC1" w14:textId="42260BF2" w:rsidR="000B1BA0" w:rsidRPr="00576299" w:rsidRDefault="000B1BA0" w:rsidP="005A432E">
            <w:pPr>
              <w:pStyle w:val="Tabletext"/>
              <w:widowControl w:val="0"/>
            </w:pPr>
            <w:r w:rsidRPr="00576299">
              <w:t>$</w:t>
            </w:r>
            <w:r w:rsidR="00833009" w:rsidRPr="00833009">
              <w:rPr>
                <w:color w:val="000000"/>
                <w:spacing w:val="38"/>
                <w:shd w:val="solid" w:color="000000" w:fill="000000"/>
                <w:fitText w:val="451" w:id="-1304167931"/>
                <w14:textFill>
                  <w14:solidFill>
                    <w14:srgbClr w14:val="000000">
                      <w14:alpha w14:val="100000"/>
                    </w14:srgbClr>
                  </w14:solidFill>
                </w14:textFill>
              </w:rPr>
              <w:t>|||||</w:t>
            </w:r>
            <w:r w:rsidR="00833009" w:rsidRPr="00833009">
              <w:rPr>
                <w:color w:val="000000"/>
                <w:spacing w:val="3"/>
                <w:shd w:val="solid" w:color="000000" w:fill="000000"/>
                <w:fitText w:val="451" w:id="-1304167931"/>
                <w14:textFill>
                  <w14:solidFill>
                    <w14:srgbClr w14:val="000000">
                      <w14:alpha w14:val="100000"/>
                    </w14:srgbClr>
                  </w14:solidFill>
                </w14:textFill>
              </w:rPr>
              <w:t>|</w:t>
            </w:r>
            <w:r w:rsidRPr="00576299">
              <w:t>(private, published)</w:t>
            </w:r>
          </w:p>
          <w:p w14:paraId="73BFB132" w14:textId="13C18C76" w:rsidR="000B1BA0" w:rsidRPr="00576299" w:rsidRDefault="000B1BA0" w:rsidP="005A432E">
            <w:pPr>
              <w:pStyle w:val="Tabletext"/>
              <w:widowControl w:val="0"/>
            </w:pPr>
            <w:r w:rsidRPr="00576299">
              <w:t>$</w:t>
            </w:r>
            <w:r w:rsidR="00833009" w:rsidRPr="00833009">
              <w:rPr>
                <w:color w:val="000000"/>
                <w:spacing w:val="38"/>
                <w:shd w:val="solid" w:color="000000" w:fill="000000"/>
                <w:fitText w:val="451" w:id="-1304167930"/>
                <w14:textFill>
                  <w14:solidFill>
                    <w14:srgbClr w14:val="000000">
                      <w14:alpha w14:val="100000"/>
                    </w14:srgbClr>
                  </w14:solidFill>
                </w14:textFill>
              </w:rPr>
              <w:t>|||||</w:t>
            </w:r>
            <w:r w:rsidR="00833009" w:rsidRPr="00833009">
              <w:rPr>
                <w:color w:val="000000"/>
                <w:spacing w:val="3"/>
                <w:shd w:val="solid" w:color="000000" w:fill="000000"/>
                <w:fitText w:val="451" w:id="-1304167930"/>
                <w14:textFill>
                  <w14:solidFill>
                    <w14:srgbClr w14:val="000000">
                      <w14:alpha w14:val="100000"/>
                    </w14:srgbClr>
                  </w14:solidFill>
                </w14:textFill>
              </w:rPr>
              <w:t>|</w:t>
            </w:r>
            <w:r w:rsidRPr="00576299">
              <w:t xml:space="preserve"> (public, effective)</w:t>
            </w:r>
          </w:p>
          <w:p w14:paraId="1BFDB963" w14:textId="4669FC4A" w:rsidR="000B1BA0" w:rsidRPr="00576299" w:rsidRDefault="000B1BA0" w:rsidP="005A432E">
            <w:pPr>
              <w:pStyle w:val="Tabletext"/>
              <w:widowControl w:val="0"/>
            </w:pPr>
            <w:r w:rsidRPr="00576299">
              <w:t>$</w:t>
            </w:r>
            <w:r w:rsidR="00833009" w:rsidRPr="00833009">
              <w:rPr>
                <w:color w:val="000000"/>
                <w:spacing w:val="38"/>
                <w:shd w:val="solid" w:color="000000" w:fill="000000"/>
                <w:fitText w:val="451" w:id="-1304167929"/>
                <w14:textFill>
                  <w14:solidFill>
                    <w14:srgbClr w14:val="000000">
                      <w14:alpha w14:val="100000"/>
                    </w14:srgbClr>
                  </w14:solidFill>
                </w14:textFill>
              </w:rPr>
              <w:t>|||||</w:t>
            </w:r>
            <w:r w:rsidR="00833009" w:rsidRPr="00833009">
              <w:rPr>
                <w:color w:val="000000"/>
                <w:spacing w:val="3"/>
                <w:shd w:val="solid" w:color="000000" w:fill="000000"/>
                <w:fitText w:val="451" w:id="-1304167929"/>
                <w14:textFill>
                  <w14:solidFill>
                    <w14:srgbClr w14:val="000000">
                      <w14:alpha w14:val="100000"/>
                    </w14:srgbClr>
                  </w14:solidFill>
                </w14:textFill>
              </w:rPr>
              <w:t>|</w:t>
            </w:r>
            <w:r w:rsidRPr="00576299">
              <w:t xml:space="preserve"> (private, effective)</w:t>
            </w:r>
          </w:p>
        </w:tc>
        <w:tc>
          <w:tcPr>
            <w:tcW w:w="1119" w:type="dxa"/>
            <w:vAlign w:val="center"/>
          </w:tcPr>
          <w:p w14:paraId="6FBDC5EE" w14:textId="77777777" w:rsidR="000B1BA0" w:rsidRPr="00576299" w:rsidRDefault="000B1BA0" w:rsidP="005A432E">
            <w:pPr>
              <w:widowControl w:val="0"/>
              <w:jc w:val="center"/>
              <w:rPr>
                <w:rFonts w:ascii="Arial Narrow" w:hAnsi="Arial Narrow"/>
                <w:sz w:val="20"/>
                <w:szCs w:val="20"/>
              </w:rPr>
            </w:pPr>
            <w:r w:rsidRPr="00576299">
              <w:rPr>
                <w:rFonts w:ascii="Arial Narrow" w:hAnsi="Arial Narrow"/>
                <w:sz w:val="20"/>
                <w:szCs w:val="20"/>
              </w:rPr>
              <w:t>1,000 mg</w:t>
            </w:r>
          </w:p>
        </w:tc>
        <w:tc>
          <w:tcPr>
            <w:tcW w:w="859" w:type="dxa"/>
            <w:vAlign w:val="center"/>
          </w:tcPr>
          <w:p w14:paraId="5E5F39CA" w14:textId="77777777" w:rsidR="000B1BA0" w:rsidRPr="00576299" w:rsidRDefault="000B1BA0" w:rsidP="005A432E">
            <w:pPr>
              <w:widowControl w:val="0"/>
              <w:jc w:val="center"/>
              <w:rPr>
                <w:rFonts w:ascii="Arial Narrow" w:hAnsi="Arial Narrow"/>
                <w:sz w:val="20"/>
                <w:szCs w:val="20"/>
              </w:rPr>
            </w:pPr>
            <w:r w:rsidRPr="00576299">
              <w:rPr>
                <w:rFonts w:ascii="Arial Narrow" w:hAnsi="Arial Narrow"/>
                <w:sz w:val="20"/>
                <w:szCs w:val="20"/>
              </w:rPr>
              <w:t>3</w:t>
            </w:r>
          </w:p>
        </w:tc>
        <w:tc>
          <w:tcPr>
            <w:tcW w:w="1289" w:type="dxa"/>
            <w:vAlign w:val="center"/>
          </w:tcPr>
          <w:p w14:paraId="0638DDD1" w14:textId="77777777" w:rsidR="000B1BA0" w:rsidRPr="00576299" w:rsidRDefault="000B1BA0" w:rsidP="005A432E">
            <w:pPr>
              <w:widowControl w:val="0"/>
              <w:jc w:val="center"/>
              <w:rPr>
                <w:rFonts w:ascii="Arial Narrow" w:hAnsi="Arial Narrow"/>
                <w:sz w:val="20"/>
                <w:szCs w:val="20"/>
              </w:rPr>
            </w:pPr>
            <w:r w:rsidRPr="00576299">
              <w:rPr>
                <w:rFonts w:ascii="Arial Narrow" w:hAnsi="Arial Narrow"/>
                <w:sz w:val="20"/>
                <w:szCs w:val="20"/>
              </w:rPr>
              <w:t>Jemperli</w:t>
            </w:r>
          </w:p>
        </w:tc>
      </w:tr>
      <w:tr w:rsidR="000B1BA0" w:rsidRPr="00576299" w14:paraId="0D98E02B" w14:textId="77777777" w:rsidTr="005A432E">
        <w:tblPrEx>
          <w:tblCellMar>
            <w:top w:w="15" w:type="dxa"/>
            <w:left w:w="15" w:type="dxa"/>
            <w:bottom w:w="15" w:type="dxa"/>
            <w:right w:w="15" w:type="dxa"/>
          </w:tblCellMar>
          <w:tblLook w:val="04A0" w:firstRow="1" w:lastRow="0" w:firstColumn="1" w:lastColumn="0" w:noHBand="0" w:noVBand="1"/>
        </w:tblPrEx>
        <w:tc>
          <w:tcPr>
            <w:tcW w:w="1628" w:type="dxa"/>
          </w:tcPr>
          <w:p w14:paraId="23D04B27" w14:textId="77777777" w:rsidR="000B1BA0" w:rsidRPr="00576299" w:rsidRDefault="000B1BA0" w:rsidP="005A432E">
            <w:pPr>
              <w:pStyle w:val="TableText0"/>
              <w:keepNext w:val="0"/>
              <w:widowControl w:val="0"/>
            </w:pPr>
            <w:r w:rsidRPr="00576299">
              <w:t>Treatment Phase:</w:t>
            </w:r>
          </w:p>
        </w:tc>
        <w:tc>
          <w:tcPr>
            <w:tcW w:w="7394" w:type="dxa"/>
            <w:gridSpan w:val="5"/>
            <w:vAlign w:val="center"/>
            <w:hideMark/>
          </w:tcPr>
          <w:p w14:paraId="08DFD271" w14:textId="675AB1C9" w:rsidR="000B1BA0" w:rsidRPr="00576299" w:rsidRDefault="000B1BA0" w:rsidP="005A432E">
            <w:pPr>
              <w:pStyle w:val="TableText0"/>
              <w:keepNext w:val="0"/>
              <w:widowControl w:val="0"/>
            </w:pPr>
            <w:r>
              <w:t>Continuing</w:t>
            </w:r>
          </w:p>
        </w:tc>
      </w:tr>
      <w:tr w:rsidR="000B1BA0" w:rsidRPr="00576299" w14:paraId="02C59500" w14:textId="77777777" w:rsidTr="00D533BD">
        <w:tblPrEx>
          <w:tblCellMar>
            <w:top w:w="15" w:type="dxa"/>
            <w:left w:w="15" w:type="dxa"/>
            <w:bottom w:w="15" w:type="dxa"/>
            <w:right w:w="15" w:type="dxa"/>
          </w:tblCellMar>
          <w:tblLook w:val="04A0" w:firstRow="1" w:lastRow="0" w:firstColumn="1" w:lastColumn="0" w:noHBand="0" w:noVBand="1"/>
        </w:tblPrEx>
        <w:tc>
          <w:tcPr>
            <w:tcW w:w="1628" w:type="dxa"/>
          </w:tcPr>
          <w:p w14:paraId="3B63D999" w14:textId="62AA50E9" w:rsidR="000B1BA0" w:rsidRPr="00576299" w:rsidRDefault="000B1BA0" w:rsidP="000B1BA0">
            <w:pPr>
              <w:pStyle w:val="TableText0"/>
              <w:keepNext w:val="0"/>
              <w:widowControl w:val="0"/>
            </w:pPr>
            <w:r>
              <w:t>Clinical criteria:</w:t>
            </w:r>
          </w:p>
        </w:tc>
        <w:tc>
          <w:tcPr>
            <w:tcW w:w="7394" w:type="dxa"/>
            <w:gridSpan w:val="5"/>
          </w:tcPr>
          <w:p w14:paraId="72F74224" w14:textId="77777777" w:rsidR="000B1BA0" w:rsidRPr="00576299" w:rsidRDefault="000B1BA0" w:rsidP="000B1BA0">
            <w:pPr>
              <w:pStyle w:val="TableText0"/>
              <w:keepNext w:val="0"/>
              <w:widowControl w:val="0"/>
            </w:pPr>
            <w:r w:rsidRPr="00576299">
              <w:t>Patient must have previously received PBS-subsidised treatment with this drug for this condition,</w:t>
            </w:r>
          </w:p>
          <w:p w14:paraId="12B163B4" w14:textId="77777777" w:rsidR="000B1BA0" w:rsidRPr="00576299" w:rsidRDefault="000B1BA0" w:rsidP="000B1BA0">
            <w:pPr>
              <w:pStyle w:val="TableText0"/>
              <w:keepNext w:val="0"/>
              <w:widowControl w:val="0"/>
            </w:pPr>
            <w:r w:rsidRPr="00576299">
              <w:t>AND</w:t>
            </w:r>
          </w:p>
          <w:p w14:paraId="3A4AB759" w14:textId="77777777" w:rsidR="000B1BA0" w:rsidRPr="00576299" w:rsidRDefault="000B1BA0" w:rsidP="000B1BA0">
            <w:pPr>
              <w:pStyle w:val="TableText0"/>
              <w:keepNext w:val="0"/>
              <w:widowControl w:val="0"/>
            </w:pPr>
            <w:r w:rsidRPr="00576299">
              <w:t>Patient must not have developed disease progression while receiving PBS-subsidised treatment with this drug for this condition,</w:t>
            </w:r>
          </w:p>
          <w:p w14:paraId="5F68ABB2" w14:textId="77777777" w:rsidR="000B1BA0" w:rsidRPr="00576299" w:rsidRDefault="000B1BA0" w:rsidP="000B1BA0">
            <w:pPr>
              <w:pStyle w:val="TableText0"/>
              <w:keepNext w:val="0"/>
              <w:widowControl w:val="0"/>
            </w:pPr>
            <w:r w:rsidRPr="00576299">
              <w:t>AND</w:t>
            </w:r>
          </w:p>
          <w:p w14:paraId="009F8533" w14:textId="4D8FA7C0" w:rsidR="000B1BA0" w:rsidRPr="00576299" w:rsidRDefault="000B1BA0" w:rsidP="000B1BA0">
            <w:pPr>
              <w:pStyle w:val="TableText0"/>
              <w:keepNext w:val="0"/>
              <w:widowControl w:val="0"/>
            </w:pPr>
            <w:r w:rsidRPr="00576299">
              <w:lastRenderedPageBreak/>
              <w:t>The treatment must not exceed a maximum total of 24 months in a lifetime for this condition.</w:t>
            </w:r>
          </w:p>
        </w:tc>
      </w:tr>
      <w:tr w:rsidR="000B1BA0" w:rsidRPr="00576299" w14:paraId="6E54B8C9" w14:textId="77777777" w:rsidTr="00D533BD">
        <w:tblPrEx>
          <w:tblCellMar>
            <w:top w:w="15" w:type="dxa"/>
            <w:left w:w="15" w:type="dxa"/>
            <w:bottom w:w="15" w:type="dxa"/>
            <w:right w:w="15" w:type="dxa"/>
          </w:tblCellMar>
          <w:tblLook w:val="04A0" w:firstRow="1" w:lastRow="0" w:firstColumn="1" w:lastColumn="0" w:noHBand="0" w:noVBand="1"/>
        </w:tblPrEx>
        <w:tc>
          <w:tcPr>
            <w:tcW w:w="1628" w:type="dxa"/>
          </w:tcPr>
          <w:p w14:paraId="782AD978" w14:textId="590C05EA" w:rsidR="000B1BA0" w:rsidRDefault="000B1BA0" w:rsidP="000B1BA0">
            <w:pPr>
              <w:pStyle w:val="TableText0"/>
              <w:keepNext w:val="0"/>
              <w:widowControl w:val="0"/>
            </w:pPr>
            <w:r>
              <w:lastRenderedPageBreak/>
              <w:t>Administrative advice:</w:t>
            </w:r>
          </w:p>
        </w:tc>
        <w:tc>
          <w:tcPr>
            <w:tcW w:w="7394" w:type="dxa"/>
            <w:gridSpan w:val="5"/>
          </w:tcPr>
          <w:p w14:paraId="26DC5CFC" w14:textId="77777777" w:rsidR="000B1BA0" w:rsidRDefault="000B1BA0" w:rsidP="000B1BA0">
            <w:pPr>
              <w:pStyle w:val="TableText0"/>
              <w:keepNext w:val="0"/>
              <w:widowControl w:val="0"/>
              <w:rPr>
                <w:i/>
                <w:szCs w:val="20"/>
              </w:rPr>
            </w:pPr>
            <w:r w:rsidRPr="00576299">
              <w:rPr>
                <w:i/>
                <w:szCs w:val="20"/>
              </w:rPr>
              <w:t>Applications for authorisation under this restriction may be made in real time using the Online PBS Authorities system (see www.servicesaustralia.gov.au/HPOS) or by telephone by contacting Services Australia on 1800 888 333</w:t>
            </w:r>
          </w:p>
          <w:p w14:paraId="6EE7E591" w14:textId="77777777" w:rsidR="000B1BA0" w:rsidRPr="00576299" w:rsidRDefault="000B1BA0" w:rsidP="000B1BA0">
            <w:pPr>
              <w:pStyle w:val="TableText0"/>
              <w:keepNext w:val="0"/>
              <w:widowControl w:val="0"/>
            </w:pPr>
            <w:r w:rsidRPr="00576299">
              <w:rPr>
                <w:i/>
                <w:iCs/>
                <w:szCs w:val="20"/>
              </w:rPr>
              <w:t>No increase in the maximum quantity or number of units may be authorised</w:t>
            </w:r>
          </w:p>
          <w:p w14:paraId="515EEA74" w14:textId="77777777" w:rsidR="000B1BA0" w:rsidRPr="00576299" w:rsidRDefault="000B1BA0" w:rsidP="000B1BA0">
            <w:pPr>
              <w:pStyle w:val="TableText0"/>
              <w:keepNext w:val="0"/>
              <w:widowControl w:val="0"/>
            </w:pPr>
            <w:r w:rsidRPr="00576299">
              <w:t>No increase in the maximum number of repeats may be authorised.</w:t>
            </w:r>
          </w:p>
          <w:p w14:paraId="1EE5BB72" w14:textId="41554ADE" w:rsidR="000B1BA0" w:rsidRPr="00576299" w:rsidRDefault="000B1BA0" w:rsidP="000B1BA0">
            <w:pPr>
              <w:pStyle w:val="TableText0"/>
              <w:keepNext w:val="0"/>
              <w:widowControl w:val="0"/>
            </w:pPr>
            <w:r w:rsidRPr="00576299">
              <w:t>Special Pricing Arrangements apply.</w:t>
            </w:r>
          </w:p>
        </w:tc>
      </w:tr>
      <w:tr w:rsidR="000B1BA0" w:rsidRPr="00576299" w14:paraId="75418573" w14:textId="77777777" w:rsidTr="00D533BD">
        <w:tblPrEx>
          <w:tblCellMar>
            <w:top w:w="15" w:type="dxa"/>
            <w:left w:w="15" w:type="dxa"/>
            <w:bottom w:w="15" w:type="dxa"/>
            <w:right w:w="15" w:type="dxa"/>
          </w:tblCellMar>
          <w:tblLook w:val="04A0" w:firstRow="1" w:lastRow="0" w:firstColumn="1" w:lastColumn="0" w:noHBand="0" w:noVBand="1"/>
        </w:tblPrEx>
        <w:tc>
          <w:tcPr>
            <w:tcW w:w="1628" w:type="dxa"/>
          </w:tcPr>
          <w:p w14:paraId="466A6C61" w14:textId="77777777" w:rsidR="000B1BA0" w:rsidRDefault="000B1BA0" w:rsidP="000B1BA0">
            <w:pPr>
              <w:pStyle w:val="TableText0"/>
              <w:keepNext w:val="0"/>
              <w:widowControl w:val="0"/>
            </w:pPr>
          </w:p>
        </w:tc>
        <w:tc>
          <w:tcPr>
            <w:tcW w:w="7394" w:type="dxa"/>
            <w:gridSpan w:val="5"/>
          </w:tcPr>
          <w:p w14:paraId="7BCCA777" w14:textId="77777777" w:rsidR="000B1BA0" w:rsidRPr="00576299" w:rsidRDefault="000B1BA0" w:rsidP="000B1BA0">
            <w:pPr>
              <w:pStyle w:val="TableText0"/>
              <w:keepNext w:val="0"/>
              <w:widowControl w:val="0"/>
              <w:rPr>
                <w:i/>
                <w:szCs w:val="20"/>
              </w:rPr>
            </w:pPr>
          </w:p>
        </w:tc>
      </w:tr>
      <w:tr w:rsidR="0092254A" w:rsidRPr="00576299" w14:paraId="2DEDF58D" w14:textId="77777777" w:rsidTr="000B1BA0">
        <w:tblPrEx>
          <w:tblCellMar>
            <w:top w:w="15" w:type="dxa"/>
            <w:left w:w="15" w:type="dxa"/>
            <w:bottom w:w="15" w:type="dxa"/>
            <w:right w:w="15" w:type="dxa"/>
          </w:tblCellMar>
          <w:tblLook w:val="04A0" w:firstRow="1" w:lastRow="0" w:firstColumn="1" w:lastColumn="0" w:noHBand="0" w:noVBand="1"/>
        </w:tblPrEx>
        <w:tc>
          <w:tcPr>
            <w:tcW w:w="1628" w:type="dxa"/>
          </w:tcPr>
          <w:p w14:paraId="14B0684F" w14:textId="77777777" w:rsidR="0092254A" w:rsidRPr="00576299" w:rsidRDefault="0092254A" w:rsidP="004E469C">
            <w:pPr>
              <w:pStyle w:val="TableText0"/>
              <w:keepNext w:val="0"/>
              <w:widowControl w:val="0"/>
            </w:pPr>
            <w:r w:rsidRPr="00576299">
              <w:t>Treatment Phase:</w:t>
            </w:r>
          </w:p>
        </w:tc>
        <w:tc>
          <w:tcPr>
            <w:tcW w:w="7394" w:type="dxa"/>
            <w:gridSpan w:val="5"/>
            <w:vAlign w:val="center"/>
            <w:hideMark/>
          </w:tcPr>
          <w:p w14:paraId="4E9E674E" w14:textId="77777777" w:rsidR="0092254A" w:rsidRPr="00576299" w:rsidRDefault="0092254A" w:rsidP="004E469C">
            <w:pPr>
              <w:pStyle w:val="TableText0"/>
              <w:keepNext w:val="0"/>
              <w:widowControl w:val="0"/>
            </w:pPr>
            <w:r w:rsidRPr="00576299">
              <w:t>Transitioning from non-PBS to PBS subsided treatment – ‘Grandfather’ treatment</w:t>
            </w:r>
          </w:p>
        </w:tc>
      </w:tr>
      <w:tr w:rsidR="0092254A" w:rsidRPr="00576299" w14:paraId="1CF961A6" w14:textId="77777777" w:rsidTr="000B1BA0">
        <w:tblPrEx>
          <w:tblCellMar>
            <w:top w:w="15" w:type="dxa"/>
            <w:left w:w="15" w:type="dxa"/>
            <w:bottom w:w="15" w:type="dxa"/>
            <w:right w:w="15" w:type="dxa"/>
          </w:tblCellMar>
          <w:tblLook w:val="04A0" w:firstRow="1" w:lastRow="0" w:firstColumn="1" w:lastColumn="0" w:noHBand="0" w:noVBand="1"/>
        </w:tblPrEx>
        <w:tc>
          <w:tcPr>
            <w:tcW w:w="1628" w:type="dxa"/>
          </w:tcPr>
          <w:p w14:paraId="1CF1F060" w14:textId="77777777" w:rsidR="0092254A" w:rsidRPr="00576299" w:rsidRDefault="0092254A" w:rsidP="004E469C">
            <w:pPr>
              <w:pStyle w:val="TableText0"/>
              <w:keepNext w:val="0"/>
              <w:widowControl w:val="0"/>
            </w:pPr>
            <w:r w:rsidRPr="00576299">
              <w:t>Clinical criteria:</w:t>
            </w:r>
          </w:p>
        </w:tc>
        <w:tc>
          <w:tcPr>
            <w:tcW w:w="7394" w:type="dxa"/>
            <w:gridSpan w:val="5"/>
            <w:vAlign w:val="center"/>
            <w:hideMark/>
          </w:tcPr>
          <w:p w14:paraId="089F57AA" w14:textId="77777777" w:rsidR="0092254A" w:rsidRPr="00576299" w:rsidRDefault="0092254A" w:rsidP="004E469C">
            <w:pPr>
              <w:pStyle w:val="TableText0"/>
              <w:keepNext w:val="0"/>
              <w:widowControl w:val="0"/>
            </w:pPr>
            <w:r w:rsidRPr="00576299">
              <w:t>Patient must have received non-PBS subsidised treatment with this drug for this condition prior to [PBS listing date],</w:t>
            </w:r>
          </w:p>
          <w:p w14:paraId="63F2BE7E" w14:textId="77777777" w:rsidR="0092254A" w:rsidRPr="00576299" w:rsidRDefault="0092254A" w:rsidP="004E469C">
            <w:pPr>
              <w:pStyle w:val="TableText0"/>
              <w:keepNext w:val="0"/>
              <w:widowControl w:val="0"/>
            </w:pPr>
            <w:r w:rsidRPr="00576299">
              <w:t>AND</w:t>
            </w:r>
          </w:p>
          <w:p w14:paraId="7282C847" w14:textId="77777777" w:rsidR="0092254A" w:rsidRPr="00576299" w:rsidRDefault="0092254A" w:rsidP="004E469C">
            <w:pPr>
              <w:pStyle w:val="TableText0"/>
              <w:keepNext w:val="0"/>
              <w:widowControl w:val="0"/>
            </w:pPr>
            <w:r w:rsidRPr="00576299">
              <w:t>Patient must have received a prior platinum-based chemotherapy regimen for this condition,</w:t>
            </w:r>
          </w:p>
          <w:p w14:paraId="1E4A4A33" w14:textId="77777777" w:rsidR="0092254A" w:rsidRPr="00576299" w:rsidRDefault="0092254A" w:rsidP="004E469C">
            <w:pPr>
              <w:pStyle w:val="TableText0"/>
              <w:keepNext w:val="0"/>
              <w:widowControl w:val="0"/>
            </w:pPr>
            <w:r w:rsidRPr="00576299">
              <w:t>AND</w:t>
            </w:r>
          </w:p>
          <w:p w14:paraId="230D4A7D" w14:textId="131D69ED" w:rsidR="0092254A" w:rsidRPr="00576299" w:rsidRDefault="0092254A" w:rsidP="004E469C">
            <w:pPr>
              <w:pStyle w:val="TableText0"/>
              <w:keepNext w:val="0"/>
              <w:widowControl w:val="0"/>
            </w:pPr>
            <w:r w:rsidRPr="00576299">
              <w:t xml:space="preserve">Patient must </w:t>
            </w:r>
            <w:r w:rsidRPr="00CD6F4E">
              <w:rPr>
                <w:i/>
                <w:iCs/>
              </w:rPr>
              <w:t>have</w:t>
            </w:r>
            <w:r w:rsidR="000B1BA0" w:rsidRPr="00CD6F4E">
              <w:rPr>
                <w:i/>
                <w:iCs/>
              </w:rPr>
              <w:t xml:space="preserve"> </w:t>
            </w:r>
            <w:r w:rsidR="00CD6F4E" w:rsidRPr="00CD6F4E">
              <w:rPr>
                <w:i/>
                <w:iCs/>
              </w:rPr>
              <w:t xml:space="preserve">had </w:t>
            </w:r>
            <w:r w:rsidRPr="00CD6F4E">
              <w:rPr>
                <w:i/>
                <w:iCs/>
              </w:rPr>
              <w:t xml:space="preserve">a </w:t>
            </w:r>
            <w:r w:rsidR="000B1BA0" w:rsidRPr="00CD6F4E">
              <w:rPr>
                <w:i/>
                <w:iCs/>
              </w:rPr>
              <w:t>WHO</w:t>
            </w:r>
            <w:r w:rsidRPr="00576299">
              <w:t xml:space="preserve"> performance status of 0 or 1 prior to initiation of non-PBS-subsidised treatment with this drug for this condition,</w:t>
            </w:r>
          </w:p>
          <w:p w14:paraId="4FEF6D95" w14:textId="77777777" w:rsidR="0092254A" w:rsidRPr="00576299" w:rsidRDefault="0092254A" w:rsidP="004E469C">
            <w:pPr>
              <w:pStyle w:val="TableText0"/>
              <w:keepNext w:val="0"/>
              <w:widowControl w:val="0"/>
            </w:pPr>
            <w:r w:rsidRPr="00576299">
              <w:t>AND</w:t>
            </w:r>
          </w:p>
          <w:p w14:paraId="2F4BD49B" w14:textId="63E8BF02" w:rsidR="0092254A" w:rsidRPr="00576299" w:rsidRDefault="004E4DCA" w:rsidP="004E469C">
            <w:pPr>
              <w:pStyle w:val="TableText0"/>
              <w:keepNext w:val="0"/>
              <w:widowControl w:val="0"/>
            </w:pPr>
            <w:r w:rsidRPr="00132821">
              <w:rPr>
                <w:strike/>
              </w:rPr>
              <w:t>Patient must have</w:t>
            </w:r>
            <w:r w:rsidRPr="00576299">
              <w:t xml:space="preserve"> </w:t>
            </w:r>
            <w:r>
              <w:rPr>
                <w:i/>
                <w:iCs/>
              </w:rPr>
              <w:t xml:space="preserve">The condition must be </w:t>
            </w:r>
            <w:r w:rsidRPr="00576299">
              <w:t xml:space="preserve">mismatch repair deficient (dMMR) </w:t>
            </w:r>
            <w:r w:rsidRPr="00132821">
              <w:rPr>
                <w:strike/>
              </w:rPr>
              <w:t>endometrial</w:t>
            </w:r>
            <w:r w:rsidRPr="00576299">
              <w:t xml:space="preserve"> </w:t>
            </w:r>
            <w:r>
              <w:rPr>
                <w:i/>
                <w:iCs/>
              </w:rPr>
              <w:t xml:space="preserve">type </w:t>
            </w:r>
            <w:r w:rsidRPr="00576299">
              <w:t>cancer, as determined by immunohistochemistry test,</w:t>
            </w:r>
          </w:p>
          <w:p w14:paraId="0B28123B" w14:textId="77777777" w:rsidR="0092254A" w:rsidRPr="00576299" w:rsidRDefault="0092254A" w:rsidP="004E469C">
            <w:pPr>
              <w:pStyle w:val="TableText0"/>
              <w:keepNext w:val="0"/>
              <w:widowControl w:val="0"/>
            </w:pPr>
            <w:r w:rsidRPr="00576299">
              <w:t>AND</w:t>
            </w:r>
          </w:p>
          <w:p w14:paraId="1B5025B2" w14:textId="0467C629" w:rsidR="0092254A" w:rsidRPr="00576299" w:rsidRDefault="0092254A" w:rsidP="004E469C">
            <w:pPr>
              <w:pStyle w:val="TableText0"/>
              <w:keepNext w:val="0"/>
              <w:widowControl w:val="0"/>
            </w:pPr>
            <w:r w:rsidRPr="00576299">
              <w:t xml:space="preserve">Patient must not have received prior PBS funded treatment with a programmed cell death-1 (PD-1) inhibitor or a programmed cell death ligand-1 (PD-L1) inhibitor for </w:t>
            </w:r>
            <w:r w:rsidRPr="004E4DCA">
              <w:rPr>
                <w:strike/>
              </w:rPr>
              <w:t>endometrial cance</w:t>
            </w:r>
            <w:r w:rsidR="004E4DCA">
              <w:rPr>
                <w:strike/>
              </w:rPr>
              <w:t>r</w:t>
            </w:r>
            <w:r w:rsidR="004E4DCA" w:rsidRPr="004E4DCA">
              <w:rPr>
                <w:i/>
                <w:iCs/>
              </w:rPr>
              <w:t xml:space="preserve"> </w:t>
            </w:r>
            <w:r w:rsidR="004E4DCA">
              <w:rPr>
                <w:i/>
                <w:iCs/>
              </w:rPr>
              <w:t>this condition</w:t>
            </w:r>
            <w:r w:rsidRPr="00576299">
              <w:t>,</w:t>
            </w:r>
          </w:p>
          <w:p w14:paraId="6CC2E358" w14:textId="77777777" w:rsidR="0092254A" w:rsidRPr="00576299" w:rsidRDefault="0092254A" w:rsidP="004E469C">
            <w:pPr>
              <w:pStyle w:val="TableText0"/>
              <w:keepNext w:val="0"/>
              <w:widowControl w:val="0"/>
            </w:pPr>
            <w:r w:rsidRPr="00576299">
              <w:t>AND</w:t>
            </w:r>
          </w:p>
          <w:p w14:paraId="0B98A454" w14:textId="3E2269C1" w:rsidR="0092254A" w:rsidRPr="00576299" w:rsidRDefault="0092254A" w:rsidP="004E469C">
            <w:pPr>
              <w:pStyle w:val="TableText0"/>
              <w:keepNext w:val="0"/>
              <w:widowControl w:val="0"/>
            </w:pPr>
            <w:r w:rsidRPr="00576299">
              <w:t xml:space="preserve">Patient must not have developed disease progression while receiving </w:t>
            </w:r>
            <w:r w:rsidR="00CD6F4E" w:rsidRPr="00CD6F4E">
              <w:rPr>
                <w:i/>
                <w:iCs/>
              </w:rPr>
              <w:t>non</w:t>
            </w:r>
            <w:r w:rsidR="00CD6F4E">
              <w:t>-</w:t>
            </w:r>
            <w:r w:rsidRPr="00576299">
              <w:t>PBS-subsidised treatment with this drug for this condition,</w:t>
            </w:r>
          </w:p>
          <w:p w14:paraId="79E4D9A4" w14:textId="77777777" w:rsidR="0092254A" w:rsidRPr="00576299" w:rsidRDefault="0092254A" w:rsidP="004E469C">
            <w:pPr>
              <w:pStyle w:val="TableText0"/>
              <w:keepNext w:val="0"/>
              <w:widowControl w:val="0"/>
            </w:pPr>
            <w:r w:rsidRPr="00576299">
              <w:t>AND</w:t>
            </w:r>
          </w:p>
          <w:p w14:paraId="5B7E7272" w14:textId="77777777" w:rsidR="0092254A" w:rsidRPr="00576299" w:rsidRDefault="0092254A" w:rsidP="004E469C">
            <w:pPr>
              <w:pStyle w:val="TableText0"/>
              <w:keepNext w:val="0"/>
              <w:widowControl w:val="0"/>
            </w:pPr>
            <w:r w:rsidRPr="00576299">
              <w:t>The treatment must not exceed a maximum total of 24 months in a lifetime for this condition.</w:t>
            </w:r>
          </w:p>
        </w:tc>
      </w:tr>
      <w:tr w:rsidR="0092254A" w:rsidRPr="00576299" w14:paraId="42BCD894" w14:textId="77777777" w:rsidTr="000B1BA0">
        <w:tblPrEx>
          <w:tblCellMar>
            <w:top w:w="15" w:type="dxa"/>
            <w:left w:w="15" w:type="dxa"/>
            <w:bottom w:w="15" w:type="dxa"/>
            <w:right w:w="15" w:type="dxa"/>
          </w:tblCellMar>
          <w:tblLook w:val="04A0" w:firstRow="1" w:lastRow="0" w:firstColumn="1" w:lastColumn="0" w:noHBand="0" w:noVBand="1"/>
        </w:tblPrEx>
        <w:tc>
          <w:tcPr>
            <w:tcW w:w="1628" w:type="dxa"/>
          </w:tcPr>
          <w:p w14:paraId="2623D5CD" w14:textId="77777777" w:rsidR="0092254A" w:rsidRPr="00576299" w:rsidRDefault="0092254A" w:rsidP="004E469C">
            <w:pPr>
              <w:pStyle w:val="TableText0"/>
              <w:keepNext w:val="0"/>
              <w:widowControl w:val="0"/>
            </w:pPr>
            <w:r w:rsidRPr="00576299">
              <w:t xml:space="preserve">Prescribing Instructions: </w:t>
            </w:r>
          </w:p>
        </w:tc>
        <w:tc>
          <w:tcPr>
            <w:tcW w:w="7394" w:type="dxa"/>
            <w:gridSpan w:val="5"/>
            <w:vAlign w:val="center"/>
          </w:tcPr>
          <w:p w14:paraId="47CDF1AA" w14:textId="77777777" w:rsidR="0092254A" w:rsidRPr="00576299" w:rsidRDefault="0092254A" w:rsidP="004E469C">
            <w:pPr>
              <w:pStyle w:val="TableText0"/>
              <w:keepNext w:val="0"/>
              <w:widowControl w:val="0"/>
            </w:pPr>
            <w:r w:rsidRPr="00576299">
              <w:t>A patient may qualify for PBS-subsidised treatment under this restriction once only. For continuing PBS-subsidised treatment, a Grandfathered patient must qualify under the Continuing treatment criteria.</w:t>
            </w:r>
          </w:p>
        </w:tc>
      </w:tr>
      <w:tr w:rsidR="0092254A" w:rsidRPr="00576299" w14:paraId="17276084" w14:textId="77777777" w:rsidTr="000B1BA0">
        <w:tblPrEx>
          <w:tblCellMar>
            <w:top w:w="15" w:type="dxa"/>
            <w:left w:w="15" w:type="dxa"/>
            <w:bottom w:w="15" w:type="dxa"/>
            <w:right w:w="15" w:type="dxa"/>
          </w:tblCellMar>
          <w:tblLook w:val="04A0" w:firstRow="1" w:lastRow="0" w:firstColumn="1" w:lastColumn="0" w:noHBand="0" w:noVBand="1"/>
        </w:tblPrEx>
        <w:trPr>
          <w:trHeight w:val="1900"/>
        </w:trPr>
        <w:tc>
          <w:tcPr>
            <w:tcW w:w="1628" w:type="dxa"/>
          </w:tcPr>
          <w:p w14:paraId="61CD8D17" w14:textId="77777777" w:rsidR="0092254A" w:rsidRPr="00576299" w:rsidRDefault="0092254A" w:rsidP="004E469C">
            <w:pPr>
              <w:pStyle w:val="TableText0"/>
              <w:keepNext w:val="0"/>
              <w:widowControl w:val="0"/>
            </w:pPr>
            <w:r w:rsidRPr="00576299">
              <w:t xml:space="preserve">Administrative Advice: </w:t>
            </w:r>
          </w:p>
        </w:tc>
        <w:tc>
          <w:tcPr>
            <w:tcW w:w="7394" w:type="dxa"/>
            <w:gridSpan w:val="5"/>
            <w:vAlign w:val="center"/>
            <w:hideMark/>
          </w:tcPr>
          <w:p w14:paraId="6AA9A5D9" w14:textId="77777777" w:rsidR="00CD6F4E" w:rsidRDefault="00CD6F4E" w:rsidP="00CD6F4E">
            <w:pPr>
              <w:pStyle w:val="TableText0"/>
              <w:keepNext w:val="0"/>
              <w:widowControl w:val="0"/>
              <w:rPr>
                <w:i/>
                <w:szCs w:val="20"/>
              </w:rPr>
            </w:pPr>
            <w:r w:rsidRPr="00576299">
              <w:rPr>
                <w:i/>
                <w:szCs w:val="20"/>
              </w:rPr>
              <w:t>Applications for authorisation under this restriction may be made in real time using the Online PBS Authorities system (see www.servicesaustralia.gov.au/HPOS) or by telephone by contacting Services Australia on 1800 888 333</w:t>
            </w:r>
          </w:p>
          <w:p w14:paraId="25AA97B4" w14:textId="77777777" w:rsidR="0092254A" w:rsidRPr="00576299" w:rsidRDefault="0092254A" w:rsidP="004E469C">
            <w:pPr>
              <w:pStyle w:val="TableText0"/>
              <w:keepNext w:val="0"/>
              <w:widowControl w:val="0"/>
            </w:pPr>
            <w:r w:rsidRPr="00576299">
              <w:t>This grandfather restriction will cease to operate from 12 months after the date specified in the clinical criteria.</w:t>
            </w:r>
          </w:p>
          <w:p w14:paraId="0D4B3621" w14:textId="09AFAF4A" w:rsidR="0092254A" w:rsidRPr="004E4DCA" w:rsidRDefault="0092254A" w:rsidP="004E469C">
            <w:pPr>
              <w:pStyle w:val="TableText0"/>
              <w:keepNext w:val="0"/>
              <w:widowControl w:val="0"/>
              <w:rPr>
                <w:strike/>
              </w:rPr>
            </w:pPr>
            <w:r w:rsidRPr="004E4DCA">
              <w:rPr>
                <w:strike/>
              </w:rPr>
              <w:t>In the first few months after start of immunotherapy, some patients can have a transient tumour flare with subsequent disease response. When progression is suspected, this should be confirmed through a confirmatory scan, taken at least 4 weeks later.</w:t>
            </w:r>
          </w:p>
          <w:p w14:paraId="33E46740" w14:textId="5C59D305" w:rsidR="000B1BA0" w:rsidRPr="00576299" w:rsidRDefault="000B1BA0" w:rsidP="004E469C">
            <w:pPr>
              <w:pStyle w:val="TableText0"/>
              <w:keepNext w:val="0"/>
              <w:widowControl w:val="0"/>
            </w:pPr>
            <w:r w:rsidRPr="00576299">
              <w:rPr>
                <w:i/>
                <w:iCs/>
                <w:szCs w:val="20"/>
              </w:rPr>
              <w:t>No increase in the maximum quantity or number of units may be authorised</w:t>
            </w:r>
          </w:p>
          <w:p w14:paraId="5091F6A9" w14:textId="77777777" w:rsidR="0092254A" w:rsidRPr="00576299" w:rsidRDefault="0092254A" w:rsidP="004E469C">
            <w:pPr>
              <w:pStyle w:val="TableText0"/>
              <w:keepNext w:val="0"/>
              <w:widowControl w:val="0"/>
            </w:pPr>
            <w:r w:rsidRPr="00576299">
              <w:t>No increase in the maximum number of repeats may be authorised.</w:t>
            </w:r>
          </w:p>
          <w:p w14:paraId="31B21048" w14:textId="77777777" w:rsidR="0092254A" w:rsidRPr="00576299" w:rsidRDefault="0092254A" w:rsidP="004E469C">
            <w:pPr>
              <w:pStyle w:val="TableText0"/>
              <w:keepNext w:val="0"/>
              <w:widowControl w:val="0"/>
            </w:pPr>
            <w:r w:rsidRPr="00576299">
              <w:t>Special Pricing Arrangements apply.</w:t>
            </w:r>
          </w:p>
        </w:tc>
      </w:tr>
    </w:tbl>
    <w:p w14:paraId="61D83C3C" w14:textId="77777777" w:rsidR="00153F7B" w:rsidRPr="00576299" w:rsidRDefault="00153F7B" w:rsidP="0092254A"/>
    <w:p w14:paraId="523D42DC" w14:textId="34CFB1C4" w:rsidR="0092254A" w:rsidRPr="00576299" w:rsidRDefault="0092254A" w:rsidP="007B6E0E">
      <w:pPr>
        <w:pStyle w:val="3-BodyText"/>
        <w:rPr>
          <w:i/>
          <w:iCs/>
        </w:rPr>
      </w:pPr>
      <w:r w:rsidRPr="00576299">
        <w:t>The effective price</w:t>
      </w:r>
      <w:r w:rsidR="000F3242" w:rsidRPr="00576299">
        <w:t xml:space="preserve"> </w:t>
      </w:r>
      <w:r w:rsidR="00C47C99">
        <w:t xml:space="preserve">requested in the resubmission </w:t>
      </w:r>
      <w:r w:rsidRPr="00576299">
        <w:t xml:space="preserve">was </w:t>
      </w:r>
      <w:r w:rsidR="00833009" w:rsidRPr="00833009">
        <w:rPr>
          <w:color w:val="000000"/>
          <w:w w:val="58"/>
          <w:shd w:val="solid" w:color="000000" w:fill="000000"/>
          <w:fitText w:val="582" w:id="-1304167928"/>
          <w14:textFill>
            <w14:solidFill>
              <w14:srgbClr w14:val="000000">
                <w14:alpha w14:val="100000"/>
              </w14:srgbClr>
            </w14:solidFill>
          </w14:textFill>
        </w:rPr>
        <w:t>||||  |||</w:t>
      </w:r>
      <w:r w:rsidR="00833009" w:rsidRPr="00833009">
        <w:rPr>
          <w:color w:val="000000"/>
          <w:spacing w:val="7"/>
          <w:w w:val="58"/>
          <w:shd w:val="solid" w:color="000000" w:fill="000000"/>
          <w:fitText w:val="582" w:id="-1304167928"/>
          <w14:textFill>
            <w14:solidFill>
              <w14:srgbClr w14:val="000000">
                <w14:alpha w14:val="100000"/>
              </w14:srgbClr>
            </w14:solidFill>
          </w14:textFill>
        </w:rPr>
        <w:t>|</w:t>
      </w:r>
      <w:r w:rsidRPr="00B16C3D">
        <w:t xml:space="preserve">% </w:t>
      </w:r>
      <w:r w:rsidRPr="00576299">
        <w:t xml:space="preserve">lower </w:t>
      </w:r>
      <w:r w:rsidR="00C47C99">
        <w:t>(</w:t>
      </w:r>
      <w:r w:rsidR="00C47C99" w:rsidRPr="00576299">
        <w:t>per 500 mg vial</w:t>
      </w:r>
      <w:r w:rsidR="00C47C99">
        <w:t>)</w:t>
      </w:r>
      <w:r w:rsidR="00C47C99" w:rsidRPr="00576299">
        <w:t xml:space="preserve"> </w:t>
      </w:r>
      <w:r w:rsidRPr="00576299">
        <w:t>than in the previous submission</w:t>
      </w:r>
      <w:r w:rsidR="006F54B8" w:rsidRPr="00576299">
        <w:t xml:space="preserve"> (dispensed price</w:t>
      </w:r>
      <w:r w:rsidR="000F3242" w:rsidRPr="00576299">
        <w:t>s were</w:t>
      </w:r>
      <w:r w:rsidR="006F54B8" w:rsidRPr="00576299">
        <w:t xml:space="preserve"> $</w:t>
      </w:r>
      <w:r w:rsidR="00833009" w:rsidRPr="00CD09E9">
        <w:rPr>
          <w:color w:val="000000"/>
          <w:w w:val="15"/>
          <w:shd w:val="solid" w:color="000000" w:fill="000000"/>
          <w:fitText w:val="-20" w:id="-1304167927"/>
          <w14:textFill>
            <w14:solidFill>
              <w14:srgbClr w14:val="000000">
                <w14:alpha w14:val="100000"/>
              </w14:srgbClr>
            </w14:solidFill>
          </w14:textFill>
        </w:rPr>
        <w:t xml:space="preserve">|  </w:t>
      </w:r>
      <w:r w:rsidR="00833009" w:rsidRPr="00CD09E9">
        <w:rPr>
          <w:color w:val="000000"/>
          <w:spacing w:val="-69"/>
          <w:w w:val="15"/>
          <w:shd w:val="solid" w:color="000000" w:fill="000000"/>
          <w:fitText w:val="-20" w:id="-1304167927"/>
          <w14:textFill>
            <w14:solidFill>
              <w14:srgbClr w14:val="000000">
                <w14:alpha w14:val="100000"/>
              </w14:srgbClr>
            </w14:solidFill>
          </w14:textFill>
        </w:rPr>
        <w:t>|</w:t>
      </w:r>
      <w:r w:rsidR="006F54B8" w:rsidRPr="00576299">
        <w:t xml:space="preserve"> (public) and $</w:t>
      </w:r>
      <w:r w:rsidR="00833009" w:rsidRPr="00CD09E9">
        <w:rPr>
          <w:color w:val="000000"/>
          <w:w w:val="15"/>
          <w:shd w:val="solid" w:color="000000" w:fill="000000"/>
          <w:fitText w:val="-20" w:id="-1304167926"/>
          <w14:textFill>
            <w14:solidFill>
              <w14:srgbClr w14:val="000000">
                <w14:alpha w14:val="100000"/>
              </w14:srgbClr>
            </w14:solidFill>
          </w14:textFill>
        </w:rPr>
        <w:t xml:space="preserve">|  </w:t>
      </w:r>
      <w:r w:rsidR="00833009" w:rsidRPr="00CD09E9">
        <w:rPr>
          <w:color w:val="000000"/>
          <w:spacing w:val="-69"/>
          <w:w w:val="15"/>
          <w:shd w:val="solid" w:color="000000" w:fill="000000"/>
          <w:fitText w:val="-20" w:id="-1304167926"/>
          <w14:textFill>
            <w14:solidFill>
              <w14:srgbClr w14:val="000000">
                <w14:alpha w14:val="100000"/>
              </w14:srgbClr>
            </w14:solidFill>
          </w14:textFill>
        </w:rPr>
        <w:t>|</w:t>
      </w:r>
      <w:r w:rsidR="006F54B8" w:rsidRPr="00576299">
        <w:t xml:space="preserve"> (private)</w:t>
      </w:r>
      <w:r w:rsidR="00F1115A" w:rsidRPr="00576299">
        <w:t xml:space="preserve"> in previous submission</w:t>
      </w:r>
      <w:r w:rsidR="006F54B8" w:rsidRPr="00576299">
        <w:t>)</w:t>
      </w:r>
      <w:r w:rsidRPr="00576299">
        <w:t>.</w:t>
      </w:r>
      <w:r w:rsidR="007577B4" w:rsidRPr="00576299">
        <w:t xml:space="preserve"> The </w:t>
      </w:r>
      <w:r w:rsidR="00B90436" w:rsidRPr="00576299">
        <w:t xml:space="preserve">requested </w:t>
      </w:r>
      <w:r w:rsidR="00890136" w:rsidRPr="00576299">
        <w:t xml:space="preserve">approved ex-manufacturer price (AEMP) </w:t>
      </w:r>
      <w:r w:rsidR="00CD6F4E">
        <w:t>of $</w:t>
      </w:r>
      <w:r w:rsidR="00833009" w:rsidRPr="00CD09E9">
        <w:rPr>
          <w:color w:val="000000"/>
          <w:w w:val="15"/>
          <w:shd w:val="solid" w:color="000000" w:fill="000000"/>
          <w:fitText w:val="-20" w:id="-1304167925"/>
          <w14:textFill>
            <w14:solidFill>
              <w14:srgbClr w14:val="000000">
                <w14:alpha w14:val="100000"/>
              </w14:srgbClr>
            </w14:solidFill>
          </w14:textFill>
        </w:rPr>
        <w:t xml:space="preserve">|  </w:t>
      </w:r>
      <w:r w:rsidR="00833009" w:rsidRPr="00CD09E9">
        <w:rPr>
          <w:color w:val="000000"/>
          <w:spacing w:val="-69"/>
          <w:w w:val="15"/>
          <w:shd w:val="solid" w:color="000000" w:fill="000000"/>
          <w:fitText w:val="-20" w:id="-1304167925"/>
          <w14:textFill>
            <w14:solidFill>
              <w14:srgbClr w14:val="000000">
                <w14:alpha w14:val="100000"/>
              </w14:srgbClr>
            </w14:solidFill>
          </w14:textFill>
        </w:rPr>
        <w:t>|</w:t>
      </w:r>
      <w:r w:rsidR="00CD6F4E">
        <w:t xml:space="preserve"> </w:t>
      </w:r>
      <w:r w:rsidR="007577B4" w:rsidRPr="00576299">
        <w:t>was</w:t>
      </w:r>
      <w:r w:rsidR="00C75DFA" w:rsidRPr="00576299">
        <w:t xml:space="preserve"> </w:t>
      </w:r>
      <w:r w:rsidR="00833009" w:rsidRPr="00CD09E9">
        <w:rPr>
          <w:color w:val="000000"/>
          <w:w w:val="15"/>
          <w:shd w:val="solid" w:color="000000" w:fill="000000"/>
          <w:fitText w:val="-20" w:id="-1304167924"/>
          <w14:textFill>
            <w14:solidFill>
              <w14:srgbClr w14:val="000000">
                <w14:alpha w14:val="100000"/>
              </w14:srgbClr>
            </w14:solidFill>
          </w14:textFill>
        </w:rPr>
        <w:t xml:space="preserve">|  </w:t>
      </w:r>
      <w:r w:rsidR="00833009" w:rsidRPr="00CD09E9">
        <w:rPr>
          <w:color w:val="000000"/>
          <w:spacing w:val="-69"/>
          <w:w w:val="15"/>
          <w:shd w:val="solid" w:color="000000" w:fill="000000"/>
          <w:fitText w:val="-20" w:id="-1304167924"/>
          <w14:textFill>
            <w14:solidFill>
              <w14:srgbClr w14:val="000000">
                <w14:alpha w14:val="100000"/>
              </w14:srgbClr>
            </w14:solidFill>
          </w14:textFill>
        </w:rPr>
        <w:t>|</w:t>
      </w:r>
      <w:r w:rsidR="00C75DFA" w:rsidRPr="00576299">
        <w:t>%</w:t>
      </w:r>
      <w:r w:rsidR="007577B4" w:rsidRPr="00576299">
        <w:t xml:space="preserve"> lower than in the </w:t>
      </w:r>
      <w:r w:rsidR="00B90436" w:rsidRPr="00576299">
        <w:t xml:space="preserve">pre-PBAC response for the </w:t>
      </w:r>
      <w:r w:rsidR="007577B4" w:rsidRPr="00576299">
        <w:t>previous submission</w:t>
      </w:r>
      <w:r w:rsidR="002D73C2" w:rsidRPr="00576299">
        <w:t xml:space="preserve"> ($</w:t>
      </w:r>
      <w:r w:rsidR="00833009" w:rsidRPr="00CD09E9">
        <w:rPr>
          <w:color w:val="000000"/>
          <w:w w:val="15"/>
          <w:shd w:val="solid" w:color="000000" w:fill="000000"/>
          <w:fitText w:val="-20" w:id="-1304167923"/>
          <w14:textFill>
            <w14:solidFill>
              <w14:srgbClr w14:val="000000">
                <w14:alpha w14:val="100000"/>
              </w14:srgbClr>
            </w14:solidFill>
          </w14:textFill>
        </w:rPr>
        <w:t xml:space="preserve">|  </w:t>
      </w:r>
      <w:r w:rsidR="00833009" w:rsidRPr="00CD09E9">
        <w:rPr>
          <w:color w:val="000000"/>
          <w:spacing w:val="-69"/>
          <w:w w:val="15"/>
          <w:shd w:val="solid" w:color="000000" w:fill="000000"/>
          <w:fitText w:val="-20" w:id="-1304167923"/>
          <w14:textFill>
            <w14:solidFill>
              <w14:srgbClr w14:val="000000">
                <w14:alpha w14:val="100000"/>
              </w14:srgbClr>
            </w14:solidFill>
          </w14:textFill>
        </w:rPr>
        <w:t>|</w:t>
      </w:r>
      <w:r w:rsidR="000F3242" w:rsidRPr="00576299">
        <w:t>)</w:t>
      </w:r>
      <w:r w:rsidR="007577B4" w:rsidRPr="00576299">
        <w:t>.</w:t>
      </w:r>
      <w:r w:rsidR="00CD6F4E">
        <w:t xml:space="preserve"> The pre-PBAC response further reduced the proposed price to $</w:t>
      </w:r>
      <w:r w:rsidR="00833009" w:rsidRPr="00CD09E9">
        <w:rPr>
          <w:color w:val="000000"/>
          <w:w w:val="15"/>
          <w:shd w:val="solid" w:color="000000" w:fill="000000"/>
          <w:fitText w:val="-20" w:id="-1304167922"/>
          <w14:textFill>
            <w14:solidFill>
              <w14:srgbClr w14:val="000000">
                <w14:alpha w14:val="100000"/>
              </w14:srgbClr>
            </w14:solidFill>
          </w14:textFill>
        </w:rPr>
        <w:t xml:space="preserve">|  </w:t>
      </w:r>
      <w:r w:rsidR="00833009" w:rsidRPr="00CD09E9">
        <w:rPr>
          <w:color w:val="000000"/>
          <w:spacing w:val="-69"/>
          <w:w w:val="15"/>
          <w:shd w:val="solid" w:color="000000" w:fill="000000"/>
          <w:fitText w:val="-20" w:id="-1304167922"/>
          <w14:textFill>
            <w14:solidFill>
              <w14:srgbClr w14:val="000000">
                <w14:alpha w14:val="100000"/>
              </w14:srgbClr>
            </w14:solidFill>
          </w14:textFill>
        </w:rPr>
        <w:t>|</w:t>
      </w:r>
      <w:r w:rsidR="00CD6F4E">
        <w:t xml:space="preserve"> AEMP per 500 mg vial. The sponsor stated this was </w:t>
      </w:r>
      <w:r w:rsidR="00CD6F4E" w:rsidRPr="00D22401">
        <w:rPr>
          <w:lang w:bidi="en-US"/>
        </w:rPr>
        <w:t>to address any remaining uncertainty associated with reliance on single-arm study data</w:t>
      </w:r>
      <w:r w:rsidR="00CD6F4E">
        <w:rPr>
          <w:lang w:bidi="en-US"/>
        </w:rPr>
        <w:t>.</w:t>
      </w:r>
    </w:p>
    <w:p w14:paraId="133ADEF2" w14:textId="783BEDED" w:rsidR="0092254A" w:rsidRPr="00576299" w:rsidRDefault="0092254A" w:rsidP="0092254A">
      <w:pPr>
        <w:pStyle w:val="3-BodyText"/>
      </w:pPr>
      <w:r w:rsidRPr="00576299">
        <w:t xml:space="preserve">In the previous submission, the PBAC considered that the requested listing and restrictions were generally appropriate and should also specify that the patient has </w:t>
      </w:r>
      <w:r w:rsidRPr="00576299">
        <w:lastRenderedPageBreak/>
        <w:t xml:space="preserve">not received prior PD-(L)1 therapy for this condition (paragraph 7.2, dostarlimab </w:t>
      </w:r>
      <w:r w:rsidR="000C6CB8" w:rsidRPr="00576299">
        <w:t>Public Summary Document</w:t>
      </w:r>
      <w:r w:rsidR="00106B44" w:rsidRPr="00576299">
        <w:t xml:space="preserve"> [PSD]</w:t>
      </w:r>
      <w:r w:rsidRPr="00576299">
        <w:t xml:space="preserve">, March 2022 PBAC meeting). The resubmission incorporated all wording changes suggested by the Secretariat (paragraph 3.1, dostarlimab </w:t>
      </w:r>
      <w:r w:rsidR="00106B44" w:rsidRPr="00576299">
        <w:t>PSD</w:t>
      </w:r>
      <w:r w:rsidRPr="00576299">
        <w:t>, March 2022 PBAC meeting).</w:t>
      </w:r>
    </w:p>
    <w:p w14:paraId="61784DA0" w14:textId="77777777" w:rsidR="00F80D2C" w:rsidRPr="00576299" w:rsidRDefault="00F80D2C" w:rsidP="00F80D2C">
      <w:pPr>
        <w:pStyle w:val="3-BodyText"/>
      </w:pPr>
      <w:r w:rsidRPr="00576299">
        <w:t xml:space="preserve">Unlike the provisional TGA indication, the requested restriction did not specify that: </w:t>
      </w:r>
    </w:p>
    <w:p w14:paraId="5F46D08F" w14:textId="77777777" w:rsidR="00F80D2C" w:rsidRPr="00576299" w:rsidRDefault="00F80D2C" w:rsidP="002029E5">
      <w:pPr>
        <w:pStyle w:val="3-BodyText"/>
        <w:numPr>
          <w:ilvl w:val="0"/>
          <w:numId w:val="8"/>
        </w:numPr>
        <w:ind w:left="993" w:hanging="284"/>
      </w:pPr>
      <w:r w:rsidRPr="00576299">
        <w:t xml:space="preserve">dostarlimab must be used as monotherapy; or </w:t>
      </w:r>
    </w:p>
    <w:p w14:paraId="4FC4DD76" w14:textId="2FB9D43C" w:rsidR="00323C4A" w:rsidRPr="00576299" w:rsidRDefault="00F80D2C" w:rsidP="002029E5">
      <w:pPr>
        <w:pStyle w:val="3-BodyText"/>
        <w:numPr>
          <w:ilvl w:val="0"/>
          <w:numId w:val="8"/>
        </w:numPr>
        <w:ind w:left="993" w:hanging="284"/>
        <w:rPr>
          <w:i/>
          <w:iCs/>
        </w:rPr>
      </w:pPr>
      <w:r w:rsidRPr="00576299">
        <w:t>the patient’s disease must have progressed on or following treatment with a platinum-containing regimen</w:t>
      </w:r>
      <w:r w:rsidR="00545B55" w:rsidRPr="00576299">
        <w:t xml:space="preserve">, simply that patients must have </w:t>
      </w:r>
      <w:r w:rsidR="00590BAB" w:rsidRPr="00576299">
        <w:t>received a prior platinum-based chemotherapy regimen for this condition.</w:t>
      </w:r>
      <w:r w:rsidRPr="00576299">
        <w:t xml:space="preserve"> </w:t>
      </w:r>
    </w:p>
    <w:p w14:paraId="3ABBEB32" w14:textId="67838245" w:rsidR="00F80D2C" w:rsidRPr="004654C2" w:rsidRDefault="00C93FA2" w:rsidP="00323C4A">
      <w:pPr>
        <w:pStyle w:val="3-BodyText"/>
        <w:numPr>
          <w:ilvl w:val="0"/>
          <w:numId w:val="0"/>
        </w:numPr>
        <w:ind w:left="709"/>
      </w:pPr>
      <w:r w:rsidRPr="004654C2">
        <w:t xml:space="preserve">While the latter was consistent with the PBAC’s advice for pembrolizumab + lenvatinib restriction (paragraph 3.4, pembrolizumab </w:t>
      </w:r>
      <w:r w:rsidR="00106B44" w:rsidRPr="004654C2">
        <w:t>PSD</w:t>
      </w:r>
      <w:r w:rsidRPr="004654C2">
        <w:t>, March 2022 PBAC Meeting), t</w:t>
      </w:r>
      <w:r w:rsidR="005E7AFF" w:rsidRPr="004654C2">
        <w:t>he</w:t>
      </w:r>
      <w:r w:rsidR="00FB7D9F" w:rsidRPr="004654C2">
        <w:t xml:space="preserve"> ESC</w:t>
      </w:r>
      <w:r w:rsidR="005E7AFF" w:rsidRPr="004654C2">
        <w:t xml:space="preserve"> </w:t>
      </w:r>
      <w:r w:rsidR="005705D5" w:rsidRPr="004654C2">
        <w:t>noted that the</w:t>
      </w:r>
      <w:r w:rsidRPr="004654C2">
        <w:t xml:space="preserve"> proposed</w:t>
      </w:r>
      <w:r w:rsidR="005705D5" w:rsidRPr="004654C2">
        <w:t xml:space="preserve"> restriction was broader than the TGA indication and </w:t>
      </w:r>
      <w:r w:rsidR="005E7AFF" w:rsidRPr="004654C2">
        <w:t xml:space="preserve">considered that </w:t>
      </w:r>
      <w:r w:rsidR="00FB7D9F" w:rsidRPr="004654C2">
        <w:t>this</w:t>
      </w:r>
      <w:r w:rsidR="005705D5" w:rsidRPr="004654C2">
        <w:t xml:space="preserve"> may lead to use in a patient population who</w:t>
      </w:r>
      <w:r w:rsidR="00FB7D9F" w:rsidRPr="004654C2">
        <w:t xml:space="preserve">se disease has </w:t>
      </w:r>
      <w:r w:rsidR="005705D5" w:rsidRPr="004654C2">
        <w:t xml:space="preserve">not progressed </w:t>
      </w:r>
      <w:r w:rsidR="00FB7D9F" w:rsidRPr="004654C2">
        <w:t>on or following treatment with a platinum-containing regimen, and these patients were not represented in the GARNET trial.</w:t>
      </w:r>
      <w:r w:rsidR="00323C4A" w:rsidRPr="004654C2">
        <w:t xml:space="preserve"> </w:t>
      </w:r>
    </w:p>
    <w:p w14:paraId="563AB08F" w14:textId="0BA5E56D" w:rsidR="00F80D2C" w:rsidRDefault="00F80D2C" w:rsidP="00F80D2C">
      <w:pPr>
        <w:pStyle w:val="3-BodyText"/>
      </w:pPr>
      <w:r w:rsidRPr="00576299">
        <w:t>The requested restriction specified a maximum treatment duration of 24 months</w:t>
      </w:r>
      <w:r w:rsidR="003936AE" w:rsidRPr="00576299">
        <w:t xml:space="preserve">, which </w:t>
      </w:r>
      <w:r w:rsidR="00F1115A" w:rsidRPr="00576299">
        <w:t xml:space="preserve">was </w:t>
      </w:r>
      <w:r w:rsidR="003936AE" w:rsidRPr="00576299">
        <w:t xml:space="preserve">consistent with the </w:t>
      </w:r>
      <w:r w:rsidR="001B27A1" w:rsidRPr="00576299">
        <w:t xml:space="preserve">recommended </w:t>
      </w:r>
      <w:r w:rsidR="003936AE" w:rsidRPr="00576299">
        <w:t xml:space="preserve">listing for </w:t>
      </w:r>
      <w:r w:rsidR="001B27A1" w:rsidRPr="00576299">
        <w:t>pembrolizumab</w:t>
      </w:r>
      <w:r w:rsidR="0030641F" w:rsidRPr="00576299">
        <w:t xml:space="preserve"> (in combination with lenvatinib) for the treatment of EC</w:t>
      </w:r>
      <w:r w:rsidRPr="00576299">
        <w:t xml:space="preserve">. </w:t>
      </w:r>
      <w:r w:rsidR="008F64EA" w:rsidRPr="00576299">
        <w:t xml:space="preserve">In GARNET Cohort A1, patients were treated for up to two years but treatment could continue beyond two years if the treating physician and the sponsor agreed that the patient would continue to benefit from the treatment. </w:t>
      </w:r>
    </w:p>
    <w:p w14:paraId="765F3D38" w14:textId="038FA57F" w:rsidR="004E4DCA" w:rsidRPr="00576299" w:rsidRDefault="004E4DCA" w:rsidP="00F80D2C">
      <w:pPr>
        <w:pStyle w:val="3-BodyText"/>
      </w:pPr>
      <w:r>
        <w:t>The Secretariat noted that the re</w:t>
      </w:r>
      <w:r w:rsidRPr="004E4DCA">
        <w:t xml:space="preserve">striction </w:t>
      </w:r>
      <w:r>
        <w:t xml:space="preserve">could be simplified by combining the </w:t>
      </w:r>
      <w:r w:rsidRPr="004E4DCA">
        <w:t>initial, continuing and grandfather treatment</w:t>
      </w:r>
      <w:r>
        <w:t xml:space="preserve"> phases</w:t>
      </w:r>
      <w:r w:rsidRPr="004E4DCA">
        <w:t xml:space="preserve"> in</w:t>
      </w:r>
      <w:r>
        <w:t>to a single</w:t>
      </w:r>
      <w:r w:rsidRPr="004E4DCA">
        <w:t xml:space="preserve"> treatment phase.</w:t>
      </w:r>
    </w:p>
    <w:p w14:paraId="765CB1A1" w14:textId="3B7BC209" w:rsidR="004654C2" w:rsidRDefault="0092254A" w:rsidP="004654C2">
      <w:pPr>
        <w:pStyle w:val="3-BodyText"/>
      </w:pPr>
      <w:r w:rsidRPr="00576299">
        <w:t xml:space="preserve">The resubmission stated that a patient access program for dostarlimab </w:t>
      </w:r>
      <w:r w:rsidR="00FC25B7">
        <w:t>wa</w:t>
      </w:r>
      <w:r w:rsidRPr="00576299">
        <w:t xml:space="preserve">s </w:t>
      </w:r>
      <w:r w:rsidR="000863E4" w:rsidRPr="00576299">
        <w:t xml:space="preserve">anticipated </w:t>
      </w:r>
      <w:r w:rsidRPr="00576299">
        <w:t xml:space="preserve">to commence in </w:t>
      </w:r>
      <w:r w:rsidR="00833009" w:rsidRPr="00CD09E9">
        <w:rPr>
          <w:color w:val="000000"/>
          <w:w w:val="15"/>
          <w:shd w:val="solid" w:color="000000" w:fill="000000"/>
          <w:fitText w:val="-20" w:id="-1304167921"/>
          <w14:textFill>
            <w14:solidFill>
              <w14:srgbClr w14:val="000000">
                <w14:alpha w14:val="100000"/>
              </w14:srgbClr>
            </w14:solidFill>
          </w14:textFill>
        </w:rPr>
        <w:t xml:space="preserve">|  </w:t>
      </w:r>
      <w:r w:rsidR="00833009" w:rsidRPr="00CD09E9">
        <w:rPr>
          <w:color w:val="000000"/>
          <w:spacing w:val="-69"/>
          <w:w w:val="15"/>
          <w:shd w:val="solid" w:color="000000" w:fill="000000"/>
          <w:fitText w:val="-20" w:id="-1304167921"/>
          <w14:textFill>
            <w14:solidFill>
              <w14:srgbClr w14:val="000000">
                <w14:alpha w14:val="100000"/>
              </w14:srgbClr>
            </w14:solidFill>
          </w14:textFill>
        </w:rPr>
        <w:t>|</w:t>
      </w:r>
      <w:r w:rsidRPr="00576299">
        <w:t xml:space="preserve"> with eligibility to be aligned with the </w:t>
      </w:r>
      <w:r w:rsidR="000863E4" w:rsidRPr="00576299">
        <w:t xml:space="preserve">proposed </w:t>
      </w:r>
      <w:r w:rsidRPr="00576299">
        <w:t xml:space="preserve">PBS restriction. A </w:t>
      </w:r>
      <w:r w:rsidR="0036333E" w:rsidRPr="00576299">
        <w:t>g</w:t>
      </w:r>
      <w:r w:rsidRPr="00576299">
        <w:t xml:space="preserve">randfather </w:t>
      </w:r>
      <w:r w:rsidR="001F6082" w:rsidRPr="00576299">
        <w:t>listing</w:t>
      </w:r>
      <w:r w:rsidRPr="00576299">
        <w:t xml:space="preserve"> was requested</w:t>
      </w:r>
      <w:r w:rsidR="008E7C75" w:rsidRPr="00576299">
        <w:t xml:space="preserve">, and the resubmission estimated that </w:t>
      </w:r>
      <w:r w:rsidR="00D26E84">
        <w:t>&lt; 500</w:t>
      </w:r>
      <w:r w:rsidRPr="00576299">
        <w:t xml:space="preserve"> patients</w:t>
      </w:r>
      <w:r w:rsidR="007F066B" w:rsidRPr="00576299">
        <w:t xml:space="preserve"> </w:t>
      </w:r>
      <w:r w:rsidR="008E7C75" w:rsidRPr="00576299">
        <w:t xml:space="preserve">would move from </w:t>
      </w:r>
      <w:r w:rsidRPr="00576299">
        <w:t>the access program to PBS-subsidised treatment</w:t>
      </w:r>
      <w:r w:rsidR="008E7C75" w:rsidRPr="00576299">
        <w:t>.</w:t>
      </w:r>
      <w:r w:rsidRPr="00576299">
        <w:t xml:space="preserve"> </w:t>
      </w:r>
    </w:p>
    <w:p w14:paraId="54C2A29C" w14:textId="5D176B4B" w:rsidR="004654C2" w:rsidRPr="004654C2" w:rsidRDefault="004654C2" w:rsidP="004654C2">
      <w:pPr>
        <w:pStyle w:val="3-BodyText"/>
        <w:numPr>
          <w:ilvl w:val="0"/>
          <w:numId w:val="0"/>
        </w:numPr>
      </w:pPr>
      <w:r w:rsidRPr="004654C2">
        <w:rPr>
          <w:i/>
        </w:rPr>
        <w:t>For more detail on PBAC’s view, see section 7 PBAC outcome.</w:t>
      </w:r>
    </w:p>
    <w:p w14:paraId="078CC252" w14:textId="77777777" w:rsidR="0092254A" w:rsidRPr="00576299" w:rsidDel="00195452" w:rsidRDefault="0092254A" w:rsidP="0092254A">
      <w:pPr>
        <w:pStyle w:val="2-SectionHeading"/>
        <w:numPr>
          <w:ilvl w:val="0"/>
          <w:numId w:val="1"/>
        </w:numPr>
      </w:pPr>
      <w:bookmarkStart w:id="14" w:name="_Toc114052520"/>
      <w:r w:rsidRPr="00576299" w:rsidDel="00195452">
        <w:t>Population and disease</w:t>
      </w:r>
      <w:bookmarkEnd w:id="14"/>
    </w:p>
    <w:p w14:paraId="3E077C5C" w14:textId="2EEC506D" w:rsidR="0092254A" w:rsidRPr="00576299" w:rsidRDefault="0092254A" w:rsidP="0092254A">
      <w:pPr>
        <w:pStyle w:val="3-BodyText"/>
      </w:pPr>
      <w:r w:rsidRPr="00576299">
        <w:t xml:space="preserve">EC is the most common type of cancer of the uterus and accounts for about 95% of all cases of uterine cancer, the most common gynaecological cancer diagnosed in Australian women (AIHW, 2021; Cancer Council, 2021). Despite </w:t>
      </w:r>
      <w:r w:rsidR="00FE5A4E" w:rsidRPr="00576299">
        <w:t xml:space="preserve">currently available </w:t>
      </w:r>
      <w:r w:rsidRPr="00576299">
        <w:t>treatment, an estimated 13% of patients with EC will experience disease recurrence (Fung-Kee-Fung, 2006), while a recent study by Francis (2019) of 2,691 women with early stage (stage I/II) EC diagnosed from 2000 to 2016, reported an overall recurrence rate of 7.2% (194/2691), with a median follow-up of 6.1 years.</w:t>
      </w:r>
    </w:p>
    <w:p w14:paraId="2EF40B76" w14:textId="03D59377" w:rsidR="004654C2" w:rsidRPr="00576299" w:rsidRDefault="0092254A" w:rsidP="00E117DE">
      <w:pPr>
        <w:pStyle w:val="3-BodyText"/>
      </w:pPr>
      <w:r w:rsidRPr="00576299">
        <w:t xml:space="preserve">Endometrial cancers may be classified based on the </w:t>
      </w:r>
      <w:r w:rsidR="0036730A" w:rsidRPr="00576299">
        <w:t>mismatch repair (</w:t>
      </w:r>
      <w:r w:rsidRPr="00576299">
        <w:t>MMR</w:t>
      </w:r>
      <w:r w:rsidR="0036730A" w:rsidRPr="00576299">
        <w:t>)</w:t>
      </w:r>
      <w:r w:rsidRPr="00576299">
        <w:t xml:space="preserve"> status, </w:t>
      </w:r>
      <w:r w:rsidR="00D044D1" w:rsidRPr="00576299">
        <w:t>as</w:t>
      </w:r>
      <w:r w:rsidRPr="00576299">
        <w:t xml:space="preserve"> normal (proficient) mismatch repair (pMMR) or dMMR tumours. EC is associated with </w:t>
      </w:r>
      <w:r w:rsidRPr="00576299">
        <w:lastRenderedPageBreak/>
        <w:t xml:space="preserve">dMMR in up to 33% of cases (Morona, 2020; Scarpa, 2016). </w:t>
      </w:r>
      <w:r w:rsidR="00E06A8D" w:rsidRPr="00576299">
        <w:t>d</w:t>
      </w:r>
      <w:r w:rsidRPr="00576299">
        <w:t xml:space="preserve">MMR </w:t>
      </w:r>
      <w:r w:rsidR="00E06A8D" w:rsidRPr="00576299">
        <w:t xml:space="preserve">tumours </w:t>
      </w:r>
      <w:r w:rsidRPr="00576299">
        <w:t xml:space="preserve">can develop microsatellite instability (MSI), which is a change in the length of repetitive sequences in tumour DNA compared with normal DNA. Therefore, MSI-H is the observable characteristic (phenotype) displayed when errors occur in the DNA MMR system (Luchini, 2019). The </w:t>
      </w:r>
      <w:r w:rsidR="00895EBE" w:rsidRPr="00576299">
        <w:t>re</w:t>
      </w:r>
      <w:r w:rsidRPr="00576299">
        <w:t>submission claimed that dMMR status is predictive of clinical benefit from PD-1 inhibitors that block PD-1’s interaction with its ligands, restoring cytotoxic T-cell activity and freeing the T-cell to kill the tumour cell (Le, 2017; Zhao, 2019).</w:t>
      </w:r>
    </w:p>
    <w:p w14:paraId="3ED0FDB7" w14:textId="77777777" w:rsidR="0092254A" w:rsidRPr="00576299" w:rsidRDefault="0092254A" w:rsidP="0092254A">
      <w:pPr>
        <w:pStyle w:val="2-SectionHeading"/>
        <w:numPr>
          <w:ilvl w:val="0"/>
          <w:numId w:val="1"/>
        </w:numPr>
      </w:pPr>
      <w:bookmarkStart w:id="15" w:name="_Toc113044629"/>
      <w:bookmarkStart w:id="16" w:name="_Toc114052521"/>
      <w:bookmarkEnd w:id="15"/>
      <w:r w:rsidRPr="00576299">
        <w:t>Comparator</w:t>
      </w:r>
      <w:bookmarkEnd w:id="16"/>
    </w:p>
    <w:p w14:paraId="59F284FB" w14:textId="454089AA" w:rsidR="004654C2" w:rsidRPr="000E1DA3" w:rsidRDefault="0092254A" w:rsidP="004654C2">
      <w:pPr>
        <w:pStyle w:val="3-BodyText"/>
        <w:rPr>
          <w:iCs/>
        </w:rPr>
      </w:pPr>
      <w:bookmarkStart w:id="17" w:name="_Ref111486017"/>
      <w:r w:rsidRPr="00576299">
        <w:rPr>
          <w:snapToGrid/>
        </w:rPr>
        <w:t>The previous submission nominated SoC comprising single-agent chemotherapy and PBC as the main comparator</w:t>
      </w:r>
      <w:r w:rsidR="009D4901" w:rsidRPr="00576299">
        <w:rPr>
          <w:i/>
          <w:iCs/>
          <w:snapToGrid/>
        </w:rPr>
        <w:t>,</w:t>
      </w:r>
      <w:r w:rsidRPr="00576299">
        <w:rPr>
          <w:i/>
          <w:iCs/>
          <w:snapToGrid/>
        </w:rPr>
        <w:t xml:space="preserve"> </w:t>
      </w:r>
      <w:r w:rsidR="009D4901" w:rsidRPr="00576299">
        <w:rPr>
          <w:snapToGrid/>
        </w:rPr>
        <w:t xml:space="preserve">which was considered </w:t>
      </w:r>
      <w:r w:rsidRPr="00576299">
        <w:rPr>
          <w:snapToGrid/>
        </w:rPr>
        <w:t>appropriate</w:t>
      </w:r>
      <w:r w:rsidR="009D4901" w:rsidRPr="00576299">
        <w:rPr>
          <w:snapToGrid/>
        </w:rPr>
        <w:t xml:space="preserve"> by the PBAC</w:t>
      </w:r>
      <w:r w:rsidRPr="00576299">
        <w:rPr>
          <w:snapToGrid/>
        </w:rPr>
        <w:t xml:space="preserve"> (paragraph 7.4, dostarlimab </w:t>
      </w:r>
      <w:r w:rsidR="001F6082" w:rsidRPr="00576299">
        <w:rPr>
          <w:snapToGrid/>
        </w:rPr>
        <w:t>PSD</w:t>
      </w:r>
      <w:r w:rsidRPr="00576299">
        <w:rPr>
          <w:snapToGrid/>
        </w:rPr>
        <w:t>, March 2022 PBAC meeting). In addition to SoC, the resubmission nominated PEM+LEN and pembrolizumab monotherapy as near market comparators.</w:t>
      </w:r>
      <w:r w:rsidR="00FC4718" w:rsidRPr="00576299">
        <w:rPr>
          <w:snapToGrid/>
        </w:rPr>
        <w:t xml:space="preserve"> </w:t>
      </w:r>
      <w:bookmarkEnd w:id="17"/>
      <w:r w:rsidRPr="00576299">
        <w:rPr>
          <w:iCs/>
        </w:rPr>
        <w:t xml:space="preserve">Overall, the nominated comparators were appropriate. </w:t>
      </w:r>
      <w:r w:rsidR="00F63E38" w:rsidRPr="004654C2">
        <w:rPr>
          <w:iCs/>
        </w:rPr>
        <w:t xml:space="preserve">The ESC considered that, for patients with dMMR status, </w:t>
      </w:r>
      <w:r w:rsidR="00327BE6" w:rsidRPr="004654C2">
        <w:rPr>
          <w:iCs/>
        </w:rPr>
        <w:t xml:space="preserve">the option of dostarlimab (a </w:t>
      </w:r>
      <w:r w:rsidR="00F63E38" w:rsidRPr="004654C2">
        <w:rPr>
          <w:iCs/>
        </w:rPr>
        <w:t>single agent therapy</w:t>
      </w:r>
      <w:r w:rsidR="00327BE6" w:rsidRPr="004654C2">
        <w:rPr>
          <w:iCs/>
        </w:rPr>
        <w:t>)</w:t>
      </w:r>
      <w:r w:rsidR="00F63E38" w:rsidRPr="004654C2">
        <w:rPr>
          <w:iCs/>
        </w:rPr>
        <w:t xml:space="preserve"> </w:t>
      </w:r>
      <w:r w:rsidR="00327BE6" w:rsidRPr="004654C2">
        <w:rPr>
          <w:iCs/>
        </w:rPr>
        <w:t>may be useful</w:t>
      </w:r>
      <w:r w:rsidR="00F63E38" w:rsidRPr="004654C2">
        <w:rPr>
          <w:iCs/>
        </w:rPr>
        <w:t xml:space="preserve"> given that guidelines recommend a single agent </w:t>
      </w:r>
      <w:r w:rsidR="00745D8B" w:rsidRPr="004654C2">
        <w:rPr>
          <w:iCs/>
        </w:rPr>
        <w:t xml:space="preserve">to reduce potential </w:t>
      </w:r>
      <w:r w:rsidR="00F63E38" w:rsidRPr="004654C2">
        <w:rPr>
          <w:iCs/>
        </w:rPr>
        <w:t>toxicity.</w:t>
      </w:r>
      <w:r w:rsidR="004B343E">
        <w:rPr>
          <w:iCs/>
        </w:rPr>
        <w:t xml:space="preserve"> The PBAC recalled that it had </w:t>
      </w:r>
      <w:r w:rsidR="004B343E">
        <w:t>recommended that the restriction for PEM+LEN should allow use of single</w:t>
      </w:r>
      <w:r w:rsidR="00300713">
        <w:t xml:space="preserve"> </w:t>
      </w:r>
      <w:r w:rsidR="004B343E">
        <w:t>agent pembrolizumab in patients who experience toxicity with lenvatinib or in whom lenvatinib is contraindicated.</w:t>
      </w:r>
      <w:r w:rsidR="004B343E">
        <w:rPr>
          <w:iCs/>
        </w:rPr>
        <w:t xml:space="preserve"> </w:t>
      </w:r>
    </w:p>
    <w:p w14:paraId="2A1D5B69" w14:textId="58B8B0E9" w:rsidR="004654C2" w:rsidRPr="000E1DA3" w:rsidRDefault="004654C2" w:rsidP="000E1DA3">
      <w:pPr>
        <w:rPr>
          <w:rFonts w:asciiTheme="minorHAnsi" w:hAnsiTheme="minorHAnsi"/>
          <w:i/>
        </w:rPr>
      </w:pPr>
      <w:r w:rsidRPr="00C33D30">
        <w:rPr>
          <w:rFonts w:asciiTheme="minorHAnsi" w:hAnsiTheme="minorHAnsi"/>
          <w:i/>
        </w:rPr>
        <w:t>For more detail on PBAC’s view, see section 7 PBAC outcome.</w:t>
      </w:r>
    </w:p>
    <w:p w14:paraId="4DE3FB91" w14:textId="77777777" w:rsidR="0092254A" w:rsidRPr="00576299" w:rsidRDefault="0092254A" w:rsidP="0092254A">
      <w:pPr>
        <w:pStyle w:val="2-SectionHeading"/>
        <w:numPr>
          <w:ilvl w:val="0"/>
          <w:numId w:val="1"/>
        </w:numPr>
      </w:pPr>
      <w:bookmarkStart w:id="18" w:name="_Ref112774917"/>
      <w:bookmarkStart w:id="19" w:name="_Toc114052522"/>
      <w:bookmarkStart w:id="20" w:name="_Toc22897640"/>
      <w:r w:rsidRPr="00576299">
        <w:t>Consideration of the evidence</w:t>
      </w:r>
      <w:bookmarkEnd w:id="18"/>
      <w:bookmarkEnd w:id="19"/>
    </w:p>
    <w:p w14:paraId="3462B3C8" w14:textId="77777777" w:rsidR="00CC3B3A" w:rsidRPr="006E1229" w:rsidRDefault="00CC3B3A" w:rsidP="00CC3B3A">
      <w:pPr>
        <w:pStyle w:val="4-SubsectionHeading"/>
      </w:pPr>
      <w:bookmarkStart w:id="21" w:name="_Hlk76375935"/>
      <w:bookmarkStart w:id="22" w:name="_Toc114052523"/>
      <w:r w:rsidRPr="006E1229">
        <w:t>Sponsor hearing</w:t>
      </w:r>
    </w:p>
    <w:p w14:paraId="4997DB85" w14:textId="03D0A0E1" w:rsidR="00CC3B3A" w:rsidRPr="00836F75" w:rsidRDefault="00CC3B3A" w:rsidP="00CC3B3A">
      <w:pPr>
        <w:widowControl w:val="0"/>
        <w:numPr>
          <w:ilvl w:val="1"/>
          <w:numId w:val="1"/>
        </w:numPr>
        <w:spacing w:after="120"/>
        <w:rPr>
          <w:rFonts w:asciiTheme="minorHAnsi" w:hAnsiTheme="minorHAnsi"/>
          <w:bCs/>
          <w:snapToGrid w:val="0"/>
        </w:rPr>
      </w:pPr>
      <w:bookmarkStart w:id="23" w:name="_Hlk76382586"/>
      <w:r w:rsidRPr="00836F75">
        <w:rPr>
          <w:rFonts w:asciiTheme="minorHAnsi" w:hAnsiTheme="minorHAnsi"/>
          <w:bCs/>
          <w:snapToGrid w:val="0"/>
        </w:rPr>
        <w:t xml:space="preserve">The sponsor requested a hearing for this item. </w:t>
      </w:r>
      <w:r w:rsidR="0010702F">
        <w:rPr>
          <w:rFonts w:asciiTheme="minorHAnsi" w:hAnsiTheme="minorHAnsi"/>
          <w:bCs/>
          <w:snapToGrid w:val="0"/>
        </w:rPr>
        <w:t xml:space="preserve">The clinician noted that, for patients with metastatic endometrial cancer, chemotherapy </w:t>
      </w:r>
      <w:r w:rsidR="00606F03">
        <w:rPr>
          <w:rFonts w:asciiTheme="minorHAnsi" w:hAnsiTheme="minorHAnsi"/>
          <w:bCs/>
          <w:snapToGrid w:val="0"/>
        </w:rPr>
        <w:t>is generally associated with poor</w:t>
      </w:r>
      <w:r w:rsidR="0010702F">
        <w:rPr>
          <w:rFonts w:asciiTheme="minorHAnsi" w:hAnsiTheme="minorHAnsi"/>
          <w:bCs/>
          <w:snapToGrid w:val="0"/>
        </w:rPr>
        <w:t xml:space="preserve"> long</w:t>
      </w:r>
      <w:r w:rsidR="00F37AE6">
        <w:rPr>
          <w:rFonts w:asciiTheme="minorHAnsi" w:hAnsiTheme="minorHAnsi"/>
          <w:bCs/>
          <w:snapToGrid w:val="0"/>
        </w:rPr>
        <w:t>-</w:t>
      </w:r>
      <w:r w:rsidR="0010702F">
        <w:rPr>
          <w:rFonts w:asciiTheme="minorHAnsi" w:hAnsiTheme="minorHAnsi"/>
          <w:bCs/>
          <w:snapToGrid w:val="0"/>
        </w:rPr>
        <w:t xml:space="preserve">term disease control </w:t>
      </w:r>
      <w:r w:rsidR="00606F03">
        <w:rPr>
          <w:rFonts w:asciiTheme="minorHAnsi" w:hAnsiTheme="minorHAnsi"/>
          <w:bCs/>
          <w:snapToGrid w:val="0"/>
        </w:rPr>
        <w:t>and low</w:t>
      </w:r>
      <w:r w:rsidR="0010702F">
        <w:rPr>
          <w:rFonts w:asciiTheme="minorHAnsi" w:hAnsiTheme="minorHAnsi"/>
          <w:bCs/>
          <w:snapToGrid w:val="0"/>
        </w:rPr>
        <w:t xml:space="preserve"> quality of life and there is a high unmet need for access to effective treatments outside the clinical trial setting. The clinician </w:t>
      </w:r>
      <w:r w:rsidR="00606F03">
        <w:rPr>
          <w:rFonts w:asciiTheme="minorHAnsi" w:hAnsiTheme="minorHAnsi"/>
          <w:bCs/>
          <w:snapToGrid w:val="0"/>
        </w:rPr>
        <w:t>considere</w:t>
      </w:r>
      <w:r w:rsidR="0010702F">
        <w:rPr>
          <w:rFonts w:asciiTheme="minorHAnsi" w:hAnsiTheme="minorHAnsi"/>
          <w:bCs/>
          <w:snapToGrid w:val="0"/>
        </w:rPr>
        <w:t xml:space="preserve">d that immunotherapy is the </w:t>
      </w:r>
      <w:r w:rsidR="00606F03">
        <w:rPr>
          <w:rFonts w:asciiTheme="minorHAnsi" w:hAnsiTheme="minorHAnsi"/>
          <w:bCs/>
          <w:snapToGrid w:val="0"/>
        </w:rPr>
        <w:t>preferred</w:t>
      </w:r>
      <w:r w:rsidR="0010702F">
        <w:rPr>
          <w:rFonts w:asciiTheme="minorHAnsi" w:hAnsiTheme="minorHAnsi"/>
          <w:bCs/>
          <w:snapToGrid w:val="0"/>
        </w:rPr>
        <w:t xml:space="preserve"> treatment </w:t>
      </w:r>
      <w:r w:rsidR="00606F03">
        <w:rPr>
          <w:rFonts w:asciiTheme="minorHAnsi" w:hAnsiTheme="minorHAnsi"/>
          <w:bCs/>
          <w:snapToGrid w:val="0"/>
        </w:rPr>
        <w:t xml:space="preserve">option </w:t>
      </w:r>
      <w:r w:rsidR="0010702F">
        <w:rPr>
          <w:rFonts w:asciiTheme="minorHAnsi" w:hAnsiTheme="minorHAnsi"/>
          <w:bCs/>
          <w:snapToGrid w:val="0"/>
        </w:rPr>
        <w:t>for patients</w:t>
      </w:r>
      <w:r w:rsidR="00606F03">
        <w:rPr>
          <w:rFonts w:asciiTheme="minorHAnsi" w:hAnsiTheme="minorHAnsi"/>
          <w:bCs/>
          <w:snapToGrid w:val="0"/>
        </w:rPr>
        <w:t xml:space="preserve"> with dMMR endometrial cancer</w:t>
      </w:r>
      <w:r w:rsidR="0010702F">
        <w:rPr>
          <w:rFonts w:asciiTheme="minorHAnsi" w:hAnsiTheme="minorHAnsi"/>
          <w:bCs/>
          <w:snapToGrid w:val="0"/>
        </w:rPr>
        <w:t xml:space="preserve">. The clinician noted that there is evidence </w:t>
      </w:r>
      <w:r w:rsidR="00606F03">
        <w:rPr>
          <w:rFonts w:asciiTheme="minorHAnsi" w:hAnsiTheme="minorHAnsi"/>
          <w:bCs/>
          <w:snapToGrid w:val="0"/>
        </w:rPr>
        <w:t>across</w:t>
      </w:r>
      <w:r w:rsidR="0010702F">
        <w:rPr>
          <w:rFonts w:asciiTheme="minorHAnsi" w:hAnsiTheme="minorHAnsi"/>
          <w:bCs/>
          <w:snapToGrid w:val="0"/>
        </w:rPr>
        <w:t xml:space="preserve"> several immunotherapies that patients experience a prolonged benefit that substantially improves survival. The clinician noted that oncologists are familiar with managing </w:t>
      </w:r>
      <w:r w:rsidR="00606F03">
        <w:rPr>
          <w:rFonts w:asciiTheme="minorHAnsi" w:hAnsiTheme="minorHAnsi"/>
          <w:bCs/>
          <w:snapToGrid w:val="0"/>
        </w:rPr>
        <w:t xml:space="preserve">the </w:t>
      </w:r>
      <w:r w:rsidR="0010702F">
        <w:rPr>
          <w:rFonts w:asciiTheme="minorHAnsi" w:hAnsiTheme="minorHAnsi"/>
          <w:bCs/>
          <w:snapToGrid w:val="0"/>
        </w:rPr>
        <w:t xml:space="preserve">toxicities associated with immunotherapy and that chemotherapies are more challenging to </w:t>
      </w:r>
      <w:r w:rsidR="00606F03">
        <w:rPr>
          <w:rFonts w:asciiTheme="minorHAnsi" w:hAnsiTheme="minorHAnsi"/>
          <w:bCs/>
          <w:snapToGrid w:val="0"/>
        </w:rPr>
        <w:t xml:space="preserve">administer </w:t>
      </w:r>
      <w:r w:rsidR="0010702F">
        <w:rPr>
          <w:rFonts w:asciiTheme="minorHAnsi" w:hAnsiTheme="minorHAnsi"/>
          <w:bCs/>
          <w:snapToGrid w:val="0"/>
        </w:rPr>
        <w:t>due to patient comorbidities and p</w:t>
      </w:r>
      <w:r w:rsidR="00606F03">
        <w:rPr>
          <w:rFonts w:asciiTheme="minorHAnsi" w:hAnsiTheme="minorHAnsi"/>
          <w:bCs/>
          <w:snapToGrid w:val="0"/>
        </w:rPr>
        <w:t>rior therapies</w:t>
      </w:r>
      <w:r w:rsidR="0010702F">
        <w:rPr>
          <w:rFonts w:asciiTheme="minorHAnsi" w:hAnsiTheme="minorHAnsi"/>
          <w:bCs/>
          <w:snapToGrid w:val="0"/>
        </w:rPr>
        <w:t xml:space="preserve">. The clinician </w:t>
      </w:r>
      <w:r w:rsidR="00606F03">
        <w:rPr>
          <w:rFonts w:asciiTheme="minorHAnsi" w:hAnsiTheme="minorHAnsi"/>
          <w:bCs/>
          <w:snapToGrid w:val="0"/>
        </w:rPr>
        <w:t>sta</w:t>
      </w:r>
      <w:r w:rsidR="0010702F">
        <w:rPr>
          <w:rFonts w:asciiTheme="minorHAnsi" w:hAnsiTheme="minorHAnsi"/>
          <w:bCs/>
          <w:snapToGrid w:val="0"/>
        </w:rPr>
        <w:t xml:space="preserve">ted that </w:t>
      </w:r>
      <w:r w:rsidR="006F4DCC">
        <w:rPr>
          <w:rFonts w:asciiTheme="minorHAnsi" w:hAnsiTheme="minorHAnsi"/>
          <w:bCs/>
          <w:snapToGrid w:val="0"/>
        </w:rPr>
        <w:t xml:space="preserve">some </w:t>
      </w:r>
      <w:r w:rsidR="0010702F">
        <w:rPr>
          <w:rFonts w:asciiTheme="minorHAnsi" w:hAnsiTheme="minorHAnsi"/>
          <w:bCs/>
          <w:snapToGrid w:val="0"/>
        </w:rPr>
        <w:t>oncologists would prefer to use a single agent immunotherapy (rather than in combination with lenvatinib)</w:t>
      </w:r>
      <w:r w:rsidR="003C7879">
        <w:rPr>
          <w:rFonts w:asciiTheme="minorHAnsi" w:hAnsiTheme="minorHAnsi"/>
          <w:bCs/>
          <w:snapToGrid w:val="0"/>
        </w:rPr>
        <w:t xml:space="preserve"> due to</w:t>
      </w:r>
      <w:r w:rsidR="0010702F">
        <w:rPr>
          <w:rFonts w:asciiTheme="minorHAnsi" w:hAnsiTheme="minorHAnsi"/>
          <w:bCs/>
          <w:snapToGrid w:val="0"/>
        </w:rPr>
        <w:t xml:space="preserve"> </w:t>
      </w:r>
      <w:r w:rsidR="003C7879">
        <w:rPr>
          <w:rFonts w:asciiTheme="minorHAnsi" w:hAnsiTheme="minorHAnsi"/>
          <w:bCs/>
          <w:snapToGrid w:val="0"/>
        </w:rPr>
        <w:t xml:space="preserve">significant rates of hypertension and other toxicities </w:t>
      </w:r>
      <w:r w:rsidR="004B343E">
        <w:rPr>
          <w:rFonts w:asciiTheme="minorHAnsi" w:hAnsiTheme="minorHAnsi"/>
          <w:bCs/>
          <w:snapToGrid w:val="0"/>
        </w:rPr>
        <w:t>when</w:t>
      </w:r>
      <w:r w:rsidR="003C7879">
        <w:rPr>
          <w:rFonts w:asciiTheme="minorHAnsi" w:hAnsiTheme="minorHAnsi"/>
          <w:bCs/>
          <w:snapToGrid w:val="0"/>
        </w:rPr>
        <w:t xml:space="preserve"> using lenvatinib treatment in combination with immunotherapy. </w:t>
      </w:r>
    </w:p>
    <w:bookmarkEnd w:id="23"/>
    <w:p w14:paraId="78C9288D" w14:textId="77777777" w:rsidR="00CC3B3A" w:rsidRPr="006E1229" w:rsidRDefault="00CC3B3A" w:rsidP="00CC3B3A">
      <w:pPr>
        <w:pStyle w:val="4-SubsectionHeading"/>
      </w:pPr>
      <w:r w:rsidRPr="006E1229">
        <w:t>Consumer comments</w:t>
      </w:r>
    </w:p>
    <w:p w14:paraId="0DA3B53B" w14:textId="243FC3B0" w:rsidR="00E950E8" w:rsidRPr="00E950E8" w:rsidRDefault="00CC3B3A" w:rsidP="00E950E8">
      <w:pPr>
        <w:widowControl w:val="0"/>
        <w:numPr>
          <w:ilvl w:val="1"/>
          <w:numId w:val="1"/>
        </w:numPr>
        <w:spacing w:after="120"/>
        <w:rPr>
          <w:rFonts w:asciiTheme="minorHAnsi" w:hAnsiTheme="minorHAnsi"/>
          <w:bCs/>
          <w:snapToGrid w:val="0"/>
        </w:rPr>
      </w:pPr>
      <w:bookmarkStart w:id="24" w:name="_Hlk76382618"/>
      <w:r w:rsidRPr="00836F75">
        <w:rPr>
          <w:rFonts w:asciiTheme="minorHAnsi" w:hAnsiTheme="minorHAnsi"/>
          <w:bCs/>
          <w:snapToGrid w:val="0"/>
        </w:rPr>
        <w:t xml:space="preserve">The PBAC noted and welcomed the input from </w:t>
      </w:r>
      <w:r w:rsidR="00E950E8">
        <w:rPr>
          <w:rFonts w:asciiTheme="minorHAnsi" w:hAnsiTheme="minorHAnsi"/>
          <w:bCs/>
          <w:snapToGrid w:val="0"/>
        </w:rPr>
        <w:t>one</w:t>
      </w:r>
      <w:r w:rsidRPr="00836F75">
        <w:rPr>
          <w:rFonts w:asciiTheme="minorHAnsi" w:hAnsiTheme="minorHAnsi"/>
          <w:bCs/>
          <w:snapToGrid w:val="0"/>
        </w:rPr>
        <w:t xml:space="preserve"> health care professional</w:t>
      </w:r>
      <w:r w:rsidR="00E950E8">
        <w:rPr>
          <w:rFonts w:asciiTheme="minorHAnsi" w:hAnsiTheme="minorHAnsi"/>
          <w:bCs/>
          <w:snapToGrid w:val="0"/>
        </w:rPr>
        <w:t xml:space="preserve"> </w:t>
      </w:r>
      <w:r w:rsidRPr="00836F75">
        <w:rPr>
          <w:rFonts w:asciiTheme="minorHAnsi" w:hAnsiTheme="minorHAnsi"/>
          <w:bCs/>
          <w:snapToGrid w:val="0"/>
        </w:rPr>
        <w:t xml:space="preserve">and </w:t>
      </w:r>
      <w:r w:rsidR="00E950E8">
        <w:rPr>
          <w:rFonts w:asciiTheme="minorHAnsi" w:hAnsiTheme="minorHAnsi"/>
          <w:bCs/>
          <w:snapToGrid w:val="0"/>
        </w:rPr>
        <w:t xml:space="preserve">two </w:t>
      </w:r>
      <w:r w:rsidRPr="00836F75">
        <w:rPr>
          <w:rFonts w:asciiTheme="minorHAnsi" w:hAnsiTheme="minorHAnsi"/>
          <w:bCs/>
          <w:snapToGrid w:val="0"/>
        </w:rPr>
        <w:lastRenderedPageBreak/>
        <w:t xml:space="preserve">organisations via the Consumer Comments facility on the PBS website. </w:t>
      </w:r>
      <w:r w:rsidR="00E950E8" w:rsidRPr="00E950E8">
        <w:rPr>
          <w:rFonts w:asciiTheme="minorHAnsi" w:hAnsiTheme="minorHAnsi"/>
          <w:bCs/>
          <w:snapToGrid w:val="0"/>
        </w:rPr>
        <w:t xml:space="preserve">Input from the health professional </w:t>
      </w:r>
      <w:r w:rsidR="006F4DCC">
        <w:rPr>
          <w:rFonts w:asciiTheme="minorHAnsi" w:hAnsiTheme="minorHAnsi"/>
          <w:bCs/>
          <w:snapToGrid w:val="0"/>
        </w:rPr>
        <w:t>outlined that</w:t>
      </w:r>
      <w:r w:rsidR="00E950E8" w:rsidRPr="00E950E8">
        <w:rPr>
          <w:rFonts w:asciiTheme="minorHAnsi" w:hAnsiTheme="minorHAnsi"/>
          <w:bCs/>
          <w:snapToGrid w:val="0"/>
        </w:rPr>
        <w:t xml:space="preserve"> </w:t>
      </w:r>
      <w:r w:rsidR="00E950E8">
        <w:rPr>
          <w:rFonts w:asciiTheme="minorHAnsi" w:hAnsiTheme="minorHAnsi"/>
          <w:bCs/>
          <w:snapToGrid w:val="0"/>
        </w:rPr>
        <w:t xml:space="preserve">metastatic endometrial cancer is a devastating diagnosis with few effective second line treatments. The comments also noted that </w:t>
      </w:r>
      <w:r w:rsidR="00E950E8" w:rsidRPr="00E950E8">
        <w:rPr>
          <w:rFonts w:asciiTheme="minorHAnsi" w:hAnsiTheme="minorHAnsi"/>
          <w:bCs/>
          <w:snapToGrid w:val="0"/>
        </w:rPr>
        <w:t xml:space="preserve">dostarlimab is well-tolerated and </w:t>
      </w:r>
      <w:r w:rsidR="004936E3">
        <w:rPr>
          <w:rFonts w:asciiTheme="minorHAnsi" w:hAnsiTheme="minorHAnsi"/>
          <w:bCs/>
          <w:snapToGrid w:val="0"/>
        </w:rPr>
        <w:t>effective</w:t>
      </w:r>
      <w:r w:rsidR="00E950E8" w:rsidRPr="00E950E8">
        <w:rPr>
          <w:rFonts w:asciiTheme="minorHAnsi" w:hAnsiTheme="minorHAnsi"/>
          <w:bCs/>
          <w:snapToGrid w:val="0"/>
        </w:rPr>
        <w:t>.</w:t>
      </w:r>
    </w:p>
    <w:p w14:paraId="0B08C2FD" w14:textId="3D42FA26" w:rsidR="00EC4987" w:rsidRDefault="00EC4987" w:rsidP="00CD316E">
      <w:pPr>
        <w:widowControl w:val="0"/>
        <w:numPr>
          <w:ilvl w:val="1"/>
          <w:numId w:val="1"/>
        </w:numPr>
        <w:spacing w:after="120"/>
        <w:rPr>
          <w:rFonts w:asciiTheme="minorHAnsi" w:hAnsiTheme="minorHAnsi"/>
          <w:bCs/>
          <w:snapToGrid w:val="0"/>
        </w:rPr>
      </w:pPr>
      <w:r w:rsidRPr="00EC4987">
        <w:rPr>
          <w:rFonts w:asciiTheme="minorHAnsi" w:hAnsiTheme="minorHAnsi"/>
          <w:bCs/>
          <w:snapToGrid w:val="0"/>
        </w:rPr>
        <w:t>Comments from Rare Cancers Australia noted that patients with endometrial cancer can experience a loss of dignity associated with invasive treatments and medical procedures. Comments also reported that published evidence suggests that between 20% and 30% of endometrial cancers are associated with dMMR or</w:t>
      </w:r>
      <w:r>
        <w:rPr>
          <w:rFonts w:asciiTheme="minorHAnsi" w:hAnsiTheme="minorHAnsi"/>
          <w:bCs/>
          <w:snapToGrid w:val="0"/>
        </w:rPr>
        <w:t xml:space="preserve"> </w:t>
      </w:r>
      <w:r w:rsidRPr="00EC4987">
        <w:rPr>
          <w:rFonts w:asciiTheme="minorHAnsi" w:hAnsiTheme="minorHAnsi"/>
          <w:bCs/>
          <w:snapToGrid w:val="0"/>
        </w:rPr>
        <w:t>high microsatellite instability (MSI-H), characteristics that render the tumour more sensitive to immune checkpoint inhibitors.</w:t>
      </w:r>
      <w:r>
        <w:rPr>
          <w:rFonts w:asciiTheme="minorHAnsi" w:hAnsiTheme="minorHAnsi"/>
          <w:bCs/>
          <w:snapToGrid w:val="0"/>
        </w:rPr>
        <w:t xml:space="preserve"> Comments also noted that there is a </w:t>
      </w:r>
      <w:r w:rsidRPr="00EC4987">
        <w:rPr>
          <w:rFonts w:asciiTheme="minorHAnsi" w:hAnsiTheme="minorHAnsi"/>
          <w:bCs/>
          <w:snapToGrid w:val="0"/>
        </w:rPr>
        <w:t>high unmet need for effective and tolerable treatment options in</w:t>
      </w:r>
      <w:r>
        <w:rPr>
          <w:rFonts w:asciiTheme="minorHAnsi" w:hAnsiTheme="minorHAnsi"/>
          <w:bCs/>
          <w:snapToGrid w:val="0"/>
        </w:rPr>
        <w:t xml:space="preserve"> endometrial cancer. </w:t>
      </w:r>
    </w:p>
    <w:bookmarkEnd w:id="21"/>
    <w:bookmarkEnd w:id="24"/>
    <w:p w14:paraId="5A8C2F43" w14:textId="48BC4AC3" w:rsidR="00CC3B3A" w:rsidRPr="00525B39" w:rsidRDefault="00CC3B3A" w:rsidP="00EC4987">
      <w:pPr>
        <w:widowControl w:val="0"/>
        <w:numPr>
          <w:ilvl w:val="1"/>
          <w:numId w:val="1"/>
        </w:numPr>
        <w:spacing w:after="120"/>
        <w:rPr>
          <w:rFonts w:asciiTheme="minorHAnsi" w:hAnsiTheme="minorHAnsi"/>
          <w:bCs/>
          <w:snapToGrid w:val="0"/>
        </w:rPr>
      </w:pPr>
      <w:r w:rsidRPr="00A74363">
        <w:rPr>
          <w:rFonts w:asciiTheme="minorHAnsi" w:hAnsiTheme="minorHAnsi"/>
          <w:bCs/>
          <w:snapToGrid w:val="0"/>
        </w:rPr>
        <w:t xml:space="preserve">The Medical Oncology Group of Australia (MOGA) also expressed its strong support for the </w:t>
      </w:r>
      <w:r w:rsidR="00EC4987">
        <w:rPr>
          <w:rFonts w:asciiTheme="minorHAnsi" w:hAnsiTheme="minorHAnsi"/>
          <w:bCs/>
          <w:snapToGrid w:val="0"/>
        </w:rPr>
        <w:t>dostarlimab</w:t>
      </w:r>
      <w:r w:rsidRPr="00A74363">
        <w:rPr>
          <w:rFonts w:asciiTheme="minorHAnsi" w:hAnsiTheme="minorHAnsi"/>
          <w:bCs/>
          <w:snapToGrid w:val="0"/>
        </w:rPr>
        <w:t xml:space="preserve"> submission, categorising it as one of the therapies of “highest priority for PBS listing” on the basis of the </w:t>
      </w:r>
      <w:r w:rsidR="00EC4987">
        <w:rPr>
          <w:rFonts w:asciiTheme="minorHAnsi" w:hAnsiTheme="minorHAnsi"/>
          <w:bCs/>
          <w:snapToGrid w:val="0"/>
        </w:rPr>
        <w:t>GARNET</w:t>
      </w:r>
      <w:r w:rsidRPr="00A74363">
        <w:rPr>
          <w:rFonts w:asciiTheme="minorHAnsi" w:hAnsiTheme="minorHAnsi"/>
          <w:bCs/>
          <w:snapToGrid w:val="0"/>
        </w:rPr>
        <w:t xml:space="preserve"> </w:t>
      </w:r>
      <w:r w:rsidR="00483656">
        <w:rPr>
          <w:rFonts w:asciiTheme="minorHAnsi" w:hAnsiTheme="minorHAnsi"/>
          <w:bCs/>
          <w:snapToGrid w:val="0"/>
        </w:rPr>
        <w:t>study</w:t>
      </w:r>
      <w:r w:rsidRPr="00A74363">
        <w:rPr>
          <w:rFonts w:asciiTheme="minorHAnsi" w:hAnsiTheme="minorHAnsi"/>
          <w:bCs/>
          <w:snapToGrid w:val="0"/>
        </w:rPr>
        <w:t xml:space="preserve">. The PBAC noted that the MOGA presented a European Society for Medical Oncology Magnitude of Clinical Benefit Scale (ESMO-MCBS) </w:t>
      </w:r>
      <w:r w:rsidRPr="00525B39">
        <w:rPr>
          <w:rFonts w:asciiTheme="minorHAnsi" w:hAnsiTheme="minorHAnsi"/>
          <w:bCs/>
          <w:snapToGrid w:val="0"/>
        </w:rPr>
        <w:t xml:space="preserve">for </w:t>
      </w:r>
      <w:r w:rsidR="00EC4987">
        <w:rPr>
          <w:rFonts w:asciiTheme="minorHAnsi" w:hAnsiTheme="minorHAnsi"/>
          <w:bCs/>
          <w:snapToGrid w:val="0"/>
        </w:rPr>
        <w:t>dostarlimab</w:t>
      </w:r>
      <w:r w:rsidRPr="00525B39">
        <w:rPr>
          <w:rFonts w:asciiTheme="minorHAnsi" w:hAnsiTheme="minorHAnsi"/>
          <w:bCs/>
          <w:snapToGrid w:val="0"/>
        </w:rPr>
        <w:t xml:space="preserve">, which was limited to </w:t>
      </w:r>
      <w:r w:rsidR="00EC4987">
        <w:rPr>
          <w:rFonts w:asciiTheme="minorHAnsi" w:hAnsiTheme="minorHAnsi"/>
          <w:bCs/>
          <w:snapToGrid w:val="0"/>
        </w:rPr>
        <w:t>3</w:t>
      </w:r>
      <w:r w:rsidRPr="00525B39">
        <w:rPr>
          <w:rFonts w:asciiTheme="minorHAnsi" w:hAnsiTheme="minorHAnsi"/>
          <w:bCs/>
          <w:snapToGrid w:val="0"/>
        </w:rPr>
        <w:t xml:space="preserve"> (out of a maximum of 5, where 5 and 4 represent the grades with substantial improvement)</w:t>
      </w:r>
      <w:r w:rsidR="00EC4987">
        <w:rPr>
          <w:rStyle w:val="FootnoteReference"/>
          <w:rFonts w:asciiTheme="minorHAnsi" w:hAnsiTheme="minorHAnsi"/>
          <w:bCs/>
          <w:snapToGrid w:val="0"/>
        </w:rPr>
        <w:footnoteReference w:id="1"/>
      </w:r>
      <w:r w:rsidRPr="00525B39">
        <w:rPr>
          <w:rFonts w:asciiTheme="minorHAnsi" w:hAnsiTheme="minorHAnsi"/>
          <w:bCs/>
          <w:snapToGrid w:val="0"/>
        </w:rPr>
        <w:t xml:space="preserve">, based on a comparison with </w:t>
      </w:r>
      <w:r w:rsidR="00EC4987">
        <w:rPr>
          <w:rFonts w:asciiTheme="minorHAnsi" w:hAnsiTheme="minorHAnsi"/>
          <w:bCs/>
          <w:snapToGrid w:val="0"/>
        </w:rPr>
        <w:t>chemotherapy</w:t>
      </w:r>
      <w:r w:rsidRPr="00525B39">
        <w:rPr>
          <w:rFonts w:asciiTheme="minorHAnsi" w:hAnsiTheme="minorHAnsi"/>
          <w:bCs/>
          <w:snapToGrid w:val="0"/>
        </w:rPr>
        <w:t xml:space="preserve">.  </w:t>
      </w:r>
    </w:p>
    <w:p w14:paraId="3E36BEDF" w14:textId="77777777" w:rsidR="0092254A" w:rsidRPr="00576299" w:rsidRDefault="0092254A" w:rsidP="0092254A">
      <w:pPr>
        <w:pStyle w:val="4-SubsectionHeading"/>
      </w:pPr>
      <w:r w:rsidRPr="00576299">
        <w:t>Clinical studies and trials</w:t>
      </w:r>
      <w:bookmarkEnd w:id="20"/>
      <w:bookmarkEnd w:id="22"/>
    </w:p>
    <w:p w14:paraId="554538A4" w14:textId="0B4CF80E" w:rsidR="0092254A" w:rsidRPr="00576299" w:rsidRDefault="0092254A" w:rsidP="0092254A">
      <w:pPr>
        <w:pStyle w:val="3-BodyText"/>
      </w:pPr>
      <w:r w:rsidRPr="00576299">
        <w:t xml:space="preserve">No relevant head-to-head trials </w:t>
      </w:r>
      <w:r w:rsidR="000863E4" w:rsidRPr="00576299">
        <w:t xml:space="preserve">comparing </w:t>
      </w:r>
      <w:r w:rsidRPr="00576299">
        <w:t xml:space="preserve">dostarlimab for the treatment of A/R dMMR EC following PBC </w:t>
      </w:r>
      <w:r w:rsidR="000863E4" w:rsidRPr="00576299">
        <w:t>versus</w:t>
      </w:r>
      <w:r w:rsidRPr="00576299">
        <w:t xml:space="preserve"> SoC, PEM+LEN or pembrolizumab monotherapy were identified in the resubmission. </w:t>
      </w:r>
    </w:p>
    <w:p w14:paraId="3BB6DF40" w14:textId="77777777" w:rsidR="00A03F6A" w:rsidRPr="00576299" w:rsidRDefault="00A03F6A" w:rsidP="0092254A">
      <w:pPr>
        <w:pStyle w:val="3-BodyText"/>
      </w:pPr>
      <w:r w:rsidRPr="00576299">
        <w:t>The resubmission was based on:</w:t>
      </w:r>
    </w:p>
    <w:p w14:paraId="5B9ADE4B" w14:textId="2AD3D17D" w:rsidR="0092254A" w:rsidRPr="00576299" w:rsidRDefault="0092254A" w:rsidP="002029E5">
      <w:pPr>
        <w:pStyle w:val="3-BodyText"/>
        <w:numPr>
          <w:ilvl w:val="0"/>
          <w:numId w:val="7"/>
        </w:numPr>
        <w:ind w:left="1134" w:hanging="425"/>
      </w:pPr>
      <w:r w:rsidRPr="00576299">
        <w:t xml:space="preserve">Naïve indirect comparisons of dostarlimab </w:t>
      </w:r>
      <w:r w:rsidR="007C6F90" w:rsidRPr="00576299">
        <w:t xml:space="preserve">with </w:t>
      </w:r>
      <w:r w:rsidRPr="00576299">
        <w:t>SoC</w:t>
      </w:r>
      <w:r w:rsidR="0073379E">
        <w:rPr>
          <w:rStyle w:val="FootnoteReference"/>
        </w:rPr>
        <w:footnoteReference w:id="2"/>
      </w:r>
      <w:r w:rsidRPr="00576299">
        <w:t xml:space="preserve"> constructed using the single arm GARNET study and the individual comparator arms of four different trials (ZoptEC, IXAMPLE2, KEYNOTE-775 (chemotherapy arm) and Scambia 2020)</w:t>
      </w:r>
      <w:r w:rsidR="004221F9" w:rsidRPr="00576299">
        <w:t>. A</w:t>
      </w:r>
      <w:r w:rsidR="004221F9" w:rsidRPr="00576299">
        <w:rPr>
          <w:rFonts w:ascii="Calibri" w:hAnsi="Calibri"/>
          <w:szCs w:val="22"/>
          <w:lang w:eastAsia="en-US"/>
        </w:rPr>
        <w:t xml:space="preserve">n inverse probability of treatment weighting (IPTW) analysis </w:t>
      </w:r>
      <w:r w:rsidR="000863E4" w:rsidRPr="00576299">
        <w:rPr>
          <w:rFonts w:ascii="Calibri" w:hAnsi="Calibri"/>
          <w:szCs w:val="22"/>
          <w:lang w:eastAsia="en-US"/>
        </w:rPr>
        <w:t xml:space="preserve">was also presented </w:t>
      </w:r>
      <w:r w:rsidR="004221F9" w:rsidRPr="00576299">
        <w:rPr>
          <w:rFonts w:ascii="Calibri" w:hAnsi="Calibri"/>
          <w:szCs w:val="22"/>
          <w:lang w:eastAsia="en-US"/>
        </w:rPr>
        <w:t>using available individual patient data (IPD) comparing dostarlimab (informed by the GARNET study (Cohort A1) study, which included only patients with dMMR status) to doxorubicin (informed by the SoC arm of the ZoptEC trial)</w:t>
      </w:r>
      <w:r w:rsidRPr="00576299">
        <w:t>. In addition, a retrospective cohort study in the UK RWE was used to inform the SoC arm in sensitivity analyses of the economic model.</w:t>
      </w:r>
      <w:r w:rsidRPr="00576299">
        <w:rPr>
          <w:i/>
          <w:iCs/>
        </w:rPr>
        <w:t xml:space="preserve"> </w:t>
      </w:r>
      <w:r w:rsidRPr="00576299">
        <w:t>These trials and studies were the same as those presented in the previous submission.</w:t>
      </w:r>
    </w:p>
    <w:p w14:paraId="5F4EC09B" w14:textId="339A09D2" w:rsidR="0092254A" w:rsidRPr="00576299" w:rsidRDefault="0092254A" w:rsidP="002029E5">
      <w:pPr>
        <w:pStyle w:val="3-BodyText"/>
        <w:numPr>
          <w:ilvl w:val="0"/>
          <w:numId w:val="7"/>
        </w:numPr>
        <w:ind w:left="1134" w:hanging="425"/>
      </w:pPr>
      <w:r w:rsidRPr="00576299">
        <w:lastRenderedPageBreak/>
        <w:t>Naïve indirect comparisons of dostarlimab versus PEM+LEN or pembrolizumab monotherapy</w:t>
      </w:r>
      <w:r w:rsidR="0073379E">
        <w:rPr>
          <w:rStyle w:val="FootnoteReference"/>
        </w:rPr>
        <w:footnoteReference w:id="3"/>
      </w:r>
      <w:r w:rsidRPr="00576299">
        <w:t xml:space="preserve"> constructed using the GARNET study and individual comparator arms of KEYNOTE-775 (PEM+LEN arm) and KEYNOTE-158 (pembrolizumab monotherapy arm). This data was not presented in the previous submission</w:t>
      </w:r>
      <w:r w:rsidR="00D5413B" w:rsidRPr="00576299">
        <w:t>.</w:t>
      </w:r>
      <w:r w:rsidRPr="00576299">
        <w:rPr>
          <w:i/>
          <w:iCs/>
        </w:rPr>
        <w:t xml:space="preserve"> </w:t>
      </w:r>
      <w:r w:rsidR="00D5413B" w:rsidRPr="00576299">
        <w:t>H</w:t>
      </w:r>
      <w:r w:rsidRPr="00576299">
        <w:t xml:space="preserve">owever, </w:t>
      </w:r>
      <w:r w:rsidR="001F6082" w:rsidRPr="00576299">
        <w:t xml:space="preserve">it was presented in the </w:t>
      </w:r>
      <w:r w:rsidR="006F4DCC">
        <w:t xml:space="preserve">previous </w:t>
      </w:r>
      <w:r w:rsidR="00875085">
        <w:t>P</w:t>
      </w:r>
      <w:r w:rsidR="001F6082" w:rsidRPr="00576299">
        <w:t>re-</w:t>
      </w:r>
      <w:r w:rsidR="00875085">
        <w:t>S</w:t>
      </w:r>
      <w:r w:rsidR="001F6082" w:rsidRPr="00576299">
        <w:t>ub-</w:t>
      </w:r>
      <w:r w:rsidR="00875085">
        <w:t>C</w:t>
      </w:r>
      <w:r w:rsidR="001F6082" w:rsidRPr="00576299">
        <w:t xml:space="preserve">ommittee </w:t>
      </w:r>
      <w:r w:rsidR="00875085">
        <w:t>R</w:t>
      </w:r>
      <w:r w:rsidR="001F6082" w:rsidRPr="00576299">
        <w:t xml:space="preserve">esponse (PSCR) and </w:t>
      </w:r>
      <w:r w:rsidRPr="00576299">
        <w:t xml:space="preserve">the PBAC has previously considered the results of KEYNOTE-775 and KEYNOTE-158 in the consideration of pembrolizumab </w:t>
      </w:r>
      <w:r w:rsidR="00A114C1" w:rsidRPr="00576299">
        <w:t xml:space="preserve">± lenvatinib </w:t>
      </w:r>
      <w:r w:rsidRPr="00576299">
        <w:t xml:space="preserve">in A/R EC </w:t>
      </w:r>
      <w:r w:rsidR="004B343E">
        <w:t>at its</w:t>
      </w:r>
      <w:r w:rsidRPr="00576299">
        <w:t xml:space="preserve"> March 2022 meeting.</w:t>
      </w:r>
    </w:p>
    <w:p w14:paraId="6B3FE095" w14:textId="162FBD53" w:rsidR="0092254A" w:rsidRPr="00576299" w:rsidRDefault="0092254A" w:rsidP="0092254A">
      <w:pPr>
        <w:pStyle w:val="3-BodyText"/>
      </w:pPr>
      <w:r w:rsidRPr="00576299">
        <w:t xml:space="preserve">A summary of the included trials and studies and the relevant arms used to inform the current submission is presented in </w:t>
      </w:r>
      <w:r w:rsidRPr="00576299">
        <w:fldChar w:fldCharType="begin"/>
      </w:r>
      <w:r w:rsidRPr="00576299">
        <w:instrText xml:space="preserve"> REF _Ref111412598 \h  \* MERGEFORMAT </w:instrText>
      </w:r>
      <w:r w:rsidRPr="00576299">
        <w:fldChar w:fldCharType="separate"/>
      </w:r>
      <w:r w:rsidR="00CD09E9" w:rsidRPr="00576299">
        <w:t xml:space="preserve">Table </w:t>
      </w:r>
      <w:r w:rsidR="00CD09E9">
        <w:t>3</w:t>
      </w:r>
      <w:r w:rsidRPr="00576299">
        <w:fldChar w:fldCharType="end"/>
      </w:r>
      <w:r w:rsidRPr="00576299">
        <w:t xml:space="preserve"> below.</w:t>
      </w:r>
    </w:p>
    <w:p w14:paraId="0C97B203" w14:textId="3CB100A3" w:rsidR="0092254A" w:rsidRPr="00576299" w:rsidRDefault="0092254A" w:rsidP="000E1DA3">
      <w:pPr>
        <w:pStyle w:val="Caption"/>
        <w:keepLines w:val="0"/>
        <w:widowControl w:val="0"/>
        <w:rPr>
          <w:b w:val="0"/>
          <w:bCs w:val="0"/>
          <w:szCs w:val="20"/>
        </w:rPr>
      </w:pPr>
      <w:bookmarkStart w:id="25" w:name="_Ref111412598"/>
      <w:r w:rsidRPr="00576299">
        <w:t xml:space="preserve">Table </w:t>
      </w:r>
      <w:fldSimple w:instr=" SEQ Table \* ARABIC ">
        <w:r w:rsidR="00CD09E9">
          <w:rPr>
            <w:noProof/>
          </w:rPr>
          <w:t>3</w:t>
        </w:r>
      </w:fldSimple>
      <w:bookmarkEnd w:id="25"/>
      <w:r w:rsidRPr="00576299">
        <w:rPr>
          <w:b w:val="0"/>
          <w:bCs w:val="0"/>
          <w:szCs w:val="20"/>
        </w:rPr>
        <w:t>:</w:t>
      </w:r>
      <w:r w:rsidRPr="00576299">
        <w:rPr>
          <w:szCs w:val="20"/>
        </w:rPr>
        <w:t xml:space="preserve"> Summary of identified trials and studies</w:t>
      </w:r>
    </w:p>
    <w:tbl>
      <w:tblPr>
        <w:tblStyle w:val="TableGrid"/>
        <w:tblW w:w="0" w:type="auto"/>
        <w:tblLook w:val="04A0" w:firstRow="1" w:lastRow="0" w:firstColumn="1" w:lastColumn="0" w:noHBand="0" w:noVBand="1"/>
      </w:tblPr>
      <w:tblGrid>
        <w:gridCol w:w="1413"/>
        <w:gridCol w:w="3402"/>
        <w:gridCol w:w="4201"/>
      </w:tblGrid>
      <w:tr w:rsidR="0092254A" w:rsidRPr="00576299" w14:paraId="5162A6A7" w14:textId="77777777" w:rsidTr="00C068F2">
        <w:tc>
          <w:tcPr>
            <w:tcW w:w="1413" w:type="dxa"/>
            <w:tcBorders>
              <w:top w:val="single" w:sz="4" w:space="0" w:color="auto"/>
              <w:left w:val="single" w:sz="4" w:space="0" w:color="auto"/>
              <w:bottom w:val="single" w:sz="4" w:space="0" w:color="auto"/>
              <w:right w:val="single" w:sz="4" w:space="0" w:color="auto"/>
            </w:tcBorders>
            <w:vAlign w:val="center"/>
            <w:hideMark/>
          </w:tcPr>
          <w:p w14:paraId="3294D690" w14:textId="77777777" w:rsidR="0092254A" w:rsidRPr="00576299" w:rsidRDefault="0092254A" w:rsidP="000E1DA3">
            <w:pPr>
              <w:pStyle w:val="In-tableHeading"/>
              <w:widowControl w:val="0"/>
              <w:rPr>
                <w:lang w:val="en-AU"/>
              </w:rPr>
            </w:pPr>
            <w:r w:rsidRPr="00576299">
              <w:rPr>
                <w:lang w:val="en-AU"/>
              </w:rPr>
              <w:t>Study/trial</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2F81201" w14:textId="77777777" w:rsidR="0092254A" w:rsidRPr="00576299" w:rsidRDefault="0092254A" w:rsidP="000E1DA3">
            <w:pPr>
              <w:pStyle w:val="In-tableHeading"/>
              <w:widowControl w:val="0"/>
              <w:jc w:val="center"/>
              <w:rPr>
                <w:lang w:val="en-AU"/>
              </w:rPr>
            </w:pPr>
            <w:r w:rsidRPr="00576299">
              <w:rPr>
                <w:lang w:val="en-AU"/>
              </w:rPr>
              <w:t>Intervention (n)</w:t>
            </w:r>
          </w:p>
        </w:tc>
        <w:tc>
          <w:tcPr>
            <w:tcW w:w="4201" w:type="dxa"/>
            <w:tcBorders>
              <w:top w:val="single" w:sz="4" w:space="0" w:color="auto"/>
              <w:left w:val="single" w:sz="4" w:space="0" w:color="auto"/>
              <w:bottom w:val="single" w:sz="4" w:space="0" w:color="auto"/>
              <w:right w:val="single" w:sz="4" w:space="0" w:color="auto"/>
            </w:tcBorders>
            <w:vAlign w:val="center"/>
            <w:hideMark/>
          </w:tcPr>
          <w:p w14:paraId="51D772F9" w14:textId="77777777" w:rsidR="0092254A" w:rsidRPr="00576299" w:rsidRDefault="0092254A" w:rsidP="000E1DA3">
            <w:pPr>
              <w:pStyle w:val="In-tableHeading"/>
              <w:widowControl w:val="0"/>
              <w:jc w:val="center"/>
              <w:rPr>
                <w:lang w:val="en-AU"/>
              </w:rPr>
            </w:pPr>
            <w:r w:rsidRPr="00576299">
              <w:rPr>
                <w:lang w:val="en-AU"/>
              </w:rPr>
              <w:t>Comparator (n)</w:t>
            </w:r>
          </w:p>
        </w:tc>
      </w:tr>
      <w:tr w:rsidR="0092254A" w:rsidRPr="00576299" w14:paraId="2DCE6FC2" w14:textId="77777777" w:rsidTr="00C068F2">
        <w:tc>
          <w:tcPr>
            <w:tcW w:w="9016" w:type="dxa"/>
            <w:gridSpan w:val="3"/>
            <w:tcBorders>
              <w:top w:val="single" w:sz="4" w:space="0" w:color="auto"/>
              <w:left w:val="single" w:sz="4" w:space="0" w:color="auto"/>
              <w:bottom w:val="single" w:sz="4" w:space="0" w:color="auto"/>
              <w:right w:val="single" w:sz="4" w:space="0" w:color="auto"/>
            </w:tcBorders>
            <w:vAlign w:val="center"/>
          </w:tcPr>
          <w:p w14:paraId="50A03998" w14:textId="77777777" w:rsidR="0092254A" w:rsidRPr="00576299" w:rsidRDefault="0092254A" w:rsidP="000E1DA3">
            <w:pPr>
              <w:keepNext/>
              <w:widowControl w:val="0"/>
              <w:jc w:val="left"/>
              <w:rPr>
                <w:rFonts w:ascii="Arial Narrow" w:hAnsi="Arial Narrow"/>
                <w:b/>
                <w:bCs/>
                <w:sz w:val="20"/>
                <w:szCs w:val="20"/>
              </w:rPr>
            </w:pPr>
            <w:r w:rsidRPr="00576299">
              <w:rPr>
                <w:rFonts w:ascii="Arial Narrow" w:hAnsi="Arial Narrow"/>
                <w:b/>
                <w:bCs/>
                <w:sz w:val="20"/>
                <w:szCs w:val="20"/>
              </w:rPr>
              <w:t>Dostarlimab</w:t>
            </w:r>
          </w:p>
        </w:tc>
      </w:tr>
      <w:tr w:rsidR="0092254A" w:rsidRPr="00576299" w14:paraId="1D492983" w14:textId="77777777" w:rsidTr="00C068F2">
        <w:tc>
          <w:tcPr>
            <w:tcW w:w="1413" w:type="dxa"/>
            <w:tcBorders>
              <w:top w:val="single" w:sz="4" w:space="0" w:color="auto"/>
              <w:left w:val="single" w:sz="4" w:space="0" w:color="auto"/>
              <w:bottom w:val="single" w:sz="4" w:space="0" w:color="auto"/>
              <w:right w:val="single" w:sz="4" w:space="0" w:color="auto"/>
            </w:tcBorders>
            <w:vAlign w:val="center"/>
            <w:hideMark/>
          </w:tcPr>
          <w:p w14:paraId="63A242C3" w14:textId="77777777" w:rsidR="0092254A" w:rsidRPr="00576299" w:rsidRDefault="0092254A" w:rsidP="000E1DA3">
            <w:pPr>
              <w:keepNext/>
              <w:widowControl w:val="0"/>
              <w:jc w:val="left"/>
              <w:rPr>
                <w:rFonts w:ascii="Arial Narrow" w:hAnsi="Arial Narrow"/>
                <w:sz w:val="20"/>
                <w:szCs w:val="20"/>
              </w:rPr>
            </w:pPr>
            <w:r w:rsidRPr="00576299">
              <w:rPr>
                <w:rFonts w:ascii="Arial Narrow" w:hAnsi="Arial Narrow"/>
                <w:sz w:val="20"/>
                <w:szCs w:val="20"/>
              </w:rPr>
              <w:t>GARNET</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E81226" w14:textId="77777777" w:rsidR="0092254A" w:rsidRPr="00576299" w:rsidRDefault="0092254A" w:rsidP="000E1DA3">
            <w:pPr>
              <w:keepNext/>
              <w:widowControl w:val="0"/>
              <w:jc w:val="center"/>
              <w:rPr>
                <w:rFonts w:ascii="Arial Narrow" w:hAnsi="Arial Narrow"/>
                <w:sz w:val="20"/>
                <w:szCs w:val="20"/>
                <w:u w:val="single"/>
              </w:rPr>
            </w:pPr>
            <w:r w:rsidRPr="00576299">
              <w:rPr>
                <w:rFonts w:ascii="Arial Narrow" w:hAnsi="Arial Narrow"/>
                <w:sz w:val="20"/>
                <w:szCs w:val="20"/>
                <w:u w:val="single"/>
              </w:rPr>
              <w:t>Dostarlimab (Cohort A1, data cut IA3 n=153)</w:t>
            </w:r>
          </w:p>
        </w:tc>
        <w:tc>
          <w:tcPr>
            <w:tcW w:w="4201" w:type="dxa"/>
            <w:tcBorders>
              <w:top w:val="single" w:sz="4" w:space="0" w:color="auto"/>
              <w:left w:val="single" w:sz="4" w:space="0" w:color="auto"/>
              <w:bottom w:val="single" w:sz="4" w:space="0" w:color="auto"/>
              <w:right w:val="single" w:sz="4" w:space="0" w:color="auto"/>
            </w:tcBorders>
            <w:vAlign w:val="center"/>
            <w:hideMark/>
          </w:tcPr>
          <w:p w14:paraId="7C0D1770" w14:textId="77777777" w:rsidR="0092254A" w:rsidRPr="00576299" w:rsidRDefault="0092254A" w:rsidP="000E1DA3">
            <w:pPr>
              <w:keepNext/>
              <w:widowControl w:val="0"/>
              <w:jc w:val="center"/>
              <w:rPr>
                <w:rFonts w:ascii="Arial Narrow" w:hAnsi="Arial Narrow"/>
                <w:sz w:val="20"/>
                <w:szCs w:val="20"/>
              </w:rPr>
            </w:pPr>
            <w:r w:rsidRPr="00576299">
              <w:rPr>
                <w:rFonts w:ascii="Arial Narrow" w:hAnsi="Arial Narrow"/>
                <w:sz w:val="20"/>
                <w:szCs w:val="20"/>
              </w:rPr>
              <w:t>NA</w:t>
            </w:r>
          </w:p>
        </w:tc>
      </w:tr>
      <w:tr w:rsidR="0092254A" w:rsidRPr="00576299" w14:paraId="5D83D46E" w14:textId="77777777" w:rsidTr="00C068F2">
        <w:tc>
          <w:tcPr>
            <w:tcW w:w="9016" w:type="dxa"/>
            <w:gridSpan w:val="3"/>
            <w:tcBorders>
              <w:top w:val="single" w:sz="4" w:space="0" w:color="auto"/>
              <w:left w:val="single" w:sz="4" w:space="0" w:color="auto"/>
              <w:bottom w:val="single" w:sz="4" w:space="0" w:color="auto"/>
              <w:right w:val="single" w:sz="4" w:space="0" w:color="auto"/>
            </w:tcBorders>
            <w:vAlign w:val="center"/>
          </w:tcPr>
          <w:p w14:paraId="1ACA49F4" w14:textId="77777777" w:rsidR="0092254A" w:rsidRPr="00576299" w:rsidRDefault="0092254A" w:rsidP="000E1DA3">
            <w:pPr>
              <w:keepNext/>
              <w:widowControl w:val="0"/>
              <w:jc w:val="left"/>
              <w:rPr>
                <w:rFonts w:ascii="Arial Narrow" w:hAnsi="Arial Narrow"/>
                <w:b/>
                <w:bCs/>
                <w:sz w:val="20"/>
                <w:szCs w:val="20"/>
              </w:rPr>
            </w:pPr>
            <w:r w:rsidRPr="00576299">
              <w:rPr>
                <w:rFonts w:ascii="Arial Narrow" w:hAnsi="Arial Narrow"/>
                <w:b/>
                <w:bCs/>
                <w:sz w:val="20"/>
                <w:szCs w:val="20"/>
              </w:rPr>
              <w:t>SoC</w:t>
            </w:r>
          </w:p>
        </w:tc>
      </w:tr>
      <w:tr w:rsidR="0092254A" w:rsidRPr="00576299" w14:paraId="6A759AE8" w14:textId="77777777" w:rsidTr="00C068F2">
        <w:tc>
          <w:tcPr>
            <w:tcW w:w="1413" w:type="dxa"/>
            <w:tcBorders>
              <w:top w:val="single" w:sz="4" w:space="0" w:color="auto"/>
              <w:left w:val="single" w:sz="4" w:space="0" w:color="auto"/>
              <w:bottom w:val="single" w:sz="4" w:space="0" w:color="auto"/>
              <w:right w:val="single" w:sz="4" w:space="0" w:color="auto"/>
            </w:tcBorders>
            <w:vAlign w:val="center"/>
            <w:hideMark/>
          </w:tcPr>
          <w:p w14:paraId="2579620B" w14:textId="77777777" w:rsidR="0092254A" w:rsidRPr="00576299" w:rsidRDefault="0092254A" w:rsidP="000E1DA3">
            <w:pPr>
              <w:keepNext/>
              <w:widowControl w:val="0"/>
              <w:jc w:val="left"/>
              <w:rPr>
                <w:rFonts w:ascii="Arial Narrow" w:hAnsi="Arial Narrow"/>
                <w:sz w:val="20"/>
                <w:szCs w:val="20"/>
              </w:rPr>
            </w:pPr>
            <w:r w:rsidRPr="00576299">
              <w:rPr>
                <w:rFonts w:ascii="Arial Narrow" w:hAnsi="Arial Narrow"/>
                <w:sz w:val="20"/>
                <w:szCs w:val="20"/>
              </w:rPr>
              <w:t>ZoptEC</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CB310EB" w14:textId="77777777" w:rsidR="0092254A" w:rsidRPr="00576299" w:rsidRDefault="0092254A" w:rsidP="000E1DA3">
            <w:pPr>
              <w:keepNext/>
              <w:widowControl w:val="0"/>
              <w:jc w:val="center"/>
              <w:rPr>
                <w:rFonts w:ascii="Arial Narrow" w:hAnsi="Arial Narrow"/>
                <w:sz w:val="20"/>
                <w:szCs w:val="20"/>
              </w:rPr>
            </w:pPr>
            <w:r w:rsidRPr="00576299">
              <w:rPr>
                <w:rFonts w:ascii="Arial Narrow" w:hAnsi="Arial Narrow"/>
                <w:sz w:val="20"/>
                <w:szCs w:val="20"/>
              </w:rPr>
              <w:t>Zoptarelin doxorubicin (n=256)</w:t>
            </w:r>
          </w:p>
        </w:tc>
        <w:tc>
          <w:tcPr>
            <w:tcW w:w="4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9CE7CE" w14:textId="77777777" w:rsidR="0092254A" w:rsidRPr="00576299" w:rsidRDefault="0092254A" w:rsidP="000E1DA3">
            <w:pPr>
              <w:keepNext/>
              <w:widowControl w:val="0"/>
              <w:jc w:val="center"/>
              <w:rPr>
                <w:rFonts w:ascii="Arial Narrow" w:hAnsi="Arial Narrow"/>
                <w:sz w:val="20"/>
                <w:szCs w:val="20"/>
              </w:rPr>
            </w:pPr>
            <w:r w:rsidRPr="00576299">
              <w:rPr>
                <w:rFonts w:ascii="Arial Narrow" w:hAnsi="Arial Narrow"/>
                <w:sz w:val="20"/>
                <w:szCs w:val="20"/>
              </w:rPr>
              <w:t xml:space="preserve">Doxorubicin (n=255) </w:t>
            </w:r>
          </w:p>
        </w:tc>
      </w:tr>
      <w:tr w:rsidR="0092254A" w:rsidRPr="00576299" w14:paraId="5BD71BC3" w14:textId="77777777" w:rsidTr="00C068F2">
        <w:tc>
          <w:tcPr>
            <w:tcW w:w="1413" w:type="dxa"/>
            <w:tcBorders>
              <w:top w:val="single" w:sz="4" w:space="0" w:color="auto"/>
              <w:left w:val="single" w:sz="4" w:space="0" w:color="auto"/>
              <w:bottom w:val="single" w:sz="4" w:space="0" w:color="auto"/>
              <w:right w:val="single" w:sz="4" w:space="0" w:color="auto"/>
            </w:tcBorders>
            <w:vAlign w:val="center"/>
            <w:hideMark/>
          </w:tcPr>
          <w:p w14:paraId="3CC4A4A7" w14:textId="77777777" w:rsidR="0092254A" w:rsidRPr="00576299" w:rsidRDefault="0092254A" w:rsidP="000E1DA3">
            <w:pPr>
              <w:keepNext/>
              <w:widowControl w:val="0"/>
              <w:jc w:val="left"/>
              <w:rPr>
                <w:rFonts w:ascii="Arial Narrow" w:hAnsi="Arial Narrow"/>
                <w:sz w:val="20"/>
                <w:szCs w:val="20"/>
              </w:rPr>
            </w:pPr>
            <w:r w:rsidRPr="00576299">
              <w:rPr>
                <w:rFonts w:ascii="Arial Narrow" w:hAnsi="Arial Narrow"/>
                <w:sz w:val="20"/>
                <w:szCs w:val="20"/>
              </w:rPr>
              <w:t>IXAMPLE2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EED637F" w14:textId="77777777" w:rsidR="0092254A" w:rsidRPr="00576299" w:rsidRDefault="0092254A" w:rsidP="000E1DA3">
            <w:pPr>
              <w:keepNext/>
              <w:widowControl w:val="0"/>
              <w:jc w:val="center"/>
              <w:rPr>
                <w:rFonts w:ascii="Arial Narrow" w:hAnsi="Arial Narrow"/>
                <w:sz w:val="20"/>
                <w:szCs w:val="20"/>
              </w:rPr>
            </w:pPr>
            <w:r w:rsidRPr="00576299">
              <w:rPr>
                <w:rFonts w:ascii="Arial Narrow" w:hAnsi="Arial Narrow"/>
                <w:sz w:val="20"/>
                <w:szCs w:val="20"/>
              </w:rPr>
              <w:t>Ixabepilone (n=248)</w:t>
            </w:r>
          </w:p>
        </w:tc>
        <w:tc>
          <w:tcPr>
            <w:tcW w:w="4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0EEE41" w14:textId="77777777" w:rsidR="0092254A" w:rsidRPr="00576299" w:rsidRDefault="0092254A" w:rsidP="000E1DA3">
            <w:pPr>
              <w:keepNext/>
              <w:widowControl w:val="0"/>
              <w:jc w:val="center"/>
              <w:rPr>
                <w:rFonts w:ascii="Arial Narrow" w:hAnsi="Arial Narrow"/>
                <w:sz w:val="20"/>
                <w:szCs w:val="20"/>
              </w:rPr>
            </w:pPr>
            <w:r w:rsidRPr="00576299">
              <w:rPr>
                <w:rFonts w:ascii="Arial Narrow" w:hAnsi="Arial Narrow"/>
                <w:sz w:val="20"/>
                <w:szCs w:val="20"/>
              </w:rPr>
              <w:t>Paclitaxel or doxorubicin (n=248)</w:t>
            </w:r>
          </w:p>
        </w:tc>
      </w:tr>
      <w:tr w:rsidR="0092254A" w:rsidRPr="00576299" w14:paraId="5BD0A5E1" w14:textId="77777777" w:rsidTr="00C068F2">
        <w:tc>
          <w:tcPr>
            <w:tcW w:w="1413" w:type="dxa"/>
            <w:tcBorders>
              <w:top w:val="single" w:sz="4" w:space="0" w:color="auto"/>
              <w:left w:val="single" w:sz="4" w:space="0" w:color="auto"/>
              <w:bottom w:val="single" w:sz="4" w:space="0" w:color="auto"/>
              <w:right w:val="single" w:sz="4" w:space="0" w:color="auto"/>
            </w:tcBorders>
            <w:vAlign w:val="center"/>
            <w:hideMark/>
          </w:tcPr>
          <w:p w14:paraId="6650F41C" w14:textId="77777777" w:rsidR="0092254A" w:rsidRPr="00576299" w:rsidRDefault="0092254A" w:rsidP="000E1DA3">
            <w:pPr>
              <w:keepNext/>
              <w:widowControl w:val="0"/>
              <w:jc w:val="left"/>
              <w:rPr>
                <w:rFonts w:ascii="Arial Narrow" w:hAnsi="Arial Narrow"/>
                <w:sz w:val="20"/>
                <w:szCs w:val="20"/>
              </w:rPr>
            </w:pPr>
            <w:r w:rsidRPr="00576299">
              <w:rPr>
                <w:rFonts w:ascii="Arial Narrow" w:hAnsi="Arial Narrow"/>
                <w:sz w:val="20"/>
                <w:szCs w:val="20"/>
              </w:rPr>
              <w:t>KEYNOTE-775</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AB1C211" w14:textId="77777777" w:rsidR="0092254A" w:rsidRPr="00576299" w:rsidRDefault="0092254A" w:rsidP="000E1DA3">
            <w:pPr>
              <w:keepNext/>
              <w:widowControl w:val="0"/>
              <w:jc w:val="center"/>
              <w:rPr>
                <w:rFonts w:ascii="Arial Narrow" w:hAnsi="Arial Narrow"/>
                <w:sz w:val="20"/>
                <w:szCs w:val="20"/>
              </w:rPr>
            </w:pPr>
            <w:r w:rsidRPr="00576299">
              <w:rPr>
                <w:rFonts w:ascii="Arial Narrow" w:hAnsi="Arial Narrow"/>
                <w:sz w:val="20"/>
                <w:szCs w:val="20"/>
              </w:rPr>
              <w:t>Pembrolizumab + lenvatinib (ITT n=411)</w:t>
            </w:r>
          </w:p>
        </w:tc>
        <w:tc>
          <w:tcPr>
            <w:tcW w:w="4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6EF599" w14:textId="77777777" w:rsidR="0092254A" w:rsidRPr="00576299" w:rsidRDefault="0092254A" w:rsidP="000E1DA3">
            <w:pPr>
              <w:keepNext/>
              <w:widowControl w:val="0"/>
              <w:jc w:val="center"/>
              <w:rPr>
                <w:rFonts w:ascii="Arial Narrow" w:hAnsi="Arial Narrow"/>
                <w:sz w:val="20"/>
                <w:szCs w:val="20"/>
              </w:rPr>
            </w:pPr>
            <w:r w:rsidRPr="00576299">
              <w:rPr>
                <w:rFonts w:ascii="Arial Narrow" w:hAnsi="Arial Narrow"/>
                <w:sz w:val="20"/>
                <w:szCs w:val="20"/>
              </w:rPr>
              <w:t>Paclitaxel or doxorubicin (n=416)</w:t>
            </w:r>
          </w:p>
        </w:tc>
      </w:tr>
      <w:tr w:rsidR="0092254A" w:rsidRPr="00576299" w14:paraId="51CC5396" w14:textId="77777777" w:rsidTr="00C068F2">
        <w:tc>
          <w:tcPr>
            <w:tcW w:w="1413" w:type="dxa"/>
            <w:tcBorders>
              <w:top w:val="single" w:sz="4" w:space="0" w:color="auto"/>
              <w:left w:val="single" w:sz="4" w:space="0" w:color="auto"/>
              <w:bottom w:val="single" w:sz="4" w:space="0" w:color="auto"/>
              <w:right w:val="single" w:sz="4" w:space="0" w:color="auto"/>
            </w:tcBorders>
            <w:vAlign w:val="center"/>
            <w:hideMark/>
          </w:tcPr>
          <w:p w14:paraId="6E788486" w14:textId="77777777" w:rsidR="0092254A" w:rsidRPr="00576299" w:rsidRDefault="0092254A" w:rsidP="000E1DA3">
            <w:pPr>
              <w:keepNext/>
              <w:widowControl w:val="0"/>
              <w:jc w:val="left"/>
              <w:rPr>
                <w:rFonts w:ascii="Arial Narrow" w:hAnsi="Arial Narrow"/>
                <w:sz w:val="20"/>
                <w:szCs w:val="20"/>
              </w:rPr>
            </w:pPr>
            <w:r w:rsidRPr="00576299">
              <w:rPr>
                <w:rFonts w:ascii="Arial Narrow" w:hAnsi="Arial Narrow"/>
                <w:sz w:val="20"/>
                <w:szCs w:val="20"/>
              </w:rPr>
              <w:t>Scambia 2020</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080F614" w14:textId="77777777" w:rsidR="0092254A" w:rsidRPr="00576299" w:rsidRDefault="0092254A" w:rsidP="000E1DA3">
            <w:pPr>
              <w:keepNext/>
              <w:widowControl w:val="0"/>
              <w:jc w:val="center"/>
              <w:rPr>
                <w:rFonts w:ascii="Arial Narrow" w:hAnsi="Arial Narrow"/>
                <w:sz w:val="20"/>
                <w:szCs w:val="20"/>
              </w:rPr>
            </w:pPr>
            <w:r w:rsidRPr="00576299">
              <w:rPr>
                <w:rFonts w:ascii="Arial Narrow" w:hAnsi="Arial Narrow"/>
                <w:sz w:val="20"/>
                <w:szCs w:val="20"/>
              </w:rPr>
              <w:t>Sapanisertib + paclitaxel (n=90)</w:t>
            </w:r>
          </w:p>
          <w:p w14:paraId="0E6D183D" w14:textId="77777777" w:rsidR="0092254A" w:rsidRPr="00576299" w:rsidRDefault="0092254A" w:rsidP="000E1DA3">
            <w:pPr>
              <w:keepNext/>
              <w:widowControl w:val="0"/>
              <w:jc w:val="center"/>
              <w:rPr>
                <w:rFonts w:ascii="Arial Narrow" w:hAnsi="Arial Narrow"/>
                <w:sz w:val="20"/>
                <w:szCs w:val="20"/>
              </w:rPr>
            </w:pPr>
            <w:r w:rsidRPr="00576299">
              <w:rPr>
                <w:rFonts w:ascii="Arial Narrow" w:hAnsi="Arial Narrow"/>
                <w:sz w:val="20"/>
                <w:szCs w:val="20"/>
              </w:rPr>
              <w:t>Sapanisertib (n=41)</w:t>
            </w:r>
          </w:p>
          <w:p w14:paraId="0A478DC4" w14:textId="77777777" w:rsidR="0092254A" w:rsidRPr="00576299" w:rsidRDefault="0092254A" w:rsidP="000E1DA3">
            <w:pPr>
              <w:keepNext/>
              <w:widowControl w:val="0"/>
              <w:jc w:val="center"/>
              <w:rPr>
                <w:rFonts w:ascii="Arial Narrow" w:hAnsi="Arial Narrow"/>
                <w:sz w:val="20"/>
                <w:szCs w:val="20"/>
              </w:rPr>
            </w:pPr>
            <w:r w:rsidRPr="00576299">
              <w:rPr>
                <w:rFonts w:ascii="Arial Narrow" w:hAnsi="Arial Narrow"/>
                <w:sz w:val="20"/>
                <w:szCs w:val="20"/>
              </w:rPr>
              <w:t>Sapanisertib + serabelisib (n=20)</w:t>
            </w:r>
          </w:p>
        </w:tc>
        <w:tc>
          <w:tcPr>
            <w:tcW w:w="4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16551E" w14:textId="77777777" w:rsidR="0092254A" w:rsidRPr="00576299" w:rsidRDefault="0092254A" w:rsidP="000E1DA3">
            <w:pPr>
              <w:keepNext/>
              <w:widowControl w:val="0"/>
              <w:jc w:val="center"/>
              <w:rPr>
                <w:rFonts w:ascii="Arial Narrow" w:hAnsi="Arial Narrow"/>
                <w:sz w:val="20"/>
                <w:szCs w:val="20"/>
              </w:rPr>
            </w:pPr>
            <w:r w:rsidRPr="00576299">
              <w:rPr>
                <w:rFonts w:ascii="Arial Narrow" w:hAnsi="Arial Narrow"/>
                <w:sz w:val="20"/>
                <w:szCs w:val="20"/>
              </w:rPr>
              <w:t>Paclitaxel (n=90)</w:t>
            </w:r>
          </w:p>
        </w:tc>
      </w:tr>
      <w:tr w:rsidR="0092254A" w:rsidRPr="00576299" w14:paraId="502CBB4D" w14:textId="77777777" w:rsidTr="00C068F2">
        <w:tc>
          <w:tcPr>
            <w:tcW w:w="1413" w:type="dxa"/>
            <w:tcBorders>
              <w:top w:val="single" w:sz="4" w:space="0" w:color="auto"/>
              <w:left w:val="single" w:sz="4" w:space="0" w:color="auto"/>
              <w:bottom w:val="single" w:sz="4" w:space="0" w:color="auto"/>
              <w:right w:val="single" w:sz="4" w:space="0" w:color="auto"/>
            </w:tcBorders>
            <w:vAlign w:val="center"/>
          </w:tcPr>
          <w:p w14:paraId="26AF8CB7" w14:textId="77777777" w:rsidR="0092254A" w:rsidRPr="00576299" w:rsidRDefault="0092254A" w:rsidP="000E1DA3">
            <w:pPr>
              <w:keepNext/>
              <w:widowControl w:val="0"/>
              <w:jc w:val="left"/>
              <w:rPr>
                <w:rFonts w:ascii="Arial Narrow" w:hAnsi="Arial Narrow"/>
                <w:sz w:val="20"/>
                <w:szCs w:val="20"/>
              </w:rPr>
            </w:pPr>
            <w:r w:rsidRPr="00576299">
              <w:rPr>
                <w:rFonts w:ascii="Arial Narrow" w:hAnsi="Arial Narrow"/>
                <w:sz w:val="20"/>
                <w:szCs w:val="20"/>
              </w:rPr>
              <w:t>UK RWE</w:t>
            </w:r>
          </w:p>
        </w:tc>
        <w:tc>
          <w:tcPr>
            <w:tcW w:w="3402" w:type="dxa"/>
            <w:tcBorders>
              <w:top w:val="single" w:sz="4" w:space="0" w:color="auto"/>
              <w:left w:val="single" w:sz="4" w:space="0" w:color="auto"/>
              <w:bottom w:val="single" w:sz="4" w:space="0" w:color="auto"/>
              <w:right w:val="single" w:sz="4" w:space="0" w:color="auto"/>
            </w:tcBorders>
            <w:vAlign w:val="center"/>
          </w:tcPr>
          <w:p w14:paraId="37B61F8C" w14:textId="77777777" w:rsidR="0092254A" w:rsidRPr="00576299" w:rsidRDefault="0092254A" w:rsidP="000E1DA3">
            <w:pPr>
              <w:keepNext/>
              <w:widowControl w:val="0"/>
              <w:jc w:val="center"/>
              <w:rPr>
                <w:rFonts w:ascii="Arial Narrow" w:hAnsi="Arial Narrow"/>
                <w:sz w:val="20"/>
                <w:szCs w:val="20"/>
              </w:rPr>
            </w:pPr>
            <w:r w:rsidRPr="00576299">
              <w:rPr>
                <w:rFonts w:ascii="Arial Narrow" w:hAnsi="Arial Narrow"/>
                <w:sz w:val="20"/>
                <w:szCs w:val="20"/>
              </w:rPr>
              <w:t>NA</w:t>
            </w:r>
          </w:p>
        </w:tc>
        <w:tc>
          <w:tcPr>
            <w:tcW w:w="4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E51A3F" w14:textId="77777777" w:rsidR="0092254A" w:rsidRPr="00576299" w:rsidRDefault="0092254A" w:rsidP="000E1DA3">
            <w:pPr>
              <w:keepNext/>
              <w:widowControl w:val="0"/>
              <w:jc w:val="center"/>
              <w:rPr>
                <w:rFonts w:ascii="Arial Narrow" w:hAnsi="Arial Narrow"/>
                <w:sz w:val="20"/>
                <w:szCs w:val="20"/>
              </w:rPr>
            </w:pPr>
            <w:r w:rsidRPr="00576299">
              <w:rPr>
                <w:rFonts w:ascii="Arial Narrow" w:hAnsi="Arial Narrow"/>
                <w:sz w:val="20"/>
                <w:szCs w:val="20"/>
              </w:rPr>
              <w:t>Single agent and combination platinum and non platinum chemotherapy. (n=999)</w:t>
            </w:r>
          </w:p>
        </w:tc>
      </w:tr>
      <w:tr w:rsidR="0092254A" w:rsidRPr="00576299" w14:paraId="11D630FE" w14:textId="77777777" w:rsidTr="00C068F2">
        <w:tc>
          <w:tcPr>
            <w:tcW w:w="9016" w:type="dxa"/>
            <w:gridSpan w:val="3"/>
            <w:tcBorders>
              <w:top w:val="single" w:sz="4" w:space="0" w:color="auto"/>
              <w:left w:val="single" w:sz="4" w:space="0" w:color="auto"/>
              <w:bottom w:val="single" w:sz="4" w:space="0" w:color="auto"/>
              <w:right w:val="single" w:sz="4" w:space="0" w:color="auto"/>
            </w:tcBorders>
            <w:vAlign w:val="center"/>
          </w:tcPr>
          <w:p w14:paraId="5F1A5FB3" w14:textId="77777777" w:rsidR="0092254A" w:rsidRPr="00576299" w:rsidRDefault="0092254A" w:rsidP="000E1DA3">
            <w:pPr>
              <w:keepNext/>
              <w:widowControl w:val="0"/>
              <w:jc w:val="left"/>
              <w:rPr>
                <w:rFonts w:ascii="Arial Narrow" w:hAnsi="Arial Narrow"/>
                <w:b/>
                <w:bCs/>
                <w:sz w:val="20"/>
                <w:szCs w:val="20"/>
                <w:vertAlign w:val="superscript"/>
              </w:rPr>
            </w:pPr>
            <w:r w:rsidRPr="00576299">
              <w:rPr>
                <w:rFonts w:ascii="Arial Narrow" w:hAnsi="Arial Narrow"/>
                <w:b/>
                <w:bCs/>
                <w:sz w:val="20"/>
                <w:szCs w:val="20"/>
              </w:rPr>
              <w:t xml:space="preserve">Pembrolizumab +/- lenvatinib </w:t>
            </w:r>
            <w:r w:rsidRPr="00576299">
              <w:rPr>
                <w:rFonts w:ascii="Arial Narrow" w:hAnsi="Arial Narrow"/>
                <w:b/>
                <w:bCs/>
                <w:sz w:val="20"/>
                <w:szCs w:val="20"/>
                <w:vertAlign w:val="superscript"/>
              </w:rPr>
              <w:t>a</w:t>
            </w:r>
          </w:p>
        </w:tc>
      </w:tr>
      <w:tr w:rsidR="0092254A" w:rsidRPr="00576299" w14:paraId="7BA0538C" w14:textId="77777777" w:rsidTr="00C068F2">
        <w:tc>
          <w:tcPr>
            <w:tcW w:w="1413" w:type="dxa"/>
            <w:tcBorders>
              <w:top w:val="single" w:sz="4" w:space="0" w:color="auto"/>
              <w:left w:val="single" w:sz="4" w:space="0" w:color="auto"/>
              <w:bottom w:val="single" w:sz="4" w:space="0" w:color="auto"/>
              <w:right w:val="single" w:sz="4" w:space="0" w:color="auto"/>
            </w:tcBorders>
            <w:vAlign w:val="center"/>
          </w:tcPr>
          <w:p w14:paraId="61224761" w14:textId="77777777" w:rsidR="0092254A" w:rsidRPr="00576299" w:rsidRDefault="0092254A" w:rsidP="000E1DA3">
            <w:pPr>
              <w:keepNext/>
              <w:widowControl w:val="0"/>
              <w:jc w:val="left"/>
              <w:rPr>
                <w:rFonts w:ascii="Arial Narrow" w:hAnsi="Arial Narrow"/>
                <w:sz w:val="20"/>
                <w:szCs w:val="20"/>
              </w:rPr>
            </w:pPr>
            <w:r w:rsidRPr="00576299">
              <w:rPr>
                <w:rFonts w:ascii="Arial Narrow" w:hAnsi="Arial Narrow"/>
                <w:sz w:val="20"/>
                <w:szCs w:val="20"/>
              </w:rPr>
              <w:t>KEYNOTE-775</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193C89" w14:textId="77777777" w:rsidR="0092254A" w:rsidRPr="00576299" w:rsidRDefault="0092254A" w:rsidP="000E1DA3">
            <w:pPr>
              <w:keepNext/>
              <w:widowControl w:val="0"/>
              <w:jc w:val="center"/>
              <w:rPr>
                <w:rFonts w:ascii="Arial Narrow" w:hAnsi="Arial Narrow"/>
                <w:sz w:val="20"/>
                <w:szCs w:val="20"/>
                <w:u w:val="single"/>
              </w:rPr>
            </w:pPr>
            <w:r w:rsidRPr="00576299">
              <w:rPr>
                <w:rFonts w:ascii="Arial Narrow" w:hAnsi="Arial Narrow"/>
                <w:sz w:val="20"/>
                <w:szCs w:val="20"/>
                <w:u w:val="single"/>
              </w:rPr>
              <w:t>Pembrolizumab + lenvatinib (ITT n=411; dMMR N=65)</w:t>
            </w:r>
          </w:p>
        </w:tc>
        <w:tc>
          <w:tcPr>
            <w:tcW w:w="4201" w:type="dxa"/>
            <w:tcBorders>
              <w:top w:val="single" w:sz="4" w:space="0" w:color="auto"/>
              <w:left w:val="single" w:sz="4" w:space="0" w:color="auto"/>
              <w:bottom w:val="single" w:sz="4" w:space="0" w:color="auto"/>
              <w:right w:val="single" w:sz="4" w:space="0" w:color="auto"/>
            </w:tcBorders>
            <w:shd w:val="clear" w:color="auto" w:fill="auto"/>
            <w:vAlign w:val="center"/>
          </w:tcPr>
          <w:p w14:paraId="12344DFB" w14:textId="77777777" w:rsidR="0092254A" w:rsidRPr="00576299" w:rsidRDefault="0092254A" w:rsidP="000E1DA3">
            <w:pPr>
              <w:keepNext/>
              <w:widowControl w:val="0"/>
              <w:jc w:val="center"/>
              <w:rPr>
                <w:rFonts w:ascii="Arial Narrow" w:hAnsi="Arial Narrow"/>
                <w:sz w:val="20"/>
                <w:szCs w:val="20"/>
              </w:rPr>
            </w:pPr>
            <w:r w:rsidRPr="00576299">
              <w:rPr>
                <w:rFonts w:ascii="Arial Narrow" w:hAnsi="Arial Narrow"/>
                <w:sz w:val="20"/>
                <w:szCs w:val="20"/>
              </w:rPr>
              <w:t>Paclitaxel or doxorubicin (n=416)</w:t>
            </w:r>
          </w:p>
        </w:tc>
      </w:tr>
      <w:tr w:rsidR="0092254A" w:rsidRPr="00576299" w14:paraId="34EF5129" w14:textId="77777777" w:rsidTr="00C068F2">
        <w:tc>
          <w:tcPr>
            <w:tcW w:w="1413" w:type="dxa"/>
            <w:tcBorders>
              <w:top w:val="single" w:sz="4" w:space="0" w:color="auto"/>
              <w:left w:val="single" w:sz="4" w:space="0" w:color="auto"/>
              <w:bottom w:val="single" w:sz="4" w:space="0" w:color="auto"/>
              <w:right w:val="single" w:sz="4" w:space="0" w:color="auto"/>
            </w:tcBorders>
            <w:vAlign w:val="center"/>
          </w:tcPr>
          <w:p w14:paraId="50B218FF" w14:textId="77777777" w:rsidR="0092254A" w:rsidRPr="00576299" w:rsidRDefault="0092254A" w:rsidP="000E1DA3">
            <w:pPr>
              <w:keepNext/>
              <w:widowControl w:val="0"/>
              <w:jc w:val="left"/>
              <w:rPr>
                <w:rFonts w:ascii="Arial Narrow" w:hAnsi="Arial Narrow"/>
                <w:sz w:val="20"/>
                <w:szCs w:val="20"/>
              </w:rPr>
            </w:pPr>
            <w:r w:rsidRPr="00576299">
              <w:rPr>
                <w:rFonts w:ascii="Arial Narrow" w:hAnsi="Arial Narrow"/>
                <w:sz w:val="20"/>
                <w:szCs w:val="20"/>
              </w:rPr>
              <w:t>KEYNOTE-158</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75C148" w14:textId="77777777" w:rsidR="0092254A" w:rsidRPr="00216464" w:rsidRDefault="0092254A" w:rsidP="000E1DA3">
            <w:pPr>
              <w:keepNext/>
              <w:widowControl w:val="0"/>
              <w:jc w:val="center"/>
              <w:rPr>
                <w:rFonts w:ascii="Arial Narrow" w:hAnsi="Arial Narrow"/>
                <w:sz w:val="20"/>
                <w:szCs w:val="20"/>
                <w:u w:val="single"/>
                <w:lang w:val="it-IT"/>
              </w:rPr>
            </w:pPr>
            <w:r w:rsidRPr="00216464">
              <w:rPr>
                <w:rFonts w:ascii="Arial Narrow" w:hAnsi="Arial Narrow"/>
                <w:sz w:val="20"/>
                <w:szCs w:val="20"/>
                <w:u w:val="single"/>
                <w:lang w:val="it-IT"/>
              </w:rPr>
              <w:t>Pembrolizumab (MSI-H/ dMMR N=90)</w:t>
            </w:r>
          </w:p>
        </w:tc>
        <w:tc>
          <w:tcPr>
            <w:tcW w:w="4201" w:type="dxa"/>
            <w:tcBorders>
              <w:top w:val="single" w:sz="4" w:space="0" w:color="auto"/>
              <w:left w:val="single" w:sz="4" w:space="0" w:color="auto"/>
              <w:bottom w:val="single" w:sz="4" w:space="0" w:color="auto"/>
              <w:right w:val="single" w:sz="4" w:space="0" w:color="auto"/>
            </w:tcBorders>
            <w:shd w:val="clear" w:color="auto" w:fill="auto"/>
            <w:vAlign w:val="center"/>
          </w:tcPr>
          <w:p w14:paraId="4F84CE68" w14:textId="77777777" w:rsidR="0092254A" w:rsidRPr="00576299" w:rsidRDefault="0092254A" w:rsidP="000E1DA3">
            <w:pPr>
              <w:keepNext/>
              <w:widowControl w:val="0"/>
              <w:jc w:val="center"/>
              <w:rPr>
                <w:rFonts w:ascii="Arial Narrow" w:hAnsi="Arial Narrow"/>
                <w:sz w:val="20"/>
                <w:szCs w:val="20"/>
              </w:rPr>
            </w:pPr>
            <w:r w:rsidRPr="00576299">
              <w:rPr>
                <w:rFonts w:ascii="Arial Narrow" w:hAnsi="Arial Narrow"/>
                <w:sz w:val="20"/>
                <w:szCs w:val="20"/>
              </w:rPr>
              <w:t>NA</w:t>
            </w:r>
          </w:p>
        </w:tc>
      </w:tr>
    </w:tbl>
    <w:p w14:paraId="7FBD200F" w14:textId="77777777" w:rsidR="00C73213" w:rsidRPr="00576299" w:rsidRDefault="00C73213" w:rsidP="000E1DA3">
      <w:pPr>
        <w:pStyle w:val="TableFooter"/>
        <w:keepNext/>
        <w:rPr>
          <w:szCs w:val="22"/>
          <w:lang w:eastAsia="en-US"/>
        </w:rPr>
      </w:pPr>
      <w:r w:rsidRPr="00576299">
        <w:t>Source: constructed during evaluation.</w:t>
      </w:r>
    </w:p>
    <w:p w14:paraId="5C096284" w14:textId="77777777" w:rsidR="0092254A" w:rsidRPr="00576299" w:rsidRDefault="0092254A" w:rsidP="000E1DA3">
      <w:pPr>
        <w:pStyle w:val="TableFooter"/>
        <w:keepNext/>
      </w:pPr>
      <w:r w:rsidRPr="00576299">
        <w:t xml:space="preserve">ITT = intention to treat; dMMR = mismatch repair deficient; MSI-H = high microsatellite instability; n = number of participants; NA = not applicable; SoC = standard of care. </w:t>
      </w:r>
    </w:p>
    <w:p w14:paraId="19A52036" w14:textId="77777777" w:rsidR="00C73213" w:rsidRPr="00576299" w:rsidRDefault="00C73213" w:rsidP="000E1DA3">
      <w:pPr>
        <w:pStyle w:val="TableFooter"/>
        <w:keepNext/>
      </w:pPr>
      <w:r w:rsidRPr="00576299">
        <w:t>a KEYNOTE-775 and KEYNOTE-158 were considered by the PBAC in the submission for pembrolizumab for the treatment of patients with advanced endometrial cancer who have disease progression following prior systemic therapy at the March 2022 PBAC meeting</w:t>
      </w:r>
    </w:p>
    <w:p w14:paraId="6F154CE0" w14:textId="77777777" w:rsidR="0092254A" w:rsidRPr="00576299" w:rsidRDefault="0092254A" w:rsidP="000E1DA3">
      <w:pPr>
        <w:pStyle w:val="TableFooter"/>
        <w:keepNext/>
      </w:pPr>
      <w:r w:rsidRPr="00576299">
        <w:t xml:space="preserve">Shaded cells indicate evidence used to support resubmission. </w:t>
      </w:r>
    </w:p>
    <w:p w14:paraId="06657058" w14:textId="57EE2733" w:rsidR="0092254A" w:rsidRPr="00576299" w:rsidRDefault="0092254A" w:rsidP="000E1DA3">
      <w:pPr>
        <w:pStyle w:val="TableFooter"/>
        <w:keepNext/>
        <w:spacing w:after="120"/>
      </w:pPr>
      <w:r w:rsidRPr="00576299">
        <w:t>Underlined text indicates new data for the dostarlimab resubmission</w:t>
      </w:r>
      <w:r w:rsidR="00C73213" w:rsidRPr="00576299">
        <w:t>.</w:t>
      </w:r>
    </w:p>
    <w:p w14:paraId="4F63E34C" w14:textId="6DFF5111" w:rsidR="0092254A" w:rsidRPr="00576299" w:rsidRDefault="0092254A" w:rsidP="00484AFF">
      <w:pPr>
        <w:pStyle w:val="3-BodyText"/>
        <w:widowControl w:val="0"/>
      </w:pPr>
      <w:r w:rsidRPr="00576299">
        <w:rPr>
          <w:snapToGrid/>
        </w:rPr>
        <w:t xml:space="preserve">Details of the trials and studies presented in the resubmission are provided in </w:t>
      </w:r>
      <w:r w:rsidRPr="00576299">
        <w:rPr>
          <w:snapToGrid/>
        </w:rPr>
        <w:fldChar w:fldCharType="begin"/>
      </w:r>
      <w:r w:rsidRPr="00576299">
        <w:rPr>
          <w:snapToGrid/>
        </w:rPr>
        <w:instrText xml:space="preserve"> REF _Ref104803956 \h </w:instrText>
      </w:r>
      <w:r w:rsidRPr="00576299">
        <w:rPr>
          <w:snapToGrid/>
        </w:rPr>
      </w:r>
      <w:r w:rsidRPr="00576299">
        <w:rPr>
          <w:snapToGrid/>
        </w:rPr>
        <w:fldChar w:fldCharType="separate"/>
      </w:r>
      <w:r w:rsidR="00CD09E9" w:rsidRPr="00576299">
        <w:t xml:space="preserve">Table </w:t>
      </w:r>
      <w:r w:rsidR="00CD09E9">
        <w:rPr>
          <w:noProof/>
        </w:rPr>
        <w:t>4</w:t>
      </w:r>
      <w:r w:rsidRPr="00576299">
        <w:rPr>
          <w:snapToGrid/>
        </w:rPr>
        <w:fldChar w:fldCharType="end"/>
      </w:r>
      <w:r w:rsidRPr="00576299">
        <w:rPr>
          <w:snapToGrid/>
        </w:rPr>
        <w:t xml:space="preserve">. </w:t>
      </w:r>
    </w:p>
    <w:p w14:paraId="4613B559" w14:textId="298836A8" w:rsidR="0092254A" w:rsidRPr="00576299" w:rsidRDefault="0092254A" w:rsidP="008E4442">
      <w:pPr>
        <w:pStyle w:val="Caption"/>
        <w:keepLines w:val="0"/>
        <w:widowControl w:val="0"/>
        <w:rPr>
          <w:rStyle w:val="CommentReference"/>
          <w:b/>
          <w:szCs w:val="18"/>
        </w:rPr>
      </w:pPr>
      <w:bookmarkStart w:id="26" w:name="_Ref104803956"/>
      <w:r w:rsidRPr="00576299">
        <w:t xml:space="preserve">Table </w:t>
      </w:r>
      <w:fldSimple w:instr=" SEQ Table \* ARABIC ">
        <w:r w:rsidR="00CD09E9">
          <w:rPr>
            <w:noProof/>
          </w:rPr>
          <w:t>4</w:t>
        </w:r>
      </w:fldSimple>
      <w:bookmarkEnd w:id="26"/>
      <w:r w:rsidRPr="00576299">
        <w:t>:</w:t>
      </w:r>
      <w:r w:rsidRPr="00576299">
        <w:rPr>
          <w:rStyle w:val="CommentReference"/>
          <w:b/>
          <w:szCs w:val="18"/>
        </w:rPr>
        <w:t xml:space="preserve"> </w:t>
      </w:r>
      <w:r w:rsidR="00146FF0" w:rsidRPr="00576299">
        <w:rPr>
          <w:rStyle w:val="CommentReference"/>
          <w:b/>
          <w:szCs w:val="18"/>
        </w:rPr>
        <w:t>Overview of t</w:t>
      </w:r>
      <w:r w:rsidRPr="00576299">
        <w:rPr>
          <w:rStyle w:val="CommentReference"/>
          <w:b/>
          <w:szCs w:val="18"/>
        </w:rPr>
        <w:t>rials</w:t>
      </w:r>
      <w:r w:rsidRPr="00576299">
        <w:t xml:space="preserve">, </w:t>
      </w:r>
      <w:r w:rsidRPr="00576299">
        <w:rPr>
          <w:rStyle w:val="CommentReference"/>
          <w:b/>
          <w:szCs w:val="18"/>
        </w:rPr>
        <w:t>studies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5692"/>
        <w:gridCol w:w="1933"/>
      </w:tblGrid>
      <w:tr w:rsidR="0092254A" w:rsidRPr="00576299" w14:paraId="2371DDF6" w14:textId="77777777" w:rsidTr="00146FF0">
        <w:trPr>
          <w:trHeight w:val="20"/>
          <w:tblHeader/>
        </w:trPr>
        <w:tc>
          <w:tcPr>
            <w:tcW w:w="772" w:type="pct"/>
            <w:shd w:val="clear" w:color="auto" w:fill="auto"/>
            <w:vAlign w:val="center"/>
          </w:tcPr>
          <w:p w14:paraId="7D20EFE5" w14:textId="77777777" w:rsidR="0092254A" w:rsidRPr="00576299" w:rsidRDefault="0092254A" w:rsidP="00484AFF">
            <w:pPr>
              <w:pStyle w:val="TableLeft"/>
              <w:widowControl w:val="0"/>
              <w:jc w:val="center"/>
              <w:rPr>
                <w:b/>
              </w:rPr>
            </w:pPr>
            <w:r w:rsidRPr="00576299">
              <w:rPr>
                <w:b/>
                <w:bCs/>
              </w:rPr>
              <w:t>Study identifier (ID)</w:t>
            </w:r>
          </w:p>
        </w:tc>
        <w:tc>
          <w:tcPr>
            <w:tcW w:w="3156" w:type="pct"/>
            <w:shd w:val="clear" w:color="auto" w:fill="auto"/>
          </w:tcPr>
          <w:p w14:paraId="73A018DA" w14:textId="77777777" w:rsidR="0092254A" w:rsidRPr="00576299" w:rsidRDefault="0092254A" w:rsidP="00484AFF">
            <w:pPr>
              <w:pStyle w:val="TableLeft"/>
              <w:widowControl w:val="0"/>
              <w:jc w:val="center"/>
              <w:rPr>
                <w:b/>
                <w:bCs/>
              </w:rPr>
            </w:pPr>
            <w:r w:rsidRPr="00576299">
              <w:rPr>
                <w:b/>
                <w:bCs/>
              </w:rPr>
              <w:t>Reports</w:t>
            </w:r>
          </w:p>
        </w:tc>
        <w:tc>
          <w:tcPr>
            <w:tcW w:w="1072" w:type="pct"/>
            <w:shd w:val="clear" w:color="auto" w:fill="auto"/>
          </w:tcPr>
          <w:p w14:paraId="5FE65C5A" w14:textId="77777777" w:rsidR="0092254A" w:rsidRPr="00576299" w:rsidRDefault="0092254A" w:rsidP="00484AFF">
            <w:pPr>
              <w:pStyle w:val="TableLeft"/>
              <w:widowControl w:val="0"/>
              <w:jc w:val="center"/>
              <w:rPr>
                <w:b/>
              </w:rPr>
            </w:pPr>
            <w:r w:rsidRPr="00576299">
              <w:rPr>
                <w:b/>
              </w:rPr>
              <w:t>Content</w:t>
            </w:r>
          </w:p>
        </w:tc>
      </w:tr>
      <w:tr w:rsidR="003D0DB5" w:rsidRPr="00576299" w14:paraId="3D0D2899" w14:textId="77777777" w:rsidTr="00146FF0">
        <w:trPr>
          <w:trHeight w:val="20"/>
        </w:trPr>
        <w:tc>
          <w:tcPr>
            <w:tcW w:w="772" w:type="pct"/>
            <w:vMerge w:val="restart"/>
            <w:vAlign w:val="center"/>
          </w:tcPr>
          <w:p w14:paraId="625CE41B" w14:textId="77777777" w:rsidR="003D0DB5" w:rsidRPr="00576299" w:rsidRDefault="003D0DB5" w:rsidP="00484AFF">
            <w:pPr>
              <w:pStyle w:val="TableLeft"/>
              <w:widowControl w:val="0"/>
            </w:pPr>
            <w:r w:rsidRPr="00576299">
              <w:t>GARNET</w:t>
            </w:r>
          </w:p>
        </w:tc>
        <w:tc>
          <w:tcPr>
            <w:tcW w:w="3156" w:type="pct"/>
            <w:shd w:val="clear" w:color="auto" w:fill="B8CCE4" w:themeFill="accent1" w:themeFillTint="66"/>
          </w:tcPr>
          <w:p w14:paraId="20A7D36D" w14:textId="77777777" w:rsidR="003D0DB5" w:rsidRPr="00576299" w:rsidRDefault="003D0DB5" w:rsidP="00484AFF">
            <w:pPr>
              <w:pStyle w:val="TableLeft"/>
              <w:widowControl w:val="0"/>
            </w:pPr>
            <w:r w:rsidRPr="00576299">
              <w:t xml:space="preserve">A Phase 1 Dose Escalation and Cohort Expansion Study of TSR-042, an </w:t>
            </w:r>
            <w:r w:rsidRPr="00576299">
              <w:lastRenderedPageBreak/>
              <w:t>Anti-PD-1 Monoclonal Antibody, in Patients with Advanced Solid Tumors - Part 2B, Endometrial Cancer (Cohorts A1 and A2) [IA2 data-cut]</w:t>
            </w:r>
          </w:p>
        </w:tc>
        <w:tc>
          <w:tcPr>
            <w:tcW w:w="1072" w:type="pct"/>
          </w:tcPr>
          <w:p w14:paraId="6166BA7D" w14:textId="6814B921" w:rsidR="003D0DB5" w:rsidRPr="00576299" w:rsidRDefault="003D0DB5" w:rsidP="00484AFF">
            <w:pPr>
              <w:pStyle w:val="TableLeft"/>
              <w:widowControl w:val="0"/>
            </w:pPr>
            <w:r w:rsidRPr="00576299">
              <w:lastRenderedPageBreak/>
              <w:t xml:space="preserve">Clinical Study Report </w:t>
            </w:r>
            <w:r w:rsidRPr="00576299">
              <w:lastRenderedPageBreak/>
              <w:t>dated 16 November 2020</w:t>
            </w:r>
          </w:p>
        </w:tc>
      </w:tr>
      <w:tr w:rsidR="003D0DB5" w:rsidRPr="00576299" w14:paraId="422B3E97" w14:textId="77777777" w:rsidTr="00146FF0">
        <w:trPr>
          <w:trHeight w:val="20"/>
        </w:trPr>
        <w:tc>
          <w:tcPr>
            <w:tcW w:w="772" w:type="pct"/>
            <w:vMerge/>
            <w:vAlign w:val="center"/>
          </w:tcPr>
          <w:p w14:paraId="3CDB5198" w14:textId="77777777" w:rsidR="003D0DB5" w:rsidRPr="00576299" w:rsidRDefault="003D0DB5" w:rsidP="00484AFF">
            <w:pPr>
              <w:pStyle w:val="TableLeft"/>
              <w:widowControl w:val="0"/>
            </w:pPr>
          </w:p>
        </w:tc>
        <w:tc>
          <w:tcPr>
            <w:tcW w:w="3156" w:type="pct"/>
          </w:tcPr>
          <w:p w14:paraId="44D61028" w14:textId="77777777" w:rsidR="003D0DB5" w:rsidRPr="00576299" w:rsidRDefault="003D0DB5" w:rsidP="00484AFF">
            <w:pPr>
              <w:pStyle w:val="TableLeft"/>
              <w:widowControl w:val="0"/>
            </w:pPr>
            <w:r w:rsidRPr="00576299">
              <w:t>A Phase 1 Dose Escalation and Cohort Expansion Study of TSR-042, an Anti-PD-1 Monoclonal Antibody, in Patients with Advanced Solid Tumors - Part 2B, Endometrial Cancer (Cohorts A1 and A2) [IA3 data-cut]</w:t>
            </w:r>
          </w:p>
        </w:tc>
        <w:tc>
          <w:tcPr>
            <w:tcW w:w="1072" w:type="pct"/>
          </w:tcPr>
          <w:p w14:paraId="6336A380" w14:textId="700C155B" w:rsidR="003D0DB5" w:rsidRPr="00576299" w:rsidRDefault="003D0DB5" w:rsidP="00484AFF">
            <w:pPr>
              <w:pStyle w:val="TableLeft"/>
              <w:widowControl w:val="0"/>
            </w:pPr>
            <w:r w:rsidRPr="00576299">
              <w:t>Clinical Study Report dated 6 May 2022</w:t>
            </w:r>
          </w:p>
        </w:tc>
      </w:tr>
      <w:tr w:rsidR="003D0DB5" w:rsidRPr="00576299" w14:paraId="16749BA7" w14:textId="77777777" w:rsidTr="00146FF0">
        <w:trPr>
          <w:trHeight w:val="20"/>
        </w:trPr>
        <w:tc>
          <w:tcPr>
            <w:tcW w:w="772" w:type="pct"/>
            <w:vMerge/>
            <w:vAlign w:val="center"/>
          </w:tcPr>
          <w:p w14:paraId="0E31113D" w14:textId="77777777" w:rsidR="003D0DB5" w:rsidRPr="00576299" w:rsidRDefault="003D0DB5" w:rsidP="00484AFF">
            <w:pPr>
              <w:pStyle w:val="TableLeft"/>
              <w:widowControl w:val="0"/>
            </w:pPr>
          </w:p>
        </w:tc>
        <w:tc>
          <w:tcPr>
            <w:tcW w:w="3156" w:type="pct"/>
            <w:shd w:val="clear" w:color="auto" w:fill="B8CCE4" w:themeFill="accent1" w:themeFillTint="66"/>
          </w:tcPr>
          <w:p w14:paraId="0B6F00AB" w14:textId="0C1C57A2" w:rsidR="003D0DB5" w:rsidRPr="00576299" w:rsidRDefault="003D0DB5" w:rsidP="00484AFF">
            <w:pPr>
              <w:pStyle w:val="TableLeft"/>
              <w:widowControl w:val="0"/>
            </w:pPr>
            <w:r w:rsidRPr="00576299">
              <w:t xml:space="preserve">Oaknin A, Tinker AV, Gilbert L, Samouëlian V, Mathews C, Brown J, et al. Clinical Activity and Safety of the Anti-Programmed Death 1 Monoclonal Antibody Dostarlimab for Patients with Recurrent or Advanced Mismatch Repair-Deficient Endometrial Cancer: A Nonrandomized Phase 1 Clinical Trial. </w:t>
            </w:r>
          </w:p>
        </w:tc>
        <w:tc>
          <w:tcPr>
            <w:tcW w:w="1072" w:type="pct"/>
          </w:tcPr>
          <w:p w14:paraId="3C7959BE" w14:textId="63F912BA" w:rsidR="003D0DB5" w:rsidRPr="00576299" w:rsidRDefault="003D0DB5" w:rsidP="00484AFF">
            <w:pPr>
              <w:pStyle w:val="TableLeft"/>
              <w:widowControl w:val="0"/>
            </w:pPr>
            <w:r w:rsidRPr="00576299">
              <w:t>JAMA Oncology. 2020;6(11):1766-72.</w:t>
            </w:r>
          </w:p>
        </w:tc>
      </w:tr>
      <w:tr w:rsidR="003D0DB5" w:rsidRPr="00576299" w14:paraId="10B978CA" w14:textId="77777777" w:rsidTr="00146FF0">
        <w:trPr>
          <w:trHeight w:val="20"/>
        </w:trPr>
        <w:tc>
          <w:tcPr>
            <w:tcW w:w="772" w:type="pct"/>
            <w:vMerge/>
            <w:vAlign w:val="center"/>
          </w:tcPr>
          <w:p w14:paraId="758F4035" w14:textId="77777777" w:rsidR="003D0DB5" w:rsidRPr="00576299" w:rsidRDefault="003D0DB5" w:rsidP="00484AFF">
            <w:pPr>
              <w:pStyle w:val="TableLeft"/>
              <w:widowControl w:val="0"/>
            </w:pPr>
          </w:p>
        </w:tc>
        <w:tc>
          <w:tcPr>
            <w:tcW w:w="3156" w:type="pct"/>
          </w:tcPr>
          <w:p w14:paraId="139F1CC7" w14:textId="48B53D18" w:rsidR="003D0DB5" w:rsidRPr="00576299" w:rsidRDefault="003D0DB5" w:rsidP="00484AFF">
            <w:pPr>
              <w:pStyle w:val="TableLeft"/>
              <w:widowControl w:val="0"/>
            </w:pPr>
            <w:r w:rsidRPr="00576299">
              <w:t xml:space="preserve">Oaknin A, Gilbert L, Tinker AV, Brown J, Mathews C, Press J, et al. Safety and antitumor activity of dostarlimab in patients with advanced or recurrent DNA mismatch repair deficient/microsatellite instability-high (dMMR/MSI-H) or proficient/stable (MMRp/MSS) endometrial cancer: Interim results from GARNET - A phase I, single-arm study. </w:t>
            </w:r>
          </w:p>
        </w:tc>
        <w:tc>
          <w:tcPr>
            <w:tcW w:w="1072" w:type="pct"/>
          </w:tcPr>
          <w:p w14:paraId="5A1FCAF1" w14:textId="34D28821" w:rsidR="003D0DB5" w:rsidRPr="00576299" w:rsidRDefault="003D0DB5" w:rsidP="00484AFF">
            <w:pPr>
              <w:pStyle w:val="TableLeft"/>
              <w:widowControl w:val="0"/>
            </w:pPr>
            <w:r w:rsidRPr="00576299">
              <w:t>Journal for ImmunoTherapy of Cancer. 2022;10(1).</w:t>
            </w:r>
          </w:p>
        </w:tc>
      </w:tr>
      <w:tr w:rsidR="00574039" w:rsidRPr="00576299" w14:paraId="600ECCE3" w14:textId="77777777" w:rsidTr="00146FF0">
        <w:trPr>
          <w:trHeight w:val="20"/>
        </w:trPr>
        <w:tc>
          <w:tcPr>
            <w:tcW w:w="772" w:type="pct"/>
            <w:vMerge w:val="restart"/>
            <w:vAlign w:val="center"/>
          </w:tcPr>
          <w:p w14:paraId="049D5B71" w14:textId="77777777" w:rsidR="00574039" w:rsidRPr="00576299" w:rsidRDefault="00574039" w:rsidP="00484AFF">
            <w:pPr>
              <w:pStyle w:val="TableLeft"/>
              <w:widowControl w:val="0"/>
            </w:pPr>
            <w:r w:rsidRPr="00576299">
              <w:t>ZoptEC</w:t>
            </w:r>
          </w:p>
        </w:tc>
        <w:tc>
          <w:tcPr>
            <w:tcW w:w="3156" w:type="pct"/>
            <w:shd w:val="clear" w:color="auto" w:fill="B8CCE4" w:themeFill="accent1" w:themeFillTint="66"/>
          </w:tcPr>
          <w:p w14:paraId="23C9B700" w14:textId="1EECB86C" w:rsidR="00574039" w:rsidRPr="00576299" w:rsidRDefault="00574039" w:rsidP="00484AFF">
            <w:pPr>
              <w:pStyle w:val="TableLeft"/>
              <w:widowControl w:val="0"/>
            </w:pPr>
            <w:r w:rsidRPr="00576299">
              <w:t xml:space="preserve">Aeterna Zentaris. STUDY CODE: AEZS-108-050. Randomized controlled study comparing AEZS 108 with doxorubicin as second line therapy for locally advanced, recurrent or metastatic endometrial cancer. Report of Statistical Results – Tables and Graphs </w:t>
            </w:r>
          </w:p>
        </w:tc>
        <w:tc>
          <w:tcPr>
            <w:tcW w:w="1072" w:type="pct"/>
          </w:tcPr>
          <w:p w14:paraId="0C7E3047" w14:textId="12FD7D3F" w:rsidR="00574039" w:rsidRPr="00576299" w:rsidRDefault="00574039" w:rsidP="00484AFF">
            <w:pPr>
              <w:pStyle w:val="TableLeft"/>
              <w:widowControl w:val="0"/>
            </w:pPr>
            <w:r w:rsidRPr="00576299">
              <w:t>Individual patient data 09 May 2017.</w:t>
            </w:r>
          </w:p>
        </w:tc>
      </w:tr>
      <w:tr w:rsidR="00574039" w:rsidRPr="00576299" w14:paraId="77DA4CCE" w14:textId="77777777" w:rsidTr="00146FF0">
        <w:trPr>
          <w:trHeight w:val="918"/>
        </w:trPr>
        <w:tc>
          <w:tcPr>
            <w:tcW w:w="772" w:type="pct"/>
            <w:vMerge/>
            <w:vAlign w:val="center"/>
          </w:tcPr>
          <w:p w14:paraId="513F95BD" w14:textId="77777777" w:rsidR="00574039" w:rsidRPr="00576299" w:rsidRDefault="00574039" w:rsidP="00484AFF">
            <w:pPr>
              <w:pStyle w:val="TableLeft"/>
              <w:widowControl w:val="0"/>
            </w:pPr>
          </w:p>
        </w:tc>
        <w:tc>
          <w:tcPr>
            <w:tcW w:w="3156" w:type="pct"/>
            <w:shd w:val="clear" w:color="auto" w:fill="B8CCE4" w:themeFill="accent1" w:themeFillTint="66"/>
          </w:tcPr>
          <w:p w14:paraId="0F60439D" w14:textId="5DBB70C8" w:rsidR="00574039" w:rsidRPr="00576299" w:rsidRDefault="00574039" w:rsidP="00484AFF">
            <w:pPr>
              <w:pStyle w:val="TableLeft"/>
              <w:widowControl w:val="0"/>
            </w:pPr>
            <w:r w:rsidRPr="00576299">
              <w:t>Miller DS, Gabra H, Emons G, McMeekin DS, Oza AM, Temkin SM, et al. ZoptEC: Phase III study of zoptarelin doxorubicin (AEZS-108) in platinum-taxane pretreated endometrial cancer (Study AEZS-108-050).</w:t>
            </w:r>
          </w:p>
        </w:tc>
        <w:tc>
          <w:tcPr>
            <w:tcW w:w="1072" w:type="pct"/>
          </w:tcPr>
          <w:p w14:paraId="7B0E8A3D" w14:textId="006DB439" w:rsidR="00574039" w:rsidRPr="00576299" w:rsidRDefault="00574039" w:rsidP="00484AFF">
            <w:pPr>
              <w:pStyle w:val="TableLeft"/>
              <w:widowControl w:val="0"/>
              <w:rPr>
                <w:iCs/>
              </w:rPr>
            </w:pPr>
            <w:r w:rsidRPr="00576299">
              <w:rPr>
                <w:iCs/>
              </w:rPr>
              <w:t>Journal of Clinical Oncology 2014;32(15).</w:t>
            </w:r>
          </w:p>
        </w:tc>
      </w:tr>
      <w:tr w:rsidR="004C5259" w:rsidRPr="00576299" w14:paraId="3EA8A4FD" w14:textId="77777777" w:rsidTr="00146FF0">
        <w:trPr>
          <w:trHeight w:val="20"/>
        </w:trPr>
        <w:tc>
          <w:tcPr>
            <w:tcW w:w="772" w:type="pct"/>
            <w:vAlign w:val="center"/>
          </w:tcPr>
          <w:p w14:paraId="3D7C2BB1" w14:textId="77777777" w:rsidR="004C5259" w:rsidRPr="00576299" w:rsidRDefault="004C5259" w:rsidP="00484AFF">
            <w:pPr>
              <w:pStyle w:val="TableLeft"/>
              <w:widowControl w:val="0"/>
            </w:pPr>
            <w:r w:rsidRPr="00576299">
              <w:t>IXAMPLE2</w:t>
            </w:r>
          </w:p>
        </w:tc>
        <w:tc>
          <w:tcPr>
            <w:tcW w:w="3156" w:type="pct"/>
            <w:shd w:val="clear" w:color="auto" w:fill="B8CCE4" w:themeFill="accent1" w:themeFillTint="66"/>
          </w:tcPr>
          <w:p w14:paraId="5FA506C8" w14:textId="74975F72" w:rsidR="004C5259" w:rsidRPr="00576299" w:rsidRDefault="004C5259" w:rsidP="00484AFF">
            <w:pPr>
              <w:pStyle w:val="TableLeft"/>
              <w:widowControl w:val="0"/>
            </w:pPr>
            <w:r w:rsidRPr="00576299">
              <w:t xml:space="preserve">McMeekin S, Dizon D, Barter J, Scambia G, Manzyuk L, Lisyanskaya A, et al. Phase III randomized trial of second-line ixabepilone versus paclitaxel or doxorubicin in women with advanced endometrial cancer. </w:t>
            </w:r>
          </w:p>
        </w:tc>
        <w:tc>
          <w:tcPr>
            <w:tcW w:w="1072" w:type="pct"/>
          </w:tcPr>
          <w:p w14:paraId="59020C8F" w14:textId="65A4DAE0" w:rsidR="004C5259" w:rsidRPr="00576299" w:rsidRDefault="004C5259" w:rsidP="00484AFF">
            <w:pPr>
              <w:pStyle w:val="TableLeft"/>
              <w:widowControl w:val="0"/>
              <w:rPr>
                <w:iCs/>
              </w:rPr>
            </w:pPr>
            <w:r w:rsidRPr="00576299">
              <w:rPr>
                <w:iCs/>
              </w:rPr>
              <w:t>Gynecologic Oncology 2015;138(1):18-23.</w:t>
            </w:r>
          </w:p>
        </w:tc>
      </w:tr>
      <w:tr w:rsidR="00413437" w:rsidRPr="00576299" w14:paraId="02B77597" w14:textId="77777777" w:rsidTr="00146FF0">
        <w:trPr>
          <w:trHeight w:val="20"/>
        </w:trPr>
        <w:tc>
          <w:tcPr>
            <w:tcW w:w="772" w:type="pct"/>
            <w:vMerge w:val="restart"/>
            <w:vAlign w:val="center"/>
          </w:tcPr>
          <w:p w14:paraId="68DB477A" w14:textId="3EBD4D36" w:rsidR="00413437" w:rsidRPr="00576299" w:rsidRDefault="00413437" w:rsidP="00484AFF">
            <w:pPr>
              <w:pStyle w:val="TableLeft"/>
              <w:widowControl w:val="0"/>
            </w:pPr>
            <w:r w:rsidRPr="00576299">
              <w:t>KEYNOTE-775</w:t>
            </w:r>
          </w:p>
        </w:tc>
        <w:tc>
          <w:tcPr>
            <w:tcW w:w="3156" w:type="pct"/>
            <w:shd w:val="clear" w:color="auto" w:fill="B8CCE4" w:themeFill="accent1" w:themeFillTint="66"/>
          </w:tcPr>
          <w:p w14:paraId="3F51F507" w14:textId="70BD39F8" w:rsidR="00413437" w:rsidRPr="00576299" w:rsidRDefault="00413437" w:rsidP="00484AFF">
            <w:pPr>
              <w:pStyle w:val="TableLeft"/>
              <w:widowControl w:val="0"/>
            </w:pPr>
            <w:r w:rsidRPr="00576299">
              <w:t xml:space="preserve">Makker V, Colombo N, Herráez AC, et al. A multicenter, open-label, randomized, phase 3 study to compare the efficacy and safety of lenvatinib in combination with pembrolizumab vs treatment of physician’s choice in patients with advanced endometrial cancer: Study 309/KEYNOTE-775. Society of Gynecologic Oncology. Virtual Annual Meeting on Women’s Cancer 2021. </w:t>
            </w:r>
            <w:r w:rsidRPr="00576299">
              <w:rPr>
                <w:vertAlign w:val="superscript"/>
              </w:rPr>
              <w:t>a</w:t>
            </w:r>
          </w:p>
        </w:tc>
        <w:tc>
          <w:tcPr>
            <w:tcW w:w="1072" w:type="pct"/>
          </w:tcPr>
          <w:p w14:paraId="4631E1FD" w14:textId="2665CC91" w:rsidR="00413437" w:rsidRPr="00576299" w:rsidRDefault="00413437" w:rsidP="00484AFF">
            <w:pPr>
              <w:pStyle w:val="TableLeft"/>
              <w:widowControl w:val="0"/>
              <w:rPr>
                <w:iCs/>
              </w:rPr>
            </w:pPr>
            <w:r w:rsidRPr="00576299">
              <w:rPr>
                <w:iCs/>
              </w:rPr>
              <w:t>Conference presentation</w:t>
            </w:r>
          </w:p>
        </w:tc>
      </w:tr>
      <w:tr w:rsidR="00413437" w:rsidRPr="00576299" w14:paraId="53E5934F" w14:textId="77777777" w:rsidTr="00146FF0">
        <w:trPr>
          <w:trHeight w:val="20"/>
        </w:trPr>
        <w:tc>
          <w:tcPr>
            <w:tcW w:w="772" w:type="pct"/>
            <w:vMerge/>
            <w:vAlign w:val="center"/>
          </w:tcPr>
          <w:p w14:paraId="43418E92" w14:textId="2D841243" w:rsidR="00413437" w:rsidRPr="00576299" w:rsidRDefault="00413437" w:rsidP="00484AFF">
            <w:pPr>
              <w:pStyle w:val="TableLeft"/>
              <w:widowControl w:val="0"/>
            </w:pPr>
          </w:p>
        </w:tc>
        <w:tc>
          <w:tcPr>
            <w:tcW w:w="3156" w:type="pct"/>
          </w:tcPr>
          <w:p w14:paraId="450742A4" w14:textId="531ECE2E" w:rsidR="00413437" w:rsidRPr="00576299" w:rsidRDefault="00413437" w:rsidP="00484AFF">
            <w:pPr>
              <w:pStyle w:val="TableLeft"/>
              <w:widowControl w:val="0"/>
            </w:pPr>
            <w:r w:rsidRPr="00216464">
              <w:rPr>
                <w:lang w:val="it-IT"/>
              </w:rPr>
              <w:t xml:space="preserve">Makker V, Colombo N, Herráez AC, Santin AD, Colomba E, Miller DS, et al. </w:t>
            </w:r>
            <w:r w:rsidRPr="00576299">
              <w:t xml:space="preserve">Lenvatinib plus Pembrolizumab for Advanced Endometrial Cancer. </w:t>
            </w:r>
          </w:p>
        </w:tc>
        <w:tc>
          <w:tcPr>
            <w:tcW w:w="1072" w:type="pct"/>
          </w:tcPr>
          <w:p w14:paraId="429471FB" w14:textId="7CC79033" w:rsidR="00413437" w:rsidRPr="00576299" w:rsidRDefault="00413437" w:rsidP="00484AFF">
            <w:pPr>
              <w:pStyle w:val="TableLeft"/>
              <w:widowControl w:val="0"/>
              <w:rPr>
                <w:iCs/>
              </w:rPr>
            </w:pPr>
            <w:r w:rsidRPr="00576299">
              <w:rPr>
                <w:iCs/>
              </w:rPr>
              <w:t xml:space="preserve">New England Journal of Medicine. 2022;386(5):437-48. </w:t>
            </w:r>
            <w:r w:rsidRPr="00576299">
              <w:rPr>
                <w:iCs/>
              </w:rPr>
              <w:fldChar w:fldCharType="begin">
                <w:fldData xml:space="preserve">PEVuZE5vdGU+PENpdGU+PEF1dGhvcj5NYWtrZXI8L0F1dGhvcj48WWVhcj4yMDIyPC9ZZWFyPjxS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</w:fldData>
              </w:fldChar>
            </w:r>
            <w:r w:rsidRPr="00576299">
              <w:rPr>
                <w:iCs/>
              </w:rPr>
              <w:instrText xml:space="preserve"> ADDIN EN.CITE </w:instrText>
            </w:r>
            <w:r w:rsidRPr="00576299">
              <w:rPr>
                <w:iCs/>
              </w:rPr>
              <w:fldChar w:fldCharType="begin">
                <w:fldData xml:space="preserve">PEVuZE5vdGU+PENpdGU+PEF1dGhvcj5NYWtrZXI8L0F1dGhvcj48WWVhcj4yMDIyPC9ZZWFyPjxS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</w:fldData>
              </w:fldChar>
            </w:r>
            <w:r w:rsidRPr="00576299">
              <w:rPr>
                <w:iCs/>
              </w:rPr>
              <w:instrText xml:space="preserve"> ADDIN EN.CITE.DATA </w:instrText>
            </w:r>
            <w:r w:rsidRPr="00576299">
              <w:rPr>
                <w:iCs/>
              </w:rPr>
            </w:r>
            <w:r w:rsidRPr="00576299">
              <w:rPr>
                <w:iCs/>
              </w:rPr>
              <w:fldChar w:fldCharType="end"/>
            </w:r>
            <w:r w:rsidR="00CD09E9">
              <w:rPr>
                <w:iCs/>
              </w:rPr>
            </w:r>
            <w:r w:rsidR="00CD09E9">
              <w:rPr>
                <w:iCs/>
              </w:rPr>
              <w:fldChar w:fldCharType="separate"/>
            </w:r>
            <w:r w:rsidRPr="00576299">
              <w:rPr>
                <w:iCs/>
              </w:rPr>
              <w:fldChar w:fldCharType="end"/>
            </w:r>
          </w:p>
        </w:tc>
      </w:tr>
      <w:tr w:rsidR="00C423A3" w:rsidRPr="00576299" w14:paraId="00DB4BB8" w14:textId="77777777" w:rsidTr="00146FF0">
        <w:trPr>
          <w:trHeight w:val="20"/>
        </w:trPr>
        <w:tc>
          <w:tcPr>
            <w:tcW w:w="772" w:type="pct"/>
            <w:vAlign w:val="center"/>
          </w:tcPr>
          <w:p w14:paraId="7A007AD6" w14:textId="77777777" w:rsidR="00C423A3" w:rsidRPr="00576299" w:rsidRDefault="00C423A3" w:rsidP="00484AFF">
            <w:pPr>
              <w:pStyle w:val="TableLeft"/>
              <w:widowControl w:val="0"/>
            </w:pPr>
            <w:r w:rsidRPr="00576299">
              <w:t>Scambia 2020</w:t>
            </w:r>
          </w:p>
          <w:p w14:paraId="7F7556D4" w14:textId="77777777" w:rsidR="00C423A3" w:rsidRPr="00576299" w:rsidRDefault="00C423A3" w:rsidP="00484AFF">
            <w:pPr>
              <w:pStyle w:val="TableLeft"/>
              <w:widowControl w:val="0"/>
            </w:pPr>
            <w:r w:rsidRPr="00576299">
              <w:t>(NCT02725268)</w:t>
            </w:r>
          </w:p>
        </w:tc>
        <w:tc>
          <w:tcPr>
            <w:tcW w:w="3156" w:type="pct"/>
            <w:shd w:val="clear" w:color="auto" w:fill="B8CCE4" w:themeFill="accent1" w:themeFillTint="66"/>
          </w:tcPr>
          <w:p w14:paraId="53910338" w14:textId="50B1D0F0" w:rsidR="00C423A3" w:rsidRPr="00576299" w:rsidRDefault="00C423A3" w:rsidP="00484AFF">
            <w:pPr>
              <w:pStyle w:val="TableLeft"/>
              <w:widowControl w:val="0"/>
            </w:pPr>
            <w:r w:rsidRPr="00216464">
              <w:rPr>
                <w:lang w:val="it-IT"/>
              </w:rPr>
              <w:t xml:space="preserve">Scambia G, Han SN, Oza AM, Colombo N, Oaknin A, Raspagliesi F, et al. </w:t>
            </w:r>
            <w:r w:rsidRPr="00576299">
              <w:t>Randomized phase II study of sapanisertib (SAP) + paclitaxel (PAC) versus PAC alone in patients (pts) with advanced, recurrent, or persistent endometrial cancer.</w:t>
            </w:r>
          </w:p>
        </w:tc>
        <w:tc>
          <w:tcPr>
            <w:tcW w:w="1072" w:type="pct"/>
          </w:tcPr>
          <w:p w14:paraId="7D354D16" w14:textId="101297A7" w:rsidR="00C423A3" w:rsidRPr="00576299" w:rsidRDefault="00C423A3" w:rsidP="00484AFF">
            <w:pPr>
              <w:pStyle w:val="TableLeft"/>
              <w:widowControl w:val="0"/>
              <w:rPr>
                <w:iCs/>
              </w:rPr>
            </w:pPr>
            <w:r w:rsidRPr="00576299">
              <w:rPr>
                <w:iCs/>
              </w:rPr>
              <w:t>Conference abstract Journal of Clinical Oncology 2020; 38, (15 SUPPL).</w:t>
            </w:r>
          </w:p>
        </w:tc>
      </w:tr>
      <w:tr w:rsidR="00C423A3" w:rsidRPr="00576299" w14:paraId="088C0217" w14:textId="77777777" w:rsidTr="00146FF0">
        <w:trPr>
          <w:trHeight w:val="20"/>
        </w:trPr>
        <w:tc>
          <w:tcPr>
            <w:tcW w:w="772" w:type="pct"/>
            <w:vMerge w:val="restart"/>
            <w:vAlign w:val="center"/>
          </w:tcPr>
          <w:p w14:paraId="6788BAEC" w14:textId="77777777" w:rsidR="00C423A3" w:rsidRPr="00576299" w:rsidRDefault="00C423A3" w:rsidP="00484AFF">
            <w:pPr>
              <w:pStyle w:val="TableLeft"/>
              <w:widowControl w:val="0"/>
            </w:pPr>
            <w:r w:rsidRPr="00576299">
              <w:t xml:space="preserve">KEYNOTE-158 </w:t>
            </w:r>
            <w:r w:rsidRPr="00576299">
              <w:rPr>
                <w:vertAlign w:val="superscript"/>
              </w:rPr>
              <w:t>b</w:t>
            </w:r>
          </w:p>
        </w:tc>
        <w:tc>
          <w:tcPr>
            <w:tcW w:w="3156" w:type="pct"/>
          </w:tcPr>
          <w:p w14:paraId="0377E680" w14:textId="085BA27A" w:rsidR="00C423A3" w:rsidRPr="00576299" w:rsidRDefault="00C423A3" w:rsidP="00484AFF">
            <w:pPr>
              <w:pStyle w:val="TableLeft"/>
              <w:widowControl w:val="0"/>
            </w:pPr>
            <w:r w:rsidRPr="00216464">
              <w:rPr>
                <w:lang w:val="it-IT"/>
              </w:rPr>
              <w:t xml:space="preserve">Marabelle A, Le DT, Ascierto PA, Di Giacomo AM, de Jesus-Acosta A, Delord JP, et al. </w:t>
            </w:r>
            <w:r w:rsidRPr="00576299">
              <w:t>Efficacy of pembrolizumab in patients with noncolorectal high microsatellite instability/ mismatch repair–deficient cancer: Results from the phase II KEYNOTE-158 study.</w:t>
            </w:r>
          </w:p>
        </w:tc>
        <w:tc>
          <w:tcPr>
            <w:tcW w:w="1072" w:type="pct"/>
          </w:tcPr>
          <w:p w14:paraId="29D26C28" w14:textId="22ED2846" w:rsidR="00C423A3" w:rsidRPr="00576299" w:rsidRDefault="00C423A3" w:rsidP="00484AFF">
            <w:pPr>
              <w:pStyle w:val="TableLeft"/>
              <w:widowControl w:val="0"/>
              <w:rPr>
                <w:iCs/>
              </w:rPr>
            </w:pPr>
            <w:r w:rsidRPr="00576299">
              <w:rPr>
                <w:iCs/>
              </w:rPr>
              <w:t>Journal of Clinical Oncology. 2020;38(1):1-10.</w:t>
            </w:r>
          </w:p>
        </w:tc>
      </w:tr>
      <w:tr w:rsidR="00C423A3" w:rsidRPr="00576299" w14:paraId="48F8C318" w14:textId="77777777" w:rsidTr="00146FF0">
        <w:trPr>
          <w:trHeight w:val="20"/>
        </w:trPr>
        <w:tc>
          <w:tcPr>
            <w:tcW w:w="772" w:type="pct"/>
            <w:vMerge/>
            <w:vAlign w:val="center"/>
          </w:tcPr>
          <w:p w14:paraId="7E38F1BC" w14:textId="77777777" w:rsidR="00C423A3" w:rsidRPr="00576299" w:rsidRDefault="00C423A3" w:rsidP="00484AFF">
            <w:pPr>
              <w:pStyle w:val="TableLeft"/>
              <w:widowControl w:val="0"/>
            </w:pPr>
          </w:p>
        </w:tc>
        <w:tc>
          <w:tcPr>
            <w:tcW w:w="3156" w:type="pct"/>
          </w:tcPr>
          <w:p w14:paraId="699EC124" w14:textId="7F4BC797" w:rsidR="00C423A3" w:rsidRPr="00576299" w:rsidRDefault="00C423A3" w:rsidP="00484AFF">
            <w:pPr>
              <w:pStyle w:val="TableLeft"/>
              <w:widowControl w:val="0"/>
            </w:pPr>
            <w:r w:rsidRPr="009235FD">
              <w:rPr>
                <w:lang w:val="it-IT"/>
              </w:rPr>
              <w:t xml:space="preserve">O’Malley DM, Bariani GM, Cassier PA, Marabelle A, Hansen AR, De Jesus Acosta A, et al. </w:t>
            </w:r>
            <w:r w:rsidRPr="00576299">
              <w:t xml:space="preserve">Pembrolizumab in Patients With Microsatellite Instability–High Advanced Endometrial Cancer: Results From the KEYNOTE-158 Study. </w:t>
            </w:r>
          </w:p>
        </w:tc>
        <w:tc>
          <w:tcPr>
            <w:tcW w:w="1072" w:type="pct"/>
          </w:tcPr>
          <w:p w14:paraId="0A64680F" w14:textId="6E03579A" w:rsidR="00C423A3" w:rsidRPr="00576299" w:rsidRDefault="00482E7B" w:rsidP="00484AFF">
            <w:pPr>
              <w:pStyle w:val="TableLeft"/>
              <w:widowControl w:val="0"/>
              <w:rPr>
                <w:iCs/>
              </w:rPr>
            </w:pPr>
            <w:r w:rsidRPr="00576299">
              <w:rPr>
                <w:iCs/>
              </w:rPr>
              <w:t xml:space="preserve">Journal of Clinical Oncology. 2022;40(7):752-61. </w:t>
            </w:r>
            <w:r w:rsidRPr="00576299">
              <w:rPr>
                <w:iCs/>
              </w:rPr>
              <w:fldChar w:fldCharType="begin">
                <w:fldData xml:space="preserve">PEVuZE5vdGU+PENpdGU+PEF1dGhvcj5PJmFwb3M7TWFsbGV5PC9BdXRob3I+PFllYXI+MjAyMjwv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</w:fldData>
              </w:fldChar>
            </w:r>
            <w:r w:rsidRPr="00576299">
              <w:rPr>
                <w:iCs/>
              </w:rPr>
              <w:instrText xml:space="preserve"> ADDIN EN.CITE </w:instrText>
            </w:r>
            <w:r w:rsidRPr="00576299">
              <w:rPr>
                <w:iCs/>
              </w:rPr>
              <w:fldChar w:fldCharType="begin">
                <w:fldData xml:space="preserve">PEVuZE5vdGU+PENpdGU+PEF1dGhvcj5PJmFwb3M7TWFsbGV5PC9BdXRob3I+PFllYXI+MjAyMjwv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</w:fldData>
              </w:fldChar>
            </w:r>
            <w:r w:rsidRPr="00576299">
              <w:rPr>
                <w:iCs/>
              </w:rPr>
              <w:instrText xml:space="preserve"> ADDIN EN.CITE.DATA </w:instrText>
            </w:r>
            <w:r w:rsidRPr="00576299">
              <w:rPr>
                <w:iCs/>
              </w:rPr>
            </w:r>
            <w:r w:rsidRPr="00576299">
              <w:rPr>
                <w:iCs/>
              </w:rPr>
              <w:fldChar w:fldCharType="end"/>
            </w:r>
            <w:r w:rsidR="00CD09E9">
              <w:rPr>
                <w:iCs/>
              </w:rPr>
            </w:r>
            <w:r w:rsidR="00CD09E9">
              <w:rPr>
                <w:iCs/>
              </w:rPr>
              <w:fldChar w:fldCharType="separate"/>
            </w:r>
            <w:r w:rsidRPr="00576299">
              <w:rPr>
                <w:iCs/>
              </w:rPr>
              <w:fldChar w:fldCharType="end"/>
            </w:r>
          </w:p>
        </w:tc>
      </w:tr>
    </w:tbl>
    <w:p w14:paraId="16BC982A" w14:textId="77777777" w:rsidR="00C73213" w:rsidRPr="00576299" w:rsidRDefault="00C73213" w:rsidP="00C73213">
      <w:pPr>
        <w:pStyle w:val="TableNotes"/>
        <w:spacing w:after="0"/>
        <w:rPr>
          <w:rStyle w:val="CommentReference"/>
          <w:b w:val="0"/>
          <w:sz w:val="18"/>
          <w:szCs w:val="18"/>
        </w:rPr>
      </w:pPr>
      <w:r w:rsidRPr="00576299">
        <w:rPr>
          <w:rStyle w:val="CommentReference"/>
          <w:b w:val="0"/>
          <w:sz w:val="18"/>
          <w:szCs w:val="18"/>
        </w:rPr>
        <w:t>Source: Table 20, p61-65 of the resubmission.</w:t>
      </w:r>
    </w:p>
    <w:p w14:paraId="6575F5CB" w14:textId="77777777" w:rsidR="0092254A" w:rsidRPr="00576299" w:rsidRDefault="0092254A" w:rsidP="0092254A">
      <w:pPr>
        <w:pStyle w:val="TableNotes"/>
        <w:spacing w:after="0"/>
        <w:rPr>
          <w:rStyle w:val="CommentReference"/>
          <w:b w:val="0"/>
          <w:bCs/>
          <w:sz w:val="18"/>
          <w:szCs w:val="18"/>
        </w:rPr>
      </w:pPr>
      <w:r w:rsidRPr="00576299">
        <w:rPr>
          <w:rStyle w:val="CommentReference"/>
          <w:b w:val="0"/>
          <w:bCs/>
          <w:sz w:val="18"/>
          <w:szCs w:val="18"/>
        </w:rPr>
        <w:lastRenderedPageBreak/>
        <w:t>a KEYNOTE-755 data for this publication (abstract) were previously seen by the PBAC (pembrolizumab + lenvatinib submission).</w:t>
      </w:r>
    </w:p>
    <w:p w14:paraId="6AF8F60A" w14:textId="77777777" w:rsidR="00C73213" w:rsidRPr="00576299" w:rsidRDefault="0092254A" w:rsidP="00C73213">
      <w:pPr>
        <w:pStyle w:val="TableNotes"/>
        <w:spacing w:after="0"/>
        <w:rPr>
          <w:szCs w:val="18"/>
        </w:rPr>
      </w:pPr>
      <w:r w:rsidRPr="00576299">
        <w:rPr>
          <w:rStyle w:val="CommentReference"/>
          <w:b w:val="0"/>
          <w:bCs/>
          <w:sz w:val="18"/>
          <w:szCs w:val="18"/>
        </w:rPr>
        <w:t xml:space="preserve">b KEYNOTE-158 data were previously seen by the PBAC (pembrolizumab + lenvatinib submission) from the publication O’Malley et al. </w:t>
      </w:r>
      <w:r w:rsidR="00C73213" w:rsidRPr="00576299">
        <w:rPr>
          <w:szCs w:val="18"/>
        </w:rPr>
        <w:t>Blue shading indicates trials included in the previous dostarlimab submission.</w:t>
      </w:r>
    </w:p>
    <w:p w14:paraId="55D32B10" w14:textId="0A35D427" w:rsidR="0092254A" w:rsidRPr="000E1DA3" w:rsidRDefault="0092254A" w:rsidP="000E1DA3">
      <w:pPr>
        <w:pStyle w:val="TableNotes"/>
        <w:spacing w:after="120"/>
        <w:rPr>
          <w:rStyle w:val="CommentReference"/>
          <w:b w:val="0"/>
          <w:bCs/>
          <w:sz w:val="18"/>
          <w:szCs w:val="18"/>
        </w:rPr>
      </w:pPr>
      <w:r w:rsidRPr="00576299">
        <w:rPr>
          <w:rStyle w:val="CommentReference"/>
          <w:b w:val="0"/>
          <w:bCs/>
          <w:sz w:val="18"/>
          <w:szCs w:val="18"/>
        </w:rPr>
        <w:t>Pembrolizumab in Patients with Microsatellite Instability-High (MSI-H) Advanced Endometrial Cancer: Updated results from KEYNOTE 158. ESMO 2021 virtual meeting presentation. This publication was not referenced in the resubmission.</w:t>
      </w:r>
    </w:p>
    <w:p w14:paraId="44C7099E" w14:textId="29C250D7" w:rsidR="0092254A" w:rsidRPr="00576299" w:rsidRDefault="0092254A" w:rsidP="001D2E1F">
      <w:pPr>
        <w:pStyle w:val="3-BodyText"/>
        <w:rPr>
          <w:i/>
          <w:iCs/>
        </w:rPr>
      </w:pPr>
      <w:r w:rsidRPr="00576299">
        <w:t xml:space="preserve">GARNET is a single-arm, open-label, first-in-human phase I/II study of dostarlimab in patients with advanced solid tumours. The previous resubmission presented </w:t>
      </w:r>
      <w:r w:rsidR="00904FC3" w:rsidRPr="00576299">
        <w:t xml:space="preserve">GARNET </w:t>
      </w:r>
      <w:r w:rsidRPr="00576299">
        <w:t xml:space="preserve">data from data cut IA2 (median follow up 12.5 months), whereas the resubmission </w:t>
      </w:r>
      <w:r w:rsidR="004A1671" w:rsidRPr="00576299">
        <w:t xml:space="preserve">(and the previous PSCR) </w:t>
      </w:r>
      <w:r w:rsidRPr="00576299">
        <w:t xml:space="preserve">provided data from IA3 (median follow up 27.6 months). </w:t>
      </w:r>
      <w:r w:rsidR="00C20150" w:rsidRPr="00576299">
        <w:t>The</w:t>
      </w:r>
      <w:r w:rsidR="00CF6FA4" w:rsidRPr="00576299">
        <w:t xml:space="preserve"> most</w:t>
      </w:r>
      <w:r w:rsidR="00C20150" w:rsidRPr="00576299">
        <w:t xml:space="preserve"> relevant patient cohort investigated by GARNET w</w:t>
      </w:r>
      <w:r w:rsidR="00207D28" w:rsidRPr="00576299">
        <w:t>as</w:t>
      </w:r>
      <w:r w:rsidRPr="00576299">
        <w:t xml:space="preserve"> </w:t>
      </w:r>
      <w:r w:rsidRPr="00576299">
        <w:rPr>
          <w:szCs w:val="22"/>
          <w:lang w:eastAsia="en-US"/>
        </w:rPr>
        <w:t>Cohort A1 (IA3, n=153; IA2, n=129)</w:t>
      </w:r>
      <w:r w:rsidR="00F22747" w:rsidRPr="00576299">
        <w:rPr>
          <w:szCs w:val="22"/>
          <w:lang w:eastAsia="en-US"/>
        </w:rPr>
        <w:t xml:space="preserve"> which enrolled</w:t>
      </w:r>
      <w:r w:rsidRPr="00576299">
        <w:rPr>
          <w:szCs w:val="22"/>
          <w:lang w:eastAsia="en-US"/>
        </w:rPr>
        <w:t xml:space="preserve"> dMMR/MSI-H EC patients who have progressed on or after platinum doublet therapy</w:t>
      </w:r>
      <w:r w:rsidR="00F22747" w:rsidRPr="00576299">
        <w:rPr>
          <w:szCs w:val="22"/>
          <w:lang w:eastAsia="en-US"/>
        </w:rPr>
        <w:t>.</w:t>
      </w:r>
      <w:r w:rsidRPr="00576299">
        <w:rPr>
          <w:szCs w:val="22"/>
          <w:lang w:eastAsia="en-US"/>
        </w:rPr>
        <w:t xml:space="preserve"> Cohort A2</w:t>
      </w:r>
      <w:r w:rsidR="00F22747" w:rsidRPr="00576299">
        <w:rPr>
          <w:szCs w:val="22"/>
          <w:lang w:eastAsia="en-US"/>
        </w:rPr>
        <w:t xml:space="preserve"> enrolled</w:t>
      </w:r>
      <w:r w:rsidRPr="00576299">
        <w:rPr>
          <w:szCs w:val="22"/>
          <w:lang w:eastAsia="en-US"/>
        </w:rPr>
        <w:t xml:space="preserve"> pMMR/microsatellite stable (MSS) EC patients </w:t>
      </w:r>
      <w:r w:rsidR="004A42E1" w:rsidRPr="00576299">
        <w:rPr>
          <w:szCs w:val="22"/>
          <w:lang w:eastAsia="en-US"/>
        </w:rPr>
        <w:t xml:space="preserve">and therefore results are not included in </w:t>
      </w:r>
      <w:r w:rsidR="006F4DCC">
        <w:rPr>
          <w:szCs w:val="22"/>
          <w:lang w:eastAsia="en-US"/>
        </w:rPr>
        <w:t>this document</w:t>
      </w:r>
      <w:r w:rsidR="004A42E1" w:rsidRPr="00576299">
        <w:rPr>
          <w:szCs w:val="22"/>
          <w:lang w:eastAsia="en-US"/>
        </w:rPr>
        <w:t xml:space="preserve">. </w:t>
      </w:r>
      <w:r w:rsidR="004A42E1" w:rsidRPr="00576299">
        <w:t>O</w:t>
      </w:r>
      <w:r w:rsidRPr="00576299">
        <w:t xml:space="preserve">ther cohorts involved </w:t>
      </w:r>
      <w:r w:rsidR="00997AE8" w:rsidRPr="00576299">
        <w:t xml:space="preserve">patients with </w:t>
      </w:r>
      <w:r w:rsidRPr="00576299">
        <w:t>other types of solid tumours and were therefore not included in the resubmission.</w:t>
      </w:r>
    </w:p>
    <w:p w14:paraId="22C8D023" w14:textId="01E8E197" w:rsidR="0092254A" w:rsidRPr="00576299" w:rsidRDefault="0092254A" w:rsidP="0092254A">
      <w:pPr>
        <w:pStyle w:val="3-BodyText"/>
      </w:pPr>
      <w:r w:rsidRPr="00576299">
        <w:t xml:space="preserve">The key features of the included evidence are summarised in </w:t>
      </w:r>
      <w:r w:rsidRPr="00576299">
        <w:fldChar w:fldCharType="begin"/>
      </w:r>
      <w:r w:rsidRPr="00576299">
        <w:instrText xml:space="preserve"> REF _Ref111412699 \h </w:instrText>
      </w:r>
      <w:r w:rsidRPr="00576299">
        <w:fldChar w:fldCharType="separate"/>
      </w:r>
      <w:r w:rsidR="00CD09E9" w:rsidRPr="00576299">
        <w:t xml:space="preserve">Table </w:t>
      </w:r>
      <w:r w:rsidR="00CD09E9">
        <w:rPr>
          <w:noProof/>
        </w:rPr>
        <w:t>5</w:t>
      </w:r>
      <w:r w:rsidRPr="00576299">
        <w:fldChar w:fldCharType="end"/>
      </w:r>
      <w:r w:rsidRPr="00576299">
        <w:t xml:space="preserve">. </w:t>
      </w:r>
    </w:p>
    <w:p w14:paraId="0CE58B1C" w14:textId="48B90BD0" w:rsidR="0092254A" w:rsidRPr="00576299" w:rsidRDefault="0092254A" w:rsidP="00EB669B">
      <w:pPr>
        <w:pStyle w:val="Caption"/>
        <w:widowControl w:val="0"/>
        <w:rPr>
          <w:rStyle w:val="CommentReference"/>
          <w:b/>
          <w:szCs w:val="24"/>
        </w:rPr>
      </w:pPr>
      <w:bookmarkStart w:id="27" w:name="_Ref111412699"/>
      <w:r w:rsidRPr="00576299">
        <w:lastRenderedPageBreak/>
        <w:t xml:space="preserve">Table </w:t>
      </w:r>
      <w:fldSimple w:instr=" SEQ Table \* ARABIC ">
        <w:r w:rsidR="00CD09E9">
          <w:rPr>
            <w:noProof/>
          </w:rPr>
          <w:t>5</w:t>
        </w:r>
      </w:fldSimple>
      <w:bookmarkEnd w:id="27"/>
      <w:r w:rsidRPr="00576299">
        <w:t xml:space="preserve">: </w:t>
      </w:r>
      <w:r w:rsidRPr="00576299">
        <w:rPr>
          <w:rStyle w:val="CommentReference"/>
          <w:b/>
          <w:szCs w:val="24"/>
        </w:rPr>
        <w:t>Key features of the included evidence – naïve indirect comparisons</w:t>
      </w:r>
      <w:r w:rsidR="00D75D2F" w:rsidRPr="00576299">
        <w:rPr>
          <w:rStyle w:val="CommentReference"/>
          <w:b/>
          <w:szCs w:val="24"/>
        </w:rPr>
        <w:t xml:space="preserve"> </w:t>
      </w:r>
      <w:r w:rsidRPr="00576299">
        <w:rPr>
          <w:rStyle w:val="CommentReference"/>
          <w:b/>
          <w:szCs w:val="24"/>
          <w:vertAlign w:val="superscript"/>
        </w:rPr>
        <w: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5"/>
        <w:gridCol w:w="709"/>
        <w:gridCol w:w="1701"/>
        <w:gridCol w:w="757"/>
        <w:gridCol w:w="1794"/>
        <w:gridCol w:w="1134"/>
        <w:gridCol w:w="1367"/>
      </w:tblGrid>
      <w:tr w:rsidR="0092254A" w:rsidRPr="00576299" w14:paraId="3572CF2F" w14:textId="77777777" w:rsidTr="0011428F">
        <w:trPr>
          <w:tblHeader/>
        </w:trPr>
        <w:tc>
          <w:tcPr>
            <w:tcW w:w="862" w:type="pct"/>
            <w:shd w:val="clear" w:color="auto" w:fill="auto"/>
            <w:vAlign w:val="center"/>
          </w:tcPr>
          <w:p w14:paraId="5D167415" w14:textId="77777777" w:rsidR="0092254A" w:rsidRPr="00576299" w:rsidRDefault="0092254A" w:rsidP="00EB669B">
            <w:pPr>
              <w:pStyle w:val="In-tableHeading"/>
              <w:keepLines/>
              <w:widowControl w:val="0"/>
              <w:rPr>
                <w:lang w:val="en-AU"/>
              </w:rPr>
            </w:pPr>
            <w:r w:rsidRPr="00576299">
              <w:rPr>
                <w:lang w:val="en-AU"/>
              </w:rPr>
              <w:t>Trial</w:t>
            </w:r>
          </w:p>
        </w:tc>
        <w:tc>
          <w:tcPr>
            <w:tcW w:w="393" w:type="pct"/>
            <w:shd w:val="clear" w:color="auto" w:fill="auto"/>
            <w:vAlign w:val="center"/>
          </w:tcPr>
          <w:p w14:paraId="41702B56" w14:textId="77777777" w:rsidR="0092254A" w:rsidRPr="00576299" w:rsidRDefault="0092254A" w:rsidP="00EB669B">
            <w:pPr>
              <w:pStyle w:val="In-tableHeading"/>
              <w:keepLines/>
              <w:widowControl w:val="0"/>
              <w:jc w:val="center"/>
              <w:rPr>
                <w:lang w:val="en-AU"/>
              </w:rPr>
            </w:pPr>
            <w:r w:rsidRPr="00576299">
              <w:rPr>
                <w:lang w:val="en-AU"/>
              </w:rPr>
              <w:t>N</w:t>
            </w:r>
          </w:p>
        </w:tc>
        <w:tc>
          <w:tcPr>
            <w:tcW w:w="943" w:type="pct"/>
            <w:shd w:val="clear" w:color="auto" w:fill="auto"/>
            <w:vAlign w:val="center"/>
          </w:tcPr>
          <w:p w14:paraId="073B56B1" w14:textId="77777777" w:rsidR="0092254A" w:rsidRPr="00576299" w:rsidRDefault="0092254A" w:rsidP="00EB669B">
            <w:pPr>
              <w:pStyle w:val="In-tableHeading"/>
              <w:keepLines/>
              <w:widowControl w:val="0"/>
              <w:jc w:val="center"/>
              <w:rPr>
                <w:lang w:val="en-AU"/>
              </w:rPr>
            </w:pPr>
            <w:r w:rsidRPr="00576299">
              <w:rPr>
                <w:lang w:val="en-AU"/>
              </w:rPr>
              <w:t>Design/ median duration of follow up</w:t>
            </w:r>
          </w:p>
        </w:tc>
        <w:tc>
          <w:tcPr>
            <w:tcW w:w="420" w:type="pct"/>
            <w:shd w:val="clear" w:color="auto" w:fill="auto"/>
            <w:vAlign w:val="center"/>
          </w:tcPr>
          <w:p w14:paraId="0A796C9E" w14:textId="77777777" w:rsidR="0092254A" w:rsidRPr="00576299" w:rsidRDefault="0092254A" w:rsidP="00EB669B">
            <w:pPr>
              <w:pStyle w:val="In-tableHeading"/>
              <w:keepLines/>
              <w:widowControl w:val="0"/>
              <w:jc w:val="center"/>
              <w:rPr>
                <w:lang w:val="en-AU"/>
              </w:rPr>
            </w:pPr>
            <w:r w:rsidRPr="00576299">
              <w:rPr>
                <w:lang w:val="en-AU"/>
              </w:rPr>
              <w:t>Risk of bias</w:t>
            </w:r>
          </w:p>
        </w:tc>
        <w:tc>
          <w:tcPr>
            <w:tcW w:w="995" w:type="pct"/>
            <w:shd w:val="clear" w:color="auto" w:fill="auto"/>
            <w:vAlign w:val="center"/>
          </w:tcPr>
          <w:p w14:paraId="6F48923B" w14:textId="77777777" w:rsidR="0092254A" w:rsidRPr="00576299" w:rsidRDefault="0092254A" w:rsidP="00EB669B">
            <w:pPr>
              <w:pStyle w:val="In-tableHeading"/>
              <w:keepLines/>
              <w:widowControl w:val="0"/>
              <w:jc w:val="center"/>
              <w:rPr>
                <w:lang w:val="en-AU"/>
              </w:rPr>
            </w:pPr>
            <w:r w:rsidRPr="00576299">
              <w:rPr>
                <w:lang w:val="en-AU"/>
              </w:rPr>
              <w:t>Patient population</w:t>
            </w:r>
          </w:p>
        </w:tc>
        <w:tc>
          <w:tcPr>
            <w:tcW w:w="629" w:type="pct"/>
            <w:shd w:val="clear" w:color="auto" w:fill="auto"/>
            <w:vAlign w:val="center"/>
          </w:tcPr>
          <w:p w14:paraId="4E1EE169" w14:textId="77777777" w:rsidR="0092254A" w:rsidRPr="00576299" w:rsidRDefault="0092254A" w:rsidP="00EB669B">
            <w:pPr>
              <w:pStyle w:val="In-tableHeading"/>
              <w:keepLines/>
              <w:widowControl w:val="0"/>
              <w:jc w:val="center"/>
              <w:rPr>
                <w:lang w:val="en-AU"/>
              </w:rPr>
            </w:pPr>
            <w:r w:rsidRPr="00576299">
              <w:rPr>
                <w:lang w:val="en-AU"/>
              </w:rPr>
              <w:t>Outcome(s)</w:t>
            </w:r>
          </w:p>
        </w:tc>
        <w:tc>
          <w:tcPr>
            <w:tcW w:w="758" w:type="pct"/>
            <w:shd w:val="clear" w:color="auto" w:fill="auto"/>
            <w:vAlign w:val="center"/>
          </w:tcPr>
          <w:p w14:paraId="11BA5C47" w14:textId="77777777" w:rsidR="0092254A" w:rsidRPr="00576299" w:rsidRDefault="0092254A" w:rsidP="00EB669B">
            <w:pPr>
              <w:pStyle w:val="In-tableHeading"/>
              <w:keepLines/>
              <w:widowControl w:val="0"/>
              <w:jc w:val="center"/>
              <w:rPr>
                <w:lang w:val="en-AU"/>
              </w:rPr>
            </w:pPr>
            <w:r w:rsidRPr="00576299">
              <w:rPr>
                <w:lang w:val="en-AU"/>
              </w:rPr>
              <w:t>Use in modelled evaluation</w:t>
            </w:r>
          </w:p>
        </w:tc>
      </w:tr>
      <w:tr w:rsidR="0092254A" w:rsidRPr="00576299" w14:paraId="0E5093AB" w14:textId="77777777" w:rsidTr="00C068F2">
        <w:tc>
          <w:tcPr>
            <w:tcW w:w="5000" w:type="pct"/>
            <w:gridSpan w:val="7"/>
            <w:shd w:val="clear" w:color="auto" w:fill="auto"/>
            <w:vAlign w:val="center"/>
          </w:tcPr>
          <w:p w14:paraId="10830B2E" w14:textId="77777777" w:rsidR="0092254A" w:rsidRPr="00576299" w:rsidRDefault="0092254A" w:rsidP="00EB669B">
            <w:pPr>
              <w:pStyle w:val="In-tableHeading"/>
              <w:keepLines/>
              <w:widowControl w:val="0"/>
              <w:rPr>
                <w:lang w:val="en-AU"/>
              </w:rPr>
            </w:pPr>
            <w:r w:rsidRPr="00576299">
              <w:rPr>
                <w:lang w:val="en-AU"/>
              </w:rPr>
              <w:t>Dostarlimab</w:t>
            </w:r>
          </w:p>
        </w:tc>
      </w:tr>
      <w:tr w:rsidR="0092254A" w:rsidRPr="00576299" w14:paraId="54F1E8DB" w14:textId="77777777" w:rsidTr="0011428F">
        <w:tc>
          <w:tcPr>
            <w:tcW w:w="862" w:type="pct"/>
            <w:shd w:val="clear" w:color="auto" w:fill="auto"/>
            <w:vAlign w:val="center"/>
          </w:tcPr>
          <w:p w14:paraId="443DC430" w14:textId="77777777" w:rsidR="0092254A" w:rsidRPr="00576299" w:rsidRDefault="0092254A" w:rsidP="00EB669B">
            <w:pPr>
              <w:pStyle w:val="TableText0"/>
              <w:keepLines/>
              <w:widowControl w:val="0"/>
            </w:pPr>
            <w:r w:rsidRPr="00576299">
              <w:t>GARNET Cohort A1</w:t>
            </w:r>
          </w:p>
        </w:tc>
        <w:tc>
          <w:tcPr>
            <w:tcW w:w="393" w:type="pct"/>
            <w:shd w:val="clear" w:color="auto" w:fill="auto"/>
            <w:vAlign w:val="center"/>
          </w:tcPr>
          <w:p w14:paraId="109C40B4" w14:textId="77777777" w:rsidR="0092254A" w:rsidRPr="00576299" w:rsidRDefault="0092254A" w:rsidP="00EB669B">
            <w:pPr>
              <w:pStyle w:val="TableText0"/>
              <w:keepLines/>
              <w:widowControl w:val="0"/>
              <w:jc w:val="center"/>
            </w:pPr>
            <w:r w:rsidRPr="00576299">
              <w:t>153</w:t>
            </w:r>
          </w:p>
        </w:tc>
        <w:tc>
          <w:tcPr>
            <w:tcW w:w="943" w:type="pct"/>
            <w:shd w:val="clear" w:color="auto" w:fill="auto"/>
            <w:vAlign w:val="center"/>
          </w:tcPr>
          <w:p w14:paraId="556AF602" w14:textId="77777777" w:rsidR="0092254A" w:rsidRPr="00576299" w:rsidRDefault="0092254A" w:rsidP="00EB669B">
            <w:pPr>
              <w:pStyle w:val="TableText0"/>
              <w:keepLines/>
              <w:widowControl w:val="0"/>
              <w:jc w:val="center"/>
            </w:pPr>
            <w:r w:rsidRPr="00576299">
              <w:t>SA, OL/ Cohort A1 data cut IA3 ITT 27.6 months</w:t>
            </w:r>
          </w:p>
        </w:tc>
        <w:tc>
          <w:tcPr>
            <w:tcW w:w="420" w:type="pct"/>
            <w:shd w:val="clear" w:color="auto" w:fill="auto"/>
            <w:vAlign w:val="center"/>
          </w:tcPr>
          <w:p w14:paraId="036C828C" w14:textId="77777777" w:rsidR="0092254A" w:rsidRPr="00576299" w:rsidRDefault="0092254A" w:rsidP="00EB669B">
            <w:pPr>
              <w:pStyle w:val="TableText0"/>
              <w:keepLines/>
              <w:widowControl w:val="0"/>
              <w:jc w:val="center"/>
            </w:pPr>
            <w:r w:rsidRPr="00576299">
              <w:t>High</w:t>
            </w:r>
          </w:p>
        </w:tc>
        <w:tc>
          <w:tcPr>
            <w:tcW w:w="995" w:type="pct"/>
            <w:shd w:val="clear" w:color="auto" w:fill="auto"/>
            <w:vAlign w:val="center"/>
          </w:tcPr>
          <w:p w14:paraId="74D8E3D6" w14:textId="77777777" w:rsidR="0092254A" w:rsidRPr="00576299" w:rsidRDefault="0092254A" w:rsidP="00EB669B">
            <w:pPr>
              <w:pStyle w:val="TableText0"/>
              <w:keepLines/>
              <w:widowControl w:val="0"/>
              <w:jc w:val="center"/>
            </w:pPr>
            <w:r w:rsidRPr="00576299">
              <w:t>A/R dMMR EC following PBC</w:t>
            </w:r>
          </w:p>
        </w:tc>
        <w:tc>
          <w:tcPr>
            <w:tcW w:w="629" w:type="pct"/>
            <w:shd w:val="clear" w:color="auto" w:fill="auto"/>
            <w:vAlign w:val="center"/>
          </w:tcPr>
          <w:p w14:paraId="3FA984AD" w14:textId="77777777" w:rsidR="0092254A" w:rsidRPr="00576299" w:rsidRDefault="0092254A" w:rsidP="00EB669B">
            <w:pPr>
              <w:pStyle w:val="TableText0"/>
              <w:keepLines/>
              <w:widowControl w:val="0"/>
              <w:jc w:val="center"/>
            </w:pPr>
            <w:r w:rsidRPr="00576299">
              <w:t>OS, PFS, ORR</w:t>
            </w:r>
          </w:p>
        </w:tc>
        <w:tc>
          <w:tcPr>
            <w:tcW w:w="758" w:type="pct"/>
            <w:shd w:val="clear" w:color="auto" w:fill="auto"/>
            <w:vAlign w:val="center"/>
          </w:tcPr>
          <w:p w14:paraId="6553A51B" w14:textId="77777777" w:rsidR="0092254A" w:rsidRPr="00576299" w:rsidRDefault="0092254A" w:rsidP="00EB669B">
            <w:pPr>
              <w:pStyle w:val="TableText0"/>
              <w:keepLines/>
              <w:widowControl w:val="0"/>
              <w:jc w:val="center"/>
            </w:pPr>
            <w:r w:rsidRPr="00576299">
              <w:t>Survival gain</w:t>
            </w:r>
          </w:p>
        </w:tc>
      </w:tr>
      <w:tr w:rsidR="0092254A" w:rsidRPr="00576299" w14:paraId="23DF26A5" w14:textId="77777777" w:rsidTr="00C068F2">
        <w:tc>
          <w:tcPr>
            <w:tcW w:w="5000" w:type="pct"/>
            <w:gridSpan w:val="7"/>
            <w:shd w:val="clear" w:color="auto" w:fill="auto"/>
            <w:vAlign w:val="center"/>
          </w:tcPr>
          <w:p w14:paraId="5F7EF08C" w14:textId="5CA240C8" w:rsidR="0092254A" w:rsidRPr="00576299" w:rsidRDefault="0092254A" w:rsidP="00EB669B">
            <w:pPr>
              <w:pStyle w:val="In-tableHeading"/>
              <w:keepLines/>
              <w:widowControl w:val="0"/>
              <w:rPr>
                <w:vertAlign w:val="superscript"/>
                <w:lang w:val="en-AU"/>
              </w:rPr>
            </w:pPr>
            <w:r w:rsidRPr="00576299">
              <w:rPr>
                <w:lang w:val="en-AU"/>
              </w:rPr>
              <w:t>SoC</w:t>
            </w:r>
            <w:r w:rsidR="002E1006" w:rsidRPr="00576299">
              <w:rPr>
                <w:lang w:val="en-AU"/>
              </w:rPr>
              <w:t xml:space="preserve"> </w:t>
            </w:r>
            <w:r w:rsidR="002E1006" w:rsidRPr="00576299">
              <w:rPr>
                <w:vertAlign w:val="superscript"/>
                <w:lang w:val="en-AU"/>
              </w:rPr>
              <w:t>b</w:t>
            </w:r>
          </w:p>
        </w:tc>
      </w:tr>
      <w:tr w:rsidR="0092254A" w:rsidRPr="00576299" w14:paraId="14E1636B" w14:textId="77777777" w:rsidTr="0011428F">
        <w:tc>
          <w:tcPr>
            <w:tcW w:w="862" w:type="pct"/>
            <w:shd w:val="clear" w:color="auto" w:fill="auto"/>
            <w:vAlign w:val="center"/>
          </w:tcPr>
          <w:p w14:paraId="42DA3E1D" w14:textId="77777777" w:rsidR="0092254A" w:rsidRPr="00576299" w:rsidRDefault="0092254A" w:rsidP="00EB669B">
            <w:pPr>
              <w:pStyle w:val="TableText0"/>
              <w:keepLines/>
              <w:widowControl w:val="0"/>
            </w:pPr>
            <w:r w:rsidRPr="00576299">
              <w:t>ZoptEC</w:t>
            </w:r>
          </w:p>
        </w:tc>
        <w:tc>
          <w:tcPr>
            <w:tcW w:w="393" w:type="pct"/>
            <w:shd w:val="clear" w:color="auto" w:fill="auto"/>
            <w:vAlign w:val="center"/>
          </w:tcPr>
          <w:p w14:paraId="498DC4E3" w14:textId="77777777" w:rsidR="0092254A" w:rsidRPr="00576299" w:rsidRDefault="0092254A" w:rsidP="00EB669B">
            <w:pPr>
              <w:pStyle w:val="TableText0"/>
              <w:keepLines/>
              <w:widowControl w:val="0"/>
              <w:jc w:val="center"/>
            </w:pPr>
            <w:r w:rsidRPr="00576299">
              <w:t>249</w:t>
            </w:r>
          </w:p>
        </w:tc>
        <w:tc>
          <w:tcPr>
            <w:tcW w:w="943" w:type="pct"/>
            <w:shd w:val="clear" w:color="auto" w:fill="auto"/>
            <w:vAlign w:val="center"/>
          </w:tcPr>
          <w:p w14:paraId="5EC716F3" w14:textId="77777777" w:rsidR="0092254A" w:rsidRPr="00576299" w:rsidRDefault="0092254A" w:rsidP="00EB669B">
            <w:pPr>
              <w:pStyle w:val="TableText0"/>
              <w:keepLines/>
              <w:widowControl w:val="0"/>
              <w:jc w:val="center"/>
            </w:pPr>
            <w:r w:rsidRPr="00576299">
              <w:t>OL, R/</w:t>
            </w:r>
            <w:r w:rsidRPr="00576299">
              <w:br/>
              <w:t>26.7 months</w:t>
            </w:r>
          </w:p>
        </w:tc>
        <w:tc>
          <w:tcPr>
            <w:tcW w:w="420" w:type="pct"/>
            <w:shd w:val="clear" w:color="auto" w:fill="auto"/>
            <w:vAlign w:val="center"/>
          </w:tcPr>
          <w:p w14:paraId="16C843FE" w14:textId="77777777" w:rsidR="0092254A" w:rsidRPr="00576299" w:rsidRDefault="0092254A" w:rsidP="00EB669B">
            <w:pPr>
              <w:pStyle w:val="TableText0"/>
              <w:keepLines/>
              <w:widowControl w:val="0"/>
              <w:jc w:val="center"/>
            </w:pPr>
            <w:r w:rsidRPr="00576299">
              <w:t xml:space="preserve">High </w:t>
            </w:r>
            <w:r w:rsidRPr="00576299">
              <w:rPr>
                <w:vertAlign w:val="superscript"/>
              </w:rPr>
              <w:t>b</w:t>
            </w:r>
          </w:p>
        </w:tc>
        <w:tc>
          <w:tcPr>
            <w:tcW w:w="995" w:type="pct"/>
            <w:shd w:val="clear" w:color="auto" w:fill="auto"/>
            <w:vAlign w:val="center"/>
          </w:tcPr>
          <w:p w14:paraId="1BE52757" w14:textId="77777777" w:rsidR="0092254A" w:rsidRPr="00576299" w:rsidRDefault="0092254A" w:rsidP="00EB669B">
            <w:pPr>
              <w:pStyle w:val="TableText0"/>
              <w:keepLines/>
              <w:widowControl w:val="0"/>
              <w:jc w:val="center"/>
            </w:pPr>
            <w:r w:rsidRPr="00576299">
              <w:t>Locally advanced, recurrent, or metastatic EC, following PBC</w:t>
            </w:r>
          </w:p>
        </w:tc>
        <w:tc>
          <w:tcPr>
            <w:tcW w:w="629" w:type="pct"/>
            <w:shd w:val="clear" w:color="auto" w:fill="auto"/>
            <w:vAlign w:val="center"/>
          </w:tcPr>
          <w:p w14:paraId="4122F3B2" w14:textId="77777777" w:rsidR="0092254A" w:rsidRPr="00576299" w:rsidRDefault="0092254A" w:rsidP="00EB669B">
            <w:pPr>
              <w:pStyle w:val="TableText0"/>
              <w:keepLines/>
              <w:widowControl w:val="0"/>
              <w:jc w:val="center"/>
            </w:pPr>
            <w:r w:rsidRPr="00576299">
              <w:t>OS, PFS, ORR</w:t>
            </w:r>
          </w:p>
        </w:tc>
        <w:tc>
          <w:tcPr>
            <w:tcW w:w="758" w:type="pct"/>
            <w:shd w:val="clear" w:color="auto" w:fill="auto"/>
            <w:vAlign w:val="center"/>
          </w:tcPr>
          <w:p w14:paraId="74EBCB41" w14:textId="77777777" w:rsidR="0092254A" w:rsidRPr="00576299" w:rsidRDefault="0092254A" w:rsidP="00EB669B">
            <w:pPr>
              <w:pStyle w:val="TableText0"/>
              <w:keepLines/>
              <w:widowControl w:val="0"/>
              <w:jc w:val="center"/>
            </w:pPr>
            <w:r w:rsidRPr="00576299">
              <w:t>Survival gain for SoC</w:t>
            </w:r>
          </w:p>
        </w:tc>
      </w:tr>
      <w:tr w:rsidR="0092254A" w:rsidRPr="00576299" w14:paraId="41CF4E67" w14:textId="77777777" w:rsidTr="0011428F">
        <w:tc>
          <w:tcPr>
            <w:tcW w:w="862" w:type="pct"/>
            <w:shd w:val="clear" w:color="auto" w:fill="auto"/>
            <w:vAlign w:val="center"/>
          </w:tcPr>
          <w:p w14:paraId="25AFBB71" w14:textId="77777777" w:rsidR="0092254A" w:rsidRPr="00576299" w:rsidRDefault="0092254A" w:rsidP="00EB669B">
            <w:pPr>
              <w:pStyle w:val="TableText0"/>
              <w:keepLines/>
              <w:widowControl w:val="0"/>
            </w:pPr>
            <w:r w:rsidRPr="00576299">
              <w:t>IXAMPLE2</w:t>
            </w:r>
          </w:p>
        </w:tc>
        <w:tc>
          <w:tcPr>
            <w:tcW w:w="393" w:type="pct"/>
            <w:shd w:val="clear" w:color="auto" w:fill="auto"/>
            <w:vAlign w:val="center"/>
          </w:tcPr>
          <w:p w14:paraId="61B6A109" w14:textId="77777777" w:rsidR="0092254A" w:rsidRPr="00576299" w:rsidRDefault="0092254A" w:rsidP="00EB669B">
            <w:pPr>
              <w:pStyle w:val="TableText0"/>
              <w:keepLines/>
              <w:widowControl w:val="0"/>
              <w:jc w:val="center"/>
            </w:pPr>
            <w:r w:rsidRPr="00576299">
              <w:t>248</w:t>
            </w:r>
          </w:p>
        </w:tc>
        <w:tc>
          <w:tcPr>
            <w:tcW w:w="943" w:type="pct"/>
            <w:shd w:val="clear" w:color="auto" w:fill="auto"/>
            <w:vAlign w:val="center"/>
          </w:tcPr>
          <w:p w14:paraId="364CBEF2" w14:textId="77777777" w:rsidR="0092254A" w:rsidRPr="00576299" w:rsidRDefault="0092254A" w:rsidP="00EB669B">
            <w:pPr>
              <w:pStyle w:val="TableText0"/>
              <w:keepLines/>
              <w:widowControl w:val="0"/>
              <w:jc w:val="center"/>
            </w:pPr>
            <w:r w:rsidRPr="00576299">
              <w:t>OL, R/</w:t>
            </w:r>
            <w:r w:rsidRPr="00576299">
              <w:br/>
              <w:t>NR</w:t>
            </w:r>
          </w:p>
        </w:tc>
        <w:tc>
          <w:tcPr>
            <w:tcW w:w="420" w:type="pct"/>
            <w:shd w:val="clear" w:color="auto" w:fill="auto"/>
            <w:vAlign w:val="center"/>
          </w:tcPr>
          <w:p w14:paraId="39461A3D" w14:textId="77777777" w:rsidR="0092254A" w:rsidRPr="00576299" w:rsidRDefault="0092254A" w:rsidP="00EB669B">
            <w:pPr>
              <w:pStyle w:val="TableText0"/>
              <w:keepLines/>
              <w:widowControl w:val="0"/>
              <w:jc w:val="center"/>
            </w:pPr>
            <w:r w:rsidRPr="00576299">
              <w:t xml:space="preserve">High </w:t>
            </w:r>
            <w:r w:rsidRPr="00576299">
              <w:rPr>
                <w:vertAlign w:val="superscript"/>
              </w:rPr>
              <w:t>b</w:t>
            </w:r>
          </w:p>
        </w:tc>
        <w:tc>
          <w:tcPr>
            <w:tcW w:w="995" w:type="pct"/>
            <w:shd w:val="clear" w:color="auto" w:fill="auto"/>
            <w:vAlign w:val="center"/>
          </w:tcPr>
          <w:p w14:paraId="51696535" w14:textId="77777777" w:rsidR="0092254A" w:rsidRPr="00576299" w:rsidRDefault="0092254A" w:rsidP="00EB669B">
            <w:pPr>
              <w:pStyle w:val="TableText0"/>
              <w:keepLines/>
              <w:widowControl w:val="0"/>
              <w:jc w:val="center"/>
            </w:pPr>
            <w:r w:rsidRPr="00576299">
              <w:t>Locally advanced, recurrent, or metastatic EC, following PBC</w:t>
            </w:r>
          </w:p>
        </w:tc>
        <w:tc>
          <w:tcPr>
            <w:tcW w:w="629" w:type="pct"/>
            <w:shd w:val="clear" w:color="auto" w:fill="auto"/>
            <w:vAlign w:val="center"/>
          </w:tcPr>
          <w:p w14:paraId="535C944B" w14:textId="77777777" w:rsidR="0092254A" w:rsidRPr="00576299" w:rsidRDefault="0092254A" w:rsidP="00EB669B">
            <w:pPr>
              <w:pStyle w:val="TableText0"/>
              <w:keepLines/>
              <w:widowControl w:val="0"/>
              <w:jc w:val="center"/>
            </w:pPr>
            <w:r w:rsidRPr="00576299">
              <w:t>OS, PFS, ORR</w:t>
            </w:r>
          </w:p>
        </w:tc>
        <w:tc>
          <w:tcPr>
            <w:tcW w:w="758" w:type="pct"/>
            <w:shd w:val="clear" w:color="auto" w:fill="auto"/>
            <w:vAlign w:val="center"/>
          </w:tcPr>
          <w:p w14:paraId="21B1EC9F" w14:textId="77777777" w:rsidR="0092254A" w:rsidRPr="00576299" w:rsidRDefault="0092254A" w:rsidP="00EB669B">
            <w:pPr>
              <w:pStyle w:val="TableText0"/>
              <w:keepLines/>
              <w:widowControl w:val="0"/>
              <w:jc w:val="center"/>
            </w:pPr>
            <w:r w:rsidRPr="00576299">
              <w:t>Used in sensitivity analysis</w:t>
            </w:r>
          </w:p>
        </w:tc>
      </w:tr>
      <w:tr w:rsidR="0092254A" w:rsidRPr="00576299" w14:paraId="236645AB" w14:textId="77777777" w:rsidTr="0011428F">
        <w:tc>
          <w:tcPr>
            <w:tcW w:w="862" w:type="pct"/>
            <w:shd w:val="clear" w:color="auto" w:fill="auto"/>
            <w:vAlign w:val="center"/>
          </w:tcPr>
          <w:p w14:paraId="48FF9990" w14:textId="77777777" w:rsidR="0092254A" w:rsidRPr="00576299" w:rsidRDefault="0092254A" w:rsidP="00EB669B">
            <w:pPr>
              <w:pStyle w:val="TableText0"/>
              <w:keepLines/>
              <w:widowControl w:val="0"/>
            </w:pPr>
            <w:r w:rsidRPr="00576299">
              <w:t>KEYNOTE-775 (chemotherapy arm)</w:t>
            </w:r>
          </w:p>
        </w:tc>
        <w:tc>
          <w:tcPr>
            <w:tcW w:w="393" w:type="pct"/>
            <w:shd w:val="clear" w:color="auto" w:fill="auto"/>
            <w:vAlign w:val="center"/>
          </w:tcPr>
          <w:p w14:paraId="10B3027B" w14:textId="77777777" w:rsidR="0092254A" w:rsidRPr="00576299" w:rsidRDefault="0092254A" w:rsidP="00EB669B">
            <w:pPr>
              <w:pStyle w:val="TableText0"/>
              <w:keepLines/>
              <w:widowControl w:val="0"/>
              <w:jc w:val="center"/>
            </w:pPr>
            <w:r w:rsidRPr="00576299">
              <w:t xml:space="preserve">416 </w:t>
            </w:r>
          </w:p>
        </w:tc>
        <w:tc>
          <w:tcPr>
            <w:tcW w:w="943" w:type="pct"/>
            <w:shd w:val="clear" w:color="auto" w:fill="auto"/>
            <w:vAlign w:val="center"/>
          </w:tcPr>
          <w:p w14:paraId="3E72E201" w14:textId="77777777" w:rsidR="0092254A" w:rsidRPr="00576299" w:rsidRDefault="0092254A" w:rsidP="00EB669B">
            <w:pPr>
              <w:pStyle w:val="TableText0"/>
              <w:keepLines/>
              <w:widowControl w:val="0"/>
              <w:jc w:val="center"/>
            </w:pPr>
            <w:r w:rsidRPr="00576299">
              <w:t>OL, R/</w:t>
            </w:r>
            <w:r w:rsidRPr="00576299">
              <w:br/>
              <w:t>10.7 months</w:t>
            </w:r>
          </w:p>
        </w:tc>
        <w:tc>
          <w:tcPr>
            <w:tcW w:w="420" w:type="pct"/>
            <w:shd w:val="clear" w:color="auto" w:fill="auto"/>
            <w:vAlign w:val="center"/>
          </w:tcPr>
          <w:p w14:paraId="5855187A" w14:textId="77777777" w:rsidR="0092254A" w:rsidRPr="00576299" w:rsidRDefault="0092254A" w:rsidP="00EB669B">
            <w:pPr>
              <w:pStyle w:val="TableText0"/>
              <w:keepLines/>
              <w:widowControl w:val="0"/>
              <w:jc w:val="center"/>
            </w:pPr>
            <w:r w:rsidRPr="00576299">
              <w:t xml:space="preserve">High </w:t>
            </w:r>
            <w:r w:rsidRPr="00576299">
              <w:rPr>
                <w:vertAlign w:val="superscript"/>
              </w:rPr>
              <w:t>b</w:t>
            </w:r>
          </w:p>
        </w:tc>
        <w:tc>
          <w:tcPr>
            <w:tcW w:w="995" w:type="pct"/>
            <w:shd w:val="clear" w:color="auto" w:fill="auto"/>
            <w:vAlign w:val="center"/>
          </w:tcPr>
          <w:p w14:paraId="5398F189" w14:textId="77777777" w:rsidR="0092254A" w:rsidRPr="00576299" w:rsidRDefault="0092254A" w:rsidP="00EB669B">
            <w:pPr>
              <w:pStyle w:val="TableText0"/>
              <w:keepLines/>
              <w:widowControl w:val="0"/>
              <w:jc w:val="center"/>
            </w:pPr>
            <w:r w:rsidRPr="00576299">
              <w:t>Advanced, recurrent or metastatic EC, following PBC</w:t>
            </w:r>
          </w:p>
        </w:tc>
        <w:tc>
          <w:tcPr>
            <w:tcW w:w="629" w:type="pct"/>
            <w:shd w:val="clear" w:color="auto" w:fill="auto"/>
            <w:vAlign w:val="center"/>
          </w:tcPr>
          <w:p w14:paraId="2D770038" w14:textId="77777777" w:rsidR="0092254A" w:rsidRPr="00576299" w:rsidRDefault="0092254A" w:rsidP="00EB669B">
            <w:pPr>
              <w:pStyle w:val="TableText0"/>
              <w:keepLines/>
              <w:widowControl w:val="0"/>
              <w:jc w:val="center"/>
            </w:pPr>
            <w:r w:rsidRPr="00576299">
              <w:t>OS, PFS, ORR</w:t>
            </w:r>
          </w:p>
        </w:tc>
        <w:tc>
          <w:tcPr>
            <w:tcW w:w="758" w:type="pct"/>
            <w:shd w:val="clear" w:color="auto" w:fill="auto"/>
            <w:vAlign w:val="center"/>
          </w:tcPr>
          <w:p w14:paraId="495029F4" w14:textId="77777777" w:rsidR="0092254A" w:rsidRPr="00576299" w:rsidRDefault="0092254A" w:rsidP="00EB669B">
            <w:pPr>
              <w:pStyle w:val="TableText0"/>
              <w:keepLines/>
              <w:widowControl w:val="0"/>
              <w:jc w:val="center"/>
            </w:pPr>
            <w:r w:rsidRPr="00576299">
              <w:t>Used in sensitivity analysis</w:t>
            </w:r>
          </w:p>
        </w:tc>
      </w:tr>
      <w:tr w:rsidR="0092254A" w:rsidRPr="00576299" w14:paraId="1C0A5498" w14:textId="77777777" w:rsidTr="0011428F">
        <w:tc>
          <w:tcPr>
            <w:tcW w:w="862" w:type="pct"/>
            <w:shd w:val="clear" w:color="auto" w:fill="auto"/>
            <w:vAlign w:val="center"/>
          </w:tcPr>
          <w:p w14:paraId="258B644D" w14:textId="77777777" w:rsidR="0092254A" w:rsidRPr="00576299" w:rsidRDefault="0092254A" w:rsidP="00EB669B">
            <w:pPr>
              <w:pStyle w:val="TableText0"/>
              <w:keepLines/>
              <w:widowControl w:val="0"/>
            </w:pPr>
            <w:r w:rsidRPr="00576299">
              <w:t>Scambia 2020</w:t>
            </w:r>
          </w:p>
        </w:tc>
        <w:tc>
          <w:tcPr>
            <w:tcW w:w="393" w:type="pct"/>
            <w:shd w:val="clear" w:color="auto" w:fill="auto"/>
            <w:vAlign w:val="center"/>
          </w:tcPr>
          <w:p w14:paraId="6F9393C5" w14:textId="77777777" w:rsidR="0092254A" w:rsidRPr="00576299" w:rsidRDefault="0092254A" w:rsidP="00EB669B">
            <w:pPr>
              <w:pStyle w:val="TableText0"/>
              <w:keepLines/>
              <w:widowControl w:val="0"/>
              <w:jc w:val="center"/>
            </w:pPr>
            <w:r w:rsidRPr="00576299">
              <w:t>90</w:t>
            </w:r>
          </w:p>
        </w:tc>
        <w:tc>
          <w:tcPr>
            <w:tcW w:w="943" w:type="pct"/>
            <w:shd w:val="clear" w:color="auto" w:fill="auto"/>
            <w:vAlign w:val="center"/>
          </w:tcPr>
          <w:p w14:paraId="0B98D672" w14:textId="77777777" w:rsidR="0092254A" w:rsidRPr="00576299" w:rsidRDefault="0092254A" w:rsidP="00EB669B">
            <w:pPr>
              <w:pStyle w:val="TableText0"/>
              <w:keepLines/>
              <w:widowControl w:val="0"/>
              <w:jc w:val="center"/>
            </w:pPr>
            <w:r w:rsidRPr="00576299">
              <w:t>OL, R /</w:t>
            </w:r>
            <w:r w:rsidRPr="00576299">
              <w:br/>
              <w:t>14.4 months</w:t>
            </w:r>
          </w:p>
        </w:tc>
        <w:tc>
          <w:tcPr>
            <w:tcW w:w="420" w:type="pct"/>
            <w:shd w:val="clear" w:color="auto" w:fill="auto"/>
            <w:vAlign w:val="center"/>
          </w:tcPr>
          <w:p w14:paraId="016779DB" w14:textId="77777777" w:rsidR="0092254A" w:rsidRPr="00576299" w:rsidRDefault="0092254A" w:rsidP="00EB669B">
            <w:pPr>
              <w:pStyle w:val="TableText0"/>
              <w:keepLines/>
              <w:widowControl w:val="0"/>
              <w:jc w:val="center"/>
            </w:pPr>
            <w:r w:rsidRPr="00576299">
              <w:t xml:space="preserve">High </w:t>
            </w:r>
            <w:r w:rsidRPr="00576299">
              <w:rPr>
                <w:vertAlign w:val="superscript"/>
              </w:rPr>
              <w:t>b</w:t>
            </w:r>
          </w:p>
        </w:tc>
        <w:tc>
          <w:tcPr>
            <w:tcW w:w="995" w:type="pct"/>
            <w:shd w:val="clear" w:color="auto" w:fill="auto"/>
            <w:vAlign w:val="center"/>
          </w:tcPr>
          <w:p w14:paraId="79BA8100" w14:textId="77777777" w:rsidR="0092254A" w:rsidRPr="00576299" w:rsidRDefault="0092254A" w:rsidP="00EB669B">
            <w:pPr>
              <w:pStyle w:val="TableText0"/>
              <w:keepLines/>
              <w:widowControl w:val="0"/>
              <w:jc w:val="center"/>
            </w:pPr>
            <w:r w:rsidRPr="00576299">
              <w:t>Advanced, recurrent, or persistent EC, following PBC</w:t>
            </w:r>
          </w:p>
        </w:tc>
        <w:tc>
          <w:tcPr>
            <w:tcW w:w="629" w:type="pct"/>
            <w:shd w:val="clear" w:color="auto" w:fill="auto"/>
            <w:vAlign w:val="center"/>
          </w:tcPr>
          <w:p w14:paraId="02F3D0EB" w14:textId="77777777" w:rsidR="0092254A" w:rsidRPr="00576299" w:rsidRDefault="0092254A" w:rsidP="00EB669B">
            <w:pPr>
              <w:pStyle w:val="TableText0"/>
              <w:keepLines/>
              <w:widowControl w:val="0"/>
              <w:jc w:val="center"/>
            </w:pPr>
            <w:r w:rsidRPr="00576299">
              <w:t>OS, PFS, ORR</w:t>
            </w:r>
          </w:p>
        </w:tc>
        <w:tc>
          <w:tcPr>
            <w:tcW w:w="758" w:type="pct"/>
            <w:shd w:val="clear" w:color="auto" w:fill="auto"/>
            <w:vAlign w:val="center"/>
          </w:tcPr>
          <w:p w14:paraId="5EA28662" w14:textId="77777777" w:rsidR="0092254A" w:rsidRPr="00576299" w:rsidRDefault="0092254A" w:rsidP="00EB669B">
            <w:pPr>
              <w:pStyle w:val="TableText0"/>
              <w:keepLines/>
              <w:widowControl w:val="0"/>
              <w:jc w:val="center"/>
            </w:pPr>
            <w:r w:rsidRPr="00576299">
              <w:t>Not used</w:t>
            </w:r>
          </w:p>
        </w:tc>
      </w:tr>
      <w:tr w:rsidR="0092254A" w:rsidRPr="00576299" w14:paraId="4406C7B8" w14:textId="77777777" w:rsidTr="0011428F">
        <w:tc>
          <w:tcPr>
            <w:tcW w:w="862" w:type="pct"/>
            <w:shd w:val="clear" w:color="auto" w:fill="auto"/>
            <w:vAlign w:val="center"/>
          </w:tcPr>
          <w:p w14:paraId="535C006B" w14:textId="7C910732" w:rsidR="0092254A" w:rsidRPr="00576299" w:rsidRDefault="0092254A" w:rsidP="00EB669B">
            <w:pPr>
              <w:pStyle w:val="TableText0"/>
              <w:keepLines/>
              <w:widowControl w:val="0"/>
              <w:rPr>
                <w:vertAlign w:val="superscript"/>
              </w:rPr>
            </w:pPr>
            <w:r w:rsidRPr="00576299">
              <w:t>UK RWE study</w:t>
            </w:r>
          </w:p>
        </w:tc>
        <w:tc>
          <w:tcPr>
            <w:tcW w:w="393" w:type="pct"/>
            <w:shd w:val="clear" w:color="auto" w:fill="auto"/>
            <w:vAlign w:val="center"/>
          </w:tcPr>
          <w:p w14:paraId="0B88E15D" w14:textId="77777777" w:rsidR="0092254A" w:rsidRPr="00576299" w:rsidRDefault="0092254A" w:rsidP="00EB669B">
            <w:pPr>
              <w:pStyle w:val="TableText0"/>
              <w:keepLines/>
              <w:widowControl w:val="0"/>
              <w:jc w:val="center"/>
            </w:pPr>
            <w:r w:rsidRPr="00576299">
              <w:t>45,494</w:t>
            </w:r>
          </w:p>
        </w:tc>
        <w:tc>
          <w:tcPr>
            <w:tcW w:w="943" w:type="pct"/>
            <w:shd w:val="clear" w:color="auto" w:fill="auto"/>
            <w:vAlign w:val="center"/>
          </w:tcPr>
          <w:p w14:paraId="1D3A741F" w14:textId="77777777" w:rsidR="0092254A" w:rsidRPr="00576299" w:rsidRDefault="0092254A" w:rsidP="00EB669B">
            <w:pPr>
              <w:pStyle w:val="Tabletext"/>
              <w:keepNext/>
              <w:keepLines/>
              <w:widowControl w:val="0"/>
              <w:jc w:val="center"/>
            </w:pPr>
            <w:r w:rsidRPr="00576299">
              <w:t>Descriptive, non-interventional/</w:t>
            </w:r>
            <w:r w:rsidRPr="00576299">
              <w:br/>
              <w:t>GARNET-like loose cohort: 27.4 months;</w:t>
            </w:r>
          </w:p>
          <w:p w14:paraId="668579BD" w14:textId="77777777" w:rsidR="0092254A" w:rsidRPr="00576299" w:rsidRDefault="0092254A" w:rsidP="00EB669B">
            <w:pPr>
              <w:pStyle w:val="TableText0"/>
              <w:keepLines/>
              <w:widowControl w:val="0"/>
              <w:jc w:val="center"/>
            </w:pPr>
            <w:r w:rsidRPr="00576299">
              <w:t xml:space="preserve">GARNET-like strict cohort: 27.0 months </w:t>
            </w:r>
            <w:r w:rsidRPr="00576299">
              <w:rPr>
                <w:vertAlign w:val="superscript"/>
              </w:rPr>
              <w:t>c</w:t>
            </w:r>
          </w:p>
        </w:tc>
        <w:tc>
          <w:tcPr>
            <w:tcW w:w="420" w:type="pct"/>
            <w:shd w:val="clear" w:color="auto" w:fill="auto"/>
            <w:vAlign w:val="center"/>
          </w:tcPr>
          <w:p w14:paraId="299C3582" w14:textId="77777777" w:rsidR="0092254A" w:rsidRPr="00576299" w:rsidRDefault="0092254A" w:rsidP="00EB669B">
            <w:pPr>
              <w:pStyle w:val="TableText0"/>
              <w:keepLines/>
              <w:widowControl w:val="0"/>
              <w:jc w:val="center"/>
            </w:pPr>
            <w:r w:rsidRPr="00576299">
              <w:t xml:space="preserve">High </w:t>
            </w:r>
            <w:r w:rsidRPr="00576299">
              <w:rPr>
                <w:vertAlign w:val="superscript"/>
              </w:rPr>
              <w:t>d</w:t>
            </w:r>
          </w:p>
        </w:tc>
        <w:tc>
          <w:tcPr>
            <w:tcW w:w="995" w:type="pct"/>
            <w:shd w:val="clear" w:color="auto" w:fill="auto"/>
            <w:vAlign w:val="center"/>
          </w:tcPr>
          <w:p w14:paraId="68BD7AA4" w14:textId="77777777" w:rsidR="0092254A" w:rsidRPr="00576299" w:rsidRDefault="0092254A" w:rsidP="00EB669B">
            <w:pPr>
              <w:pStyle w:val="TableText0"/>
              <w:keepLines/>
              <w:widowControl w:val="0"/>
              <w:jc w:val="center"/>
            </w:pPr>
            <w:r w:rsidRPr="00576299">
              <w:t>Patients diagnosed with between 01/01/2013 and 31/12/2018 in England.</w:t>
            </w:r>
          </w:p>
        </w:tc>
        <w:tc>
          <w:tcPr>
            <w:tcW w:w="629" w:type="pct"/>
            <w:shd w:val="clear" w:color="auto" w:fill="auto"/>
            <w:vAlign w:val="center"/>
          </w:tcPr>
          <w:p w14:paraId="4816CB2E" w14:textId="77777777" w:rsidR="0092254A" w:rsidRPr="00576299" w:rsidRDefault="0092254A" w:rsidP="00EB669B">
            <w:pPr>
              <w:pStyle w:val="TableText0"/>
              <w:keepLines/>
              <w:widowControl w:val="0"/>
              <w:jc w:val="center"/>
            </w:pPr>
            <w:r w:rsidRPr="00576299">
              <w:t>OS, TTNT, TTD</w:t>
            </w:r>
          </w:p>
        </w:tc>
        <w:tc>
          <w:tcPr>
            <w:tcW w:w="758" w:type="pct"/>
            <w:shd w:val="clear" w:color="auto" w:fill="auto"/>
            <w:vAlign w:val="center"/>
          </w:tcPr>
          <w:p w14:paraId="2D7D893D" w14:textId="77777777" w:rsidR="0092254A" w:rsidRPr="00576299" w:rsidRDefault="0092254A" w:rsidP="00EB669B">
            <w:pPr>
              <w:pStyle w:val="TableText0"/>
              <w:keepLines/>
              <w:widowControl w:val="0"/>
              <w:jc w:val="center"/>
            </w:pPr>
            <w:r w:rsidRPr="00576299">
              <w:t>Used in sensitivity analysis</w:t>
            </w:r>
          </w:p>
        </w:tc>
      </w:tr>
      <w:tr w:rsidR="0092254A" w:rsidRPr="00576299" w14:paraId="5D6EB6FC" w14:textId="77777777" w:rsidTr="00C068F2">
        <w:tc>
          <w:tcPr>
            <w:tcW w:w="5000" w:type="pct"/>
            <w:gridSpan w:val="7"/>
            <w:shd w:val="clear" w:color="auto" w:fill="auto"/>
            <w:vAlign w:val="center"/>
          </w:tcPr>
          <w:p w14:paraId="5328C086" w14:textId="62CE0252" w:rsidR="0092254A" w:rsidRPr="00576299" w:rsidRDefault="0092254A" w:rsidP="00EB669B">
            <w:pPr>
              <w:pStyle w:val="In-tableHeading"/>
              <w:keepLines/>
              <w:widowControl w:val="0"/>
              <w:rPr>
                <w:vertAlign w:val="superscript"/>
                <w:lang w:val="en-AU"/>
              </w:rPr>
            </w:pPr>
            <w:r w:rsidRPr="00576299">
              <w:rPr>
                <w:lang w:val="en-AU"/>
              </w:rPr>
              <w:t>PEM+LEN</w:t>
            </w:r>
            <w:r w:rsidR="002E1006" w:rsidRPr="00576299">
              <w:rPr>
                <w:lang w:val="en-AU"/>
              </w:rPr>
              <w:t xml:space="preserve"> </w:t>
            </w:r>
          </w:p>
        </w:tc>
      </w:tr>
      <w:tr w:rsidR="0092254A" w:rsidRPr="00576299" w14:paraId="2CF1B30A" w14:textId="77777777" w:rsidTr="0011428F">
        <w:tc>
          <w:tcPr>
            <w:tcW w:w="862" w:type="pct"/>
            <w:shd w:val="clear" w:color="auto" w:fill="auto"/>
            <w:vAlign w:val="center"/>
          </w:tcPr>
          <w:p w14:paraId="7B6EC75F" w14:textId="77777777" w:rsidR="0092254A" w:rsidRPr="00576299" w:rsidRDefault="0092254A" w:rsidP="00EB669B">
            <w:pPr>
              <w:pStyle w:val="TableText0"/>
              <w:keepLines/>
              <w:widowControl w:val="0"/>
            </w:pPr>
            <w:r w:rsidRPr="00576299">
              <w:t>KEYNOTE-775 (PEM+LEN arm)</w:t>
            </w:r>
          </w:p>
        </w:tc>
        <w:tc>
          <w:tcPr>
            <w:tcW w:w="393" w:type="pct"/>
            <w:shd w:val="clear" w:color="auto" w:fill="auto"/>
            <w:vAlign w:val="center"/>
          </w:tcPr>
          <w:p w14:paraId="63E381F1" w14:textId="77777777" w:rsidR="0092254A" w:rsidRPr="00576299" w:rsidRDefault="0092254A" w:rsidP="00EB669B">
            <w:pPr>
              <w:pStyle w:val="TableText0"/>
              <w:keepLines/>
              <w:widowControl w:val="0"/>
              <w:jc w:val="center"/>
            </w:pPr>
            <w:r w:rsidRPr="00576299">
              <w:t>411</w:t>
            </w:r>
          </w:p>
        </w:tc>
        <w:tc>
          <w:tcPr>
            <w:tcW w:w="943" w:type="pct"/>
            <w:shd w:val="clear" w:color="auto" w:fill="auto"/>
            <w:vAlign w:val="center"/>
          </w:tcPr>
          <w:p w14:paraId="29FCF343" w14:textId="3154BA05" w:rsidR="0092254A" w:rsidRPr="00576299" w:rsidRDefault="0092254A" w:rsidP="00EB669B">
            <w:pPr>
              <w:pStyle w:val="TableText0"/>
              <w:keepLines/>
              <w:widowControl w:val="0"/>
              <w:jc w:val="center"/>
            </w:pPr>
            <w:r w:rsidRPr="00576299">
              <w:t>OL, R</w:t>
            </w:r>
            <w:r w:rsidRPr="00576299">
              <w:br/>
              <w:t>12.2 months</w:t>
            </w:r>
          </w:p>
        </w:tc>
        <w:tc>
          <w:tcPr>
            <w:tcW w:w="420" w:type="pct"/>
            <w:shd w:val="clear" w:color="auto" w:fill="auto"/>
            <w:vAlign w:val="center"/>
          </w:tcPr>
          <w:p w14:paraId="680D1CB7" w14:textId="77777777" w:rsidR="0092254A" w:rsidRPr="00576299" w:rsidRDefault="0092254A" w:rsidP="00EB669B">
            <w:pPr>
              <w:pStyle w:val="TableText0"/>
              <w:keepLines/>
              <w:widowControl w:val="0"/>
              <w:jc w:val="center"/>
            </w:pPr>
            <w:r w:rsidRPr="00576299">
              <w:t xml:space="preserve">High </w:t>
            </w:r>
            <w:r w:rsidRPr="00576299">
              <w:rPr>
                <w:vertAlign w:val="superscript"/>
              </w:rPr>
              <w:t>b</w:t>
            </w:r>
          </w:p>
        </w:tc>
        <w:tc>
          <w:tcPr>
            <w:tcW w:w="995" w:type="pct"/>
            <w:shd w:val="clear" w:color="auto" w:fill="auto"/>
            <w:vAlign w:val="center"/>
          </w:tcPr>
          <w:p w14:paraId="5A138E57" w14:textId="77777777" w:rsidR="0092254A" w:rsidRPr="00576299" w:rsidRDefault="0092254A" w:rsidP="00EB669B">
            <w:pPr>
              <w:pStyle w:val="TableText0"/>
              <w:keepLines/>
              <w:widowControl w:val="0"/>
              <w:jc w:val="center"/>
            </w:pPr>
            <w:r w:rsidRPr="00576299">
              <w:t>Advanced, recurrent or metastatic EC, following PBC</w:t>
            </w:r>
          </w:p>
        </w:tc>
        <w:tc>
          <w:tcPr>
            <w:tcW w:w="629" w:type="pct"/>
            <w:shd w:val="clear" w:color="auto" w:fill="auto"/>
            <w:vAlign w:val="center"/>
          </w:tcPr>
          <w:p w14:paraId="3B489518" w14:textId="77777777" w:rsidR="0092254A" w:rsidRPr="00576299" w:rsidRDefault="0092254A" w:rsidP="00EB669B">
            <w:pPr>
              <w:pStyle w:val="TableText0"/>
              <w:keepLines/>
              <w:widowControl w:val="0"/>
              <w:jc w:val="center"/>
            </w:pPr>
            <w:r w:rsidRPr="00576299">
              <w:t>OS, PFS, ORR</w:t>
            </w:r>
          </w:p>
        </w:tc>
        <w:tc>
          <w:tcPr>
            <w:tcW w:w="758" w:type="pct"/>
            <w:shd w:val="clear" w:color="auto" w:fill="auto"/>
            <w:vAlign w:val="center"/>
          </w:tcPr>
          <w:p w14:paraId="6A8C8C5D" w14:textId="77777777" w:rsidR="0092254A" w:rsidRPr="00576299" w:rsidRDefault="0092254A" w:rsidP="00EB669B">
            <w:pPr>
              <w:pStyle w:val="TableText0"/>
              <w:keepLines/>
              <w:widowControl w:val="0"/>
              <w:jc w:val="center"/>
            </w:pPr>
            <w:r w:rsidRPr="00576299">
              <w:t>Survival gain</w:t>
            </w:r>
          </w:p>
        </w:tc>
      </w:tr>
      <w:tr w:rsidR="0092254A" w:rsidRPr="00576299" w14:paraId="5472C1ED" w14:textId="77777777" w:rsidTr="00C068F2">
        <w:tc>
          <w:tcPr>
            <w:tcW w:w="5000" w:type="pct"/>
            <w:gridSpan w:val="7"/>
            <w:shd w:val="clear" w:color="auto" w:fill="auto"/>
            <w:vAlign w:val="center"/>
          </w:tcPr>
          <w:p w14:paraId="4F6E45A6" w14:textId="77777777" w:rsidR="0092254A" w:rsidRPr="00576299" w:rsidRDefault="0092254A" w:rsidP="00EB669B">
            <w:pPr>
              <w:pStyle w:val="In-tableHeading"/>
              <w:keepLines/>
              <w:widowControl w:val="0"/>
              <w:rPr>
                <w:lang w:val="en-AU"/>
              </w:rPr>
            </w:pPr>
            <w:r w:rsidRPr="00576299">
              <w:rPr>
                <w:lang w:val="en-AU"/>
              </w:rPr>
              <w:t>Pembrolizumab monotherapy</w:t>
            </w:r>
          </w:p>
        </w:tc>
      </w:tr>
      <w:tr w:rsidR="0092254A" w:rsidRPr="00576299" w14:paraId="4D9791B5" w14:textId="77777777" w:rsidTr="0011428F">
        <w:tc>
          <w:tcPr>
            <w:tcW w:w="862" w:type="pct"/>
            <w:shd w:val="clear" w:color="auto" w:fill="auto"/>
            <w:vAlign w:val="center"/>
          </w:tcPr>
          <w:p w14:paraId="51868C05" w14:textId="77777777" w:rsidR="0092254A" w:rsidRPr="00576299" w:rsidRDefault="0092254A" w:rsidP="00EB669B">
            <w:pPr>
              <w:pStyle w:val="TableText0"/>
              <w:keepLines/>
              <w:widowControl w:val="0"/>
            </w:pPr>
            <w:r w:rsidRPr="00576299">
              <w:t>KEYNOTE-158</w:t>
            </w:r>
          </w:p>
        </w:tc>
        <w:tc>
          <w:tcPr>
            <w:tcW w:w="393" w:type="pct"/>
            <w:shd w:val="clear" w:color="auto" w:fill="auto"/>
            <w:vAlign w:val="center"/>
          </w:tcPr>
          <w:p w14:paraId="31B67D60" w14:textId="77777777" w:rsidR="0092254A" w:rsidRPr="00576299" w:rsidRDefault="0092254A" w:rsidP="00EB669B">
            <w:pPr>
              <w:pStyle w:val="TableText0"/>
              <w:keepLines/>
              <w:widowControl w:val="0"/>
              <w:jc w:val="center"/>
            </w:pPr>
            <w:r w:rsidRPr="00576299">
              <w:t>79</w:t>
            </w:r>
          </w:p>
        </w:tc>
        <w:tc>
          <w:tcPr>
            <w:tcW w:w="943" w:type="pct"/>
            <w:shd w:val="clear" w:color="auto" w:fill="auto"/>
            <w:vAlign w:val="center"/>
          </w:tcPr>
          <w:p w14:paraId="40F49262" w14:textId="1A711062" w:rsidR="0092254A" w:rsidRPr="00576299" w:rsidRDefault="0092254A" w:rsidP="00EB669B">
            <w:pPr>
              <w:pStyle w:val="TableText0"/>
              <w:keepLines/>
              <w:widowControl w:val="0"/>
              <w:jc w:val="center"/>
            </w:pPr>
            <w:r w:rsidRPr="00576299">
              <w:t>SA, OL</w:t>
            </w:r>
            <w:r w:rsidRPr="00576299">
              <w:br/>
              <w:t>42.6 months</w:t>
            </w:r>
          </w:p>
        </w:tc>
        <w:tc>
          <w:tcPr>
            <w:tcW w:w="420" w:type="pct"/>
            <w:shd w:val="clear" w:color="auto" w:fill="auto"/>
            <w:vAlign w:val="center"/>
          </w:tcPr>
          <w:p w14:paraId="01A09086" w14:textId="77777777" w:rsidR="0092254A" w:rsidRPr="00576299" w:rsidRDefault="0092254A" w:rsidP="00EB669B">
            <w:pPr>
              <w:pStyle w:val="TableText0"/>
              <w:keepLines/>
              <w:widowControl w:val="0"/>
              <w:jc w:val="center"/>
            </w:pPr>
            <w:r w:rsidRPr="00576299">
              <w:t>High</w:t>
            </w:r>
          </w:p>
        </w:tc>
        <w:tc>
          <w:tcPr>
            <w:tcW w:w="995" w:type="pct"/>
            <w:shd w:val="clear" w:color="auto" w:fill="auto"/>
            <w:vAlign w:val="center"/>
          </w:tcPr>
          <w:p w14:paraId="07D50CC5" w14:textId="77777777" w:rsidR="0092254A" w:rsidRPr="00576299" w:rsidRDefault="0092254A" w:rsidP="00EB669B">
            <w:pPr>
              <w:pStyle w:val="TableText0"/>
              <w:keepLines/>
              <w:widowControl w:val="0"/>
              <w:jc w:val="center"/>
            </w:pPr>
            <w:r w:rsidRPr="00576299">
              <w:t>Advanced (unresectable and/or metastatic) MSI-H/dMMR EC, following “standard therapies”</w:t>
            </w:r>
          </w:p>
        </w:tc>
        <w:tc>
          <w:tcPr>
            <w:tcW w:w="629" w:type="pct"/>
            <w:shd w:val="clear" w:color="auto" w:fill="auto"/>
            <w:vAlign w:val="center"/>
          </w:tcPr>
          <w:p w14:paraId="13579BDD" w14:textId="77777777" w:rsidR="0092254A" w:rsidRPr="00576299" w:rsidRDefault="0092254A" w:rsidP="00EB669B">
            <w:pPr>
              <w:pStyle w:val="TableText0"/>
              <w:keepLines/>
              <w:widowControl w:val="0"/>
              <w:jc w:val="center"/>
            </w:pPr>
            <w:r w:rsidRPr="00576299">
              <w:t>OS, PFS, ORR</w:t>
            </w:r>
          </w:p>
        </w:tc>
        <w:tc>
          <w:tcPr>
            <w:tcW w:w="758" w:type="pct"/>
            <w:shd w:val="clear" w:color="auto" w:fill="auto"/>
            <w:vAlign w:val="center"/>
          </w:tcPr>
          <w:p w14:paraId="23033867" w14:textId="77777777" w:rsidR="0092254A" w:rsidRPr="00576299" w:rsidRDefault="0092254A" w:rsidP="00EB669B">
            <w:pPr>
              <w:pStyle w:val="TableText0"/>
              <w:keepLines/>
              <w:widowControl w:val="0"/>
              <w:jc w:val="center"/>
            </w:pPr>
            <w:r w:rsidRPr="00576299">
              <w:t>Survival gain</w:t>
            </w:r>
          </w:p>
        </w:tc>
      </w:tr>
    </w:tbl>
    <w:p w14:paraId="752C7071" w14:textId="77777777" w:rsidR="00C73213" w:rsidRPr="00576299" w:rsidRDefault="00C73213" w:rsidP="00EB669B">
      <w:pPr>
        <w:pStyle w:val="TableFooter"/>
        <w:keepNext/>
        <w:keepLines/>
        <w:widowControl w:val="0"/>
      </w:pPr>
      <w:r w:rsidRPr="00576299">
        <w:t>Source: Tables 21, 22, pp 70, 72 of the resubmission.</w:t>
      </w:r>
    </w:p>
    <w:p w14:paraId="4ABDBD7C" w14:textId="77777777" w:rsidR="0092254A" w:rsidRPr="00576299" w:rsidRDefault="0092254A" w:rsidP="00EB669B">
      <w:pPr>
        <w:pStyle w:val="TableFooter"/>
        <w:keepNext/>
        <w:keepLines/>
        <w:widowControl w:val="0"/>
      </w:pPr>
      <w:r w:rsidRPr="00576299">
        <w:t xml:space="preserve">A/R = advanced or recurrent; dMMR = mismatch repair deficient; EC = endometrial cancer; NR = not reported; OL = open label; ORR = objective response rate; OS = overall survival; PBC = platinum-based chemotherapy; PFS = progression-free survival; R = randomised, SA = single arm, TTD = time to treatment discontinuation; TTNT = time to next treatment. </w:t>
      </w:r>
    </w:p>
    <w:p w14:paraId="6C1B0F6B" w14:textId="0BE7B44E" w:rsidR="0092254A" w:rsidRPr="00576299" w:rsidRDefault="0092254A" w:rsidP="00EB669B">
      <w:pPr>
        <w:pStyle w:val="FooterTableFigure"/>
        <w:keepNext/>
        <w:keepLines/>
        <w:widowControl w:val="0"/>
      </w:pPr>
      <w:r w:rsidRPr="00576299">
        <w:t>a For the included trials, only the arms for which the resubmission presented information for have been included.</w:t>
      </w:r>
    </w:p>
    <w:p w14:paraId="652B5FC0" w14:textId="77777777" w:rsidR="0092254A" w:rsidRPr="00576299" w:rsidRDefault="0092254A" w:rsidP="00EB669B">
      <w:pPr>
        <w:pStyle w:val="FooterTableFigure"/>
        <w:keepNext/>
        <w:keepLines/>
        <w:widowControl w:val="0"/>
      </w:pPr>
      <w:r w:rsidRPr="00576299">
        <w:t>b Even though ZoptEC, IXAMPLE2, KEYNOTE-775 and Scambia 2020 were randomised trials, only the single treatment arms of interest were included in the clinical evaluation by the resubmission. Therefore, the risk of bias from using data from only the comparators in these trials should be considered high as the benefits of randomisation for the respective trials were not retained.</w:t>
      </w:r>
    </w:p>
    <w:p w14:paraId="4C052789" w14:textId="77777777" w:rsidR="0092254A" w:rsidRPr="00576299" w:rsidRDefault="0092254A" w:rsidP="00EB669B">
      <w:pPr>
        <w:pStyle w:val="FooterTableFigure"/>
        <w:keepNext/>
        <w:keepLines/>
        <w:widowControl w:val="0"/>
      </w:pPr>
      <w:r w:rsidRPr="00576299">
        <w:t>c From the UK RWE, a “GARNET-like cohort”, matched to GARNET Cohort A1 was created post hoc. Two sub-cohorts, referred to as the “GARNET-like (loose) cohort” (included patients with baseline PS ≤1 or missing data) and the “GARNET-like (strict) cohort” (included only patients with baseline PS ≤1), were used in the naïve comparison to dostarlimab by the submission.</w:t>
      </w:r>
    </w:p>
    <w:p w14:paraId="7CCA83FD" w14:textId="77777777" w:rsidR="0092254A" w:rsidRPr="00576299" w:rsidRDefault="0092254A" w:rsidP="00EB669B">
      <w:pPr>
        <w:pStyle w:val="FooterTableFigure"/>
        <w:keepNext/>
        <w:keepLines/>
        <w:widowControl w:val="0"/>
      </w:pPr>
      <w:r w:rsidRPr="00576299">
        <w:t>d Only selected results were provided from the UK RWE for evaluation, which may be a source of reporting bias. Moreover, the UK RWE did not meet the criteria for inclusion in the systematic review but was included by the submission on an ad hoc basis, which may increase the risk of selection bias.</w:t>
      </w:r>
    </w:p>
    <w:p w14:paraId="3D4AB334" w14:textId="38CC9D41" w:rsidR="0092254A" w:rsidRPr="00576299" w:rsidRDefault="0092254A" w:rsidP="0092254A">
      <w:pPr>
        <w:pStyle w:val="3-BodyText"/>
      </w:pPr>
      <w:r w:rsidRPr="00576299">
        <w:t>None of the trials inform</w:t>
      </w:r>
      <w:r w:rsidR="004A1671" w:rsidRPr="00576299">
        <w:t>ing the</w:t>
      </w:r>
      <w:r w:rsidRPr="00576299">
        <w:t xml:space="preserve"> SoC </w:t>
      </w:r>
      <w:r w:rsidR="004A1671" w:rsidRPr="00576299">
        <w:t xml:space="preserve">arm </w:t>
      </w:r>
      <w:r w:rsidRPr="00576299">
        <w:t xml:space="preserve">restricted patient enrolment by MMR status. However, as in the previous submission, the resubmission considered that MMR status was not a treatment effect modifier for chemotherapy in A/R EC and claimed that the inclusion of all-comers in the SoC trials compared to dMMR patients in </w:t>
      </w:r>
      <w:r w:rsidRPr="00576299">
        <w:lastRenderedPageBreak/>
        <w:t>GARNET Cohort A1 was not expected to limit the exchangeability of the trials.</w:t>
      </w:r>
      <w:r w:rsidR="00AB71C1" w:rsidRPr="00576299">
        <w:t xml:space="preserve"> The ESC had previously </w:t>
      </w:r>
      <w:r w:rsidR="00CD1EBD" w:rsidRPr="00576299">
        <w:t>considered there was a lack of evidence regarding whether or not MMR status was a treatment effect modifier for chemotherapy but considered the fact that the comparator studies included all-comers (rather than being restricted to dMMR patients) may have biased against dostarlimab (</w:t>
      </w:r>
      <w:r w:rsidR="00F838B1" w:rsidRPr="00576299">
        <w:t xml:space="preserve">paragraph </w:t>
      </w:r>
      <w:r w:rsidR="00CD1EBD" w:rsidRPr="00576299">
        <w:t xml:space="preserve">6.11, dostarlimab </w:t>
      </w:r>
      <w:r w:rsidR="00106B44" w:rsidRPr="00576299">
        <w:t>PSD</w:t>
      </w:r>
      <w:r w:rsidR="00CD1EBD" w:rsidRPr="00576299">
        <w:t>, March 2022)</w:t>
      </w:r>
      <w:r w:rsidR="00F838B1" w:rsidRPr="00576299">
        <w:t>.</w:t>
      </w:r>
    </w:p>
    <w:p w14:paraId="75C996E6" w14:textId="77777777" w:rsidR="0092254A" w:rsidRPr="00576299" w:rsidRDefault="0092254A" w:rsidP="0092254A">
      <w:pPr>
        <w:pStyle w:val="4-SubsectionHeading"/>
      </w:pPr>
      <w:bookmarkStart w:id="28" w:name="_Toc22897641"/>
      <w:bookmarkStart w:id="29" w:name="_Toc114052524"/>
      <w:r w:rsidRPr="00576299">
        <w:t>Comparative effectiveness</w:t>
      </w:r>
      <w:bookmarkEnd w:id="28"/>
      <w:bookmarkEnd w:id="29"/>
    </w:p>
    <w:p w14:paraId="3C037418" w14:textId="4E189616" w:rsidR="0092254A" w:rsidRPr="00576299" w:rsidRDefault="0092254A" w:rsidP="000E1DA3">
      <w:pPr>
        <w:pStyle w:val="Heading3"/>
        <w:spacing w:after="120"/>
      </w:pPr>
      <w:r w:rsidRPr="00576299">
        <w:t>Efficacy outcomes presented by the submission</w:t>
      </w:r>
    </w:p>
    <w:p w14:paraId="6B8995E2" w14:textId="5F2F4DD4" w:rsidR="0092254A" w:rsidRPr="00576299" w:rsidRDefault="0092254A" w:rsidP="0092254A">
      <w:pPr>
        <w:pStyle w:val="3-BodyText"/>
      </w:pPr>
      <w:bookmarkStart w:id="30" w:name="_Ref111507472"/>
      <w:r w:rsidRPr="00576299">
        <w:t xml:space="preserve">As in the previous submission, the naïve indirect comparisons involved comparing various arms of different trials conducted at different time periods </w:t>
      </w:r>
      <w:r w:rsidR="004A42E1" w:rsidRPr="00576299">
        <w:t xml:space="preserve">in </w:t>
      </w:r>
      <w:r w:rsidRPr="00576299">
        <w:t>different patient</w:t>
      </w:r>
      <w:r w:rsidR="004A42E1" w:rsidRPr="00576299">
        <w:t xml:space="preserve"> populations</w:t>
      </w:r>
      <w:r w:rsidR="005A39A2" w:rsidRPr="00576299">
        <w:t>.</w:t>
      </w:r>
      <w:r w:rsidRPr="00576299">
        <w:t xml:space="preserve"> Therefore, there was a high risk of bias and the results of this analysis were highly uncertain.</w:t>
      </w:r>
      <w:bookmarkEnd w:id="30"/>
    </w:p>
    <w:p w14:paraId="1847DECA" w14:textId="5312089E" w:rsidR="0092254A" w:rsidRPr="00576299" w:rsidRDefault="0092254A" w:rsidP="0092254A">
      <w:pPr>
        <w:pStyle w:val="3-BodyText"/>
      </w:pPr>
      <w:r w:rsidRPr="00576299">
        <w:t xml:space="preserve">For the comparison of dostarlimab and SoC, the OS Kaplan-Meier curves of the relevant arms of the included trials and studies and key OS outcomes are presented in </w:t>
      </w:r>
      <w:r w:rsidRPr="00576299">
        <w:fldChar w:fldCharType="begin"/>
      </w:r>
      <w:r w:rsidRPr="00576299">
        <w:instrText xml:space="preserve"> REF _Ref111414927 \h </w:instrText>
      </w:r>
      <w:r w:rsidRPr="00576299">
        <w:fldChar w:fldCharType="separate"/>
      </w:r>
      <w:r w:rsidR="00CD09E9" w:rsidRPr="00576299">
        <w:t xml:space="preserve">Figure </w:t>
      </w:r>
      <w:r w:rsidR="00CD09E9">
        <w:rPr>
          <w:noProof/>
        </w:rPr>
        <w:t>1</w:t>
      </w:r>
      <w:r w:rsidRPr="00576299">
        <w:fldChar w:fldCharType="end"/>
      </w:r>
      <w:r w:rsidRPr="00576299">
        <w:t xml:space="preserve"> and </w:t>
      </w:r>
      <w:r w:rsidRPr="00576299">
        <w:fldChar w:fldCharType="begin"/>
      </w:r>
      <w:r w:rsidRPr="00576299">
        <w:instrText xml:space="preserve"> REF _Ref111415124 \h </w:instrText>
      </w:r>
      <w:r w:rsidRPr="00576299">
        <w:fldChar w:fldCharType="separate"/>
      </w:r>
      <w:r w:rsidR="00CD09E9" w:rsidRPr="00576299">
        <w:t xml:space="preserve">Table </w:t>
      </w:r>
      <w:r w:rsidR="00CD09E9">
        <w:rPr>
          <w:noProof/>
        </w:rPr>
        <w:t>6</w:t>
      </w:r>
      <w:r w:rsidRPr="00576299">
        <w:fldChar w:fldCharType="end"/>
      </w:r>
      <w:r w:rsidRPr="00576299">
        <w:t>.</w:t>
      </w:r>
    </w:p>
    <w:p w14:paraId="183A9D36" w14:textId="453DE99E" w:rsidR="0092254A" w:rsidRPr="00576299" w:rsidRDefault="0092254A" w:rsidP="003703C3">
      <w:pPr>
        <w:pStyle w:val="Caption"/>
      </w:pPr>
      <w:bookmarkStart w:id="31" w:name="_Ref111414927"/>
      <w:r w:rsidRPr="00576299">
        <w:t xml:space="preserve">Figure </w:t>
      </w:r>
      <w:fldSimple w:instr=" SEQ Figure \* ARABIC ">
        <w:r w:rsidR="00CD09E9">
          <w:rPr>
            <w:noProof/>
          </w:rPr>
          <w:t>1</w:t>
        </w:r>
      </w:fldSimple>
      <w:bookmarkEnd w:id="31"/>
      <w:r w:rsidRPr="00576299">
        <w:t>: Dostarlimab vs SoC naïve comparison: Kaplan-Meier overall survival curves from included trials</w:t>
      </w:r>
      <w:r w:rsidR="00FD5605">
        <w:t>*</w:t>
      </w:r>
    </w:p>
    <w:p w14:paraId="1BADF271" w14:textId="713B6FB9" w:rsidR="0092254A" w:rsidRPr="00576299" w:rsidRDefault="0092254A" w:rsidP="003703C3">
      <w:pPr>
        <w:pStyle w:val="TableFooter"/>
        <w:jc w:val="left"/>
      </w:pPr>
      <w:r w:rsidRPr="00576299">
        <w:rPr>
          <w:noProof/>
        </w:rPr>
        <w:drawing>
          <wp:inline distT="0" distB="0" distL="0" distR="0" wp14:anchorId="2EC0B611" wp14:editId="2239C9E0">
            <wp:extent cx="4667250" cy="2686336"/>
            <wp:effectExtent l="0" t="0" r="0" b="0"/>
            <wp:docPr id="6" name="Picture 6" descr="Figure 1: Dostarlimab vs SoC naïve comparison: Kaplan-Meier overall survival curves from included t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1: Dostarlimab vs SoC naïve comparison: Kaplan-Meier overall survival curves from included trial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7870" cy="2698204"/>
                    </a:xfrm>
                    <a:prstGeom prst="rect">
                      <a:avLst/>
                    </a:prstGeom>
                  </pic:spPr>
                </pic:pic>
              </a:graphicData>
            </a:graphic>
          </wp:inline>
        </w:drawing>
      </w:r>
    </w:p>
    <w:p w14:paraId="4E925413" w14:textId="1C0C8023" w:rsidR="00C73213" w:rsidRPr="00576299" w:rsidRDefault="00C73213" w:rsidP="00C73213">
      <w:pPr>
        <w:pStyle w:val="TableFooter"/>
      </w:pPr>
      <w:r w:rsidRPr="00576299">
        <w:t>Source: Figure 32, p156 of the resubmission.</w:t>
      </w:r>
    </w:p>
    <w:p w14:paraId="73130EF4" w14:textId="5E8D08AA" w:rsidR="00C73213" w:rsidRPr="00576299" w:rsidRDefault="00C73213" w:rsidP="00C73213">
      <w:pPr>
        <w:pStyle w:val="TableFooter"/>
      </w:pPr>
      <w:r w:rsidRPr="00576299">
        <w:t>dMMR = mismatch repair deficient; ITT = intention-to-treat; mITT = modified intention-to-treat.</w:t>
      </w:r>
    </w:p>
    <w:p w14:paraId="7B3A9A03" w14:textId="42AC4ED5" w:rsidR="0092254A" w:rsidRDefault="0092254A" w:rsidP="003703C3">
      <w:pPr>
        <w:pStyle w:val="TableFooter"/>
        <w:jc w:val="left"/>
      </w:pPr>
      <w:r w:rsidRPr="00576299">
        <w:t>Note: OS curves were generated via the digitising of KM curves reported in: GARNET IA2 CSR; GARNET IA3 CSR; ZoptEC IPD (data on file); McMeekin 2015; Makker 2022; Makker 2021 (IGCS). The anonymised ZoptEC IPD has been licensed to GSK from Aeterna Zentaris GmbH for indirect comparison purposes (unpublished data).</w:t>
      </w:r>
    </w:p>
    <w:p w14:paraId="6759166C" w14:textId="7EB54747" w:rsidR="00FD5605" w:rsidRPr="00576299" w:rsidRDefault="00FD5605" w:rsidP="003703C3">
      <w:pPr>
        <w:pStyle w:val="TableFooter"/>
        <w:jc w:val="left"/>
      </w:pPr>
      <w:r>
        <w:t>*</w:t>
      </w:r>
      <w:r w:rsidRPr="00FD5605">
        <w:rPr>
          <w:i/>
          <w:iCs/>
        </w:rPr>
        <w:t>Note that the Kaplan-Meier plots depicted in Figure 1 are presented specifically for the purposes of informing the PBAC consideration. Their interpretation and application should therefore be limited to seeking to understand the basis for the PBAC outcome and should not be used for any other purpose.</w:t>
      </w:r>
    </w:p>
    <w:p w14:paraId="750E9679" w14:textId="113131E7" w:rsidR="0092254A" w:rsidRPr="00576299" w:rsidRDefault="0092254A" w:rsidP="0092254A">
      <w:pPr>
        <w:rPr>
          <w:snapToGrid w:val="0"/>
        </w:rPr>
      </w:pPr>
    </w:p>
    <w:p w14:paraId="4BAF9C1D" w14:textId="4191AAE3" w:rsidR="0092254A" w:rsidRPr="00576299" w:rsidRDefault="0092254A" w:rsidP="003F45BD">
      <w:pPr>
        <w:pStyle w:val="Caption"/>
        <w:keepLines w:val="0"/>
        <w:tabs>
          <w:tab w:val="left" w:pos="7371"/>
        </w:tabs>
      </w:pPr>
      <w:bookmarkStart w:id="32" w:name="_Ref111415124"/>
      <w:r w:rsidRPr="00576299">
        <w:lastRenderedPageBreak/>
        <w:t xml:space="preserve">Table </w:t>
      </w:r>
      <w:fldSimple w:instr=" SEQ Table \* ARABIC ">
        <w:r w:rsidR="00CD09E9">
          <w:rPr>
            <w:noProof/>
          </w:rPr>
          <w:t>6</w:t>
        </w:r>
      </w:fldSimple>
      <w:bookmarkEnd w:id="32"/>
      <w:r w:rsidRPr="00576299">
        <w:t>: Dostarlimab vs SoC naïve comparison:</w:t>
      </w:r>
      <w:r w:rsidRPr="00576299">
        <w:rPr>
          <w:szCs w:val="20"/>
        </w:rPr>
        <w:t xml:space="preserve"> Summary of OS events in the relevant arms of included trials and 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891"/>
        <w:gridCol w:w="627"/>
        <w:gridCol w:w="1211"/>
        <w:gridCol w:w="1134"/>
        <w:gridCol w:w="1701"/>
        <w:gridCol w:w="1031"/>
        <w:gridCol w:w="1045"/>
      </w:tblGrid>
      <w:tr w:rsidR="0094348A" w:rsidRPr="00576299" w14:paraId="4CC717FB" w14:textId="1151680C" w:rsidTr="00EC2E2D">
        <w:trPr>
          <w:trHeight w:val="20"/>
        </w:trPr>
        <w:tc>
          <w:tcPr>
            <w:tcW w:w="1377" w:type="dxa"/>
            <w:vAlign w:val="center"/>
          </w:tcPr>
          <w:p w14:paraId="2700105D" w14:textId="45DB08E2" w:rsidR="00E42A18" w:rsidRPr="00576299" w:rsidRDefault="00E42A18" w:rsidP="001E674A">
            <w:pPr>
              <w:keepNext/>
              <w:widowControl w:val="0"/>
              <w:rPr>
                <w:rFonts w:ascii="Arial Narrow" w:hAnsi="Arial Narrow" w:cs="Calibri"/>
                <w:b/>
                <w:bCs/>
                <w:sz w:val="20"/>
                <w:szCs w:val="20"/>
              </w:rPr>
            </w:pPr>
            <w:r w:rsidRPr="00576299">
              <w:rPr>
                <w:rFonts w:ascii="Arial Narrow" w:hAnsi="Arial Narrow" w:cs="Calibri"/>
                <w:b/>
                <w:bCs/>
                <w:sz w:val="20"/>
                <w:szCs w:val="20"/>
              </w:rPr>
              <w:t>Trial</w:t>
            </w:r>
          </w:p>
        </w:tc>
        <w:tc>
          <w:tcPr>
            <w:tcW w:w="891" w:type="dxa"/>
            <w:shd w:val="clear" w:color="auto" w:fill="auto"/>
            <w:noWrap/>
            <w:vAlign w:val="center"/>
            <w:hideMark/>
          </w:tcPr>
          <w:p w14:paraId="4880756F" w14:textId="6F6E5B25" w:rsidR="00E42A18" w:rsidRPr="00576299" w:rsidRDefault="00E42A18" w:rsidP="001E674A">
            <w:pPr>
              <w:keepNext/>
              <w:widowControl w:val="0"/>
              <w:jc w:val="center"/>
              <w:rPr>
                <w:rFonts w:ascii="Arial Narrow" w:hAnsi="Arial Narrow" w:cs="Calibri"/>
                <w:b/>
                <w:bCs/>
                <w:sz w:val="20"/>
                <w:szCs w:val="20"/>
              </w:rPr>
            </w:pPr>
            <w:r w:rsidRPr="00576299">
              <w:rPr>
                <w:rFonts w:ascii="Arial Narrow" w:hAnsi="Arial Narrow" w:cs="Calibri"/>
                <w:b/>
                <w:bCs/>
                <w:sz w:val="20"/>
                <w:szCs w:val="20"/>
              </w:rPr>
              <w:t>Analysis set</w:t>
            </w:r>
          </w:p>
        </w:tc>
        <w:tc>
          <w:tcPr>
            <w:tcW w:w="627" w:type="dxa"/>
            <w:shd w:val="clear" w:color="auto" w:fill="auto"/>
            <w:noWrap/>
            <w:vAlign w:val="center"/>
            <w:hideMark/>
          </w:tcPr>
          <w:p w14:paraId="0325FF44" w14:textId="09E8E544" w:rsidR="00E42A18" w:rsidRPr="00576299" w:rsidRDefault="00E42A18" w:rsidP="001E674A">
            <w:pPr>
              <w:keepNext/>
              <w:widowControl w:val="0"/>
              <w:jc w:val="center"/>
              <w:rPr>
                <w:rFonts w:ascii="Arial Narrow" w:hAnsi="Arial Narrow" w:cs="Calibri"/>
                <w:b/>
                <w:bCs/>
                <w:sz w:val="20"/>
                <w:szCs w:val="20"/>
              </w:rPr>
            </w:pPr>
            <w:r w:rsidRPr="00576299">
              <w:rPr>
                <w:rFonts w:ascii="Arial Narrow" w:hAnsi="Arial Narrow" w:cs="Calibri"/>
                <w:b/>
                <w:bCs/>
                <w:sz w:val="20"/>
                <w:szCs w:val="20"/>
              </w:rPr>
              <w:t>N</w:t>
            </w:r>
          </w:p>
        </w:tc>
        <w:tc>
          <w:tcPr>
            <w:tcW w:w="1211" w:type="dxa"/>
            <w:shd w:val="clear" w:color="auto" w:fill="auto"/>
            <w:noWrap/>
            <w:vAlign w:val="center"/>
            <w:hideMark/>
          </w:tcPr>
          <w:p w14:paraId="63BE824F" w14:textId="6C689489" w:rsidR="00E42A18" w:rsidRPr="00576299" w:rsidRDefault="00E42A18" w:rsidP="001E674A">
            <w:pPr>
              <w:keepNext/>
              <w:widowControl w:val="0"/>
              <w:jc w:val="center"/>
              <w:rPr>
                <w:rFonts w:ascii="Arial Narrow" w:hAnsi="Arial Narrow" w:cs="Calibri"/>
                <w:b/>
                <w:bCs/>
                <w:sz w:val="20"/>
                <w:szCs w:val="20"/>
              </w:rPr>
            </w:pPr>
            <w:r w:rsidRPr="00576299">
              <w:rPr>
                <w:rFonts w:ascii="Arial Narrow" w:hAnsi="Arial Narrow" w:cs="Calibri"/>
                <w:b/>
                <w:bCs/>
                <w:sz w:val="20"/>
                <w:szCs w:val="20"/>
              </w:rPr>
              <w:t>Deaths, n (%)</w:t>
            </w:r>
          </w:p>
        </w:tc>
        <w:tc>
          <w:tcPr>
            <w:tcW w:w="1134" w:type="dxa"/>
            <w:shd w:val="clear" w:color="auto" w:fill="auto"/>
            <w:noWrap/>
            <w:vAlign w:val="center"/>
            <w:hideMark/>
          </w:tcPr>
          <w:p w14:paraId="1E99E9CB" w14:textId="2DA27A09" w:rsidR="00E42A18" w:rsidRPr="00576299" w:rsidRDefault="00E42A18" w:rsidP="001E674A">
            <w:pPr>
              <w:keepNext/>
              <w:widowControl w:val="0"/>
              <w:jc w:val="center"/>
              <w:rPr>
                <w:rFonts w:ascii="Arial Narrow" w:hAnsi="Arial Narrow" w:cs="Calibri"/>
                <w:b/>
                <w:bCs/>
                <w:sz w:val="20"/>
                <w:szCs w:val="20"/>
              </w:rPr>
            </w:pPr>
            <w:r w:rsidRPr="00576299">
              <w:rPr>
                <w:rFonts w:ascii="Arial Narrow" w:hAnsi="Arial Narrow" w:cs="Calibri"/>
                <w:b/>
                <w:bCs/>
                <w:sz w:val="20"/>
                <w:szCs w:val="20"/>
              </w:rPr>
              <w:t xml:space="preserve">Censored, </w:t>
            </w:r>
          </w:p>
          <w:p w14:paraId="11AADA1B" w14:textId="5841996D" w:rsidR="00E42A18" w:rsidRPr="00576299" w:rsidRDefault="00E42A18" w:rsidP="001E674A">
            <w:pPr>
              <w:keepNext/>
              <w:widowControl w:val="0"/>
              <w:jc w:val="center"/>
              <w:rPr>
                <w:rFonts w:ascii="Arial Narrow" w:hAnsi="Arial Narrow" w:cs="Calibri"/>
                <w:b/>
                <w:bCs/>
                <w:sz w:val="20"/>
                <w:szCs w:val="20"/>
              </w:rPr>
            </w:pPr>
            <w:r w:rsidRPr="00576299">
              <w:rPr>
                <w:rFonts w:ascii="Arial Narrow" w:hAnsi="Arial Narrow" w:cs="Calibri"/>
                <w:b/>
                <w:bCs/>
                <w:sz w:val="20"/>
                <w:szCs w:val="20"/>
              </w:rPr>
              <w:t>n (%)</w:t>
            </w:r>
          </w:p>
        </w:tc>
        <w:tc>
          <w:tcPr>
            <w:tcW w:w="1701" w:type="dxa"/>
            <w:shd w:val="clear" w:color="auto" w:fill="auto"/>
            <w:noWrap/>
            <w:vAlign w:val="center"/>
            <w:hideMark/>
          </w:tcPr>
          <w:p w14:paraId="627DEA9D" w14:textId="2A55CC4B" w:rsidR="00E42A18" w:rsidRPr="00576299" w:rsidRDefault="00E42A18" w:rsidP="001E674A">
            <w:pPr>
              <w:keepNext/>
              <w:widowControl w:val="0"/>
              <w:jc w:val="center"/>
              <w:rPr>
                <w:rFonts w:ascii="Arial Narrow" w:hAnsi="Arial Narrow" w:cs="Calibri"/>
                <w:b/>
                <w:bCs/>
                <w:sz w:val="20"/>
                <w:szCs w:val="20"/>
              </w:rPr>
            </w:pPr>
            <w:r w:rsidRPr="00576299">
              <w:rPr>
                <w:rFonts w:ascii="Arial Narrow" w:hAnsi="Arial Narrow" w:cs="Calibri"/>
                <w:b/>
                <w:bCs/>
                <w:sz w:val="20"/>
                <w:szCs w:val="20"/>
              </w:rPr>
              <w:t>Median, months (95%CI)</w:t>
            </w:r>
          </w:p>
        </w:tc>
        <w:tc>
          <w:tcPr>
            <w:tcW w:w="1031" w:type="dxa"/>
          </w:tcPr>
          <w:p w14:paraId="139E7AB4" w14:textId="02733F33" w:rsidR="00E42A18" w:rsidRPr="00576299" w:rsidRDefault="00DD59F1" w:rsidP="001E674A">
            <w:pPr>
              <w:keepNext/>
              <w:widowControl w:val="0"/>
              <w:jc w:val="center"/>
              <w:rPr>
                <w:rFonts w:ascii="Arial Narrow" w:hAnsi="Arial Narrow" w:cs="Calibri"/>
                <w:b/>
                <w:bCs/>
                <w:sz w:val="20"/>
                <w:szCs w:val="20"/>
              </w:rPr>
            </w:pPr>
            <w:r w:rsidRPr="00576299">
              <w:rPr>
                <w:rFonts w:ascii="Arial Narrow" w:hAnsi="Arial Narrow" w:cs="Calibri"/>
                <w:b/>
                <w:bCs/>
                <w:sz w:val="20"/>
                <w:szCs w:val="20"/>
              </w:rPr>
              <w:t>12-month</w:t>
            </w:r>
            <w:r w:rsidR="00E42A18" w:rsidRPr="00576299">
              <w:rPr>
                <w:rFonts w:ascii="Arial Narrow" w:hAnsi="Arial Narrow" w:cs="Calibri"/>
                <w:b/>
                <w:bCs/>
                <w:sz w:val="20"/>
                <w:szCs w:val="20"/>
              </w:rPr>
              <w:t xml:space="preserve"> survival %</w:t>
            </w:r>
          </w:p>
        </w:tc>
        <w:tc>
          <w:tcPr>
            <w:tcW w:w="1045" w:type="dxa"/>
          </w:tcPr>
          <w:p w14:paraId="41D613EC" w14:textId="64439FAC" w:rsidR="00E42A18" w:rsidRPr="00576299" w:rsidRDefault="00DD59F1" w:rsidP="001E674A">
            <w:pPr>
              <w:keepNext/>
              <w:widowControl w:val="0"/>
              <w:jc w:val="center"/>
              <w:rPr>
                <w:rFonts w:ascii="Arial Narrow" w:hAnsi="Arial Narrow" w:cs="Calibri"/>
                <w:b/>
                <w:bCs/>
                <w:sz w:val="20"/>
                <w:szCs w:val="20"/>
              </w:rPr>
            </w:pPr>
            <w:r w:rsidRPr="00576299">
              <w:rPr>
                <w:rFonts w:ascii="Arial Narrow" w:hAnsi="Arial Narrow" w:cs="Calibri"/>
                <w:b/>
                <w:bCs/>
                <w:sz w:val="20"/>
                <w:szCs w:val="20"/>
              </w:rPr>
              <w:t>24-month</w:t>
            </w:r>
            <w:r w:rsidR="00E42A18" w:rsidRPr="00576299">
              <w:rPr>
                <w:rFonts w:ascii="Arial Narrow" w:hAnsi="Arial Narrow" w:cs="Calibri"/>
                <w:b/>
                <w:bCs/>
                <w:sz w:val="20"/>
                <w:szCs w:val="20"/>
              </w:rPr>
              <w:t xml:space="preserve"> survival %</w:t>
            </w:r>
          </w:p>
        </w:tc>
      </w:tr>
      <w:tr w:rsidR="000A0918" w:rsidRPr="00576299" w14:paraId="08C7613E" w14:textId="538DC0FF" w:rsidTr="00636D77">
        <w:trPr>
          <w:trHeight w:val="20"/>
        </w:trPr>
        <w:tc>
          <w:tcPr>
            <w:tcW w:w="9017" w:type="dxa"/>
            <w:gridSpan w:val="8"/>
            <w:vAlign w:val="center"/>
          </w:tcPr>
          <w:p w14:paraId="5AE11AA0" w14:textId="6250DF27" w:rsidR="000A0918" w:rsidRPr="00576299" w:rsidRDefault="000A0918" w:rsidP="001E674A">
            <w:pPr>
              <w:keepNext/>
              <w:widowControl w:val="0"/>
              <w:rPr>
                <w:rFonts w:ascii="Arial Narrow" w:hAnsi="Arial Narrow" w:cs="Calibri"/>
                <w:b/>
                <w:bCs/>
                <w:sz w:val="20"/>
                <w:szCs w:val="20"/>
              </w:rPr>
            </w:pPr>
            <w:r w:rsidRPr="00576299">
              <w:rPr>
                <w:rFonts w:ascii="Arial Narrow" w:hAnsi="Arial Narrow" w:cs="Calibri"/>
                <w:b/>
                <w:bCs/>
                <w:sz w:val="20"/>
                <w:szCs w:val="20"/>
              </w:rPr>
              <w:t>Dostarlimab (Interim Analysis 3)</w:t>
            </w:r>
          </w:p>
        </w:tc>
      </w:tr>
      <w:tr w:rsidR="0094348A" w:rsidRPr="00576299" w14:paraId="3F59E355" w14:textId="41DEDBC7" w:rsidTr="004A1671">
        <w:trPr>
          <w:trHeight w:val="20"/>
        </w:trPr>
        <w:tc>
          <w:tcPr>
            <w:tcW w:w="1377" w:type="dxa"/>
            <w:vMerge w:val="restart"/>
            <w:vAlign w:val="center"/>
          </w:tcPr>
          <w:p w14:paraId="63EA3753" w14:textId="113A53F4" w:rsidR="00E42A18" w:rsidRPr="00576299" w:rsidRDefault="00E42A18" w:rsidP="001E674A">
            <w:pPr>
              <w:keepNext/>
              <w:widowControl w:val="0"/>
              <w:rPr>
                <w:rFonts w:ascii="Arial Narrow" w:hAnsi="Arial Narrow" w:cs="Calibri"/>
                <w:sz w:val="20"/>
                <w:szCs w:val="20"/>
              </w:rPr>
            </w:pPr>
            <w:r w:rsidRPr="00576299">
              <w:rPr>
                <w:rFonts w:ascii="Arial Narrow" w:hAnsi="Arial Narrow" w:cs="Calibri"/>
                <w:sz w:val="20"/>
                <w:szCs w:val="20"/>
              </w:rPr>
              <w:t>GARNET Cohort A1</w:t>
            </w:r>
          </w:p>
        </w:tc>
        <w:tc>
          <w:tcPr>
            <w:tcW w:w="891" w:type="dxa"/>
            <w:shd w:val="clear" w:color="auto" w:fill="auto"/>
            <w:noWrap/>
            <w:vAlign w:val="center"/>
            <w:hideMark/>
          </w:tcPr>
          <w:p w14:paraId="2B596703" w14:textId="1FFB3EB6" w:rsidR="00E42A18" w:rsidRPr="00576299" w:rsidRDefault="00E42A18" w:rsidP="001E674A">
            <w:pPr>
              <w:keepNext/>
              <w:widowControl w:val="0"/>
              <w:jc w:val="center"/>
              <w:rPr>
                <w:rFonts w:ascii="Arial Narrow" w:hAnsi="Arial Narrow" w:cs="Calibri"/>
                <w:sz w:val="20"/>
                <w:szCs w:val="20"/>
              </w:rPr>
            </w:pPr>
            <w:r w:rsidRPr="00576299">
              <w:rPr>
                <w:rFonts w:ascii="Arial Narrow" w:hAnsi="Arial Narrow" w:cs="Calibri"/>
                <w:sz w:val="20"/>
                <w:szCs w:val="20"/>
              </w:rPr>
              <w:t>ITT</w:t>
            </w:r>
            <w:r w:rsidR="00AB7AB3" w:rsidRPr="00576299">
              <w:rPr>
                <w:rFonts w:ascii="Arial Narrow" w:hAnsi="Arial Narrow" w:cs="Calibri"/>
                <w:sz w:val="20"/>
                <w:szCs w:val="20"/>
              </w:rPr>
              <w:t xml:space="preserve"> </w:t>
            </w:r>
            <w:r w:rsidR="00AB7AB3" w:rsidRPr="00576299">
              <w:rPr>
                <w:rFonts w:ascii="Arial Narrow" w:hAnsi="Arial Narrow" w:cs="Calibri"/>
                <w:sz w:val="20"/>
                <w:szCs w:val="20"/>
                <w:vertAlign w:val="superscript"/>
              </w:rPr>
              <w:t>b</w:t>
            </w:r>
          </w:p>
        </w:tc>
        <w:tc>
          <w:tcPr>
            <w:tcW w:w="627" w:type="dxa"/>
            <w:shd w:val="clear" w:color="auto" w:fill="C6D9F1" w:themeFill="text2" w:themeFillTint="33"/>
            <w:noWrap/>
            <w:vAlign w:val="bottom"/>
            <w:hideMark/>
          </w:tcPr>
          <w:p w14:paraId="1FD19B3C" w14:textId="432FD5D0" w:rsidR="00E42A18" w:rsidRPr="00576299" w:rsidRDefault="00E42A18" w:rsidP="001E674A">
            <w:pPr>
              <w:keepNext/>
              <w:widowControl w:val="0"/>
              <w:jc w:val="center"/>
              <w:rPr>
                <w:rFonts w:ascii="Arial Narrow" w:hAnsi="Arial Narrow" w:cs="Calibri"/>
                <w:sz w:val="20"/>
                <w:szCs w:val="20"/>
              </w:rPr>
            </w:pPr>
            <w:r w:rsidRPr="00576299">
              <w:rPr>
                <w:rFonts w:ascii="Arial Narrow" w:hAnsi="Arial Narrow" w:cs="Calibri"/>
                <w:color w:val="000000"/>
                <w:sz w:val="20"/>
                <w:szCs w:val="20"/>
              </w:rPr>
              <w:t>153</w:t>
            </w:r>
          </w:p>
        </w:tc>
        <w:tc>
          <w:tcPr>
            <w:tcW w:w="1211" w:type="dxa"/>
            <w:shd w:val="clear" w:color="auto" w:fill="C6D9F1" w:themeFill="text2" w:themeFillTint="33"/>
            <w:noWrap/>
            <w:vAlign w:val="bottom"/>
          </w:tcPr>
          <w:p w14:paraId="473D08AA" w14:textId="7E4E3318" w:rsidR="00E42A18" w:rsidRPr="00576299" w:rsidRDefault="00E42A18" w:rsidP="001E674A">
            <w:pPr>
              <w:keepNext/>
              <w:widowControl w:val="0"/>
              <w:jc w:val="center"/>
              <w:rPr>
                <w:rFonts w:ascii="Arial Narrow" w:hAnsi="Arial Narrow" w:cs="Calibri"/>
                <w:sz w:val="20"/>
                <w:szCs w:val="20"/>
              </w:rPr>
            </w:pPr>
            <w:r w:rsidRPr="00576299">
              <w:rPr>
                <w:rFonts w:ascii="Arial Narrow" w:hAnsi="Arial Narrow" w:cs="Calibri"/>
                <w:color w:val="000000"/>
                <w:sz w:val="20"/>
                <w:szCs w:val="20"/>
              </w:rPr>
              <w:t>57 (37.3)</w:t>
            </w:r>
          </w:p>
        </w:tc>
        <w:tc>
          <w:tcPr>
            <w:tcW w:w="1134" w:type="dxa"/>
            <w:shd w:val="clear" w:color="auto" w:fill="C6D9F1" w:themeFill="text2" w:themeFillTint="33"/>
            <w:noWrap/>
            <w:vAlign w:val="bottom"/>
          </w:tcPr>
          <w:p w14:paraId="0B82409F" w14:textId="5CA8FD79" w:rsidR="00E42A18" w:rsidRPr="00576299" w:rsidRDefault="00E42A18" w:rsidP="001E674A">
            <w:pPr>
              <w:keepNext/>
              <w:widowControl w:val="0"/>
              <w:jc w:val="center"/>
              <w:rPr>
                <w:rFonts w:ascii="Arial Narrow" w:hAnsi="Arial Narrow" w:cs="Calibri"/>
                <w:sz w:val="20"/>
                <w:szCs w:val="20"/>
              </w:rPr>
            </w:pPr>
            <w:r w:rsidRPr="00576299">
              <w:rPr>
                <w:rFonts w:ascii="Arial Narrow" w:hAnsi="Arial Narrow" w:cs="Calibri"/>
                <w:color w:val="000000"/>
                <w:sz w:val="20"/>
                <w:szCs w:val="20"/>
              </w:rPr>
              <w:t>96 (62.7)</w:t>
            </w:r>
          </w:p>
        </w:tc>
        <w:tc>
          <w:tcPr>
            <w:tcW w:w="1701" w:type="dxa"/>
            <w:shd w:val="clear" w:color="auto" w:fill="C6D9F1" w:themeFill="text2" w:themeFillTint="33"/>
            <w:noWrap/>
            <w:vAlign w:val="center"/>
          </w:tcPr>
          <w:p w14:paraId="1EF5C597" w14:textId="59FD200A" w:rsidR="00E42A18" w:rsidRPr="00576299" w:rsidRDefault="00E42A18" w:rsidP="001E674A">
            <w:pPr>
              <w:keepNext/>
              <w:widowControl w:val="0"/>
              <w:jc w:val="center"/>
              <w:rPr>
                <w:rFonts w:ascii="Arial Narrow" w:hAnsi="Arial Narrow" w:cs="Calibri"/>
                <w:sz w:val="20"/>
                <w:szCs w:val="20"/>
              </w:rPr>
            </w:pPr>
            <w:r w:rsidRPr="00576299">
              <w:rPr>
                <w:rFonts w:ascii="Arial Narrow" w:hAnsi="Arial Narrow" w:cs="Calibri"/>
                <w:sz w:val="20"/>
                <w:szCs w:val="20"/>
              </w:rPr>
              <w:t>NR (27.1, NR)</w:t>
            </w:r>
          </w:p>
        </w:tc>
        <w:tc>
          <w:tcPr>
            <w:tcW w:w="1031" w:type="dxa"/>
          </w:tcPr>
          <w:p w14:paraId="55AA03AD" w14:textId="7CE01AF9" w:rsidR="00E42A18" w:rsidRPr="00576299" w:rsidRDefault="00E42A18" w:rsidP="001E674A">
            <w:pPr>
              <w:keepNext/>
              <w:widowControl w:val="0"/>
              <w:jc w:val="center"/>
              <w:rPr>
                <w:rFonts w:ascii="Arial Narrow" w:hAnsi="Arial Narrow" w:cs="Calibri"/>
                <w:sz w:val="20"/>
                <w:szCs w:val="20"/>
              </w:rPr>
            </w:pPr>
            <w:r w:rsidRPr="00576299">
              <w:rPr>
                <w:rFonts w:ascii="Arial Narrow" w:hAnsi="Arial Narrow"/>
                <w:sz w:val="20"/>
                <w:szCs w:val="20"/>
              </w:rPr>
              <w:t>73.3</w:t>
            </w:r>
          </w:p>
        </w:tc>
        <w:tc>
          <w:tcPr>
            <w:tcW w:w="1045" w:type="dxa"/>
          </w:tcPr>
          <w:p w14:paraId="765BEB2C" w14:textId="5750627B" w:rsidR="00E42A18" w:rsidRPr="00576299" w:rsidRDefault="00E42A18" w:rsidP="001E674A">
            <w:pPr>
              <w:keepNext/>
              <w:widowControl w:val="0"/>
              <w:jc w:val="center"/>
              <w:rPr>
                <w:rFonts w:ascii="Arial Narrow" w:hAnsi="Arial Narrow" w:cs="Calibri"/>
                <w:sz w:val="20"/>
                <w:szCs w:val="20"/>
              </w:rPr>
            </w:pPr>
            <w:r w:rsidRPr="00576299">
              <w:rPr>
                <w:rFonts w:ascii="Arial Narrow" w:hAnsi="Arial Narrow"/>
                <w:sz w:val="20"/>
                <w:szCs w:val="20"/>
              </w:rPr>
              <w:t xml:space="preserve">60.5 </w:t>
            </w:r>
            <w:r w:rsidR="00AB7AB3" w:rsidRPr="00576299">
              <w:rPr>
                <w:rFonts w:ascii="Arial Narrow" w:hAnsi="Arial Narrow"/>
                <w:sz w:val="20"/>
                <w:szCs w:val="20"/>
                <w:vertAlign w:val="superscript"/>
              </w:rPr>
              <w:t>c</w:t>
            </w:r>
          </w:p>
        </w:tc>
      </w:tr>
      <w:tr w:rsidR="0094348A" w:rsidRPr="00576299" w14:paraId="433D2909" w14:textId="2CD56B3C" w:rsidTr="00EC2E2D">
        <w:trPr>
          <w:trHeight w:val="20"/>
        </w:trPr>
        <w:tc>
          <w:tcPr>
            <w:tcW w:w="1377" w:type="dxa"/>
            <w:vMerge/>
            <w:vAlign w:val="center"/>
          </w:tcPr>
          <w:p w14:paraId="76730087" w14:textId="1DA24BFE" w:rsidR="00E42A18" w:rsidRPr="00576299" w:rsidRDefault="00E42A18" w:rsidP="001E674A">
            <w:pPr>
              <w:keepNext/>
              <w:widowControl w:val="0"/>
              <w:rPr>
                <w:rFonts w:ascii="Arial Narrow" w:hAnsi="Arial Narrow" w:cs="Calibri"/>
                <w:sz w:val="20"/>
                <w:szCs w:val="20"/>
              </w:rPr>
            </w:pPr>
          </w:p>
        </w:tc>
        <w:tc>
          <w:tcPr>
            <w:tcW w:w="891" w:type="dxa"/>
            <w:shd w:val="clear" w:color="auto" w:fill="auto"/>
            <w:noWrap/>
            <w:vAlign w:val="center"/>
            <w:hideMark/>
          </w:tcPr>
          <w:p w14:paraId="34E83447" w14:textId="10344D39" w:rsidR="00E42A18" w:rsidRPr="00576299" w:rsidRDefault="00E42A18" w:rsidP="001E674A">
            <w:pPr>
              <w:keepNext/>
              <w:widowControl w:val="0"/>
              <w:jc w:val="center"/>
              <w:rPr>
                <w:rFonts w:ascii="Arial Narrow" w:hAnsi="Arial Narrow" w:cs="Calibri"/>
                <w:sz w:val="20"/>
                <w:szCs w:val="20"/>
              </w:rPr>
            </w:pPr>
            <w:r w:rsidRPr="00576299">
              <w:rPr>
                <w:rFonts w:ascii="Arial Narrow" w:hAnsi="Arial Narrow" w:cs="Calibri"/>
                <w:sz w:val="20"/>
                <w:szCs w:val="20"/>
              </w:rPr>
              <w:t>PES</w:t>
            </w:r>
            <w:r w:rsidR="00AB7AB3" w:rsidRPr="00576299">
              <w:rPr>
                <w:rFonts w:ascii="Arial Narrow" w:hAnsi="Arial Narrow" w:cs="Calibri"/>
                <w:sz w:val="20"/>
                <w:szCs w:val="20"/>
              </w:rPr>
              <w:t xml:space="preserve"> </w:t>
            </w:r>
            <w:r w:rsidR="00AB7AB3" w:rsidRPr="00576299">
              <w:rPr>
                <w:rFonts w:ascii="Arial Narrow" w:hAnsi="Arial Narrow" w:cs="Calibri"/>
                <w:sz w:val="20"/>
                <w:szCs w:val="20"/>
                <w:vertAlign w:val="superscript"/>
              </w:rPr>
              <w:t>b</w:t>
            </w:r>
          </w:p>
        </w:tc>
        <w:tc>
          <w:tcPr>
            <w:tcW w:w="627" w:type="dxa"/>
            <w:shd w:val="clear" w:color="auto" w:fill="auto"/>
            <w:noWrap/>
            <w:vAlign w:val="bottom"/>
            <w:hideMark/>
          </w:tcPr>
          <w:p w14:paraId="4B2A5DBC" w14:textId="6535F1B9" w:rsidR="00E42A18" w:rsidRPr="00576299" w:rsidRDefault="00E42A18" w:rsidP="001E674A">
            <w:pPr>
              <w:keepNext/>
              <w:widowControl w:val="0"/>
              <w:jc w:val="center"/>
              <w:rPr>
                <w:rFonts w:ascii="Arial Narrow" w:hAnsi="Arial Narrow" w:cs="Calibri"/>
                <w:sz w:val="20"/>
                <w:szCs w:val="20"/>
              </w:rPr>
            </w:pPr>
            <w:r w:rsidRPr="00576299">
              <w:rPr>
                <w:rFonts w:ascii="Arial Narrow" w:hAnsi="Arial Narrow" w:cs="Calibri"/>
                <w:color w:val="000000"/>
                <w:sz w:val="20"/>
                <w:szCs w:val="20"/>
              </w:rPr>
              <w:t>143</w:t>
            </w:r>
          </w:p>
        </w:tc>
        <w:tc>
          <w:tcPr>
            <w:tcW w:w="1211" w:type="dxa"/>
            <w:shd w:val="clear" w:color="auto" w:fill="auto"/>
            <w:noWrap/>
            <w:vAlign w:val="bottom"/>
          </w:tcPr>
          <w:p w14:paraId="335ADC40" w14:textId="1A3B2322" w:rsidR="00E42A18" w:rsidRPr="00576299" w:rsidRDefault="00E42A18" w:rsidP="001E674A">
            <w:pPr>
              <w:keepNext/>
              <w:widowControl w:val="0"/>
              <w:jc w:val="center"/>
              <w:rPr>
                <w:rFonts w:ascii="Arial Narrow" w:hAnsi="Arial Narrow" w:cs="Calibri"/>
                <w:sz w:val="20"/>
                <w:szCs w:val="20"/>
              </w:rPr>
            </w:pPr>
            <w:r w:rsidRPr="00576299">
              <w:rPr>
                <w:rFonts w:ascii="Arial Narrow" w:hAnsi="Arial Narrow" w:cs="Calibri"/>
                <w:color w:val="000000"/>
                <w:sz w:val="20"/>
                <w:szCs w:val="20"/>
              </w:rPr>
              <w:t>55 (38.5)</w:t>
            </w:r>
          </w:p>
        </w:tc>
        <w:tc>
          <w:tcPr>
            <w:tcW w:w="1134" w:type="dxa"/>
            <w:shd w:val="clear" w:color="auto" w:fill="auto"/>
            <w:noWrap/>
            <w:vAlign w:val="bottom"/>
          </w:tcPr>
          <w:p w14:paraId="3FC04CC1" w14:textId="76BF6602" w:rsidR="00E42A18" w:rsidRPr="00576299" w:rsidRDefault="00E42A18" w:rsidP="001E674A">
            <w:pPr>
              <w:keepNext/>
              <w:widowControl w:val="0"/>
              <w:jc w:val="center"/>
              <w:rPr>
                <w:rFonts w:ascii="Arial Narrow" w:hAnsi="Arial Narrow" w:cs="Calibri"/>
                <w:sz w:val="20"/>
                <w:szCs w:val="20"/>
              </w:rPr>
            </w:pPr>
            <w:r w:rsidRPr="00576299">
              <w:rPr>
                <w:rFonts w:ascii="Arial Narrow" w:hAnsi="Arial Narrow" w:cs="Calibri"/>
                <w:color w:val="000000"/>
                <w:sz w:val="20"/>
                <w:szCs w:val="20"/>
              </w:rPr>
              <w:t>88 (61.5)</w:t>
            </w:r>
          </w:p>
        </w:tc>
        <w:tc>
          <w:tcPr>
            <w:tcW w:w="1701" w:type="dxa"/>
            <w:shd w:val="clear" w:color="auto" w:fill="auto"/>
            <w:noWrap/>
            <w:vAlign w:val="center"/>
          </w:tcPr>
          <w:p w14:paraId="4F4D6938" w14:textId="0A3BCCBB" w:rsidR="00E42A18" w:rsidRPr="00576299" w:rsidRDefault="00E42A18" w:rsidP="001E674A">
            <w:pPr>
              <w:keepNext/>
              <w:widowControl w:val="0"/>
              <w:jc w:val="center"/>
              <w:rPr>
                <w:rFonts w:ascii="Arial Narrow" w:hAnsi="Arial Narrow" w:cs="Calibri"/>
                <w:sz w:val="20"/>
                <w:szCs w:val="20"/>
              </w:rPr>
            </w:pPr>
            <w:r w:rsidRPr="00576299">
              <w:rPr>
                <w:rFonts w:ascii="Arial Narrow" w:hAnsi="Arial Narrow" w:cs="Calibri"/>
                <w:sz w:val="20"/>
                <w:szCs w:val="20"/>
              </w:rPr>
              <w:t>NR (25.7, NR)</w:t>
            </w:r>
          </w:p>
        </w:tc>
        <w:tc>
          <w:tcPr>
            <w:tcW w:w="1031" w:type="dxa"/>
          </w:tcPr>
          <w:p w14:paraId="67CA72C4" w14:textId="69EC6C49" w:rsidR="00E42A18" w:rsidRPr="00576299" w:rsidRDefault="00E42A18" w:rsidP="001E674A">
            <w:pPr>
              <w:keepNext/>
              <w:widowControl w:val="0"/>
              <w:jc w:val="center"/>
              <w:rPr>
                <w:rFonts w:ascii="Arial Narrow" w:hAnsi="Arial Narrow" w:cs="Calibri"/>
                <w:sz w:val="20"/>
                <w:szCs w:val="20"/>
              </w:rPr>
            </w:pPr>
            <w:r w:rsidRPr="00576299">
              <w:rPr>
                <w:rFonts w:ascii="Arial Narrow" w:hAnsi="Arial Narrow"/>
                <w:sz w:val="20"/>
                <w:szCs w:val="20"/>
              </w:rPr>
              <w:t>71.4</w:t>
            </w:r>
          </w:p>
        </w:tc>
        <w:tc>
          <w:tcPr>
            <w:tcW w:w="1045" w:type="dxa"/>
          </w:tcPr>
          <w:p w14:paraId="5CA1B8D8" w14:textId="5DB967F1" w:rsidR="00E42A18" w:rsidRPr="00576299" w:rsidRDefault="00E42A18" w:rsidP="001E674A">
            <w:pPr>
              <w:keepNext/>
              <w:widowControl w:val="0"/>
              <w:jc w:val="center"/>
              <w:rPr>
                <w:rFonts w:ascii="Arial Narrow" w:hAnsi="Arial Narrow" w:cs="Calibri"/>
                <w:sz w:val="20"/>
                <w:szCs w:val="20"/>
              </w:rPr>
            </w:pPr>
            <w:r w:rsidRPr="00576299">
              <w:rPr>
                <w:rFonts w:ascii="Arial Narrow" w:hAnsi="Arial Narrow"/>
                <w:sz w:val="20"/>
                <w:szCs w:val="20"/>
              </w:rPr>
              <w:t xml:space="preserve">59.8 </w:t>
            </w:r>
            <w:r w:rsidR="00AB7AB3" w:rsidRPr="00576299">
              <w:rPr>
                <w:rFonts w:ascii="Arial Narrow" w:hAnsi="Arial Narrow"/>
                <w:sz w:val="20"/>
                <w:szCs w:val="20"/>
                <w:vertAlign w:val="superscript"/>
              </w:rPr>
              <w:t>c</w:t>
            </w:r>
          </w:p>
        </w:tc>
      </w:tr>
      <w:tr w:rsidR="0094348A" w:rsidRPr="00576299" w14:paraId="71E211E5" w14:textId="4CAF9D3F" w:rsidTr="00EC2E2D">
        <w:trPr>
          <w:trHeight w:val="20"/>
        </w:trPr>
        <w:tc>
          <w:tcPr>
            <w:tcW w:w="1377" w:type="dxa"/>
            <w:vMerge/>
            <w:vAlign w:val="center"/>
          </w:tcPr>
          <w:p w14:paraId="1C5C0DB2" w14:textId="127F98BE" w:rsidR="00E42A18" w:rsidRPr="00576299" w:rsidRDefault="00E42A18" w:rsidP="001E674A">
            <w:pPr>
              <w:keepNext/>
              <w:widowControl w:val="0"/>
              <w:rPr>
                <w:rFonts w:ascii="Arial Narrow" w:hAnsi="Arial Narrow" w:cs="Calibri"/>
                <w:sz w:val="20"/>
                <w:szCs w:val="20"/>
              </w:rPr>
            </w:pPr>
          </w:p>
        </w:tc>
        <w:tc>
          <w:tcPr>
            <w:tcW w:w="891" w:type="dxa"/>
            <w:shd w:val="clear" w:color="auto" w:fill="auto"/>
            <w:noWrap/>
            <w:vAlign w:val="center"/>
            <w:hideMark/>
          </w:tcPr>
          <w:p w14:paraId="12862DD3" w14:textId="50B797EB" w:rsidR="00E42A18" w:rsidRPr="00576299" w:rsidRDefault="00E42A18" w:rsidP="001E674A">
            <w:pPr>
              <w:keepNext/>
              <w:widowControl w:val="0"/>
              <w:jc w:val="center"/>
              <w:rPr>
                <w:rFonts w:ascii="Arial Narrow" w:hAnsi="Arial Narrow" w:cs="Calibri"/>
                <w:sz w:val="20"/>
                <w:szCs w:val="20"/>
              </w:rPr>
            </w:pPr>
            <w:r w:rsidRPr="00576299">
              <w:rPr>
                <w:rFonts w:ascii="Arial Narrow" w:hAnsi="Arial Narrow" w:cs="Calibri"/>
                <w:sz w:val="20"/>
                <w:szCs w:val="20"/>
              </w:rPr>
              <w:t>MAS</w:t>
            </w:r>
            <w:r w:rsidR="00FE30C0">
              <w:rPr>
                <w:rFonts w:ascii="Arial Narrow" w:hAnsi="Arial Narrow" w:cs="Calibri"/>
                <w:sz w:val="20"/>
                <w:szCs w:val="20"/>
              </w:rPr>
              <w:t>*</w:t>
            </w:r>
          </w:p>
        </w:tc>
        <w:tc>
          <w:tcPr>
            <w:tcW w:w="627" w:type="dxa"/>
            <w:shd w:val="clear" w:color="auto" w:fill="auto"/>
            <w:noWrap/>
            <w:vAlign w:val="center"/>
          </w:tcPr>
          <w:p w14:paraId="4098A80E" w14:textId="761F763D" w:rsidR="00E42A18" w:rsidRPr="00576299" w:rsidRDefault="00E42A18" w:rsidP="001E674A">
            <w:pPr>
              <w:keepNext/>
              <w:widowControl w:val="0"/>
              <w:jc w:val="center"/>
              <w:rPr>
                <w:rFonts w:ascii="Arial Narrow" w:hAnsi="Arial Narrow" w:cs="Calibri"/>
                <w:sz w:val="20"/>
                <w:szCs w:val="20"/>
              </w:rPr>
            </w:pPr>
            <w:r w:rsidRPr="00576299">
              <w:rPr>
                <w:rFonts w:ascii="Arial Narrow" w:hAnsi="Arial Narrow" w:cs="Calibri"/>
                <w:sz w:val="20"/>
                <w:szCs w:val="20"/>
              </w:rPr>
              <w:t>1</w:t>
            </w:r>
            <w:r w:rsidR="0094348A" w:rsidRPr="00576299">
              <w:rPr>
                <w:rFonts w:ascii="Arial Narrow" w:hAnsi="Arial Narrow" w:cs="Calibri"/>
                <w:sz w:val="20"/>
                <w:szCs w:val="20"/>
              </w:rPr>
              <w:t>28.2</w:t>
            </w:r>
          </w:p>
        </w:tc>
        <w:tc>
          <w:tcPr>
            <w:tcW w:w="1211" w:type="dxa"/>
            <w:shd w:val="clear" w:color="auto" w:fill="auto"/>
            <w:noWrap/>
            <w:vAlign w:val="center"/>
          </w:tcPr>
          <w:p w14:paraId="3B7407F7" w14:textId="3657B7F7" w:rsidR="00E42A18" w:rsidRPr="00576299" w:rsidRDefault="00E42A18" w:rsidP="001E674A">
            <w:pPr>
              <w:keepNext/>
              <w:widowControl w:val="0"/>
              <w:jc w:val="center"/>
              <w:rPr>
                <w:rFonts w:ascii="Arial Narrow" w:hAnsi="Arial Narrow" w:cs="Calibri"/>
                <w:sz w:val="20"/>
                <w:szCs w:val="20"/>
              </w:rPr>
            </w:pPr>
            <w:r w:rsidRPr="00576299">
              <w:rPr>
                <w:rFonts w:ascii="Arial Narrow" w:hAnsi="Arial Narrow" w:cs="Calibri"/>
                <w:sz w:val="20"/>
                <w:szCs w:val="20"/>
              </w:rPr>
              <w:t>4</w:t>
            </w:r>
            <w:r w:rsidR="0094348A" w:rsidRPr="00576299">
              <w:rPr>
                <w:rFonts w:ascii="Arial Narrow" w:hAnsi="Arial Narrow" w:cs="Calibri"/>
                <w:sz w:val="20"/>
                <w:szCs w:val="20"/>
              </w:rPr>
              <w:t>4.6</w:t>
            </w:r>
            <w:r w:rsidRPr="00576299">
              <w:rPr>
                <w:rFonts w:ascii="Arial Narrow" w:hAnsi="Arial Narrow" w:cs="Calibri"/>
                <w:sz w:val="20"/>
                <w:szCs w:val="20"/>
              </w:rPr>
              <w:t xml:space="preserve"> (</w:t>
            </w:r>
            <w:r w:rsidR="0094348A" w:rsidRPr="00576299">
              <w:rPr>
                <w:rFonts w:ascii="Arial Narrow" w:hAnsi="Arial Narrow" w:cs="Calibri"/>
                <w:sz w:val="20"/>
                <w:szCs w:val="20"/>
              </w:rPr>
              <w:t>34.8</w:t>
            </w:r>
            <w:r w:rsidRPr="00576299">
              <w:rPr>
                <w:rFonts w:ascii="Arial Narrow" w:hAnsi="Arial Narrow" w:cs="Calibri"/>
                <w:sz w:val="20"/>
                <w:szCs w:val="20"/>
              </w:rPr>
              <w:t>)</w:t>
            </w:r>
          </w:p>
        </w:tc>
        <w:tc>
          <w:tcPr>
            <w:tcW w:w="1134" w:type="dxa"/>
            <w:shd w:val="clear" w:color="auto" w:fill="auto"/>
            <w:noWrap/>
            <w:vAlign w:val="center"/>
          </w:tcPr>
          <w:p w14:paraId="6D625144" w14:textId="7D4FEA0F" w:rsidR="00E42A18" w:rsidRPr="00576299" w:rsidRDefault="00E42A18" w:rsidP="001E674A">
            <w:pPr>
              <w:keepNext/>
              <w:widowControl w:val="0"/>
              <w:jc w:val="center"/>
              <w:rPr>
                <w:rFonts w:ascii="Arial Narrow" w:hAnsi="Arial Narrow" w:cs="Calibri"/>
                <w:sz w:val="20"/>
                <w:szCs w:val="20"/>
              </w:rPr>
            </w:pPr>
            <w:r w:rsidRPr="00576299">
              <w:rPr>
                <w:rFonts w:ascii="Arial Narrow" w:hAnsi="Arial Narrow" w:cs="Calibri"/>
                <w:sz w:val="20"/>
                <w:szCs w:val="20"/>
              </w:rPr>
              <w:t>83</w:t>
            </w:r>
            <w:r w:rsidR="00EC2E2D" w:rsidRPr="00576299">
              <w:rPr>
                <w:rFonts w:ascii="Arial Narrow" w:hAnsi="Arial Narrow" w:cs="Calibri"/>
                <w:sz w:val="20"/>
                <w:szCs w:val="20"/>
              </w:rPr>
              <w:t>.6</w:t>
            </w:r>
            <w:r w:rsidRPr="00576299">
              <w:rPr>
                <w:rFonts w:ascii="Arial Narrow" w:hAnsi="Arial Narrow" w:cs="Calibri"/>
                <w:sz w:val="20"/>
                <w:szCs w:val="20"/>
              </w:rPr>
              <w:t xml:space="preserve"> (6</w:t>
            </w:r>
            <w:r w:rsidR="00EC2E2D" w:rsidRPr="00576299">
              <w:rPr>
                <w:rFonts w:ascii="Arial Narrow" w:hAnsi="Arial Narrow" w:cs="Calibri"/>
                <w:sz w:val="20"/>
                <w:szCs w:val="20"/>
              </w:rPr>
              <w:t>5.2</w:t>
            </w:r>
            <w:r w:rsidRPr="00576299">
              <w:rPr>
                <w:rFonts w:ascii="Arial Narrow" w:hAnsi="Arial Narrow" w:cs="Calibri"/>
                <w:sz w:val="20"/>
                <w:szCs w:val="20"/>
              </w:rPr>
              <w:t>)</w:t>
            </w:r>
          </w:p>
        </w:tc>
        <w:tc>
          <w:tcPr>
            <w:tcW w:w="1701" w:type="dxa"/>
            <w:shd w:val="clear" w:color="auto" w:fill="auto"/>
            <w:noWrap/>
            <w:vAlign w:val="center"/>
          </w:tcPr>
          <w:p w14:paraId="6FD482EE" w14:textId="43B027F7" w:rsidR="00E42A18" w:rsidRPr="00576299" w:rsidRDefault="00E42A18" w:rsidP="001E674A">
            <w:pPr>
              <w:keepNext/>
              <w:widowControl w:val="0"/>
              <w:jc w:val="center"/>
              <w:rPr>
                <w:rFonts w:ascii="Arial Narrow" w:hAnsi="Arial Narrow" w:cs="Calibri"/>
                <w:sz w:val="20"/>
                <w:szCs w:val="20"/>
              </w:rPr>
            </w:pPr>
            <w:r w:rsidRPr="00576299">
              <w:rPr>
                <w:rFonts w:ascii="Arial Narrow" w:hAnsi="Arial Narrow" w:cs="Calibri"/>
                <w:sz w:val="20"/>
                <w:szCs w:val="20"/>
              </w:rPr>
              <w:t>NR (39.</w:t>
            </w:r>
            <w:r w:rsidR="00EC2E2D" w:rsidRPr="00576299">
              <w:rPr>
                <w:rFonts w:ascii="Arial Narrow" w:hAnsi="Arial Narrow" w:cs="Calibri"/>
                <w:sz w:val="20"/>
                <w:szCs w:val="20"/>
              </w:rPr>
              <w:t>9</w:t>
            </w:r>
            <w:r w:rsidRPr="00576299">
              <w:rPr>
                <w:rFonts w:ascii="Arial Narrow" w:hAnsi="Arial Narrow" w:cs="Calibri"/>
                <w:sz w:val="20"/>
                <w:szCs w:val="20"/>
              </w:rPr>
              <w:t>, NR)</w:t>
            </w:r>
          </w:p>
        </w:tc>
        <w:tc>
          <w:tcPr>
            <w:tcW w:w="1031" w:type="dxa"/>
          </w:tcPr>
          <w:p w14:paraId="46AFCD96" w14:textId="28A4CB8F" w:rsidR="00E42A18" w:rsidRPr="00576299" w:rsidRDefault="00E42A18" w:rsidP="001E674A">
            <w:pPr>
              <w:keepNext/>
              <w:widowControl w:val="0"/>
              <w:jc w:val="center"/>
              <w:rPr>
                <w:rFonts w:ascii="Arial Narrow" w:hAnsi="Arial Narrow" w:cs="Calibri"/>
                <w:sz w:val="20"/>
                <w:szCs w:val="20"/>
                <w:vertAlign w:val="superscript"/>
              </w:rPr>
            </w:pPr>
            <w:r w:rsidRPr="00576299">
              <w:rPr>
                <w:rFonts w:ascii="Arial Narrow" w:hAnsi="Arial Narrow" w:cs="Calibri"/>
                <w:sz w:val="20"/>
                <w:szCs w:val="20"/>
              </w:rPr>
              <w:t xml:space="preserve">N/R </w:t>
            </w:r>
            <w:r w:rsidR="00AB7AB3" w:rsidRPr="00576299">
              <w:rPr>
                <w:rFonts w:ascii="Arial Narrow" w:hAnsi="Arial Narrow" w:cs="Calibri"/>
                <w:sz w:val="20"/>
                <w:szCs w:val="20"/>
                <w:vertAlign w:val="superscript"/>
              </w:rPr>
              <w:t>d</w:t>
            </w:r>
          </w:p>
        </w:tc>
        <w:tc>
          <w:tcPr>
            <w:tcW w:w="1045" w:type="dxa"/>
          </w:tcPr>
          <w:p w14:paraId="616EC756" w14:textId="0D4C8C50" w:rsidR="00E42A18" w:rsidRPr="00576299" w:rsidRDefault="00E42A18" w:rsidP="001E674A">
            <w:pPr>
              <w:keepNext/>
              <w:widowControl w:val="0"/>
              <w:jc w:val="center"/>
              <w:rPr>
                <w:rFonts w:ascii="Arial Narrow" w:hAnsi="Arial Narrow" w:cs="Calibri"/>
                <w:sz w:val="20"/>
                <w:szCs w:val="20"/>
                <w:vertAlign w:val="superscript"/>
              </w:rPr>
            </w:pPr>
            <w:r w:rsidRPr="00576299">
              <w:rPr>
                <w:rFonts w:ascii="Arial Narrow" w:hAnsi="Arial Narrow" w:cs="Calibri"/>
                <w:sz w:val="20"/>
                <w:szCs w:val="20"/>
              </w:rPr>
              <w:t xml:space="preserve">N/R </w:t>
            </w:r>
            <w:r w:rsidR="00AB7AB3" w:rsidRPr="00576299">
              <w:rPr>
                <w:rFonts w:ascii="Arial Narrow" w:hAnsi="Arial Narrow" w:cs="Calibri"/>
                <w:sz w:val="20"/>
                <w:szCs w:val="20"/>
                <w:vertAlign w:val="superscript"/>
              </w:rPr>
              <w:t>d</w:t>
            </w:r>
          </w:p>
        </w:tc>
      </w:tr>
      <w:tr w:rsidR="000A0918" w:rsidRPr="00576299" w14:paraId="70D03286" w14:textId="289EA784" w:rsidTr="00CE7D72">
        <w:trPr>
          <w:trHeight w:val="20"/>
        </w:trPr>
        <w:tc>
          <w:tcPr>
            <w:tcW w:w="9017" w:type="dxa"/>
            <w:gridSpan w:val="8"/>
            <w:vAlign w:val="center"/>
          </w:tcPr>
          <w:p w14:paraId="7158A573" w14:textId="42B804D8" w:rsidR="000A0918" w:rsidRPr="00576299" w:rsidRDefault="000A0918" w:rsidP="001E674A">
            <w:pPr>
              <w:keepNext/>
              <w:widowControl w:val="0"/>
              <w:rPr>
                <w:rFonts w:ascii="Arial Narrow" w:hAnsi="Arial Narrow" w:cs="Calibri"/>
                <w:b/>
                <w:bCs/>
                <w:sz w:val="20"/>
                <w:szCs w:val="20"/>
              </w:rPr>
            </w:pPr>
            <w:r w:rsidRPr="00576299">
              <w:rPr>
                <w:rFonts w:ascii="Arial Narrow" w:hAnsi="Arial Narrow" w:cs="Calibri"/>
                <w:b/>
                <w:bCs/>
                <w:sz w:val="20"/>
                <w:szCs w:val="20"/>
              </w:rPr>
              <w:t>SoC</w:t>
            </w:r>
          </w:p>
        </w:tc>
      </w:tr>
      <w:tr w:rsidR="00E42A18" w:rsidRPr="00576299" w14:paraId="70F30432" w14:textId="0E260B0B" w:rsidTr="00EC2E2D">
        <w:trPr>
          <w:trHeight w:val="20"/>
        </w:trPr>
        <w:tc>
          <w:tcPr>
            <w:tcW w:w="1377" w:type="dxa"/>
            <w:vMerge w:val="restart"/>
            <w:vAlign w:val="center"/>
          </w:tcPr>
          <w:p w14:paraId="7E2F215B" w14:textId="7DED442A" w:rsidR="00E42A18" w:rsidRPr="00576299" w:rsidRDefault="00E42A18" w:rsidP="001E674A">
            <w:pPr>
              <w:keepNext/>
              <w:widowControl w:val="0"/>
              <w:rPr>
                <w:rFonts w:ascii="Arial Narrow" w:hAnsi="Arial Narrow" w:cs="Calibri"/>
                <w:sz w:val="20"/>
                <w:szCs w:val="20"/>
                <w:vertAlign w:val="superscript"/>
              </w:rPr>
            </w:pPr>
            <w:r w:rsidRPr="00576299">
              <w:rPr>
                <w:rFonts w:ascii="Arial Narrow" w:hAnsi="Arial Narrow" w:cs="Calibri"/>
                <w:sz w:val="20"/>
                <w:szCs w:val="20"/>
              </w:rPr>
              <w:t xml:space="preserve">ZoptEC (doxorubicin) </w:t>
            </w:r>
            <w:r w:rsidRPr="00576299">
              <w:rPr>
                <w:rFonts w:ascii="Arial Narrow" w:hAnsi="Arial Narrow" w:cs="Calibri"/>
                <w:sz w:val="20"/>
                <w:szCs w:val="20"/>
                <w:vertAlign w:val="superscript"/>
              </w:rPr>
              <w:t>a</w:t>
            </w:r>
          </w:p>
        </w:tc>
        <w:tc>
          <w:tcPr>
            <w:tcW w:w="891" w:type="dxa"/>
            <w:shd w:val="clear" w:color="auto" w:fill="auto"/>
            <w:noWrap/>
            <w:vAlign w:val="center"/>
            <w:hideMark/>
          </w:tcPr>
          <w:p w14:paraId="711FA8CD" w14:textId="11ECC435" w:rsidR="00E42A18" w:rsidRPr="00576299" w:rsidRDefault="00E42A18" w:rsidP="001E674A">
            <w:pPr>
              <w:keepNext/>
              <w:widowControl w:val="0"/>
              <w:jc w:val="center"/>
              <w:rPr>
                <w:rFonts w:ascii="Arial Narrow" w:hAnsi="Arial Narrow" w:cs="Calibri"/>
                <w:sz w:val="20"/>
                <w:szCs w:val="20"/>
              </w:rPr>
            </w:pPr>
            <w:r w:rsidRPr="00576299">
              <w:rPr>
                <w:rFonts w:ascii="Arial Narrow" w:hAnsi="Arial Narrow" w:cs="Calibri"/>
                <w:sz w:val="20"/>
                <w:szCs w:val="20"/>
              </w:rPr>
              <w:t>mITT</w:t>
            </w:r>
          </w:p>
        </w:tc>
        <w:tc>
          <w:tcPr>
            <w:tcW w:w="627" w:type="dxa"/>
            <w:shd w:val="clear" w:color="auto" w:fill="B8CCE4" w:themeFill="accent1" w:themeFillTint="66"/>
            <w:noWrap/>
            <w:vAlign w:val="center"/>
            <w:hideMark/>
          </w:tcPr>
          <w:p w14:paraId="669BAD57" w14:textId="1EFBDFB3" w:rsidR="00E42A18" w:rsidRPr="00576299" w:rsidRDefault="00E42A18" w:rsidP="001E674A">
            <w:pPr>
              <w:keepNext/>
              <w:widowControl w:val="0"/>
              <w:jc w:val="center"/>
              <w:rPr>
                <w:rFonts w:ascii="Arial Narrow" w:hAnsi="Arial Narrow" w:cs="Calibri"/>
                <w:sz w:val="20"/>
                <w:szCs w:val="20"/>
              </w:rPr>
            </w:pPr>
            <w:r w:rsidRPr="00576299">
              <w:rPr>
                <w:rFonts w:ascii="Arial Narrow" w:hAnsi="Arial Narrow" w:cs="Calibri"/>
                <w:sz w:val="20"/>
                <w:szCs w:val="20"/>
              </w:rPr>
              <w:t>249</w:t>
            </w:r>
          </w:p>
        </w:tc>
        <w:tc>
          <w:tcPr>
            <w:tcW w:w="1211" w:type="dxa"/>
            <w:shd w:val="clear" w:color="auto" w:fill="B8CCE4" w:themeFill="accent1" w:themeFillTint="66"/>
            <w:noWrap/>
            <w:vAlign w:val="center"/>
            <w:hideMark/>
          </w:tcPr>
          <w:p w14:paraId="7D55DFF5" w14:textId="033A1832" w:rsidR="00E42A18" w:rsidRPr="00576299" w:rsidRDefault="00E42A18" w:rsidP="001E674A">
            <w:pPr>
              <w:keepNext/>
              <w:widowControl w:val="0"/>
              <w:jc w:val="center"/>
              <w:rPr>
                <w:rFonts w:ascii="Arial Narrow" w:hAnsi="Arial Narrow" w:cs="Calibri"/>
                <w:sz w:val="20"/>
                <w:szCs w:val="20"/>
              </w:rPr>
            </w:pPr>
            <w:r w:rsidRPr="00576299">
              <w:rPr>
                <w:rFonts w:ascii="Arial Narrow" w:hAnsi="Arial Narrow" w:cs="Calibri"/>
                <w:sz w:val="20"/>
                <w:szCs w:val="20"/>
              </w:rPr>
              <w:t>188 (75.5)</w:t>
            </w:r>
          </w:p>
        </w:tc>
        <w:tc>
          <w:tcPr>
            <w:tcW w:w="1134" w:type="dxa"/>
            <w:shd w:val="clear" w:color="auto" w:fill="B8CCE4" w:themeFill="accent1" w:themeFillTint="66"/>
            <w:noWrap/>
            <w:vAlign w:val="center"/>
            <w:hideMark/>
          </w:tcPr>
          <w:p w14:paraId="627DB5C9" w14:textId="470D139F" w:rsidR="00E42A18" w:rsidRPr="00576299" w:rsidRDefault="00E42A18" w:rsidP="001E674A">
            <w:pPr>
              <w:keepNext/>
              <w:widowControl w:val="0"/>
              <w:jc w:val="center"/>
              <w:rPr>
                <w:rFonts w:ascii="Arial Narrow" w:hAnsi="Arial Narrow" w:cs="Calibri"/>
                <w:sz w:val="20"/>
                <w:szCs w:val="20"/>
              </w:rPr>
            </w:pPr>
            <w:r w:rsidRPr="00576299">
              <w:rPr>
                <w:rFonts w:ascii="Arial Narrow" w:hAnsi="Arial Narrow" w:cs="Calibri"/>
                <w:sz w:val="20"/>
                <w:szCs w:val="20"/>
              </w:rPr>
              <w:t>61 (24.5)</w:t>
            </w:r>
          </w:p>
        </w:tc>
        <w:tc>
          <w:tcPr>
            <w:tcW w:w="1701" w:type="dxa"/>
            <w:shd w:val="clear" w:color="auto" w:fill="B8CCE4" w:themeFill="accent1" w:themeFillTint="66"/>
            <w:noWrap/>
            <w:vAlign w:val="center"/>
            <w:hideMark/>
          </w:tcPr>
          <w:p w14:paraId="0BB3BC8F" w14:textId="05393797" w:rsidR="00E42A18" w:rsidRPr="00576299" w:rsidRDefault="00E42A18" w:rsidP="001E674A">
            <w:pPr>
              <w:keepNext/>
              <w:widowControl w:val="0"/>
              <w:jc w:val="center"/>
              <w:rPr>
                <w:rFonts w:ascii="Arial Narrow" w:hAnsi="Arial Narrow" w:cs="Calibri"/>
                <w:sz w:val="20"/>
                <w:szCs w:val="20"/>
              </w:rPr>
            </w:pPr>
            <w:r w:rsidRPr="00576299">
              <w:rPr>
                <w:rFonts w:ascii="Arial Narrow" w:hAnsi="Arial Narrow" w:cs="Calibri"/>
                <w:sz w:val="20"/>
                <w:szCs w:val="20"/>
              </w:rPr>
              <w:t>10.8 (9.8, 12.6)</w:t>
            </w:r>
          </w:p>
        </w:tc>
        <w:tc>
          <w:tcPr>
            <w:tcW w:w="1031" w:type="dxa"/>
            <w:shd w:val="clear" w:color="auto" w:fill="auto"/>
            <w:vAlign w:val="center"/>
          </w:tcPr>
          <w:p w14:paraId="095579F1" w14:textId="7A92BA92" w:rsidR="00E42A18" w:rsidRPr="00576299" w:rsidRDefault="00E42A18" w:rsidP="001E674A">
            <w:pPr>
              <w:keepNext/>
              <w:widowControl w:val="0"/>
              <w:jc w:val="center"/>
              <w:rPr>
                <w:rFonts w:ascii="Arial Narrow" w:hAnsi="Arial Narrow" w:cs="Calibri"/>
                <w:sz w:val="20"/>
                <w:szCs w:val="20"/>
              </w:rPr>
            </w:pPr>
            <w:r w:rsidRPr="00576299">
              <w:rPr>
                <w:rFonts w:ascii="Arial Narrow" w:hAnsi="Arial Narrow" w:cs="Calibri"/>
                <w:color w:val="000000"/>
                <w:sz w:val="20"/>
                <w:szCs w:val="20"/>
              </w:rPr>
              <w:t xml:space="preserve">44.6 </w:t>
            </w:r>
            <w:r w:rsidR="00AB7AB3" w:rsidRPr="00576299">
              <w:rPr>
                <w:rFonts w:ascii="Arial Narrow" w:hAnsi="Arial Narrow" w:cs="Calibri"/>
                <w:color w:val="000000"/>
                <w:sz w:val="20"/>
                <w:szCs w:val="20"/>
                <w:vertAlign w:val="superscript"/>
              </w:rPr>
              <w:t>c</w:t>
            </w:r>
          </w:p>
        </w:tc>
        <w:tc>
          <w:tcPr>
            <w:tcW w:w="1045" w:type="dxa"/>
            <w:shd w:val="clear" w:color="auto" w:fill="auto"/>
            <w:vAlign w:val="center"/>
          </w:tcPr>
          <w:p w14:paraId="2F33CAAC" w14:textId="042EB017" w:rsidR="00E42A18" w:rsidRPr="00576299" w:rsidRDefault="00E42A18" w:rsidP="001E674A">
            <w:pPr>
              <w:keepNext/>
              <w:widowControl w:val="0"/>
              <w:jc w:val="center"/>
              <w:rPr>
                <w:rFonts w:ascii="Arial Narrow" w:hAnsi="Arial Narrow" w:cs="Calibri"/>
                <w:sz w:val="20"/>
                <w:szCs w:val="20"/>
              </w:rPr>
            </w:pPr>
            <w:r w:rsidRPr="00576299">
              <w:rPr>
                <w:rFonts w:ascii="Arial Narrow" w:hAnsi="Arial Narrow" w:cs="Calibri"/>
                <w:color w:val="000000"/>
                <w:sz w:val="20"/>
                <w:szCs w:val="20"/>
              </w:rPr>
              <w:t xml:space="preserve">23.5 </w:t>
            </w:r>
            <w:r w:rsidR="00AB7AB3" w:rsidRPr="00576299">
              <w:rPr>
                <w:rFonts w:ascii="Arial Narrow" w:hAnsi="Arial Narrow" w:cs="Calibri"/>
                <w:color w:val="000000"/>
                <w:sz w:val="20"/>
                <w:szCs w:val="20"/>
                <w:vertAlign w:val="superscript"/>
              </w:rPr>
              <w:t>c</w:t>
            </w:r>
          </w:p>
        </w:tc>
      </w:tr>
      <w:tr w:rsidR="0094348A" w:rsidRPr="00576299" w14:paraId="3C7F6403" w14:textId="37C7C5B1" w:rsidTr="00EC2E2D">
        <w:trPr>
          <w:trHeight w:val="20"/>
        </w:trPr>
        <w:tc>
          <w:tcPr>
            <w:tcW w:w="1377" w:type="dxa"/>
            <w:vMerge/>
            <w:vAlign w:val="center"/>
          </w:tcPr>
          <w:p w14:paraId="35F4D898" w14:textId="648270AC" w:rsidR="00E42A18" w:rsidRPr="00576299" w:rsidRDefault="00E42A18" w:rsidP="001E674A">
            <w:pPr>
              <w:keepNext/>
              <w:widowControl w:val="0"/>
              <w:rPr>
                <w:rFonts w:ascii="Arial Narrow" w:hAnsi="Arial Narrow" w:cs="Calibri"/>
                <w:sz w:val="20"/>
                <w:szCs w:val="20"/>
              </w:rPr>
            </w:pPr>
          </w:p>
        </w:tc>
        <w:tc>
          <w:tcPr>
            <w:tcW w:w="891" w:type="dxa"/>
            <w:shd w:val="clear" w:color="auto" w:fill="auto"/>
            <w:noWrap/>
            <w:vAlign w:val="center"/>
            <w:hideMark/>
          </w:tcPr>
          <w:p w14:paraId="0D25FE63" w14:textId="0B7C5E5D" w:rsidR="00E42A18" w:rsidRPr="00576299" w:rsidRDefault="00E42A18" w:rsidP="001E674A">
            <w:pPr>
              <w:keepNext/>
              <w:widowControl w:val="0"/>
              <w:jc w:val="center"/>
              <w:rPr>
                <w:rFonts w:ascii="Arial Narrow" w:hAnsi="Arial Narrow" w:cs="Calibri"/>
                <w:sz w:val="20"/>
                <w:szCs w:val="20"/>
              </w:rPr>
            </w:pPr>
            <w:r w:rsidRPr="00576299">
              <w:rPr>
                <w:rFonts w:ascii="Arial Narrow" w:hAnsi="Arial Narrow" w:cs="Calibri"/>
                <w:sz w:val="20"/>
                <w:szCs w:val="20"/>
              </w:rPr>
              <w:t>MAS</w:t>
            </w:r>
            <w:r w:rsidR="00403C8C">
              <w:rPr>
                <w:rFonts w:ascii="Arial Narrow" w:hAnsi="Arial Narrow" w:cs="Calibri"/>
                <w:sz w:val="20"/>
                <w:szCs w:val="20"/>
                <w:vertAlign w:val="superscript"/>
              </w:rPr>
              <w:noBreakHyphen/>
              <w:t>#</w:t>
            </w:r>
          </w:p>
        </w:tc>
        <w:tc>
          <w:tcPr>
            <w:tcW w:w="627" w:type="dxa"/>
            <w:shd w:val="clear" w:color="auto" w:fill="auto"/>
            <w:noWrap/>
            <w:vAlign w:val="center"/>
          </w:tcPr>
          <w:p w14:paraId="059CD42A" w14:textId="20E6F4BF" w:rsidR="00E42A18" w:rsidRPr="00576299" w:rsidRDefault="00E42A18" w:rsidP="001E674A">
            <w:pPr>
              <w:keepNext/>
              <w:widowControl w:val="0"/>
              <w:jc w:val="center"/>
              <w:rPr>
                <w:rFonts w:ascii="Arial Narrow" w:hAnsi="Arial Narrow" w:cs="Calibri"/>
                <w:sz w:val="20"/>
                <w:szCs w:val="20"/>
              </w:rPr>
            </w:pPr>
            <w:r w:rsidRPr="00576299">
              <w:rPr>
                <w:rFonts w:ascii="Arial Narrow" w:hAnsi="Arial Narrow" w:cs="Calibri"/>
                <w:sz w:val="20"/>
                <w:szCs w:val="20"/>
              </w:rPr>
              <w:t>237</w:t>
            </w:r>
          </w:p>
        </w:tc>
        <w:tc>
          <w:tcPr>
            <w:tcW w:w="1211" w:type="dxa"/>
            <w:shd w:val="clear" w:color="auto" w:fill="auto"/>
            <w:noWrap/>
            <w:vAlign w:val="center"/>
          </w:tcPr>
          <w:p w14:paraId="6C840B93" w14:textId="321D0491" w:rsidR="00E42A18" w:rsidRPr="00576299" w:rsidRDefault="00E42A18" w:rsidP="001E674A">
            <w:pPr>
              <w:keepNext/>
              <w:widowControl w:val="0"/>
              <w:jc w:val="center"/>
              <w:rPr>
                <w:rFonts w:ascii="Arial Narrow" w:hAnsi="Arial Narrow" w:cs="Calibri"/>
                <w:sz w:val="20"/>
                <w:szCs w:val="20"/>
              </w:rPr>
            </w:pPr>
            <w:r w:rsidRPr="00576299">
              <w:rPr>
                <w:rFonts w:ascii="Arial Narrow" w:hAnsi="Arial Narrow" w:cs="Calibri"/>
                <w:sz w:val="20"/>
                <w:szCs w:val="20"/>
              </w:rPr>
              <w:t>17</w:t>
            </w:r>
            <w:r w:rsidR="00EC2E2D" w:rsidRPr="00576299">
              <w:rPr>
                <w:rFonts w:ascii="Arial Narrow" w:hAnsi="Arial Narrow" w:cs="Calibri"/>
                <w:sz w:val="20"/>
                <w:szCs w:val="20"/>
              </w:rPr>
              <w:t>7</w:t>
            </w:r>
            <w:r w:rsidRPr="00576299">
              <w:rPr>
                <w:rFonts w:ascii="Arial Narrow" w:hAnsi="Arial Narrow" w:cs="Calibri"/>
                <w:sz w:val="20"/>
                <w:szCs w:val="20"/>
              </w:rPr>
              <w:t xml:space="preserve"> (7</w:t>
            </w:r>
            <w:r w:rsidR="00EC2E2D" w:rsidRPr="00576299">
              <w:rPr>
                <w:rFonts w:ascii="Arial Narrow" w:hAnsi="Arial Narrow" w:cs="Calibri"/>
                <w:sz w:val="20"/>
                <w:szCs w:val="20"/>
              </w:rPr>
              <w:t>4</w:t>
            </w:r>
            <w:r w:rsidRPr="00576299">
              <w:rPr>
                <w:rFonts w:ascii="Arial Narrow" w:hAnsi="Arial Narrow" w:cs="Calibri"/>
                <w:sz w:val="20"/>
                <w:szCs w:val="20"/>
              </w:rPr>
              <w:t>.</w:t>
            </w:r>
            <w:r w:rsidR="000D382F" w:rsidRPr="00576299">
              <w:rPr>
                <w:rFonts w:ascii="Arial Narrow" w:hAnsi="Arial Narrow" w:cs="Calibri"/>
                <w:sz w:val="20"/>
                <w:szCs w:val="20"/>
              </w:rPr>
              <w:t>8</w:t>
            </w:r>
            <w:r w:rsidRPr="00576299">
              <w:rPr>
                <w:rFonts w:ascii="Arial Narrow" w:hAnsi="Arial Narrow" w:cs="Calibri"/>
                <w:sz w:val="20"/>
                <w:szCs w:val="20"/>
              </w:rPr>
              <w:t>)</w:t>
            </w:r>
          </w:p>
        </w:tc>
        <w:tc>
          <w:tcPr>
            <w:tcW w:w="1134" w:type="dxa"/>
            <w:shd w:val="clear" w:color="auto" w:fill="auto"/>
            <w:noWrap/>
            <w:vAlign w:val="center"/>
          </w:tcPr>
          <w:p w14:paraId="20BCE8B6" w14:textId="5EBDDCC9" w:rsidR="00E42A18" w:rsidRPr="00576299" w:rsidRDefault="000D382F" w:rsidP="001E674A">
            <w:pPr>
              <w:keepNext/>
              <w:widowControl w:val="0"/>
              <w:jc w:val="center"/>
              <w:rPr>
                <w:rFonts w:ascii="Arial Narrow" w:hAnsi="Arial Narrow" w:cs="Calibri"/>
                <w:sz w:val="20"/>
                <w:szCs w:val="20"/>
              </w:rPr>
            </w:pPr>
            <w:r w:rsidRPr="00576299">
              <w:rPr>
                <w:rFonts w:ascii="Arial Narrow" w:hAnsi="Arial Narrow" w:cs="Calibri"/>
                <w:sz w:val="20"/>
                <w:szCs w:val="20"/>
              </w:rPr>
              <w:t>60</w:t>
            </w:r>
            <w:r w:rsidR="00E42A18" w:rsidRPr="00576299">
              <w:rPr>
                <w:rFonts w:ascii="Arial Narrow" w:hAnsi="Arial Narrow" w:cs="Calibri"/>
                <w:sz w:val="20"/>
                <w:szCs w:val="20"/>
              </w:rPr>
              <w:t xml:space="preserve"> (24.9)</w:t>
            </w:r>
          </w:p>
        </w:tc>
        <w:tc>
          <w:tcPr>
            <w:tcW w:w="1701" w:type="dxa"/>
            <w:shd w:val="clear" w:color="auto" w:fill="auto"/>
            <w:noWrap/>
            <w:vAlign w:val="center"/>
          </w:tcPr>
          <w:p w14:paraId="0A384D96" w14:textId="07F93853" w:rsidR="00E42A18" w:rsidRPr="00576299" w:rsidRDefault="00E42A18" w:rsidP="001E674A">
            <w:pPr>
              <w:keepNext/>
              <w:widowControl w:val="0"/>
              <w:jc w:val="center"/>
              <w:rPr>
                <w:rFonts w:ascii="Arial Narrow" w:hAnsi="Arial Narrow" w:cs="Calibri"/>
                <w:sz w:val="20"/>
                <w:szCs w:val="20"/>
              </w:rPr>
            </w:pPr>
            <w:r w:rsidRPr="00576299">
              <w:rPr>
                <w:rFonts w:ascii="Arial Narrow" w:hAnsi="Arial Narrow" w:cs="Calibri"/>
                <w:sz w:val="20"/>
                <w:szCs w:val="20"/>
              </w:rPr>
              <w:t>11.</w:t>
            </w:r>
            <w:r w:rsidR="000D382F" w:rsidRPr="00576299">
              <w:rPr>
                <w:rFonts w:ascii="Arial Narrow" w:hAnsi="Arial Narrow" w:cs="Calibri"/>
                <w:sz w:val="20"/>
                <w:szCs w:val="20"/>
              </w:rPr>
              <w:t>2</w:t>
            </w:r>
            <w:r w:rsidRPr="00576299">
              <w:rPr>
                <w:rFonts w:ascii="Arial Narrow" w:hAnsi="Arial Narrow" w:cs="Calibri"/>
                <w:sz w:val="20"/>
                <w:szCs w:val="20"/>
              </w:rPr>
              <w:t xml:space="preserve"> (10.</w:t>
            </w:r>
            <w:r w:rsidR="000D382F" w:rsidRPr="00576299">
              <w:rPr>
                <w:rFonts w:ascii="Arial Narrow" w:hAnsi="Arial Narrow" w:cs="Calibri"/>
                <w:sz w:val="20"/>
                <w:szCs w:val="20"/>
              </w:rPr>
              <w:t>2</w:t>
            </w:r>
            <w:r w:rsidRPr="00576299">
              <w:rPr>
                <w:rFonts w:ascii="Arial Narrow" w:hAnsi="Arial Narrow" w:cs="Calibri"/>
                <w:sz w:val="20"/>
                <w:szCs w:val="20"/>
              </w:rPr>
              <w:t>, 13.4)</w:t>
            </w:r>
          </w:p>
        </w:tc>
        <w:tc>
          <w:tcPr>
            <w:tcW w:w="1031" w:type="dxa"/>
            <w:shd w:val="clear" w:color="auto" w:fill="auto"/>
            <w:vAlign w:val="center"/>
          </w:tcPr>
          <w:p w14:paraId="2D052133" w14:textId="74FD7922" w:rsidR="00E42A18" w:rsidRPr="00576299" w:rsidRDefault="00E42A18" w:rsidP="001E674A">
            <w:pPr>
              <w:keepNext/>
              <w:widowControl w:val="0"/>
              <w:jc w:val="center"/>
              <w:rPr>
                <w:rFonts w:ascii="Arial Narrow" w:hAnsi="Arial Narrow" w:cs="Calibri"/>
                <w:sz w:val="20"/>
                <w:szCs w:val="20"/>
                <w:vertAlign w:val="superscript"/>
              </w:rPr>
            </w:pPr>
            <w:r w:rsidRPr="00576299">
              <w:rPr>
                <w:rFonts w:ascii="Arial Narrow" w:hAnsi="Arial Narrow" w:cs="Calibri"/>
                <w:sz w:val="20"/>
                <w:szCs w:val="20"/>
              </w:rPr>
              <w:t xml:space="preserve">N/R </w:t>
            </w:r>
            <w:r w:rsidR="00AB7AB3" w:rsidRPr="00576299">
              <w:rPr>
                <w:rFonts w:ascii="Arial Narrow" w:hAnsi="Arial Narrow" w:cs="Calibri"/>
                <w:sz w:val="20"/>
                <w:szCs w:val="20"/>
                <w:vertAlign w:val="superscript"/>
              </w:rPr>
              <w:t>d</w:t>
            </w:r>
          </w:p>
        </w:tc>
        <w:tc>
          <w:tcPr>
            <w:tcW w:w="1045" w:type="dxa"/>
            <w:shd w:val="clear" w:color="auto" w:fill="auto"/>
            <w:vAlign w:val="center"/>
          </w:tcPr>
          <w:p w14:paraId="38D773B9" w14:textId="5EDBF80C" w:rsidR="00E42A18" w:rsidRPr="00576299" w:rsidRDefault="00E42A18" w:rsidP="001E674A">
            <w:pPr>
              <w:keepNext/>
              <w:widowControl w:val="0"/>
              <w:jc w:val="center"/>
              <w:rPr>
                <w:rFonts w:ascii="Arial Narrow" w:hAnsi="Arial Narrow" w:cs="Calibri"/>
                <w:sz w:val="20"/>
                <w:szCs w:val="20"/>
                <w:vertAlign w:val="superscript"/>
              </w:rPr>
            </w:pPr>
            <w:r w:rsidRPr="00576299">
              <w:rPr>
                <w:rFonts w:ascii="Arial Narrow" w:hAnsi="Arial Narrow" w:cs="Calibri"/>
                <w:sz w:val="20"/>
                <w:szCs w:val="20"/>
              </w:rPr>
              <w:t xml:space="preserve">N/R </w:t>
            </w:r>
            <w:r w:rsidR="00AB7AB3" w:rsidRPr="00576299">
              <w:rPr>
                <w:rFonts w:ascii="Arial Narrow" w:hAnsi="Arial Narrow" w:cs="Calibri"/>
                <w:sz w:val="20"/>
                <w:szCs w:val="20"/>
                <w:vertAlign w:val="superscript"/>
              </w:rPr>
              <w:t>d</w:t>
            </w:r>
          </w:p>
        </w:tc>
      </w:tr>
      <w:tr w:rsidR="00E42A18" w:rsidRPr="00576299" w14:paraId="3AE6AF22" w14:textId="2D78E624" w:rsidTr="00EC2E2D">
        <w:trPr>
          <w:trHeight w:val="20"/>
        </w:trPr>
        <w:tc>
          <w:tcPr>
            <w:tcW w:w="1377" w:type="dxa"/>
            <w:vAlign w:val="center"/>
          </w:tcPr>
          <w:p w14:paraId="7E2C9ED4" w14:textId="13A2E6FC" w:rsidR="00E42A18" w:rsidRPr="00576299" w:rsidRDefault="00E42A18" w:rsidP="001E674A">
            <w:pPr>
              <w:keepNext/>
              <w:widowControl w:val="0"/>
              <w:rPr>
                <w:rFonts w:ascii="Arial Narrow" w:hAnsi="Arial Narrow" w:cs="Calibri"/>
                <w:sz w:val="20"/>
                <w:szCs w:val="20"/>
              </w:rPr>
            </w:pPr>
            <w:r w:rsidRPr="00576299">
              <w:rPr>
                <w:rFonts w:ascii="Arial Narrow" w:hAnsi="Arial Narrow" w:cs="Calibri"/>
                <w:sz w:val="20"/>
                <w:szCs w:val="20"/>
              </w:rPr>
              <w:t>IXAMPLE2 (paclitaxel or doxorubicin)</w:t>
            </w:r>
          </w:p>
        </w:tc>
        <w:tc>
          <w:tcPr>
            <w:tcW w:w="891" w:type="dxa"/>
            <w:shd w:val="clear" w:color="auto" w:fill="auto"/>
            <w:noWrap/>
            <w:vAlign w:val="center"/>
            <w:hideMark/>
          </w:tcPr>
          <w:p w14:paraId="10D61FC2" w14:textId="46A13C3C" w:rsidR="00E42A18" w:rsidRPr="00576299" w:rsidRDefault="00E42A18" w:rsidP="001E674A">
            <w:pPr>
              <w:keepNext/>
              <w:widowControl w:val="0"/>
              <w:jc w:val="center"/>
              <w:rPr>
                <w:rFonts w:ascii="Arial Narrow" w:hAnsi="Arial Narrow" w:cs="Calibri"/>
                <w:sz w:val="20"/>
                <w:szCs w:val="20"/>
              </w:rPr>
            </w:pPr>
            <w:r w:rsidRPr="00576299">
              <w:rPr>
                <w:rFonts w:ascii="Arial Narrow" w:hAnsi="Arial Narrow" w:cs="Calibri"/>
                <w:sz w:val="20"/>
                <w:szCs w:val="20"/>
              </w:rPr>
              <w:t>ITT</w:t>
            </w:r>
          </w:p>
        </w:tc>
        <w:tc>
          <w:tcPr>
            <w:tcW w:w="627" w:type="dxa"/>
            <w:shd w:val="clear" w:color="auto" w:fill="B8CCE4" w:themeFill="accent1" w:themeFillTint="66"/>
            <w:noWrap/>
            <w:vAlign w:val="center"/>
            <w:hideMark/>
          </w:tcPr>
          <w:p w14:paraId="018D08F5" w14:textId="717AFA8A" w:rsidR="00E42A18" w:rsidRPr="00576299" w:rsidRDefault="00E42A18" w:rsidP="001E674A">
            <w:pPr>
              <w:keepNext/>
              <w:widowControl w:val="0"/>
              <w:jc w:val="center"/>
              <w:rPr>
                <w:rFonts w:ascii="Arial Narrow" w:hAnsi="Arial Narrow" w:cs="Calibri"/>
                <w:sz w:val="20"/>
                <w:szCs w:val="20"/>
              </w:rPr>
            </w:pPr>
            <w:r w:rsidRPr="00576299">
              <w:rPr>
                <w:rFonts w:ascii="Arial Narrow" w:hAnsi="Arial Narrow" w:cs="Calibri"/>
                <w:sz w:val="20"/>
                <w:szCs w:val="20"/>
              </w:rPr>
              <w:t>248</w:t>
            </w:r>
          </w:p>
        </w:tc>
        <w:tc>
          <w:tcPr>
            <w:tcW w:w="1211" w:type="dxa"/>
            <w:shd w:val="clear" w:color="auto" w:fill="B8CCE4" w:themeFill="accent1" w:themeFillTint="66"/>
            <w:noWrap/>
            <w:vAlign w:val="center"/>
            <w:hideMark/>
          </w:tcPr>
          <w:p w14:paraId="1A9D4A51" w14:textId="5F757E8F" w:rsidR="00E42A18" w:rsidRPr="00576299" w:rsidRDefault="00E42A18" w:rsidP="001E674A">
            <w:pPr>
              <w:keepNext/>
              <w:widowControl w:val="0"/>
              <w:jc w:val="center"/>
              <w:rPr>
                <w:rFonts w:ascii="Arial Narrow" w:hAnsi="Arial Narrow" w:cs="Calibri"/>
                <w:sz w:val="20"/>
                <w:szCs w:val="20"/>
              </w:rPr>
            </w:pPr>
            <w:r w:rsidRPr="00576299">
              <w:rPr>
                <w:rFonts w:ascii="Arial Narrow" w:hAnsi="Arial Narrow" w:cs="Calibri"/>
                <w:sz w:val="20"/>
                <w:szCs w:val="20"/>
              </w:rPr>
              <w:t>98 (39.5)</w:t>
            </w:r>
          </w:p>
        </w:tc>
        <w:tc>
          <w:tcPr>
            <w:tcW w:w="1134" w:type="dxa"/>
            <w:shd w:val="clear" w:color="auto" w:fill="B8CCE4" w:themeFill="accent1" w:themeFillTint="66"/>
            <w:noWrap/>
            <w:vAlign w:val="center"/>
            <w:hideMark/>
          </w:tcPr>
          <w:p w14:paraId="1F38B875" w14:textId="411E282B" w:rsidR="00E42A18" w:rsidRPr="00576299" w:rsidRDefault="00E42A18" w:rsidP="001E674A">
            <w:pPr>
              <w:keepNext/>
              <w:widowControl w:val="0"/>
              <w:jc w:val="center"/>
              <w:rPr>
                <w:rFonts w:ascii="Arial Narrow" w:hAnsi="Arial Narrow" w:cs="Calibri"/>
                <w:sz w:val="20"/>
                <w:szCs w:val="20"/>
              </w:rPr>
            </w:pPr>
            <w:r w:rsidRPr="00576299">
              <w:rPr>
                <w:rFonts w:ascii="Arial Narrow" w:hAnsi="Arial Narrow" w:cs="Calibri"/>
                <w:sz w:val="20"/>
                <w:szCs w:val="20"/>
              </w:rPr>
              <w:t>150 (60.5)</w:t>
            </w:r>
          </w:p>
        </w:tc>
        <w:tc>
          <w:tcPr>
            <w:tcW w:w="1701" w:type="dxa"/>
            <w:shd w:val="clear" w:color="auto" w:fill="B8CCE4" w:themeFill="accent1" w:themeFillTint="66"/>
            <w:noWrap/>
            <w:vAlign w:val="center"/>
            <w:hideMark/>
          </w:tcPr>
          <w:p w14:paraId="5E0913DE" w14:textId="07396CEB" w:rsidR="00E42A18" w:rsidRPr="00576299" w:rsidRDefault="00E42A18" w:rsidP="001E674A">
            <w:pPr>
              <w:keepNext/>
              <w:widowControl w:val="0"/>
              <w:jc w:val="center"/>
              <w:rPr>
                <w:rFonts w:ascii="Arial Narrow" w:hAnsi="Arial Narrow" w:cs="Calibri"/>
                <w:sz w:val="20"/>
                <w:szCs w:val="20"/>
              </w:rPr>
            </w:pPr>
            <w:r w:rsidRPr="00576299">
              <w:rPr>
                <w:rFonts w:ascii="Arial Narrow" w:hAnsi="Arial Narrow" w:cs="Calibri"/>
                <w:sz w:val="20"/>
                <w:szCs w:val="20"/>
              </w:rPr>
              <w:t>12.3 (10.7, 15.4)</w:t>
            </w:r>
          </w:p>
        </w:tc>
        <w:tc>
          <w:tcPr>
            <w:tcW w:w="1031" w:type="dxa"/>
            <w:shd w:val="clear" w:color="auto" w:fill="auto"/>
            <w:vAlign w:val="center"/>
          </w:tcPr>
          <w:p w14:paraId="1D4C060D" w14:textId="5AE94A65" w:rsidR="00E42A18" w:rsidRPr="00576299" w:rsidRDefault="00E42A18" w:rsidP="001E674A">
            <w:pPr>
              <w:keepNext/>
              <w:widowControl w:val="0"/>
              <w:jc w:val="center"/>
              <w:rPr>
                <w:rFonts w:ascii="Arial Narrow" w:hAnsi="Arial Narrow" w:cs="Calibri"/>
                <w:sz w:val="20"/>
                <w:szCs w:val="20"/>
              </w:rPr>
            </w:pPr>
            <w:r w:rsidRPr="00576299">
              <w:rPr>
                <w:rFonts w:ascii="Arial Narrow" w:hAnsi="Arial Narrow" w:cs="Calibri"/>
                <w:color w:val="000000"/>
                <w:sz w:val="20"/>
                <w:szCs w:val="20"/>
              </w:rPr>
              <w:t xml:space="preserve">53.7 </w:t>
            </w:r>
            <w:r w:rsidR="00AB7AB3" w:rsidRPr="00576299">
              <w:rPr>
                <w:rFonts w:ascii="Arial Narrow" w:hAnsi="Arial Narrow" w:cs="Calibri"/>
                <w:color w:val="000000"/>
                <w:sz w:val="20"/>
                <w:szCs w:val="20"/>
                <w:vertAlign w:val="superscript"/>
              </w:rPr>
              <w:t>c</w:t>
            </w:r>
          </w:p>
        </w:tc>
        <w:tc>
          <w:tcPr>
            <w:tcW w:w="1045" w:type="dxa"/>
            <w:shd w:val="clear" w:color="auto" w:fill="auto"/>
            <w:vAlign w:val="center"/>
          </w:tcPr>
          <w:p w14:paraId="0890ED27" w14:textId="38D3B94F" w:rsidR="00E42A18" w:rsidRPr="00576299" w:rsidRDefault="00E42A18" w:rsidP="001E674A">
            <w:pPr>
              <w:keepNext/>
              <w:widowControl w:val="0"/>
              <w:jc w:val="center"/>
              <w:rPr>
                <w:rFonts w:ascii="Arial Narrow" w:hAnsi="Arial Narrow" w:cs="Calibri"/>
                <w:sz w:val="20"/>
                <w:szCs w:val="20"/>
              </w:rPr>
            </w:pPr>
            <w:r w:rsidRPr="00576299">
              <w:rPr>
                <w:rFonts w:ascii="Arial Narrow" w:hAnsi="Arial Narrow" w:cs="Calibri"/>
                <w:color w:val="000000"/>
                <w:sz w:val="20"/>
                <w:szCs w:val="20"/>
              </w:rPr>
              <w:t xml:space="preserve">29.3 </w:t>
            </w:r>
            <w:r w:rsidR="00AB7AB3" w:rsidRPr="00576299">
              <w:rPr>
                <w:rFonts w:ascii="Arial Narrow" w:hAnsi="Arial Narrow" w:cs="Calibri"/>
                <w:color w:val="000000"/>
                <w:sz w:val="20"/>
                <w:szCs w:val="20"/>
                <w:vertAlign w:val="superscript"/>
              </w:rPr>
              <w:t>c</w:t>
            </w:r>
          </w:p>
        </w:tc>
      </w:tr>
      <w:tr w:rsidR="0094348A" w:rsidRPr="00576299" w14:paraId="0F9B579B" w14:textId="44222D22" w:rsidTr="00EC2E2D">
        <w:trPr>
          <w:trHeight w:val="339"/>
        </w:trPr>
        <w:tc>
          <w:tcPr>
            <w:tcW w:w="1377" w:type="dxa"/>
            <w:vMerge w:val="restart"/>
            <w:vAlign w:val="center"/>
          </w:tcPr>
          <w:p w14:paraId="3ED98D82" w14:textId="3160F75A" w:rsidR="00E42A18" w:rsidRPr="00576299" w:rsidRDefault="00E42A18" w:rsidP="001E674A">
            <w:pPr>
              <w:keepNext/>
              <w:widowControl w:val="0"/>
              <w:rPr>
                <w:rFonts w:ascii="Arial Narrow" w:hAnsi="Arial Narrow" w:cs="Calibri"/>
                <w:sz w:val="20"/>
                <w:szCs w:val="20"/>
              </w:rPr>
            </w:pPr>
            <w:r w:rsidRPr="00576299">
              <w:rPr>
                <w:rFonts w:ascii="Arial Narrow" w:hAnsi="Arial Narrow" w:cs="Calibri"/>
                <w:sz w:val="20"/>
                <w:szCs w:val="20"/>
              </w:rPr>
              <w:t>KEYNOTE-775 (paclitaxel or doxorubicin)</w:t>
            </w:r>
          </w:p>
        </w:tc>
        <w:tc>
          <w:tcPr>
            <w:tcW w:w="891" w:type="dxa"/>
            <w:shd w:val="clear" w:color="auto" w:fill="auto"/>
            <w:noWrap/>
            <w:vAlign w:val="center"/>
            <w:hideMark/>
          </w:tcPr>
          <w:p w14:paraId="3B168C1E" w14:textId="7FA8F54F" w:rsidR="00E42A18" w:rsidRPr="00576299" w:rsidRDefault="00E42A18" w:rsidP="001E674A">
            <w:pPr>
              <w:keepNext/>
              <w:widowControl w:val="0"/>
              <w:jc w:val="center"/>
              <w:rPr>
                <w:rFonts w:ascii="Arial Narrow" w:hAnsi="Arial Narrow" w:cs="Calibri"/>
                <w:sz w:val="20"/>
                <w:szCs w:val="20"/>
              </w:rPr>
            </w:pPr>
            <w:r w:rsidRPr="00576299">
              <w:rPr>
                <w:rFonts w:ascii="Arial Narrow" w:hAnsi="Arial Narrow" w:cs="Calibri"/>
                <w:sz w:val="20"/>
                <w:szCs w:val="20"/>
              </w:rPr>
              <w:t>ITT</w:t>
            </w:r>
          </w:p>
        </w:tc>
        <w:tc>
          <w:tcPr>
            <w:tcW w:w="627" w:type="dxa"/>
            <w:shd w:val="clear" w:color="auto" w:fill="B8CCE4" w:themeFill="accent1" w:themeFillTint="66"/>
            <w:noWrap/>
            <w:vAlign w:val="center"/>
            <w:hideMark/>
          </w:tcPr>
          <w:p w14:paraId="6B0A3735" w14:textId="687C73E7" w:rsidR="00E42A18" w:rsidRPr="00576299" w:rsidRDefault="00E42A18" w:rsidP="001E674A">
            <w:pPr>
              <w:keepNext/>
              <w:widowControl w:val="0"/>
              <w:jc w:val="center"/>
              <w:rPr>
                <w:rFonts w:ascii="Arial Narrow" w:hAnsi="Arial Narrow" w:cs="Calibri"/>
                <w:sz w:val="20"/>
                <w:szCs w:val="20"/>
              </w:rPr>
            </w:pPr>
            <w:r w:rsidRPr="00576299">
              <w:rPr>
                <w:rFonts w:ascii="Arial Narrow" w:hAnsi="Arial Narrow" w:cs="Calibri"/>
                <w:sz w:val="20"/>
                <w:szCs w:val="20"/>
              </w:rPr>
              <w:t>416</w:t>
            </w:r>
          </w:p>
        </w:tc>
        <w:tc>
          <w:tcPr>
            <w:tcW w:w="1211" w:type="dxa"/>
            <w:shd w:val="clear" w:color="auto" w:fill="B8CCE4" w:themeFill="accent1" w:themeFillTint="66"/>
            <w:noWrap/>
            <w:vAlign w:val="center"/>
            <w:hideMark/>
          </w:tcPr>
          <w:p w14:paraId="01F4E412" w14:textId="403378B1" w:rsidR="00E42A18" w:rsidRPr="00576299" w:rsidRDefault="00E42A18" w:rsidP="001E674A">
            <w:pPr>
              <w:keepNext/>
              <w:widowControl w:val="0"/>
              <w:jc w:val="center"/>
              <w:rPr>
                <w:rFonts w:ascii="Arial Narrow" w:hAnsi="Arial Narrow" w:cs="Calibri"/>
                <w:sz w:val="20"/>
                <w:szCs w:val="20"/>
              </w:rPr>
            </w:pPr>
            <w:r w:rsidRPr="00576299">
              <w:rPr>
                <w:rFonts w:ascii="Arial Narrow" w:hAnsi="Arial Narrow" w:cs="Calibri"/>
                <w:sz w:val="20"/>
                <w:szCs w:val="20"/>
              </w:rPr>
              <w:t>245 (58.9)</w:t>
            </w:r>
          </w:p>
        </w:tc>
        <w:tc>
          <w:tcPr>
            <w:tcW w:w="1134" w:type="dxa"/>
            <w:shd w:val="clear" w:color="auto" w:fill="B8CCE4" w:themeFill="accent1" w:themeFillTint="66"/>
            <w:noWrap/>
            <w:vAlign w:val="center"/>
            <w:hideMark/>
          </w:tcPr>
          <w:p w14:paraId="2ADE24BD" w14:textId="3DAD50C3" w:rsidR="00E42A18" w:rsidRPr="00576299" w:rsidRDefault="00E42A18" w:rsidP="001E674A">
            <w:pPr>
              <w:keepNext/>
              <w:widowControl w:val="0"/>
              <w:jc w:val="center"/>
              <w:rPr>
                <w:rFonts w:ascii="Arial Narrow" w:hAnsi="Arial Narrow" w:cs="Calibri"/>
                <w:sz w:val="20"/>
                <w:szCs w:val="20"/>
              </w:rPr>
            </w:pPr>
            <w:r w:rsidRPr="00576299">
              <w:rPr>
                <w:rFonts w:ascii="Arial Narrow" w:hAnsi="Arial Narrow" w:cs="Calibri"/>
                <w:sz w:val="20"/>
                <w:szCs w:val="20"/>
              </w:rPr>
              <w:t>171 (41.1)</w:t>
            </w:r>
          </w:p>
        </w:tc>
        <w:tc>
          <w:tcPr>
            <w:tcW w:w="1701" w:type="dxa"/>
            <w:shd w:val="clear" w:color="auto" w:fill="B8CCE4" w:themeFill="accent1" w:themeFillTint="66"/>
            <w:noWrap/>
            <w:vAlign w:val="center"/>
            <w:hideMark/>
          </w:tcPr>
          <w:p w14:paraId="273421DC" w14:textId="4AA0CEFA" w:rsidR="00E42A18" w:rsidRPr="00576299" w:rsidRDefault="00E42A18" w:rsidP="001E674A">
            <w:pPr>
              <w:keepNext/>
              <w:widowControl w:val="0"/>
              <w:jc w:val="center"/>
              <w:rPr>
                <w:rFonts w:ascii="Arial Narrow" w:hAnsi="Arial Narrow" w:cs="Calibri"/>
                <w:sz w:val="20"/>
                <w:szCs w:val="20"/>
              </w:rPr>
            </w:pPr>
            <w:r w:rsidRPr="00576299">
              <w:rPr>
                <w:rFonts w:ascii="Arial Narrow" w:hAnsi="Arial Narrow" w:cs="Calibri"/>
                <w:sz w:val="20"/>
                <w:szCs w:val="20"/>
              </w:rPr>
              <w:t>11.4 (10.5, 12.9)</w:t>
            </w:r>
          </w:p>
        </w:tc>
        <w:tc>
          <w:tcPr>
            <w:tcW w:w="1031" w:type="dxa"/>
            <w:shd w:val="clear" w:color="auto" w:fill="auto"/>
            <w:vAlign w:val="center"/>
          </w:tcPr>
          <w:p w14:paraId="1603AC12" w14:textId="276C1B24" w:rsidR="00E42A18" w:rsidRPr="00576299" w:rsidRDefault="00E42A18" w:rsidP="001E674A">
            <w:pPr>
              <w:keepNext/>
              <w:widowControl w:val="0"/>
              <w:jc w:val="center"/>
              <w:rPr>
                <w:rFonts w:ascii="Arial Narrow" w:hAnsi="Arial Narrow" w:cs="Calibri"/>
                <w:sz w:val="20"/>
                <w:szCs w:val="20"/>
              </w:rPr>
            </w:pPr>
            <w:r w:rsidRPr="00576299">
              <w:rPr>
                <w:rFonts w:ascii="Arial Narrow" w:hAnsi="Arial Narrow" w:cs="Calibri"/>
                <w:color w:val="000000"/>
                <w:sz w:val="20"/>
                <w:szCs w:val="20"/>
              </w:rPr>
              <w:t xml:space="preserve">47.9 </w:t>
            </w:r>
            <w:r w:rsidR="00AB7AB3" w:rsidRPr="00576299">
              <w:rPr>
                <w:rFonts w:ascii="Arial Narrow" w:hAnsi="Arial Narrow" w:cs="Calibri"/>
                <w:color w:val="000000"/>
                <w:sz w:val="20"/>
                <w:szCs w:val="20"/>
                <w:vertAlign w:val="superscript"/>
              </w:rPr>
              <w:t>e</w:t>
            </w:r>
          </w:p>
        </w:tc>
        <w:tc>
          <w:tcPr>
            <w:tcW w:w="1045" w:type="dxa"/>
            <w:shd w:val="clear" w:color="auto" w:fill="auto"/>
            <w:vAlign w:val="center"/>
          </w:tcPr>
          <w:p w14:paraId="25ECFC64" w14:textId="07BBA128" w:rsidR="00E42A18" w:rsidRPr="00576299" w:rsidRDefault="00E42A18" w:rsidP="001E674A">
            <w:pPr>
              <w:keepNext/>
              <w:widowControl w:val="0"/>
              <w:jc w:val="center"/>
              <w:rPr>
                <w:rFonts w:ascii="Arial Narrow" w:hAnsi="Arial Narrow" w:cs="Calibri"/>
                <w:sz w:val="20"/>
                <w:szCs w:val="20"/>
              </w:rPr>
            </w:pPr>
            <w:r w:rsidRPr="00576299">
              <w:rPr>
                <w:rFonts w:ascii="Arial Narrow" w:hAnsi="Arial Narrow" w:cs="Calibri"/>
                <w:color w:val="000000"/>
                <w:sz w:val="20"/>
                <w:szCs w:val="20"/>
              </w:rPr>
              <w:t xml:space="preserve">21.4 </w:t>
            </w:r>
            <w:r w:rsidR="00AB7AB3" w:rsidRPr="00576299">
              <w:rPr>
                <w:rFonts w:ascii="Arial Narrow" w:hAnsi="Arial Narrow" w:cs="Calibri"/>
                <w:color w:val="000000"/>
                <w:sz w:val="20"/>
                <w:szCs w:val="20"/>
                <w:vertAlign w:val="superscript"/>
              </w:rPr>
              <w:t>e</w:t>
            </w:r>
          </w:p>
        </w:tc>
      </w:tr>
      <w:tr w:rsidR="0094348A" w:rsidRPr="00576299" w14:paraId="3A530C83" w14:textId="27EFEEAE" w:rsidTr="00EC2E2D">
        <w:trPr>
          <w:trHeight w:val="339"/>
        </w:trPr>
        <w:tc>
          <w:tcPr>
            <w:tcW w:w="1377" w:type="dxa"/>
            <w:vMerge/>
            <w:vAlign w:val="center"/>
          </w:tcPr>
          <w:p w14:paraId="557C8F87" w14:textId="6E2A54A1" w:rsidR="00E42A18" w:rsidRPr="00576299" w:rsidRDefault="00E42A18" w:rsidP="001E674A">
            <w:pPr>
              <w:keepNext/>
              <w:widowControl w:val="0"/>
              <w:rPr>
                <w:rFonts w:ascii="Arial Narrow" w:hAnsi="Arial Narrow" w:cs="Calibri"/>
                <w:sz w:val="20"/>
                <w:szCs w:val="20"/>
              </w:rPr>
            </w:pPr>
          </w:p>
        </w:tc>
        <w:tc>
          <w:tcPr>
            <w:tcW w:w="891" w:type="dxa"/>
            <w:shd w:val="clear" w:color="auto" w:fill="auto"/>
            <w:noWrap/>
            <w:vAlign w:val="center"/>
            <w:hideMark/>
          </w:tcPr>
          <w:p w14:paraId="269B0D0E" w14:textId="63C3E191" w:rsidR="00E42A18" w:rsidRPr="00576299" w:rsidRDefault="00E42A18" w:rsidP="001E674A">
            <w:pPr>
              <w:keepNext/>
              <w:widowControl w:val="0"/>
              <w:jc w:val="center"/>
              <w:rPr>
                <w:rFonts w:ascii="Arial Narrow" w:hAnsi="Arial Narrow" w:cs="Calibri"/>
                <w:sz w:val="20"/>
                <w:szCs w:val="20"/>
              </w:rPr>
            </w:pPr>
            <w:r w:rsidRPr="00576299">
              <w:rPr>
                <w:rFonts w:ascii="Arial Narrow" w:hAnsi="Arial Narrow" w:cs="Calibri"/>
                <w:sz w:val="20"/>
                <w:szCs w:val="20"/>
              </w:rPr>
              <w:t>dMMR</w:t>
            </w:r>
          </w:p>
        </w:tc>
        <w:tc>
          <w:tcPr>
            <w:tcW w:w="627" w:type="dxa"/>
            <w:shd w:val="clear" w:color="auto" w:fill="B8CCE4" w:themeFill="accent1" w:themeFillTint="66"/>
            <w:noWrap/>
            <w:vAlign w:val="center"/>
            <w:hideMark/>
          </w:tcPr>
          <w:p w14:paraId="255091DA" w14:textId="6EE66931" w:rsidR="00E42A18" w:rsidRPr="00576299" w:rsidRDefault="00E42A18" w:rsidP="001E674A">
            <w:pPr>
              <w:keepNext/>
              <w:widowControl w:val="0"/>
              <w:jc w:val="center"/>
              <w:rPr>
                <w:rFonts w:ascii="Arial Narrow" w:hAnsi="Arial Narrow" w:cs="Calibri"/>
                <w:sz w:val="20"/>
                <w:szCs w:val="20"/>
              </w:rPr>
            </w:pPr>
            <w:r w:rsidRPr="00576299">
              <w:rPr>
                <w:rFonts w:ascii="Arial Narrow" w:hAnsi="Arial Narrow" w:cs="Calibri"/>
                <w:sz w:val="20"/>
                <w:szCs w:val="20"/>
              </w:rPr>
              <w:t>65</w:t>
            </w:r>
          </w:p>
        </w:tc>
        <w:tc>
          <w:tcPr>
            <w:tcW w:w="1211" w:type="dxa"/>
            <w:shd w:val="clear" w:color="auto" w:fill="B8CCE4" w:themeFill="accent1" w:themeFillTint="66"/>
            <w:noWrap/>
            <w:vAlign w:val="center"/>
            <w:hideMark/>
          </w:tcPr>
          <w:p w14:paraId="1EF821C7" w14:textId="7BBAA36F" w:rsidR="00E42A18" w:rsidRPr="00576299" w:rsidRDefault="00E42A18" w:rsidP="001E674A">
            <w:pPr>
              <w:keepNext/>
              <w:widowControl w:val="0"/>
              <w:jc w:val="center"/>
              <w:rPr>
                <w:rFonts w:ascii="Arial Narrow" w:hAnsi="Arial Narrow" w:cs="Calibri"/>
                <w:sz w:val="20"/>
                <w:szCs w:val="20"/>
              </w:rPr>
            </w:pPr>
            <w:r w:rsidRPr="00576299">
              <w:rPr>
                <w:rFonts w:ascii="Arial Narrow" w:hAnsi="Arial Narrow" w:cs="Calibri"/>
                <w:sz w:val="20"/>
                <w:szCs w:val="20"/>
              </w:rPr>
              <w:t>42 (64.6)</w:t>
            </w:r>
          </w:p>
        </w:tc>
        <w:tc>
          <w:tcPr>
            <w:tcW w:w="1134" w:type="dxa"/>
            <w:shd w:val="clear" w:color="auto" w:fill="B8CCE4" w:themeFill="accent1" w:themeFillTint="66"/>
            <w:noWrap/>
            <w:vAlign w:val="center"/>
            <w:hideMark/>
          </w:tcPr>
          <w:p w14:paraId="30349102" w14:textId="686A3ADC" w:rsidR="00E42A18" w:rsidRPr="00576299" w:rsidRDefault="00E42A18" w:rsidP="001E674A">
            <w:pPr>
              <w:keepNext/>
              <w:widowControl w:val="0"/>
              <w:jc w:val="center"/>
              <w:rPr>
                <w:rFonts w:ascii="Arial Narrow" w:hAnsi="Arial Narrow" w:cs="Calibri"/>
                <w:sz w:val="20"/>
                <w:szCs w:val="20"/>
              </w:rPr>
            </w:pPr>
            <w:r w:rsidRPr="00576299">
              <w:rPr>
                <w:rFonts w:ascii="Arial Narrow" w:hAnsi="Arial Narrow" w:cs="Calibri"/>
                <w:sz w:val="20"/>
                <w:szCs w:val="20"/>
              </w:rPr>
              <w:t>23 (35.4)</w:t>
            </w:r>
          </w:p>
        </w:tc>
        <w:tc>
          <w:tcPr>
            <w:tcW w:w="1701" w:type="dxa"/>
            <w:shd w:val="clear" w:color="auto" w:fill="B8CCE4" w:themeFill="accent1" w:themeFillTint="66"/>
            <w:noWrap/>
            <w:vAlign w:val="center"/>
            <w:hideMark/>
          </w:tcPr>
          <w:p w14:paraId="6BABB8AA" w14:textId="77C08DFB" w:rsidR="00E42A18" w:rsidRPr="00576299" w:rsidRDefault="00E42A18" w:rsidP="001E674A">
            <w:pPr>
              <w:keepNext/>
              <w:widowControl w:val="0"/>
              <w:jc w:val="center"/>
              <w:rPr>
                <w:rFonts w:ascii="Arial Narrow" w:hAnsi="Arial Narrow" w:cs="Calibri"/>
                <w:sz w:val="20"/>
                <w:szCs w:val="20"/>
              </w:rPr>
            </w:pPr>
            <w:r w:rsidRPr="00576299">
              <w:rPr>
                <w:rFonts w:ascii="Arial Narrow" w:hAnsi="Arial Narrow" w:cs="Calibri"/>
                <w:sz w:val="20"/>
                <w:szCs w:val="20"/>
              </w:rPr>
              <w:t>8.6 (5.5, 12.9)</w:t>
            </w:r>
          </w:p>
        </w:tc>
        <w:tc>
          <w:tcPr>
            <w:tcW w:w="1031" w:type="dxa"/>
            <w:shd w:val="clear" w:color="auto" w:fill="auto"/>
            <w:vAlign w:val="center"/>
          </w:tcPr>
          <w:p w14:paraId="35D841C7" w14:textId="23D0BE9E" w:rsidR="00E42A18" w:rsidRPr="00576299" w:rsidRDefault="00E42A18" w:rsidP="001E674A">
            <w:pPr>
              <w:keepNext/>
              <w:widowControl w:val="0"/>
              <w:jc w:val="center"/>
              <w:rPr>
                <w:rFonts w:ascii="Arial Narrow" w:hAnsi="Arial Narrow" w:cs="Calibri"/>
                <w:sz w:val="20"/>
                <w:szCs w:val="20"/>
              </w:rPr>
            </w:pPr>
            <w:r w:rsidRPr="00576299">
              <w:rPr>
                <w:rFonts w:ascii="Arial Narrow" w:hAnsi="Arial Narrow" w:cs="Calibri"/>
                <w:color w:val="000000"/>
                <w:sz w:val="20"/>
                <w:szCs w:val="20"/>
              </w:rPr>
              <w:t xml:space="preserve">39.4 </w:t>
            </w:r>
            <w:r w:rsidR="00AB7AB3" w:rsidRPr="00576299">
              <w:rPr>
                <w:rFonts w:ascii="Arial Narrow" w:hAnsi="Arial Narrow" w:cs="Calibri"/>
                <w:color w:val="000000"/>
                <w:sz w:val="20"/>
                <w:szCs w:val="20"/>
                <w:vertAlign w:val="superscript"/>
              </w:rPr>
              <w:t>c</w:t>
            </w:r>
          </w:p>
        </w:tc>
        <w:tc>
          <w:tcPr>
            <w:tcW w:w="1045" w:type="dxa"/>
            <w:shd w:val="clear" w:color="auto" w:fill="auto"/>
            <w:vAlign w:val="center"/>
          </w:tcPr>
          <w:p w14:paraId="4460380C" w14:textId="23BD1589" w:rsidR="00E42A18" w:rsidRPr="00576299" w:rsidRDefault="00E42A18" w:rsidP="001E674A">
            <w:pPr>
              <w:keepNext/>
              <w:widowControl w:val="0"/>
              <w:jc w:val="center"/>
              <w:rPr>
                <w:rFonts w:ascii="Arial Narrow" w:hAnsi="Arial Narrow" w:cs="Calibri"/>
                <w:sz w:val="20"/>
                <w:szCs w:val="20"/>
              </w:rPr>
            </w:pPr>
            <w:r w:rsidRPr="00576299">
              <w:rPr>
                <w:rFonts w:ascii="Arial Narrow" w:hAnsi="Arial Narrow" w:cs="Calibri"/>
                <w:color w:val="000000"/>
                <w:sz w:val="20"/>
                <w:szCs w:val="20"/>
              </w:rPr>
              <w:t>25.8</w:t>
            </w:r>
            <w:r w:rsidRPr="00576299">
              <w:rPr>
                <w:rFonts w:ascii="Arial Narrow" w:hAnsi="Arial Narrow" w:cs="Calibri"/>
                <w:color w:val="000000"/>
                <w:sz w:val="20"/>
                <w:szCs w:val="20"/>
                <w:vertAlign w:val="superscript"/>
              </w:rPr>
              <w:t xml:space="preserve"> </w:t>
            </w:r>
            <w:r w:rsidR="00AB7AB3" w:rsidRPr="00576299">
              <w:rPr>
                <w:rFonts w:ascii="Arial Narrow" w:hAnsi="Arial Narrow" w:cs="Calibri"/>
                <w:color w:val="000000"/>
                <w:sz w:val="20"/>
                <w:szCs w:val="20"/>
                <w:vertAlign w:val="superscript"/>
              </w:rPr>
              <w:t>c</w:t>
            </w:r>
          </w:p>
        </w:tc>
      </w:tr>
      <w:tr w:rsidR="00E42A18" w:rsidRPr="00576299" w14:paraId="1E014A62" w14:textId="26ADF06F" w:rsidTr="00EC2E2D">
        <w:trPr>
          <w:trHeight w:val="20"/>
        </w:trPr>
        <w:tc>
          <w:tcPr>
            <w:tcW w:w="1377" w:type="dxa"/>
            <w:vAlign w:val="center"/>
          </w:tcPr>
          <w:p w14:paraId="1F13C380" w14:textId="403F6A50" w:rsidR="00E42A18" w:rsidRPr="00576299" w:rsidRDefault="00E42A18" w:rsidP="001E674A">
            <w:pPr>
              <w:keepNext/>
              <w:widowControl w:val="0"/>
              <w:rPr>
                <w:rFonts w:ascii="Arial Narrow" w:hAnsi="Arial Narrow" w:cs="Calibri"/>
                <w:sz w:val="20"/>
                <w:szCs w:val="20"/>
              </w:rPr>
            </w:pPr>
            <w:r w:rsidRPr="00576299">
              <w:rPr>
                <w:rFonts w:ascii="Arial Narrow" w:hAnsi="Arial Narrow" w:cs="Calibri"/>
                <w:sz w:val="20"/>
                <w:szCs w:val="20"/>
              </w:rPr>
              <w:t>Scambia 2020 (</w:t>
            </w:r>
            <w:r w:rsidR="004879EB" w:rsidRPr="00576299">
              <w:rPr>
                <w:rFonts w:ascii="Arial Narrow" w:hAnsi="Arial Narrow" w:cs="Calibri"/>
                <w:sz w:val="20"/>
                <w:szCs w:val="20"/>
              </w:rPr>
              <w:t>paclitaxel</w:t>
            </w:r>
            <w:r w:rsidRPr="00576299">
              <w:rPr>
                <w:rFonts w:ascii="Arial Narrow" w:hAnsi="Arial Narrow" w:cs="Calibri"/>
                <w:sz w:val="20"/>
                <w:szCs w:val="20"/>
              </w:rPr>
              <w:t>)</w:t>
            </w:r>
          </w:p>
        </w:tc>
        <w:tc>
          <w:tcPr>
            <w:tcW w:w="891" w:type="dxa"/>
            <w:shd w:val="clear" w:color="auto" w:fill="auto"/>
            <w:noWrap/>
            <w:vAlign w:val="center"/>
            <w:hideMark/>
          </w:tcPr>
          <w:p w14:paraId="543FCB08" w14:textId="09E54251" w:rsidR="00E42A18" w:rsidRPr="00576299" w:rsidRDefault="00E42A18" w:rsidP="001E674A">
            <w:pPr>
              <w:keepNext/>
              <w:widowControl w:val="0"/>
              <w:jc w:val="center"/>
              <w:rPr>
                <w:rFonts w:ascii="Arial Narrow" w:hAnsi="Arial Narrow" w:cs="Calibri"/>
                <w:sz w:val="20"/>
                <w:szCs w:val="20"/>
              </w:rPr>
            </w:pPr>
            <w:r w:rsidRPr="00576299">
              <w:rPr>
                <w:rFonts w:ascii="Arial Narrow" w:hAnsi="Arial Narrow" w:cs="Calibri"/>
                <w:sz w:val="20"/>
                <w:szCs w:val="20"/>
              </w:rPr>
              <w:t xml:space="preserve">ITT </w:t>
            </w:r>
            <w:r w:rsidR="00AB7AB3" w:rsidRPr="00576299">
              <w:rPr>
                <w:rFonts w:ascii="Arial Narrow" w:hAnsi="Arial Narrow" w:cs="Calibri"/>
                <w:sz w:val="20"/>
                <w:szCs w:val="20"/>
                <w:vertAlign w:val="superscript"/>
              </w:rPr>
              <w:t>c</w:t>
            </w:r>
          </w:p>
        </w:tc>
        <w:tc>
          <w:tcPr>
            <w:tcW w:w="627" w:type="dxa"/>
            <w:shd w:val="clear" w:color="auto" w:fill="B8CCE4" w:themeFill="accent1" w:themeFillTint="66"/>
            <w:noWrap/>
            <w:vAlign w:val="center"/>
            <w:hideMark/>
          </w:tcPr>
          <w:p w14:paraId="2E5CE153" w14:textId="65D6D50E" w:rsidR="00E42A18" w:rsidRPr="00576299" w:rsidRDefault="00E42A18" w:rsidP="001E674A">
            <w:pPr>
              <w:keepNext/>
              <w:widowControl w:val="0"/>
              <w:jc w:val="center"/>
              <w:rPr>
                <w:rFonts w:ascii="Arial Narrow" w:hAnsi="Arial Narrow" w:cs="Calibri"/>
                <w:sz w:val="20"/>
                <w:szCs w:val="20"/>
              </w:rPr>
            </w:pPr>
            <w:r w:rsidRPr="00576299">
              <w:rPr>
                <w:rFonts w:ascii="Arial Narrow" w:hAnsi="Arial Narrow" w:cs="Calibri"/>
                <w:sz w:val="20"/>
                <w:szCs w:val="20"/>
              </w:rPr>
              <w:t>90</w:t>
            </w:r>
          </w:p>
        </w:tc>
        <w:tc>
          <w:tcPr>
            <w:tcW w:w="1211" w:type="dxa"/>
            <w:shd w:val="clear" w:color="auto" w:fill="B8CCE4" w:themeFill="accent1" w:themeFillTint="66"/>
            <w:noWrap/>
            <w:vAlign w:val="center"/>
            <w:hideMark/>
          </w:tcPr>
          <w:p w14:paraId="3C3D0AD0" w14:textId="282FC674" w:rsidR="00E42A18" w:rsidRPr="00821DB2" w:rsidRDefault="00E42A18" w:rsidP="001E674A">
            <w:pPr>
              <w:keepNext/>
              <w:widowControl w:val="0"/>
              <w:jc w:val="center"/>
              <w:rPr>
                <w:rFonts w:ascii="Arial Narrow" w:hAnsi="Arial Narrow" w:cs="Calibri"/>
                <w:iCs/>
                <w:sz w:val="20"/>
                <w:szCs w:val="20"/>
              </w:rPr>
            </w:pPr>
            <w:r w:rsidRPr="00821DB2">
              <w:rPr>
                <w:rFonts w:ascii="Arial Narrow" w:hAnsi="Arial Narrow" w:cs="Calibri"/>
                <w:iCs/>
                <w:sz w:val="20"/>
                <w:szCs w:val="20"/>
              </w:rPr>
              <w:t>58 (64)</w:t>
            </w:r>
          </w:p>
        </w:tc>
        <w:tc>
          <w:tcPr>
            <w:tcW w:w="1134" w:type="dxa"/>
            <w:shd w:val="clear" w:color="auto" w:fill="B8CCE4" w:themeFill="accent1" w:themeFillTint="66"/>
            <w:noWrap/>
            <w:vAlign w:val="center"/>
            <w:hideMark/>
          </w:tcPr>
          <w:p w14:paraId="0CD4A95A" w14:textId="09B06458" w:rsidR="00E42A18" w:rsidRPr="00821DB2" w:rsidRDefault="00E42A18" w:rsidP="001E674A">
            <w:pPr>
              <w:keepNext/>
              <w:widowControl w:val="0"/>
              <w:jc w:val="center"/>
              <w:rPr>
                <w:rFonts w:ascii="Arial Narrow" w:hAnsi="Arial Narrow" w:cs="Calibri"/>
                <w:iCs/>
                <w:sz w:val="20"/>
                <w:szCs w:val="20"/>
              </w:rPr>
            </w:pPr>
            <w:r w:rsidRPr="00821DB2">
              <w:rPr>
                <w:rFonts w:ascii="Arial Narrow" w:hAnsi="Arial Narrow" w:cs="Calibri"/>
                <w:iCs/>
                <w:sz w:val="20"/>
                <w:szCs w:val="20"/>
              </w:rPr>
              <w:t>32 (3</w:t>
            </w:r>
            <w:r w:rsidR="00460B74" w:rsidRPr="00821DB2">
              <w:rPr>
                <w:rFonts w:ascii="Arial Narrow" w:hAnsi="Arial Narrow" w:cs="Calibri"/>
                <w:iCs/>
                <w:sz w:val="20"/>
                <w:szCs w:val="20"/>
              </w:rPr>
              <w:t>6</w:t>
            </w:r>
            <w:r w:rsidRPr="00821DB2">
              <w:rPr>
                <w:rFonts w:ascii="Arial Narrow" w:hAnsi="Arial Narrow" w:cs="Calibri"/>
                <w:iCs/>
                <w:sz w:val="20"/>
                <w:szCs w:val="20"/>
              </w:rPr>
              <w:t>)</w:t>
            </w:r>
          </w:p>
        </w:tc>
        <w:tc>
          <w:tcPr>
            <w:tcW w:w="1701" w:type="dxa"/>
            <w:shd w:val="clear" w:color="auto" w:fill="B8CCE4" w:themeFill="accent1" w:themeFillTint="66"/>
            <w:noWrap/>
            <w:vAlign w:val="center"/>
            <w:hideMark/>
          </w:tcPr>
          <w:p w14:paraId="5571A8BA" w14:textId="3D5BB8A5" w:rsidR="00E42A18" w:rsidRPr="00821DB2" w:rsidRDefault="00E42A18" w:rsidP="001E674A">
            <w:pPr>
              <w:keepNext/>
              <w:widowControl w:val="0"/>
              <w:jc w:val="center"/>
              <w:rPr>
                <w:rFonts w:ascii="Arial Narrow" w:hAnsi="Arial Narrow" w:cs="Calibri"/>
                <w:iCs/>
                <w:sz w:val="20"/>
                <w:szCs w:val="20"/>
              </w:rPr>
            </w:pPr>
            <w:r w:rsidRPr="00821DB2">
              <w:rPr>
                <w:rFonts w:ascii="Arial Narrow" w:hAnsi="Arial Narrow" w:cs="Calibri"/>
                <w:iCs/>
                <w:sz w:val="20"/>
                <w:szCs w:val="20"/>
              </w:rPr>
              <w:t>1</w:t>
            </w:r>
            <w:r w:rsidR="00460B74" w:rsidRPr="00821DB2">
              <w:rPr>
                <w:rFonts w:ascii="Arial Narrow" w:hAnsi="Arial Narrow" w:cs="Calibri"/>
                <w:iCs/>
                <w:sz w:val="20"/>
                <w:szCs w:val="20"/>
              </w:rPr>
              <w:t>2.7</w:t>
            </w:r>
            <w:r w:rsidRPr="00821DB2">
              <w:rPr>
                <w:rFonts w:ascii="Arial Narrow" w:hAnsi="Arial Narrow" w:cs="Calibri"/>
                <w:iCs/>
                <w:sz w:val="20"/>
                <w:szCs w:val="20"/>
              </w:rPr>
              <w:t xml:space="preserve"> (9.8, </w:t>
            </w:r>
            <w:r w:rsidR="00460B74" w:rsidRPr="00821DB2">
              <w:rPr>
                <w:rFonts w:ascii="Arial Narrow" w:hAnsi="Arial Narrow" w:cs="Calibri"/>
                <w:iCs/>
                <w:sz w:val="20"/>
                <w:szCs w:val="20"/>
              </w:rPr>
              <w:t>19.6</w:t>
            </w:r>
            <w:r w:rsidRPr="00821DB2">
              <w:rPr>
                <w:rFonts w:ascii="Arial Narrow" w:hAnsi="Arial Narrow" w:cs="Calibri"/>
                <w:iCs/>
                <w:sz w:val="20"/>
                <w:szCs w:val="20"/>
              </w:rPr>
              <w:t>)</w:t>
            </w:r>
          </w:p>
        </w:tc>
        <w:tc>
          <w:tcPr>
            <w:tcW w:w="1031" w:type="dxa"/>
            <w:shd w:val="clear" w:color="auto" w:fill="auto"/>
            <w:vAlign w:val="center"/>
          </w:tcPr>
          <w:p w14:paraId="0462C8E8" w14:textId="6DFDC31F" w:rsidR="00E42A18" w:rsidRPr="00576299" w:rsidRDefault="00E42A18" w:rsidP="001E674A">
            <w:pPr>
              <w:keepNext/>
              <w:widowControl w:val="0"/>
              <w:jc w:val="center"/>
              <w:rPr>
                <w:rFonts w:ascii="Arial Narrow" w:hAnsi="Arial Narrow" w:cs="Calibri"/>
                <w:sz w:val="20"/>
                <w:szCs w:val="20"/>
              </w:rPr>
            </w:pPr>
            <w:r w:rsidRPr="00576299">
              <w:rPr>
                <w:rFonts w:ascii="Arial Narrow" w:hAnsi="Arial Narrow" w:cs="Calibri"/>
                <w:color w:val="000000"/>
                <w:sz w:val="20"/>
                <w:szCs w:val="20"/>
              </w:rPr>
              <w:t xml:space="preserve">N/R </w:t>
            </w:r>
            <w:r w:rsidR="00AB7AB3" w:rsidRPr="00576299">
              <w:rPr>
                <w:rFonts w:ascii="Arial Narrow" w:hAnsi="Arial Narrow" w:cs="Calibri"/>
                <w:color w:val="000000"/>
                <w:sz w:val="20"/>
                <w:szCs w:val="20"/>
                <w:vertAlign w:val="superscript"/>
              </w:rPr>
              <w:t>d</w:t>
            </w:r>
          </w:p>
        </w:tc>
        <w:tc>
          <w:tcPr>
            <w:tcW w:w="1045" w:type="dxa"/>
            <w:shd w:val="clear" w:color="auto" w:fill="auto"/>
            <w:vAlign w:val="center"/>
          </w:tcPr>
          <w:p w14:paraId="5CC21DE2" w14:textId="11BD4FE0" w:rsidR="00E42A18" w:rsidRPr="00576299" w:rsidRDefault="00E42A18" w:rsidP="001E674A">
            <w:pPr>
              <w:keepNext/>
              <w:widowControl w:val="0"/>
              <w:jc w:val="center"/>
              <w:rPr>
                <w:rFonts w:ascii="Arial Narrow" w:hAnsi="Arial Narrow" w:cs="Calibri"/>
                <w:sz w:val="20"/>
                <w:szCs w:val="20"/>
              </w:rPr>
            </w:pPr>
            <w:r w:rsidRPr="00576299">
              <w:rPr>
                <w:rFonts w:ascii="Arial Narrow" w:hAnsi="Arial Narrow" w:cs="Calibri"/>
                <w:color w:val="000000"/>
                <w:sz w:val="20"/>
                <w:szCs w:val="20"/>
              </w:rPr>
              <w:t>N/R</w:t>
            </w:r>
            <w:r w:rsidRPr="00576299">
              <w:rPr>
                <w:rFonts w:ascii="Arial Narrow" w:hAnsi="Arial Narrow" w:cs="Calibri"/>
                <w:color w:val="000000"/>
                <w:sz w:val="20"/>
                <w:szCs w:val="20"/>
                <w:vertAlign w:val="superscript"/>
              </w:rPr>
              <w:t xml:space="preserve"> </w:t>
            </w:r>
            <w:r w:rsidR="00AB7AB3" w:rsidRPr="00576299">
              <w:rPr>
                <w:rFonts w:ascii="Arial Narrow" w:hAnsi="Arial Narrow" w:cs="Calibri"/>
                <w:color w:val="000000"/>
                <w:sz w:val="20"/>
                <w:szCs w:val="20"/>
                <w:vertAlign w:val="superscript"/>
              </w:rPr>
              <w:t>d</w:t>
            </w:r>
          </w:p>
        </w:tc>
      </w:tr>
    </w:tbl>
    <w:p w14:paraId="2F0703A4" w14:textId="7B26D3E2" w:rsidR="00C73213" w:rsidRPr="00576299" w:rsidRDefault="00C73213" w:rsidP="001E674A">
      <w:pPr>
        <w:keepNext/>
        <w:widowControl w:val="0"/>
        <w:rPr>
          <w:rFonts w:ascii="Arial Narrow" w:hAnsi="Arial Narrow"/>
        </w:rPr>
      </w:pPr>
      <w:r w:rsidRPr="00576299">
        <w:rPr>
          <w:rFonts w:ascii="Arial Narrow" w:hAnsi="Arial Narrow"/>
          <w:sz w:val="18"/>
          <w:szCs w:val="18"/>
        </w:rPr>
        <w:t xml:space="preserve">Sources: Table 43, p115 and Table 70, p166 of the resubmission, Table 16, p57, Table 14.2.22a and Table 14.2.23a of the GARNET Clinical Study Report. </w:t>
      </w:r>
    </w:p>
    <w:p w14:paraId="6DCD7717" w14:textId="4FD02F1D" w:rsidR="00C73213" w:rsidRPr="00576299" w:rsidRDefault="00C73213" w:rsidP="001E674A">
      <w:pPr>
        <w:pStyle w:val="TableNotes"/>
        <w:keepNext/>
        <w:widowControl w:val="0"/>
        <w:spacing w:after="0"/>
        <w:rPr>
          <w:szCs w:val="18"/>
        </w:rPr>
      </w:pPr>
      <w:r w:rsidRPr="00576299">
        <w:rPr>
          <w:szCs w:val="18"/>
        </w:rPr>
        <w:t>CI = confidence interval; dMMR = mismatch repair deficient; FU = follow- up; ITT = intention-to-treat; MAS= adjusted matched analysis set, mITT = modified intention-to-treat; p</w:t>
      </w:r>
      <w:r w:rsidRPr="00576299">
        <w:rPr>
          <w:rStyle w:val="Superscript"/>
          <w:rFonts w:ascii="Arial Narrow" w:hAnsi="Arial Narrow" w:cstheme="majorBidi"/>
          <w:sz w:val="18"/>
          <w:szCs w:val="18"/>
          <w:vertAlign w:val="baseline"/>
        </w:rPr>
        <w:t>MMR = mismatch repair proficient,</w:t>
      </w:r>
      <w:r w:rsidRPr="00576299">
        <w:rPr>
          <w:szCs w:val="18"/>
        </w:rPr>
        <w:t xml:space="preserve"> NR = not reached; N/R = not reported; PES = Primary Efficacy Set.</w:t>
      </w:r>
    </w:p>
    <w:p w14:paraId="328F5EEE" w14:textId="02C77167" w:rsidR="00E42A18" w:rsidRPr="00576299" w:rsidRDefault="00E42A18" w:rsidP="001E674A">
      <w:pPr>
        <w:pStyle w:val="TableNotes"/>
        <w:keepNext/>
        <w:widowControl w:val="0"/>
        <w:spacing w:after="0"/>
        <w:rPr>
          <w:szCs w:val="18"/>
        </w:rPr>
      </w:pPr>
      <w:r w:rsidRPr="00576299">
        <w:rPr>
          <w:szCs w:val="18"/>
        </w:rPr>
        <w:t xml:space="preserve">a The anonymised ZoptEC IPD was licensed to GSK from Aeterna Zentaris GmbH for indirect comparison purposes (unpublished data). </w:t>
      </w:r>
    </w:p>
    <w:p w14:paraId="54D65FD7" w14:textId="02254CF3" w:rsidR="000A7341" w:rsidRPr="00576299" w:rsidRDefault="00E42A18" w:rsidP="000A7341">
      <w:pPr>
        <w:pStyle w:val="TableFooter"/>
      </w:pPr>
      <w:r w:rsidRPr="00576299">
        <w:t xml:space="preserve">b </w:t>
      </w:r>
      <w:r w:rsidR="000A7341" w:rsidRPr="00576299">
        <w:t xml:space="preserve">For GARNET, the primary efficacy set included patients with measurable disease at baseline (assessed based on RECIST v1.1 by blinded independent central review (BICR)), who had the opportunity for at least 24 weeks of tumour assessment at the time of analysis. Of the 153 patients in the ITT cohort in GARNET Cohort A1 (IA3), a total of 10 patients did not have measurable lesions by BICR at baseline, resulting in a primary efficacy set of 143 (93.5%) patients. </w:t>
      </w:r>
    </w:p>
    <w:p w14:paraId="41399552" w14:textId="5FD3DAB5" w:rsidR="00E42A18" w:rsidRPr="00576299" w:rsidRDefault="00AB7AB3" w:rsidP="001E674A">
      <w:pPr>
        <w:pStyle w:val="TableNotes"/>
        <w:keepNext/>
        <w:widowControl w:val="0"/>
        <w:spacing w:after="0"/>
        <w:rPr>
          <w:szCs w:val="18"/>
        </w:rPr>
      </w:pPr>
      <w:r w:rsidRPr="00576299">
        <w:rPr>
          <w:szCs w:val="18"/>
        </w:rPr>
        <w:t xml:space="preserve">c </w:t>
      </w:r>
      <w:r w:rsidR="00E42A18" w:rsidRPr="00576299">
        <w:rPr>
          <w:szCs w:val="18"/>
        </w:rPr>
        <w:t xml:space="preserve">These data are not reported and were estimated via the digitisation of published KM curves. </w:t>
      </w:r>
    </w:p>
    <w:p w14:paraId="592241DB" w14:textId="3DADC9D2" w:rsidR="00E42A18" w:rsidRPr="00576299" w:rsidRDefault="00AB7AB3" w:rsidP="001E674A">
      <w:pPr>
        <w:pStyle w:val="TableNotes"/>
        <w:keepNext/>
        <w:widowControl w:val="0"/>
        <w:spacing w:after="0"/>
        <w:rPr>
          <w:szCs w:val="18"/>
        </w:rPr>
      </w:pPr>
      <w:r w:rsidRPr="00576299">
        <w:rPr>
          <w:szCs w:val="18"/>
        </w:rPr>
        <w:t xml:space="preserve">d </w:t>
      </w:r>
      <w:r w:rsidR="00E42A18" w:rsidRPr="00576299">
        <w:rPr>
          <w:szCs w:val="18"/>
        </w:rPr>
        <w:t xml:space="preserve">These data are not reported, and KM data is not available for landmark survival estimates. </w:t>
      </w:r>
    </w:p>
    <w:p w14:paraId="12454AF3" w14:textId="03D8AD84" w:rsidR="00E42A18" w:rsidRPr="00576299" w:rsidRDefault="00AB7AB3" w:rsidP="001E674A">
      <w:pPr>
        <w:pStyle w:val="TableNotes"/>
        <w:keepNext/>
        <w:widowControl w:val="0"/>
        <w:spacing w:after="0"/>
        <w:rPr>
          <w:szCs w:val="18"/>
        </w:rPr>
      </w:pPr>
      <w:r w:rsidRPr="00576299">
        <w:rPr>
          <w:szCs w:val="18"/>
        </w:rPr>
        <w:t xml:space="preserve">e </w:t>
      </w:r>
      <w:r w:rsidR="00E42A18" w:rsidRPr="00576299">
        <w:rPr>
          <w:szCs w:val="18"/>
        </w:rPr>
        <w:t>These figures were not able to be independently verified in the commentary.</w:t>
      </w:r>
    </w:p>
    <w:p w14:paraId="4AD10B9E" w14:textId="1791FC96" w:rsidR="00FE30C0" w:rsidRPr="00FE30C0" w:rsidRDefault="00E42A18" w:rsidP="00FE30C0">
      <w:pPr>
        <w:pStyle w:val="TableNotes"/>
        <w:keepNext/>
        <w:widowControl w:val="0"/>
        <w:spacing w:after="0"/>
      </w:pPr>
      <w:r w:rsidRPr="00FE30C0">
        <w:t>Blue shading indicates data previously seen by the PBAC.</w:t>
      </w:r>
    </w:p>
    <w:p w14:paraId="5693B565" w14:textId="21C9B8C3" w:rsidR="00FE30C0" w:rsidRDefault="00FE30C0" w:rsidP="00FE30C0">
      <w:pPr>
        <w:pStyle w:val="TableNotes"/>
        <w:keepNext/>
        <w:widowControl w:val="0"/>
        <w:spacing w:after="0"/>
        <w:rPr>
          <w:i/>
          <w:iCs/>
          <w:szCs w:val="18"/>
        </w:rPr>
      </w:pPr>
      <w:r w:rsidRPr="00FE30C0">
        <w:t>*</w:t>
      </w:r>
      <w:r w:rsidRPr="00FE30C0">
        <w:rPr>
          <w:szCs w:val="18"/>
        </w:rPr>
        <w:t xml:space="preserve"> </w:t>
      </w:r>
      <w:r w:rsidRPr="00FE30C0">
        <w:rPr>
          <w:i/>
          <w:iCs/>
          <w:szCs w:val="18"/>
        </w:rPr>
        <w:t>Note that the MAS results are derived from a post-hoc analysis performed specifically for the purposes of informing the PBAC consideration. This analysis was not part of the pre-specified statistical plan for GARNET. Interpretation of the results and their application should therefore be limited to seeking to understand the basis for the PBAC outcome and should not be used for any other purpose.</w:t>
      </w:r>
    </w:p>
    <w:p w14:paraId="52C1CB95" w14:textId="7419865C" w:rsidR="00403C8C" w:rsidRPr="00403C8C" w:rsidRDefault="00403C8C" w:rsidP="00FE30C0">
      <w:pPr>
        <w:pStyle w:val="TableNotes"/>
        <w:keepNext/>
        <w:widowControl w:val="0"/>
        <w:spacing w:after="0"/>
        <w:rPr>
          <w:i/>
          <w:iCs/>
        </w:rPr>
      </w:pPr>
      <w:r>
        <w:rPr>
          <w:i/>
          <w:iCs/>
          <w:szCs w:val="18"/>
          <w:vertAlign w:val="superscript"/>
        </w:rPr>
        <w:t>#</w:t>
      </w:r>
      <w:r w:rsidRPr="00403C8C">
        <w:t xml:space="preserve"> </w:t>
      </w:r>
      <w:r w:rsidRPr="00403C8C">
        <w:rPr>
          <w:i/>
          <w:iCs/>
        </w:rPr>
        <w:t>Note that the MAS results are derived from a post-hoc analysis performed specifically for the purposes of informing the PBAC consideration. This analysis was not part of the pre-specified statistical plan for ZoptEC. Interpretation of the results and their application should therefore be limited to seeking to understand the basis for the PBAC outcome and should not be used for any other purpose.</w:t>
      </w:r>
    </w:p>
    <w:p w14:paraId="26340A50" w14:textId="3D3CDB18" w:rsidR="0092254A" w:rsidRPr="000E1DA3" w:rsidRDefault="0092254A" w:rsidP="000E1DA3">
      <w:pPr>
        <w:pStyle w:val="TableNotes"/>
        <w:keepNext/>
        <w:widowControl w:val="0"/>
        <w:spacing w:after="120"/>
        <w:rPr>
          <w:szCs w:val="18"/>
        </w:rPr>
      </w:pPr>
    </w:p>
    <w:p w14:paraId="357C656C" w14:textId="0F3DC5D9" w:rsidR="0092254A" w:rsidRPr="00576299" w:rsidRDefault="0092254A" w:rsidP="0092254A">
      <w:pPr>
        <w:pStyle w:val="3-BodyText"/>
      </w:pPr>
      <w:r w:rsidRPr="00576299">
        <w:rPr>
          <w:iCs/>
        </w:rPr>
        <w:t xml:space="preserve">Median OS was not reached in GARNET Cohort A1 </w:t>
      </w:r>
      <w:r w:rsidRPr="00576299">
        <w:t xml:space="preserve">after a median follow up of 27.6 months. The resubmission noted that the updated OS lower confidence limit for GARNET Cohort A1 IA3 data cut (ITT: 27.1 months) had increased since the IA2 data cut (ITT: 18.4 months) with plateauing of survival observed from the prior data-cut maintained out to </w:t>
      </w:r>
      <w:r w:rsidR="009B01CA" w:rsidRPr="00576299">
        <w:t>four</w:t>
      </w:r>
      <w:r w:rsidRPr="00576299">
        <w:t xml:space="preserve"> years</w:t>
      </w:r>
      <w:r w:rsidR="003B3F33" w:rsidRPr="00576299">
        <w:t xml:space="preserve">. </w:t>
      </w:r>
      <w:r w:rsidR="003943DE" w:rsidRPr="00576299">
        <w:t>However, t</w:t>
      </w:r>
      <w:r w:rsidR="003B3F33" w:rsidRPr="00576299">
        <w:t xml:space="preserve">he plateauing may be related to </w:t>
      </w:r>
      <w:r w:rsidR="00B3511E" w:rsidRPr="00576299">
        <w:t xml:space="preserve">a </w:t>
      </w:r>
      <w:r w:rsidR="003B3F33" w:rsidRPr="00576299">
        <w:t xml:space="preserve">decreasing </w:t>
      </w:r>
      <w:r w:rsidR="000E75F9" w:rsidRPr="00576299">
        <w:t xml:space="preserve">number of patients at risk </w:t>
      </w:r>
      <w:r w:rsidR="003B3F33" w:rsidRPr="00576299">
        <w:t>at later time points</w:t>
      </w:r>
      <w:r w:rsidR="00A25F5D" w:rsidRPr="00576299">
        <w:t xml:space="preserve"> </w:t>
      </w:r>
      <w:r w:rsidR="000E75F9" w:rsidRPr="00576299">
        <w:t>(</w:t>
      </w:r>
      <w:r w:rsidR="009B01CA" w:rsidRPr="00576299">
        <w:t>e.g. only five</w:t>
      </w:r>
      <w:r w:rsidR="000E75F9" w:rsidRPr="00576299">
        <w:t xml:space="preserve"> patients </w:t>
      </w:r>
      <w:r w:rsidR="009B01CA" w:rsidRPr="00576299">
        <w:t xml:space="preserve">remain at risk </w:t>
      </w:r>
      <w:r w:rsidR="000E75F9" w:rsidRPr="00576299">
        <w:t>at 48 months)</w:t>
      </w:r>
      <w:r w:rsidRPr="00576299">
        <w:t>.</w:t>
      </w:r>
    </w:p>
    <w:p w14:paraId="71A779AB" w14:textId="4469D787" w:rsidR="0092254A" w:rsidRPr="00576299" w:rsidRDefault="0092254A" w:rsidP="0092254A">
      <w:pPr>
        <w:pStyle w:val="3-BodyText"/>
      </w:pPr>
      <w:r w:rsidRPr="00576299">
        <w:t xml:space="preserve">For the comparison of dostarlimab and PEM+LEN or pembrolizumab monotherapy, the OS Kaplan-Meier curves of the relevant arms of the included trials and studies and key OS outcomes are presented in </w:t>
      </w:r>
      <w:r w:rsidR="000A7341" w:rsidRPr="00576299">
        <w:fldChar w:fldCharType="begin"/>
      </w:r>
      <w:r w:rsidR="000A7341" w:rsidRPr="00576299">
        <w:instrText xml:space="preserve"> REF _Ref111416320 \h </w:instrText>
      </w:r>
      <w:r w:rsidR="000A7341" w:rsidRPr="00576299">
        <w:fldChar w:fldCharType="separate"/>
      </w:r>
      <w:r w:rsidR="00CD09E9" w:rsidRPr="00576299">
        <w:t xml:space="preserve">Figure </w:t>
      </w:r>
      <w:r w:rsidR="00CD09E9">
        <w:rPr>
          <w:noProof/>
        </w:rPr>
        <w:t>2</w:t>
      </w:r>
      <w:r w:rsidR="000A7341" w:rsidRPr="00576299">
        <w:fldChar w:fldCharType="end"/>
      </w:r>
      <w:r w:rsidR="000A7341" w:rsidRPr="00576299">
        <w:t xml:space="preserve"> </w:t>
      </w:r>
      <w:r w:rsidRPr="00576299">
        <w:t xml:space="preserve">and </w:t>
      </w:r>
      <w:r w:rsidRPr="00576299">
        <w:fldChar w:fldCharType="begin"/>
      </w:r>
      <w:r w:rsidRPr="00576299">
        <w:instrText xml:space="preserve"> REF _Ref111416434 \h </w:instrText>
      </w:r>
      <w:r w:rsidRPr="00576299">
        <w:fldChar w:fldCharType="separate"/>
      </w:r>
      <w:r w:rsidR="00CD09E9" w:rsidRPr="00576299">
        <w:t xml:space="preserve">Table </w:t>
      </w:r>
      <w:r w:rsidR="00CD09E9">
        <w:rPr>
          <w:noProof/>
        </w:rPr>
        <w:t>7</w:t>
      </w:r>
      <w:r w:rsidRPr="00576299">
        <w:fldChar w:fldCharType="end"/>
      </w:r>
      <w:r w:rsidRPr="00576299">
        <w:t>.</w:t>
      </w:r>
    </w:p>
    <w:p w14:paraId="40F39B65" w14:textId="79491A13" w:rsidR="0092254A" w:rsidRPr="00576299" w:rsidRDefault="0092254A" w:rsidP="00640619">
      <w:pPr>
        <w:pStyle w:val="Caption"/>
        <w:tabs>
          <w:tab w:val="left" w:pos="7655"/>
        </w:tabs>
      </w:pPr>
      <w:bookmarkStart w:id="33" w:name="_Ref111416320"/>
      <w:r w:rsidRPr="00576299">
        <w:lastRenderedPageBreak/>
        <w:t xml:space="preserve">Figure </w:t>
      </w:r>
      <w:fldSimple w:instr=" SEQ Figure \* ARABIC ">
        <w:r w:rsidR="00CD09E9">
          <w:rPr>
            <w:noProof/>
          </w:rPr>
          <w:t>2</w:t>
        </w:r>
      </w:fldSimple>
      <w:bookmarkEnd w:id="33"/>
      <w:r w:rsidRPr="00576299">
        <w:t>: Dostarlimab vs pembrolizumab +/- lenvatinib naïve comparison: Kaplan-Meier OS curves from included trials</w:t>
      </w:r>
      <w:r w:rsidR="009B3400">
        <w:t>*</w:t>
      </w:r>
    </w:p>
    <w:p w14:paraId="5C9D46BC" w14:textId="4453FEDB" w:rsidR="0092254A" w:rsidRPr="00576299" w:rsidRDefault="0092254A" w:rsidP="0092254A">
      <w:pPr>
        <w:pStyle w:val="TableFooter"/>
        <w:rPr>
          <w:rStyle w:val="TableFooterChar"/>
        </w:rPr>
      </w:pPr>
      <w:r w:rsidRPr="00576299">
        <w:rPr>
          <w:noProof/>
        </w:rPr>
        <w:drawing>
          <wp:inline distT="0" distB="0" distL="0" distR="0" wp14:anchorId="7D14CF07" wp14:editId="61126EAC">
            <wp:extent cx="4495800" cy="2688096"/>
            <wp:effectExtent l="0" t="0" r="0" b="0"/>
            <wp:docPr id="8" name="Picture 8" descr="Figure 2: Dostarlimab vs pembrolizumab +/- lenvatinib naïve comparison: Kaplan-Meier OS curves from included t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2: Dostarlimab vs pembrolizumab +/- lenvatinib naïve comparison: Kaplan-Meier OS curves from included trial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37756" cy="2713182"/>
                    </a:xfrm>
                    <a:prstGeom prst="rect">
                      <a:avLst/>
                    </a:prstGeom>
                  </pic:spPr>
                </pic:pic>
              </a:graphicData>
            </a:graphic>
          </wp:inline>
        </w:drawing>
      </w:r>
    </w:p>
    <w:p w14:paraId="673B3D53" w14:textId="6C6E0926" w:rsidR="00C73213" w:rsidRPr="00576299" w:rsidRDefault="00C73213" w:rsidP="00322040">
      <w:pPr>
        <w:pStyle w:val="TableFooter"/>
        <w:tabs>
          <w:tab w:val="left" w:pos="7371"/>
        </w:tabs>
      </w:pPr>
      <w:r w:rsidRPr="00576299">
        <w:t>Source: Figure 34, p161 of the resubmission.</w:t>
      </w:r>
    </w:p>
    <w:p w14:paraId="2CD34BF7" w14:textId="2BB9EBA8" w:rsidR="00C73213" w:rsidRPr="00576299" w:rsidRDefault="00C73213" w:rsidP="00C73213">
      <w:pPr>
        <w:pStyle w:val="TableFooter"/>
      </w:pPr>
      <w:r w:rsidRPr="00576299">
        <w:t>dMMR = mismatch repair deficient; ITT = intention-to-treat.</w:t>
      </w:r>
    </w:p>
    <w:p w14:paraId="18AF7A5C" w14:textId="6BCC33A8" w:rsidR="0092254A" w:rsidRDefault="0092254A" w:rsidP="009B3400">
      <w:pPr>
        <w:pStyle w:val="TableFooter"/>
      </w:pPr>
      <w:r w:rsidRPr="00576299">
        <w:t>Note: OS curves were generated via the digitising of KM curves reported in: GARNET IA2 &amp; IA3 CSR; Makker 2022; O’Malley 2022.</w:t>
      </w:r>
    </w:p>
    <w:p w14:paraId="13E6A361" w14:textId="2B5F4A7C" w:rsidR="009B3400" w:rsidRDefault="009B3400" w:rsidP="009B3400">
      <w:pPr>
        <w:pStyle w:val="TableFooter"/>
        <w:rPr>
          <w:i/>
          <w:iCs/>
        </w:rPr>
      </w:pPr>
      <w:r>
        <w:t>*</w:t>
      </w:r>
      <w:r w:rsidRPr="009B3400">
        <w:t xml:space="preserve"> </w:t>
      </w:r>
      <w:r w:rsidRPr="009B3400">
        <w:rPr>
          <w:i/>
          <w:iCs/>
        </w:rPr>
        <w:t>Note that the Kaplan-Meier plots depicted in Figure 2 are presented specifically for the purposes of informing the PBAC consideration. Their interpretation and application should therefore be limited to seeking to understand the basis for the PBAC outcome and should not be used for any other purpose.</w:t>
      </w:r>
    </w:p>
    <w:p w14:paraId="01B935C4" w14:textId="77777777" w:rsidR="009B3400" w:rsidRPr="00576299" w:rsidRDefault="009B3400" w:rsidP="009B3400">
      <w:pPr>
        <w:pStyle w:val="TableFooter"/>
      </w:pPr>
    </w:p>
    <w:p w14:paraId="635207E6" w14:textId="25EF9049" w:rsidR="0092254A" w:rsidRPr="00576299" w:rsidRDefault="0092254A" w:rsidP="005F0D94">
      <w:pPr>
        <w:pStyle w:val="Caption"/>
        <w:widowControl w:val="0"/>
      </w:pPr>
      <w:bookmarkStart w:id="34" w:name="_Ref111416434"/>
      <w:r w:rsidRPr="00576299">
        <w:t xml:space="preserve">Table </w:t>
      </w:r>
      <w:fldSimple w:instr=" SEQ Table \* ARABIC ">
        <w:r w:rsidR="00CD09E9">
          <w:rPr>
            <w:noProof/>
          </w:rPr>
          <w:t>7</w:t>
        </w:r>
      </w:fldSimple>
      <w:bookmarkEnd w:id="34"/>
      <w:r w:rsidRPr="00576299">
        <w:t xml:space="preserve">: Dostarlimab vs pembrolizumab +/- lenvatinib naïve comparison: </w:t>
      </w:r>
      <w:r w:rsidRPr="00576299">
        <w:rPr>
          <w:szCs w:val="20"/>
        </w:rPr>
        <w:t>Summary of OS events in the relevant arms of included trials and 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91"/>
        <w:gridCol w:w="581"/>
        <w:gridCol w:w="993"/>
        <w:gridCol w:w="1134"/>
        <w:gridCol w:w="1701"/>
        <w:gridCol w:w="1273"/>
        <w:gridCol w:w="1058"/>
      </w:tblGrid>
      <w:tr w:rsidR="00BB2F99" w:rsidRPr="00576299" w14:paraId="4AFDB56C" w14:textId="527103CF" w:rsidTr="00C73213">
        <w:trPr>
          <w:trHeight w:val="20"/>
        </w:trPr>
        <w:tc>
          <w:tcPr>
            <w:tcW w:w="1386" w:type="dxa"/>
            <w:vAlign w:val="center"/>
          </w:tcPr>
          <w:p w14:paraId="0451EEA1" w14:textId="2018999D" w:rsidR="00BB2F99" w:rsidRPr="00576299" w:rsidRDefault="00BB2F99" w:rsidP="005F0D94">
            <w:pPr>
              <w:keepNext/>
              <w:keepLines/>
              <w:widowControl w:val="0"/>
              <w:rPr>
                <w:rFonts w:ascii="Arial Narrow" w:hAnsi="Arial Narrow" w:cs="Calibri"/>
                <w:b/>
                <w:bCs/>
                <w:sz w:val="20"/>
                <w:szCs w:val="20"/>
              </w:rPr>
            </w:pPr>
            <w:r w:rsidRPr="00576299">
              <w:rPr>
                <w:rFonts w:ascii="Arial Narrow" w:hAnsi="Arial Narrow" w:cs="Calibri"/>
                <w:b/>
                <w:bCs/>
                <w:sz w:val="20"/>
                <w:szCs w:val="20"/>
              </w:rPr>
              <w:t>Trial</w:t>
            </w:r>
          </w:p>
        </w:tc>
        <w:tc>
          <w:tcPr>
            <w:tcW w:w="891" w:type="dxa"/>
            <w:shd w:val="clear" w:color="auto" w:fill="auto"/>
            <w:noWrap/>
            <w:vAlign w:val="center"/>
            <w:hideMark/>
          </w:tcPr>
          <w:p w14:paraId="563C3A4E" w14:textId="5CDF929A" w:rsidR="00BB2F99" w:rsidRPr="00576299" w:rsidRDefault="00BB2F99" w:rsidP="005F0D94">
            <w:pPr>
              <w:keepNext/>
              <w:keepLines/>
              <w:widowControl w:val="0"/>
              <w:jc w:val="center"/>
              <w:rPr>
                <w:rFonts w:ascii="Arial Narrow" w:hAnsi="Arial Narrow" w:cs="Calibri"/>
                <w:b/>
                <w:bCs/>
                <w:sz w:val="20"/>
                <w:szCs w:val="20"/>
              </w:rPr>
            </w:pPr>
            <w:r w:rsidRPr="00576299">
              <w:rPr>
                <w:rFonts w:ascii="Arial Narrow" w:hAnsi="Arial Narrow" w:cs="Calibri"/>
                <w:b/>
                <w:bCs/>
                <w:sz w:val="20"/>
                <w:szCs w:val="20"/>
              </w:rPr>
              <w:t>Analysis set</w:t>
            </w:r>
          </w:p>
        </w:tc>
        <w:tc>
          <w:tcPr>
            <w:tcW w:w="581" w:type="dxa"/>
            <w:shd w:val="clear" w:color="auto" w:fill="auto"/>
            <w:noWrap/>
            <w:vAlign w:val="center"/>
            <w:hideMark/>
          </w:tcPr>
          <w:p w14:paraId="5F95956E" w14:textId="388AFFB9" w:rsidR="00BB2F99" w:rsidRPr="00576299" w:rsidRDefault="00BB2F99" w:rsidP="005F0D94">
            <w:pPr>
              <w:keepNext/>
              <w:keepLines/>
              <w:widowControl w:val="0"/>
              <w:jc w:val="center"/>
              <w:rPr>
                <w:rFonts w:ascii="Arial Narrow" w:hAnsi="Arial Narrow" w:cs="Calibri"/>
                <w:b/>
                <w:bCs/>
                <w:sz w:val="20"/>
                <w:szCs w:val="20"/>
              </w:rPr>
            </w:pPr>
            <w:r w:rsidRPr="00576299">
              <w:rPr>
                <w:rFonts w:ascii="Arial Narrow" w:hAnsi="Arial Narrow" w:cs="Calibri"/>
                <w:b/>
                <w:bCs/>
                <w:sz w:val="20"/>
                <w:szCs w:val="20"/>
              </w:rPr>
              <w:t>N</w:t>
            </w:r>
          </w:p>
        </w:tc>
        <w:tc>
          <w:tcPr>
            <w:tcW w:w="993" w:type="dxa"/>
            <w:shd w:val="clear" w:color="auto" w:fill="auto"/>
            <w:noWrap/>
            <w:vAlign w:val="center"/>
            <w:hideMark/>
          </w:tcPr>
          <w:p w14:paraId="089287AA" w14:textId="3FEF9F78" w:rsidR="00BB2F99" w:rsidRPr="00576299" w:rsidRDefault="00BB2F99" w:rsidP="005F0D94">
            <w:pPr>
              <w:keepNext/>
              <w:keepLines/>
              <w:widowControl w:val="0"/>
              <w:jc w:val="center"/>
              <w:rPr>
                <w:rFonts w:ascii="Arial Narrow" w:hAnsi="Arial Narrow" w:cs="Calibri"/>
                <w:b/>
                <w:bCs/>
                <w:sz w:val="20"/>
                <w:szCs w:val="20"/>
              </w:rPr>
            </w:pPr>
            <w:r w:rsidRPr="00576299">
              <w:rPr>
                <w:rFonts w:ascii="Arial Narrow" w:hAnsi="Arial Narrow" w:cs="Calibri"/>
                <w:b/>
                <w:bCs/>
                <w:sz w:val="20"/>
                <w:szCs w:val="20"/>
              </w:rPr>
              <w:t>Deaths, n (%)</w:t>
            </w:r>
          </w:p>
        </w:tc>
        <w:tc>
          <w:tcPr>
            <w:tcW w:w="1134" w:type="dxa"/>
            <w:shd w:val="clear" w:color="auto" w:fill="auto"/>
            <w:noWrap/>
            <w:vAlign w:val="center"/>
            <w:hideMark/>
          </w:tcPr>
          <w:p w14:paraId="786B2B0B" w14:textId="4222D247" w:rsidR="00BB2F99" w:rsidRPr="00576299" w:rsidRDefault="00BB2F99" w:rsidP="005F0D94">
            <w:pPr>
              <w:keepNext/>
              <w:keepLines/>
              <w:widowControl w:val="0"/>
              <w:jc w:val="center"/>
              <w:rPr>
                <w:rFonts w:ascii="Arial Narrow" w:hAnsi="Arial Narrow" w:cs="Calibri"/>
                <w:b/>
                <w:bCs/>
                <w:sz w:val="20"/>
                <w:szCs w:val="20"/>
              </w:rPr>
            </w:pPr>
            <w:r w:rsidRPr="00576299">
              <w:rPr>
                <w:rFonts w:ascii="Arial Narrow" w:hAnsi="Arial Narrow" w:cs="Calibri"/>
                <w:b/>
                <w:bCs/>
                <w:sz w:val="20"/>
                <w:szCs w:val="20"/>
              </w:rPr>
              <w:t xml:space="preserve">Censored, </w:t>
            </w:r>
          </w:p>
          <w:p w14:paraId="425F3E3B" w14:textId="3E6031C0" w:rsidR="00BB2F99" w:rsidRPr="00576299" w:rsidRDefault="00BB2F99" w:rsidP="005F0D94">
            <w:pPr>
              <w:keepNext/>
              <w:keepLines/>
              <w:widowControl w:val="0"/>
              <w:jc w:val="center"/>
              <w:rPr>
                <w:rFonts w:ascii="Arial Narrow" w:hAnsi="Arial Narrow" w:cs="Calibri"/>
                <w:b/>
                <w:bCs/>
                <w:sz w:val="20"/>
                <w:szCs w:val="20"/>
              </w:rPr>
            </w:pPr>
            <w:r w:rsidRPr="00576299">
              <w:rPr>
                <w:rFonts w:ascii="Arial Narrow" w:hAnsi="Arial Narrow" w:cs="Calibri"/>
                <w:b/>
                <w:bCs/>
                <w:sz w:val="20"/>
                <w:szCs w:val="20"/>
              </w:rPr>
              <w:t>n (%)</w:t>
            </w:r>
          </w:p>
        </w:tc>
        <w:tc>
          <w:tcPr>
            <w:tcW w:w="1701" w:type="dxa"/>
            <w:shd w:val="clear" w:color="auto" w:fill="auto"/>
            <w:noWrap/>
            <w:vAlign w:val="center"/>
            <w:hideMark/>
          </w:tcPr>
          <w:p w14:paraId="5AE33360" w14:textId="32703B76" w:rsidR="00BB2F99" w:rsidRPr="00576299" w:rsidRDefault="00BB2F99" w:rsidP="005F0D94">
            <w:pPr>
              <w:keepNext/>
              <w:keepLines/>
              <w:widowControl w:val="0"/>
              <w:jc w:val="center"/>
              <w:rPr>
                <w:rFonts w:ascii="Arial Narrow" w:hAnsi="Arial Narrow" w:cs="Calibri"/>
                <w:b/>
                <w:bCs/>
                <w:sz w:val="20"/>
                <w:szCs w:val="20"/>
              </w:rPr>
            </w:pPr>
            <w:r w:rsidRPr="00576299">
              <w:rPr>
                <w:rFonts w:ascii="Arial Narrow" w:hAnsi="Arial Narrow" w:cs="Calibri"/>
                <w:b/>
                <w:bCs/>
                <w:sz w:val="20"/>
                <w:szCs w:val="20"/>
              </w:rPr>
              <w:t>Median, months (95%CI)</w:t>
            </w:r>
          </w:p>
        </w:tc>
        <w:tc>
          <w:tcPr>
            <w:tcW w:w="1273" w:type="dxa"/>
          </w:tcPr>
          <w:p w14:paraId="5936D0D3" w14:textId="0D1A9614" w:rsidR="00BB2F99" w:rsidRPr="00576299" w:rsidRDefault="00DD59F1" w:rsidP="005F0D94">
            <w:pPr>
              <w:keepNext/>
              <w:keepLines/>
              <w:widowControl w:val="0"/>
              <w:jc w:val="center"/>
              <w:rPr>
                <w:rFonts w:ascii="Arial Narrow" w:hAnsi="Arial Narrow" w:cs="Calibri"/>
                <w:b/>
                <w:bCs/>
                <w:sz w:val="20"/>
                <w:szCs w:val="20"/>
              </w:rPr>
            </w:pPr>
            <w:r w:rsidRPr="00576299">
              <w:rPr>
                <w:rFonts w:ascii="Arial Narrow" w:hAnsi="Arial Narrow" w:cs="Calibri"/>
                <w:b/>
                <w:bCs/>
                <w:sz w:val="20"/>
                <w:szCs w:val="20"/>
              </w:rPr>
              <w:t>12-month</w:t>
            </w:r>
            <w:r w:rsidR="00BB2F99" w:rsidRPr="00576299">
              <w:rPr>
                <w:rFonts w:ascii="Arial Narrow" w:hAnsi="Arial Narrow" w:cs="Calibri"/>
                <w:b/>
                <w:bCs/>
                <w:sz w:val="20"/>
                <w:szCs w:val="20"/>
              </w:rPr>
              <w:t xml:space="preserve"> survival %</w:t>
            </w:r>
          </w:p>
        </w:tc>
        <w:tc>
          <w:tcPr>
            <w:tcW w:w="1058" w:type="dxa"/>
          </w:tcPr>
          <w:p w14:paraId="26F61E86" w14:textId="70178C5F" w:rsidR="00BB2F99" w:rsidRPr="00576299" w:rsidRDefault="00DD59F1" w:rsidP="005F0D94">
            <w:pPr>
              <w:keepNext/>
              <w:keepLines/>
              <w:widowControl w:val="0"/>
              <w:jc w:val="center"/>
              <w:rPr>
                <w:rFonts w:ascii="Arial Narrow" w:hAnsi="Arial Narrow" w:cs="Calibri"/>
                <w:b/>
                <w:bCs/>
                <w:sz w:val="20"/>
                <w:szCs w:val="20"/>
              </w:rPr>
            </w:pPr>
            <w:r w:rsidRPr="00576299">
              <w:rPr>
                <w:rFonts w:ascii="Arial Narrow" w:hAnsi="Arial Narrow" w:cs="Calibri"/>
                <w:b/>
                <w:bCs/>
                <w:sz w:val="20"/>
                <w:szCs w:val="20"/>
              </w:rPr>
              <w:t>24-month</w:t>
            </w:r>
            <w:r w:rsidR="00BB2F99" w:rsidRPr="00576299">
              <w:rPr>
                <w:rFonts w:ascii="Arial Narrow" w:hAnsi="Arial Narrow" w:cs="Calibri"/>
                <w:b/>
                <w:bCs/>
                <w:sz w:val="20"/>
                <w:szCs w:val="20"/>
              </w:rPr>
              <w:t xml:space="preserve"> survival %</w:t>
            </w:r>
          </w:p>
        </w:tc>
      </w:tr>
      <w:tr w:rsidR="00BB2F99" w:rsidRPr="00576299" w14:paraId="06734726" w14:textId="1A254F87" w:rsidTr="00C73213">
        <w:trPr>
          <w:trHeight w:val="20"/>
        </w:trPr>
        <w:tc>
          <w:tcPr>
            <w:tcW w:w="6686" w:type="dxa"/>
            <w:gridSpan w:val="6"/>
            <w:vAlign w:val="center"/>
          </w:tcPr>
          <w:p w14:paraId="0225D9AA" w14:textId="64ABA80F" w:rsidR="00BB2F99" w:rsidRPr="00576299" w:rsidRDefault="00BB2F99" w:rsidP="005F0D94">
            <w:pPr>
              <w:keepNext/>
              <w:keepLines/>
              <w:widowControl w:val="0"/>
              <w:rPr>
                <w:rFonts w:ascii="Arial Narrow" w:hAnsi="Arial Narrow" w:cs="Calibri"/>
                <w:b/>
                <w:bCs/>
                <w:sz w:val="20"/>
                <w:szCs w:val="20"/>
              </w:rPr>
            </w:pPr>
            <w:r w:rsidRPr="00576299">
              <w:rPr>
                <w:rFonts w:ascii="Arial Narrow" w:hAnsi="Arial Narrow" w:cs="Calibri"/>
                <w:b/>
                <w:bCs/>
                <w:sz w:val="20"/>
                <w:szCs w:val="20"/>
              </w:rPr>
              <w:t>Dostarlimab</w:t>
            </w:r>
          </w:p>
        </w:tc>
        <w:tc>
          <w:tcPr>
            <w:tcW w:w="1273" w:type="dxa"/>
          </w:tcPr>
          <w:p w14:paraId="011BF1AE" w14:textId="285B469B" w:rsidR="00BB2F99" w:rsidRPr="00576299" w:rsidRDefault="00BB2F99" w:rsidP="005F0D94">
            <w:pPr>
              <w:keepNext/>
              <w:keepLines/>
              <w:widowControl w:val="0"/>
              <w:rPr>
                <w:rFonts w:ascii="Arial Narrow" w:hAnsi="Arial Narrow" w:cs="Calibri"/>
                <w:sz w:val="20"/>
                <w:szCs w:val="20"/>
              </w:rPr>
            </w:pPr>
          </w:p>
        </w:tc>
        <w:tc>
          <w:tcPr>
            <w:tcW w:w="1058" w:type="dxa"/>
          </w:tcPr>
          <w:p w14:paraId="2813460E" w14:textId="50B06526" w:rsidR="00BB2F99" w:rsidRPr="00576299" w:rsidRDefault="00BB2F99" w:rsidP="005F0D94">
            <w:pPr>
              <w:keepNext/>
              <w:keepLines/>
              <w:widowControl w:val="0"/>
              <w:rPr>
                <w:rFonts w:ascii="Arial Narrow" w:hAnsi="Arial Narrow" w:cs="Calibri"/>
                <w:sz w:val="20"/>
                <w:szCs w:val="20"/>
              </w:rPr>
            </w:pPr>
          </w:p>
        </w:tc>
      </w:tr>
      <w:tr w:rsidR="00BB2F99" w:rsidRPr="00576299" w14:paraId="6145CC7A" w14:textId="51E12474" w:rsidTr="00091C93">
        <w:trPr>
          <w:trHeight w:val="20"/>
        </w:trPr>
        <w:tc>
          <w:tcPr>
            <w:tcW w:w="1386" w:type="dxa"/>
            <w:vMerge w:val="restart"/>
            <w:vAlign w:val="center"/>
          </w:tcPr>
          <w:p w14:paraId="0F7D28C1" w14:textId="604237DF" w:rsidR="00BB2F99" w:rsidRPr="00576299" w:rsidRDefault="00BB2F99" w:rsidP="005F0D94">
            <w:pPr>
              <w:keepNext/>
              <w:keepLines/>
              <w:widowControl w:val="0"/>
              <w:rPr>
                <w:rFonts w:ascii="Arial Narrow" w:hAnsi="Arial Narrow" w:cs="Calibri"/>
                <w:sz w:val="20"/>
                <w:szCs w:val="20"/>
              </w:rPr>
            </w:pPr>
            <w:r w:rsidRPr="00576299">
              <w:rPr>
                <w:rFonts w:ascii="Arial Narrow" w:hAnsi="Arial Narrow" w:cs="Calibri"/>
                <w:sz w:val="20"/>
                <w:szCs w:val="20"/>
              </w:rPr>
              <w:t>GARNET Cohort A1</w:t>
            </w:r>
          </w:p>
        </w:tc>
        <w:tc>
          <w:tcPr>
            <w:tcW w:w="891" w:type="dxa"/>
            <w:shd w:val="clear" w:color="auto" w:fill="auto"/>
            <w:noWrap/>
            <w:vAlign w:val="center"/>
            <w:hideMark/>
          </w:tcPr>
          <w:p w14:paraId="4F9128D3" w14:textId="59953564" w:rsidR="00BB2F99" w:rsidRPr="00576299" w:rsidRDefault="00BB2F99" w:rsidP="005F0D94">
            <w:pPr>
              <w:keepNext/>
              <w:keepLines/>
              <w:widowControl w:val="0"/>
              <w:jc w:val="center"/>
              <w:rPr>
                <w:rFonts w:ascii="Arial Narrow" w:hAnsi="Arial Narrow" w:cs="Calibri"/>
                <w:sz w:val="20"/>
                <w:szCs w:val="20"/>
              </w:rPr>
            </w:pPr>
            <w:r w:rsidRPr="00576299">
              <w:rPr>
                <w:rFonts w:ascii="Arial Narrow" w:hAnsi="Arial Narrow" w:cs="Calibri"/>
                <w:sz w:val="20"/>
                <w:szCs w:val="20"/>
              </w:rPr>
              <w:t>ITT</w:t>
            </w:r>
          </w:p>
        </w:tc>
        <w:tc>
          <w:tcPr>
            <w:tcW w:w="581" w:type="dxa"/>
            <w:shd w:val="clear" w:color="auto" w:fill="C6D9F1" w:themeFill="text2" w:themeFillTint="33"/>
            <w:noWrap/>
            <w:vAlign w:val="bottom"/>
            <w:hideMark/>
          </w:tcPr>
          <w:p w14:paraId="0ED80B66" w14:textId="20E22B49" w:rsidR="00BB2F99" w:rsidRPr="00576299" w:rsidRDefault="00BB2F99" w:rsidP="005F0D94">
            <w:pPr>
              <w:keepNext/>
              <w:keepLines/>
              <w:widowControl w:val="0"/>
              <w:jc w:val="center"/>
              <w:rPr>
                <w:rFonts w:ascii="Arial Narrow" w:hAnsi="Arial Narrow" w:cs="Calibri"/>
                <w:sz w:val="20"/>
                <w:szCs w:val="20"/>
              </w:rPr>
            </w:pPr>
            <w:r w:rsidRPr="00576299">
              <w:rPr>
                <w:rFonts w:ascii="Arial Narrow" w:hAnsi="Arial Narrow" w:cs="Calibri"/>
                <w:color w:val="000000"/>
                <w:sz w:val="20"/>
                <w:szCs w:val="20"/>
              </w:rPr>
              <w:t>153</w:t>
            </w:r>
          </w:p>
        </w:tc>
        <w:tc>
          <w:tcPr>
            <w:tcW w:w="993" w:type="dxa"/>
            <w:shd w:val="clear" w:color="auto" w:fill="C6D9F1" w:themeFill="text2" w:themeFillTint="33"/>
            <w:noWrap/>
            <w:vAlign w:val="bottom"/>
          </w:tcPr>
          <w:p w14:paraId="1139F0AB" w14:textId="5670553F" w:rsidR="00BB2F99" w:rsidRPr="00576299" w:rsidRDefault="00BB2F99" w:rsidP="005F0D94">
            <w:pPr>
              <w:keepNext/>
              <w:keepLines/>
              <w:widowControl w:val="0"/>
              <w:jc w:val="center"/>
              <w:rPr>
                <w:rFonts w:ascii="Arial Narrow" w:hAnsi="Arial Narrow" w:cs="Calibri"/>
                <w:sz w:val="20"/>
                <w:szCs w:val="20"/>
              </w:rPr>
            </w:pPr>
            <w:r w:rsidRPr="00576299">
              <w:rPr>
                <w:rFonts w:ascii="Arial Narrow" w:hAnsi="Arial Narrow" w:cs="Calibri"/>
                <w:color w:val="000000"/>
                <w:sz w:val="20"/>
                <w:szCs w:val="20"/>
              </w:rPr>
              <w:t>57 (37.3)</w:t>
            </w:r>
          </w:p>
        </w:tc>
        <w:tc>
          <w:tcPr>
            <w:tcW w:w="1134" w:type="dxa"/>
            <w:shd w:val="clear" w:color="auto" w:fill="auto"/>
            <w:noWrap/>
            <w:vAlign w:val="bottom"/>
          </w:tcPr>
          <w:p w14:paraId="76D294D4" w14:textId="79FD670F" w:rsidR="00BB2F99" w:rsidRPr="00576299" w:rsidRDefault="00BB2F99" w:rsidP="005F0D94">
            <w:pPr>
              <w:keepNext/>
              <w:keepLines/>
              <w:widowControl w:val="0"/>
              <w:jc w:val="center"/>
              <w:rPr>
                <w:rFonts w:ascii="Arial Narrow" w:hAnsi="Arial Narrow" w:cs="Calibri"/>
                <w:sz w:val="20"/>
                <w:szCs w:val="20"/>
              </w:rPr>
            </w:pPr>
            <w:r w:rsidRPr="00576299">
              <w:rPr>
                <w:rFonts w:ascii="Arial Narrow" w:hAnsi="Arial Narrow" w:cs="Calibri"/>
                <w:color w:val="000000"/>
                <w:sz w:val="20"/>
                <w:szCs w:val="20"/>
              </w:rPr>
              <w:t>96 (62.7)</w:t>
            </w:r>
          </w:p>
        </w:tc>
        <w:tc>
          <w:tcPr>
            <w:tcW w:w="1701" w:type="dxa"/>
            <w:shd w:val="clear" w:color="auto" w:fill="C6D9F1" w:themeFill="text2" w:themeFillTint="33"/>
            <w:noWrap/>
            <w:vAlign w:val="center"/>
          </w:tcPr>
          <w:p w14:paraId="07A47883" w14:textId="655EA4A1" w:rsidR="00BB2F99" w:rsidRPr="00576299" w:rsidRDefault="00BB2F99" w:rsidP="005F0D94">
            <w:pPr>
              <w:keepNext/>
              <w:keepLines/>
              <w:widowControl w:val="0"/>
              <w:jc w:val="center"/>
              <w:rPr>
                <w:rFonts w:ascii="Arial Narrow" w:hAnsi="Arial Narrow" w:cs="Calibri"/>
                <w:sz w:val="20"/>
                <w:szCs w:val="20"/>
              </w:rPr>
            </w:pPr>
            <w:r w:rsidRPr="00576299">
              <w:rPr>
                <w:rFonts w:ascii="Arial Narrow" w:hAnsi="Arial Narrow" w:cs="Calibri"/>
                <w:sz w:val="20"/>
                <w:szCs w:val="20"/>
              </w:rPr>
              <w:t>NR (27.1, NR)</w:t>
            </w:r>
          </w:p>
        </w:tc>
        <w:tc>
          <w:tcPr>
            <w:tcW w:w="1273" w:type="dxa"/>
          </w:tcPr>
          <w:p w14:paraId="4BAFF7DB" w14:textId="47B0968F" w:rsidR="00BB2F99" w:rsidRPr="00576299" w:rsidRDefault="00BB2F99" w:rsidP="005F0D94">
            <w:pPr>
              <w:keepNext/>
              <w:keepLines/>
              <w:widowControl w:val="0"/>
              <w:jc w:val="center"/>
              <w:rPr>
                <w:rFonts w:ascii="Arial Narrow" w:hAnsi="Arial Narrow" w:cs="Calibri"/>
                <w:sz w:val="20"/>
                <w:szCs w:val="20"/>
              </w:rPr>
            </w:pPr>
            <w:r w:rsidRPr="00576299">
              <w:rPr>
                <w:rFonts w:ascii="Arial Narrow" w:hAnsi="Arial Narrow"/>
                <w:sz w:val="20"/>
                <w:szCs w:val="20"/>
              </w:rPr>
              <w:t>73.3</w:t>
            </w:r>
          </w:p>
        </w:tc>
        <w:tc>
          <w:tcPr>
            <w:tcW w:w="1058" w:type="dxa"/>
          </w:tcPr>
          <w:p w14:paraId="38C4643A" w14:textId="452259F0" w:rsidR="00BB2F99" w:rsidRPr="00576299" w:rsidRDefault="00BB2F99" w:rsidP="005F0D94">
            <w:pPr>
              <w:keepNext/>
              <w:keepLines/>
              <w:widowControl w:val="0"/>
              <w:jc w:val="center"/>
              <w:rPr>
                <w:rFonts w:ascii="Arial Narrow" w:hAnsi="Arial Narrow" w:cs="Calibri"/>
                <w:sz w:val="20"/>
                <w:szCs w:val="20"/>
              </w:rPr>
            </w:pPr>
            <w:r w:rsidRPr="00576299">
              <w:rPr>
                <w:rFonts w:ascii="Arial Narrow" w:hAnsi="Arial Narrow"/>
                <w:sz w:val="20"/>
                <w:szCs w:val="20"/>
              </w:rPr>
              <w:t xml:space="preserve">60.5 </w:t>
            </w:r>
            <w:r w:rsidRPr="00576299">
              <w:rPr>
                <w:rFonts w:ascii="Arial Narrow" w:hAnsi="Arial Narrow"/>
                <w:sz w:val="20"/>
                <w:szCs w:val="20"/>
                <w:vertAlign w:val="superscript"/>
              </w:rPr>
              <w:t>a</w:t>
            </w:r>
          </w:p>
        </w:tc>
      </w:tr>
      <w:tr w:rsidR="00BB2F99" w:rsidRPr="00576299" w14:paraId="5823077E" w14:textId="3C529318" w:rsidTr="00C73213">
        <w:trPr>
          <w:trHeight w:val="20"/>
        </w:trPr>
        <w:tc>
          <w:tcPr>
            <w:tcW w:w="1386" w:type="dxa"/>
            <w:vMerge/>
            <w:vAlign w:val="center"/>
          </w:tcPr>
          <w:p w14:paraId="4DC24221" w14:textId="45404EEE" w:rsidR="00BB2F99" w:rsidRPr="00576299" w:rsidRDefault="00BB2F99" w:rsidP="005F0D94">
            <w:pPr>
              <w:keepNext/>
              <w:keepLines/>
              <w:widowControl w:val="0"/>
              <w:rPr>
                <w:rFonts w:ascii="Arial Narrow" w:hAnsi="Arial Narrow" w:cs="Calibri"/>
                <w:sz w:val="20"/>
                <w:szCs w:val="20"/>
              </w:rPr>
            </w:pPr>
          </w:p>
        </w:tc>
        <w:tc>
          <w:tcPr>
            <w:tcW w:w="891" w:type="dxa"/>
            <w:shd w:val="clear" w:color="auto" w:fill="auto"/>
            <w:noWrap/>
            <w:vAlign w:val="center"/>
            <w:hideMark/>
          </w:tcPr>
          <w:p w14:paraId="306FD5B7" w14:textId="3BCADD7B" w:rsidR="00BB2F99" w:rsidRPr="00576299" w:rsidRDefault="00BB2F99" w:rsidP="005F0D94">
            <w:pPr>
              <w:keepNext/>
              <w:keepLines/>
              <w:widowControl w:val="0"/>
              <w:jc w:val="center"/>
              <w:rPr>
                <w:rFonts w:ascii="Arial Narrow" w:hAnsi="Arial Narrow" w:cs="Calibri"/>
                <w:sz w:val="20"/>
                <w:szCs w:val="20"/>
              </w:rPr>
            </w:pPr>
            <w:r w:rsidRPr="00576299">
              <w:rPr>
                <w:rFonts w:ascii="Arial Narrow" w:hAnsi="Arial Narrow" w:cs="Calibri"/>
                <w:sz w:val="20"/>
                <w:szCs w:val="20"/>
              </w:rPr>
              <w:t>PES</w:t>
            </w:r>
          </w:p>
        </w:tc>
        <w:tc>
          <w:tcPr>
            <w:tcW w:w="581" w:type="dxa"/>
            <w:shd w:val="clear" w:color="auto" w:fill="auto"/>
            <w:noWrap/>
            <w:vAlign w:val="bottom"/>
            <w:hideMark/>
          </w:tcPr>
          <w:p w14:paraId="4D668C45" w14:textId="3217D073" w:rsidR="00BB2F99" w:rsidRPr="00576299" w:rsidRDefault="00BB2F99" w:rsidP="005F0D94">
            <w:pPr>
              <w:keepNext/>
              <w:keepLines/>
              <w:widowControl w:val="0"/>
              <w:jc w:val="center"/>
              <w:rPr>
                <w:rFonts w:ascii="Arial Narrow" w:hAnsi="Arial Narrow" w:cs="Calibri"/>
                <w:sz w:val="20"/>
                <w:szCs w:val="20"/>
              </w:rPr>
            </w:pPr>
            <w:r w:rsidRPr="00576299">
              <w:rPr>
                <w:rFonts w:ascii="Arial Narrow" w:hAnsi="Arial Narrow" w:cs="Calibri"/>
                <w:color w:val="000000"/>
                <w:sz w:val="20"/>
                <w:szCs w:val="20"/>
              </w:rPr>
              <w:t>143</w:t>
            </w:r>
          </w:p>
        </w:tc>
        <w:tc>
          <w:tcPr>
            <w:tcW w:w="993" w:type="dxa"/>
            <w:shd w:val="clear" w:color="auto" w:fill="auto"/>
            <w:noWrap/>
            <w:vAlign w:val="bottom"/>
          </w:tcPr>
          <w:p w14:paraId="72201525" w14:textId="065E2578" w:rsidR="00BB2F99" w:rsidRPr="00576299" w:rsidRDefault="00BB2F99" w:rsidP="005F0D94">
            <w:pPr>
              <w:keepNext/>
              <w:keepLines/>
              <w:widowControl w:val="0"/>
              <w:jc w:val="center"/>
              <w:rPr>
                <w:rFonts w:ascii="Arial Narrow" w:hAnsi="Arial Narrow" w:cs="Calibri"/>
                <w:sz w:val="20"/>
                <w:szCs w:val="20"/>
              </w:rPr>
            </w:pPr>
            <w:r w:rsidRPr="00576299">
              <w:rPr>
                <w:rFonts w:ascii="Arial Narrow" w:hAnsi="Arial Narrow" w:cs="Calibri"/>
                <w:color w:val="000000"/>
                <w:sz w:val="20"/>
                <w:szCs w:val="20"/>
              </w:rPr>
              <w:t>55 (38.5)</w:t>
            </w:r>
          </w:p>
        </w:tc>
        <w:tc>
          <w:tcPr>
            <w:tcW w:w="1134" w:type="dxa"/>
            <w:shd w:val="clear" w:color="auto" w:fill="auto"/>
            <w:noWrap/>
            <w:vAlign w:val="bottom"/>
          </w:tcPr>
          <w:p w14:paraId="53D823BA" w14:textId="20739851" w:rsidR="00BB2F99" w:rsidRPr="00576299" w:rsidRDefault="00BB2F99" w:rsidP="005F0D94">
            <w:pPr>
              <w:keepNext/>
              <w:keepLines/>
              <w:widowControl w:val="0"/>
              <w:jc w:val="center"/>
              <w:rPr>
                <w:rFonts w:ascii="Arial Narrow" w:hAnsi="Arial Narrow" w:cs="Calibri"/>
                <w:sz w:val="20"/>
                <w:szCs w:val="20"/>
              </w:rPr>
            </w:pPr>
            <w:r w:rsidRPr="00576299">
              <w:rPr>
                <w:rFonts w:ascii="Arial Narrow" w:hAnsi="Arial Narrow" w:cs="Calibri"/>
                <w:color w:val="000000"/>
                <w:sz w:val="20"/>
                <w:szCs w:val="20"/>
              </w:rPr>
              <w:t>88 (61.5)</w:t>
            </w:r>
          </w:p>
        </w:tc>
        <w:tc>
          <w:tcPr>
            <w:tcW w:w="1701" w:type="dxa"/>
            <w:shd w:val="clear" w:color="auto" w:fill="auto"/>
            <w:noWrap/>
            <w:vAlign w:val="center"/>
          </w:tcPr>
          <w:p w14:paraId="25DF7701" w14:textId="5D8EBE9B" w:rsidR="00BB2F99" w:rsidRPr="00576299" w:rsidRDefault="00BB2F99" w:rsidP="005F0D94">
            <w:pPr>
              <w:keepNext/>
              <w:keepLines/>
              <w:widowControl w:val="0"/>
              <w:jc w:val="center"/>
              <w:rPr>
                <w:rFonts w:ascii="Arial Narrow" w:hAnsi="Arial Narrow" w:cs="Calibri"/>
                <w:sz w:val="20"/>
                <w:szCs w:val="20"/>
              </w:rPr>
            </w:pPr>
            <w:r w:rsidRPr="00576299">
              <w:rPr>
                <w:rFonts w:ascii="Arial Narrow" w:hAnsi="Arial Narrow" w:cs="Calibri"/>
                <w:sz w:val="20"/>
                <w:szCs w:val="20"/>
              </w:rPr>
              <w:t>NR (25.7, NR)</w:t>
            </w:r>
          </w:p>
        </w:tc>
        <w:tc>
          <w:tcPr>
            <w:tcW w:w="1273" w:type="dxa"/>
          </w:tcPr>
          <w:p w14:paraId="08E53270" w14:textId="6C92E90F" w:rsidR="00BB2F99" w:rsidRPr="00576299" w:rsidRDefault="00BB2F99" w:rsidP="005F0D94">
            <w:pPr>
              <w:keepNext/>
              <w:keepLines/>
              <w:widowControl w:val="0"/>
              <w:jc w:val="center"/>
              <w:rPr>
                <w:rFonts w:ascii="Arial Narrow" w:hAnsi="Arial Narrow" w:cs="Calibri"/>
                <w:sz w:val="20"/>
                <w:szCs w:val="20"/>
              </w:rPr>
            </w:pPr>
            <w:r w:rsidRPr="00576299">
              <w:rPr>
                <w:rFonts w:ascii="Arial Narrow" w:hAnsi="Arial Narrow"/>
                <w:sz w:val="20"/>
                <w:szCs w:val="20"/>
              </w:rPr>
              <w:t>71.4</w:t>
            </w:r>
          </w:p>
        </w:tc>
        <w:tc>
          <w:tcPr>
            <w:tcW w:w="1058" w:type="dxa"/>
          </w:tcPr>
          <w:p w14:paraId="5BCCBAB1" w14:textId="05A59505" w:rsidR="00BB2F99" w:rsidRPr="00576299" w:rsidRDefault="00BB2F99" w:rsidP="005F0D94">
            <w:pPr>
              <w:keepNext/>
              <w:keepLines/>
              <w:widowControl w:val="0"/>
              <w:jc w:val="center"/>
              <w:rPr>
                <w:rFonts w:ascii="Arial Narrow" w:hAnsi="Arial Narrow" w:cs="Calibri"/>
                <w:sz w:val="20"/>
                <w:szCs w:val="20"/>
              </w:rPr>
            </w:pPr>
            <w:r w:rsidRPr="00576299">
              <w:rPr>
                <w:rFonts w:ascii="Arial Narrow" w:hAnsi="Arial Narrow"/>
                <w:sz w:val="20"/>
                <w:szCs w:val="20"/>
              </w:rPr>
              <w:t xml:space="preserve">59.8 </w:t>
            </w:r>
            <w:r w:rsidRPr="00576299">
              <w:rPr>
                <w:rFonts w:ascii="Arial Narrow" w:hAnsi="Arial Narrow"/>
                <w:sz w:val="20"/>
                <w:szCs w:val="20"/>
                <w:vertAlign w:val="superscript"/>
              </w:rPr>
              <w:t>a</w:t>
            </w:r>
          </w:p>
        </w:tc>
      </w:tr>
      <w:tr w:rsidR="00BB2F99" w:rsidRPr="00576299" w14:paraId="33A9BDB9" w14:textId="10B0B5D3" w:rsidTr="00C73213">
        <w:trPr>
          <w:trHeight w:val="20"/>
        </w:trPr>
        <w:tc>
          <w:tcPr>
            <w:tcW w:w="9017" w:type="dxa"/>
            <w:gridSpan w:val="8"/>
            <w:vAlign w:val="center"/>
          </w:tcPr>
          <w:p w14:paraId="1120D576" w14:textId="60B4BC82" w:rsidR="00BB2F99" w:rsidRPr="00576299" w:rsidRDefault="00BB2F99" w:rsidP="005F0D94">
            <w:pPr>
              <w:keepNext/>
              <w:keepLines/>
              <w:widowControl w:val="0"/>
              <w:rPr>
                <w:rFonts w:ascii="Arial Narrow" w:hAnsi="Arial Narrow" w:cs="Calibri"/>
                <w:b/>
                <w:bCs/>
                <w:sz w:val="20"/>
                <w:szCs w:val="20"/>
              </w:rPr>
            </w:pPr>
            <w:r w:rsidRPr="00576299">
              <w:rPr>
                <w:rFonts w:ascii="Arial Narrow" w:hAnsi="Arial Narrow" w:cs="Calibri"/>
                <w:b/>
                <w:bCs/>
                <w:sz w:val="20"/>
                <w:szCs w:val="20"/>
              </w:rPr>
              <w:t xml:space="preserve">Pembrolizumab + Lenvatinib </w:t>
            </w:r>
          </w:p>
        </w:tc>
      </w:tr>
      <w:tr w:rsidR="00BB2F99" w:rsidRPr="00576299" w14:paraId="19775843" w14:textId="459F3DE6" w:rsidTr="00C67E85">
        <w:trPr>
          <w:trHeight w:val="20"/>
        </w:trPr>
        <w:tc>
          <w:tcPr>
            <w:tcW w:w="1386" w:type="dxa"/>
            <w:vMerge w:val="restart"/>
            <w:vAlign w:val="center"/>
          </w:tcPr>
          <w:p w14:paraId="11E04258" w14:textId="2A4C23F0" w:rsidR="00BB2F99" w:rsidRPr="00576299" w:rsidRDefault="00BB2F99" w:rsidP="005F0D94">
            <w:pPr>
              <w:keepNext/>
              <w:keepLines/>
              <w:widowControl w:val="0"/>
              <w:rPr>
                <w:rFonts w:ascii="Arial Narrow" w:hAnsi="Arial Narrow" w:cs="Calibri"/>
                <w:sz w:val="20"/>
                <w:szCs w:val="20"/>
              </w:rPr>
            </w:pPr>
            <w:r w:rsidRPr="00576299">
              <w:rPr>
                <w:rFonts w:ascii="Arial Narrow" w:hAnsi="Arial Narrow" w:cs="Calibri"/>
                <w:sz w:val="20"/>
                <w:szCs w:val="20"/>
              </w:rPr>
              <w:t>KEYNOTE-775</w:t>
            </w:r>
          </w:p>
        </w:tc>
        <w:tc>
          <w:tcPr>
            <w:tcW w:w="891" w:type="dxa"/>
            <w:shd w:val="clear" w:color="auto" w:fill="auto"/>
            <w:noWrap/>
            <w:vAlign w:val="center"/>
          </w:tcPr>
          <w:p w14:paraId="635DDF2A" w14:textId="3FFEADCA" w:rsidR="00BB2F99" w:rsidRPr="00576299" w:rsidRDefault="00BB2F99" w:rsidP="005F0D94">
            <w:pPr>
              <w:keepNext/>
              <w:keepLines/>
              <w:widowControl w:val="0"/>
              <w:jc w:val="center"/>
              <w:rPr>
                <w:rFonts w:ascii="Arial Narrow" w:hAnsi="Arial Narrow" w:cs="Calibri"/>
                <w:sz w:val="20"/>
                <w:szCs w:val="20"/>
              </w:rPr>
            </w:pPr>
            <w:r w:rsidRPr="00576299">
              <w:rPr>
                <w:rFonts w:ascii="Arial Narrow" w:hAnsi="Arial Narrow" w:cs="Calibri"/>
                <w:sz w:val="20"/>
                <w:szCs w:val="20"/>
              </w:rPr>
              <w:t>ITT</w:t>
            </w:r>
          </w:p>
        </w:tc>
        <w:tc>
          <w:tcPr>
            <w:tcW w:w="581" w:type="dxa"/>
            <w:shd w:val="clear" w:color="auto" w:fill="C6D9F1" w:themeFill="text2" w:themeFillTint="33"/>
            <w:noWrap/>
          </w:tcPr>
          <w:p w14:paraId="23474D1D" w14:textId="37397DB1" w:rsidR="00BB2F99" w:rsidRPr="00576299" w:rsidRDefault="00BB2F99" w:rsidP="005F0D94">
            <w:pPr>
              <w:keepNext/>
              <w:keepLines/>
              <w:widowControl w:val="0"/>
              <w:jc w:val="center"/>
              <w:rPr>
                <w:rFonts w:ascii="Arial Narrow" w:hAnsi="Arial Narrow" w:cs="Calibri"/>
                <w:color w:val="000000"/>
                <w:sz w:val="20"/>
                <w:szCs w:val="20"/>
              </w:rPr>
            </w:pPr>
            <w:r w:rsidRPr="00576299">
              <w:rPr>
                <w:rFonts w:ascii="Arial Narrow" w:hAnsi="Arial Narrow" w:cs="Calibri"/>
                <w:color w:val="000000"/>
                <w:sz w:val="20"/>
                <w:szCs w:val="20"/>
              </w:rPr>
              <w:t>411</w:t>
            </w:r>
          </w:p>
        </w:tc>
        <w:tc>
          <w:tcPr>
            <w:tcW w:w="993" w:type="dxa"/>
            <w:shd w:val="clear" w:color="auto" w:fill="auto"/>
            <w:noWrap/>
          </w:tcPr>
          <w:p w14:paraId="016618DF" w14:textId="5F740E1D" w:rsidR="00BB2F99" w:rsidRPr="00576299" w:rsidRDefault="00BB2F99" w:rsidP="005F0D94">
            <w:pPr>
              <w:keepNext/>
              <w:keepLines/>
              <w:widowControl w:val="0"/>
              <w:jc w:val="center"/>
              <w:rPr>
                <w:rFonts w:ascii="Arial Narrow" w:hAnsi="Arial Narrow" w:cs="Calibri"/>
                <w:sz w:val="20"/>
                <w:szCs w:val="20"/>
              </w:rPr>
            </w:pPr>
            <w:r w:rsidRPr="00576299">
              <w:rPr>
                <w:rFonts w:ascii="Arial Narrow" w:hAnsi="Arial Narrow"/>
                <w:sz w:val="20"/>
                <w:szCs w:val="20"/>
              </w:rPr>
              <w:t>188 (45.7)</w:t>
            </w:r>
          </w:p>
        </w:tc>
        <w:tc>
          <w:tcPr>
            <w:tcW w:w="1134" w:type="dxa"/>
            <w:shd w:val="clear" w:color="auto" w:fill="auto"/>
            <w:noWrap/>
          </w:tcPr>
          <w:p w14:paraId="44D4D37E" w14:textId="119FCC83" w:rsidR="00BB2F99" w:rsidRPr="00576299" w:rsidRDefault="00BB2F99" w:rsidP="005F0D94">
            <w:pPr>
              <w:keepNext/>
              <w:keepLines/>
              <w:widowControl w:val="0"/>
              <w:jc w:val="center"/>
              <w:rPr>
                <w:rFonts w:ascii="Arial Narrow" w:hAnsi="Arial Narrow" w:cs="Calibri"/>
                <w:sz w:val="20"/>
                <w:szCs w:val="20"/>
              </w:rPr>
            </w:pPr>
            <w:r w:rsidRPr="00576299">
              <w:rPr>
                <w:rFonts w:ascii="Arial Narrow" w:hAnsi="Arial Narrow"/>
                <w:sz w:val="20"/>
                <w:szCs w:val="20"/>
              </w:rPr>
              <w:t>223 (54.3)</w:t>
            </w:r>
          </w:p>
        </w:tc>
        <w:tc>
          <w:tcPr>
            <w:tcW w:w="1701" w:type="dxa"/>
            <w:shd w:val="clear" w:color="auto" w:fill="C6D9F1" w:themeFill="text2" w:themeFillTint="33"/>
            <w:noWrap/>
          </w:tcPr>
          <w:p w14:paraId="33C25042" w14:textId="4A56959F" w:rsidR="00BB2F99" w:rsidRPr="00576299" w:rsidRDefault="00BB2F99" w:rsidP="005F0D94">
            <w:pPr>
              <w:keepNext/>
              <w:keepLines/>
              <w:widowControl w:val="0"/>
              <w:jc w:val="center"/>
              <w:rPr>
                <w:rFonts w:ascii="Arial Narrow" w:hAnsi="Arial Narrow" w:cs="Calibri"/>
                <w:sz w:val="20"/>
                <w:szCs w:val="20"/>
              </w:rPr>
            </w:pPr>
            <w:r w:rsidRPr="00576299">
              <w:rPr>
                <w:rFonts w:ascii="Arial Narrow" w:hAnsi="Arial Narrow"/>
                <w:sz w:val="20"/>
                <w:szCs w:val="20"/>
              </w:rPr>
              <w:t>18.3 (15.2, 20.5)</w:t>
            </w:r>
          </w:p>
        </w:tc>
        <w:tc>
          <w:tcPr>
            <w:tcW w:w="1273" w:type="dxa"/>
            <w:shd w:val="clear" w:color="auto" w:fill="auto"/>
            <w:vAlign w:val="bottom"/>
          </w:tcPr>
          <w:p w14:paraId="408DBDDB" w14:textId="5E34DAB6" w:rsidR="00BB2F99" w:rsidRPr="00576299" w:rsidRDefault="00BB2F99" w:rsidP="005F0D94">
            <w:pPr>
              <w:keepNext/>
              <w:keepLines/>
              <w:widowControl w:val="0"/>
              <w:jc w:val="center"/>
              <w:rPr>
                <w:rFonts w:ascii="Arial Narrow" w:hAnsi="Arial Narrow" w:cs="Calibri"/>
                <w:sz w:val="20"/>
                <w:szCs w:val="20"/>
              </w:rPr>
            </w:pPr>
            <w:r w:rsidRPr="00576299">
              <w:rPr>
                <w:rFonts w:ascii="Arial Narrow" w:hAnsi="Arial Narrow" w:cs="Calibri"/>
                <w:color w:val="000000"/>
                <w:sz w:val="20"/>
                <w:szCs w:val="20"/>
              </w:rPr>
              <w:t>62.5</w:t>
            </w:r>
          </w:p>
        </w:tc>
        <w:tc>
          <w:tcPr>
            <w:tcW w:w="1058" w:type="dxa"/>
            <w:shd w:val="clear" w:color="auto" w:fill="auto"/>
            <w:vAlign w:val="bottom"/>
          </w:tcPr>
          <w:p w14:paraId="18B95826" w14:textId="112EA5E7" w:rsidR="00BB2F99" w:rsidRPr="00576299" w:rsidRDefault="00BB2F99" w:rsidP="005F0D94">
            <w:pPr>
              <w:keepNext/>
              <w:keepLines/>
              <w:widowControl w:val="0"/>
              <w:jc w:val="center"/>
              <w:rPr>
                <w:rFonts w:ascii="Arial Narrow" w:hAnsi="Arial Narrow" w:cs="Calibri"/>
                <w:sz w:val="20"/>
                <w:szCs w:val="20"/>
              </w:rPr>
            </w:pPr>
            <w:r w:rsidRPr="00576299">
              <w:rPr>
                <w:rFonts w:ascii="Arial Narrow" w:hAnsi="Arial Narrow" w:cs="Calibri"/>
                <w:color w:val="000000"/>
                <w:sz w:val="20"/>
                <w:szCs w:val="20"/>
              </w:rPr>
              <w:t>42</w:t>
            </w:r>
          </w:p>
        </w:tc>
      </w:tr>
      <w:tr w:rsidR="00BB2F99" w:rsidRPr="00576299" w14:paraId="1A5B1CFB" w14:textId="699330F7" w:rsidTr="00C67E85">
        <w:trPr>
          <w:trHeight w:val="20"/>
        </w:trPr>
        <w:tc>
          <w:tcPr>
            <w:tcW w:w="1386" w:type="dxa"/>
            <w:vMerge/>
            <w:vAlign w:val="center"/>
          </w:tcPr>
          <w:p w14:paraId="1281CD7F" w14:textId="09167620" w:rsidR="00BB2F99" w:rsidRPr="00576299" w:rsidRDefault="00BB2F99" w:rsidP="005F0D94">
            <w:pPr>
              <w:keepNext/>
              <w:keepLines/>
              <w:widowControl w:val="0"/>
              <w:rPr>
                <w:rFonts w:ascii="Arial Narrow" w:hAnsi="Arial Narrow" w:cs="Calibri"/>
                <w:sz w:val="20"/>
                <w:szCs w:val="20"/>
              </w:rPr>
            </w:pPr>
          </w:p>
        </w:tc>
        <w:tc>
          <w:tcPr>
            <w:tcW w:w="891" w:type="dxa"/>
            <w:shd w:val="clear" w:color="auto" w:fill="auto"/>
            <w:noWrap/>
            <w:vAlign w:val="center"/>
          </w:tcPr>
          <w:p w14:paraId="18B53BBC" w14:textId="4D84A368" w:rsidR="00BB2F99" w:rsidRPr="00576299" w:rsidRDefault="00BB2F99" w:rsidP="005F0D94">
            <w:pPr>
              <w:keepNext/>
              <w:keepLines/>
              <w:widowControl w:val="0"/>
              <w:jc w:val="center"/>
              <w:rPr>
                <w:rFonts w:ascii="Arial Narrow" w:hAnsi="Arial Narrow" w:cs="Calibri"/>
                <w:sz w:val="20"/>
                <w:szCs w:val="20"/>
              </w:rPr>
            </w:pPr>
            <w:r w:rsidRPr="00576299">
              <w:rPr>
                <w:rFonts w:ascii="Arial Narrow" w:hAnsi="Arial Narrow" w:cs="Calibri"/>
                <w:sz w:val="20"/>
                <w:szCs w:val="20"/>
              </w:rPr>
              <w:t>dMMR</w:t>
            </w:r>
          </w:p>
        </w:tc>
        <w:tc>
          <w:tcPr>
            <w:tcW w:w="581" w:type="dxa"/>
            <w:shd w:val="clear" w:color="auto" w:fill="C6D9F1" w:themeFill="text2" w:themeFillTint="33"/>
            <w:noWrap/>
          </w:tcPr>
          <w:p w14:paraId="7BC1506B" w14:textId="143CEA20" w:rsidR="00BB2F99" w:rsidRPr="00576299" w:rsidRDefault="00BB2F99" w:rsidP="005F0D94">
            <w:pPr>
              <w:keepNext/>
              <w:keepLines/>
              <w:widowControl w:val="0"/>
              <w:jc w:val="center"/>
              <w:rPr>
                <w:rFonts w:ascii="Arial Narrow" w:hAnsi="Arial Narrow" w:cs="Calibri"/>
                <w:color w:val="000000"/>
                <w:sz w:val="20"/>
                <w:szCs w:val="20"/>
              </w:rPr>
            </w:pPr>
            <w:r w:rsidRPr="00576299">
              <w:rPr>
                <w:rFonts w:ascii="Arial Narrow" w:hAnsi="Arial Narrow" w:cs="Calibri"/>
                <w:color w:val="000000"/>
                <w:sz w:val="20"/>
                <w:szCs w:val="20"/>
              </w:rPr>
              <w:t>65</w:t>
            </w:r>
          </w:p>
        </w:tc>
        <w:tc>
          <w:tcPr>
            <w:tcW w:w="993" w:type="dxa"/>
            <w:shd w:val="clear" w:color="auto" w:fill="auto"/>
            <w:noWrap/>
          </w:tcPr>
          <w:p w14:paraId="423710C2" w14:textId="7D57030B" w:rsidR="00BB2F99" w:rsidRPr="00576299" w:rsidRDefault="00BB2F99" w:rsidP="005F0D94">
            <w:pPr>
              <w:keepNext/>
              <w:keepLines/>
              <w:widowControl w:val="0"/>
              <w:jc w:val="center"/>
              <w:rPr>
                <w:rFonts w:ascii="Arial Narrow" w:hAnsi="Arial Narrow" w:cs="Calibri"/>
                <w:sz w:val="20"/>
                <w:szCs w:val="20"/>
              </w:rPr>
            </w:pPr>
            <w:r w:rsidRPr="00576299">
              <w:rPr>
                <w:rFonts w:ascii="Arial Narrow" w:hAnsi="Arial Narrow"/>
                <w:sz w:val="20"/>
                <w:szCs w:val="20"/>
              </w:rPr>
              <w:t>23 (35.4)</w:t>
            </w:r>
          </w:p>
        </w:tc>
        <w:tc>
          <w:tcPr>
            <w:tcW w:w="1134" w:type="dxa"/>
            <w:shd w:val="clear" w:color="auto" w:fill="auto"/>
            <w:noWrap/>
          </w:tcPr>
          <w:p w14:paraId="558AADEE" w14:textId="7E7F2BB0" w:rsidR="00BB2F99" w:rsidRPr="00576299" w:rsidRDefault="00BB2F99" w:rsidP="005F0D94">
            <w:pPr>
              <w:keepNext/>
              <w:keepLines/>
              <w:widowControl w:val="0"/>
              <w:jc w:val="center"/>
              <w:rPr>
                <w:rFonts w:ascii="Arial Narrow" w:hAnsi="Arial Narrow" w:cs="Calibri"/>
                <w:sz w:val="20"/>
                <w:szCs w:val="20"/>
              </w:rPr>
            </w:pPr>
            <w:r w:rsidRPr="00576299">
              <w:rPr>
                <w:rFonts w:ascii="Arial Narrow" w:hAnsi="Arial Narrow"/>
                <w:sz w:val="20"/>
                <w:szCs w:val="20"/>
              </w:rPr>
              <w:t>42 (64.6)</w:t>
            </w:r>
          </w:p>
        </w:tc>
        <w:tc>
          <w:tcPr>
            <w:tcW w:w="1701" w:type="dxa"/>
            <w:shd w:val="clear" w:color="auto" w:fill="C6D9F1" w:themeFill="text2" w:themeFillTint="33"/>
            <w:noWrap/>
          </w:tcPr>
          <w:p w14:paraId="443F59EE" w14:textId="6B573099" w:rsidR="00BB2F99" w:rsidRPr="00576299" w:rsidRDefault="00BB2F99" w:rsidP="005F0D94">
            <w:pPr>
              <w:keepNext/>
              <w:keepLines/>
              <w:widowControl w:val="0"/>
              <w:jc w:val="center"/>
              <w:rPr>
                <w:rFonts w:ascii="Arial Narrow" w:hAnsi="Arial Narrow" w:cs="Calibri"/>
                <w:sz w:val="20"/>
                <w:szCs w:val="20"/>
              </w:rPr>
            </w:pPr>
            <w:r w:rsidRPr="00576299">
              <w:rPr>
                <w:rFonts w:ascii="Arial Narrow" w:hAnsi="Arial Narrow"/>
                <w:sz w:val="20"/>
                <w:szCs w:val="20"/>
              </w:rPr>
              <w:t>NR (NR,NR)</w:t>
            </w:r>
          </w:p>
        </w:tc>
        <w:tc>
          <w:tcPr>
            <w:tcW w:w="1273" w:type="dxa"/>
            <w:shd w:val="clear" w:color="auto" w:fill="auto"/>
            <w:vAlign w:val="bottom"/>
          </w:tcPr>
          <w:p w14:paraId="4D69CA77" w14:textId="696DF9F3" w:rsidR="00BB2F99" w:rsidRPr="00576299" w:rsidRDefault="00BB2F99" w:rsidP="005F0D94">
            <w:pPr>
              <w:keepNext/>
              <w:keepLines/>
              <w:widowControl w:val="0"/>
              <w:jc w:val="center"/>
              <w:rPr>
                <w:rFonts w:ascii="Arial Narrow" w:hAnsi="Arial Narrow" w:cs="Calibri"/>
                <w:sz w:val="20"/>
                <w:szCs w:val="20"/>
              </w:rPr>
            </w:pPr>
            <w:r w:rsidRPr="00576299">
              <w:rPr>
                <w:rFonts w:ascii="Arial Narrow" w:hAnsi="Arial Narrow" w:cs="Calibri"/>
                <w:color w:val="000000"/>
                <w:sz w:val="20"/>
                <w:szCs w:val="20"/>
              </w:rPr>
              <w:t xml:space="preserve">67.9 </w:t>
            </w:r>
            <w:r w:rsidRPr="00576299">
              <w:rPr>
                <w:rFonts w:ascii="Arial Narrow" w:hAnsi="Arial Narrow" w:cs="Calibri"/>
                <w:color w:val="000000"/>
                <w:sz w:val="20"/>
                <w:szCs w:val="20"/>
                <w:vertAlign w:val="superscript"/>
              </w:rPr>
              <w:t>a</w:t>
            </w:r>
          </w:p>
        </w:tc>
        <w:tc>
          <w:tcPr>
            <w:tcW w:w="1058" w:type="dxa"/>
            <w:shd w:val="clear" w:color="auto" w:fill="auto"/>
            <w:vAlign w:val="bottom"/>
          </w:tcPr>
          <w:p w14:paraId="6E890A40" w14:textId="293B78BA" w:rsidR="00BB2F99" w:rsidRPr="00576299" w:rsidRDefault="00BB2F99" w:rsidP="005F0D94">
            <w:pPr>
              <w:keepNext/>
              <w:keepLines/>
              <w:widowControl w:val="0"/>
              <w:jc w:val="center"/>
              <w:rPr>
                <w:rFonts w:ascii="Arial Narrow" w:hAnsi="Arial Narrow" w:cs="Calibri"/>
                <w:sz w:val="20"/>
                <w:szCs w:val="20"/>
              </w:rPr>
            </w:pPr>
            <w:r w:rsidRPr="00576299">
              <w:rPr>
                <w:rFonts w:ascii="Arial Narrow" w:hAnsi="Arial Narrow" w:cs="Calibri"/>
                <w:color w:val="000000"/>
                <w:sz w:val="20"/>
                <w:szCs w:val="20"/>
              </w:rPr>
              <w:t xml:space="preserve">63.6 </w:t>
            </w:r>
            <w:r w:rsidRPr="00576299">
              <w:rPr>
                <w:rFonts w:ascii="Arial Narrow" w:hAnsi="Arial Narrow" w:cs="Calibri"/>
                <w:color w:val="000000"/>
                <w:sz w:val="20"/>
                <w:szCs w:val="20"/>
                <w:vertAlign w:val="superscript"/>
              </w:rPr>
              <w:t>a</w:t>
            </w:r>
          </w:p>
        </w:tc>
      </w:tr>
      <w:tr w:rsidR="00BB2F99" w:rsidRPr="00576299" w14:paraId="51E8FE5F" w14:textId="6F1F32DA" w:rsidTr="00C73213">
        <w:trPr>
          <w:trHeight w:val="20"/>
        </w:trPr>
        <w:tc>
          <w:tcPr>
            <w:tcW w:w="9017" w:type="dxa"/>
            <w:gridSpan w:val="8"/>
            <w:vAlign w:val="center"/>
          </w:tcPr>
          <w:p w14:paraId="34739A08" w14:textId="42D7E2A9" w:rsidR="00BB2F99" w:rsidRPr="00576299" w:rsidRDefault="00BB2F99" w:rsidP="005F0D94">
            <w:pPr>
              <w:keepNext/>
              <w:keepLines/>
              <w:widowControl w:val="0"/>
              <w:jc w:val="left"/>
              <w:rPr>
                <w:rFonts w:ascii="Arial Narrow" w:hAnsi="Arial Narrow" w:cs="Calibri"/>
                <w:b/>
                <w:bCs/>
                <w:sz w:val="20"/>
                <w:szCs w:val="20"/>
              </w:rPr>
            </w:pPr>
            <w:r w:rsidRPr="00576299">
              <w:rPr>
                <w:rFonts w:ascii="Arial Narrow" w:hAnsi="Arial Narrow" w:cs="Calibri"/>
                <w:b/>
                <w:bCs/>
                <w:sz w:val="20"/>
                <w:szCs w:val="20"/>
              </w:rPr>
              <w:t xml:space="preserve">Pembrolizumab monotherapy </w:t>
            </w:r>
          </w:p>
        </w:tc>
      </w:tr>
      <w:tr w:rsidR="00BB2F99" w:rsidRPr="00576299" w14:paraId="594E21B6" w14:textId="4CB88D46" w:rsidTr="00C67E85">
        <w:trPr>
          <w:trHeight w:val="339"/>
        </w:trPr>
        <w:tc>
          <w:tcPr>
            <w:tcW w:w="1386" w:type="dxa"/>
            <w:vAlign w:val="center"/>
          </w:tcPr>
          <w:p w14:paraId="727357B4" w14:textId="53EE44DF" w:rsidR="00BB2F99" w:rsidRPr="00576299" w:rsidRDefault="00BB2F99" w:rsidP="005F0D94">
            <w:pPr>
              <w:keepNext/>
              <w:keepLines/>
              <w:widowControl w:val="0"/>
              <w:rPr>
                <w:rFonts w:ascii="Arial Narrow" w:hAnsi="Arial Narrow" w:cs="Calibri"/>
                <w:sz w:val="20"/>
                <w:szCs w:val="20"/>
              </w:rPr>
            </w:pPr>
            <w:r w:rsidRPr="00576299">
              <w:rPr>
                <w:rFonts w:ascii="Arial Narrow" w:hAnsi="Arial Narrow" w:cs="Calibri"/>
                <w:sz w:val="20"/>
                <w:szCs w:val="20"/>
              </w:rPr>
              <w:t>KEYNOTE-158</w:t>
            </w:r>
          </w:p>
        </w:tc>
        <w:tc>
          <w:tcPr>
            <w:tcW w:w="891" w:type="dxa"/>
            <w:shd w:val="clear" w:color="auto" w:fill="auto"/>
            <w:noWrap/>
            <w:vAlign w:val="center"/>
          </w:tcPr>
          <w:p w14:paraId="4DF88263" w14:textId="65AE9A18" w:rsidR="00BB2F99" w:rsidRPr="00576299" w:rsidRDefault="00BB2F99" w:rsidP="005F0D94">
            <w:pPr>
              <w:keepNext/>
              <w:keepLines/>
              <w:widowControl w:val="0"/>
              <w:jc w:val="center"/>
              <w:rPr>
                <w:rFonts w:ascii="Arial Narrow" w:hAnsi="Arial Narrow" w:cs="Calibri"/>
                <w:sz w:val="20"/>
                <w:szCs w:val="20"/>
              </w:rPr>
            </w:pPr>
            <w:r w:rsidRPr="00576299">
              <w:rPr>
                <w:rFonts w:ascii="Arial Narrow" w:hAnsi="Arial Narrow" w:cs="Calibri"/>
                <w:sz w:val="20"/>
                <w:szCs w:val="20"/>
              </w:rPr>
              <w:t>dMMR (EAP)</w:t>
            </w:r>
          </w:p>
        </w:tc>
        <w:tc>
          <w:tcPr>
            <w:tcW w:w="581" w:type="dxa"/>
            <w:shd w:val="clear" w:color="auto" w:fill="C6D9F1" w:themeFill="text2" w:themeFillTint="33"/>
            <w:noWrap/>
            <w:vAlign w:val="center"/>
          </w:tcPr>
          <w:p w14:paraId="51AEDC51" w14:textId="092621B4" w:rsidR="00BB2F99" w:rsidRPr="00576299" w:rsidRDefault="00BB2F99" w:rsidP="005F0D94">
            <w:pPr>
              <w:keepNext/>
              <w:keepLines/>
              <w:widowControl w:val="0"/>
              <w:jc w:val="center"/>
              <w:rPr>
                <w:rFonts w:ascii="Arial Narrow" w:hAnsi="Arial Narrow" w:cs="Calibri"/>
                <w:sz w:val="20"/>
                <w:szCs w:val="20"/>
              </w:rPr>
            </w:pPr>
            <w:r w:rsidRPr="00576299">
              <w:rPr>
                <w:rFonts w:ascii="Arial Narrow" w:hAnsi="Arial Narrow" w:cs="Calibri"/>
                <w:color w:val="000000"/>
                <w:sz w:val="20"/>
                <w:szCs w:val="20"/>
              </w:rPr>
              <w:t>79</w:t>
            </w:r>
          </w:p>
        </w:tc>
        <w:tc>
          <w:tcPr>
            <w:tcW w:w="993" w:type="dxa"/>
            <w:shd w:val="clear" w:color="auto" w:fill="auto"/>
            <w:noWrap/>
            <w:vAlign w:val="center"/>
          </w:tcPr>
          <w:p w14:paraId="3C46ECC9" w14:textId="536ED8A9" w:rsidR="00BB2F99" w:rsidRPr="00576299" w:rsidRDefault="00BB2F99" w:rsidP="005F0D94">
            <w:pPr>
              <w:keepNext/>
              <w:keepLines/>
              <w:widowControl w:val="0"/>
              <w:jc w:val="center"/>
              <w:rPr>
                <w:rFonts w:ascii="Arial Narrow" w:hAnsi="Arial Narrow" w:cs="Calibri"/>
                <w:sz w:val="20"/>
                <w:szCs w:val="20"/>
              </w:rPr>
            </w:pPr>
            <w:r w:rsidRPr="00576299">
              <w:rPr>
                <w:rFonts w:ascii="Arial Narrow" w:hAnsi="Arial Narrow" w:cs="Calibri"/>
                <w:color w:val="000000"/>
                <w:sz w:val="20"/>
                <w:szCs w:val="20"/>
              </w:rPr>
              <w:t>29 (36.7)</w:t>
            </w:r>
          </w:p>
        </w:tc>
        <w:tc>
          <w:tcPr>
            <w:tcW w:w="1134" w:type="dxa"/>
            <w:shd w:val="clear" w:color="auto" w:fill="auto"/>
            <w:noWrap/>
            <w:vAlign w:val="center"/>
          </w:tcPr>
          <w:p w14:paraId="07F6C14D" w14:textId="2346F348" w:rsidR="00BB2F99" w:rsidRPr="00576299" w:rsidRDefault="00BB2F99" w:rsidP="005F0D94">
            <w:pPr>
              <w:keepNext/>
              <w:keepLines/>
              <w:widowControl w:val="0"/>
              <w:jc w:val="center"/>
              <w:rPr>
                <w:rFonts w:ascii="Arial Narrow" w:hAnsi="Arial Narrow" w:cs="Calibri"/>
                <w:sz w:val="20"/>
                <w:szCs w:val="20"/>
              </w:rPr>
            </w:pPr>
            <w:r w:rsidRPr="00576299">
              <w:rPr>
                <w:rFonts w:ascii="Arial Narrow" w:hAnsi="Arial Narrow" w:cs="Calibri"/>
                <w:color w:val="000000"/>
                <w:sz w:val="20"/>
                <w:szCs w:val="20"/>
              </w:rPr>
              <w:t>50 (63.3)</w:t>
            </w:r>
          </w:p>
        </w:tc>
        <w:tc>
          <w:tcPr>
            <w:tcW w:w="1701" w:type="dxa"/>
            <w:shd w:val="clear" w:color="auto" w:fill="C6D9F1" w:themeFill="text2" w:themeFillTint="33"/>
            <w:noWrap/>
            <w:vAlign w:val="center"/>
          </w:tcPr>
          <w:p w14:paraId="20625821" w14:textId="50854A74" w:rsidR="00BB2F99" w:rsidRPr="00576299" w:rsidRDefault="00BB2F99" w:rsidP="005F0D94">
            <w:pPr>
              <w:keepNext/>
              <w:keepLines/>
              <w:widowControl w:val="0"/>
              <w:jc w:val="center"/>
              <w:rPr>
                <w:rFonts w:ascii="Arial Narrow" w:hAnsi="Arial Narrow" w:cs="Calibri"/>
                <w:sz w:val="20"/>
                <w:szCs w:val="20"/>
              </w:rPr>
            </w:pPr>
            <w:r w:rsidRPr="00576299">
              <w:rPr>
                <w:rFonts w:ascii="Arial Narrow" w:hAnsi="Arial Narrow" w:cs="Calibri"/>
                <w:color w:val="000000"/>
                <w:sz w:val="20"/>
                <w:szCs w:val="20"/>
              </w:rPr>
              <w:t>NR (27.2, NR)</w:t>
            </w:r>
          </w:p>
        </w:tc>
        <w:tc>
          <w:tcPr>
            <w:tcW w:w="1273" w:type="dxa"/>
            <w:shd w:val="clear" w:color="auto" w:fill="auto"/>
            <w:vAlign w:val="center"/>
          </w:tcPr>
          <w:p w14:paraId="77DBA375" w14:textId="49CB65C0" w:rsidR="00BB2F99" w:rsidRPr="00576299" w:rsidRDefault="00BB2F99" w:rsidP="005F0D94">
            <w:pPr>
              <w:keepNext/>
              <w:keepLines/>
              <w:widowControl w:val="0"/>
              <w:jc w:val="center"/>
              <w:rPr>
                <w:rFonts w:ascii="Arial Narrow" w:hAnsi="Arial Narrow" w:cs="Calibri"/>
                <w:sz w:val="20"/>
                <w:szCs w:val="20"/>
              </w:rPr>
            </w:pPr>
            <w:r w:rsidRPr="00576299">
              <w:rPr>
                <w:rFonts w:ascii="Arial Narrow" w:hAnsi="Arial Narrow" w:cs="Calibri"/>
                <w:sz w:val="20"/>
                <w:szCs w:val="20"/>
              </w:rPr>
              <w:t>69</w:t>
            </w:r>
          </w:p>
        </w:tc>
        <w:tc>
          <w:tcPr>
            <w:tcW w:w="1058" w:type="dxa"/>
            <w:shd w:val="clear" w:color="auto" w:fill="auto"/>
            <w:vAlign w:val="center"/>
          </w:tcPr>
          <w:p w14:paraId="401AA58E" w14:textId="1BD4C5E4" w:rsidR="00BB2F99" w:rsidRPr="00576299" w:rsidRDefault="00BB2F99" w:rsidP="005F0D94">
            <w:pPr>
              <w:keepNext/>
              <w:keepLines/>
              <w:widowControl w:val="0"/>
              <w:jc w:val="center"/>
              <w:rPr>
                <w:rFonts w:ascii="Arial Narrow" w:hAnsi="Arial Narrow" w:cs="Calibri"/>
                <w:sz w:val="20"/>
                <w:szCs w:val="20"/>
              </w:rPr>
            </w:pPr>
            <w:r w:rsidRPr="00576299">
              <w:rPr>
                <w:rFonts w:ascii="Arial Narrow" w:hAnsi="Arial Narrow" w:cs="Calibri"/>
                <w:sz w:val="20"/>
                <w:szCs w:val="20"/>
              </w:rPr>
              <w:t>64</w:t>
            </w:r>
          </w:p>
        </w:tc>
      </w:tr>
    </w:tbl>
    <w:p w14:paraId="58786951" w14:textId="7943A93A" w:rsidR="00C73213" w:rsidRPr="00576299" w:rsidRDefault="00C73213" w:rsidP="005F0D94">
      <w:pPr>
        <w:pStyle w:val="TableNotes"/>
        <w:keepNext/>
        <w:keepLines/>
        <w:widowControl w:val="0"/>
        <w:spacing w:after="0"/>
        <w:rPr>
          <w:rStyle w:val="CommentReference"/>
          <w:b w:val="0"/>
          <w:sz w:val="18"/>
          <w:szCs w:val="18"/>
        </w:rPr>
      </w:pPr>
      <w:r w:rsidRPr="00576299">
        <w:rPr>
          <w:rStyle w:val="CommentReference"/>
          <w:b w:val="0"/>
          <w:sz w:val="18"/>
          <w:szCs w:val="18"/>
        </w:rPr>
        <w:t>Sources: Table 44, p116 of the resubmission,</w:t>
      </w:r>
      <w:r w:rsidRPr="00576299">
        <w:rPr>
          <w:szCs w:val="18"/>
        </w:rPr>
        <w:t xml:space="preserve"> Table 16, p57, Table 14.2.22a and Table 14.2.23a of the Clinical Study Report.</w:t>
      </w:r>
    </w:p>
    <w:p w14:paraId="699A5D62" w14:textId="4CF4A2AF" w:rsidR="00C73213" w:rsidRPr="00576299" w:rsidRDefault="00C73213" w:rsidP="005F0D94">
      <w:pPr>
        <w:pStyle w:val="TableNotes"/>
        <w:keepNext/>
        <w:keepLines/>
        <w:widowControl w:val="0"/>
        <w:spacing w:after="0"/>
        <w:rPr>
          <w:szCs w:val="18"/>
        </w:rPr>
      </w:pPr>
      <w:r w:rsidRPr="00576299">
        <w:rPr>
          <w:szCs w:val="18"/>
        </w:rPr>
        <w:t xml:space="preserve">CI = confidence interval; dMMR = mismatch repair deficient; EAP = efficacy analysis population; ITT = intention-to-treat; </w:t>
      </w:r>
      <w:r w:rsidR="001F4B36" w:rsidRPr="00576299">
        <w:rPr>
          <w:szCs w:val="18"/>
        </w:rPr>
        <w:t xml:space="preserve">N/R = not reached; </w:t>
      </w:r>
      <w:r w:rsidRPr="00576299">
        <w:rPr>
          <w:szCs w:val="18"/>
        </w:rPr>
        <w:t xml:space="preserve">NR= not </w:t>
      </w:r>
      <w:r w:rsidR="001F4B36" w:rsidRPr="00576299">
        <w:rPr>
          <w:szCs w:val="18"/>
        </w:rPr>
        <w:t>reached</w:t>
      </w:r>
      <w:r w:rsidRPr="00576299">
        <w:rPr>
          <w:szCs w:val="18"/>
        </w:rPr>
        <w:t>; PES = Primary Efficacy Set</w:t>
      </w:r>
    </w:p>
    <w:p w14:paraId="257016E4" w14:textId="7D5D5FC7" w:rsidR="00BB2F99" w:rsidRPr="00576299" w:rsidRDefault="00BB2F99" w:rsidP="005F0D94">
      <w:pPr>
        <w:pStyle w:val="TableNotes"/>
        <w:keepNext/>
        <w:keepLines/>
        <w:widowControl w:val="0"/>
        <w:spacing w:after="0"/>
        <w:rPr>
          <w:szCs w:val="18"/>
        </w:rPr>
      </w:pPr>
      <w:r w:rsidRPr="00576299">
        <w:rPr>
          <w:szCs w:val="18"/>
        </w:rPr>
        <w:t xml:space="preserve">a These data are not explicitly reported, therefore </w:t>
      </w:r>
      <w:r w:rsidR="00436643" w:rsidRPr="00576299">
        <w:rPr>
          <w:szCs w:val="18"/>
        </w:rPr>
        <w:t xml:space="preserve">were </w:t>
      </w:r>
      <w:r w:rsidRPr="00576299">
        <w:rPr>
          <w:szCs w:val="18"/>
        </w:rPr>
        <w:t>estimated via the digitisation of published KM curves.</w:t>
      </w:r>
    </w:p>
    <w:p w14:paraId="44BE60E7" w14:textId="7E8827FC" w:rsidR="00BB2F99" w:rsidRPr="00576299" w:rsidRDefault="00C67E85" w:rsidP="006D208E">
      <w:pPr>
        <w:pStyle w:val="TableNotes"/>
        <w:keepNext/>
        <w:keepLines/>
        <w:widowControl w:val="0"/>
        <w:spacing w:after="120"/>
        <w:rPr>
          <w:rStyle w:val="CommentReference"/>
          <w:b w:val="0"/>
          <w:sz w:val="18"/>
          <w:szCs w:val="18"/>
        </w:rPr>
      </w:pPr>
      <w:r w:rsidRPr="00576299">
        <w:rPr>
          <w:rStyle w:val="CommentReference"/>
          <w:b w:val="0"/>
          <w:sz w:val="18"/>
          <w:szCs w:val="18"/>
        </w:rPr>
        <w:t xml:space="preserve">Blue </w:t>
      </w:r>
      <w:r w:rsidR="00BB2F99" w:rsidRPr="00576299">
        <w:rPr>
          <w:rStyle w:val="CommentReference"/>
          <w:b w:val="0"/>
          <w:sz w:val="18"/>
          <w:szCs w:val="18"/>
        </w:rPr>
        <w:t xml:space="preserve">shading indicates data previously seen by the PBAC (pembrolizumab + lenvatinib </w:t>
      </w:r>
      <w:r w:rsidR="00091C93" w:rsidRPr="00576299">
        <w:rPr>
          <w:rStyle w:val="CommentReference"/>
          <w:b w:val="0"/>
          <w:sz w:val="18"/>
          <w:szCs w:val="18"/>
        </w:rPr>
        <w:t xml:space="preserve">or dostarlimab </w:t>
      </w:r>
      <w:r w:rsidR="00BB2F99" w:rsidRPr="00576299">
        <w:rPr>
          <w:rStyle w:val="CommentReference"/>
          <w:b w:val="0"/>
          <w:sz w:val="18"/>
          <w:szCs w:val="18"/>
        </w:rPr>
        <w:t xml:space="preserve">submission). </w:t>
      </w:r>
    </w:p>
    <w:p w14:paraId="0A374E98" w14:textId="4FDBBD2B" w:rsidR="0092254A" w:rsidRPr="00576299" w:rsidRDefault="0092254A" w:rsidP="0092254A">
      <w:pPr>
        <w:pStyle w:val="3-BodyText"/>
      </w:pPr>
      <w:r w:rsidRPr="00576299">
        <w:t xml:space="preserve">As for GARNET </w:t>
      </w:r>
      <w:r w:rsidR="00666960" w:rsidRPr="00576299">
        <w:t>C</w:t>
      </w:r>
      <w:r w:rsidRPr="00576299">
        <w:t xml:space="preserve">ohort A1, results from the dMMR population in KEYNOTE-775 and KEYNOTE-158 have yet to reach median OS. While GARNET </w:t>
      </w:r>
      <w:r w:rsidR="00666960" w:rsidRPr="00576299">
        <w:t>C</w:t>
      </w:r>
      <w:r w:rsidRPr="00576299">
        <w:t xml:space="preserve">ohort A1 and the pembrolizumab arm of KEYNOTE-158 had similar lower 95% confidence limit values, the immaturity of the data sets in the dMMR population and the lack of formal statistical testing limits the ability to draw meaningful conclusions </w:t>
      </w:r>
      <w:r w:rsidR="00091C93" w:rsidRPr="00576299">
        <w:t xml:space="preserve">regarding </w:t>
      </w:r>
      <w:r w:rsidRPr="00576299">
        <w:t xml:space="preserve">the comparative </w:t>
      </w:r>
      <w:r w:rsidR="003943DE" w:rsidRPr="00576299">
        <w:t xml:space="preserve">OS </w:t>
      </w:r>
      <w:r w:rsidRPr="00576299">
        <w:t xml:space="preserve">efficacy between dostarlimab and pembrolizumab ± lenvatinib in dMMR patients. Nonetheless based on the visual inspection of the Kaplan-Meier OS </w:t>
      </w:r>
      <w:r w:rsidRPr="00576299">
        <w:lastRenderedPageBreak/>
        <w:t>curves, the available evidence appears to suggest that OS in dMMR patients treated with dostarlimab and pembrolizumab ± lenvatinib were similar.</w:t>
      </w:r>
    </w:p>
    <w:p w14:paraId="06CEDDD0" w14:textId="3889BA12" w:rsidR="0092254A" w:rsidRPr="00576299" w:rsidRDefault="0092254A" w:rsidP="0092254A">
      <w:pPr>
        <w:pStyle w:val="3-BodyText"/>
      </w:pPr>
      <w:r w:rsidRPr="00576299">
        <w:t xml:space="preserve">The PFS Kaplan-Meier curves and key PFS outcomes of the relevant arms of the included trials and studies comparing dostarlimab and SoC are presented in </w:t>
      </w:r>
      <w:r w:rsidRPr="00576299">
        <w:fldChar w:fldCharType="begin"/>
      </w:r>
      <w:r w:rsidRPr="00576299">
        <w:instrText xml:space="preserve"> REF _Ref111417407 \h </w:instrText>
      </w:r>
      <w:r w:rsidRPr="00576299">
        <w:fldChar w:fldCharType="separate"/>
      </w:r>
      <w:r w:rsidR="00CD09E9" w:rsidRPr="00576299">
        <w:t xml:space="preserve">Figure </w:t>
      </w:r>
      <w:r w:rsidR="00CD09E9">
        <w:rPr>
          <w:noProof/>
        </w:rPr>
        <w:t>3</w:t>
      </w:r>
      <w:r w:rsidRPr="00576299">
        <w:fldChar w:fldCharType="end"/>
      </w:r>
      <w:r w:rsidRPr="00576299">
        <w:t xml:space="preserve"> and </w:t>
      </w:r>
      <w:r w:rsidRPr="00576299">
        <w:fldChar w:fldCharType="begin"/>
      </w:r>
      <w:r w:rsidRPr="00576299">
        <w:instrText xml:space="preserve"> REF _Ref111417500 \h </w:instrText>
      </w:r>
      <w:r w:rsidRPr="00576299">
        <w:fldChar w:fldCharType="separate"/>
      </w:r>
      <w:r w:rsidR="00CD09E9" w:rsidRPr="00576299">
        <w:t xml:space="preserve">Table </w:t>
      </w:r>
      <w:r w:rsidR="00CD09E9">
        <w:rPr>
          <w:noProof/>
        </w:rPr>
        <w:t>8</w:t>
      </w:r>
      <w:r w:rsidRPr="00576299">
        <w:fldChar w:fldCharType="end"/>
      </w:r>
      <w:r w:rsidRPr="00576299">
        <w:t>.</w:t>
      </w:r>
    </w:p>
    <w:p w14:paraId="492017B4" w14:textId="1B75F700" w:rsidR="0092254A" w:rsidRPr="000521B5" w:rsidRDefault="0092254A" w:rsidP="0092254A">
      <w:pPr>
        <w:pStyle w:val="Caption"/>
      </w:pPr>
      <w:bookmarkStart w:id="35" w:name="_Ref111417407"/>
      <w:r w:rsidRPr="00576299">
        <w:t xml:space="preserve">Figure </w:t>
      </w:r>
      <w:fldSimple w:instr=" SEQ Figure \* ARABIC ">
        <w:r w:rsidR="00CD09E9">
          <w:rPr>
            <w:noProof/>
          </w:rPr>
          <w:t>3</w:t>
        </w:r>
      </w:fldSimple>
      <w:bookmarkEnd w:id="35"/>
      <w:r w:rsidRPr="00576299">
        <w:t>: Dostarlimab vs SoC naïve comparison: Kaplan-Meier progression-free survival curves from included trials</w:t>
      </w:r>
      <w:r w:rsidR="00D75D2F" w:rsidRPr="00576299">
        <w:t xml:space="preserve"> </w:t>
      </w:r>
      <w:r w:rsidRPr="00576299">
        <w:rPr>
          <w:vertAlign w:val="superscript"/>
        </w:rPr>
        <w:t>a</w:t>
      </w:r>
      <w:r w:rsidR="000521B5">
        <w:rPr>
          <w:vertAlign w:val="superscript"/>
        </w:rPr>
        <w:t>,</w:t>
      </w:r>
      <w:r w:rsidR="000521B5">
        <w:t>*</w:t>
      </w:r>
    </w:p>
    <w:p w14:paraId="6F3A357F" w14:textId="71E65817" w:rsidR="0092254A" w:rsidRPr="00576299" w:rsidRDefault="0092254A" w:rsidP="0092254A">
      <w:pPr>
        <w:pStyle w:val="TableFooter"/>
      </w:pPr>
      <w:r w:rsidRPr="00576299">
        <w:rPr>
          <w:noProof/>
        </w:rPr>
        <w:drawing>
          <wp:inline distT="0" distB="0" distL="0" distR="0" wp14:anchorId="095D66E4" wp14:editId="6A2BFC06">
            <wp:extent cx="4695825" cy="2795155"/>
            <wp:effectExtent l="0" t="0" r="0" b="5715"/>
            <wp:docPr id="9" name="Picture 9" descr="Figure 3: Dostarlimab vs SoC naïve comparison: Kaplan-Meier progression-free survival curves from included tria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3: Dostarlimab vs SoC naïve comparison: Kaplan-Meier progression-free survival curves from included trials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22021" cy="2810748"/>
                    </a:xfrm>
                    <a:prstGeom prst="rect">
                      <a:avLst/>
                    </a:prstGeom>
                  </pic:spPr>
                </pic:pic>
              </a:graphicData>
            </a:graphic>
          </wp:inline>
        </w:drawing>
      </w:r>
    </w:p>
    <w:p w14:paraId="6A3B7A64" w14:textId="51E7ECD0" w:rsidR="00B9009B" w:rsidRPr="00576299" w:rsidRDefault="00B9009B" w:rsidP="00B9009B">
      <w:pPr>
        <w:pStyle w:val="TableFooter"/>
      </w:pPr>
      <w:r w:rsidRPr="00576299">
        <w:t>Source: Figure 33, p157 of the resubmission.</w:t>
      </w:r>
    </w:p>
    <w:p w14:paraId="423E7A09" w14:textId="1F6B9B3F" w:rsidR="00B9009B" w:rsidRPr="00576299" w:rsidRDefault="00B9009B" w:rsidP="00B9009B">
      <w:pPr>
        <w:pStyle w:val="TableFooter"/>
      </w:pPr>
      <w:r w:rsidRPr="00576299">
        <w:t>dMMR = mismatch repair deficient; ITT = intention-to-treat; mITT = modified intention-to-treat.</w:t>
      </w:r>
    </w:p>
    <w:p w14:paraId="71DC8209" w14:textId="01015F14" w:rsidR="00B9009B" w:rsidRPr="00576299" w:rsidRDefault="00B9009B" w:rsidP="00B9009B">
      <w:pPr>
        <w:pStyle w:val="TableFooter"/>
      </w:pPr>
      <w:r w:rsidRPr="00576299">
        <w:t>a Not all of the identified trials provided Kaplan-Meier curves for PFS.</w:t>
      </w:r>
    </w:p>
    <w:p w14:paraId="27233290" w14:textId="0DBCEFC1" w:rsidR="0092254A" w:rsidRDefault="0092254A" w:rsidP="0092254A">
      <w:pPr>
        <w:pStyle w:val="TableFooter"/>
      </w:pPr>
      <w:r w:rsidRPr="00576299">
        <w:t>Note: PFS curves were generated via the digitising of KM curves reported in: GARNET IA2 CSR; GARNET IA3 CSR; ZoptEC IPD (data on file); Makker 2022; Makker 2021 (IGCS). The anonymised ZoptEC IPD has been licensed to GSK from Aeterna Zentaris GmbH for indirect comparison purposes (unpublished data).</w:t>
      </w:r>
    </w:p>
    <w:p w14:paraId="244679B6" w14:textId="464FC2E9" w:rsidR="000521B5" w:rsidRPr="00576299" w:rsidRDefault="000521B5" w:rsidP="0092254A">
      <w:pPr>
        <w:pStyle w:val="TableFooter"/>
      </w:pPr>
      <w:r>
        <w:t>*</w:t>
      </w:r>
      <w:r w:rsidRPr="000521B5">
        <w:t xml:space="preserve"> </w:t>
      </w:r>
      <w:r w:rsidRPr="000521B5">
        <w:rPr>
          <w:i/>
          <w:iCs/>
        </w:rPr>
        <w:t>Note that the Kaplan-Meier plots depicted in Figure 3 are presented specifically for the purposes of informing the PBAC consideration. Their interpretation and application should therefore be limited to seeking to understand the basis for the PBAC outcome and should not be used for any other purpose.</w:t>
      </w:r>
    </w:p>
    <w:p w14:paraId="6951BFC0" w14:textId="165D8CD5" w:rsidR="0092254A" w:rsidRPr="00576299" w:rsidRDefault="0092254A" w:rsidP="00EB1C50">
      <w:pPr>
        <w:pStyle w:val="TableFooter"/>
      </w:pPr>
    </w:p>
    <w:p w14:paraId="0036225D" w14:textId="4FA42D0F" w:rsidR="0092254A" w:rsidRPr="00576299" w:rsidRDefault="0092254A" w:rsidP="00487CFA">
      <w:pPr>
        <w:pStyle w:val="Caption"/>
        <w:keepLines w:val="0"/>
        <w:rPr>
          <w:szCs w:val="20"/>
        </w:rPr>
      </w:pPr>
      <w:bookmarkStart w:id="36" w:name="_Ref111417500"/>
      <w:r w:rsidRPr="00576299">
        <w:lastRenderedPageBreak/>
        <w:t xml:space="preserve">Table </w:t>
      </w:r>
      <w:fldSimple w:instr=" SEQ Table \* ARABIC ">
        <w:r w:rsidR="00CD09E9">
          <w:rPr>
            <w:noProof/>
          </w:rPr>
          <w:t>8</w:t>
        </w:r>
      </w:fldSimple>
      <w:bookmarkEnd w:id="36"/>
      <w:r w:rsidRPr="00576299">
        <w:t>: Dostarlimab vs SoC naïve comparison:</w:t>
      </w:r>
      <w:r w:rsidRPr="00576299">
        <w:rPr>
          <w:szCs w:val="20"/>
        </w:rPr>
        <w:t xml:space="preserve"> Summary of PFS events in the relevant arms of included trials and 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891"/>
        <w:gridCol w:w="699"/>
        <w:gridCol w:w="1276"/>
        <w:gridCol w:w="1134"/>
        <w:gridCol w:w="1559"/>
        <w:gridCol w:w="1035"/>
        <w:gridCol w:w="1041"/>
      </w:tblGrid>
      <w:tr w:rsidR="00735E9F" w:rsidRPr="00576299" w14:paraId="48CB6321" w14:textId="1A5E9AFE" w:rsidTr="001A4D5F">
        <w:trPr>
          <w:trHeight w:val="20"/>
        </w:trPr>
        <w:tc>
          <w:tcPr>
            <w:tcW w:w="1382" w:type="dxa"/>
            <w:vAlign w:val="center"/>
          </w:tcPr>
          <w:p w14:paraId="3714DE33" w14:textId="6F4E57C3" w:rsidR="00BB5EFE" w:rsidRPr="00576299" w:rsidRDefault="00BB5EFE" w:rsidP="00487CFA">
            <w:pPr>
              <w:keepNext/>
              <w:widowControl w:val="0"/>
              <w:rPr>
                <w:rFonts w:ascii="Arial Narrow" w:hAnsi="Arial Narrow" w:cs="Calibri"/>
                <w:b/>
                <w:bCs/>
                <w:sz w:val="20"/>
                <w:szCs w:val="20"/>
              </w:rPr>
            </w:pPr>
            <w:r w:rsidRPr="00576299">
              <w:rPr>
                <w:rFonts w:ascii="Arial Narrow" w:hAnsi="Arial Narrow" w:cs="Calibri"/>
                <w:b/>
                <w:bCs/>
                <w:sz w:val="20"/>
                <w:szCs w:val="20"/>
              </w:rPr>
              <w:t>Trial</w:t>
            </w:r>
          </w:p>
        </w:tc>
        <w:tc>
          <w:tcPr>
            <w:tcW w:w="891" w:type="dxa"/>
            <w:shd w:val="clear" w:color="auto" w:fill="auto"/>
            <w:noWrap/>
            <w:vAlign w:val="center"/>
            <w:hideMark/>
          </w:tcPr>
          <w:p w14:paraId="369D1A1A" w14:textId="61E61853" w:rsidR="00BB5EFE" w:rsidRPr="00576299" w:rsidRDefault="00BB5EFE" w:rsidP="00487CFA">
            <w:pPr>
              <w:keepNext/>
              <w:widowControl w:val="0"/>
              <w:jc w:val="center"/>
              <w:rPr>
                <w:rFonts w:ascii="Arial Narrow" w:hAnsi="Arial Narrow" w:cs="Calibri"/>
                <w:b/>
                <w:bCs/>
                <w:sz w:val="20"/>
                <w:szCs w:val="20"/>
              </w:rPr>
            </w:pPr>
            <w:r w:rsidRPr="00576299">
              <w:rPr>
                <w:rFonts w:ascii="Arial Narrow" w:hAnsi="Arial Narrow" w:cs="Calibri"/>
                <w:b/>
                <w:bCs/>
                <w:sz w:val="20"/>
                <w:szCs w:val="20"/>
              </w:rPr>
              <w:t>Analysis set</w:t>
            </w:r>
          </w:p>
        </w:tc>
        <w:tc>
          <w:tcPr>
            <w:tcW w:w="699" w:type="dxa"/>
            <w:shd w:val="clear" w:color="auto" w:fill="auto"/>
            <w:noWrap/>
            <w:vAlign w:val="center"/>
            <w:hideMark/>
          </w:tcPr>
          <w:p w14:paraId="43FF2D8A" w14:textId="5C314112" w:rsidR="00BB5EFE" w:rsidRPr="00576299" w:rsidRDefault="00BB5EFE" w:rsidP="00487CFA">
            <w:pPr>
              <w:keepNext/>
              <w:widowControl w:val="0"/>
              <w:jc w:val="center"/>
              <w:rPr>
                <w:rFonts w:ascii="Arial Narrow" w:hAnsi="Arial Narrow" w:cs="Calibri"/>
                <w:b/>
                <w:bCs/>
                <w:sz w:val="20"/>
                <w:szCs w:val="20"/>
              </w:rPr>
            </w:pPr>
            <w:r w:rsidRPr="00576299">
              <w:rPr>
                <w:rFonts w:ascii="Arial Narrow" w:hAnsi="Arial Narrow" w:cs="Calibri"/>
                <w:b/>
                <w:bCs/>
                <w:sz w:val="20"/>
                <w:szCs w:val="20"/>
              </w:rPr>
              <w:t>N</w:t>
            </w:r>
          </w:p>
        </w:tc>
        <w:tc>
          <w:tcPr>
            <w:tcW w:w="1276" w:type="dxa"/>
            <w:shd w:val="clear" w:color="auto" w:fill="auto"/>
            <w:noWrap/>
            <w:vAlign w:val="center"/>
            <w:hideMark/>
          </w:tcPr>
          <w:p w14:paraId="2F82D5A9" w14:textId="6245774D" w:rsidR="00BB5EFE" w:rsidRPr="00576299" w:rsidRDefault="00735E9F" w:rsidP="00487CFA">
            <w:pPr>
              <w:keepNext/>
              <w:widowControl w:val="0"/>
              <w:jc w:val="center"/>
              <w:rPr>
                <w:rFonts w:ascii="Arial Narrow" w:hAnsi="Arial Narrow" w:cs="Calibri"/>
                <w:b/>
                <w:bCs/>
                <w:sz w:val="20"/>
                <w:szCs w:val="20"/>
              </w:rPr>
            </w:pPr>
            <w:r w:rsidRPr="00576299">
              <w:rPr>
                <w:rFonts w:ascii="Arial Narrow" w:hAnsi="Arial Narrow" w:cs="Calibri"/>
                <w:b/>
                <w:bCs/>
                <w:sz w:val="20"/>
                <w:szCs w:val="20"/>
              </w:rPr>
              <w:t>Events</w:t>
            </w:r>
            <w:r w:rsidR="00BB5EFE" w:rsidRPr="00576299">
              <w:rPr>
                <w:rFonts w:ascii="Arial Narrow" w:hAnsi="Arial Narrow" w:cs="Calibri"/>
                <w:b/>
                <w:bCs/>
                <w:sz w:val="20"/>
                <w:szCs w:val="20"/>
              </w:rPr>
              <w:t>, n (%)</w:t>
            </w:r>
          </w:p>
        </w:tc>
        <w:tc>
          <w:tcPr>
            <w:tcW w:w="1134" w:type="dxa"/>
            <w:shd w:val="clear" w:color="auto" w:fill="auto"/>
            <w:noWrap/>
            <w:vAlign w:val="center"/>
            <w:hideMark/>
          </w:tcPr>
          <w:p w14:paraId="494B75A8" w14:textId="4F66BD78" w:rsidR="00BB5EFE" w:rsidRPr="00576299" w:rsidRDefault="00BB5EFE" w:rsidP="00487CFA">
            <w:pPr>
              <w:keepNext/>
              <w:widowControl w:val="0"/>
              <w:jc w:val="center"/>
              <w:rPr>
                <w:rFonts w:ascii="Arial Narrow" w:hAnsi="Arial Narrow" w:cs="Calibri"/>
                <w:b/>
                <w:bCs/>
                <w:sz w:val="20"/>
                <w:szCs w:val="20"/>
              </w:rPr>
            </w:pPr>
            <w:r w:rsidRPr="00576299">
              <w:rPr>
                <w:rFonts w:ascii="Arial Narrow" w:hAnsi="Arial Narrow" w:cs="Calibri"/>
                <w:b/>
                <w:bCs/>
                <w:sz w:val="20"/>
                <w:szCs w:val="20"/>
              </w:rPr>
              <w:t xml:space="preserve">Censored, </w:t>
            </w:r>
          </w:p>
          <w:p w14:paraId="6EED8FE3" w14:textId="40B450DF" w:rsidR="00BB5EFE" w:rsidRPr="00576299" w:rsidRDefault="00BB5EFE" w:rsidP="00487CFA">
            <w:pPr>
              <w:keepNext/>
              <w:widowControl w:val="0"/>
              <w:jc w:val="center"/>
              <w:rPr>
                <w:rFonts w:ascii="Arial Narrow" w:hAnsi="Arial Narrow" w:cs="Calibri"/>
                <w:b/>
                <w:bCs/>
                <w:sz w:val="20"/>
                <w:szCs w:val="20"/>
              </w:rPr>
            </w:pPr>
            <w:r w:rsidRPr="00576299">
              <w:rPr>
                <w:rFonts w:ascii="Arial Narrow" w:hAnsi="Arial Narrow" w:cs="Calibri"/>
                <w:b/>
                <w:bCs/>
                <w:sz w:val="20"/>
                <w:szCs w:val="20"/>
              </w:rPr>
              <w:t>n (%)</w:t>
            </w:r>
          </w:p>
        </w:tc>
        <w:tc>
          <w:tcPr>
            <w:tcW w:w="1559" w:type="dxa"/>
            <w:shd w:val="clear" w:color="auto" w:fill="auto"/>
            <w:noWrap/>
            <w:vAlign w:val="center"/>
            <w:hideMark/>
          </w:tcPr>
          <w:p w14:paraId="2AB5D9D9" w14:textId="74BA0C3F" w:rsidR="00BB5EFE" w:rsidRPr="00576299" w:rsidRDefault="00BB5EFE" w:rsidP="00487CFA">
            <w:pPr>
              <w:keepNext/>
              <w:widowControl w:val="0"/>
              <w:jc w:val="center"/>
              <w:rPr>
                <w:rFonts w:ascii="Arial Narrow" w:hAnsi="Arial Narrow" w:cs="Calibri"/>
                <w:b/>
                <w:bCs/>
                <w:sz w:val="20"/>
                <w:szCs w:val="20"/>
              </w:rPr>
            </w:pPr>
            <w:r w:rsidRPr="00576299">
              <w:rPr>
                <w:rFonts w:ascii="Arial Narrow" w:hAnsi="Arial Narrow" w:cs="Calibri"/>
                <w:b/>
                <w:bCs/>
                <w:sz w:val="20"/>
                <w:szCs w:val="20"/>
              </w:rPr>
              <w:t>Median, months (95%CI)</w:t>
            </w:r>
          </w:p>
        </w:tc>
        <w:tc>
          <w:tcPr>
            <w:tcW w:w="1035" w:type="dxa"/>
          </w:tcPr>
          <w:p w14:paraId="1D732058" w14:textId="102FB426" w:rsidR="00BB5EFE" w:rsidRPr="00576299" w:rsidRDefault="00DD59F1" w:rsidP="00487CFA">
            <w:pPr>
              <w:keepNext/>
              <w:widowControl w:val="0"/>
              <w:jc w:val="center"/>
              <w:rPr>
                <w:rFonts w:ascii="Arial Narrow" w:hAnsi="Arial Narrow" w:cs="Calibri"/>
                <w:b/>
                <w:bCs/>
                <w:sz w:val="20"/>
                <w:szCs w:val="20"/>
              </w:rPr>
            </w:pPr>
            <w:r w:rsidRPr="00576299">
              <w:rPr>
                <w:rFonts w:ascii="Arial Narrow" w:hAnsi="Arial Narrow" w:cs="Calibri"/>
                <w:b/>
                <w:bCs/>
                <w:sz w:val="20"/>
                <w:szCs w:val="20"/>
              </w:rPr>
              <w:t>12-month</w:t>
            </w:r>
            <w:r w:rsidR="00BB5EFE" w:rsidRPr="00576299">
              <w:rPr>
                <w:rFonts w:ascii="Arial Narrow" w:hAnsi="Arial Narrow" w:cs="Calibri"/>
                <w:b/>
                <w:bCs/>
                <w:sz w:val="20"/>
                <w:szCs w:val="20"/>
              </w:rPr>
              <w:t xml:space="preserve"> PFS %</w:t>
            </w:r>
          </w:p>
        </w:tc>
        <w:tc>
          <w:tcPr>
            <w:tcW w:w="1041" w:type="dxa"/>
          </w:tcPr>
          <w:p w14:paraId="64AC8085" w14:textId="29F796BD" w:rsidR="00BB5EFE" w:rsidRPr="00576299" w:rsidRDefault="00DD59F1" w:rsidP="00487CFA">
            <w:pPr>
              <w:keepNext/>
              <w:widowControl w:val="0"/>
              <w:jc w:val="center"/>
              <w:rPr>
                <w:rFonts w:ascii="Arial Narrow" w:hAnsi="Arial Narrow" w:cs="Calibri"/>
                <w:b/>
                <w:bCs/>
                <w:sz w:val="20"/>
                <w:szCs w:val="20"/>
              </w:rPr>
            </w:pPr>
            <w:r w:rsidRPr="00576299">
              <w:rPr>
                <w:rFonts w:ascii="Arial Narrow" w:hAnsi="Arial Narrow" w:cs="Calibri"/>
                <w:b/>
                <w:bCs/>
                <w:sz w:val="20"/>
                <w:szCs w:val="20"/>
              </w:rPr>
              <w:t>24-month</w:t>
            </w:r>
            <w:r w:rsidR="00BB5EFE" w:rsidRPr="00576299">
              <w:rPr>
                <w:rFonts w:ascii="Arial Narrow" w:hAnsi="Arial Narrow" w:cs="Calibri"/>
                <w:b/>
                <w:bCs/>
                <w:sz w:val="20"/>
                <w:szCs w:val="20"/>
              </w:rPr>
              <w:t xml:space="preserve"> PFS %</w:t>
            </w:r>
          </w:p>
        </w:tc>
      </w:tr>
      <w:tr w:rsidR="00BB5EFE" w:rsidRPr="00576299" w14:paraId="03812C32" w14:textId="248893BE" w:rsidTr="00735E9F">
        <w:trPr>
          <w:trHeight w:val="20"/>
        </w:trPr>
        <w:tc>
          <w:tcPr>
            <w:tcW w:w="6941" w:type="dxa"/>
            <w:gridSpan w:val="6"/>
            <w:vAlign w:val="center"/>
          </w:tcPr>
          <w:p w14:paraId="3DA6C9A5" w14:textId="78994C01" w:rsidR="00BB5EFE" w:rsidRPr="00576299" w:rsidRDefault="00BB5EFE" w:rsidP="00487CFA">
            <w:pPr>
              <w:keepNext/>
              <w:widowControl w:val="0"/>
              <w:rPr>
                <w:rFonts w:ascii="Arial Narrow" w:hAnsi="Arial Narrow" w:cs="Calibri"/>
                <w:b/>
                <w:bCs/>
                <w:sz w:val="20"/>
                <w:szCs w:val="20"/>
              </w:rPr>
            </w:pPr>
            <w:r w:rsidRPr="00576299">
              <w:rPr>
                <w:rFonts w:ascii="Arial Narrow" w:hAnsi="Arial Narrow" w:cs="Calibri"/>
                <w:b/>
                <w:bCs/>
                <w:sz w:val="20"/>
                <w:szCs w:val="20"/>
              </w:rPr>
              <w:t>Dostarlimab</w:t>
            </w:r>
          </w:p>
        </w:tc>
        <w:tc>
          <w:tcPr>
            <w:tcW w:w="1035" w:type="dxa"/>
          </w:tcPr>
          <w:p w14:paraId="4292A4EB" w14:textId="2C05B621" w:rsidR="00BB5EFE" w:rsidRPr="00576299" w:rsidRDefault="00BB5EFE" w:rsidP="00487CFA">
            <w:pPr>
              <w:keepNext/>
              <w:widowControl w:val="0"/>
              <w:rPr>
                <w:rFonts w:ascii="Arial Narrow" w:hAnsi="Arial Narrow" w:cs="Calibri"/>
                <w:sz w:val="20"/>
                <w:szCs w:val="20"/>
              </w:rPr>
            </w:pPr>
          </w:p>
        </w:tc>
        <w:tc>
          <w:tcPr>
            <w:tcW w:w="1041" w:type="dxa"/>
          </w:tcPr>
          <w:p w14:paraId="0ECDAD61" w14:textId="7228DBE3" w:rsidR="00BB5EFE" w:rsidRPr="00576299" w:rsidRDefault="00BB5EFE" w:rsidP="00487CFA">
            <w:pPr>
              <w:keepNext/>
              <w:widowControl w:val="0"/>
              <w:rPr>
                <w:rFonts w:ascii="Arial Narrow" w:hAnsi="Arial Narrow" w:cs="Calibri"/>
                <w:sz w:val="20"/>
                <w:szCs w:val="20"/>
              </w:rPr>
            </w:pPr>
          </w:p>
        </w:tc>
      </w:tr>
      <w:tr w:rsidR="000D382F" w:rsidRPr="00576299" w14:paraId="7A9A3FF3" w14:textId="256DC5AD" w:rsidTr="001A4D5F">
        <w:trPr>
          <w:trHeight w:val="20"/>
        </w:trPr>
        <w:tc>
          <w:tcPr>
            <w:tcW w:w="1382" w:type="dxa"/>
            <w:vMerge w:val="restart"/>
            <w:vAlign w:val="center"/>
          </w:tcPr>
          <w:p w14:paraId="0D89385C" w14:textId="4BF12707" w:rsidR="000D382F" w:rsidRPr="00576299" w:rsidRDefault="000D382F" w:rsidP="00487CFA">
            <w:pPr>
              <w:keepNext/>
              <w:widowControl w:val="0"/>
              <w:rPr>
                <w:rFonts w:ascii="Arial Narrow" w:hAnsi="Arial Narrow" w:cs="Calibri"/>
                <w:sz w:val="20"/>
                <w:szCs w:val="20"/>
              </w:rPr>
            </w:pPr>
            <w:r w:rsidRPr="00576299">
              <w:rPr>
                <w:rFonts w:ascii="Arial Narrow" w:hAnsi="Arial Narrow" w:cs="Calibri"/>
                <w:sz w:val="20"/>
                <w:szCs w:val="20"/>
              </w:rPr>
              <w:t>GARNET Cohort A1</w:t>
            </w:r>
          </w:p>
        </w:tc>
        <w:tc>
          <w:tcPr>
            <w:tcW w:w="891" w:type="dxa"/>
            <w:shd w:val="clear" w:color="auto" w:fill="auto"/>
            <w:noWrap/>
            <w:vAlign w:val="center"/>
            <w:hideMark/>
          </w:tcPr>
          <w:p w14:paraId="6443CBC1" w14:textId="40BF81AC" w:rsidR="000D382F" w:rsidRPr="00576299" w:rsidRDefault="000D382F" w:rsidP="00487CFA">
            <w:pPr>
              <w:keepNext/>
              <w:widowControl w:val="0"/>
              <w:jc w:val="center"/>
              <w:rPr>
                <w:rFonts w:ascii="Arial Narrow" w:hAnsi="Arial Narrow" w:cs="Calibri"/>
                <w:sz w:val="20"/>
                <w:szCs w:val="20"/>
              </w:rPr>
            </w:pPr>
            <w:r w:rsidRPr="00576299">
              <w:rPr>
                <w:rFonts w:ascii="Arial Narrow" w:hAnsi="Arial Narrow" w:cs="Calibri"/>
                <w:sz w:val="20"/>
                <w:szCs w:val="20"/>
              </w:rPr>
              <w:t>ITT</w:t>
            </w:r>
          </w:p>
        </w:tc>
        <w:tc>
          <w:tcPr>
            <w:tcW w:w="699" w:type="dxa"/>
            <w:shd w:val="clear" w:color="auto" w:fill="auto"/>
            <w:noWrap/>
            <w:vAlign w:val="center"/>
            <w:hideMark/>
          </w:tcPr>
          <w:p w14:paraId="17EC9D02" w14:textId="2C10241A" w:rsidR="000D382F" w:rsidRPr="00576299" w:rsidRDefault="000D382F" w:rsidP="00487CFA">
            <w:pPr>
              <w:keepNext/>
              <w:widowControl w:val="0"/>
              <w:jc w:val="center"/>
              <w:rPr>
                <w:rFonts w:ascii="Arial Narrow" w:hAnsi="Arial Narrow" w:cs="Calibri"/>
                <w:sz w:val="20"/>
                <w:szCs w:val="20"/>
              </w:rPr>
            </w:pPr>
            <w:r w:rsidRPr="00576299">
              <w:rPr>
                <w:rFonts w:ascii="Arial Narrow" w:hAnsi="Arial Narrow" w:cs="Calibri"/>
                <w:color w:val="000000"/>
                <w:sz w:val="20"/>
                <w:szCs w:val="20"/>
              </w:rPr>
              <w:t>153</w:t>
            </w:r>
          </w:p>
        </w:tc>
        <w:tc>
          <w:tcPr>
            <w:tcW w:w="1276" w:type="dxa"/>
            <w:shd w:val="clear" w:color="auto" w:fill="auto"/>
            <w:noWrap/>
            <w:vAlign w:val="center"/>
          </w:tcPr>
          <w:p w14:paraId="6B500CCC" w14:textId="4857D0C4" w:rsidR="000D382F" w:rsidRPr="00576299" w:rsidRDefault="000D382F" w:rsidP="00487CFA">
            <w:pPr>
              <w:keepNext/>
              <w:widowControl w:val="0"/>
              <w:jc w:val="center"/>
              <w:rPr>
                <w:rFonts w:ascii="Arial Narrow" w:hAnsi="Arial Narrow" w:cs="Calibri"/>
                <w:sz w:val="20"/>
                <w:szCs w:val="20"/>
              </w:rPr>
            </w:pPr>
            <w:r w:rsidRPr="00576299">
              <w:rPr>
                <w:rFonts w:ascii="Arial Narrow" w:hAnsi="Arial Narrow" w:cs="Calibri"/>
                <w:color w:val="000000"/>
                <w:sz w:val="20"/>
                <w:szCs w:val="20"/>
              </w:rPr>
              <w:t>87 (56.9)</w:t>
            </w:r>
          </w:p>
        </w:tc>
        <w:tc>
          <w:tcPr>
            <w:tcW w:w="1134" w:type="dxa"/>
            <w:shd w:val="clear" w:color="auto" w:fill="auto"/>
            <w:noWrap/>
            <w:vAlign w:val="center"/>
          </w:tcPr>
          <w:p w14:paraId="7907DB5A" w14:textId="0E8E9CFC" w:rsidR="000D382F" w:rsidRPr="00576299" w:rsidRDefault="000D382F" w:rsidP="00487CFA">
            <w:pPr>
              <w:keepNext/>
              <w:widowControl w:val="0"/>
              <w:jc w:val="center"/>
              <w:rPr>
                <w:rFonts w:ascii="Arial Narrow" w:hAnsi="Arial Narrow" w:cs="Calibri"/>
                <w:sz w:val="20"/>
                <w:szCs w:val="20"/>
              </w:rPr>
            </w:pPr>
            <w:r w:rsidRPr="00576299">
              <w:rPr>
                <w:rFonts w:ascii="Arial Narrow" w:hAnsi="Arial Narrow" w:cs="Calibri"/>
                <w:color w:val="000000"/>
                <w:sz w:val="20"/>
                <w:szCs w:val="20"/>
              </w:rPr>
              <w:t>66 (43.1)</w:t>
            </w:r>
          </w:p>
        </w:tc>
        <w:tc>
          <w:tcPr>
            <w:tcW w:w="1559" w:type="dxa"/>
            <w:shd w:val="clear" w:color="auto" w:fill="auto"/>
            <w:noWrap/>
            <w:vAlign w:val="center"/>
          </w:tcPr>
          <w:p w14:paraId="3D77059B" w14:textId="18000E86" w:rsidR="000D382F" w:rsidRPr="00576299" w:rsidRDefault="000D382F" w:rsidP="00487CFA">
            <w:pPr>
              <w:keepNext/>
              <w:widowControl w:val="0"/>
              <w:jc w:val="center"/>
              <w:rPr>
                <w:rFonts w:ascii="Arial Narrow" w:hAnsi="Arial Narrow" w:cs="Calibri"/>
                <w:sz w:val="20"/>
                <w:szCs w:val="20"/>
              </w:rPr>
            </w:pPr>
            <w:r w:rsidRPr="00576299">
              <w:rPr>
                <w:rFonts w:ascii="Arial Narrow" w:hAnsi="Arial Narrow" w:cs="Calibri"/>
                <w:color w:val="000000"/>
                <w:sz w:val="20"/>
                <w:szCs w:val="20"/>
              </w:rPr>
              <w:t>8.3 (4.2, 18.0)</w:t>
            </w:r>
          </w:p>
        </w:tc>
        <w:tc>
          <w:tcPr>
            <w:tcW w:w="1035" w:type="dxa"/>
            <w:vAlign w:val="center"/>
          </w:tcPr>
          <w:p w14:paraId="1A1ED32B" w14:textId="28CFED69" w:rsidR="000D382F" w:rsidRPr="00576299" w:rsidRDefault="000D382F" w:rsidP="00487CFA">
            <w:pPr>
              <w:keepNext/>
              <w:widowControl w:val="0"/>
              <w:jc w:val="center"/>
              <w:rPr>
                <w:rFonts w:ascii="Arial Narrow" w:hAnsi="Arial Narrow" w:cs="Calibri"/>
                <w:sz w:val="20"/>
                <w:szCs w:val="20"/>
              </w:rPr>
            </w:pPr>
            <w:r w:rsidRPr="00576299">
              <w:rPr>
                <w:rFonts w:ascii="Arial Narrow" w:hAnsi="Arial Narrow" w:cs="Calibri"/>
                <w:color w:val="000000"/>
                <w:sz w:val="20"/>
                <w:szCs w:val="20"/>
              </w:rPr>
              <w:t>48.2</w:t>
            </w:r>
          </w:p>
        </w:tc>
        <w:tc>
          <w:tcPr>
            <w:tcW w:w="1041" w:type="dxa"/>
            <w:vAlign w:val="center"/>
          </w:tcPr>
          <w:p w14:paraId="2B97D384" w14:textId="58ADFA72" w:rsidR="000D382F" w:rsidRPr="00576299" w:rsidRDefault="000D382F" w:rsidP="00487CFA">
            <w:pPr>
              <w:keepNext/>
              <w:widowControl w:val="0"/>
              <w:jc w:val="center"/>
              <w:rPr>
                <w:rFonts w:ascii="Arial Narrow" w:hAnsi="Arial Narrow" w:cs="Calibri"/>
                <w:sz w:val="20"/>
                <w:szCs w:val="20"/>
              </w:rPr>
            </w:pPr>
            <w:r w:rsidRPr="00576299">
              <w:rPr>
                <w:rFonts w:ascii="Arial Narrow" w:hAnsi="Arial Narrow" w:cs="Calibri"/>
                <w:color w:val="000000"/>
                <w:sz w:val="20"/>
                <w:szCs w:val="20"/>
              </w:rPr>
              <w:t xml:space="preserve">40.6 </w:t>
            </w:r>
            <w:r w:rsidRPr="00576299">
              <w:rPr>
                <w:rFonts w:ascii="Arial Narrow" w:hAnsi="Arial Narrow" w:cs="Calibri"/>
                <w:color w:val="000000"/>
                <w:sz w:val="20"/>
                <w:szCs w:val="20"/>
                <w:vertAlign w:val="superscript"/>
              </w:rPr>
              <w:t>c</w:t>
            </w:r>
          </w:p>
        </w:tc>
      </w:tr>
      <w:tr w:rsidR="000D382F" w:rsidRPr="00576299" w14:paraId="1C21AD84" w14:textId="75F0E15C" w:rsidTr="00091C93">
        <w:trPr>
          <w:trHeight w:val="20"/>
        </w:trPr>
        <w:tc>
          <w:tcPr>
            <w:tcW w:w="1382" w:type="dxa"/>
            <w:vMerge/>
            <w:vAlign w:val="center"/>
          </w:tcPr>
          <w:p w14:paraId="0A9434AF" w14:textId="7F4544A7" w:rsidR="000D382F" w:rsidRPr="00576299" w:rsidRDefault="000D382F" w:rsidP="00487CFA">
            <w:pPr>
              <w:keepNext/>
              <w:widowControl w:val="0"/>
              <w:rPr>
                <w:rFonts w:ascii="Arial Narrow" w:hAnsi="Arial Narrow" w:cs="Calibri"/>
                <w:sz w:val="20"/>
                <w:szCs w:val="20"/>
              </w:rPr>
            </w:pPr>
          </w:p>
        </w:tc>
        <w:tc>
          <w:tcPr>
            <w:tcW w:w="891" w:type="dxa"/>
            <w:shd w:val="clear" w:color="auto" w:fill="auto"/>
            <w:noWrap/>
            <w:vAlign w:val="center"/>
            <w:hideMark/>
          </w:tcPr>
          <w:p w14:paraId="72B5C429" w14:textId="677645D5" w:rsidR="000D382F" w:rsidRPr="00576299" w:rsidRDefault="000D382F" w:rsidP="00487CFA">
            <w:pPr>
              <w:keepNext/>
              <w:widowControl w:val="0"/>
              <w:jc w:val="center"/>
              <w:rPr>
                <w:rFonts w:ascii="Arial Narrow" w:hAnsi="Arial Narrow" w:cs="Calibri"/>
                <w:sz w:val="20"/>
                <w:szCs w:val="20"/>
              </w:rPr>
            </w:pPr>
            <w:r w:rsidRPr="00576299">
              <w:rPr>
                <w:rFonts w:ascii="Arial Narrow" w:hAnsi="Arial Narrow" w:cs="Calibri"/>
                <w:sz w:val="20"/>
                <w:szCs w:val="20"/>
              </w:rPr>
              <w:t>PES</w:t>
            </w:r>
          </w:p>
        </w:tc>
        <w:tc>
          <w:tcPr>
            <w:tcW w:w="699" w:type="dxa"/>
            <w:shd w:val="clear" w:color="auto" w:fill="C6D9F1" w:themeFill="text2" w:themeFillTint="33"/>
            <w:noWrap/>
            <w:vAlign w:val="center"/>
            <w:hideMark/>
          </w:tcPr>
          <w:p w14:paraId="423347A4" w14:textId="28A305AA" w:rsidR="000D382F" w:rsidRPr="00576299" w:rsidRDefault="000D382F" w:rsidP="00487CFA">
            <w:pPr>
              <w:keepNext/>
              <w:widowControl w:val="0"/>
              <w:jc w:val="center"/>
              <w:rPr>
                <w:rFonts w:ascii="Arial Narrow" w:hAnsi="Arial Narrow" w:cs="Calibri"/>
                <w:sz w:val="20"/>
                <w:szCs w:val="20"/>
              </w:rPr>
            </w:pPr>
            <w:r w:rsidRPr="00576299">
              <w:rPr>
                <w:rFonts w:ascii="Arial Narrow" w:hAnsi="Arial Narrow" w:cs="Calibri"/>
                <w:color w:val="000000"/>
                <w:sz w:val="20"/>
                <w:szCs w:val="20"/>
              </w:rPr>
              <w:t>143</w:t>
            </w:r>
          </w:p>
        </w:tc>
        <w:tc>
          <w:tcPr>
            <w:tcW w:w="1276" w:type="dxa"/>
            <w:shd w:val="clear" w:color="auto" w:fill="C6D9F1" w:themeFill="text2" w:themeFillTint="33"/>
            <w:noWrap/>
            <w:vAlign w:val="center"/>
          </w:tcPr>
          <w:p w14:paraId="44502409" w14:textId="20B0F134" w:rsidR="000D382F" w:rsidRPr="00576299" w:rsidRDefault="000D382F" w:rsidP="00487CFA">
            <w:pPr>
              <w:keepNext/>
              <w:widowControl w:val="0"/>
              <w:jc w:val="center"/>
              <w:rPr>
                <w:rFonts w:ascii="Arial Narrow" w:hAnsi="Arial Narrow" w:cs="Calibri"/>
                <w:sz w:val="20"/>
                <w:szCs w:val="20"/>
              </w:rPr>
            </w:pPr>
            <w:r w:rsidRPr="00576299">
              <w:rPr>
                <w:rFonts w:ascii="Arial Narrow" w:hAnsi="Arial Narrow" w:cs="Calibri"/>
                <w:color w:val="000000"/>
                <w:sz w:val="20"/>
                <w:szCs w:val="20"/>
              </w:rPr>
              <w:t>83 (58.0)</w:t>
            </w:r>
          </w:p>
        </w:tc>
        <w:tc>
          <w:tcPr>
            <w:tcW w:w="1134" w:type="dxa"/>
            <w:shd w:val="clear" w:color="auto" w:fill="C6D9F1" w:themeFill="text2" w:themeFillTint="33"/>
            <w:noWrap/>
            <w:vAlign w:val="center"/>
          </w:tcPr>
          <w:p w14:paraId="518355B8" w14:textId="1AA76977" w:rsidR="000D382F" w:rsidRPr="00576299" w:rsidRDefault="000D382F" w:rsidP="00487CFA">
            <w:pPr>
              <w:keepNext/>
              <w:widowControl w:val="0"/>
              <w:jc w:val="center"/>
              <w:rPr>
                <w:rFonts w:ascii="Arial Narrow" w:hAnsi="Arial Narrow" w:cs="Calibri"/>
                <w:sz w:val="20"/>
                <w:szCs w:val="20"/>
              </w:rPr>
            </w:pPr>
            <w:r w:rsidRPr="00576299">
              <w:rPr>
                <w:rFonts w:ascii="Arial Narrow" w:hAnsi="Arial Narrow" w:cs="Calibri"/>
                <w:color w:val="000000"/>
                <w:sz w:val="20"/>
                <w:szCs w:val="20"/>
              </w:rPr>
              <w:t>60 (42.0)</w:t>
            </w:r>
          </w:p>
        </w:tc>
        <w:tc>
          <w:tcPr>
            <w:tcW w:w="1559" w:type="dxa"/>
            <w:shd w:val="clear" w:color="auto" w:fill="C6D9F1" w:themeFill="text2" w:themeFillTint="33"/>
            <w:noWrap/>
            <w:vAlign w:val="center"/>
          </w:tcPr>
          <w:p w14:paraId="367C55A0" w14:textId="5DDE0276" w:rsidR="000D382F" w:rsidRPr="00576299" w:rsidRDefault="000D382F" w:rsidP="00487CFA">
            <w:pPr>
              <w:keepNext/>
              <w:widowControl w:val="0"/>
              <w:jc w:val="center"/>
              <w:rPr>
                <w:rFonts w:ascii="Arial Narrow" w:hAnsi="Arial Narrow" w:cs="Calibri"/>
                <w:sz w:val="20"/>
                <w:szCs w:val="20"/>
              </w:rPr>
            </w:pPr>
            <w:r w:rsidRPr="00576299">
              <w:rPr>
                <w:rFonts w:ascii="Arial Narrow" w:hAnsi="Arial Narrow" w:cs="Calibri"/>
                <w:color w:val="000000"/>
                <w:sz w:val="20"/>
                <w:szCs w:val="20"/>
              </w:rPr>
              <w:t>6.0 (4.1, 18.0)</w:t>
            </w:r>
          </w:p>
        </w:tc>
        <w:tc>
          <w:tcPr>
            <w:tcW w:w="1035" w:type="dxa"/>
            <w:vAlign w:val="center"/>
          </w:tcPr>
          <w:p w14:paraId="5AEDB689" w14:textId="1ACAD6CB" w:rsidR="000D382F" w:rsidRPr="00576299" w:rsidRDefault="000D382F" w:rsidP="00487CFA">
            <w:pPr>
              <w:keepNext/>
              <w:widowControl w:val="0"/>
              <w:jc w:val="center"/>
              <w:rPr>
                <w:rFonts w:ascii="Arial Narrow" w:hAnsi="Arial Narrow" w:cs="Calibri"/>
                <w:sz w:val="20"/>
                <w:szCs w:val="20"/>
              </w:rPr>
            </w:pPr>
            <w:r w:rsidRPr="00576299">
              <w:rPr>
                <w:rFonts w:ascii="Arial Narrow" w:hAnsi="Arial Narrow" w:cs="Calibri"/>
                <w:color w:val="000000"/>
                <w:sz w:val="20"/>
                <w:szCs w:val="20"/>
              </w:rPr>
              <w:t>46.4</w:t>
            </w:r>
          </w:p>
        </w:tc>
        <w:tc>
          <w:tcPr>
            <w:tcW w:w="1041" w:type="dxa"/>
            <w:vAlign w:val="center"/>
          </w:tcPr>
          <w:p w14:paraId="6C8096AF" w14:textId="4C18FEB9" w:rsidR="000D382F" w:rsidRPr="00576299" w:rsidRDefault="000D382F" w:rsidP="00487CFA">
            <w:pPr>
              <w:keepNext/>
              <w:widowControl w:val="0"/>
              <w:jc w:val="center"/>
              <w:rPr>
                <w:rFonts w:ascii="Arial Narrow" w:hAnsi="Arial Narrow" w:cs="Calibri"/>
                <w:sz w:val="20"/>
                <w:szCs w:val="20"/>
              </w:rPr>
            </w:pPr>
            <w:r w:rsidRPr="00576299">
              <w:rPr>
                <w:rFonts w:ascii="Arial Narrow" w:hAnsi="Arial Narrow" w:cs="Calibri"/>
                <w:color w:val="000000"/>
                <w:sz w:val="20"/>
                <w:szCs w:val="20"/>
              </w:rPr>
              <w:t xml:space="preserve">40.0 </w:t>
            </w:r>
            <w:r w:rsidRPr="00576299">
              <w:rPr>
                <w:rFonts w:ascii="Arial Narrow" w:hAnsi="Arial Narrow" w:cs="Calibri"/>
                <w:color w:val="000000"/>
                <w:sz w:val="20"/>
                <w:szCs w:val="20"/>
                <w:vertAlign w:val="superscript"/>
              </w:rPr>
              <w:t>c</w:t>
            </w:r>
          </w:p>
        </w:tc>
      </w:tr>
      <w:tr w:rsidR="000D382F" w:rsidRPr="00576299" w14:paraId="7C23E528" w14:textId="09FF273D" w:rsidTr="001A4D5F">
        <w:trPr>
          <w:trHeight w:val="20"/>
        </w:trPr>
        <w:tc>
          <w:tcPr>
            <w:tcW w:w="1382" w:type="dxa"/>
            <w:vMerge/>
            <w:vAlign w:val="center"/>
          </w:tcPr>
          <w:p w14:paraId="3D65CA37" w14:textId="350284AD" w:rsidR="000D382F" w:rsidRPr="00576299" w:rsidRDefault="000D382F" w:rsidP="00487CFA">
            <w:pPr>
              <w:keepNext/>
              <w:widowControl w:val="0"/>
              <w:rPr>
                <w:rFonts w:ascii="Arial Narrow" w:hAnsi="Arial Narrow" w:cs="Calibri"/>
                <w:sz w:val="20"/>
                <w:szCs w:val="20"/>
              </w:rPr>
            </w:pPr>
          </w:p>
        </w:tc>
        <w:tc>
          <w:tcPr>
            <w:tcW w:w="891" w:type="dxa"/>
            <w:shd w:val="clear" w:color="auto" w:fill="auto"/>
            <w:noWrap/>
            <w:vAlign w:val="center"/>
          </w:tcPr>
          <w:p w14:paraId="050B7E78" w14:textId="7CF537A9" w:rsidR="000D382F" w:rsidRPr="00576299" w:rsidRDefault="000D382F" w:rsidP="00487CFA">
            <w:pPr>
              <w:keepNext/>
              <w:widowControl w:val="0"/>
              <w:jc w:val="center"/>
              <w:rPr>
                <w:rFonts w:ascii="Arial Narrow" w:hAnsi="Arial Narrow" w:cs="Calibri"/>
                <w:sz w:val="20"/>
                <w:szCs w:val="20"/>
              </w:rPr>
            </w:pPr>
            <w:r w:rsidRPr="00576299">
              <w:rPr>
                <w:rFonts w:ascii="Arial Narrow" w:hAnsi="Arial Narrow" w:cs="Calibri"/>
                <w:sz w:val="20"/>
                <w:szCs w:val="20"/>
              </w:rPr>
              <w:t>MAS</w:t>
            </w:r>
            <w:r w:rsidR="000521B5">
              <w:rPr>
                <w:rFonts w:ascii="Arial Narrow" w:hAnsi="Arial Narrow" w:cs="Calibri"/>
                <w:sz w:val="20"/>
                <w:szCs w:val="20"/>
              </w:rPr>
              <w:t>*</w:t>
            </w:r>
          </w:p>
        </w:tc>
        <w:tc>
          <w:tcPr>
            <w:tcW w:w="699" w:type="dxa"/>
            <w:shd w:val="clear" w:color="auto" w:fill="auto"/>
            <w:noWrap/>
            <w:vAlign w:val="center"/>
          </w:tcPr>
          <w:p w14:paraId="24FF76F2" w14:textId="668507EE" w:rsidR="000D382F" w:rsidRPr="00576299" w:rsidRDefault="00735E9F" w:rsidP="00487CFA">
            <w:pPr>
              <w:keepNext/>
              <w:widowControl w:val="0"/>
              <w:jc w:val="center"/>
              <w:rPr>
                <w:rFonts w:ascii="Arial Narrow" w:hAnsi="Arial Narrow" w:cs="Calibri"/>
                <w:color w:val="000000"/>
                <w:sz w:val="20"/>
                <w:szCs w:val="20"/>
              </w:rPr>
            </w:pPr>
            <w:r w:rsidRPr="00576299">
              <w:rPr>
                <w:rFonts w:ascii="Arial Narrow" w:hAnsi="Arial Narrow" w:cs="Calibri"/>
                <w:color w:val="000000"/>
                <w:sz w:val="20"/>
                <w:szCs w:val="20"/>
              </w:rPr>
              <w:t>128.2</w:t>
            </w:r>
          </w:p>
        </w:tc>
        <w:tc>
          <w:tcPr>
            <w:tcW w:w="1276" w:type="dxa"/>
            <w:shd w:val="clear" w:color="auto" w:fill="auto"/>
            <w:noWrap/>
            <w:vAlign w:val="center"/>
          </w:tcPr>
          <w:p w14:paraId="7782E1FA" w14:textId="1FDEECC3" w:rsidR="000D382F" w:rsidRPr="00EF626F" w:rsidRDefault="00735E9F" w:rsidP="00487CFA">
            <w:pPr>
              <w:keepNext/>
              <w:widowControl w:val="0"/>
              <w:jc w:val="center"/>
              <w:rPr>
                <w:rFonts w:ascii="Arial Narrow" w:hAnsi="Arial Narrow" w:cs="Calibri"/>
                <w:color w:val="000000"/>
                <w:sz w:val="20"/>
                <w:szCs w:val="20"/>
              </w:rPr>
            </w:pPr>
            <w:r w:rsidRPr="00EF626F">
              <w:rPr>
                <w:rFonts w:ascii="Arial Narrow" w:hAnsi="Arial Narrow" w:cs="Calibri"/>
                <w:color w:val="000000"/>
                <w:sz w:val="20"/>
                <w:szCs w:val="20"/>
              </w:rPr>
              <w:t>70.9 (55.3)</w:t>
            </w:r>
          </w:p>
        </w:tc>
        <w:tc>
          <w:tcPr>
            <w:tcW w:w="1134" w:type="dxa"/>
            <w:shd w:val="clear" w:color="auto" w:fill="auto"/>
            <w:noWrap/>
            <w:vAlign w:val="center"/>
          </w:tcPr>
          <w:p w14:paraId="73241945" w14:textId="6578C53A" w:rsidR="000D382F" w:rsidRPr="00EF626F" w:rsidRDefault="00735E9F" w:rsidP="00487CFA">
            <w:pPr>
              <w:keepNext/>
              <w:widowControl w:val="0"/>
              <w:jc w:val="center"/>
              <w:rPr>
                <w:rFonts w:ascii="Arial Narrow" w:hAnsi="Arial Narrow" w:cs="Calibri"/>
                <w:color w:val="000000"/>
                <w:sz w:val="20"/>
                <w:szCs w:val="20"/>
              </w:rPr>
            </w:pPr>
            <w:r w:rsidRPr="00EF626F">
              <w:rPr>
                <w:rFonts w:ascii="Arial Narrow" w:hAnsi="Arial Narrow" w:cs="Calibri"/>
                <w:color w:val="000000"/>
                <w:sz w:val="20"/>
                <w:szCs w:val="20"/>
              </w:rPr>
              <w:t>57.3 (44.7)</w:t>
            </w:r>
          </w:p>
        </w:tc>
        <w:tc>
          <w:tcPr>
            <w:tcW w:w="1559" w:type="dxa"/>
            <w:shd w:val="clear" w:color="auto" w:fill="auto"/>
            <w:noWrap/>
            <w:vAlign w:val="center"/>
          </w:tcPr>
          <w:p w14:paraId="4AEA6A2C" w14:textId="781B24C6" w:rsidR="000D382F" w:rsidRPr="00EF626F" w:rsidRDefault="00735E9F" w:rsidP="00487CFA">
            <w:pPr>
              <w:keepNext/>
              <w:widowControl w:val="0"/>
              <w:jc w:val="center"/>
              <w:rPr>
                <w:rFonts w:ascii="Arial Narrow" w:hAnsi="Arial Narrow" w:cs="Calibri"/>
                <w:color w:val="000000"/>
                <w:sz w:val="20"/>
                <w:szCs w:val="20"/>
              </w:rPr>
            </w:pPr>
            <w:r w:rsidRPr="00EF626F">
              <w:rPr>
                <w:rFonts w:ascii="Arial Narrow" w:hAnsi="Arial Narrow" w:cs="Calibri"/>
                <w:color w:val="000000"/>
                <w:sz w:val="20"/>
                <w:szCs w:val="20"/>
              </w:rPr>
              <w:t>12.2 (4.21, 41.6)</w:t>
            </w:r>
          </w:p>
        </w:tc>
        <w:tc>
          <w:tcPr>
            <w:tcW w:w="1035" w:type="dxa"/>
            <w:vAlign w:val="center"/>
          </w:tcPr>
          <w:p w14:paraId="1DF7E870" w14:textId="01DB2BA8" w:rsidR="000D382F" w:rsidRPr="00EF626F" w:rsidRDefault="00735E9F" w:rsidP="00487CFA">
            <w:pPr>
              <w:keepNext/>
              <w:widowControl w:val="0"/>
              <w:jc w:val="center"/>
              <w:rPr>
                <w:rFonts w:ascii="Arial Narrow" w:hAnsi="Arial Narrow" w:cs="Calibri"/>
                <w:color w:val="000000"/>
                <w:sz w:val="20"/>
                <w:szCs w:val="20"/>
              </w:rPr>
            </w:pPr>
            <w:r w:rsidRPr="00EF626F">
              <w:rPr>
                <w:rFonts w:ascii="Arial Narrow" w:hAnsi="Arial Narrow" w:cs="Calibri"/>
                <w:color w:val="000000"/>
                <w:sz w:val="20"/>
                <w:szCs w:val="20"/>
              </w:rPr>
              <w:t>N/R</w:t>
            </w:r>
          </w:p>
        </w:tc>
        <w:tc>
          <w:tcPr>
            <w:tcW w:w="1041" w:type="dxa"/>
            <w:vAlign w:val="center"/>
          </w:tcPr>
          <w:p w14:paraId="4A9CCAFB" w14:textId="6CDA33B9" w:rsidR="000D382F" w:rsidRPr="00EF626F" w:rsidRDefault="00735E9F" w:rsidP="00487CFA">
            <w:pPr>
              <w:keepNext/>
              <w:widowControl w:val="0"/>
              <w:jc w:val="center"/>
              <w:rPr>
                <w:rFonts w:ascii="Arial Narrow" w:hAnsi="Arial Narrow" w:cs="Calibri"/>
                <w:color w:val="000000"/>
                <w:sz w:val="20"/>
                <w:szCs w:val="20"/>
              </w:rPr>
            </w:pPr>
            <w:r w:rsidRPr="00EF626F">
              <w:rPr>
                <w:rFonts w:ascii="Arial Narrow" w:hAnsi="Arial Narrow" w:cs="Calibri"/>
                <w:color w:val="000000"/>
                <w:sz w:val="20"/>
                <w:szCs w:val="20"/>
              </w:rPr>
              <w:t>N/R</w:t>
            </w:r>
          </w:p>
        </w:tc>
      </w:tr>
      <w:tr w:rsidR="00BB5EFE" w:rsidRPr="00576299" w14:paraId="3DCB1C14" w14:textId="02BEC486" w:rsidTr="00735E9F">
        <w:trPr>
          <w:trHeight w:val="20"/>
        </w:trPr>
        <w:tc>
          <w:tcPr>
            <w:tcW w:w="6941" w:type="dxa"/>
            <w:gridSpan w:val="6"/>
            <w:vAlign w:val="center"/>
          </w:tcPr>
          <w:p w14:paraId="5FF8DD75" w14:textId="00BA88ED" w:rsidR="00BB5EFE" w:rsidRPr="00EF626F" w:rsidRDefault="00BB5EFE" w:rsidP="00487CFA">
            <w:pPr>
              <w:keepNext/>
              <w:widowControl w:val="0"/>
              <w:rPr>
                <w:rFonts w:ascii="Arial Narrow" w:hAnsi="Arial Narrow" w:cs="Calibri"/>
                <w:b/>
                <w:bCs/>
                <w:sz w:val="20"/>
                <w:szCs w:val="20"/>
              </w:rPr>
            </w:pPr>
            <w:r w:rsidRPr="00EF626F">
              <w:rPr>
                <w:rFonts w:ascii="Arial Narrow" w:hAnsi="Arial Narrow" w:cs="Calibri"/>
                <w:b/>
                <w:bCs/>
                <w:sz w:val="20"/>
                <w:szCs w:val="20"/>
              </w:rPr>
              <w:t>SoC</w:t>
            </w:r>
          </w:p>
        </w:tc>
        <w:tc>
          <w:tcPr>
            <w:tcW w:w="1035" w:type="dxa"/>
          </w:tcPr>
          <w:p w14:paraId="6954B010" w14:textId="0F23AB6A" w:rsidR="00BB5EFE" w:rsidRPr="00576299" w:rsidRDefault="00BB5EFE" w:rsidP="00487CFA">
            <w:pPr>
              <w:keepNext/>
              <w:widowControl w:val="0"/>
              <w:rPr>
                <w:rFonts w:ascii="Arial Narrow" w:hAnsi="Arial Narrow" w:cs="Calibri"/>
                <w:sz w:val="20"/>
                <w:szCs w:val="20"/>
              </w:rPr>
            </w:pPr>
          </w:p>
        </w:tc>
        <w:tc>
          <w:tcPr>
            <w:tcW w:w="1041" w:type="dxa"/>
          </w:tcPr>
          <w:p w14:paraId="70F3387E" w14:textId="6673C7A4" w:rsidR="00BB5EFE" w:rsidRPr="00576299" w:rsidRDefault="00BB5EFE" w:rsidP="00487CFA">
            <w:pPr>
              <w:keepNext/>
              <w:widowControl w:val="0"/>
              <w:rPr>
                <w:rFonts w:ascii="Arial Narrow" w:hAnsi="Arial Narrow" w:cs="Calibri"/>
                <w:sz w:val="20"/>
                <w:szCs w:val="20"/>
              </w:rPr>
            </w:pPr>
          </w:p>
        </w:tc>
      </w:tr>
      <w:tr w:rsidR="00735E9F" w:rsidRPr="00576299" w14:paraId="4470620F" w14:textId="220A00A2" w:rsidTr="001A4D5F">
        <w:trPr>
          <w:trHeight w:val="20"/>
        </w:trPr>
        <w:tc>
          <w:tcPr>
            <w:tcW w:w="1382" w:type="dxa"/>
            <w:vMerge w:val="restart"/>
            <w:vAlign w:val="center"/>
          </w:tcPr>
          <w:p w14:paraId="34011118" w14:textId="73F35262" w:rsidR="00735E9F" w:rsidRPr="00576299" w:rsidRDefault="00735E9F" w:rsidP="00487CFA">
            <w:pPr>
              <w:keepNext/>
              <w:widowControl w:val="0"/>
              <w:rPr>
                <w:rFonts w:ascii="Arial Narrow" w:hAnsi="Arial Narrow" w:cs="Calibri"/>
                <w:sz w:val="20"/>
                <w:szCs w:val="20"/>
                <w:vertAlign w:val="superscript"/>
              </w:rPr>
            </w:pPr>
            <w:r w:rsidRPr="00576299">
              <w:rPr>
                <w:rFonts w:ascii="Arial Narrow" w:hAnsi="Arial Narrow" w:cs="Calibri"/>
                <w:sz w:val="20"/>
                <w:szCs w:val="20"/>
              </w:rPr>
              <w:t xml:space="preserve">ZoptEC (doxorubicin) </w:t>
            </w:r>
            <w:r w:rsidR="000E2B7E" w:rsidRPr="00576299">
              <w:rPr>
                <w:rFonts w:ascii="Arial Narrow" w:hAnsi="Arial Narrow" w:cs="Calibri"/>
                <w:sz w:val="20"/>
                <w:szCs w:val="20"/>
                <w:vertAlign w:val="superscript"/>
              </w:rPr>
              <w:t>a</w:t>
            </w:r>
          </w:p>
        </w:tc>
        <w:tc>
          <w:tcPr>
            <w:tcW w:w="891" w:type="dxa"/>
            <w:shd w:val="clear" w:color="auto" w:fill="auto"/>
            <w:noWrap/>
            <w:vAlign w:val="center"/>
            <w:hideMark/>
          </w:tcPr>
          <w:p w14:paraId="27F999CA" w14:textId="6959E1B8" w:rsidR="00735E9F" w:rsidRPr="00576299" w:rsidRDefault="00735E9F" w:rsidP="00487CFA">
            <w:pPr>
              <w:keepNext/>
              <w:widowControl w:val="0"/>
              <w:jc w:val="center"/>
              <w:rPr>
                <w:rFonts w:ascii="Arial Narrow" w:hAnsi="Arial Narrow" w:cs="Calibri"/>
                <w:sz w:val="20"/>
                <w:szCs w:val="20"/>
              </w:rPr>
            </w:pPr>
            <w:r w:rsidRPr="00576299">
              <w:rPr>
                <w:rFonts w:ascii="Arial Narrow" w:hAnsi="Arial Narrow" w:cs="Calibri"/>
                <w:sz w:val="20"/>
                <w:szCs w:val="20"/>
              </w:rPr>
              <w:t>mITT</w:t>
            </w:r>
          </w:p>
        </w:tc>
        <w:tc>
          <w:tcPr>
            <w:tcW w:w="699" w:type="dxa"/>
            <w:shd w:val="clear" w:color="auto" w:fill="B8CCE4" w:themeFill="accent1" w:themeFillTint="66"/>
            <w:noWrap/>
            <w:vAlign w:val="center"/>
            <w:hideMark/>
          </w:tcPr>
          <w:p w14:paraId="2D8DAC95" w14:textId="6E5B6467" w:rsidR="00735E9F" w:rsidRPr="00576299" w:rsidRDefault="00735E9F" w:rsidP="00487CFA">
            <w:pPr>
              <w:keepNext/>
              <w:widowControl w:val="0"/>
              <w:jc w:val="center"/>
              <w:rPr>
                <w:rFonts w:ascii="Arial Narrow" w:hAnsi="Arial Narrow" w:cs="Calibri"/>
                <w:sz w:val="20"/>
                <w:szCs w:val="20"/>
              </w:rPr>
            </w:pPr>
            <w:r w:rsidRPr="00576299">
              <w:rPr>
                <w:rFonts w:ascii="Arial Narrow" w:hAnsi="Arial Narrow" w:cs="Calibri"/>
                <w:color w:val="000000"/>
                <w:sz w:val="20"/>
                <w:szCs w:val="20"/>
              </w:rPr>
              <w:t>249</w:t>
            </w:r>
          </w:p>
        </w:tc>
        <w:tc>
          <w:tcPr>
            <w:tcW w:w="1276" w:type="dxa"/>
            <w:shd w:val="clear" w:color="auto" w:fill="B8CCE4" w:themeFill="accent1" w:themeFillTint="66"/>
            <w:noWrap/>
            <w:vAlign w:val="center"/>
            <w:hideMark/>
          </w:tcPr>
          <w:p w14:paraId="2F228D92" w14:textId="6512F8C1" w:rsidR="00735E9F" w:rsidRPr="00EF626F" w:rsidRDefault="00735E9F" w:rsidP="00487CFA">
            <w:pPr>
              <w:keepNext/>
              <w:widowControl w:val="0"/>
              <w:jc w:val="center"/>
              <w:rPr>
                <w:rFonts w:ascii="Arial Narrow" w:hAnsi="Arial Narrow" w:cs="Calibri"/>
                <w:sz w:val="20"/>
                <w:szCs w:val="20"/>
              </w:rPr>
            </w:pPr>
            <w:r w:rsidRPr="00EF626F">
              <w:rPr>
                <w:rFonts w:ascii="Arial Narrow" w:hAnsi="Arial Narrow" w:cs="Calibri"/>
                <w:color w:val="000000"/>
                <w:sz w:val="20"/>
                <w:szCs w:val="20"/>
              </w:rPr>
              <w:t>148 (59.4)</w:t>
            </w:r>
          </w:p>
        </w:tc>
        <w:tc>
          <w:tcPr>
            <w:tcW w:w="1134" w:type="dxa"/>
            <w:shd w:val="clear" w:color="auto" w:fill="B8CCE4" w:themeFill="accent1" w:themeFillTint="66"/>
            <w:noWrap/>
            <w:vAlign w:val="center"/>
            <w:hideMark/>
          </w:tcPr>
          <w:p w14:paraId="5B9DF1C7" w14:textId="148CA94E" w:rsidR="00735E9F" w:rsidRPr="00EF626F" w:rsidRDefault="00735E9F" w:rsidP="00487CFA">
            <w:pPr>
              <w:keepNext/>
              <w:widowControl w:val="0"/>
              <w:jc w:val="center"/>
              <w:rPr>
                <w:rFonts w:ascii="Arial Narrow" w:hAnsi="Arial Narrow" w:cs="Calibri"/>
                <w:sz w:val="20"/>
                <w:szCs w:val="20"/>
              </w:rPr>
            </w:pPr>
            <w:r w:rsidRPr="00EF626F">
              <w:rPr>
                <w:rFonts w:ascii="Arial Narrow" w:hAnsi="Arial Narrow" w:cs="Calibri"/>
                <w:color w:val="000000"/>
                <w:sz w:val="20"/>
                <w:szCs w:val="20"/>
              </w:rPr>
              <w:t>101 (40.6)</w:t>
            </w:r>
          </w:p>
        </w:tc>
        <w:tc>
          <w:tcPr>
            <w:tcW w:w="1559" w:type="dxa"/>
            <w:shd w:val="clear" w:color="auto" w:fill="B8CCE4" w:themeFill="accent1" w:themeFillTint="66"/>
            <w:noWrap/>
            <w:vAlign w:val="center"/>
            <w:hideMark/>
          </w:tcPr>
          <w:p w14:paraId="55515408" w14:textId="226B96B2" w:rsidR="00735E9F" w:rsidRPr="00EF626F" w:rsidRDefault="00735E9F" w:rsidP="00487CFA">
            <w:pPr>
              <w:keepNext/>
              <w:widowControl w:val="0"/>
              <w:jc w:val="center"/>
              <w:rPr>
                <w:rFonts w:ascii="Arial Narrow" w:hAnsi="Arial Narrow" w:cs="Calibri"/>
                <w:sz w:val="20"/>
                <w:szCs w:val="20"/>
              </w:rPr>
            </w:pPr>
            <w:r w:rsidRPr="00EF626F">
              <w:rPr>
                <w:rFonts w:ascii="Arial Narrow" w:hAnsi="Arial Narrow" w:cs="Calibri"/>
                <w:color w:val="000000"/>
                <w:sz w:val="20"/>
                <w:szCs w:val="20"/>
              </w:rPr>
              <w:t>4.7 (4.1, 6.6)</w:t>
            </w:r>
          </w:p>
        </w:tc>
        <w:tc>
          <w:tcPr>
            <w:tcW w:w="1035" w:type="dxa"/>
            <w:shd w:val="clear" w:color="auto" w:fill="auto"/>
            <w:vAlign w:val="center"/>
          </w:tcPr>
          <w:p w14:paraId="2C119099" w14:textId="112FC797" w:rsidR="00735E9F" w:rsidRPr="00576299" w:rsidRDefault="00735E9F" w:rsidP="00487CFA">
            <w:pPr>
              <w:keepNext/>
              <w:widowControl w:val="0"/>
              <w:jc w:val="center"/>
              <w:rPr>
                <w:rFonts w:ascii="Arial Narrow" w:hAnsi="Arial Narrow" w:cs="Calibri"/>
                <w:sz w:val="20"/>
                <w:szCs w:val="20"/>
              </w:rPr>
            </w:pPr>
            <w:r w:rsidRPr="00576299">
              <w:rPr>
                <w:rFonts w:ascii="Arial Narrow" w:hAnsi="Arial Narrow" w:cs="Calibri"/>
                <w:color w:val="000000"/>
                <w:sz w:val="20"/>
                <w:szCs w:val="20"/>
              </w:rPr>
              <w:t xml:space="preserve">12.3 </w:t>
            </w:r>
            <w:r w:rsidR="000E2B7E" w:rsidRPr="00576299">
              <w:rPr>
                <w:rFonts w:ascii="Arial Narrow" w:hAnsi="Arial Narrow" w:cs="Calibri"/>
                <w:color w:val="000000"/>
                <w:sz w:val="20"/>
                <w:szCs w:val="20"/>
                <w:vertAlign w:val="superscript"/>
              </w:rPr>
              <w:t>b</w:t>
            </w:r>
          </w:p>
        </w:tc>
        <w:tc>
          <w:tcPr>
            <w:tcW w:w="1041" w:type="dxa"/>
            <w:shd w:val="clear" w:color="auto" w:fill="auto"/>
            <w:vAlign w:val="center"/>
          </w:tcPr>
          <w:p w14:paraId="38E50151" w14:textId="60EDE8D4" w:rsidR="00735E9F" w:rsidRPr="00576299" w:rsidRDefault="00735E9F" w:rsidP="00487CFA">
            <w:pPr>
              <w:keepNext/>
              <w:widowControl w:val="0"/>
              <w:jc w:val="center"/>
              <w:rPr>
                <w:rFonts w:ascii="Arial Narrow" w:hAnsi="Arial Narrow" w:cs="Calibri"/>
                <w:sz w:val="20"/>
                <w:szCs w:val="20"/>
              </w:rPr>
            </w:pPr>
            <w:r w:rsidRPr="00576299">
              <w:rPr>
                <w:rFonts w:ascii="Arial Narrow" w:hAnsi="Arial Narrow" w:cs="Calibri"/>
                <w:color w:val="000000"/>
                <w:sz w:val="20"/>
                <w:szCs w:val="20"/>
              </w:rPr>
              <w:t xml:space="preserve">2.1 </w:t>
            </w:r>
            <w:r w:rsidR="000E2B7E" w:rsidRPr="00576299">
              <w:rPr>
                <w:rFonts w:ascii="Arial Narrow" w:hAnsi="Arial Narrow" w:cs="Calibri"/>
                <w:color w:val="000000"/>
                <w:sz w:val="20"/>
                <w:szCs w:val="20"/>
                <w:vertAlign w:val="superscript"/>
              </w:rPr>
              <w:t>b</w:t>
            </w:r>
          </w:p>
        </w:tc>
      </w:tr>
      <w:tr w:rsidR="00735E9F" w:rsidRPr="00576299" w14:paraId="467AAA51" w14:textId="757BAB0D" w:rsidTr="001A4D5F">
        <w:trPr>
          <w:trHeight w:val="20"/>
        </w:trPr>
        <w:tc>
          <w:tcPr>
            <w:tcW w:w="1382" w:type="dxa"/>
            <w:vMerge/>
            <w:vAlign w:val="center"/>
          </w:tcPr>
          <w:p w14:paraId="10E3AEB0" w14:textId="74C704BD" w:rsidR="00735E9F" w:rsidRPr="00576299" w:rsidRDefault="00735E9F" w:rsidP="00487CFA">
            <w:pPr>
              <w:keepNext/>
              <w:widowControl w:val="0"/>
              <w:rPr>
                <w:rFonts w:ascii="Arial Narrow" w:hAnsi="Arial Narrow" w:cs="Calibri"/>
                <w:sz w:val="20"/>
                <w:szCs w:val="20"/>
              </w:rPr>
            </w:pPr>
          </w:p>
        </w:tc>
        <w:tc>
          <w:tcPr>
            <w:tcW w:w="891" w:type="dxa"/>
            <w:shd w:val="clear" w:color="auto" w:fill="auto"/>
            <w:noWrap/>
            <w:vAlign w:val="center"/>
          </w:tcPr>
          <w:p w14:paraId="09B14B84" w14:textId="02BFEF44" w:rsidR="00735E9F" w:rsidRPr="000521B5" w:rsidRDefault="00735E9F" w:rsidP="00487CFA">
            <w:pPr>
              <w:keepNext/>
              <w:widowControl w:val="0"/>
              <w:jc w:val="center"/>
              <w:rPr>
                <w:rFonts w:ascii="Arial Narrow" w:hAnsi="Arial Narrow" w:cs="Calibri"/>
                <w:sz w:val="20"/>
                <w:szCs w:val="20"/>
                <w:vertAlign w:val="superscript"/>
              </w:rPr>
            </w:pPr>
            <w:r w:rsidRPr="00576299">
              <w:rPr>
                <w:rFonts w:ascii="Arial Narrow" w:hAnsi="Arial Narrow" w:cs="Calibri"/>
                <w:sz w:val="20"/>
                <w:szCs w:val="20"/>
              </w:rPr>
              <w:t>MAS</w:t>
            </w:r>
            <w:r w:rsidR="000521B5">
              <w:rPr>
                <w:rFonts w:ascii="Arial Narrow" w:hAnsi="Arial Narrow" w:cs="Calibri"/>
                <w:sz w:val="20"/>
                <w:szCs w:val="20"/>
                <w:vertAlign w:val="superscript"/>
              </w:rPr>
              <w:t>#</w:t>
            </w:r>
          </w:p>
        </w:tc>
        <w:tc>
          <w:tcPr>
            <w:tcW w:w="699" w:type="dxa"/>
            <w:shd w:val="clear" w:color="auto" w:fill="auto"/>
            <w:noWrap/>
            <w:vAlign w:val="center"/>
          </w:tcPr>
          <w:p w14:paraId="71AAB58E" w14:textId="6199D375" w:rsidR="00735E9F" w:rsidRPr="00576299" w:rsidRDefault="00735E9F" w:rsidP="00487CFA">
            <w:pPr>
              <w:keepNext/>
              <w:widowControl w:val="0"/>
              <w:jc w:val="center"/>
              <w:rPr>
                <w:rFonts w:ascii="Arial Narrow" w:hAnsi="Arial Narrow" w:cs="Calibri"/>
                <w:i/>
                <w:iCs/>
                <w:color w:val="000000"/>
                <w:sz w:val="20"/>
                <w:szCs w:val="20"/>
              </w:rPr>
            </w:pPr>
            <w:r w:rsidRPr="00576299">
              <w:rPr>
                <w:rFonts w:ascii="Arial Narrow" w:hAnsi="Arial Narrow" w:cs="Calibri"/>
                <w:i/>
                <w:iCs/>
                <w:color w:val="000000"/>
                <w:sz w:val="20"/>
                <w:szCs w:val="20"/>
              </w:rPr>
              <w:t>237</w:t>
            </w:r>
          </w:p>
        </w:tc>
        <w:tc>
          <w:tcPr>
            <w:tcW w:w="1276" w:type="dxa"/>
            <w:shd w:val="clear" w:color="auto" w:fill="auto"/>
            <w:noWrap/>
            <w:vAlign w:val="center"/>
          </w:tcPr>
          <w:p w14:paraId="3D04080A" w14:textId="172EE74A" w:rsidR="00735E9F" w:rsidRPr="00EF626F" w:rsidRDefault="00735E9F" w:rsidP="00487CFA">
            <w:pPr>
              <w:keepNext/>
              <w:widowControl w:val="0"/>
              <w:jc w:val="center"/>
              <w:rPr>
                <w:rFonts w:ascii="Arial Narrow" w:hAnsi="Arial Narrow" w:cs="Calibri"/>
                <w:color w:val="000000"/>
                <w:sz w:val="20"/>
                <w:szCs w:val="20"/>
              </w:rPr>
            </w:pPr>
            <w:r w:rsidRPr="00EF626F">
              <w:rPr>
                <w:rFonts w:ascii="Arial Narrow" w:hAnsi="Arial Narrow" w:cs="Calibri"/>
                <w:color w:val="000000"/>
                <w:sz w:val="20"/>
                <w:szCs w:val="20"/>
              </w:rPr>
              <w:t>138 (58.2)</w:t>
            </w:r>
          </w:p>
        </w:tc>
        <w:tc>
          <w:tcPr>
            <w:tcW w:w="1134" w:type="dxa"/>
            <w:shd w:val="clear" w:color="auto" w:fill="auto"/>
            <w:noWrap/>
            <w:vAlign w:val="center"/>
          </w:tcPr>
          <w:p w14:paraId="5EB5406C" w14:textId="2B1E994F" w:rsidR="00735E9F" w:rsidRPr="00EF626F" w:rsidRDefault="00735E9F" w:rsidP="00487CFA">
            <w:pPr>
              <w:keepNext/>
              <w:widowControl w:val="0"/>
              <w:jc w:val="center"/>
              <w:rPr>
                <w:rFonts w:ascii="Arial Narrow" w:hAnsi="Arial Narrow" w:cs="Calibri"/>
                <w:color w:val="000000"/>
                <w:sz w:val="20"/>
                <w:szCs w:val="20"/>
              </w:rPr>
            </w:pPr>
            <w:r w:rsidRPr="00EF626F">
              <w:rPr>
                <w:rFonts w:ascii="Arial Narrow" w:hAnsi="Arial Narrow" w:cs="Calibri"/>
                <w:color w:val="000000"/>
                <w:sz w:val="20"/>
                <w:szCs w:val="20"/>
              </w:rPr>
              <w:t>99 (41.8)</w:t>
            </w:r>
          </w:p>
        </w:tc>
        <w:tc>
          <w:tcPr>
            <w:tcW w:w="1559" w:type="dxa"/>
            <w:shd w:val="clear" w:color="auto" w:fill="auto"/>
            <w:noWrap/>
            <w:vAlign w:val="center"/>
          </w:tcPr>
          <w:p w14:paraId="6A755270" w14:textId="30FECCD0" w:rsidR="00735E9F" w:rsidRPr="00EF626F" w:rsidRDefault="00735E9F" w:rsidP="00487CFA">
            <w:pPr>
              <w:keepNext/>
              <w:widowControl w:val="0"/>
              <w:jc w:val="center"/>
              <w:rPr>
                <w:rFonts w:ascii="Arial Narrow" w:hAnsi="Arial Narrow" w:cs="Calibri"/>
                <w:color w:val="000000"/>
                <w:sz w:val="20"/>
                <w:szCs w:val="20"/>
              </w:rPr>
            </w:pPr>
            <w:r w:rsidRPr="00EF626F">
              <w:rPr>
                <w:rFonts w:ascii="Arial Narrow" w:hAnsi="Arial Narrow" w:cs="Calibri"/>
                <w:color w:val="000000"/>
                <w:sz w:val="20"/>
                <w:szCs w:val="20"/>
              </w:rPr>
              <w:t>6.05 (4.17, 6.70</w:t>
            </w:r>
          </w:p>
        </w:tc>
        <w:tc>
          <w:tcPr>
            <w:tcW w:w="1035" w:type="dxa"/>
            <w:shd w:val="clear" w:color="auto" w:fill="auto"/>
            <w:vAlign w:val="center"/>
          </w:tcPr>
          <w:p w14:paraId="31E87F69" w14:textId="4A8B0936" w:rsidR="00735E9F" w:rsidRPr="00EF626F" w:rsidRDefault="00735E9F" w:rsidP="00487CFA">
            <w:pPr>
              <w:keepNext/>
              <w:widowControl w:val="0"/>
              <w:jc w:val="center"/>
              <w:rPr>
                <w:rFonts w:ascii="Arial Narrow" w:hAnsi="Arial Narrow" w:cs="Calibri"/>
                <w:color w:val="000000"/>
                <w:sz w:val="20"/>
                <w:szCs w:val="20"/>
              </w:rPr>
            </w:pPr>
            <w:r w:rsidRPr="00EF626F">
              <w:rPr>
                <w:rFonts w:ascii="Arial Narrow" w:hAnsi="Arial Narrow" w:cs="Calibri"/>
                <w:color w:val="000000"/>
                <w:sz w:val="20"/>
                <w:szCs w:val="20"/>
              </w:rPr>
              <w:t>N/R</w:t>
            </w:r>
          </w:p>
        </w:tc>
        <w:tc>
          <w:tcPr>
            <w:tcW w:w="1041" w:type="dxa"/>
            <w:shd w:val="clear" w:color="auto" w:fill="auto"/>
            <w:vAlign w:val="center"/>
          </w:tcPr>
          <w:p w14:paraId="3F6CA820" w14:textId="729C692C" w:rsidR="00735E9F" w:rsidRPr="00EF626F" w:rsidRDefault="00735E9F" w:rsidP="00487CFA">
            <w:pPr>
              <w:keepNext/>
              <w:widowControl w:val="0"/>
              <w:jc w:val="center"/>
              <w:rPr>
                <w:rFonts w:ascii="Arial Narrow" w:hAnsi="Arial Narrow" w:cs="Calibri"/>
                <w:color w:val="000000"/>
                <w:sz w:val="20"/>
                <w:szCs w:val="20"/>
              </w:rPr>
            </w:pPr>
            <w:r w:rsidRPr="00EF626F">
              <w:rPr>
                <w:rFonts w:ascii="Arial Narrow" w:hAnsi="Arial Narrow" w:cs="Calibri"/>
                <w:color w:val="000000"/>
                <w:sz w:val="20"/>
                <w:szCs w:val="20"/>
              </w:rPr>
              <w:t>N/R</w:t>
            </w:r>
          </w:p>
        </w:tc>
      </w:tr>
      <w:tr w:rsidR="001A4D5F" w:rsidRPr="00576299" w14:paraId="17C9D953" w14:textId="0656EBAE" w:rsidTr="001A4D5F">
        <w:trPr>
          <w:trHeight w:val="20"/>
        </w:trPr>
        <w:tc>
          <w:tcPr>
            <w:tcW w:w="1382" w:type="dxa"/>
            <w:vAlign w:val="center"/>
          </w:tcPr>
          <w:p w14:paraId="266EA6ED" w14:textId="46EB4DF7" w:rsidR="00BB5EFE" w:rsidRPr="00576299" w:rsidRDefault="00BB5EFE" w:rsidP="00487CFA">
            <w:pPr>
              <w:keepNext/>
              <w:widowControl w:val="0"/>
              <w:rPr>
                <w:rFonts w:ascii="Arial Narrow" w:hAnsi="Arial Narrow" w:cs="Calibri"/>
                <w:sz w:val="20"/>
                <w:szCs w:val="20"/>
              </w:rPr>
            </w:pPr>
            <w:r w:rsidRPr="00576299">
              <w:rPr>
                <w:rFonts w:ascii="Arial Narrow" w:hAnsi="Arial Narrow" w:cs="Calibri"/>
                <w:sz w:val="20"/>
                <w:szCs w:val="20"/>
              </w:rPr>
              <w:t>IXAMPLE2 (paclitaxel or doxorubicin)</w:t>
            </w:r>
          </w:p>
        </w:tc>
        <w:tc>
          <w:tcPr>
            <w:tcW w:w="891" w:type="dxa"/>
            <w:shd w:val="clear" w:color="auto" w:fill="auto"/>
            <w:noWrap/>
            <w:vAlign w:val="center"/>
            <w:hideMark/>
          </w:tcPr>
          <w:p w14:paraId="7E06A4E4" w14:textId="3EFF35AF" w:rsidR="00BB5EFE" w:rsidRPr="00576299" w:rsidRDefault="00BB5EFE" w:rsidP="00487CFA">
            <w:pPr>
              <w:keepNext/>
              <w:widowControl w:val="0"/>
              <w:jc w:val="center"/>
              <w:rPr>
                <w:rFonts w:ascii="Arial Narrow" w:hAnsi="Arial Narrow" w:cs="Calibri"/>
                <w:sz w:val="20"/>
                <w:szCs w:val="20"/>
              </w:rPr>
            </w:pPr>
            <w:r w:rsidRPr="00576299">
              <w:rPr>
                <w:rFonts w:ascii="Arial Narrow" w:hAnsi="Arial Narrow" w:cs="Calibri"/>
                <w:sz w:val="20"/>
                <w:szCs w:val="20"/>
              </w:rPr>
              <w:t>ITT</w:t>
            </w:r>
          </w:p>
        </w:tc>
        <w:tc>
          <w:tcPr>
            <w:tcW w:w="699" w:type="dxa"/>
            <w:shd w:val="clear" w:color="auto" w:fill="B8CCE4" w:themeFill="accent1" w:themeFillTint="66"/>
            <w:noWrap/>
            <w:vAlign w:val="center"/>
            <w:hideMark/>
          </w:tcPr>
          <w:p w14:paraId="5FF0B404" w14:textId="2DF8F6D5" w:rsidR="00BB5EFE" w:rsidRPr="00576299" w:rsidRDefault="00BB5EFE" w:rsidP="00487CFA">
            <w:pPr>
              <w:keepNext/>
              <w:widowControl w:val="0"/>
              <w:jc w:val="center"/>
              <w:rPr>
                <w:rFonts w:ascii="Arial Narrow" w:hAnsi="Arial Narrow" w:cs="Calibri"/>
                <w:sz w:val="20"/>
                <w:szCs w:val="20"/>
              </w:rPr>
            </w:pPr>
            <w:r w:rsidRPr="00576299">
              <w:rPr>
                <w:rFonts w:ascii="Arial Narrow" w:hAnsi="Arial Narrow" w:cs="Calibri"/>
                <w:color w:val="000000"/>
                <w:sz w:val="20"/>
                <w:szCs w:val="20"/>
              </w:rPr>
              <w:t>223</w:t>
            </w:r>
          </w:p>
        </w:tc>
        <w:tc>
          <w:tcPr>
            <w:tcW w:w="1276" w:type="dxa"/>
            <w:shd w:val="clear" w:color="auto" w:fill="B8CCE4" w:themeFill="accent1" w:themeFillTint="66"/>
            <w:noWrap/>
            <w:vAlign w:val="center"/>
            <w:hideMark/>
          </w:tcPr>
          <w:p w14:paraId="3036DA97" w14:textId="0C80719E" w:rsidR="00BB5EFE" w:rsidRPr="00576299" w:rsidRDefault="00BB5EFE" w:rsidP="00487CFA">
            <w:pPr>
              <w:keepNext/>
              <w:widowControl w:val="0"/>
              <w:jc w:val="center"/>
              <w:rPr>
                <w:rFonts w:ascii="Arial Narrow" w:hAnsi="Arial Narrow" w:cs="Calibri"/>
                <w:sz w:val="20"/>
                <w:szCs w:val="20"/>
              </w:rPr>
            </w:pPr>
            <w:r w:rsidRPr="00576299">
              <w:rPr>
                <w:rFonts w:ascii="Arial Narrow" w:hAnsi="Arial Narrow" w:cs="Calibri"/>
                <w:color w:val="000000"/>
                <w:sz w:val="20"/>
                <w:szCs w:val="20"/>
              </w:rPr>
              <w:t>162 (72.6)</w:t>
            </w:r>
          </w:p>
        </w:tc>
        <w:tc>
          <w:tcPr>
            <w:tcW w:w="1134" w:type="dxa"/>
            <w:shd w:val="clear" w:color="auto" w:fill="B8CCE4" w:themeFill="accent1" w:themeFillTint="66"/>
            <w:noWrap/>
            <w:vAlign w:val="center"/>
            <w:hideMark/>
          </w:tcPr>
          <w:p w14:paraId="436CA43A" w14:textId="5327024F" w:rsidR="00BB5EFE" w:rsidRPr="00576299" w:rsidRDefault="00BB5EFE" w:rsidP="00487CFA">
            <w:pPr>
              <w:keepNext/>
              <w:widowControl w:val="0"/>
              <w:jc w:val="center"/>
              <w:rPr>
                <w:rFonts w:ascii="Arial Narrow" w:hAnsi="Arial Narrow" w:cs="Calibri"/>
                <w:sz w:val="20"/>
                <w:szCs w:val="20"/>
              </w:rPr>
            </w:pPr>
            <w:r w:rsidRPr="00576299">
              <w:rPr>
                <w:rFonts w:ascii="Arial Narrow" w:hAnsi="Arial Narrow" w:cs="Calibri"/>
                <w:color w:val="000000"/>
                <w:sz w:val="20"/>
                <w:szCs w:val="20"/>
              </w:rPr>
              <w:t>61 (27.4)</w:t>
            </w:r>
          </w:p>
        </w:tc>
        <w:tc>
          <w:tcPr>
            <w:tcW w:w="1559" w:type="dxa"/>
            <w:shd w:val="clear" w:color="auto" w:fill="B8CCE4" w:themeFill="accent1" w:themeFillTint="66"/>
            <w:noWrap/>
            <w:vAlign w:val="center"/>
            <w:hideMark/>
          </w:tcPr>
          <w:p w14:paraId="39E528F3" w14:textId="34D7B954" w:rsidR="00BB5EFE" w:rsidRPr="00576299" w:rsidRDefault="00BB5EFE" w:rsidP="00487CFA">
            <w:pPr>
              <w:keepNext/>
              <w:widowControl w:val="0"/>
              <w:jc w:val="center"/>
              <w:rPr>
                <w:rFonts w:ascii="Arial Narrow" w:hAnsi="Arial Narrow" w:cs="Calibri"/>
                <w:sz w:val="20"/>
                <w:szCs w:val="20"/>
              </w:rPr>
            </w:pPr>
            <w:r w:rsidRPr="00576299">
              <w:rPr>
                <w:rFonts w:ascii="Arial Narrow" w:hAnsi="Arial Narrow" w:cs="Calibri"/>
                <w:color w:val="000000"/>
                <w:sz w:val="20"/>
                <w:szCs w:val="20"/>
              </w:rPr>
              <w:t>4.0 (2.7, 4.3)</w:t>
            </w:r>
          </w:p>
        </w:tc>
        <w:tc>
          <w:tcPr>
            <w:tcW w:w="1035" w:type="dxa"/>
            <w:shd w:val="clear" w:color="auto" w:fill="auto"/>
            <w:vAlign w:val="center"/>
          </w:tcPr>
          <w:p w14:paraId="2760D0FD" w14:textId="0C0021DC" w:rsidR="00BB5EFE" w:rsidRPr="00576299" w:rsidRDefault="00BB5EFE" w:rsidP="00487CFA">
            <w:pPr>
              <w:keepNext/>
              <w:widowControl w:val="0"/>
              <w:jc w:val="center"/>
              <w:rPr>
                <w:rFonts w:ascii="Arial Narrow" w:hAnsi="Arial Narrow" w:cs="Calibri"/>
                <w:sz w:val="20"/>
                <w:szCs w:val="20"/>
              </w:rPr>
            </w:pPr>
            <w:r w:rsidRPr="00576299">
              <w:rPr>
                <w:rFonts w:ascii="Arial Narrow" w:hAnsi="Arial Narrow" w:cs="Calibri"/>
                <w:color w:val="000000"/>
                <w:sz w:val="20"/>
                <w:szCs w:val="20"/>
              </w:rPr>
              <w:t xml:space="preserve">N/R </w:t>
            </w:r>
            <w:r w:rsidRPr="00576299">
              <w:rPr>
                <w:rFonts w:ascii="Arial Narrow" w:hAnsi="Arial Narrow" w:cs="Calibri"/>
                <w:color w:val="000000"/>
                <w:sz w:val="20"/>
                <w:szCs w:val="20"/>
                <w:vertAlign w:val="superscript"/>
              </w:rPr>
              <w:t>c</w:t>
            </w:r>
          </w:p>
        </w:tc>
        <w:tc>
          <w:tcPr>
            <w:tcW w:w="1041" w:type="dxa"/>
            <w:shd w:val="clear" w:color="auto" w:fill="auto"/>
            <w:vAlign w:val="center"/>
          </w:tcPr>
          <w:p w14:paraId="483E442A" w14:textId="3DD3EDCF" w:rsidR="00BB5EFE" w:rsidRPr="00576299" w:rsidRDefault="00BB5EFE" w:rsidP="00487CFA">
            <w:pPr>
              <w:keepNext/>
              <w:widowControl w:val="0"/>
              <w:jc w:val="center"/>
              <w:rPr>
                <w:rFonts w:ascii="Arial Narrow" w:hAnsi="Arial Narrow" w:cs="Calibri"/>
                <w:sz w:val="20"/>
                <w:szCs w:val="20"/>
              </w:rPr>
            </w:pPr>
            <w:r w:rsidRPr="00576299">
              <w:rPr>
                <w:rFonts w:ascii="Arial Narrow" w:hAnsi="Arial Narrow" w:cs="Calibri"/>
                <w:color w:val="000000"/>
                <w:sz w:val="20"/>
                <w:szCs w:val="20"/>
              </w:rPr>
              <w:t xml:space="preserve">N/R </w:t>
            </w:r>
            <w:r w:rsidRPr="00576299">
              <w:rPr>
                <w:rFonts w:ascii="Arial Narrow" w:hAnsi="Arial Narrow" w:cs="Calibri"/>
                <w:color w:val="000000"/>
                <w:sz w:val="20"/>
                <w:szCs w:val="20"/>
                <w:vertAlign w:val="superscript"/>
              </w:rPr>
              <w:t>c</w:t>
            </w:r>
          </w:p>
        </w:tc>
      </w:tr>
      <w:tr w:rsidR="00BB5EFE" w:rsidRPr="00576299" w14:paraId="47FA934F" w14:textId="16E7A5CF" w:rsidTr="001A4D5F">
        <w:trPr>
          <w:trHeight w:val="339"/>
        </w:trPr>
        <w:tc>
          <w:tcPr>
            <w:tcW w:w="1382" w:type="dxa"/>
            <w:vMerge w:val="restart"/>
            <w:vAlign w:val="center"/>
          </w:tcPr>
          <w:p w14:paraId="35A3055E" w14:textId="2FB63257" w:rsidR="00BB5EFE" w:rsidRPr="00576299" w:rsidRDefault="00BB5EFE" w:rsidP="00487CFA">
            <w:pPr>
              <w:keepNext/>
              <w:widowControl w:val="0"/>
              <w:rPr>
                <w:rFonts w:ascii="Arial Narrow" w:hAnsi="Arial Narrow" w:cs="Calibri"/>
                <w:sz w:val="20"/>
                <w:szCs w:val="20"/>
              </w:rPr>
            </w:pPr>
            <w:r w:rsidRPr="00576299">
              <w:rPr>
                <w:rFonts w:ascii="Arial Narrow" w:hAnsi="Arial Narrow" w:cs="Calibri"/>
                <w:sz w:val="20"/>
                <w:szCs w:val="20"/>
              </w:rPr>
              <w:t>KEYNOTE-775 (paclitaxel or doxorubicin)</w:t>
            </w:r>
          </w:p>
        </w:tc>
        <w:tc>
          <w:tcPr>
            <w:tcW w:w="891" w:type="dxa"/>
            <w:shd w:val="clear" w:color="auto" w:fill="auto"/>
            <w:noWrap/>
            <w:vAlign w:val="center"/>
            <w:hideMark/>
          </w:tcPr>
          <w:p w14:paraId="4A11B42D" w14:textId="10E9CEB4" w:rsidR="00BB5EFE" w:rsidRPr="00576299" w:rsidRDefault="00BB5EFE" w:rsidP="00487CFA">
            <w:pPr>
              <w:keepNext/>
              <w:widowControl w:val="0"/>
              <w:jc w:val="center"/>
              <w:rPr>
                <w:rFonts w:ascii="Arial Narrow" w:hAnsi="Arial Narrow" w:cs="Calibri"/>
                <w:sz w:val="20"/>
                <w:szCs w:val="20"/>
              </w:rPr>
            </w:pPr>
            <w:r w:rsidRPr="00576299">
              <w:rPr>
                <w:rFonts w:ascii="Arial Narrow" w:hAnsi="Arial Narrow" w:cs="Calibri"/>
                <w:sz w:val="20"/>
                <w:szCs w:val="20"/>
              </w:rPr>
              <w:t>ITT</w:t>
            </w:r>
          </w:p>
        </w:tc>
        <w:tc>
          <w:tcPr>
            <w:tcW w:w="699" w:type="dxa"/>
            <w:shd w:val="clear" w:color="auto" w:fill="B8CCE4" w:themeFill="accent1" w:themeFillTint="66"/>
            <w:noWrap/>
            <w:vAlign w:val="center"/>
            <w:hideMark/>
          </w:tcPr>
          <w:p w14:paraId="2439F1B3" w14:textId="738607C8" w:rsidR="00BB5EFE" w:rsidRPr="00576299" w:rsidRDefault="00BB5EFE" w:rsidP="00487CFA">
            <w:pPr>
              <w:keepNext/>
              <w:widowControl w:val="0"/>
              <w:jc w:val="center"/>
              <w:rPr>
                <w:rFonts w:ascii="Arial Narrow" w:hAnsi="Arial Narrow" w:cs="Calibri"/>
                <w:sz w:val="20"/>
                <w:szCs w:val="20"/>
              </w:rPr>
            </w:pPr>
            <w:r w:rsidRPr="00576299">
              <w:rPr>
                <w:rFonts w:ascii="Arial Narrow" w:hAnsi="Arial Narrow" w:cs="Calibri"/>
                <w:color w:val="000000"/>
                <w:sz w:val="20"/>
                <w:szCs w:val="20"/>
              </w:rPr>
              <w:t>416</w:t>
            </w:r>
          </w:p>
        </w:tc>
        <w:tc>
          <w:tcPr>
            <w:tcW w:w="1276" w:type="dxa"/>
            <w:shd w:val="clear" w:color="auto" w:fill="B8CCE4" w:themeFill="accent1" w:themeFillTint="66"/>
            <w:noWrap/>
            <w:vAlign w:val="center"/>
            <w:hideMark/>
          </w:tcPr>
          <w:p w14:paraId="5DFA2137" w14:textId="3A6AE765" w:rsidR="00BB5EFE" w:rsidRPr="00576299" w:rsidRDefault="00BB5EFE" w:rsidP="00487CFA">
            <w:pPr>
              <w:keepNext/>
              <w:widowControl w:val="0"/>
              <w:jc w:val="center"/>
              <w:rPr>
                <w:rFonts w:ascii="Arial Narrow" w:hAnsi="Arial Narrow" w:cs="Calibri"/>
                <w:sz w:val="20"/>
                <w:szCs w:val="20"/>
              </w:rPr>
            </w:pPr>
            <w:r w:rsidRPr="00576299">
              <w:rPr>
                <w:rFonts w:ascii="Arial Narrow" w:hAnsi="Arial Narrow" w:cs="Calibri"/>
                <w:color w:val="000000"/>
                <w:sz w:val="20"/>
                <w:szCs w:val="20"/>
              </w:rPr>
              <w:t>286 (68.8)</w:t>
            </w:r>
          </w:p>
        </w:tc>
        <w:tc>
          <w:tcPr>
            <w:tcW w:w="1134" w:type="dxa"/>
            <w:shd w:val="clear" w:color="auto" w:fill="B8CCE4" w:themeFill="accent1" w:themeFillTint="66"/>
            <w:noWrap/>
            <w:vAlign w:val="center"/>
            <w:hideMark/>
          </w:tcPr>
          <w:p w14:paraId="5FD915DE" w14:textId="3DC9AE1D" w:rsidR="00BB5EFE" w:rsidRPr="00576299" w:rsidRDefault="00BB5EFE" w:rsidP="00487CFA">
            <w:pPr>
              <w:keepNext/>
              <w:widowControl w:val="0"/>
              <w:jc w:val="center"/>
              <w:rPr>
                <w:rFonts w:ascii="Arial Narrow" w:hAnsi="Arial Narrow" w:cs="Calibri"/>
                <w:sz w:val="20"/>
                <w:szCs w:val="20"/>
              </w:rPr>
            </w:pPr>
            <w:r w:rsidRPr="00576299">
              <w:rPr>
                <w:rFonts w:ascii="Arial Narrow" w:hAnsi="Arial Narrow" w:cs="Calibri"/>
                <w:color w:val="000000"/>
                <w:sz w:val="20"/>
                <w:szCs w:val="20"/>
              </w:rPr>
              <w:t>130 (31.3)</w:t>
            </w:r>
          </w:p>
        </w:tc>
        <w:tc>
          <w:tcPr>
            <w:tcW w:w="1559" w:type="dxa"/>
            <w:shd w:val="clear" w:color="auto" w:fill="B8CCE4" w:themeFill="accent1" w:themeFillTint="66"/>
            <w:noWrap/>
            <w:vAlign w:val="center"/>
            <w:hideMark/>
          </w:tcPr>
          <w:p w14:paraId="2628CC27" w14:textId="2490214C" w:rsidR="00BB5EFE" w:rsidRPr="00EF626F" w:rsidRDefault="00BB5EFE" w:rsidP="00487CFA">
            <w:pPr>
              <w:keepNext/>
              <w:widowControl w:val="0"/>
              <w:jc w:val="center"/>
              <w:rPr>
                <w:rFonts w:ascii="Arial Narrow" w:hAnsi="Arial Narrow" w:cs="Calibri"/>
                <w:sz w:val="20"/>
                <w:szCs w:val="20"/>
              </w:rPr>
            </w:pPr>
            <w:r w:rsidRPr="00EF626F">
              <w:rPr>
                <w:rFonts w:ascii="Arial Narrow" w:hAnsi="Arial Narrow" w:cs="Calibri"/>
                <w:color w:val="000000"/>
                <w:sz w:val="20"/>
                <w:szCs w:val="20"/>
              </w:rPr>
              <w:t>3.</w:t>
            </w:r>
            <w:r w:rsidR="00460B74" w:rsidRPr="00EF626F">
              <w:rPr>
                <w:rFonts w:ascii="Arial Narrow" w:hAnsi="Arial Narrow" w:cs="Calibri"/>
                <w:color w:val="000000"/>
                <w:sz w:val="20"/>
                <w:szCs w:val="20"/>
              </w:rPr>
              <w:t>8</w:t>
            </w:r>
            <w:r w:rsidRPr="00EF626F">
              <w:rPr>
                <w:rFonts w:ascii="Arial Narrow" w:hAnsi="Arial Narrow" w:cs="Calibri"/>
                <w:color w:val="000000"/>
                <w:sz w:val="20"/>
                <w:szCs w:val="20"/>
              </w:rPr>
              <w:t xml:space="preserve"> (3.</w:t>
            </w:r>
            <w:r w:rsidR="00460B74" w:rsidRPr="00EF626F">
              <w:rPr>
                <w:rFonts w:ascii="Arial Narrow" w:hAnsi="Arial Narrow" w:cs="Calibri"/>
                <w:color w:val="000000"/>
                <w:sz w:val="20"/>
                <w:szCs w:val="20"/>
              </w:rPr>
              <w:t>6</w:t>
            </w:r>
            <w:r w:rsidRPr="00EF626F">
              <w:rPr>
                <w:rFonts w:ascii="Arial Narrow" w:hAnsi="Arial Narrow" w:cs="Calibri"/>
                <w:color w:val="000000"/>
                <w:sz w:val="20"/>
                <w:szCs w:val="20"/>
              </w:rPr>
              <w:t>, 4.</w:t>
            </w:r>
            <w:r w:rsidR="00460B74" w:rsidRPr="00EF626F">
              <w:rPr>
                <w:rFonts w:ascii="Arial Narrow" w:hAnsi="Arial Narrow" w:cs="Calibri"/>
                <w:color w:val="000000"/>
                <w:sz w:val="20"/>
                <w:szCs w:val="20"/>
              </w:rPr>
              <w:t>2</w:t>
            </w:r>
            <w:r w:rsidRPr="00EF626F">
              <w:rPr>
                <w:rFonts w:ascii="Arial Narrow" w:hAnsi="Arial Narrow" w:cs="Calibri"/>
                <w:color w:val="000000"/>
                <w:sz w:val="20"/>
                <w:szCs w:val="20"/>
              </w:rPr>
              <w:t>)</w:t>
            </w:r>
          </w:p>
        </w:tc>
        <w:tc>
          <w:tcPr>
            <w:tcW w:w="1035" w:type="dxa"/>
            <w:shd w:val="clear" w:color="auto" w:fill="auto"/>
            <w:vAlign w:val="center"/>
          </w:tcPr>
          <w:p w14:paraId="062CBA3B" w14:textId="31C0C583" w:rsidR="00BB5EFE" w:rsidRPr="00576299" w:rsidRDefault="00BB5EFE" w:rsidP="00487CFA">
            <w:pPr>
              <w:keepNext/>
              <w:widowControl w:val="0"/>
              <w:jc w:val="center"/>
              <w:rPr>
                <w:rFonts w:ascii="Arial Narrow" w:hAnsi="Arial Narrow" w:cs="Calibri"/>
                <w:sz w:val="20"/>
                <w:szCs w:val="20"/>
              </w:rPr>
            </w:pPr>
            <w:r w:rsidRPr="00576299">
              <w:rPr>
                <w:rFonts w:ascii="Arial Narrow" w:hAnsi="Arial Narrow" w:cs="Calibri"/>
                <w:color w:val="000000"/>
                <w:sz w:val="20"/>
                <w:szCs w:val="20"/>
              </w:rPr>
              <w:t>13.2</w:t>
            </w:r>
          </w:p>
        </w:tc>
        <w:tc>
          <w:tcPr>
            <w:tcW w:w="1041" w:type="dxa"/>
            <w:shd w:val="clear" w:color="auto" w:fill="auto"/>
            <w:vAlign w:val="center"/>
          </w:tcPr>
          <w:p w14:paraId="7CF11689" w14:textId="25BB20D7" w:rsidR="00BB5EFE" w:rsidRPr="00576299" w:rsidRDefault="00BB5EFE" w:rsidP="00487CFA">
            <w:pPr>
              <w:keepNext/>
              <w:widowControl w:val="0"/>
              <w:jc w:val="center"/>
              <w:rPr>
                <w:rFonts w:ascii="Arial Narrow" w:hAnsi="Arial Narrow" w:cs="Calibri"/>
                <w:sz w:val="20"/>
                <w:szCs w:val="20"/>
              </w:rPr>
            </w:pPr>
            <w:r w:rsidRPr="00576299">
              <w:rPr>
                <w:rFonts w:ascii="Arial Narrow" w:hAnsi="Arial Narrow" w:cs="Calibri"/>
                <w:color w:val="000000"/>
                <w:sz w:val="20"/>
                <w:szCs w:val="20"/>
              </w:rPr>
              <w:t>3.8</w:t>
            </w:r>
          </w:p>
        </w:tc>
      </w:tr>
      <w:tr w:rsidR="00BB5EFE" w:rsidRPr="00576299" w14:paraId="47A1A9AE" w14:textId="0345C78B" w:rsidTr="001A4D5F">
        <w:trPr>
          <w:trHeight w:val="339"/>
        </w:trPr>
        <w:tc>
          <w:tcPr>
            <w:tcW w:w="1382" w:type="dxa"/>
            <w:vMerge/>
            <w:vAlign w:val="center"/>
          </w:tcPr>
          <w:p w14:paraId="72F21C2E" w14:textId="4FD0B789" w:rsidR="00BB5EFE" w:rsidRPr="00576299" w:rsidRDefault="00BB5EFE" w:rsidP="00487CFA">
            <w:pPr>
              <w:keepNext/>
              <w:widowControl w:val="0"/>
              <w:rPr>
                <w:rFonts w:ascii="Arial Narrow" w:hAnsi="Arial Narrow" w:cs="Calibri"/>
                <w:sz w:val="20"/>
                <w:szCs w:val="20"/>
              </w:rPr>
            </w:pPr>
          </w:p>
        </w:tc>
        <w:tc>
          <w:tcPr>
            <w:tcW w:w="891" w:type="dxa"/>
            <w:shd w:val="clear" w:color="auto" w:fill="auto"/>
            <w:noWrap/>
            <w:vAlign w:val="center"/>
            <w:hideMark/>
          </w:tcPr>
          <w:p w14:paraId="4D3012C9" w14:textId="37E4047B" w:rsidR="00BB5EFE" w:rsidRPr="00576299" w:rsidRDefault="00BB5EFE" w:rsidP="00487CFA">
            <w:pPr>
              <w:keepNext/>
              <w:widowControl w:val="0"/>
              <w:jc w:val="center"/>
              <w:rPr>
                <w:rFonts w:ascii="Arial Narrow" w:hAnsi="Arial Narrow" w:cs="Calibri"/>
                <w:sz w:val="20"/>
                <w:szCs w:val="20"/>
              </w:rPr>
            </w:pPr>
            <w:r w:rsidRPr="00576299">
              <w:rPr>
                <w:rFonts w:ascii="Arial Narrow" w:hAnsi="Arial Narrow" w:cs="Calibri"/>
                <w:sz w:val="20"/>
                <w:szCs w:val="20"/>
              </w:rPr>
              <w:t>dMMR</w:t>
            </w:r>
          </w:p>
        </w:tc>
        <w:tc>
          <w:tcPr>
            <w:tcW w:w="699" w:type="dxa"/>
            <w:shd w:val="clear" w:color="auto" w:fill="B8CCE4" w:themeFill="accent1" w:themeFillTint="66"/>
            <w:noWrap/>
            <w:vAlign w:val="center"/>
            <w:hideMark/>
          </w:tcPr>
          <w:p w14:paraId="484D8F72" w14:textId="4C4F1333" w:rsidR="00BB5EFE" w:rsidRPr="00576299" w:rsidRDefault="00BB5EFE" w:rsidP="00487CFA">
            <w:pPr>
              <w:keepNext/>
              <w:widowControl w:val="0"/>
              <w:jc w:val="center"/>
              <w:rPr>
                <w:rFonts w:ascii="Arial Narrow" w:hAnsi="Arial Narrow" w:cs="Calibri"/>
                <w:sz w:val="20"/>
                <w:szCs w:val="20"/>
              </w:rPr>
            </w:pPr>
            <w:r w:rsidRPr="00576299">
              <w:rPr>
                <w:rFonts w:ascii="Arial Narrow" w:hAnsi="Arial Narrow" w:cs="Calibri"/>
                <w:color w:val="000000"/>
                <w:sz w:val="20"/>
                <w:szCs w:val="20"/>
              </w:rPr>
              <w:t>65</w:t>
            </w:r>
          </w:p>
        </w:tc>
        <w:tc>
          <w:tcPr>
            <w:tcW w:w="1276" w:type="dxa"/>
            <w:shd w:val="clear" w:color="auto" w:fill="B8CCE4" w:themeFill="accent1" w:themeFillTint="66"/>
            <w:noWrap/>
            <w:vAlign w:val="center"/>
            <w:hideMark/>
          </w:tcPr>
          <w:p w14:paraId="6284EDDD" w14:textId="75F006B6" w:rsidR="00BB5EFE" w:rsidRPr="00576299" w:rsidRDefault="00BB5EFE" w:rsidP="00487CFA">
            <w:pPr>
              <w:keepNext/>
              <w:widowControl w:val="0"/>
              <w:jc w:val="center"/>
              <w:rPr>
                <w:rFonts w:ascii="Arial Narrow" w:hAnsi="Arial Narrow" w:cs="Calibri"/>
                <w:sz w:val="20"/>
                <w:szCs w:val="20"/>
              </w:rPr>
            </w:pPr>
            <w:r w:rsidRPr="00576299">
              <w:rPr>
                <w:rFonts w:ascii="Arial Narrow" w:hAnsi="Arial Narrow" w:cs="Calibri"/>
                <w:color w:val="000000"/>
                <w:sz w:val="20"/>
                <w:szCs w:val="20"/>
              </w:rPr>
              <w:t>48 (73.8)</w:t>
            </w:r>
          </w:p>
        </w:tc>
        <w:tc>
          <w:tcPr>
            <w:tcW w:w="1134" w:type="dxa"/>
            <w:shd w:val="clear" w:color="auto" w:fill="B8CCE4" w:themeFill="accent1" w:themeFillTint="66"/>
            <w:noWrap/>
            <w:vAlign w:val="center"/>
            <w:hideMark/>
          </w:tcPr>
          <w:p w14:paraId="20A6353E" w14:textId="3AB682E6" w:rsidR="00BB5EFE" w:rsidRPr="00576299" w:rsidRDefault="00BB5EFE" w:rsidP="00487CFA">
            <w:pPr>
              <w:keepNext/>
              <w:widowControl w:val="0"/>
              <w:jc w:val="center"/>
              <w:rPr>
                <w:rFonts w:ascii="Arial Narrow" w:hAnsi="Arial Narrow" w:cs="Calibri"/>
                <w:sz w:val="20"/>
                <w:szCs w:val="20"/>
              </w:rPr>
            </w:pPr>
            <w:r w:rsidRPr="00576299">
              <w:rPr>
                <w:rFonts w:ascii="Arial Narrow" w:hAnsi="Arial Narrow" w:cs="Calibri"/>
                <w:color w:val="000000"/>
                <w:sz w:val="20"/>
                <w:szCs w:val="20"/>
              </w:rPr>
              <w:t>17 (26.2)</w:t>
            </w:r>
          </w:p>
        </w:tc>
        <w:tc>
          <w:tcPr>
            <w:tcW w:w="1559" w:type="dxa"/>
            <w:shd w:val="clear" w:color="auto" w:fill="B8CCE4" w:themeFill="accent1" w:themeFillTint="66"/>
            <w:noWrap/>
            <w:vAlign w:val="center"/>
            <w:hideMark/>
          </w:tcPr>
          <w:p w14:paraId="23554BF7" w14:textId="32C347F1" w:rsidR="00BB5EFE" w:rsidRPr="00EF626F" w:rsidRDefault="00BB5EFE" w:rsidP="00487CFA">
            <w:pPr>
              <w:keepNext/>
              <w:widowControl w:val="0"/>
              <w:jc w:val="center"/>
              <w:rPr>
                <w:rFonts w:ascii="Arial Narrow" w:hAnsi="Arial Narrow" w:cs="Calibri"/>
                <w:sz w:val="20"/>
                <w:szCs w:val="20"/>
              </w:rPr>
            </w:pPr>
            <w:r w:rsidRPr="00EF626F">
              <w:rPr>
                <w:rFonts w:ascii="Arial Narrow" w:hAnsi="Arial Narrow" w:cs="Calibri"/>
                <w:color w:val="000000"/>
                <w:sz w:val="20"/>
                <w:szCs w:val="20"/>
              </w:rPr>
              <w:t>3.</w:t>
            </w:r>
            <w:r w:rsidR="00460B74" w:rsidRPr="00EF626F">
              <w:rPr>
                <w:rFonts w:ascii="Arial Narrow" w:hAnsi="Arial Narrow" w:cs="Calibri"/>
                <w:color w:val="000000"/>
                <w:sz w:val="20"/>
                <w:szCs w:val="20"/>
              </w:rPr>
              <w:t>7</w:t>
            </w:r>
            <w:r w:rsidRPr="00EF626F">
              <w:rPr>
                <w:rFonts w:ascii="Arial Narrow" w:hAnsi="Arial Narrow" w:cs="Calibri"/>
                <w:color w:val="000000"/>
                <w:sz w:val="20"/>
                <w:szCs w:val="20"/>
              </w:rPr>
              <w:t xml:space="preserve"> (3.</w:t>
            </w:r>
            <w:r w:rsidR="00460B74" w:rsidRPr="00EF626F">
              <w:rPr>
                <w:rFonts w:ascii="Arial Narrow" w:hAnsi="Arial Narrow" w:cs="Calibri"/>
                <w:color w:val="000000"/>
                <w:sz w:val="20"/>
                <w:szCs w:val="20"/>
              </w:rPr>
              <w:t>1</w:t>
            </w:r>
            <w:r w:rsidRPr="00EF626F">
              <w:rPr>
                <w:rFonts w:ascii="Arial Narrow" w:hAnsi="Arial Narrow" w:cs="Calibri"/>
                <w:color w:val="000000"/>
                <w:sz w:val="20"/>
                <w:szCs w:val="20"/>
              </w:rPr>
              <w:t xml:space="preserve">, </w:t>
            </w:r>
            <w:r w:rsidR="00460B74" w:rsidRPr="00EF626F">
              <w:rPr>
                <w:rFonts w:ascii="Arial Narrow" w:hAnsi="Arial Narrow" w:cs="Calibri"/>
                <w:color w:val="000000"/>
                <w:sz w:val="20"/>
                <w:szCs w:val="20"/>
              </w:rPr>
              <w:t>4.4</w:t>
            </w:r>
            <w:r w:rsidRPr="00EF626F">
              <w:rPr>
                <w:rFonts w:ascii="Arial Narrow" w:hAnsi="Arial Narrow" w:cs="Calibri"/>
                <w:color w:val="000000"/>
                <w:sz w:val="20"/>
                <w:szCs w:val="20"/>
              </w:rPr>
              <w:t>)</w:t>
            </w:r>
          </w:p>
        </w:tc>
        <w:tc>
          <w:tcPr>
            <w:tcW w:w="1035" w:type="dxa"/>
            <w:shd w:val="clear" w:color="auto" w:fill="auto"/>
            <w:vAlign w:val="center"/>
          </w:tcPr>
          <w:p w14:paraId="1A4FFE4D" w14:textId="7353C325" w:rsidR="00BB5EFE" w:rsidRPr="00576299" w:rsidRDefault="00BB5EFE" w:rsidP="00487CFA">
            <w:pPr>
              <w:keepNext/>
              <w:widowControl w:val="0"/>
              <w:jc w:val="center"/>
              <w:rPr>
                <w:rFonts w:ascii="Arial Narrow" w:hAnsi="Arial Narrow" w:cs="Calibri"/>
                <w:sz w:val="20"/>
                <w:szCs w:val="20"/>
              </w:rPr>
            </w:pPr>
            <w:r w:rsidRPr="00576299">
              <w:rPr>
                <w:rFonts w:ascii="Arial Narrow" w:hAnsi="Arial Narrow" w:cs="Calibri"/>
                <w:color w:val="000000"/>
                <w:sz w:val="20"/>
                <w:szCs w:val="20"/>
              </w:rPr>
              <w:t xml:space="preserve">12.7 </w:t>
            </w:r>
            <w:r w:rsidR="000E2B7E" w:rsidRPr="00576299">
              <w:rPr>
                <w:rFonts w:ascii="Arial Narrow" w:hAnsi="Arial Narrow" w:cs="Calibri"/>
                <w:color w:val="000000"/>
                <w:sz w:val="20"/>
                <w:szCs w:val="20"/>
                <w:vertAlign w:val="superscript"/>
              </w:rPr>
              <w:t>b</w:t>
            </w:r>
          </w:p>
        </w:tc>
        <w:tc>
          <w:tcPr>
            <w:tcW w:w="1041" w:type="dxa"/>
            <w:shd w:val="clear" w:color="auto" w:fill="auto"/>
            <w:vAlign w:val="center"/>
          </w:tcPr>
          <w:p w14:paraId="09DB92F6" w14:textId="214F88F4" w:rsidR="00BB5EFE" w:rsidRPr="00576299" w:rsidRDefault="00BB5EFE" w:rsidP="00487CFA">
            <w:pPr>
              <w:keepNext/>
              <w:widowControl w:val="0"/>
              <w:jc w:val="center"/>
              <w:rPr>
                <w:rFonts w:ascii="Arial Narrow" w:hAnsi="Arial Narrow" w:cs="Calibri"/>
                <w:sz w:val="20"/>
                <w:szCs w:val="20"/>
              </w:rPr>
            </w:pPr>
            <w:r w:rsidRPr="00576299">
              <w:rPr>
                <w:rFonts w:ascii="Arial Narrow" w:hAnsi="Arial Narrow" w:cs="Calibri"/>
                <w:color w:val="000000"/>
                <w:sz w:val="20"/>
                <w:szCs w:val="20"/>
              </w:rPr>
              <w:t>N</w:t>
            </w:r>
            <w:r w:rsidR="002D7712" w:rsidRPr="00576299">
              <w:rPr>
                <w:rFonts w:ascii="Arial Narrow" w:hAnsi="Arial Narrow" w:cs="Calibri"/>
                <w:color w:val="000000"/>
                <w:sz w:val="20"/>
                <w:szCs w:val="20"/>
              </w:rPr>
              <w:t>/</w:t>
            </w:r>
            <w:r w:rsidRPr="00576299">
              <w:rPr>
                <w:rFonts w:ascii="Arial Narrow" w:hAnsi="Arial Narrow" w:cs="Calibri"/>
                <w:color w:val="000000"/>
                <w:sz w:val="20"/>
                <w:szCs w:val="20"/>
              </w:rPr>
              <w:t>R</w:t>
            </w:r>
          </w:p>
        </w:tc>
      </w:tr>
      <w:tr w:rsidR="001A4D5F" w:rsidRPr="00576299" w14:paraId="385245FB" w14:textId="765D929D" w:rsidTr="001A4D5F">
        <w:trPr>
          <w:trHeight w:val="20"/>
        </w:trPr>
        <w:tc>
          <w:tcPr>
            <w:tcW w:w="1382" w:type="dxa"/>
            <w:vAlign w:val="center"/>
          </w:tcPr>
          <w:p w14:paraId="1FF74889" w14:textId="6A4B046E" w:rsidR="00BB5EFE" w:rsidRPr="00576299" w:rsidRDefault="00BB5EFE" w:rsidP="00487CFA">
            <w:pPr>
              <w:keepNext/>
              <w:widowControl w:val="0"/>
              <w:rPr>
                <w:rFonts w:ascii="Arial Narrow" w:hAnsi="Arial Narrow" w:cs="Calibri"/>
                <w:sz w:val="20"/>
                <w:szCs w:val="20"/>
              </w:rPr>
            </w:pPr>
            <w:r w:rsidRPr="00576299">
              <w:rPr>
                <w:rFonts w:ascii="Arial Narrow" w:hAnsi="Arial Narrow" w:cs="Calibri"/>
                <w:sz w:val="20"/>
                <w:szCs w:val="20"/>
              </w:rPr>
              <w:t>Scambia 2020 (</w:t>
            </w:r>
            <w:r w:rsidR="005E0056" w:rsidRPr="00576299">
              <w:rPr>
                <w:rFonts w:ascii="Arial Narrow" w:hAnsi="Arial Narrow" w:cs="Calibri"/>
                <w:sz w:val="20"/>
                <w:szCs w:val="20"/>
              </w:rPr>
              <w:t>paclitaxel</w:t>
            </w:r>
            <w:r w:rsidRPr="00576299">
              <w:rPr>
                <w:rFonts w:ascii="Arial Narrow" w:hAnsi="Arial Narrow" w:cs="Calibri"/>
                <w:sz w:val="20"/>
                <w:szCs w:val="20"/>
              </w:rPr>
              <w:t>)</w:t>
            </w:r>
          </w:p>
        </w:tc>
        <w:tc>
          <w:tcPr>
            <w:tcW w:w="891" w:type="dxa"/>
            <w:shd w:val="clear" w:color="auto" w:fill="auto"/>
            <w:noWrap/>
            <w:vAlign w:val="center"/>
            <w:hideMark/>
          </w:tcPr>
          <w:p w14:paraId="6CA67ED1" w14:textId="5E920899" w:rsidR="00BB5EFE" w:rsidRPr="00576299" w:rsidRDefault="00BB5EFE" w:rsidP="00487CFA">
            <w:pPr>
              <w:keepNext/>
              <w:widowControl w:val="0"/>
              <w:jc w:val="center"/>
              <w:rPr>
                <w:rFonts w:ascii="Arial Narrow" w:hAnsi="Arial Narrow" w:cs="Calibri"/>
                <w:sz w:val="20"/>
                <w:szCs w:val="20"/>
              </w:rPr>
            </w:pPr>
            <w:r w:rsidRPr="00576299">
              <w:rPr>
                <w:rFonts w:ascii="Arial Narrow" w:hAnsi="Arial Narrow" w:cs="Calibri"/>
                <w:sz w:val="20"/>
                <w:szCs w:val="20"/>
              </w:rPr>
              <w:t xml:space="preserve">ITT </w:t>
            </w:r>
            <w:r w:rsidRPr="00576299">
              <w:rPr>
                <w:rFonts w:ascii="Arial Narrow" w:hAnsi="Arial Narrow" w:cs="Calibri"/>
                <w:sz w:val="20"/>
                <w:szCs w:val="20"/>
                <w:vertAlign w:val="superscript"/>
              </w:rPr>
              <w:t>b</w:t>
            </w:r>
          </w:p>
        </w:tc>
        <w:tc>
          <w:tcPr>
            <w:tcW w:w="699" w:type="dxa"/>
            <w:shd w:val="clear" w:color="auto" w:fill="B8CCE4" w:themeFill="accent1" w:themeFillTint="66"/>
            <w:noWrap/>
            <w:vAlign w:val="center"/>
            <w:hideMark/>
          </w:tcPr>
          <w:p w14:paraId="4A5C09F7" w14:textId="4EBAF977" w:rsidR="00BB5EFE" w:rsidRPr="00576299" w:rsidRDefault="00BB5EFE" w:rsidP="00487CFA">
            <w:pPr>
              <w:keepNext/>
              <w:widowControl w:val="0"/>
              <w:jc w:val="center"/>
              <w:rPr>
                <w:rFonts w:ascii="Arial Narrow" w:hAnsi="Arial Narrow" w:cs="Calibri"/>
                <w:sz w:val="20"/>
                <w:szCs w:val="20"/>
              </w:rPr>
            </w:pPr>
            <w:r w:rsidRPr="00576299">
              <w:rPr>
                <w:rFonts w:ascii="Arial Narrow" w:hAnsi="Arial Narrow" w:cs="Calibri"/>
                <w:color w:val="000000"/>
                <w:sz w:val="20"/>
                <w:szCs w:val="20"/>
              </w:rPr>
              <w:t>90</w:t>
            </w:r>
          </w:p>
        </w:tc>
        <w:tc>
          <w:tcPr>
            <w:tcW w:w="1276" w:type="dxa"/>
            <w:shd w:val="clear" w:color="auto" w:fill="B8CCE4" w:themeFill="accent1" w:themeFillTint="66"/>
            <w:noWrap/>
            <w:vAlign w:val="center"/>
            <w:hideMark/>
          </w:tcPr>
          <w:p w14:paraId="47F73441" w14:textId="284F8FFE" w:rsidR="00BB5EFE" w:rsidRPr="00576299" w:rsidRDefault="00BB5EFE" w:rsidP="00487CFA">
            <w:pPr>
              <w:keepNext/>
              <w:widowControl w:val="0"/>
              <w:jc w:val="center"/>
              <w:rPr>
                <w:rFonts w:ascii="Arial Narrow" w:hAnsi="Arial Narrow" w:cs="Calibri"/>
                <w:i/>
                <w:sz w:val="20"/>
                <w:szCs w:val="20"/>
              </w:rPr>
            </w:pPr>
            <w:r w:rsidRPr="00576299">
              <w:rPr>
                <w:rFonts w:ascii="Arial Narrow" w:hAnsi="Arial Narrow" w:cs="Calibri"/>
                <w:color w:val="000000"/>
                <w:sz w:val="20"/>
                <w:szCs w:val="20"/>
              </w:rPr>
              <w:t>N/R</w:t>
            </w:r>
          </w:p>
        </w:tc>
        <w:tc>
          <w:tcPr>
            <w:tcW w:w="1134" w:type="dxa"/>
            <w:shd w:val="clear" w:color="auto" w:fill="B8CCE4" w:themeFill="accent1" w:themeFillTint="66"/>
            <w:noWrap/>
            <w:vAlign w:val="center"/>
            <w:hideMark/>
          </w:tcPr>
          <w:p w14:paraId="719C6E30" w14:textId="1CEF4EE3" w:rsidR="00BB5EFE" w:rsidRPr="00576299" w:rsidRDefault="00BB5EFE" w:rsidP="00487CFA">
            <w:pPr>
              <w:keepNext/>
              <w:widowControl w:val="0"/>
              <w:jc w:val="center"/>
              <w:rPr>
                <w:rFonts w:ascii="Arial Narrow" w:hAnsi="Arial Narrow" w:cs="Calibri"/>
                <w:sz w:val="20"/>
                <w:szCs w:val="20"/>
              </w:rPr>
            </w:pPr>
            <w:r w:rsidRPr="00576299">
              <w:rPr>
                <w:rFonts w:ascii="Arial Narrow" w:hAnsi="Arial Narrow" w:cs="Calibri"/>
                <w:color w:val="000000"/>
                <w:sz w:val="20"/>
                <w:szCs w:val="20"/>
              </w:rPr>
              <w:t>N/R</w:t>
            </w:r>
          </w:p>
        </w:tc>
        <w:tc>
          <w:tcPr>
            <w:tcW w:w="1559" w:type="dxa"/>
            <w:shd w:val="clear" w:color="auto" w:fill="B8CCE4" w:themeFill="accent1" w:themeFillTint="66"/>
            <w:noWrap/>
            <w:vAlign w:val="center"/>
            <w:hideMark/>
          </w:tcPr>
          <w:p w14:paraId="193C19B5" w14:textId="08ABA459" w:rsidR="00BB5EFE" w:rsidRPr="00EF626F" w:rsidRDefault="00BB5EFE" w:rsidP="00487CFA">
            <w:pPr>
              <w:keepNext/>
              <w:widowControl w:val="0"/>
              <w:jc w:val="center"/>
              <w:rPr>
                <w:rFonts w:ascii="Arial Narrow" w:hAnsi="Arial Narrow" w:cs="Calibri"/>
                <w:sz w:val="20"/>
                <w:szCs w:val="20"/>
              </w:rPr>
            </w:pPr>
            <w:r w:rsidRPr="00EF626F">
              <w:rPr>
                <w:rFonts w:ascii="Arial Narrow" w:hAnsi="Arial Narrow" w:cs="Calibri"/>
                <w:color w:val="000000"/>
                <w:sz w:val="20"/>
                <w:szCs w:val="20"/>
              </w:rPr>
              <w:t>3.7 (2.3, 4.</w:t>
            </w:r>
            <w:r w:rsidR="00460B74" w:rsidRPr="00EF626F">
              <w:rPr>
                <w:rFonts w:ascii="Arial Narrow" w:hAnsi="Arial Narrow" w:cs="Calibri"/>
                <w:color w:val="000000"/>
                <w:sz w:val="20"/>
                <w:szCs w:val="20"/>
              </w:rPr>
              <w:t>5</w:t>
            </w:r>
            <w:r w:rsidRPr="00EF626F">
              <w:rPr>
                <w:rFonts w:ascii="Arial Narrow" w:hAnsi="Arial Narrow" w:cs="Calibri"/>
                <w:color w:val="000000"/>
                <w:sz w:val="20"/>
                <w:szCs w:val="20"/>
              </w:rPr>
              <w:t>)</w:t>
            </w:r>
          </w:p>
        </w:tc>
        <w:tc>
          <w:tcPr>
            <w:tcW w:w="1035" w:type="dxa"/>
            <w:shd w:val="clear" w:color="auto" w:fill="auto"/>
            <w:vAlign w:val="center"/>
          </w:tcPr>
          <w:p w14:paraId="31B2E861" w14:textId="67639A7C" w:rsidR="00BB5EFE" w:rsidRPr="00576299" w:rsidRDefault="00BB5EFE" w:rsidP="00487CFA">
            <w:pPr>
              <w:keepNext/>
              <w:widowControl w:val="0"/>
              <w:jc w:val="center"/>
              <w:rPr>
                <w:rFonts w:ascii="Arial Narrow" w:hAnsi="Arial Narrow" w:cs="Calibri"/>
                <w:sz w:val="20"/>
                <w:szCs w:val="20"/>
              </w:rPr>
            </w:pPr>
            <w:r w:rsidRPr="00576299">
              <w:rPr>
                <w:rFonts w:ascii="Arial Narrow" w:hAnsi="Arial Narrow" w:cs="Calibri"/>
                <w:color w:val="000000"/>
                <w:sz w:val="20"/>
                <w:szCs w:val="20"/>
              </w:rPr>
              <w:t xml:space="preserve">N/R </w:t>
            </w:r>
            <w:r w:rsidR="000E2B7E" w:rsidRPr="00576299">
              <w:rPr>
                <w:rFonts w:ascii="Arial Narrow" w:hAnsi="Arial Narrow" w:cs="Calibri"/>
                <w:color w:val="000000"/>
                <w:sz w:val="20"/>
                <w:szCs w:val="20"/>
                <w:vertAlign w:val="superscript"/>
              </w:rPr>
              <w:t>c</w:t>
            </w:r>
          </w:p>
        </w:tc>
        <w:tc>
          <w:tcPr>
            <w:tcW w:w="1041" w:type="dxa"/>
            <w:shd w:val="clear" w:color="auto" w:fill="auto"/>
            <w:vAlign w:val="center"/>
          </w:tcPr>
          <w:p w14:paraId="3789B0D9" w14:textId="3F388546" w:rsidR="00BB5EFE" w:rsidRPr="00576299" w:rsidRDefault="00BB5EFE" w:rsidP="00487CFA">
            <w:pPr>
              <w:keepNext/>
              <w:widowControl w:val="0"/>
              <w:jc w:val="center"/>
              <w:rPr>
                <w:rFonts w:ascii="Arial Narrow" w:hAnsi="Arial Narrow" w:cs="Calibri"/>
                <w:sz w:val="20"/>
                <w:szCs w:val="20"/>
              </w:rPr>
            </w:pPr>
            <w:r w:rsidRPr="00576299">
              <w:rPr>
                <w:rFonts w:ascii="Arial Narrow" w:hAnsi="Arial Narrow" w:cs="Calibri"/>
                <w:color w:val="000000"/>
                <w:sz w:val="20"/>
                <w:szCs w:val="20"/>
              </w:rPr>
              <w:t xml:space="preserve">N/R </w:t>
            </w:r>
            <w:r w:rsidR="000E2B7E" w:rsidRPr="00576299">
              <w:rPr>
                <w:rFonts w:ascii="Arial Narrow" w:hAnsi="Arial Narrow" w:cs="Calibri"/>
                <w:color w:val="000000"/>
                <w:sz w:val="20"/>
                <w:szCs w:val="20"/>
                <w:vertAlign w:val="superscript"/>
              </w:rPr>
              <w:t>c</w:t>
            </w:r>
          </w:p>
        </w:tc>
      </w:tr>
    </w:tbl>
    <w:p w14:paraId="272C7FCA" w14:textId="38612991" w:rsidR="00B9009B" w:rsidRPr="00576299" w:rsidRDefault="00B9009B" w:rsidP="00B9009B">
      <w:pPr>
        <w:rPr>
          <w:rFonts w:ascii="Arial Narrow" w:hAnsi="Arial Narrow"/>
          <w:sz w:val="18"/>
          <w:szCs w:val="18"/>
        </w:rPr>
      </w:pPr>
      <w:r w:rsidRPr="00576299">
        <w:rPr>
          <w:rFonts w:ascii="Arial Narrow" w:hAnsi="Arial Narrow"/>
          <w:sz w:val="18"/>
          <w:szCs w:val="18"/>
        </w:rPr>
        <w:t>Sources: Table 47, p125 of the resubmission, Table 14.2.10a of the GARNET CSR, Table 18 and 19, p35 ZoptEC report -final report (GARNET IA3)_ZoptEC analysis</w:t>
      </w:r>
    </w:p>
    <w:p w14:paraId="00D50051" w14:textId="7EE3EED9" w:rsidR="00B9009B" w:rsidRPr="00576299" w:rsidRDefault="00B9009B" w:rsidP="00B9009B">
      <w:pPr>
        <w:rPr>
          <w:rFonts w:ascii="Arial Narrow" w:hAnsi="Arial Narrow"/>
          <w:sz w:val="18"/>
          <w:szCs w:val="18"/>
        </w:rPr>
      </w:pPr>
      <w:r w:rsidRPr="00576299">
        <w:rPr>
          <w:rFonts w:ascii="Arial Narrow" w:hAnsi="Arial Narrow"/>
          <w:sz w:val="18"/>
          <w:szCs w:val="18"/>
        </w:rPr>
        <w:t xml:space="preserve">CI = confidence interval; dMMR = mismatch repair deficient; ITT = intention-to-treat; MAS= adjusted matched analysis set; mITT = modified intention-to-treat; N/R = not reported; PES = Primary Efficacy Set, PFS = progression free survival; pMMR = mismatch repair proficient. </w:t>
      </w:r>
    </w:p>
    <w:p w14:paraId="68F5529A" w14:textId="60DF6205" w:rsidR="00BB5EFE" w:rsidRPr="00576299" w:rsidRDefault="000E2B7E" w:rsidP="00BB5EFE">
      <w:pPr>
        <w:rPr>
          <w:rFonts w:ascii="Arial Narrow" w:hAnsi="Arial Narrow"/>
          <w:sz w:val="18"/>
          <w:szCs w:val="18"/>
        </w:rPr>
      </w:pPr>
      <w:r w:rsidRPr="00576299">
        <w:rPr>
          <w:rFonts w:ascii="Arial Narrow" w:hAnsi="Arial Narrow"/>
          <w:sz w:val="18"/>
          <w:szCs w:val="18"/>
        </w:rPr>
        <w:t>a</w:t>
      </w:r>
      <w:r w:rsidR="00BB5EFE" w:rsidRPr="00576299">
        <w:rPr>
          <w:rFonts w:ascii="Arial Narrow" w:hAnsi="Arial Narrow"/>
          <w:sz w:val="18"/>
          <w:szCs w:val="18"/>
        </w:rPr>
        <w:t xml:space="preserve"> The anonymised ZoptEC IPD has been licensed to GSK from Aeterna Zentaris GmbH for indirect comparison purposes (unpublished data).</w:t>
      </w:r>
    </w:p>
    <w:p w14:paraId="266ECD71" w14:textId="387D7524" w:rsidR="00BB5EFE" w:rsidRPr="00576299" w:rsidRDefault="000E2B7E" w:rsidP="00BB5EFE">
      <w:pPr>
        <w:rPr>
          <w:rFonts w:ascii="Arial Narrow" w:hAnsi="Arial Narrow"/>
          <w:sz w:val="18"/>
          <w:szCs w:val="18"/>
        </w:rPr>
      </w:pPr>
      <w:r w:rsidRPr="00576299">
        <w:rPr>
          <w:rFonts w:ascii="Arial Narrow" w:hAnsi="Arial Narrow"/>
          <w:sz w:val="18"/>
          <w:szCs w:val="18"/>
        </w:rPr>
        <w:t>b</w:t>
      </w:r>
      <w:r w:rsidR="00BB5EFE" w:rsidRPr="00576299">
        <w:rPr>
          <w:rFonts w:ascii="Arial Narrow" w:hAnsi="Arial Narrow"/>
          <w:sz w:val="18"/>
          <w:szCs w:val="18"/>
        </w:rPr>
        <w:t xml:space="preserve"> These data are not reported, therefore are estimated via the digitisation of published KM curves.</w:t>
      </w:r>
    </w:p>
    <w:p w14:paraId="03CC2652" w14:textId="74754FE3" w:rsidR="00BB5EFE" w:rsidRPr="00576299" w:rsidRDefault="000E2B7E" w:rsidP="00BB5EFE">
      <w:pPr>
        <w:rPr>
          <w:rFonts w:ascii="Arial Narrow" w:hAnsi="Arial Narrow"/>
          <w:sz w:val="18"/>
          <w:szCs w:val="18"/>
        </w:rPr>
      </w:pPr>
      <w:r w:rsidRPr="00576299">
        <w:rPr>
          <w:rFonts w:ascii="Arial Narrow" w:hAnsi="Arial Narrow"/>
          <w:sz w:val="18"/>
          <w:szCs w:val="18"/>
        </w:rPr>
        <w:t>c</w:t>
      </w:r>
      <w:r w:rsidR="00BB5EFE" w:rsidRPr="00576299">
        <w:rPr>
          <w:rFonts w:ascii="Arial Narrow" w:hAnsi="Arial Narrow"/>
          <w:sz w:val="18"/>
          <w:szCs w:val="18"/>
        </w:rPr>
        <w:t xml:space="preserve"> These data are not reported, and KM data is not available for landmark survival estimates. </w:t>
      </w:r>
    </w:p>
    <w:p w14:paraId="4037801D" w14:textId="59008442" w:rsidR="008F514E" w:rsidRDefault="00BB5EFE" w:rsidP="000521B5">
      <w:pPr>
        <w:rPr>
          <w:rFonts w:ascii="Arial Narrow" w:hAnsi="Arial Narrow"/>
          <w:sz w:val="18"/>
          <w:szCs w:val="18"/>
        </w:rPr>
      </w:pPr>
      <w:r w:rsidRPr="00576299">
        <w:rPr>
          <w:rFonts w:ascii="Arial Narrow" w:hAnsi="Arial Narrow"/>
          <w:sz w:val="18"/>
          <w:szCs w:val="18"/>
        </w:rPr>
        <w:t xml:space="preserve">Blue shading indicates data previously seen by the PBAC. </w:t>
      </w:r>
    </w:p>
    <w:p w14:paraId="03DEB172" w14:textId="4A1F1B54" w:rsidR="000521B5" w:rsidRDefault="000521B5" w:rsidP="000521B5">
      <w:pPr>
        <w:rPr>
          <w:rFonts w:ascii="Arial Narrow" w:hAnsi="Arial Narrow"/>
          <w:sz w:val="18"/>
          <w:szCs w:val="18"/>
        </w:rPr>
      </w:pPr>
      <w:r>
        <w:rPr>
          <w:rFonts w:ascii="Arial Narrow" w:hAnsi="Arial Narrow"/>
          <w:sz w:val="18"/>
          <w:szCs w:val="18"/>
        </w:rPr>
        <w:t>*</w:t>
      </w:r>
      <w:r w:rsidRPr="000521B5">
        <w:rPr>
          <w:rFonts w:ascii="Arial Narrow" w:hAnsi="Arial Narrow"/>
          <w:sz w:val="18"/>
          <w:szCs w:val="18"/>
        </w:rPr>
        <w:t xml:space="preserve"> </w:t>
      </w:r>
      <w:r w:rsidRPr="000521B5">
        <w:rPr>
          <w:rFonts w:ascii="Arial Narrow" w:hAnsi="Arial Narrow"/>
          <w:i/>
          <w:iCs/>
          <w:sz w:val="18"/>
          <w:szCs w:val="18"/>
        </w:rPr>
        <w:t>Note that the MAS results are derived from a post-hoc analysis performed specifically for the purposes of informing the PBAC consideration. This analysis was not part of the pre-specified statistical plan for GARNET. Interpretation of the results and their application should therefore be limited to seeking to understand the basis for the PBAC outcome and should not be used for any other purpose.</w:t>
      </w:r>
    </w:p>
    <w:p w14:paraId="266854F0" w14:textId="5D2537AD" w:rsidR="000521B5" w:rsidRPr="000521B5" w:rsidRDefault="000521B5" w:rsidP="000521B5">
      <w:pPr>
        <w:rPr>
          <w:rFonts w:ascii="Arial Narrow" w:hAnsi="Arial Narrow"/>
          <w:i/>
          <w:iCs/>
          <w:sz w:val="18"/>
          <w:szCs w:val="18"/>
        </w:rPr>
      </w:pPr>
      <w:r>
        <w:rPr>
          <w:rFonts w:ascii="Arial Narrow" w:hAnsi="Arial Narrow"/>
          <w:sz w:val="18"/>
          <w:szCs w:val="18"/>
          <w:vertAlign w:val="superscript"/>
        </w:rPr>
        <w:t xml:space="preserve"># </w:t>
      </w:r>
      <w:r w:rsidRPr="000521B5">
        <w:rPr>
          <w:rFonts w:ascii="Arial Narrow" w:hAnsi="Arial Narrow"/>
          <w:i/>
          <w:iCs/>
          <w:sz w:val="18"/>
          <w:szCs w:val="18"/>
        </w:rPr>
        <w:t>Note that the MAS results are derived from a post-hoc analysis performed specifically for the purposes of informing the PBAC consideration. This analysis was not part of the pre-specified statistical plan for ZoptEC. Interpretation of the results and their application should therefore be limited to seeking to understand the basis for the PBAC outcome and should not be used for any other purpose.</w:t>
      </w:r>
    </w:p>
    <w:p w14:paraId="77D5C342" w14:textId="77777777" w:rsidR="000521B5" w:rsidRPr="000521B5" w:rsidRDefault="000521B5" w:rsidP="000521B5">
      <w:pPr>
        <w:rPr>
          <w:rFonts w:ascii="Arial Narrow" w:hAnsi="Arial Narrow"/>
          <w:sz w:val="18"/>
          <w:szCs w:val="18"/>
          <w:vertAlign w:val="superscript"/>
        </w:rPr>
      </w:pPr>
    </w:p>
    <w:p w14:paraId="1118EEB2" w14:textId="231081A7" w:rsidR="0050038E" w:rsidRPr="00576299" w:rsidRDefault="001E47F7" w:rsidP="0092254A">
      <w:pPr>
        <w:pStyle w:val="3-BodyText"/>
      </w:pPr>
      <w:r w:rsidRPr="00576299">
        <w:t>While the resubmission proposed an MCID for PFS of 2.5 months</w:t>
      </w:r>
      <w:r w:rsidR="0050038E" w:rsidRPr="00576299">
        <w:t>, it was unclear if it was appropriate to apply an MCID to a naïve indirect comparison given the high risk of bias of using individual arms from different studies. Given the lower 95%</w:t>
      </w:r>
      <w:r w:rsidR="007712DE" w:rsidRPr="00576299">
        <w:t xml:space="preserve"> </w:t>
      </w:r>
      <w:r w:rsidR="0050038E" w:rsidRPr="00576299">
        <w:t>CI of all dostarlimab arms (irrespective of cohort, analysis set or data cut) was lower than 9.1 months</w:t>
      </w:r>
      <w:r w:rsidR="009A28B3" w:rsidRPr="00576299">
        <w:t xml:space="preserve"> (6.6 months, the highest 95% confidence interval PFS value reported for SoC in ZoptEC </w:t>
      </w:r>
      <w:r w:rsidR="00821DB2">
        <w:t xml:space="preserve">plus </w:t>
      </w:r>
      <w:r w:rsidR="009A28B3" w:rsidRPr="00576299">
        <w:t>2.5 months)</w:t>
      </w:r>
      <w:r w:rsidR="0050038E" w:rsidRPr="00576299">
        <w:t>, the nominated MCID for PFS was not met.</w:t>
      </w:r>
    </w:p>
    <w:p w14:paraId="10BDF924" w14:textId="6E0EF1D0" w:rsidR="0092254A" w:rsidRPr="00576299" w:rsidRDefault="0092254A" w:rsidP="0092254A">
      <w:pPr>
        <w:pStyle w:val="3-BodyText"/>
      </w:pPr>
      <w:r w:rsidRPr="00576299">
        <w:t xml:space="preserve">Kaplan-Meier curves showing an overlay of PFS results for the dostarlimab versus pembrolizumab </w:t>
      </w:r>
      <w:r w:rsidRPr="00576299">
        <w:rPr>
          <w:rFonts w:cstheme="minorHAnsi"/>
        </w:rPr>
        <w:t>±</w:t>
      </w:r>
      <w:r w:rsidRPr="00576299">
        <w:t xml:space="preserve"> lenvatinib included trials and studies are provided in </w:t>
      </w:r>
      <w:r w:rsidRPr="00576299">
        <w:fldChar w:fldCharType="begin"/>
      </w:r>
      <w:r w:rsidRPr="00576299">
        <w:instrText xml:space="preserve"> REF _Ref111418914 \h </w:instrText>
      </w:r>
      <w:r w:rsidRPr="00576299">
        <w:fldChar w:fldCharType="separate"/>
      </w:r>
      <w:r w:rsidR="00CD09E9" w:rsidRPr="00576299">
        <w:t xml:space="preserve">Figure </w:t>
      </w:r>
      <w:r w:rsidR="00CD09E9">
        <w:rPr>
          <w:noProof/>
        </w:rPr>
        <w:t>4</w:t>
      </w:r>
      <w:r w:rsidRPr="00576299">
        <w:fldChar w:fldCharType="end"/>
      </w:r>
      <w:r w:rsidRPr="00576299">
        <w:t xml:space="preserve">. The comparison of PFS is presented in </w:t>
      </w:r>
      <w:r w:rsidRPr="00576299">
        <w:fldChar w:fldCharType="begin"/>
      </w:r>
      <w:r w:rsidRPr="00576299">
        <w:instrText xml:space="preserve"> REF _Ref111418880 \h </w:instrText>
      </w:r>
      <w:r w:rsidRPr="00576299">
        <w:fldChar w:fldCharType="separate"/>
      </w:r>
      <w:r w:rsidR="00CD09E9" w:rsidRPr="00576299">
        <w:t xml:space="preserve">Table </w:t>
      </w:r>
      <w:r w:rsidR="00CD09E9">
        <w:rPr>
          <w:noProof/>
        </w:rPr>
        <w:t>9</w:t>
      </w:r>
      <w:r w:rsidRPr="00576299">
        <w:fldChar w:fldCharType="end"/>
      </w:r>
      <w:r w:rsidRPr="00576299">
        <w:t xml:space="preserve">. </w:t>
      </w:r>
    </w:p>
    <w:p w14:paraId="630B817D" w14:textId="22BD14F9" w:rsidR="0092254A" w:rsidRPr="00576299" w:rsidRDefault="0092254A" w:rsidP="0092254A">
      <w:pPr>
        <w:pStyle w:val="Caption"/>
      </w:pPr>
      <w:bookmarkStart w:id="37" w:name="_Ref111418914"/>
      <w:r w:rsidRPr="00576299">
        <w:lastRenderedPageBreak/>
        <w:t xml:space="preserve">Figure </w:t>
      </w:r>
      <w:fldSimple w:instr=" SEQ Figure \* ARABIC ">
        <w:r w:rsidR="00CD09E9">
          <w:rPr>
            <w:noProof/>
          </w:rPr>
          <w:t>4</w:t>
        </w:r>
      </w:fldSimple>
      <w:bookmarkEnd w:id="37"/>
      <w:r w:rsidRPr="00576299">
        <w:t>: Dostarlimab vs pembrolizumab +/- lenvatinib naïve comparison: Kaplan-Meier PFS curves from included trials</w:t>
      </w:r>
      <w:r w:rsidR="007B1CD9">
        <w:t>*</w:t>
      </w:r>
    </w:p>
    <w:p w14:paraId="4B738714" w14:textId="6F8F6FFB" w:rsidR="0092254A" w:rsidRPr="00576299" w:rsidRDefault="0092254A" w:rsidP="00FB4E8E">
      <w:pPr>
        <w:pStyle w:val="TableFooter"/>
        <w:tabs>
          <w:tab w:val="left" w:pos="7938"/>
        </w:tabs>
      </w:pPr>
      <w:r w:rsidRPr="00576299">
        <w:rPr>
          <w:noProof/>
        </w:rPr>
        <w:drawing>
          <wp:inline distT="0" distB="0" distL="0" distR="0" wp14:anchorId="5A5CCAFF" wp14:editId="3470687E">
            <wp:extent cx="4781550" cy="2839554"/>
            <wp:effectExtent l="0" t="0" r="0" b="0"/>
            <wp:docPr id="13" name="Picture 13" descr="Figure 4: Dostarlimab vs pembrolizumab +/- lenvatinib naïve comparison: Kaplan-Meier PFS curves from included t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Figure 4: Dostarlimab vs pembrolizumab +/- lenvatinib naïve comparison: Kaplan-Meier PFS curves from included trial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18813" cy="2861683"/>
                    </a:xfrm>
                    <a:prstGeom prst="rect">
                      <a:avLst/>
                    </a:prstGeom>
                  </pic:spPr>
                </pic:pic>
              </a:graphicData>
            </a:graphic>
          </wp:inline>
        </w:drawing>
      </w:r>
    </w:p>
    <w:p w14:paraId="23BE084E" w14:textId="4CD0FE20" w:rsidR="00B9009B" w:rsidRPr="00576299" w:rsidRDefault="00B9009B" w:rsidP="00B9009B">
      <w:pPr>
        <w:pStyle w:val="TableFooter"/>
      </w:pPr>
      <w:r w:rsidRPr="00576299">
        <w:t>Source: Figure 35, p161 of the resubmission.</w:t>
      </w:r>
    </w:p>
    <w:p w14:paraId="764A2601" w14:textId="2A6F9F40" w:rsidR="00B9009B" w:rsidRPr="00576299" w:rsidRDefault="00B9009B" w:rsidP="00B9009B">
      <w:pPr>
        <w:pStyle w:val="TableFooter"/>
      </w:pPr>
      <w:r w:rsidRPr="00576299">
        <w:t>dMMR = mismatch repair deficient; ITT = intention-to-treat.</w:t>
      </w:r>
    </w:p>
    <w:p w14:paraId="2A11EEF9" w14:textId="55C697BF" w:rsidR="0092254A" w:rsidRDefault="0092254A" w:rsidP="0092254A">
      <w:pPr>
        <w:pStyle w:val="TableFooter"/>
      </w:pPr>
      <w:r w:rsidRPr="00576299">
        <w:t>Note: PFS curves were generated via the digitising of KM curves reported in: GARNET IA2 &amp; IA3 CSR; Makker 2022; O’Malley 2022.</w:t>
      </w:r>
    </w:p>
    <w:p w14:paraId="3EB85799" w14:textId="7F42497C" w:rsidR="007B1CD9" w:rsidRPr="00576299" w:rsidRDefault="007B1CD9" w:rsidP="0092254A">
      <w:pPr>
        <w:pStyle w:val="TableFooter"/>
      </w:pPr>
      <w:r>
        <w:t>*</w:t>
      </w:r>
      <w:r w:rsidRPr="007B1CD9">
        <w:t xml:space="preserve"> </w:t>
      </w:r>
      <w:r w:rsidRPr="007B1CD9">
        <w:rPr>
          <w:i/>
          <w:iCs/>
        </w:rPr>
        <w:t>Note that the Kaplan-Meier plots depicted in Figure 4 are presented specifically for the purposes of informing the PBAC consideration. Their interpretation and application should therefore be limited to seeking to understand the basis for the PBAC outcome and should not be used for any other purpose.</w:t>
      </w:r>
    </w:p>
    <w:p w14:paraId="47363587" w14:textId="0E8D8788" w:rsidR="0092254A" w:rsidRPr="00576299" w:rsidRDefault="0092254A" w:rsidP="001B3F58">
      <w:pPr>
        <w:pStyle w:val="TableFooter"/>
      </w:pPr>
    </w:p>
    <w:p w14:paraId="05B06240" w14:textId="7A5B3C40" w:rsidR="0092254A" w:rsidRPr="00576299" w:rsidRDefault="0092254A" w:rsidP="0092254A">
      <w:pPr>
        <w:pStyle w:val="Caption"/>
        <w:rPr>
          <w:szCs w:val="20"/>
        </w:rPr>
      </w:pPr>
      <w:bookmarkStart w:id="38" w:name="_Ref111418880"/>
      <w:r w:rsidRPr="00576299">
        <w:t xml:space="preserve">Table </w:t>
      </w:r>
      <w:fldSimple w:instr=" SEQ Table \* ARABIC ">
        <w:r w:rsidR="00CD09E9">
          <w:rPr>
            <w:noProof/>
          </w:rPr>
          <w:t>9</w:t>
        </w:r>
      </w:fldSimple>
      <w:bookmarkEnd w:id="38"/>
      <w:r w:rsidRPr="00576299">
        <w:t>: Dostarlimab vs pembrolizumab +/- lenvatinib naïve comparison:</w:t>
      </w:r>
      <w:r w:rsidRPr="00576299">
        <w:rPr>
          <w:szCs w:val="20"/>
        </w:rPr>
        <w:t xml:space="preserve"> Summary of PFS events in the relevant arms of included trials and 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11"/>
        <w:gridCol w:w="880"/>
        <w:gridCol w:w="11"/>
        <w:gridCol w:w="551"/>
        <w:gridCol w:w="19"/>
        <w:gridCol w:w="974"/>
        <w:gridCol w:w="19"/>
        <w:gridCol w:w="1115"/>
        <w:gridCol w:w="19"/>
        <w:gridCol w:w="1682"/>
        <w:gridCol w:w="19"/>
        <w:gridCol w:w="1267"/>
        <w:gridCol w:w="6"/>
        <w:gridCol w:w="1058"/>
      </w:tblGrid>
      <w:tr w:rsidR="00311586" w:rsidRPr="00576299" w14:paraId="06419049" w14:textId="12DEE6DF" w:rsidTr="00B9009B">
        <w:trPr>
          <w:trHeight w:val="20"/>
        </w:trPr>
        <w:tc>
          <w:tcPr>
            <w:tcW w:w="1397" w:type="dxa"/>
            <w:gridSpan w:val="2"/>
            <w:vAlign w:val="center"/>
          </w:tcPr>
          <w:p w14:paraId="7EDFB821" w14:textId="692D73E3" w:rsidR="00311586" w:rsidRPr="00576299" w:rsidRDefault="00311586" w:rsidP="002E1771">
            <w:pPr>
              <w:keepNext/>
              <w:keepLines/>
              <w:rPr>
                <w:rFonts w:ascii="Arial Narrow" w:hAnsi="Arial Narrow" w:cs="Calibri"/>
                <w:b/>
                <w:bCs/>
                <w:sz w:val="20"/>
                <w:szCs w:val="20"/>
              </w:rPr>
            </w:pPr>
            <w:r w:rsidRPr="00576299">
              <w:rPr>
                <w:rFonts w:ascii="Arial Narrow" w:hAnsi="Arial Narrow" w:cs="Calibri"/>
                <w:b/>
                <w:bCs/>
                <w:sz w:val="20"/>
                <w:szCs w:val="20"/>
              </w:rPr>
              <w:t>Trial</w:t>
            </w:r>
          </w:p>
        </w:tc>
        <w:tc>
          <w:tcPr>
            <w:tcW w:w="891" w:type="dxa"/>
            <w:gridSpan w:val="2"/>
            <w:shd w:val="clear" w:color="auto" w:fill="auto"/>
            <w:noWrap/>
            <w:vAlign w:val="center"/>
            <w:hideMark/>
          </w:tcPr>
          <w:p w14:paraId="67A7B5BC" w14:textId="62B46FF5" w:rsidR="00311586" w:rsidRPr="00576299" w:rsidRDefault="00311586" w:rsidP="002E1771">
            <w:pPr>
              <w:keepNext/>
              <w:keepLines/>
              <w:jc w:val="center"/>
              <w:rPr>
                <w:rFonts w:ascii="Arial Narrow" w:hAnsi="Arial Narrow" w:cs="Calibri"/>
                <w:b/>
                <w:bCs/>
                <w:sz w:val="20"/>
                <w:szCs w:val="20"/>
              </w:rPr>
            </w:pPr>
            <w:r w:rsidRPr="00576299">
              <w:rPr>
                <w:rFonts w:ascii="Arial Narrow" w:hAnsi="Arial Narrow" w:cs="Calibri"/>
                <w:b/>
                <w:bCs/>
                <w:sz w:val="20"/>
                <w:szCs w:val="20"/>
              </w:rPr>
              <w:t>Analysis set</w:t>
            </w:r>
          </w:p>
        </w:tc>
        <w:tc>
          <w:tcPr>
            <w:tcW w:w="551" w:type="dxa"/>
            <w:shd w:val="clear" w:color="auto" w:fill="auto"/>
            <w:noWrap/>
            <w:vAlign w:val="center"/>
            <w:hideMark/>
          </w:tcPr>
          <w:p w14:paraId="27F3CEEE" w14:textId="63374D12" w:rsidR="00311586" w:rsidRPr="00576299" w:rsidRDefault="00311586" w:rsidP="002E1771">
            <w:pPr>
              <w:keepNext/>
              <w:keepLines/>
              <w:jc w:val="center"/>
              <w:rPr>
                <w:rFonts w:ascii="Arial Narrow" w:hAnsi="Arial Narrow" w:cs="Calibri"/>
                <w:b/>
                <w:bCs/>
                <w:sz w:val="20"/>
                <w:szCs w:val="20"/>
              </w:rPr>
            </w:pPr>
            <w:r w:rsidRPr="00576299">
              <w:rPr>
                <w:rFonts w:ascii="Arial Narrow" w:hAnsi="Arial Narrow" w:cs="Calibri"/>
                <w:b/>
                <w:bCs/>
                <w:sz w:val="20"/>
                <w:szCs w:val="20"/>
              </w:rPr>
              <w:t>N</w:t>
            </w:r>
          </w:p>
        </w:tc>
        <w:tc>
          <w:tcPr>
            <w:tcW w:w="993" w:type="dxa"/>
            <w:gridSpan w:val="2"/>
            <w:shd w:val="clear" w:color="auto" w:fill="auto"/>
            <w:noWrap/>
            <w:vAlign w:val="center"/>
            <w:hideMark/>
          </w:tcPr>
          <w:p w14:paraId="4F564DF0" w14:textId="00BAF6BA" w:rsidR="00311586" w:rsidRPr="00576299" w:rsidRDefault="006C5E12" w:rsidP="002E1771">
            <w:pPr>
              <w:keepNext/>
              <w:keepLines/>
              <w:jc w:val="center"/>
              <w:rPr>
                <w:rFonts w:ascii="Arial Narrow" w:hAnsi="Arial Narrow" w:cs="Calibri"/>
                <w:b/>
                <w:bCs/>
                <w:sz w:val="20"/>
                <w:szCs w:val="20"/>
              </w:rPr>
            </w:pPr>
            <w:r w:rsidRPr="00576299">
              <w:rPr>
                <w:rFonts w:ascii="Arial Narrow" w:hAnsi="Arial Narrow" w:cs="Calibri"/>
                <w:b/>
                <w:bCs/>
                <w:sz w:val="20"/>
                <w:szCs w:val="20"/>
              </w:rPr>
              <w:t>Event</w:t>
            </w:r>
            <w:r w:rsidR="00311586" w:rsidRPr="00576299">
              <w:rPr>
                <w:rFonts w:ascii="Arial Narrow" w:hAnsi="Arial Narrow" w:cs="Calibri"/>
                <w:b/>
                <w:bCs/>
                <w:sz w:val="20"/>
                <w:szCs w:val="20"/>
              </w:rPr>
              <w:t>s, n (%)</w:t>
            </w:r>
          </w:p>
        </w:tc>
        <w:tc>
          <w:tcPr>
            <w:tcW w:w="1134" w:type="dxa"/>
            <w:gridSpan w:val="2"/>
            <w:shd w:val="clear" w:color="auto" w:fill="auto"/>
            <w:noWrap/>
            <w:vAlign w:val="center"/>
            <w:hideMark/>
          </w:tcPr>
          <w:p w14:paraId="3CF8C2FC" w14:textId="2004CDB2" w:rsidR="00311586" w:rsidRPr="00576299" w:rsidRDefault="00311586" w:rsidP="002E1771">
            <w:pPr>
              <w:keepNext/>
              <w:keepLines/>
              <w:jc w:val="center"/>
              <w:rPr>
                <w:rFonts w:ascii="Arial Narrow" w:hAnsi="Arial Narrow" w:cs="Calibri"/>
                <w:b/>
                <w:bCs/>
                <w:sz w:val="20"/>
                <w:szCs w:val="20"/>
              </w:rPr>
            </w:pPr>
            <w:r w:rsidRPr="00576299">
              <w:rPr>
                <w:rFonts w:ascii="Arial Narrow" w:hAnsi="Arial Narrow" w:cs="Calibri"/>
                <w:b/>
                <w:bCs/>
                <w:sz w:val="20"/>
                <w:szCs w:val="20"/>
              </w:rPr>
              <w:t xml:space="preserve">Censored, </w:t>
            </w:r>
          </w:p>
          <w:p w14:paraId="2E5D0C5F" w14:textId="732F96A4" w:rsidR="00311586" w:rsidRPr="00576299" w:rsidRDefault="00311586" w:rsidP="002E1771">
            <w:pPr>
              <w:keepNext/>
              <w:keepLines/>
              <w:jc w:val="center"/>
              <w:rPr>
                <w:rFonts w:ascii="Arial Narrow" w:hAnsi="Arial Narrow" w:cs="Calibri"/>
                <w:b/>
                <w:bCs/>
                <w:sz w:val="20"/>
                <w:szCs w:val="20"/>
              </w:rPr>
            </w:pPr>
            <w:r w:rsidRPr="00576299">
              <w:rPr>
                <w:rFonts w:ascii="Arial Narrow" w:hAnsi="Arial Narrow" w:cs="Calibri"/>
                <w:b/>
                <w:bCs/>
                <w:sz w:val="20"/>
                <w:szCs w:val="20"/>
              </w:rPr>
              <w:t>n (%)</w:t>
            </w:r>
          </w:p>
        </w:tc>
        <w:tc>
          <w:tcPr>
            <w:tcW w:w="1701" w:type="dxa"/>
            <w:gridSpan w:val="2"/>
            <w:shd w:val="clear" w:color="auto" w:fill="auto"/>
            <w:noWrap/>
            <w:vAlign w:val="center"/>
            <w:hideMark/>
          </w:tcPr>
          <w:p w14:paraId="42B075A6" w14:textId="03686954" w:rsidR="00311586" w:rsidRPr="00576299" w:rsidRDefault="00311586" w:rsidP="002E1771">
            <w:pPr>
              <w:keepNext/>
              <w:keepLines/>
              <w:jc w:val="center"/>
              <w:rPr>
                <w:rFonts w:ascii="Arial Narrow" w:hAnsi="Arial Narrow" w:cs="Calibri"/>
                <w:b/>
                <w:bCs/>
                <w:sz w:val="20"/>
                <w:szCs w:val="20"/>
              </w:rPr>
            </w:pPr>
            <w:r w:rsidRPr="00576299">
              <w:rPr>
                <w:rFonts w:ascii="Arial Narrow" w:hAnsi="Arial Narrow" w:cs="Calibri"/>
                <w:b/>
                <w:bCs/>
                <w:sz w:val="20"/>
                <w:szCs w:val="20"/>
              </w:rPr>
              <w:t>Median, months (95%CI)</w:t>
            </w:r>
          </w:p>
        </w:tc>
        <w:tc>
          <w:tcPr>
            <w:tcW w:w="1286" w:type="dxa"/>
            <w:gridSpan w:val="2"/>
          </w:tcPr>
          <w:p w14:paraId="069E32AE" w14:textId="56C6CC10" w:rsidR="00311586" w:rsidRPr="00576299" w:rsidRDefault="00DD59F1" w:rsidP="002E1771">
            <w:pPr>
              <w:keepNext/>
              <w:keepLines/>
              <w:jc w:val="center"/>
              <w:rPr>
                <w:rFonts w:ascii="Arial Narrow" w:hAnsi="Arial Narrow" w:cs="Calibri"/>
                <w:b/>
                <w:bCs/>
                <w:sz w:val="20"/>
                <w:szCs w:val="20"/>
              </w:rPr>
            </w:pPr>
            <w:r w:rsidRPr="00576299">
              <w:rPr>
                <w:rFonts w:ascii="Arial Narrow" w:hAnsi="Arial Narrow" w:cs="Calibri"/>
                <w:b/>
                <w:bCs/>
                <w:sz w:val="20"/>
                <w:szCs w:val="20"/>
              </w:rPr>
              <w:t>12-month</w:t>
            </w:r>
            <w:r w:rsidR="00311586" w:rsidRPr="00576299">
              <w:rPr>
                <w:rFonts w:ascii="Arial Narrow" w:hAnsi="Arial Narrow" w:cs="Calibri"/>
                <w:b/>
                <w:bCs/>
                <w:sz w:val="20"/>
                <w:szCs w:val="20"/>
              </w:rPr>
              <w:t xml:space="preserve"> PFS %</w:t>
            </w:r>
          </w:p>
        </w:tc>
        <w:tc>
          <w:tcPr>
            <w:tcW w:w="1064" w:type="dxa"/>
            <w:gridSpan w:val="2"/>
          </w:tcPr>
          <w:p w14:paraId="7E0AFAB9" w14:textId="4FBFF9CC" w:rsidR="00311586" w:rsidRPr="00576299" w:rsidRDefault="00DD59F1" w:rsidP="002E1771">
            <w:pPr>
              <w:keepNext/>
              <w:keepLines/>
              <w:jc w:val="center"/>
              <w:rPr>
                <w:rFonts w:ascii="Arial Narrow" w:hAnsi="Arial Narrow" w:cs="Calibri"/>
                <w:b/>
                <w:bCs/>
                <w:sz w:val="20"/>
                <w:szCs w:val="20"/>
              </w:rPr>
            </w:pPr>
            <w:r w:rsidRPr="00576299">
              <w:rPr>
                <w:rFonts w:ascii="Arial Narrow" w:hAnsi="Arial Narrow" w:cs="Calibri"/>
                <w:b/>
                <w:bCs/>
                <w:sz w:val="20"/>
                <w:szCs w:val="20"/>
              </w:rPr>
              <w:t>24-month</w:t>
            </w:r>
            <w:r w:rsidR="00311586" w:rsidRPr="00576299">
              <w:rPr>
                <w:rFonts w:ascii="Arial Narrow" w:hAnsi="Arial Narrow" w:cs="Calibri"/>
                <w:b/>
                <w:bCs/>
                <w:sz w:val="20"/>
                <w:szCs w:val="20"/>
              </w:rPr>
              <w:t xml:space="preserve"> PFS %</w:t>
            </w:r>
          </w:p>
        </w:tc>
      </w:tr>
      <w:tr w:rsidR="00311586" w:rsidRPr="00576299" w14:paraId="43650D68" w14:textId="729D4F93" w:rsidTr="00B9009B">
        <w:trPr>
          <w:trHeight w:val="20"/>
        </w:trPr>
        <w:tc>
          <w:tcPr>
            <w:tcW w:w="6667" w:type="dxa"/>
            <w:gridSpan w:val="11"/>
            <w:vAlign w:val="center"/>
          </w:tcPr>
          <w:p w14:paraId="1C48E46A" w14:textId="4EEE4007" w:rsidR="00311586" w:rsidRPr="00576299" w:rsidRDefault="00311586" w:rsidP="002E1771">
            <w:pPr>
              <w:keepNext/>
              <w:keepLines/>
              <w:rPr>
                <w:rFonts w:ascii="Arial Narrow" w:hAnsi="Arial Narrow" w:cs="Calibri"/>
                <w:b/>
                <w:bCs/>
                <w:sz w:val="20"/>
                <w:szCs w:val="20"/>
              </w:rPr>
            </w:pPr>
            <w:r w:rsidRPr="00576299">
              <w:rPr>
                <w:rFonts w:ascii="Arial Narrow" w:hAnsi="Arial Narrow" w:cs="Calibri"/>
                <w:b/>
                <w:bCs/>
                <w:sz w:val="20"/>
                <w:szCs w:val="20"/>
              </w:rPr>
              <w:t>Dostarlimab</w:t>
            </w:r>
          </w:p>
        </w:tc>
        <w:tc>
          <w:tcPr>
            <w:tcW w:w="1286" w:type="dxa"/>
            <w:gridSpan w:val="2"/>
          </w:tcPr>
          <w:p w14:paraId="336F6A36" w14:textId="251B385E" w:rsidR="00311586" w:rsidRPr="00576299" w:rsidRDefault="00311586" w:rsidP="002E1771">
            <w:pPr>
              <w:keepNext/>
              <w:keepLines/>
              <w:rPr>
                <w:rFonts w:ascii="Arial Narrow" w:hAnsi="Arial Narrow" w:cs="Calibri"/>
                <w:sz w:val="20"/>
                <w:szCs w:val="20"/>
              </w:rPr>
            </w:pPr>
          </w:p>
        </w:tc>
        <w:tc>
          <w:tcPr>
            <w:tcW w:w="1064" w:type="dxa"/>
            <w:gridSpan w:val="2"/>
          </w:tcPr>
          <w:p w14:paraId="544A59D4" w14:textId="204E303D" w:rsidR="00311586" w:rsidRPr="00576299" w:rsidRDefault="00311586" w:rsidP="002E1771">
            <w:pPr>
              <w:keepNext/>
              <w:keepLines/>
              <w:rPr>
                <w:rFonts w:ascii="Arial Narrow" w:hAnsi="Arial Narrow" w:cs="Calibri"/>
                <w:sz w:val="20"/>
                <w:szCs w:val="20"/>
              </w:rPr>
            </w:pPr>
          </w:p>
        </w:tc>
      </w:tr>
      <w:tr w:rsidR="00311586" w:rsidRPr="00576299" w14:paraId="6CA6AC98" w14:textId="40071AA6" w:rsidTr="00B9009B">
        <w:trPr>
          <w:trHeight w:val="20"/>
        </w:trPr>
        <w:tc>
          <w:tcPr>
            <w:tcW w:w="1397" w:type="dxa"/>
            <w:gridSpan w:val="2"/>
            <w:vMerge w:val="restart"/>
            <w:vAlign w:val="center"/>
          </w:tcPr>
          <w:p w14:paraId="16C01E22" w14:textId="3BF9FB44" w:rsidR="00311586" w:rsidRPr="00576299" w:rsidRDefault="00311586" w:rsidP="002E1771">
            <w:pPr>
              <w:keepNext/>
              <w:keepLines/>
              <w:rPr>
                <w:rFonts w:ascii="Arial Narrow" w:hAnsi="Arial Narrow" w:cs="Calibri"/>
                <w:sz w:val="20"/>
                <w:szCs w:val="20"/>
              </w:rPr>
            </w:pPr>
            <w:r w:rsidRPr="00576299">
              <w:rPr>
                <w:rFonts w:ascii="Arial Narrow" w:hAnsi="Arial Narrow" w:cs="Calibri"/>
                <w:sz w:val="20"/>
                <w:szCs w:val="20"/>
              </w:rPr>
              <w:t>GARNET Cohort A1</w:t>
            </w:r>
          </w:p>
        </w:tc>
        <w:tc>
          <w:tcPr>
            <w:tcW w:w="891" w:type="dxa"/>
            <w:gridSpan w:val="2"/>
            <w:shd w:val="clear" w:color="auto" w:fill="auto"/>
            <w:noWrap/>
            <w:vAlign w:val="center"/>
            <w:hideMark/>
          </w:tcPr>
          <w:p w14:paraId="6350BF8A" w14:textId="47078CE3" w:rsidR="00311586" w:rsidRPr="00576299" w:rsidRDefault="00311586" w:rsidP="002E1771">
            <w:pPr>
              <w:keepNext/>
              <w:keepLines/>
              <w:jc w:val="center"/>
              <w:rPr>
                <w:rFonts w:ascii="Arial Narrow" w:hAnsi="Arial Narrow" w:cs="Calibri"/>
                <w:sz w:val="20"/>
                <w:szCs w:val="20"/>
              </w:rPr>
            </w:pPr>
            <w:r w:rsidRPr="00576299">
              <w:rPr>
                <w:rFonts w:ascii="Arial Narrow" w:hAnsi="Arial Narrow" w:cs="Calibri"/>
                <w:sz w:val="20"/>
                <w:szCs w:val="20"/>
              </w:rPr>
              <w:t>ITT</w:t>
            </w:r>
          </w:p>
        </w:tc>
        <w:tc>
          <w:tcPr>
            <w:tcW w:w="551" w:type="dxa"/>
            <w:shd w:val="clear" w:color="auto" w:fill="auto"/>
            <w:noWrap/>
            <w:vAlign w:val="center"/>
            <w:hideMark/>
          </w:tcPr>
          <w:p w14:paraId="2BD0EC06" w14:textId="39AA15EC" w:rsidR="00311586" w:rsidRPr="00576299" w:rsidRDefault="00311586" w:rsidP="002E1771">
            <w:pPr>
              <w:keepNext/>
              <w:keepLines/>
              <w:jc w:val="center"/>
              <w:rPr>
                <w:rFonts w:ascii="Arial Narrow" w:hAnsi="Arial Narrow" w:cs="Calibri"/>
                <w:sz w:val="20"/>
                <w:szCs w:val="20"/>
              </w:rPr>
            </w:pPr>
            <w:r w:rsidRPr="00576299">
              <w:rPr>
                <w:rFonts w:ascii="Arial Narrow" w:hAnsi="Arial Narrow" w:cs="Calibri"/>
                <w:color w:val="000000"/>
                <w:sz w:val="20"/>
                <w:szCs w:val="20"/>
              </w:rPr>
              <w:t>153</w:t>
            </w:r>
          </w:p>
        </w:tc>
        <w:tc>
          <w:tcPr>
            <w:tcW w:w="993" w:type="dxa"/>
            <w:gridSpan w:val="2"/>
            <w:shd w:val="clear" w:color="auto" w:fill="auto"/>
            <w:noWrap/>
            <w:vAlign w:val="center"/>
          </w:tcPr>
          <w:p w14:paraId="08FB6252" w14:textId="72F2E896" w:rsidR="00311586" w:rsidRPr="00576299" w:rsidRDefault="00311586" w:rsidP="002E1771">
            <w:pPr>
              <w:keepNext/>
              <w:keepLines/>
              <w:jc w:val="center"/>
              <w:rPr>
                <w:rFonts w:ascii="Arial Narrow" w:hAnsi="Arial Narrow" w:cs="Calibri"/>
                <w:sz w:val="20"/>
                <w:szCs w:val="20"/>
              </w:rPr>
            </w:pPr>
            <w:r w:rsidRPr="00576299">
              <w:rPr>
                <w:rFonts w:ascii="Arial Narrow" w:hAnsi="Arial Narrow" w:cs="Calibri"/>
                <w:color w:val="000000"/>
                <w:sz w:val="20"/>
                <w:szCs w:val="20"/>
              </w:rPr>
              <w:t>87 (56.9)</w:t>
            </w:r>
          </w:p>
        </w:tc>
        <w:tc>
          <w:tcPr>
            <w:tcW w:w="1134" w:type="dxa"/>
            <w:gridSpan w:val="2"/>
            <w:shd w:val="clear" w:color="auto" w:fill="auto"/>
            <w:noWrap/>
            <w:vAlign w:val="center"/>
          </w:tcPr>
          <w:p w14:paraId="2EF7A9D9" w14:textId="69D370A6" w:rsidR="00311586" w:rsidRPr="00576299" w:rsidRDefault="00311586" w:rsidP="002E1771">
            <w:pPr>
              <w:keepNext/>
              <w:keepLines/>
              <w:jc w:val="center"/>
              <w:rPr>
                <w:rFonts w:ascii="Arial Narrow" w:hAnsi="Arial Narrow" w:cs="Calibri"/>
                <w:sz w:val="20"/>
                <w:szCs w:val="20"/>
              </w:rPr>
            </w:pPr>
            <w:r w:rsidRPr="00576299">
              <w:rPr>
                <w:rFonts w:ascii="Arial Narrow" w:hAnsi="Arial Narrow" w:cs="Calibri"/>
                <w:color w:val="000000"/>
                <w:sz w:val="20"/>
                <w:szCs w:val="20"/>
              </w:rPr>
              <w:t>66 (43.1)</w:t>
            </w:r>
          </w:p>
        </w:tc>
        <w:tc>
          <w:tcPr>
            <w:tcW w:w="1701" w:type="dxa"/>
            <w:gridSpan w:val="2"/>
            <w:shd w:val="clear" w:color="auto" w:fill="auto"/>
            <w:noWrap/>
            <w:vAlign w:val="center"/>
          </w:tcPr>
          <w:p w14:paraId="6E3BBD4D" w14:textId="56432F01" w:rsidR="00311586" w:rsidRPr="00576299" w:rsidRDefault="00311586" w:rsidP="002E1771">
            <w:pPr>
              <w:keepNext/>
              <w:keepLines/>
              <w:jc w:val="center"/>
              <w:rPr>
                <w:rFonts w:ascii="Arial Narrow" w:hAnsi="Arial Narrow" w:cs="Calibri"/>
                <w:sz w:val="20"/>
                <w:szCs w:val="20"/>
              </w:rPr>
            </w:pPr>
            <w:r w:rsidRPr="00576299">
              <w:rPr>
                <w:rFonts w:ascii="Arial Narrow" w:hAnsi="Arial Narrow" w:cs="Calibri"/>
                <w:color w:val="000000"/>
                <w:sz w:val="20"/>
                <w:szCs w:val="20"/>
              </w:rPr>
              <w:t>8.3 (4.2, 18.0)</w:t>
            </w:r>
          </w:p>
        </w:tc>
        <w:tc>
          <w:tcPr>
            <w:tcW w:w="1286" w:type="dxa"/>
            <w:gridSpan w:val="2"/>
            <w:vAlign w:val="center"/>
          </w:tcPr>
          <w:p w14:paraId="04DA1A27" w14:textId="426E817E" w:rsidR="00311586" w:rsidRPr="00576299" w:rsidRDefault="00311586" w:rsidP="002E1771">
            <w:pPr>
              <w:keepNext/>
              <w:keepLines/>
              <w:jc w:val="center"/>
              <w:rPr>
                <w:rFonts w:ascii="Arial Narrow" w:hAnsi="Arial Narrow" w:cs="Calibri"/>
                <w:sz w:val="20"/>
                <w:szCs w:val="20"/>
              </w:rPr>
            </w:pPr>
            <w:r w:rsidRPr="00576299">
              <w:rPr>
                <w:rFonts w:ascii="Arial Narrow" w:hAnsi="Arial Narrow" w:cs="Calibri"/>
                <w:color w:val="000000"/>
                <w:sz w:val="20"/>
                <w:szCs w:val="20"/>
              </w:rPr>
              <w:t>48.2</w:t>
            </w:r>
          </w:p>
        </w:tc>
        <w:tc>
          <w:tcPr>
            <w:tcW w:w="1064" w:type="dxa"/>
            <w:gridSpan w:val="2"/>
            <w:vAlign w:val="center"/>
          </w:tcPr>
          <w:p w14:paraId="3E2A024A" w14:textId="3384233C" w:rsidR="00311586" w:rsidRPr="00576299" w:rsidRDefault="00311586" w:rsidP="002E1771">
            <w:pPr>
              <w:keepNext/>
              <w:keepLines/>
              <w:jc w:val="center"/>
              <w:rPr>
                <w:rFonts w:ascii="Arial Narrow" w:hAnsi="Arial Narrow" w:cs="Calibri"/>
                <w:sz w:val="20"/>
                <w:szCs w:val="20"/>
              </w:rPr>
            </w:pPr>
            <w:r w:rsidRPr="00576299">
              <w:rPr>
                <w:rFonts w:ascii="Arial Narrow" w:hAnsi="Arial Narrow" w:cs="Calibri"/>
                <w:color w:val="000000"/>
                <w:sz w:val="20"/>
                <w:szCs w:val="20"/>
              </w:rPr>
              <w:t xml:space="preserve">40.6 </w:t>
            </w:r>
          </w:p>
        </w:tc>
      </w:tr>
      <w:tr w:rsidR="00311586" w:rsidRPr="00576299" w14:paraId="5D54B010" w14:textId="275F0267" w:rsidTr="00B9009B">
        <w:trPr>
          <w:trHeight w:val="20"/>
        </w:trPr>
        <w:tc>
          <w:tcPr>
            <w:tcW w:w="1397" w:type="dxa"/>
            <w:gridSpan w:val="2"/>
            <w:vMerge/>
            <w:vAlign w:val="center"/>
          </w:tcPr>
          <w:p w14:paraId="513829A5" w14:textId="6B962ACB" w:rsidR="00311586" w:rsidRPr="00576299" w:rsidRDefault="00311586" w:rsidP="002E1771">
            <w:pPr>
              <w:keepNext/>
              <w:keepLines/>
              <w:rPr>
                <w:rFonts w:ascii="Arial Narrow" w:hAnsi="Arial Narrow" w:cs="Calibri"/>
                <w:sz w:val="20"/>
                <w:szCs w:val="20"/>
              </w:rPr>
            </w:pPr>
          </w:p>
        </w:tc>
        <w:tc>
          <w:tcPr>
            <w:tcW w:w="891" w:type="dxa"/>
            <w:gridSpan w:val="2"/>
            <w:shd w:val="clear" w:color="auto" w:fill="auto"/>
            <w:noWrap/>
            <w:vAlign w:val="center"/>
            <w:hideMark/>
          </w:tcPr>
          <w:p w14:paraId="72A28477" w14:textId="1723FC11" w:rsidR="00311586" w:rsidRPr="00576299" w:rsidRDefault="00311586" w:rsidP="002E1771">
            <w:pPr>
              <w:keepNext/>
              <w:keepLines/>
              <w:jc w:val="center"/>
              <w:rPr>
                <w:rFonts w:ascii="Arial Narrow" w:hAnsi="Arial Narrow" w:cs="Calibri"/>
                <w:sz w:val="20"/>
                <w:szCs w:val="20"/>
              </w:rPr>
            </w:pPr>
            <w:r w:rsidRPr="00576299">
              <w:rPr>
                <w:rFonts w:ascii="Arial Narrow" w:hAnsi="Arial Narrow" w:cs="Calibri"/>
                <w:sz w:val="20"/>
                <w:szCs w:val="20"/>
              </w:rPr>
              <w:t>PES</w:t>
            </w:r>
          </w:p>
        </w:tc>
        <w:tc>
          <w:tcPr>
            <w:tcW w:w="551" w:type="dxa"/>
            <w:shd w:val="clear" w:color="auto" w:fill="auto"/>
            <w:noWrap/>
            <w:vAlign w:val="center"/>
            <w:hideMark/>
          </w:tcPr>
          <w:p w14:paraId="5FC0CE27" w14:textId="72C11E10" w:rsidR="00311586" w:rsidRPr="00576299" w:rsidRDefault="00311586" w:rsidP="002E1771">
            <w:pPr>
              <w:keepNext/>
              <w:keepLines/>
              <w:jc w:val="center"/>
              <w:rPr>
                <w:rFonts w:ascii="Arial Narrow" w:hAnsi="Arial Narrow" w:cs="Calibri"/>
                <w:sz w:val="20"/>
                <w:szCs w:val="20"/>
              </w:rPr>
            </w:pPr>
            <w:r w:rsidRPr="00576299">
              <w:rPr>
                <w:rFonts w:ascii="Arial Narrow" w:hAnsi="Arial Narrow" w:cs="Calibri"/>
                <w:color w:val="000000"/>
                <w:sz w:val="20"/>
                <w:szCs w:val="20"/>
              </w:rPr>
              <w:t>143</w:t>
            </w:r>
          </w:p>
        </w:tc>
        <w:tc>
          <w:tcPr>
            <w:tcW w:w="993" w:type="dxa"/>
            <w:gridSpan w:val="2"/>
            <w:shd w:val="clear" w:color="auto" w:fill="auto"/>
            <w:noWrap/>
            <w:vAlign w:val="center"/>
          </w:tcPr>
          <w:p w14:paraId="02B19101" w14:textId="451D6365" w:rsidR="00311586" w:rsidRPr="00576299" w:rsidRDefault="00311586" w:rsidP="002E1771">
            <w:pPr>
              <w:keepNext/>
              <w:keepLines/>
              <w:jc w:val="center"/>
              <w:rPr>
                <w:rFonts w:ascii="Arial Narrow" w:hAnsi="Arial Narrow" w:cs="Calibri"/>
                <w:sz w:val="20"/>
                <w:szCs w:val="20"/>
              </w:rPr>
            </w:pPr>
            <w:r w:rsidRPr="00576299">
              <w:rPr>
                <w:rFonts w:ascii="Arial Narrow" w:hAnsi="Arial Narrow" w:cs="Calibri"/>
                <w:color w:val="000000"/>
                <w:sz w:val="20"/>
                <w:szCs w:val="20"/>
              </w:rPr>
              <w:t>83 (58.0)</w:t>
            </w:r>
          </w:p>
        </w:tc>
        <w:tc>
          <w:tcPr>
            <w:tcW w:w="1134" w:type="dxa"/>
            <w:gridSpan w:val="2"/>
            <w:shd w:val="clear" w:color="auto" w:fill="auto"/>
            <w:noWrap/>
            <w:vAlign w:val="center"/>
          </w:tcPr>
          <w:p w14:paraId="711476E0" w14:textId="6C81D53C" w:rsidR="00311586" w:rsidRPr="00576299" w:rsidRDefault="00311586" w:rsidP="002E1771">
            <w:pPr>
              <w:keepNext/>
              <w:keepLines/>
              <w:jc w:val="center"/>
              <w:rPr>
                <w:rFonts w:ascii="Arial Narrow" w:hAnsi="Arial Narrow" w:cs="Calibri"/>
                <w:sz w:val="20"/>
                <w:szCs w:val="20"/>
              </w:rPr>
            </w:pPr>
            <w:r w:rsidRPr="00576299">
              <w:rPr>
                <w:rFonts w:ascii="Arial Narrow" w:hAnsi="Arial Narrow" w:cs="Calibri"/>
                <w:color w:val="000000"/>
                <w:sz w:val="20"/>
                <w:szCs w:val="20"/>
              </w:rPr>
              <w:t>60 (42.0)</w:t>
            </w:r>
          </w:p>
        </w:tc>
        <w:tc>
          <w:tcPr>
            <w:tcW w:w="1701" w:type="dxa"/>
            <w:gridSpan w:val="2"/>
            <w:shd w:val="clear" w:color="auto" w:fill="auto"/>
            <w:noWrap/>
            <w:vAlign w:val="center"/>
          </w:tcPr>
          <w:p w14:paraId="39217354" w14:textId="2A5472C1" w:rsidR="00311586" w:rsidRPr="00576299" w:rsidRDefault="00311586" w:rsidP="002E1771">
            <w:pPr>
              <w:keepNext/>
              <w:keepLines/>
              <w:jc w:val="center"/>
              <w:rPr>
                <w:rFonts w:ascii="Arial Narrow" w:hAnsi="Arial Narrow" w:cs="Calibri"/>
                <w:sz w:val="20"/>
                <w:szCs w:val="20"/>
              </w:rPr>
            </w:pPr>
            <w:r w:rsidRPr="00576299">
              <w:rPr>
                <w:rFonts w:ascii="Arial Narrow" w:hAnsi="Arial Narrow" w:cs="Calibri"/>
                <w:color w:val="000000"/>
                <w:sz w:val="20"/>
                <w:szCs w:val="20"/>
              </w:rPr>
              <w:t>6.0 (4.1, 18.0)</w:t>
            </w:r>
          </w:p>
        </w:tc>
        <w:tc>
          <w:tcPr>
            <w:tcW w:w="1286" w:type="dxa"/>
            <w:gridSpan w:val="2"/>
            <w:vAlign w:val="center"/>
          </w:tcPr>
          <w:p w14:paraId="535222F9" w14:textId="49DAD173" w:rsidR="00311586" w:rsidRPr="00576299" w:rsidRDefault="00311586" w:rsidP="002E1771">
            <w:pPr>
              <w:keepNext/>
              <w:keepLines/>
              <w:jc w:val="center"/>
              <w:rPr>
                <w:rFonts w:ascii="Arial Narrow" w:hAnsi="Arial Narrow" w:cs="Calibri"/>
                <w:sz w:val="20"/>
                <w:szCs w:val="20"/>
              </w:rPr>
            </w:pPr>
            <w:r w:rsidRPr="00576299">
              <w:rPr>
                <w:rFonts w:ascii="Arial Narrow" w:hAnsi="Arial Narrow" w:cs="Calibri"/>
                <w:color w:val="000000"/>
                <w:sz w:val="20"/>
                <w:szCs w:val="20"/>
              </w:rPr>
              <w:t>46.4</w:t>
            </w:r>
          </w:p>
        </w:tc>
        <w:tc>
          <w:tcPr>
            <w:tcW w:w="1064" w:type="dxa"/>
            <w:gridSpan w:val="2"/>
            <w:vAlign w:val="center"/>
          </w:tcPr>
          <w:p w14:paraId="111492E9" w14:textId="6F48863E" w:rsidR="00311586" w:rsidRPr="00576299" w:rsidRDefault="00311586" w:rsidP="002E1771">
            <w:pPr>
              <w:keepNext/>
              <w:keepLines/>
              <w:jc w:val="center"/>
              <w:rPr>
                <w:rFonts w:ascii="Arial Narrow" w:hAnsi="Arial Narrow" w:cs="Calibri"/>
                <w:sz w:val="20"/>
                <w:szCs w:val="20"/>
              </w:rPr>
            </w:pPr>
            <w:r w:rsidRPr="00576299">
              <w:rPr>
                <w:rFonts w:ascii="Arial Narrow" w:hAnsi="Arial Narrow" w:cs="Calibri"/>
                <w:color w:val="000000"/>
                <w:sz w:val="20"/>
                <w:szCs w:val="20"/>
              </w:rPr>
              <w:t xml:space="preserve">40.0 </w:t>
            </w:r>
          </w:p>
        </w:tc>
      </w:tr>
      <w:tr w:rsidR="00311586" w:rsidRPr="00576299" w14:paraId="785AB0DE" w14:textId="145864E4" w:rsidTr="00B9009B">
        <w:trPr>
          <w:trHeight w:val="20"/>
        </w:trPr>
        <w:tc>
          <w:tcPr>
            <w:tcW w:w="9017" w:type="dxa"/>
            <w:gridSpan w:val="15"/>
            <w:vAlign w:val="center"/>
          </w:tcPr>
          <w:p w14:paraId="3769FEA4" w14:textId="30464F2E" w:rsidR="00311586" w:rsidRPr="00576299" w:rsidRDefault="00311586" w:rsidP="002E1771">
            <w:pPr>
              <w:keepNext/>
              <w:keepLines/>
              <w:rPr>
                <w:rFonts w:ascii="Arial Narrow" w:hAnsi="Arial Narrow" w:cs="Calibri"/>
                <w:b/>
                <w:bCs/>
                <w:sz w:val="20"/>
                <w:szCs w:val="20"/>
              </w:rPr>
            </w:pPr>
            <w:r w:rsidRPr="00576299">
              <w:rPr>
                <w:rFonts w:ascii="Arial Narrow" w:hAnsi="Arial Narrow" w:cs="Calibri"/>
                <w:b/>
                <w:bCs/>
                <w:sz w:val="20"/>
                <w:szCs w:val="20"/>
              </w:rPr>
              <w:t xml:space="preserve">Pembrolizumab + Lenvatinib </w:t>
            </w:r>
          </w:p>
        </w:tc>
      </w:tr>
      <w:tr w:rsidR="00311586" w:rsidRPr="00576299" w14:paraId="13FC9BD5" w14:textId="0B0ABEB7" w:rsidTr="008F514E">
        <w:trPr>
          <w:trHeight w:val="20"/>
        </w:trPr>
        <w:tc>
          <w:tcPr>
            <w:tcW w:w="1386" w:type="dxa"/>
            <w:vMerge w:val="restart"/>
            <w:vAlign w:val="center"/>
          </w:tcPr>
          <w:p w14:paraId="4A4025F1" w14:textId="4B445E5B" w:rsidR="00311586" w:rsidRPr="00576299" w:rsidRDefault="00311586" w:rsidP="002E1771">
            <w:pPr>
              <w:keepNext/>
              <w:keepLines/>
              <w:rPr>
                <w:rFonts w:ascii="Arial Narrow" w:hAnsi="Arial Narrow" w:cs="Calibri"/>
                <w:sz w:val="20"/>
                <w:szCs w:val="20"/>
              </w:rPr>
            </w:pPr>
            <w:r w:rsidRPr="00576299">
              <w:rPr>
                <w:rFonts w:ascii="Arial Narrow" w:hAnsi="Arial Narrow" w:cs="Calibri"/>
                <w:sz w:val="20"/>
                <w:szCs w:val="20"/>
              </w:rPr>
              <w:t>KEYNOTE-775</w:t>
            </w:r>
          </w:p>
        </w:tc>
        <w:tc>
          <w:tcPr>
            <w:tcW w:w="891" w:type="dxa"/>
            <w:gridSpan w:val="2"/>
            <w:shd w:val="clear" w:color="auto" w:fill="auto"/>
            <w:noWrap/>
            <w:vAlign w:val="center"/>
          </w:tcPr>
          <w:p w14:paraId="19FC5A9B" w14:textId="16AEBEB4" w:rsidR="00311586" w:rsidRPr="00576299" w:rsidRDefault="00311586" w:rsidP="002E1771">
            <w:pPr>
              <w:keepNext/>
              <w:keepLines/>
              <w:jc w:val="center"/>
              <w:rPr>
                <w:rFonts w:ascii="Arial Narrow" w:hAnsi="Arial Narrow" w:cs="Calibri"/>
                <w:sz w:val="20"/>
                <w:szCs w:val="20"/>
              </w:rPr>
            </w:pPr>
            <w:r w:rsidRPr="00576299">
              <w:rPr>
                <w:rFonts w:ascii="Arial Narrow" w:hAnsi="Arial Narrow" w:cs="Calibri"/>
                <w:sz w:val="20"/>
                <w:szCs w:val="20"/>
              </w:rPr>
              <w:t>ITT</w:t>
            </w:r>
          </w:p>
        </w:tc>
        <w:tc>
          <w:tcPr>
            <w:tcW w:w="581" w:type="dxa"/>
            <w:gridSpan w:val="3"/>
            <w:shd w:val="clear" w:color="auto" w:fill="C6D9F1" w:themeFill="text2" w:themeFillTint="33"/>
            <w:noWrap/>
            <w:vAlign w:val="bottom"/>
          </w:tcPr>
          <w:p w14:paraId="012CADCD" w14:textId="70E91130" w:rsidR="00311586" w:rsidRPr="00576299" w:rsidRDefault="00311586" w:rsidP="002E1771">
            <w:pPr>
              <w:keepNext/>
              <w:keepLines/>
              <w:jc w:val="center"/>
              <w:rPr>
                <w:rFonts w:ascii="Arial Narrow" w:hAnsi="Arial Narrow" w:cs="Calibri"/>
                <w:sz w:val="20"/>
                <w:szCs w:val="20"/>
              </w:rPr>
            </w:pPr>
            <w:r w:rsidRPr="00576299">
              <w:rPr>
                <w:rFonts w:ascii="Arial Narrow" w:hAnsi="Arial Narrow" w:cs="Calibri"/>
                <w:color w:val="000000"/>
                <w:sz w:val="20"/>
                <w:szCs w:val="20"/>
              </w:rPr>
              <w:t>411</w:t>
            </w:r>
          </w:p>
        </w:tc>
        <w:tc>
          <w:tcPr>
            <w:tcW w:w="993" w:type="dxa"/>
            <w:gridSpan w:val="2"/>
            <w:shd w:val="clear" w:color="auto" w:fill="FFFFFF" w:themeFill="background1"/>
            <w:noWrap/>
            <w:vAlign w:val="bottom"/>
          </w:tcPr>
          <w:p w14:paraId="2A143B82" w14:textId="54F6D1CF" w:rsidR="00311586" w:rsidRPr="00576299" w:rsidRDefault="00311586" w:rsidP="002E1771">
            <w:pPr>
              <w:keepNext/>
              <w:keepLines/>
              <w:jc w:val="center"/>
              <w:rPr>
                <w:rFonts w:ascii="Arial Narrow" w:hAnsi="Arial Narrow" w:cs="Calibri"/>
                <w:sz w:val="20"/>
                <w:szCs w:val="20"/>
              </w:rPr>
            </w:pPr>
            <w:r w:rsidRPr="00576299">
              <w:rPr>
                <w:rFonts w:ascii="Arial Narrow" w:hAnsi="Arial Narrow" w:cs="Calibri"/>
                <w:color w:val="000000"/>
                <w:sz w:val="20"/>
                <w:szCs w:val="20"/>
              </w:rPr>
              <w:t>281 (68.4)</w:t>
            </w:r>
          </w:p>
        </w:tc>
        <w:tc>
          <w:tcPr>
            <w:tcW w:w="1134" w:type="dxa"/>
            <w:gridSpan w:val="2"/>
            <w:shd w:val="clear" w:color="auto" w:fill="FFFFFF" w:themeFill="background1"/>
            <w:noWrap/>
            <w:vAlign w:val="bottom"/>
          </w:tcPr>
          <w:p w14:paraId="653BC03E" w14:textId="5BA7FC5D" w:rsidR="00311586" w:rsidRPr="00576299" w:rsidRDefault="00311586" w:rsidP="002E1771">
            <w:pPr>
              <w:keepNext/>
              <w:keepLines/>
              <w:jc w:val="center"/>
              <w:rPr>
                <w:rFonts w:ascii="Arial Narrow" w:hAnsi="Arial Narrow" w:cs="Calibri"/>
                <w:sz w:val="20"/>
                <w:szCs w:val="20"/>
              </w:rPr>
            </w:pPr>
            <w:r w:rsidRPr="00576299">
              <w:rPr>
                <w:rFonts w:ascii="Arial Narrow" w:hAnsi="Arial Narrow" w:cs="Calibri"/>
                <w:color w:val="000000"/>
                <w:sz w:val="20"/>
                <w:szCs w:val="20"/>
              </w:rPr>
              <w:t>130 (31.6)</w:t>
            </w:r>
          </w:p>
        </w:tc>
        <w:tc>
          <w:tcPr>
            <w:tcW w:w="1701" w:type="dxa"/>
            <w:gridSpan w:val="2"/>
            <w:shd w:val="clear" w:color="auto" w:fill="C6D9F1" w:themeFill="text2" w:themeFillTint="33"/>
            <w:noWrap/>
            <w:vAlign w:val="bottom"/>
          </w:tcPr>
          <w:p w14:paraId="404B03F2" w14:textId="6D2B125B" w:rsidR="00311586" w:rsidRPr="00576299" w:rsidRDefault="00311586" w:rsidP="002E1771">
            <w:pPr>
              <w:keepNext/>
              <w:keepLines/>
              <w:jc w:val="center"/>
              <w:rPr>
                <w:rFonts w:ascii="Arial Narrow" w:hAnsi="Arial Narrow" w:cs="Calibri"/>
                <w:sz w:val="20"/>
                <w:szCs w:val="20"/>
              </w:rPr>
            </w:pPr>
            <w:r w:rsidRPr="00576299">
              <w:rPr>
                <w:rFonts w:ascii="Arial Narrow" w:hAnsi="Arial Narrow" w:cs="Calibri"/>
                <w:color w:val="000000"/>
                <w:sz w:val="20"/>
                <w:szCs w:val="20"/>
              </w:rPr>
              <w:t>7.2 (5.7, 7.6)</w:t>
            </w:r>
          </w:p>
        </w:tc>
        <w:tc>
          <w:tcPr>
            <w:tcW w:w="1273" w:type="dxa"/>
            <w:gridSpan w:val="2"/>
            <w:shd w:val="clear" w:color="auto" w:fill="auto"/>
            <w:vAlign w:val="bottom"/>
          </w:tcPr>
          <w:p w14:paraId="18E32EFC" w14:textId="56CF6F28" w:rsidR="00311586" w:rsidRPr="00576299" w:rsidRDefault="00311586" w:rsidP="002E1771">
            <w:pPr>
              <w:keepNext/>
              <w:keepLines/>
              <w:jc w:val="center"/>
              <w:rPr>
                <w:rFonts w:ascii="Arial Narrow" w:hAnsi="Arial Narrow" w:cs="Calibri"/>
                <w:sz w:val="20"/>
                <w:szCs w:val="20"/>
              </w:rPr>
            </w:pPr>
            <w:r w:rsidRPr="00576299">
              <w:rPr>
                <w:rFonts w:ascii="Arial Narrow" w:hAnsi="Arial Narrow" w:cs="Calibri"/>
                <w:color w:val="000000"/>
                <w:sz w:val="20"/>
                <w:szCs w:val="20"/>
              </w:rPr>
              <w:t>31.2</w:t>
            </w:r>
          </w:p>
        </w:tc>
        <w:tc>
          <w:tcPr>
            <w:tcW w:w="1058" w:type="dxa"/>
            <w:shd w:val="clear" w:color="auto" w:fill="auto"/>
            <w:vAlign w:val="bottom"/>
          </w:tcPr>
          <w:p w14:paraId="5E8E4BBE" w14:textId="5B8150EF" w:rsidR="00311586" w:rsidRPr="00576299" w:rsidRDefault="00311586" w:rsidP="002E1771">
            <w:pPr>
              <w:keepNext/>
              <w:keepLines/>
              <w:jc w:val="center"/>
              <w:rPr>
                <w:rFonts w:ascii="Arial Narrow" w:hAnsi="Arial Narrow" w:cs="Calibri"/>
                <w:sz w:val="20"/>
                <w:szCs w:val="20"/>
              </w:rPr>
            </w:pPr>
            <w:r w:rsidRPr="00576299">
              <w:rPr>
                <w:rFonts w:ascii="Arial Narrow" w:hAnsi="Arial Narrow" w:cs="Calibri"/>
                <w:color w:val="000000"/>
                <w:sz w:val="20"/>
                <w:szCs w:val="20"/>
              </w:rPr>
              <w:t>20.9</w:t>
            </w:r>
          </w:p>
        </w:tc>
      </w:tr>
      <w:tr w:rsidR="00311586" w:rsidRPr="00576299" w14:paraId="2FE343B9" w14:textId="2B29BFBD" w:rsidTr="008F514E">
        <w:trPr>
          <w:trHeight w:val="20"/>
        </w:trPr>
        <w:tc>
          <w:tcPr>
            <w:tcW w:w="1386" w:type="dxa"/>
            <w:vMerge/>
            <w:vAlign w:val="center"/>
          </w:tcPr>
          <w:p w14:paraId="5CF2EBC1" w14:textId="36431672" w:rsidR="00311586" w:rsidRPr="00576299" w:rsidRDefault="00311586" w:rsidP="002E1771">
            <w:pPr>
              <w:keepNext/>
              <w:keepLines/>
              <w:rPr>
                <w:rFonts w:ascii="Arial Narrow" w:hAnsi="Arial Narrow" w:cs="Calibri"/>
                <w:sz w:val="20"/>
                <w:szCs w:val="20"/>
              </w:rPr>
            </w:pPr>
          </w:p>
        </w:tc>
        <w:tc>
          <w:tcPr>
            <w:tcW w:w="891" w:type="dxa"/>
            <w:gridSpan w:val="2"/>
            <w:shd w:val="clear" w:color="auto" w:fill="auto"/>
            <w:noWrap/>
            <w:vAlign w:val="center"/>
          </w:tcPr>
          <w:p w14:paraId="6E4B3FD9" w14:textId="736E9BDE" w:rsidR="00311586" w:rsidRPr="00576299" w:rsidRDefault="00311586" w:rsidP="002E1771">
            <w:pPr>
              <w:keepNext/>
              <w:keepLines/>
              <w:jc w:val="center"/>
              <w:rPr>
                <w:rFonts w:ascii="Arial Narrow" w:hAnsi="Arial Narrow" w:cs="Calibri"/>
                <w:sz w:val="20"/>
                <w:szCs w:val="20"/>
              </w:rPr>
            </w:pPr>
            <w:r w:rsidRPr="00576299">
              <w:rPr>
                <w:rFonts w:ascii="Arial Narrow" w:hAnsi="Arial Narrow" w:cs="Calibri"/>
                <w:sz w:val="20"/>
                <w:szCs w:val="20"/>
              </w:rPr>
              <w:t>dMMR</w:t>
            </w:r>
          </w:p>
        </w:tc>
        <w:tc>
          <w:tcPr>
            <w:tcW w:w="581" w:type="dxa"/>
            <w:gridSpan w:val="3"/>
            <w:shd w:val="clear" w:color="auto" w:fill="C6D9F1" w:themeFill="text2" w:themeFillTint="33"/>
            <w:noWrap/>
            <w:vAlign w:val="bottom"/>
          </w:tcPr>
          <w:p w14:paraId="57DD67E2" w14:textId="467DB969" w:rsidR="00311586" w:rsidRPr="00576299" w:rsidRDefault="00311586" w:rsidP="002E1771">
            <w:pPr>
              <w:keepNext/>
              <w:keepLines/>
              <w:jc w:val="center"/>
              <w:rPr>
                <w:rFonts w:ascii="Arial Narrow" w:hAnsi="Arial Narrow" w:cs="Calibri"/>
                <w:sz w:val="20"/>
                <w:szCs w:val="20"/>
              </w:rPr>
            </w:pPr>
            <w:r w:rsidRPr="00576299">
              <w:rPr>
                <w:rFonts w:ascii="Arial Narrow" w:hAnsi="Arial Narrow" w:cs="Calibri"/>
                <w:color w:val="000000"/>
                <w:sz w:val="20"/>
                <w:szCs w:val="20"/>
              </w:rPr>
              <w:t>65</w:t>
            </w:r>
          </w:p>
        </w:tc>
        <w:tc>
          <w:tcPr>
            <w:tcW w:w="993" w:type="dxa"/>
            <w:gridSpan w:val="2"/>
            <w:shd w:val="clear" w:color="auto" w:fill="FFFFFF" w:themeFill="background1"/>
            <w:noWrap/>
            <w:vAlign w:val="bottom"/>
          </w:tcPr>
          <w:p w14:paraId="63E73346" w14:textId="6403B6F5" w:rsidR="00311586" w:rsidRPr="00576299" w:rsidRDefault="00311586" w:rsidP="002E1771">
            <w:pPr>
              <w:keepNext/>
              <w:keepLines/>
              <w:jc w:val="center"/>
              <w:rPr>
                <w:rFonts w:ascii="Arial Narrow" w:hAnsi="Arial Narrow" w:cs="Calibri"/>
                <w:sz w:val="20"/>
                <w:szCs w:val="20"/>
              </w:rPr>
            </w:pPr>
            <w:r w:rsidRPr="00576299">
              <w:rPr>
                <w:rFonts w:ascii="Arial Narrow" w:hAnsi="Arial Narrow" w:cs="Calibri"/>
                <w:color w:val="000000"/>
                <w:sz w:val="20"/>
                <w:szCs w:val="20"/>
              </w:rPr>
              <w:t>34 (52.3)</w:t>
            </w:r>
          </w:p>
        </w:tc>
        <w:tc>
          <w:tcPr>
            <w:tcW w:w="1134" w:type="dxa"/>
            <w:gridSpan w:val="2"/>
            <w:shd w:val="clear" w:color="auto" w:fill="FFFFFF" w:themeFill="background1"/>
            <w:noWrap/>
            <w:vAlign w:val="bottom"/>
          </w:tcPr>
          <w:p w14:paraId="37A6ED08" w14:textId="6A48B2ED" w:rsidR="00311586" w:rsidRPr="00576299" w:rsidRDefault="00311586" w:rsidP="002E1771">
            <w:pPr>
              <w:keepNext/>
              <w:keepLines/>
              <w:jc w:val="center"/>
              <w:rPr>
                <w:rFonts w:ascii="Arial Narrow" w:hAnsi="Arial Narrow" w:cs="Calibri"/>
                <w:sz w:val="20"/>
                <w:szCs w:val="20"/>
              </w:rPr>
            </w:pPr>
            <w:r w:rsidRPr="00576299">
              <w:rPr>
                <w:rFonts w:ascii="Arial Narrow" w:hAnsi="Arial Narrow" w:cs="Calibri"/>
                <w:color w:val="000000"/>
                <w:sz w:val="20"/>
                <w:szCs w:val="20"/>
              </w:rPr>
              <w:t>31 (47.7)</w:t>
            </w:r>
          </w:p>
        </w:tc>
        <w:tc>
          <w:tcPr>
            <w:tcW w:w="1701" w:type="dxa"/>
            <w:gridSpan w:val="2"/>
            <w:shd w:val="clear" w:color="auto" w:fill="C6D9F1" w:themeFill="text2" w:themeFillTint="33"/>
            <w:noWrap/>
            <w:vAlign w:val="bottom"/>
          </w:tcPr>
          <w:p w14:paraId="19E01544" w14:textId="18A935DC" w:rsidR="00311586" w:rsidRPr="00576299" w:rsidRDefault="00311586" w:rsidP="002E1771">
            <w:pPr>
              <w:keepNext/>
              <w:keepLines/>
              <w:jc w:val="center"/>
              <w:rPr>
                <w:rFonts w:ascii="Arial Narrow" w:hAnsi="Arial Narrow" w:cs="Calibri"/>
                <w:sz w:val="20"/>
                <w:szCs w:val="20"/>
              </w:rPr>
            </w:pPr>
            <w:r w:rsidRPr="00576299">
              <w:rPr>
                <w:rFonts w:ascii="Arial Narrow" w:hAnsi="Arial Narrow" w:cs="Calibri"/>
                <w:color w:val="000000"/>
                <w:sz w:val="20"/>
                <w:szCs w:val="20"/>
              </w:rPr>
              <w:t>10.7 (5.6, NR)</w:t>
            </w:r>
          </w:p>
        </w:tc>
        <w:tc>
          <w:tcPr>
            <w:tcW w:w="1273" w:type="dxa"/>
            <w:gridSpan w:val="2"/>
            <w:shd w:val="clear" w:color="auto" w:fill="auto"/>
            <w:vAlign w:val="bottom"/>
          </w:tcPr>
          <w:p w14:paraId="449C7E83" w14:textId="47D6FF8A" w:rsidR="00311586" w:rsidRPr="00576299" w:rsidRDefault="00311586" w:rsidP="002E1771">
            <w:pPr>
              <w:keepNext/>
              <w:keepLines/>
              <w:jc w:val="center"/>
              <w:rPr>
                <w:rFonts w:ascii="Arial Narrow" w:hAnsi="Arial Narrow" w:cs="Calibri"/>
                <w:sz w:val="20"/>
                <w:szCs w:val="20"/>
              </w:rPr>
            </w:pPr>
            <w:r w:rsidRPr="00576299">
              <w:rPr>
                <w:rFonts w:ascii="Arial Narrow" w:hAnsi="Arial Narrow" w:cs="Calibri"/>
                <w:color w:val="000000"/>
                <w:sz w:val="20"/>
                <w:szCs w:val="20"/>
              </w:rPr>
              <w:t xml:space="preserve">48.7 </w:t>
            </w:r>
            <w:r w:rsidR="00E725E7" w:rsidRPr="00576299">
              <w:rPr>
                <w:rFonts w:ascii="Arial Narrow" w:hAnsi="Arial Narrow" w:cs="Calibri"/>
                <w:color w:val="000000"/>
                <w:sz w:val="20"/>
                <w:szCs w:val="20"/>
                <w:vertAlign w:val="superscript"/>
              </w:rPr>
              <w:t>a</w:t>
            </w:r>
          </w:p>
        </w:tc>
        <w:tc>
          <w:tcPr>
            <w:tcW w:w="1058" w:type="dxa"/>
            <w:shd w:val="clear" w:color="auto" w:fill="auto"/>
            <w:vAlign w:val="bottom"/>
          </w:tcPr>
          <w:p w14:paraId="42AE32E5" w14:textId="72E3E088" w:rsidR="00311586" w:rsidRPr="00576299" w:rsidRDefault="00311586" w:rsidP="002E1771">
            <w:pPr>
              <w:keepNext/>
              <w:keepLines/>
              <w:jc w:val="center"/>
              <w:rPr>
                <w:rFonts w:ascii="Arial Narrow" w:hAnsi="Arial Narrow" w:cs="Calibri"/>
                <w:sz w:val="20"/>
                <w:szCs w:val="20"/>
                <w:vertAlign w:val="superscript"/>
              </w:rPr>
            </w:pPr>
            <w:r w:rsidRPr="00576299">
              <w:rPr>
                <w:rFonts w:ascii="Arial Narrow" w:hAnsi="Arial Narrow" w:cs="Calibri"/>
                <w:color w:val="000000"/>
                <w:sz w:val="20"/>
                <w:szCs w:val="20"/>
              </w:rPr>
              <w:t xml:space="preserve">40.5 </w:t>
            </w:r>
            <w:r w:rsidR="00E725E7" w:rsidRPr="00576299">
              <w:rPr>
                <w:rFonts w:ascii="Arial Narrow" w:hAnsi="Arial Narrow" w:cs="Calibri"/>
                <w:color w:val="000000"/>
                <w:sz w:val="20"/>
                <w:szCs w:val="20"/>
                <w:vertAlign w:val="superscript"/>
              </w:rPr>
              <w:t>a</w:t>
            </w:r>
          </w:p>
        </w:tc>
      </w:tr>
      <w:tr w:rsidR="00311586" w:rsidRPr="00576299" w14:paraId="5C87AB69" w14:textId="3AECE282" w:rsidTr="00B9009B">
        <w:trPr>
          <w:trHeight w:val="20"/>
        </w:trPr>
        <w:tc>
          <w:tcPr>
            <w:tcW w:w="9017" w:type="dxa"/>
            <w:gridSpan w:val="15"/>
            <w:shd w:val="clear" w:color="auto" w:fill="FFFFFF" w:themeFill="background1"/>
            <w:vAlign w:val="center"/>
          </w:tcPr>
          <w:p w14:paraId="3CA9E374" w14:textId="481724D5" w:rsidR="00311586" w:rsidRPr="00576299" w:rsidRDefault="00311586" w:rsidP="002E1771">
            <w:pPr>
              <w:keepNext/>
              <w:keepLines/>
              <w:jc w:val="left"/>
              <w:rPr>
                <w:rFonts w:ascii="Arial Narrow" w:hAnsi="Arial Narrow" w:cs="Calibri"/>
                <w:b/>
                <w:bCs/>
                <w:sz w:val="20"/>
                <w:szCs w:val="20"/>
              </w:rPr>
            </w:pPr>
            <w:r w:rsidRPr="00576299">
              <w:rPr>
                <w:rFonts w:ascii="Arial Narrow" w:hAnsi="Arial Narrow" w:cs="Calibri"/>
                <w:b/>
                <w:bCs/>
                <w:sz w:val="20"/>
                <w:szCs w:val="20"/>
              </w:rPr>
              <w:t xml:space="preserve">Pembrolizumab monotherapy </w:t>
            </w:r>
          </w:p>
        </w:tc>
      </w:tr>
      <w:tr w:rsidR="00311586" w:rsidRPr="00576299" w14:paraId="18F71538" w14:textId="35F108AE" w:rsidTr="008F514E">
        <w:trPr>
          <w:trHeight w:val="339"/>
        </w:trPr>
        <w:tc>
          <w:tcPr>
            <w:tcW w:w="1386" w:type="dxa"/>
            <w:vAlign w:val="center"/>
          </w:tcPr>
          <w:p w14:paraId="5BC7C5EA" w14:textId="090CBC4A" w:rsidR="00311586" w:rsidRPr="00576299" w:rsidRDefault="00311586" w:rsidP="002E1771">
            <w:pPr>
              <w:keepNext/>
              <w:keepLines/>
              <w:rPr>
                <w:rFonts w:ascii="Arial Narrow" w:hAnsi="Arial Narrow" w:cs="Calibri"/>
                <w:sz w:val="20"/>
                <w:szCs w:val="20"/>
              </w:rPr>
            </w:pPr>
            <w:r w:rsidRPr="00576299">
              <w:rPr>
                <w:rFonts w:ascii="Arial Narrow" w:hAnsi="Arial Narrow" w:cs="Calibri"/>
                <w:sz w:val="20"/>
                <w:szCs w:val="20"/>
              </w:rPr>
              <w:t>KEYNOTE-158</w:t>
            </w:r>
          </w:p>
        </w:tc>
        <w:tc>
          <w:tcPr>
            <w:tcW w:w="891" w:type="dxa"/>
            <w:gridSpan w:val="2"/>
            <w:shd w:val="clear" w:color="auto" w:fill="auto"/>
            <w:noWrap/>
            <w:vAlign w:val="center"/>
          </w:tcPr>
          <w:p w14:paraId="1A009BFE" w14:textId="3FFF7F2C" w:rsidR="00311586" w:rsidRPr="00576299" w:rsidRDefault="00311586" w:rsidP="002E1771">
            <w:pPr>
              <w:keepNext/>
              <w:keepLines/>
              <w:jc w:val="center"/>
              <w:rPr>
                <w:rFonts w:ascii="Arial Narrow" w:hAnsi="Arial Narrow" w:cs="Calibri"/>
                <w:sz w:val="20"/>
                <w:szCs w:val="20"/>
              </w:rPr>
            </w:pPr>
            <w:r w:rsidRPr="00576299">
              <w:rPr>
                <w:rFonts w:ascii="Arial Narrow" w:hAnsi="Arial Narrow" w:cs="Calibri"/>
                <w:sz w:val="20"/>
                <w:szCs w:val="20"/>
              </w:rPr>
              <w:t>dMMR (EAP)</w:t>
            </w:r>
          </w:p>
        </w:tc>
        <w:tc>
          <w:tcPr>
            <w:tcW w:w="581" w:type="dxa"/>
            <w:gridSpan w:val="3"/>
            <w:shd w:val="clear" w:color="auto" w:fill="C6D9F1" w:themeFill="text2" w:themeFillTint="33"/>
            <w:noWrap/>
            <w:vAlign w:val="center"/>
          </w:tcPr>
          <w:p w14:paraId="246D2E06" w14:textId="7596D1DD" w:rsidR="00311586" w:rsidRPr="00576299" w:rsidRDefault="00311586" w:rsidP="002E1771">
            <w:pPr>
              <w:keepNext/>
              <w:keepLines/>
              <w:jc w:val="center"/>
              <w:rPr>
                <w:rFonts w:ascii="Arial Narrow" w:hAnsi="Arial Narrow" w:cs="Calibri"/>
                <w:sz w:val="20"/>
                <w:szCs w:val="20"/>
              </w:rPr>
            </w:pPr>
            <w:r w:rsidRPr="00576299">
              <w:rPr>
                <w:rFonts w:ascii="Arial Narrow" w:hAnsi="Arial Narrow" w:cs="Calibri"/>
                <w:color w:val="000000"/>
                <w:sz w:val="20"/>
                <w:szCs w:val="20"/>
              </w:rPr>
              <w:t>79</w:t>
            </w:r>
          </w:p>
        </w:tc>
        <w:tc>
          <w:tcPr>
            <w:tcW w:w="993" w:type="dxa"/>
            <w:gridSpan w:val="2"/>
            <w:shd w:val="clear" w:color="auto" w:fill="FFFFFF" w:themeFill="background1"/>
            <w:noWrap/>
            <w:vAlign w:val="center"/>
          </w:tcPr>
          <w:p w14:paraId="0B8B725A" w14:textId="6DBDEF92" w:rsidR="00311586" w:rsidRPr="00576299" w:rsidRDefault="00311586" w:rsidP="002E1771">
            <w:pPr>
              <w:keepNext/>
              <w:keepLines/>
              <w:jc w:val="center"/>
              <w:rPr>
                <w:rFonts w:ascii="Arial Narrow" w:hAnsi="Arial Narrow" w:cs="Calibri"/>
                <w:sz w:val="20"/>
                <w:szCs w:val="20"/>
              </w:rPr>
            </w:pPr>
            <w:r w:rsidRPr="00576299">
              <w:rPr>
                <w:rFonts w:ascii="Arial Narrow" w:hAnsi="Arial Narrow" w:cs="Calibri"/>
                <w:color w:val="000000"/>
                <w:sz w:val="20"/>
                <w:szCs w:val="20"/>
              </w:rPr>
              <w:t>45 (57.0)</w:t>
            </w:r>
          </w:p>
        </w:tc>
        <w:tc>
          <w:tcPr>
            <w:tcW w:w="1134" w:type="dxa"/>
            <w:gridSpan w:val="2"/>
            <w:shd w:val="clear" w:color="auto" w:fill="FFFFFF" w:themeFill="background1"/>
            <w:noWrap/>
            <w:vAlign w:val="center"/>
          </w:tcPr>
          <w:p w14:paraId="7FAE95D2" w14:textId="5817A7B7" w:rsidR="00311586" w:rsidRPr="00576299" w:rsidRDefault="00311586" w:rsidP="002E1771">
            <w:pPr>
              <w:keepNext/>
              <w:keepLines/>
              <w:jc w:val="center"/>
              <w:rPr>
                <w:rFonts w:ascii="Arial Narrow" w:hAnsi="Arial Narrow" w:cs="Calibri"/>
                <w:sz w:val="20"/>
                <w:szCs w:val="20"/>
              </w:rPr>
            </w:pPr>
            <w:r w:rsidRPr="00576299">
              <w:rPr>
                <w:rFonts w:ascii="Arial Narrow" w:hAnsi="Arial Narrow" w:cs="Calibri"/>
                <w:color w:val="000000"/>
                <w:sz w:val="20"/>
                <w:szCs w:val="20"/>
              </w:rPr>
              <w:t>34 (43.0)</w:t>
            </w:r>
          </w:p>
        </w:tc>
        <w:tc>
          <w:tcPr>
            <w:tcW w:w="1701" w:type="dxa"/>
            <w:gridSpan w:val="2"/>
            <w:shd w:val="clear" w:color="auto" w:fill="C6D9F1" w:themeFill="text2" w:themeFillTint="33"/>
            <w:noWrap/>
            <w:vAlign w:val="center"/>
          </w:tcPr>
          <w:p w14:paraId="67B6A328" w14:textId="2FB62909" w:rsidR="00311586" w:rsidRPr="00576299" w:rsidRDefault="00311586" w:rsidP="002E1771">
            <w:pPr>
              <w:keepNext/>
              <w:keepLines/>
              <w:jc w:val="center"/>
              <w:rPr>
                <w:rFonts w:ascii="Arial Narrow" w:hAnsi="Arial Narrow" w:cs="Calibri"/>
                <w:sz w:val="20"/>
                <w:szCs w:val="20"/>
              </w:rPr>
            </w:pPr>
            <w:r w:rsidRPr="00576299">
              <w:rPr>
                <w:rFonts w:ascii="Arial Narrow" w:hAnsi="Arial Narrow" w:cs="Calibri"/>
                <w:color w:val="000000"/>
                <w:sz w:val="20"/>
                <w:szCs w:val="20"/>
              </w:rPr>
              <w:t>13.1 (4.3, 34.4)</w:t>
            </w:r>
          </w:p>
        </w:tc>
        <w:tc>
          <w:tcPr>
            <w:tcW w:w="1273" w:type="dxa"/>
            <w:gridSpan w:val="2"/>
            <w:shd w:val="clear" w:color="auto" w:fill="auto"/>
            <w:vAlign w:val="center"/>
          </w:tcPr>
          <w:p w14:paraId="649E17C3" w14:textId="136D237A" w:rsidR="00311586" w:rsidRPr="00576299" w:rsidRDefault="00311586" w:rsidP="002E1771">
            <w:pPr>
              <w:keepNext/>
              <w:keepLines/>
              <w:jc w:val="center"/>
              <w:rPr>
                <w:rFonts w:ascii="Arial Narrow" w:hAnsi="Arial Narrow" w:cs="Calibri"/>
                <w:sz w:val="20"/>
                <w:szCs w:val="20"/>
              </w:rPr>
            </w:pPr>
            <w:r w:rsidRPr="00576299">
              <w:rPr>
                <w:rFonts w:ascii="Arial Narrow" w:hAnsi="Arial Narrow" w:cs="Calibri"/>
                <w:color w:val="000000"/>
                <w:sz w:val="20"/>
                <w:szCs w:val="20"/>
              </w:rPr>
              <w:t>51</w:t>
            </w:r>
          </w:p>
        </w:tc>
        <w:tc>
          <w:tcPr>
            <w:tcW w:w="1058" w:type="dxa"/>
            <w:shd w:val="clear" w:color="auto" w:fill="auto"/>
            <w:vAlign w:val="center"/>
          </w:tcPr>
          <w:p w14:paraId="200272B4" w14:textId="0118F80F" w:rsidR="00311586" w:rsidRPr="00576299" w:rsidRDefault="00311586" w:rsidP="002E1771">
            <w:pPr>
              <w:keepNext/>
              <w:keepLines/>
              <w:jc w:val="center"/>
              <w:rPr>
                <w:rFonts w:ascii="Arial Narrow" w:hAnsi="Arial Narrow" w:cs="Calibri"/>
                <w:sz w:val="20"/>
                <w:szCs w:val="20"/>
              </w:rPr>
            </w:pPr>
            <w:r w:rsidRPr="00576299">
              <w:rPr>
                <w:rFonts w:ascii="Arial Narrow" w:hAnsi="Arial Narrow" w:cs="Calibri"/>
                <w:color w:val="000000"/>
                <w:sz w:val="20"/>
                <w:szCs w:val="20"/>
              </w:rPr>
              <w:t>41</w:t>
            </w:r>
          </w:p>
        </w:tc>
      </w:tr>
    </w:tbl>
    <w:p w14:paraId="3B6A4008" w14:textId="00B9BCB4" w:rsidR="00B9009B" w:rsidRPr="00576299" w:rsidRDefault="00B9009B" w:rsidP="00B9009B">
      <w:pPr>
        <w:rPr>
          <w:rFonts w:ascii="Arial Narrow" w:hAnsi="Arial Narrow"/>
          <w:sz w:val="18"/>
          <w:szCs w:val="18"/>
        </w:rPr>
      </w:pPr>
      <w:r w:rsidRPr="00576299">
        <w:rPr>
          <w:rFonts w:ascii="Arial Narrow" w:hAnsi="Arial Narrow"/>
          <w:sz w:val="18"/>
          <w:szCs w:val="18"/>
        </w:rPr>
        <w:t>Source: Table 48, p126 of the resubmission.</w:t>
      </w:r>
    </w:p>
    <w:p w14:paraId="6A22E16B" w14:textId="379A5432" w:rsidR="00B9009B" w:rsidRPr="00576299" w:rsidRDefault="00B9009B" w:rsidP="00B9009B">
      <w:pPr>
        <w:rPr>
          <w:rFonts w:ascii="Arial Narrow" w:hAnsi="Arial Narrow"/>
          <w:sz w:val="18"/>
          <w:szCs w:val="18"/>
        </w:rPr>
      </w:pPr>
      <w:r w:rsidRPr="00576299">
        <w:rPr>
          <w:rFonts w:ascii="Arial Narrow" w:hAnsi="Arial Narrow"/>
          <w:sz w:val="18"/>
          <w:szCs w:val="18"/>
        </w:rPr>
        <w:t xml:space="preserve">CI = confidence interval; dMMR = mismatch repair deficient; EAP = Efficacy Analysis Population; ES = Efficacy Set; FU = follow- up; ITT = intention-to-treat; NR = not reached; PES = Primary Efficacy Set; PFS = progression free survival; pMMR = mismatch repair proficient. </w:t>
      </w:r>
    </w:p>
    <w:p w14:paraId="474C4D95" w14:textId="525DF8AA" w:rsidR="00311586" w:rsidRPr="00576299" w:rsidRDefault="00E725E7" w:rsidP="00311586">
      <w:pPr>
        <w:rPr>
          <w:rFonts w:ascii="Arial Narrow" w:hAnsi="Arial Narrow"/>
          <w:sz w:val="18"/>
          <w:szCs w:val="18"/>
        </w:rPr>
      </w:pPr>
      <w:r w:rsidRPr="00576299">
        <w:rPr>
          <w:rFonts w:ascii="Arial Narrow" w:hAnsi="Arial Narrow"/>
          <w:sz w:val="18"/>
          <w:szCs w:val="18"/>
        </w:rPr>
        <w:t>a</w:t>
      </w:r>
      <w:r w:rsidR="00311586" w:rsidRPr="00576299">
        <w:rPr>
          <w:rFonts w:ascii="Arial Narrow" w:hAnsi="Arial Narrow"/>
          <w:sz w:val="18"/>
          <w:szCs w:val="18"/>
        </w:rPr>
        <w:t xml:space="preserve"> These data are not explicitly reported, therefore are estimated via the digitisation of published KM curves.</w:t>
      </w:r>
    </w:p>
    <w:p w14:paraId="68CD977D" w14:textId="4982E343" w:rsidR="0092254A" w:rsidRPr="000E1DA3" w:rsidRDefault="00F9747F" w:rsidP="000E1DA3">
      <w:pPr>
        <w:spacing w:after="120"/>
        <w:rPr>
          <w:rFonts w:ascii="Arial Narrow" w:hAnsi="Arial Narrow"/>
          <w:sz w:val="18"/>
          <w:szCs w:val="18"/>
        </w:rPr>
      </w:pPr>
      <w:r w:rsidRPr="00576299">
        <w:rPr>
          <w:rFonts w:ascii="Arial Narrow" w:hAnsi="Arial Narrow"/>
          <w:sz w:val="18"/>
          <w:szCs w:val="18"/>
        </w:rPr>
        <w:t xml:space="preserve">Blue </w:t>
      </w:r>
      <w:r w:rsidR="00311586" w:rsidRPr="00576299">
        <w:rPr>
          <w:rFonts w:ascii="Arial Narrow" w:hAnsi="Arial Narrow"/>
          <w:sz w:val="18"/>
          <w:szCs w:val="18"/>
        </w:rPr>
        <w:t xml:space="preserve">shading indicates data previously seen by the PBAC (pembrolizumab + lenvatinib submission). </w:t>
      </w:r>
    </w:p>
    <w:p w14:paraId="32397DBD" w14:textId="4B4AAEF8" w:rsidR="0092254A" w:rsidRPr="00576299" w:rsidRDefault="007712DE" w:rsidP="0092254A">
      <w:pPr>
        <w:pStyle w:val="3-BodyText"/>
      </w:pPr>
      <w:r w:rsidRPr="00576299">
        <w:t>In dMMR patients, t</w:t>
      </w:r>
      <w:r w:rsidR="0092254A" w:rsidRPr="00576299">
        <w:t>he point estimates for</w:t>
      </w:r>
      <w:r w:rsidRPr="00576299">
        <w:t xml:space="preserve"> median</w:t>
      </w:r>
      <w:r w:rsidR="0092254A" w:rsidRPr="00576299">
        <w:t xml:space="preserve"> PFS </w:t>
      </w:r>
      <w:r w:rsidRPr="00576299">
        <w:t xml:space="preserve">were higher </w:t>
      </w:r>
      <w:r w:rsidR="00534539" w:rsidRPr="00576299">
        <w:t>for those</w:t>
      </w:r>
      <w:r w:rsidR="0092254A" w:rsidRPr="00576299">
        <w:t xml:space="preserve"> treated with pembrolizumab ± lenvatinib than </w:t>
      </w:r>
      <w:r w:rsidR="00534539" w:rsidRPr="00576299">
        <w:t xml:space="preserve">those </w:t>
      </w:r>
      <w:r w:rsidR="0092254A" w:rsidRPr="00576299">
        <w:t>treated with dostarlimab in GARNET Cohort A1</w:t>
      </w:r>
      <w:r w:rsidR="00F9747F" w:rsidRPr="00576299">
        <w:t xml:space="preserve"> </w:t>
      </w:r>
      <w:r w:rsidR="0092254A" w:rsidRPr="00576299">
        <w:t>(ITT: 8.3 months [95%CI 4.2, 18.0]), however due to the wide confidence intervals it was unclear if the results were significantly different. Visual inspection of the Kaplan-Meier curves also suggest</w:t>
      </w:r>
      <w:r w:rsidR="00311586" w:rsidRPr="00576299">
        <w:t>ed</w:t>
      </w:r>
      <w:r w:rsidR="0092254A" w:rsidRPr="00576299">
        <w:t xml:space="preserve"> that PFS over time </w:t>
      </w:r>
      <w:r w:rsidR="00DD27F9" w:rsidRPr="00576299">
        <w:t xml:space="preserve">was </w:t>
      </w:r>
      <w:r w:rsidR="0092254A" w:rsidRPr="00576299">
        <w:t>similar across all three treatment arms in the selected trials/studies, with the curves plateauing at around 35-40% for all three curves.</w:t>
      </w:r>
      <w:r w:rsidR="00F9747F" w:rsidRPr="00576299">
        <w:t xml:space="preserve"> </w:t>
      </w:r>
      <w:r w:rsidR="003B3F33" w:rsidRPr="00576299">
        <w:t>As for OS</w:t>
      </w:r>
      <w:r w:rsidR="00114385" w:rsidRPr="00576299">
        <w:t xml:space="preserve">, </w:t>
      </w:r>
      <w:r w:rsidR="003B3F33" w:rsidRPr="00576299">
        <w:t xml:space="preserve">the plateauing may be related to having </w:t>
      </w:r>
      <w:r w:rsidR="00976FA5" w:rsidRPr="00576299">
        <w:t xml:space="preserve">very few </w:t>
      </w:r>
      <w:r w:rsidR="00114385" w:rsidRPr="00576299">
        <w:lastRenderedPageBreak/>
        <w:t xml:space="preserve">patients at risk </w:t>
      </w:r>
      <w:r w:rsidR="00976FA5" w:rsidRPr="00576299">
        <w:t xml:space="preserve">at later time points </w:t>
      </w:r>
      <w:r w:rsidR="00114385" w:rsidRPr="00576299">
        <w:t>(GARNET Cohort A1, IA3</w:t>
      </w:r>
      <w:r w:rsidR="006F57F2" w:rsidRPr="00576299">
        <w:t>:</w:t>
      </w:r>
      <w:r w:rsidR="00114385" w:rsidRPr="00576299">
        <w:t xml:space="preserve"> 2 patients at 48 months; KEYNOTE-775 (dMMR cohort)</w:t>
      </w:r>
      <w:r w:rsidR="006F57F2" w:rsidRPr="00576299">
        <w:t>:</w:t>
      </w:r>
      <w:r w:rsidR="00114385" w:rsidRPr="00576299">
        <w:t xml:space="preserve"> 1 patient at 24 months; KEYNOTE-158</w:t>
      </w:r>
      <w:r w:rsidR="006F57F2" w:rsidRPr="00576299">
        <w:t>: 5 patients at 48 months).</w:t>
      </w:r>
    </w:p>
    <w:p w14:paraId="62998D1B" w14:textId="652B28D3" w:rsidR="0092254A" w:rsidRPr="00576299" w:rsidRDefault="0092254A" w:rsidP="0092254A">
      <w:pPr>
        <w:pStyle w:val="3-BodyText"/>
      </w:pPr>
      <w:r w:rsidRPr="00576299">
        <w:t>ORR was also reported as a key outcome in the resubmission. An ORR of 45.5% (95%</w:t>
      </w:r>
      <w:r w:rsidR="00A94763" w:rsidRPr="00576299">
        <w:t xml:space="preserve"> </w:t>
      </w:r>
      <w:r w:rsidRPr="00576299">
        <w:t xml:space="preserve">CI: 37.1, 54.0) was reported for dostarlimab in the primary efficacy set of GARNET Cohort A1. The resubmission </w:t>
      </w:r>
      <w:r w:rsidR="00534539" w:rsidRPr="00576299">
        <w:t xml:space="preserve">considered </w:t>
      </w:r>
      <w:r w:rsidRPr="00576299">
        <w:t xml:space="preserve">that the differences in response rates favoured dostarlimab compared to SoC </w:t>
      </w:r>
      <w:r w:rsidR="00534539" w:rsidRPr="00576299">
        <w:t>because</w:t>
      </w:r>
      <w:r w:rsidRPr="00576299">
        <w:t xml:space="preserve"> the lower confidence limit </w:t>
      </w:r>
      <w:r w:rsidR="00534539" w:rsidRPr="00576299">
        <w:t>for</w:t>
      </w:r>
      <w:r w:rsidRPr="00576299">
        <w:t xml:space="preserve"> ORR </w:t>
      </w:r>
      <w:r w:rsidR="00534539" w:rsidRPr="00576299">
        <w:t>with</w:t>
      </w:r>
      <w:r w:rsidRPr="00576299">
        <w:t xml:space="preserve"> dostarlimab (37.1%) </w:t>
      </w:r>
      <w:r w:rsidR="00534539" w:rsidRPr="00576299">
        <w:t xml:space="preserve">was </w:t>
      </w:r>
      <w:r w:rsidRPr="00576299">
        <w:t xml:space="preserve">higher than the upper confidence limit </w:t>
      </w:r>
      <w:r w:rsidR="00534539" w:rsidRPr="00576299">
        <w:t xml:space="preserve">with SoC </w:t>
      </w:r>
      <w:r w:rsidRPr="00576299">
        <w:t>across</w:t>
      </w:r>
      <w:r w:rsidR="00534539" w:rsidRPr="00576299">
        <w:t xml:space="preserve"> the</w:t>
      </w:r>
      <w:r w:rsidRPr="00576299">
        <w:t xml:space="preserve"> included studies (18.4%-26.5%). </w:t>
      </w:r>
      <w:r w:rsidR="00821DB2">
        <w:t>The evaluation considered that i</w:t>
      </w:r>
      <w:r w:rsidRPr="00576299">
        <w:t xml:space="preserve">t was unclear whether these results were clinically meaningful, </w:t>
      </w:r>
      <w:r w:rsidR="00534539" w:rsidRPr="00576299">
        <w:t xml:space="preserve">and </w:t>
      </w:r>
      <w:r w:rsidRPr="00576299">
        <w:t>a</w:t>
      </w:r>
      <w:r w:rsidR="00534539" w:rsidRPr="00576299">
        <w:t>n</w:t>
      </w:r>
      <w:r w:rsidRPr="00576299">
        <w:t xml:space="preserve"> MCID for ORR was not nominated by the resubmission.</w:t>
      </w:r>
    </w:p>
    <w:p w14:paraId="6F7C1A9E" w14:textId="63E62552" w:rsidR="0092254A" w:rsidRPr="00576299" w:rsidRDefault="0092254A" w:rsidP="0092254A">
      <w:pPr>
        <w:pStyle w:val="3-BodyText"/>
      </w:pPr>
      <w:r w:rsidRPr="00576299">
        <w:t>The resubmission reported that the ORR</w:t>
      </w:r>
      <w:r w:rsidR="007C6539" w:rsidRPr="00576299">
        <w:t>s</w:t>
      </w:r>
      <w:r w:rsidRPr="00576299">
        <w:t xml:space="preserve"> were similar for dostarlimab in GARNET Cohort A1 (45.5%) compared to PEM+LEN in</w:t>
      </w:r>
      <w:r w:rsidR="007C6539" w:rsidRPr="00576299">
        <w:t xml:space="preserve"> the</w:t>
      </w:r>
      <w:r w:rsidRPr="00576299">
        <w:t xml:space="preserve"> dMMR cohort of KEYNOTE-775 (40%) and pembrolizumab monotherapy in KEYNOTE-158 (48%). The</w:t>
      </w:r>
      <w:r w:rsidR="007C6539" w:rsidRPr="00576299">
        <w:t>re was</w:t>
      </w:r>
      <w:r w:rsidRPr="00576299">
        <w:t xml:space="preserve"> a large degree of overlap between the 95% confidence intervals of the treatment arms investigated.</w:t>
      </w:r>
    </w:p>
    <w:p w14:paraId="07161065" w14:textId="73837752" w:rsidR="0092254A" w:rsidRPr="00576299" w:rsidRDefault="0092254A" w:rsidP="0092254A">
      <w:pPr>
        <w:pStyle w:val="3-BodyText"/>
      </w:pPr>
      <w:bookmarkStart w:id="39" w:name="_Ref111507477"/>
      <w:r w:rsidRPr="00576299">
        <w:t>Patient reported outcomes including the EQ-5D-5L were listed as exploratory objectives for GARNET. The results of the EQ-5D-5L from GARNET were not provided in the resubmission and could not be extracted during the evaluation. The resubmission however, utilised the EQ-5D-5L results collected in GARNET A1 in the economic model.</w:t>
      </w:r>
      <w:bookmarkEnd w:id="39"/>
    </w:p>
    <w:p w14:paraId="3ED60943" w14:textId="595FF6C6" w:rsidR="0092254A" w:rsidRPr="00576299" w:rsidRDefault="0092254A" w:rsidP="007A46BB">
      <w:pPr>
        <w:pStyle w:val="Heading3"/>
        <w:spacing w:after="120"/>
      </w:pPr>
      <w:r w:rsidRPr="00576299">
        <w:t>IPTW adjusted indirect comparison</w:t>
      </w:r>
      <w:r w:rsidR="007B1CD9">
        <w:rPr>
          <w:rStyle w:val="FootnoteReference"/>
        </w:rPr>
        <w:footnoteReference w:id="4"/>
      </w:r>
    </w:p>
    <w:p w14:paraId="342E145A" w14:textId="43CA0B82" w:rsidR="0092254A" w:rsidRPr="00576299" w:rsidRDefault="0092254A" w:rsidP="0092254A">
      <w:pPr>
        <w:pStyle w:val="3-BodyText"/>
      </w:pPr>
      <w:bookmarkStart w:id="40" w:name="_Ref111500519"/>
      <w:r w:rsidRPr="00576299">
        <w:t xml:space="preserve">The resubmission presented an updated IPTW adjusted indirect comparison of the dostarlimab arm of GARNET Cohort A1 </w:t>
      </w:r>
      <w:r w:rsidR="007C6539" w:rsidRPr="00576299">
        <w:t xml:space="preserve">(updated to use the IA3 data-cut, rather than the IA2 data-cut used in the previous submission’s IPTW analysis) </w:t>
      </w:r>
      <w:r w:rsidRPr="00576299">
        <w:t xml:space="preserve">versus the doxorubicin arm of the ZoptEC trial using IPD. </w:t>
      </w:r>
      <w:r w:rsidR="00EE50A3" w:rsidRPr="00576299">
        <w:t xml:space="preserve">The analysis adjusted for differences in the timepoints for tumour assessments between the GARNET and ZoptEC studies and only included patients from ZoptEC who would be eligible for GARNET. </w:t>
      </w:r>
      <w:r w:rsidRPr="00576299">
        <w:t xml:space="preserve">The PBAC previously considered there were several limitations associated with the IPTW analysis (paragraph 6.29, dostarlimab </w:t>
      </w:r>
      <w:r w:rsidR="0022541E" w:rsidRPr="00576299">
        <w:t>PSD</w:t>
      </w:r>
      <w:r w:rsidRPr="00576299">
        <w:t>, PBAC meeting March 2022)</w:t>
      </w:r>
      <w:r w:rsidRPr="00576299">
        <w:rPr>
          <w:i/>
          <w:iCs/>
        </w:rPr>
        <w:t xml:space="preserve">. </w:t>
      </w:r>
      <w:r w:rsidRPr="00576299">
        <w:t>Despite these weaknesses, the resubmission followed similar methodology, largely with the same limitations as in the previous submission</w:t>
      </w:r>
      <w:r w:rsidR="00C16F53">
        <w:t>. I</w:t>
      </w:r>
      <w:r w:rsidR="005E1585" w:rsidRPr="00576299">
        <w:t>n particular: the two studies were conducted over different time periods; there was potential for unmeasured confounding; and patients were not matched for dMMR status (biomarker testing was not performed in ZoptEC)</w:t>
      </w:r>
      <w:r w:rsidRPr="00576299">
        <w:t>.</w:t>
      </w:r>
      <w:bookmarkEnd w:id="40"/>
      <w:r w:rsidRPr="00576299">
        <w:t xml:space="preserve"> </w:t>
      </w:r>
    </w:p>
    <w:p w14:paraId="20EE5B2E" w14:textId="6B3306F0" w:rsidR="00D656B2" w:rsidRPr="00576299" w:rsidRDefault="0092254A" w:rsidP="0084348A">
      <w:pPr>
        <w:pStyle w:val="3-BodyText"/>
      </w:pPr>
      <w:r w:rsidRPr="00576299">
        <w:t xml:space="preserve">The updated </w:t>
      </w:r>
      <w:r w:rsidR="00EE50A3" w:rsidRPr="00576299">
        <w:t xml:space="preserve">IPTW </w:t>
      </w:r>
      <w:r w:rsidRPr="00576299">
        <w:t xml:space="preserve">analysis </w:t>
      </w:r>
      <w:r w:rsidR="00EE50A3" w:rsidRPr="00576299">
        <w:t xml:space="preserve">reported </w:t>
      </w:r>
      <w:r w:rsidRPr="00576299">
        <w:t>a statistically significant improvement in OS for dostarlimab versus doxorubicin (HR = 0.294; 95%</w:t>
      </w:r>
      <w:r w:rsidR="00A94763" w:rsidRPr="00576299">
        <w:t xml:space="preserve"> </w:t>
      </w:r>
      <w:r w:rsidRPr="00576299">
        <w:t>CI</w:t>
      </w:r>
      <w:r w:rsidR="005143EF" w:rsidRPr="00576299">
        <w:t>:</w:t>
      </w:r>
      <w:r w:rsidRPr="00576299">
        <w:t xml:space="preserve"> 0.212, 0.406)</w:t>
      </w:r>
      <w:r w:rsidR="00EE50A3" w:rsidRPr="00576299">
        <w:t xml:space="preserve">. </w:t>
      </w:r>
      <w:r w:rsidRPr="00576299">
        <w:t xml:space="preserve">The difference </w:t>
      </w:r>
      <w:r w:rsidRPr="00576299">
        <w:lastRenderedPageBreak/>
        <w:t>between the IPTW analysis from the previous submission (HR = 0.41; 95% CI 0.28, 0.61) highlights the uncertainty with using immature data sets and the limitations of the IPTW described above.</w:t>
      </w:r>
      <w:r w:rsidR="007A6C46" w:rsidRPr="00576299">
        <w:t xml:space="preserve"> </w:t>
      </w:r>
      <w:bookmarkStart w:id="41" w:name="_Toc22897642"/>
    </w:p>
    <w:p w14:paraId="4154DA63" w14:textId="7AC98B35" w:rsidR="0092254A" w:rsidRPr="00576299" w:rsidRDefault="0092254A" w:rsidP="00D656B2">
      <w:pPr>
        <w:pStyle w:val="4-SubsectionHeading"/>
      </w:pPr>
      <w:bookmarkStart w:id="42" w:name="_Toc114052525"/>
      <w:r w:rsidRPr="00576299">
        <w:t>Comparative harms</w:t>
      </w:r>
      <w:bookmarkEnd w:id="41"/>
      <w:bookmarkEnd w:id="42"/>
    </w:p>
    <w:p w14:paraId="6F4AE120" w14:textId="7FD3BE89" w:rsidR="0092254A" w:rsidRPr="00576299" w:rsidRDefault="0092254A" w:rsidP="0092254A">
      <w:pPr>
        <w:pStyle w:val="3-BodyText"/>
      </w:pPr>
      <w:r w:rsidRPr="00576299">
        <w:t xml:space="preserve">A summary of safety outcomes reported across the included dostarlimab and SoC arms of the included trials and studies is presented in </w:t>
      </w:r>
      <w:r w:rsidRPr="00576299">
        <w:fldChar w:fldCharType="begin"/>
      </w:r>
      <w:r w:rsidRPr="00576299">
        <w:instrText xml:space="preserve"> REF _Ref111425951 \h </w:instrText>
      </w:r>
      <w:r w:rsidRPr="00576299">
        <w:fldChar w:fldCharType="separate"/>
      </w:r>
      <w:r w:rsidR="00CD09E9" w:rsidRPr="00576299">
        <w:t xml:space="preserve">Table </w:t>
      </w:r>
      <w:r w:rsidR="00CD09E9">
        <w:rPr>
          <w:noProof/>
        </w:rPr>
        <w:t>10</w:t>
      </w:r>
      <w:r w:rsidRPr="00576299">
        <w:fldChar w:fldCharType="end"/>
      </w:r>
      <w:r w:rsidRPr="00576299">
        <w:t xml:space="preserve">. </w:t>
      </w:r>
    </w:p>
    <w:p w14:paraId="26AB8EAC" w14:textId="306E8872" w:rsidR="0092254A" w:rsidRPr="00576299" w:rsidRDefault="0092254A" w:rsidP="00646C7F">
      <w:pPr>
        <w:pStyle w:val="Caption"/>
        <w:keepLines w:val="0"/>
        <w:widowControl w:val="0"/>
      </w:pPr>
      <w:bookmarkStart w:id="43" w:name="_Ref111425951"/>
      <w:r w:rsidRPr="00576299">
        <w:t xml:space="preserve">Table </w:t>
      </w:r>
      <w:fldSimple w:instr=" SEQ Table \* ARABIC ">
        <w:r w:rsidR="00CD09E9">
          <w:rPr>
            <w:noProof/>
          </w:rPr>
          <w:t>10</w:t>
        </w:r>
      </w:fldSimple>
      <w:bookmarkEnd w:id="43"/>
      <w:r w:rsidRPr="00576299">
        <w:t>: Summary of safety from included dostarlimab and SoC studies</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986"/>
        <w:gridCol w:w="777"/>
        <w:gridCol w:w="1173"/>
        <w:gridCol w:w="1037"/>
        <w:gridCol w:w="709"/>
        <w:gridCol w:w="1082"/>
        <w:gridCol w:w="1414"/>
      </w:tblGrid>
      <w:tr w:rsidR="004068F3" w:rsidRPr="00576299" w14:paraId="209C73E8" w14:textId="77777777" w:rsidTr="004068F3">
        <w:trPr>
          <w:trHeight w:val="20"/>
          <w:tblHeader/>
        </w:trPr>
        <w:tc>
          <w:tcPr>
            <w:tcW w:w="980" w:type="pct"/>
            <w:shd w:val="clear" w:color="auto" w:fill="auto"/>
          </w:tcPr>
          <w:p w14:paraId="1E8D34AD" w14:textId="77777777" w:rsidR="004068F3" w:rsidRPr="00576299" w:rsidRDefault="004068F3" w:rsidP="00646C7F">
            <w:pPr>
              <w:pStyle w:val="In-tableHeading"/>
              <w:widowControl w:val="0"/>
              <w:rPr>
                <w:lang w:val="en-AU"/>
              </w:rPr>
            </w:pPr>
            <w:r w:rsidRPr="00576299">
              <w:rPr>
                <w:lang w:val="en-AU"/>
              </w:rPr>
              <w:t>Intervention</w:t>
            </w:r>
          </w:p>
        </w:tc>
        <w:tc>
          <w:tcPr>
            <w:tcW w:w="986" w:type="pct"/>
            <w:gridSpan w:val="2"/>
            <w:shd w:val="clear" w:color="auto" w:fill="auto"/>
          </w:tcPr>
          <w:p w14:paraId="17CB0F13" w14:textId="7E0E3D11" w:rsidR="004068F3" w:rsidRPr="00576299" w:rsidRDefault="004068F3" w:rsidP="00646C7F">
            <w:pPr>
              <w:pStyle w:val="In-tableHeading"/>
              <w:widowControl w:val="0"/>
              <w:jc w:val="center"/>
              <w:rPr>
                <w:lang w:val="en-AU"/>
              </w:rPr>
            </w:pPr>
            <w:r w:rsidRPr="00576299">
              <w:rPr>
                <w:lang w:val="en-AU"/>
              </w:rPr>
              <w:t>Dostarlimab</w:t>
            </w:r>
          </w:p>
        </w:tc>
        <w:tc>
          <w:tcPr>
            <w:tcW w:w="657" w:type="pct"/>
            <w:shd w:val="clear" w:color="auto" w:fill="auto"/>
          </w:tcPr>
          <w:p w14:paraId="40AF6173" w14:textId="77777777" w:rsidR="004068F3" w:rsidRPr="00576299" w:rsidRDefault="004068F3" w:rsidP="00646C7F">
            <w:pPr>
              <w:pStyle w:val="In-tableHeading"/>
              <w:widowControl w:val="0"/>
              <w:jc w:val="center"/>
              <w:rPr>
                <w:lang w:val="en-AU"/>
              </w:rPr>
            </w:pPr>
            <w:r w:rsidRPr="00576299">
              <w:rPr>
                <w:lang w:val="en-AU"/>
              </w:rPr>
              <w:t>Doxorubicin</w:t>
            </w:r>
          </w:p>
        </w:tc>
        <w:tc>
          <w:tcPr>
            <w:tcW w:w="1584" w:type="pct"/>
            <w:gridSpan w:val="3"/>
            <w:shd w:val="clear" w:color="auto" w:fill="auto"/>
          </w:tcPr>
          <w:p w14:paraId="233A3EC3" w14:textId="77777777" w:rsidR="004068F3" w:rsidRPr="00576299" w:rsidRDefault="004068F3" w:rsidP="00646C7F">
            <w:pPr>
              <w:pStyle w:val="In-tableHeading"/>
              <w:widowControl w:val="0"/>
              <w:jc w:val="center"/>
              <w:rPr>
                <w:lang w:val="en-AU"/>
              </w:rPr>
            </w:pPr>
            <w:r w:rsidRPr="00576299">
              <w:rPr>
                <w:lang w:val="en-AU"/>
              </w:rPr>
              <w:t>Paclitaxel or doxorubicin</w:t>
            </w:r>
          </w:p>
        </w:tc>
        <w:tc>
          <w:tcPr>
            <w:tcW w:w="793" w:type="pct"/>
            <w:shd w:val="clear" w:color="auto" w:fill="auto"/>
          </w:tcPr>
          <w:p w14:paraId="0C868B58" w14:textId="77777777" w:rsidR="004068F3" w:rsidRPr="00576299" w:rsidRDefault="004068F3" w:rsidP="00646C7F">
            <w:pPr>
              <w:pStyle w:val="In-tableHeading"/>
              <w:widowControl w:val="0"/>
              <w:jc w:val="center"/>
              <w:rPr>
                <w:lang w:val="en-AU"/>
              </w:rPr>
            </w:pPr>
            <w:r w:rsidRPr="00576299">
              <w:rPr>
                <w:lang w:val="en-AU"/>
              </w:rPr>
              <w:t>Paclitaxel</w:t>
            </w:r>
          </w:p>
        </w:tc>
      </w:tr>
      <w:tr w:rsidR="004068F3" w:rsidRPr="00576299" w14:paraId="1E44DC63" w14:textId="77777777" w:rsidTr="004068F3">
        <w:trPr>
          <w:trHeight w:val="20"/>
        </w:trPr>
        <w:tc>
          <w:tcPr>
            <w:tcW w:w="980" w:type="pct"/>
            <w:shd w:val="clear" w:color="auto" w:fill="auto"/>
          </w:tcPr>
          <w:p w14:paraId="2D1742F4" w14:textId="77777777" w:rsidR="004068F3" w:rsidRPr="00576299" w:rsidRDefault="004068F3" w:rsidP="00646C7F">
            <w:pPr>
              <w:pStyle w:val="In-tableHeading"/>
              <w:widowControl w:val="0"/>
              <w:rPr>
                <w:lang w:val="en-AU"/>
              </w:rPr>
            </w:pPr>
            <w:r w:rsidRPr="00576299">
              <w:rPr>
                <w:lang w:val="en-AU"/>
              </w:rPr>
              <w:t>Trial ID</w:t>
            </w:r>
          </w:p>
        </w:tc>
        <w:tc>
          <w:tcPr>
            <w:tcW w:w="986" w:type="pct"/>
            <w:gridSpan w:val="2"/>
            <w:shd w:val="clear" w:color="auto" w:fill="auto"/>
          </w:tcPr>
          <w:p w14:paraId="707062E7" w14:textId="77777777" w:rsidR="004068F3" w:rsidRPr="00576299" w:rsidRDefault="004068F3" w:rsidP="00646C7F">
            <w:pPr>
              <w:pStyle w:val="In-tableHeading"/>
              <w:widowControl w:val="0"/>
              <w:jc w:val="center"/>
              <w:rPr>
                <w:lang w:val="en-AU"/>
              </w:rPr>
            </w:pPr>
            <w:r w:rsidRPr="00576299">
              <w:rPr>
                <w:lang w:val="en-AU"/>
              </w:rPr>
              <w:t>GARNET Cohort A1</w:t>
            </w:r>
          </w:p>
        </w:tc>
        <w:tc>
          <w:tcPr>
            <w:tcW w:w="657" w:type="pct"/>
            <w:shd w:val="clear" w:color="auto" w:fill="auto"/>
          </w:tcPr>
          <w:p w14:paraId="6B4090D1" w14:textId="77777777" w:rsidR="004068F3" w:rsidRPr="00576299" w:rsidRDefault="004068F3" w:rsidP="00646C7F">
            <w:pPr>
              <w:pStyle w:val="In-tableHeading"/>
              <w:widowControl w:val="0"/>
              <w:jc w:val="center"/>
              <w:rPr>
                <w:vertAlign w:val="superscript"/>
                <w:lang w:val="en-AU"/>
              </w:rPr>
            </w:pPr>
            <w:r w:rsidRPr="00576299">
              <w:rPr>
                <w:lang w:val="en-AU"/>
              </w:rPr>
              <w:t xml:space="preserve">ZoptEC </w:t>
            </w:r>
            <w:r w:rsidRPr="00576299">
              <w:rPr>
                <w:vertAlign w:val="superscript"/>
                <w:lang w:val="en-AU"/>
              </w:rPr>
              <w:t>a</w:t>
            </w:r>
          </w:p>
        </w:tc>
        <w:tc>
          <w:tcPr>
            <w:tcW w:w="581" w:type="pct"/>
            <w:shd w:val="clear" w:color="auto" w:fill="auto"/>
          </w:tcPr>
          <w:p w14:paraId="2700959E" w14:textId="77777777" w:rsidR="004068F3" w:rsidRPr="00576299" w:rsidRDefault="004068F3" w:rsidP="00646C7F">
            <w:pPr>
              <w:pStyle w:val="In-tableHeading"/>
              <w:widowControl w:val="0"/>
              <w:jc w:val="center"/>
              <w:rPr>
                <w:lang w:val="en-AU"/>
              </w:rPr>
            </w:pPr>
            <w:r w:rsidRPr="00576299">
              <w:rPr>
                <w:lang w:val="en-AU"/>
              </w:rPr>
              <w:t>IXAMPLE2</w:t>
            </w:r>
          </w:p>
        </w:tc>
        <w:tc>
          <w:tcPr>
            <w:tcW w:w="1003" w:type="pct"/>
            <w:gridSpan w:val="2"/>
            <w:shd w:val="clear" w:color="auto" w:fill="auto"/>
          </w:tcPr>
          <w:p w14:paraId="5C789342" w14:textId="77777777" w:rsidR="004068F3" w:rsidRPr="00576299" w:rsidRDefault="004068F3" w:rsidP="00646C7F">
            <w:pPr>
              <w:pStyle w:val="In-tableHeading"/>
              <w:widowControl w:val="0"/>
              <w:jc w:val="center"/>
              <w:rPr>
                <w:lang w:val="en-AU"/>
              </w:rPr>
            </w:pPr>
            <w:r w:rsidRPr="00576299">
              <w:rPr>
                <w:lang w:val="en-AU"/>
              </w:rPr>
              <w:t>KEYNOTE-775</w:t>
            </w:r>
          </w:p>
        </w:tc>
        <w:tc>
          <w:tcPr>
            <w:tcW w:w="793" w:type="pct"/>
            <w:shd w:val="clear" w:color="auto" w:fill="auto"/>
          </w:tcPr>
          <w:p w14:paraId="18B6220C" w14:textId="77777777" w:rsidR="004068F3" w:rsidRPr="00576299" w:rsidRDefault="004068F3" w:rsidP="00646C7F">
            <w:pPr>
              <w:pStyle w:val="In-tableHeading"/>
              <w:widowControl w:val="0"/>
              <w:jc w:val="center"/>
              <w:rPr>
                <w:lang w:val="en-AU"/>
              </w:rPr>
            </w:pPr>
            <w:r w:rsidRPr="00576299">
              <w:rPr>
                <w:lang w:val="en-AU"/>
              </w:rPr>
              <w:t xml:space="preserve">Scambia 2020 </w:t>
            </w:r>
            <w:r w:rsidRPr="00576299">
              <w:rPr>
                <w:vertAlign w:val="superscript"/>
                <w:lang w:val="en-AU"/>
              </w:rPr>
              <w:t>b</w:t>
            </w:r>
          </w:p>
        </w:tc>
      </w:tr>
      <w:tr w:rsidR="004068F3" w:rsidRPr="00576299" w14:paraId="2AD4E819" w14:textId="77777777" w:rsidTr="004068F3">
        <w:trPr>
          <w:trHeight w:val="290"/>
        </w:trPr>
        <w:tc>
          <w:tcPr>
            <w:tcW w:w="980" w:type="pct"/>
            <w:shd w:val="clear" w:color="auto" w:fill="auto"/>
          </w:tcPr>
          <w:p w14:paraId="52C77404" w14:textId="77777777" w:rsidR="004068F3" w:rsidRPr="00576299" w:rsidRDefault="004068F3" w:rsidP="00646C7F">
            <w:pPr>
              <w:pStyle w:val="In-tableHeading"/>
              <w:widowControl w:val="0"/>
              <w:rPr>
                <w:lang w:val="en-AU"/>
              </w:rPr>
            </w:pPr>
            <w:r w:rsidRPr="00576299">
              <w:rPr>
                <w:lang w:val="en-AU"/>
              </w:rPr>
              <w:t>Analysis set</w:t>
            </w:r>
          </w:p>
        </w:tc>
        <w:tc>
          <w:tcPr>
            <w:tcW w:w="552" w:type="pct"/>
            <w:shd w:val="clear" w:color="auto" w:fill="auto"/>
            <w:vAlign w:val="center"/>
          </w:tcPr>
          <w:p w14:paraId="48BAA42E" w14:textId="77777777" w:rsidR="004068F3" w:rsidRPr="00576299" w:rsidRDefault="004068F3" w:rsidP="00646C7F">
            <w:pPr>
              <w:pStyle w:val="In-tableHeading"/>
              <w:widowControl w:val="0"/>
              <w:jc w:val="center"/>
              <w:rPr>
                <w:lang w:val="en-AU"/>
              </w:rPr>
            </w:pPr>
            <w:r w:rsidRPr="00576299">
              <w:rPr>
                <w:lang w:val="en-AU"/>
              </w:rPr>
              <w:t>Safety (IA2)</w:t>
            </w:r>
          </w:p>
        </w:tc>
        <w:tc>
          <w:tcPr>
            <w:tcW w:w="435" w:type="pct"/>
            <w:shd w:val="clear" w:color="auto" w:fill="auto"/>
            <w:vAlign w:val="center"/>
          </w:tcPr>
          <w:p w14:paraId="3B3953AD" w14:textId="77777777" w:rsidR="004068F3" w:rsidRPr="00576299" w:rsidRDefault="004068F3" w:rsidP="00646C7F">
            <w:pPr>
              <w:pStyle w:val="In-tableHeading"/>
              <w:widowControl w:val="0"/>
              <w:jc w:val="center"/>
              <w:rPr>
                <w:lang w:val="en-AU"/>
              </w:rPr>
            </w:pPr>
            <w:r w:rsidRPr="00576299">
              <w:rPr>
                <w:lang w:val="en-AU"/>
              </w:rPr>
              <w:t>Safety (IA3)</w:t>
            </w:r>
          </w:p>
        </w:tc>
        <w:tc>
          <w:tcPr>
            <w:tcW w:w="657" w:type="pct"/>
            <w:shd w:val="clear" w:color="auto" w:fill="auto"/>
            <w:vAlign w:val="center"/>
          </w:tcPr>
          <w:p w14:paraId="761BAAF0" w14:textId="77777777" w:rsidR="004068F3" w:rsidRPr="00576299" w:rsidRDefault="004068F3" w:rsidP="00646C7F">
            <w:pPr>
              <w:pStyle w:val="In-tableHeading"/>
              <w:widowControl w:val="0"/>
              <w:jc w:val="center"/>
              <w:rPr>
                <w:lang w:val="en-AU"/>
              </w:rPr>
            </w:pPr>
            <w:r w:rsidRPr="00576299">
              <w:rPr>
                <w:lang w:val="en-AU"/>
              </w:rPr>
              <w:t>Safety</w:t>
            </w:r>
          </w:p>
        </w:tc>
        <w:tc>
          <w:tcPr>
            <w:tcW w:w="581" w:type="pct"/>
            <w:shd w:val="clear" w:color="auto" w:fill="auto"/>
            <w:vAlign w:val="center"/>
          </w:tcPr>
          <w:p w14:paraId="1E79B366" w14:textId="77777777" w:rsidR="004068F3" w:rsidRPr="00576299" w:rsidRDefault="004068F3" w:rsidP="00646C7F">
            <w:pPr>
              <w:pStyle w:val="In-tableHeading"/>
              <w:widowControl w:val="0"/>
              <w:jc w:val="center"/>
              <w:rPr>
                <w:lang w:val="en-AU"/>
              </w:rPr>
            </w:pPr>
            <w:r w:rsidRPr="00576299">
              <w:rPr>
                <w:lang w:val="en-AU"/>
              </w:rPr>
              <w:t>Safety</w:t>
            </w:r>
          </w:p>
        </w:tc>
        <w:tc>
          <w:tcPr>
            <w:tcW w:w="397" w:type="pct"/>
            <w:shd w:val="clear" w:color="auto" w:fill="auto"/>
            <w:vAlign w:val="center"/>
          </w:tcPr>
          <w:p w14:paraId="3DE40D6C" w14:textId="77777777" w:rsidR="004068F3" w:rsidRPr="00576299" w:rsidRDefault="004068F3" w:rsidP="00646C7F">
            <w:pPr>
              <w:pStyle w:val="In-tableHeading"/>
              <w:widowControl w:val="0"/>
              <w:jc w:val="center"/>
              <w:rPr>
                <w:lang w:val="en-AU"/>
              </w:rPr>
            </w:pPr>
            <w:r w:rsidRPr="00576299">
              <w:rPr>
                <w:lang w:val="en-AU"/>
              </w:rPr>
              <w:t>Safety</w:t>
            </w:r>
          </w:p>
        </w:tc>
        <w:tc>
          <w:tcPr>
            <w:tcW w:w="606" w:type="pct"/>
            <w:shd w:val="clear" w:color="auto" w:fill="auto"/>
            <w:vAlign w:val="center"/>
          </w:tcPr>
          <w:p w14:paraId="70E3B901" w14:textId="77777777" w:rsidR="004068F3" w:rsidRPr="00576299" w:rsidRDefault="004068F3" w:rsidP="00646C7F">
            <w:pPr>
              <w:pStyle w:val="In-tableHeading"/>
              <w:widowControl w:val="0"/>
              <w:jc w:val="center"/>
              <w:rPr>
                <w:lang w:val="en-AU"/>
              </w:rPr>
            </w:pPr>
            <w:r w:rsidRPr="00576299">
              <w:rPr>
                <w:lang w:val="en-AU"/>
              </w:rPr>
              <w:t>dMMR safety</w:t>
            </w:r>
          </w:p>
        </w:tc>
        <w:tc>
          <w:tcPr>
            <w:tcW w:w="793" w:type="pct"/>
            <w:shd w:val="clear" w:color="auto" w:fill="auto"/>
            <w:vAlign w:val="center"/>
          </w:tcPr>
          <w:p w14:paraId="6B3D5438" w14:textId="77777777" w:rsidR="004068F3" w:rsidRPr="00576299" w:rsidRDefault="004068F3" w:rsidP="00646C7F">
            <w:pPr>
              <w:pStyle w:val="In-tableHeading"/>
              <w:widowControl w:val="0"/>
              <w:jc w:val="center"/>
              <w:rPr>
                <w:lang w:val="en-AU"/>
              </w:rPr>
            </w:pPr>
            <w:r w:rsidRPr="00576299">
              <w:rPr>
                <w:lang w:val="en-AU"/>
              </w:rPr>
              <w:t>Safety</w:t>
            </w:r>
          </w:p>
        </w:tc>
      </w:tr>
      <w:tr w:rsidR="004068F3" w:rsidRPr="00576299" w14:paraId="66810670" w14:textId="77777777" w:rsidTr="004068F3">
        <w:trPr>
          <w:trHeight w:val="20"/>
        </w:trPr>
        <w:tc>
          <w:tcPr>
            <w:tcW w:w="980" w:type="pct"/>
            <w:shd w:val="clear" w:color="auto" w:fill="auto"/>
          </w:tcPr>
          <w:p w14:paraId="44D8D562" w14:textId="77777777" w:rsidR="004068F3" w:rsidRPr="00576299" w:rsidRDefault="004068F3" w:rsidP="00C16F53">
            <w:pPr>
              <w:pStyle w:val="TableText0"/>
              <w:widowControl w:val="0"/>
              <w:contextualSpacing/>
            </w:pPr>
            <w:r w:rsidRPr="00576299">
              <w:t>Median FU, months</w:t>
            </w:r>
          </w:p>
        </w:tc>
        <w:tc>
          <w:tcPr>
            <w:tcW w:w="552" w:type="pct"/>
            <w:shd w:val="clear" w:color="auto" w:fill="auto"/>
            <w:vAlign w:val="center"/>
          </w:tcPr>
          <w:p w14:paraId="4D7EE352" w14:textId="77777777" w:rsidR="004068F3" w:rsidRPr="00576299" w:rsidRDefault="004068F3" w:rsidP="00646C7F">
            <w:pPr>
              <w:pStyle w:val="TableText0"/>
              <w:widowControl w:val="0"/>
              <w:jc w:val="center"/>
            </w:pPr>
            <w:r w:rsidRPr="00576299">
              <w:t>12.5</w:t>
            </w:r>
          </w:p>
        </w:tc>
        <w:tc>
          <w:tcPr>
            <w:tcW w:w="435" w:type="pct"/>
            <w:shd w:val="clear" w:color="auto" w:fill="auto"/>
            <w:vAlign w:val="center"/>
          </w:tcPr>
          <w:p w14:paraId="17E3AF03" w14:textId="77777777" w:rsidR="004068F3" w:rsidRPr="00576299" w:rsidRDefault="004068F3" w:rsidP="00646C7F">
            <w:pPr>
              <w:pStyle w:val="TableText0"/>
              <w:widowControl w:val="0"/>
              <w:jc w:val="center"/>
            </w:pPr>
            <w:r w:rsidRPr="00576299">
              <w:t>27.6</w:t>
            </w:r>
          </w:p>
        </w:tc>
        <w:tc>
          <w:tcPr>
            <w:tcW w:w="657" w:type="pct"/>
            <w:shd w:val="clear" w:color="auto" w:fill="auto"/>
            <w:vAlign w:val="center"/>
          </w:tcPr>
          <w:p w14:paraId="4EA1548B" w14:textId="77777777" w:rsidR="004068F3" w:rsidRPr="00576299" w:rsidRDefault="004068F3" w:rsidP="00646C7F">
            <w:pPr>
              <w:pStyle w:val="TableText0"/>
              <w:widowControl w:val="0"/>
              <w:jc w:val="center"/>
            </w:pPr>
            <w:r w:rsidRPr="00576299">
              <w:t>26.7</w:t>
            </w:r>
          </w:p>
        </w:tc>
        <w:tc>
          <w:tcPr>
            <w:tcW w:w="581" w:type="pct"/>
            <w:shd w:val="clear" w:color="auto" w:fill="auto"/>
            <w:vAlign w:val="center"/>
          </w:tcPr>
          <w:p w14:paraId="1E353FE6" w14:textId="77777777" w:rsidR="004068F3" w:rsidRPr="00576299" w:rsidRDefault="004068F3" w:rsidP="00646C7F">
            <w:pPr>
              <w:pStyle w:val="TableText0"/>
              <w:widowControl w:val="0"/>
              <w:jc w:val="center"/>
            </w:pPr>
            <w:r w:rsidRPr="00576299">
              <w:t>NR</w:t>
            </w:r>
          </w:p>
        </w:tc>
        <w:tc>
          <w:tcPr>
            <w:tcW w:w="397" w:type="pct"/>
            <w:shd w:val="clear" w:color="auto" w:fill="auto"/>
            <w:vAlign w:val="center"/>
          </w:tcPr>
          <w:p w14:paraId="7BE12781" w14:textId="77777777" w:rsidR="004068F3" w:rsidRPr="00576299" w:rsidRDefault="004068F3" w:rsidP="00646C7F">
            <w:pPr>
              <w:pStyle w:val="TableText0"/>
              <w:widowControl w:val="0"/>
              <w:jc w:val="center"/>
            </w:pPr>
            <w:r w:rsidRPr="00576299">
              <w:t>10.7</w:t>
            </w:r>
          </w:p>
        </w:tc>
        <w:tc>
          <w:tcPr>
            <w:tcW w:w="606" w:type="pct"/>
            <w:shd w:val="clear" w:color="auto" w:fill="auto"/>
            <w:vAlign w:val="center"/>
          </w:tcPr>
          <w:p w14:paraId="07B56E9C" w14:textId="77777777" w:rsidR="004068F3" w:rsidRPr="00576299" w:rsidRDefault="004068F3" w:rsidP="00646C7F">
            <w:pPr>
              <w:pStyle w:val="TableText0"/>
              <w:widowControl w:val="0"/>
              <w:jc w:val="center"/>
            </w:pPr>
            <w:r w:rsidRPr="00576299">
              <w:t>12.0</w:t>
            </w:r>
          </w:p>
        </w:tc>
        <w:tc>
          <w:tcPr>
            <w:tcW w:w="793" w:type="pct"/>
            <w:shd w:val="clear" w:color="auto" w:fill="auto"/>
            <w:vAlign w:val="center"/>
          </w:tcPr>
          <w:p w14:paraId="56611C21" w14:textId="77777777" w:rsidR="004068F3" w:rsidRPr="00576299" w:rsidRDefault="004068F3" w:rsidP="00646C7F">
            <w:pPr>
              <w:pStyle w:val="TableText0"/>
              <w:widowControl w:val="0"/>
              <w:jc w:val="center"/>
            </w:pPr>
            <w:r w:rsidRPr="00576299">
              <w:t>14.4</w:t>
            </w:r>
          </w:p>
        </w:tc>
      </w:tr>
      <w:tr w:rsidR="004068F3" w:rsidRPr="00576299" w14:paraId="60C3F8FC" w14:textId="77777777" w:rsidTr="004068F3">
        <w:trPr>
          <w:trHeight w:val="20"/>
        </w:trPr>
        <w:tc>
          <w:tcPr>
            <w:tcW w:w="980" w:type="pct"/>
            <w:shd w:val="clear" w:color="auto" w:fill="auto"/>
          </w:tcPr>
          <w:p w14:paraId="7EE0D877" w14:textId="77777777" w:rsidR="004068F3" w:rsidRPr="00576299" w:rsidRDefault="004068F3" w:rsidP="00C16F53">
            <w:pPr>
              <w:pStyle w:val="TableText0"/>
              <w:widowControl w:val="0"/>
              <w:contextualSpacing/>
            </w:pPr>
            <w:r w:rsidRPr="00576299">
              <w:t>N</w:t>
            </w:r>
          </w:p>
        </w:tc>
        <w:tc>
          <w:tcPr>
            <w:tcW w:w="552" w:type="pct"/>
            <w:shd w:val="clear" w:color="auto" w:fill="B8CCE4" w:themeFill="accent1" w:themeFillTint="66"/>
            <w:vAlign w:val="center"/>
          </w:tcPr>
          <w:p w14:paraId="12DD4F02" w14:textId="77777777" w:rsidR="004068F3" w:rsidRPr="00576299" w:rsidRDefault="004068F3" w:rsidP="00646C7F">
            <w:pPr>
              <w:pStyle w:val="TableText0"/>
              <w:widowControl w:val="0"/>
              <w:jc w:val="center"/>
            </w:pPr>
            <w:r w:rsidRPr="00576299">
              <w:t>129</w:t>
            </w:r>
          </w:p>
        </w:tc>
        <w:tc>
          <w:tcPr>
            <w:tcW w:w="435" w:type="pct"/>
            <w:shd w:val="clear" w:color="auto" w:fill="auto"/>
            <w:vAlign w:val="center"/>
          </w:tcPr>
          <w:p w14:paraId="4F2CCA48" w14:textId="77777777" w:rsidR="004068F3" w:rsidRPr="00576299" w:rsidRDefault="004068F3" w:rsidP="00646C7F">
            <w:pPr>
              <w:pStyle w:val="TableText0"/>
              <w:widowControl w:val="0"/>
              <w:jc w:val="center"/>
            </w:pPr>
            <w:r w:rsidRPr="00576299">
              <w:t>153</w:t>
            </w:r>
          </w:p>
        </w:tc>
        <w:tc>
          <w:tcPr>
            <w:tcW w:w="657" w:type="pct"/>
            <w:shd w:val="clear" w:color="auto" w:fill="B8CCE4" w:themeFill="accent1" w:themeFillTint="66"/>
            <w:vAlign w:val="center"/>
          </w:tcPr>
          <w:p w14:paraId="64BE0B06" w14:textId="77777777" w:rsidR="004068F3" w:rsidRPr="00576299" w:rsidRDefault="004068F3" w:rsidP="00646C7F">
            <w:pPr>
              <w:pStyle w:val="TableText0"/>
              <w:widowControl w:val="0"/>
              <w:jc w:val="center"/>
            </w:pPr>
            <w:r w:rsidRPr="00576299">
              <w:t>249</w:t>
            </w:r>
          </w:p>
        </w:tc>
        <w:tc>
          <w:tcPr>
            <w:tcW w:w="581" w:type="pct"/>
            <w:shd w:val="clear" w:color="auto" w:fill="B8CCE4" w:themeFill="accent1" w:themeFillTint="66"/>
            <w:vAlign w:val="center"/>
          </w:tcPr>
          <w:p w14:paraId="69B9DA11" w14:textId="77777777" w:rsidR="004068F3" w:rsidRPr="00576299" w:rsidRDefault="004068F3" w:rsidP="00646C7F">
            <w:pPr>
              <w:pStyle w:val="TableText0"/>
              <w:widowControl w:val="0"/>
              <w:jc w:val="center"/>
            </w:pPr>
            <w:r w:rsidRPr="00576299">
              <w:t>239</w:t>
            </w:r>
          </w:p>
        </w:tc>
        <w:tc>
          <w:tcPr>
            <w:tcW w:w="397" w:type="pct"/>
            <w:shd w:val="clear" w:color="auto" w:fill="B8CCE4" w:themeFill="accent1" w:themeFillTint="66"/>
            <w:vAlign w:val="center"/>
          </w:tcPr>
          <w:p w14:paraId="19EFA5CE" w14:textId="77777777" w:rsidR="004068F3" w:rsidRPr="00576299" w:rsidRDefault="004068F3" w:rsidP="00646C7F">
            <w:pPr>
              <w:pStyle w:val="TableText0"/>
              <w:widowControl w:val="0"/>
              <w:jc w:val="center"/>
            </w:pPr>
            <w:r w:rsidRPr="00576299">
              <w:t>388</w:t>
            </w:r>
          </w:p>
        </w:tc>
        <w:tc>
          <w:tcPr>
            <w:tcW w:w="606" w:type="pct"/>
            <w:shd w:val="clear" w:color="auto" w:fill="B8CCE4" w:themeFill="accent1" w:themeFillTint="66"/>
            <w:vAlign w:val="center"/>
          </w:tcPr>
          <w:p w14:paraId="19B88B55" w14:textId="77777777" w:rsidR="004068F3" w:rsidRPr="00576299" w:rsidRDefault="004068F3" w:rsidP="00646C7F">
            <w:pPr>
              <w:pStyle w:val="TableText0"/>
              <w:widowControl w:val="0"/>
              <w:jc w:val="center"/>
            </w:pPr>
            <w:r w:rsidRPr="00576299">
              <w:t>63</w:t>
            </w:r>
          </w:p>
        </w:tc>
        <w:tc>
          <w:tcPr>
            <w:tcW w:w="793" w:type="pct"/>
            <w:shd w:val="clear" w:color="auto" w:fill="B8CCE4" w:themeFill="accent1" w:themeFillTint="66"/>
            <w:vAlign w:val="center"/>
          </w:tcPr>
          <w:p w14:paraId="57C5F7E5" w14:textId="77777777" w:rsidR="004068F3" w:rsidRPr="00576299" w:rsidRDefault="004068F3" w:rsidP="00646C7F">
            <w:pPr>
              <w:pStyle w:val="TableText0"/>
              <w:widowControl w:val="0"/>
              <w:jc w:val="center"/>
            </w:pPr>
            <w:r w:rsidRPr="00576299">
              <w:t>87</w:t>
            </w:r>
          </w:p>
        </w:tc>
      </w:tr>
      <w:tr w:rsidR="004068F3" w:rsidRPr="00576299" w14:paraId="5CE4216A" w14:textId="77777777" w:rsidTr="004068F3">
        <w:trPr>
          <w:trHeight w:val="20"/>
        </w:trPr>
        <w:tc>
          <w:tcPr>
            <w:tcW w:w="980" w:type="pct"/>
            <w:shd w:val="clear" w:color="auto" w:fill="auto"/>
          </w:tcPr>
          <w:p w14:paraId="5933D1DC" w14:textId="77777777" w:rsidR="004068F3" w:rsidRPr="00576299" w:rsidRDefault="004068F3" w:rsidP="00C16F53">
            <w:pPr>
              <w:pStyle w:val="TableText0"/>
              <w:widowControl w:val="0"/>
              <w:contextualSpacing/>
            </w:pPr>
            <w:r w:rsidRPr="00576299">
              <w:t>Any AEs, %</w:t>
            </w:r>
          </w:p>
        </w:tc>
        <w:tc>
          <w:tcPr>
            <w:tcW w:w="552" w:type="pct"/>
            <w:shd w:val="clear" w:color="auto" w:fill="B8CCE4" w:themeFill="accent1" w:themeFillTint="66"/>
            <w:vAlign w:val="center"/>
          </w:tcPr>
          <w:p w14:paraId="3406B77E" w14:textId="77777777" w:rsidR="004068F3" w:rsidRPr="00576299" w:rsidRDefault="004068F3" w:rsidP="00646C7F">
            <w:pPr>
              <w:pStyle w:val="TableText0"/>
              <w:widowControl w:val="0"/>
              <w:jc w:val="center"/>
            </w:pPr>
            <w:r w:rsidRPr="00576299">
              <w:t>95.3</w:t>
            </w:r>
          </w:p>
        </w:tc>
        <w:tc>
          <w:tcPr>
            <w:tcW w:w="435" w:type="pct"/>
            <w:shd w:val="clear" w:color="auto" w:fill="auto"/>
            <w:vAlign w:val="center"/>
          </w:tcPr>
          <w:p w14:paraId="00BA3D0F" w14:textId="77777777" w:rsidR="004068F3" w:rsidRPr="00576299" w:rsidRDefault="004068F3" w:rsidP="00646C7F">
            <w:pPr>
              <w:pStyle w:val="TableText0"/>
              <w:widowControl w:val="0"/>
              <w:jc w:val="center"/>
            </w:pPr>
            <w:r w:rsidRPr="00576299">
              <w:t>99.3</w:t>
            </w:r>
          </w:p>
        </w:tc>
        <w:tc>
          <w:tcPr>
            <w:tcW w:w="657" w:type="pct"/>
            <w:shd w:val="clear" w:color="auto" w:fill="B8CCE4" w:themeFill="accent1" w:themeFillTint="66"/>
            <w:vAlign w:val="center"/>
          </w:tcPr>
          <w:p w14:paraId="3E25E9BE" w14:textId="77777777" w:rsidR="004068F3" w:rsidRPr="00576299" w:rsidRDefault="004068F3" w:rsidP="00646C7F">
            <w:pPr>
              <w:pStyle w:val="TableText0"/>
              <w:widowControl w:val="0"/>
              <w:jc w:val="center"/>
            </w:pPr>
            <w:r w:rsidRPr="00576299">
              <w:t>NR</w:t>
            </w:r>
          </w:p>
        </w:tc>
        <w:tc>
          <w:tcPr>
            <w:tcW w:w="581" w:type="pct"/>
            <w:shd w:val="clear" w:color="auto" w:fill="B8CCE4" w:themeFill="accent1" w:themeFillTint="66"/>
            <w:vAlign w:val="center"/>
          </w:tcPr>
          <w:p w14:paraId="4F84F19A" w14:textId="77777777" w:rsidR="004068F3" w:rsidRPr="00576299" w:rsidRDefault="004068F3" w:rsidP="00646C7F">
            <w:pPr>
              <w:pStyle w:val="TableText0"/>
              <w:widowControl w:val="0"/>
              <w:jc w:val="center"/>
            </w:pPr>
            <w:r w:rsidRPr="00576299">
              <w:t>95.4</w:t>
            </w:r>
          </w:p>
        </w:tc>
        <w:tc>
          <w:tcPr>
            <w:tcW w:w="397" w:type="pct"/>
            <w:shd w:val="clear" w:color="auto" w:fill="B8CCE4" w:themeFill="accent1" w:themeFillTint="66"/>
            <w:vAlign w:val="center"/>
          </w:tcPr>
          <w:p w14:paraId="3A3577CA" w14:textId="77777777" w:rsidR="004068F3" w:rsidRPr="00576299" w:rsidRDefault="004068F3" w:rsidP="00646C7F">
            <w:pPr>
              <w:pStyle w:val="TableText0"/>
              <w:widowControl w:val="0"/>
              <w:jc w:val="center"/>
            </w:pPr>
            <w:r w:rsidRPr="00576299">
              <w:t>99.5</w:t>
            </w:r>
          </w:p>
        </w:tc>
        <w:tc>
          <w:tcPr>
            <w:tcW w:w="606" w:type="pct"/>
            <w:shd w:val="clear" w:color="auto" w:fill="B8CCE4" w:themeFill="accent1" w:themeFillTint="66"/>
            <w:vAlign w:val="center"/>
          </w:tcPr>
          <w:p w14:paraId="304147DE" w14:textId="77777777" w:rsidR="004068F3" w:rsidRPr="00576299" w:rsidRDefault="004068F3" w:rsidP="00646C7F">
            <w:pPr>
              <w:pStyle w:val="TableText0"/>
              <w:widowControl w:val="0"/>
              <w:jc w:val="center"/>
            </w:pPr>
            <w:r w:rsidRPr="00576299">
              <w:t>98.4</w:t>
            </w:r>
          </w:p>
        </w:tc>
        <w:tc>
          <w:tcPr>
            <w:tcW w:w="793" w:type="pct"/>
            <w:shd w:val="clear" w:color="auto" w:fill="B8CCE4" w:themeFill="accent1" w:themeFillTint="66"/>
            <w:vAlign w:val="center"/>
          </w:tcPr>
          <w:p w14:paraId="536ECE10" w14:textId="77777777" w:rsidR="004068F3" w:rsidRPr="00576299" w:rsidRDefault="004068F3" w:rsidP="00646C7F">
            <w:pPr>
              <w:pStyle w:val="TableText0"/>
              <w:widowControl w:val="0"/>
              <w:jc w:val="center"/>
            </w:pPr>
            <w:r w:rsidRPr="00576299">
              <w:t>97.7</w:t>
            </w:r>
          </w:p>
        </w:tc>
      </w:tr>
      <w:tr w:rsidR="004068F3" w:rsidRPr="00576299" w14:paraId="4406FE9D" w14:textId="77777777" w:rsidTr="004068F3">
        <w:trPr>
          <w:trHeight w:val="20"/>
        </w:trPr>
        <w:tc>
          <w:tcPr>
            <w:tcW w:w="980" w:type="pct"/>
            <w:shd w:val="clear" w:color="auto" w:fill="auto"/>
          </w:tcPr>
          <w:p w14:paraId="36E2C509" w14:textId="77777777" w:rsidR="004068F3" w:rsidRPr="00576299" w:rsidRDefault="004068F3" w:rsidP="00C16F53">
            <w:pPr>
              <w:pStyle w:val="TableText0"/>
              <w:widowControl w:val="0"/>
              <w:contextualSpacing/>
            </w:pPr>
            <w:r w:rsidRPr="00576299">
              <w:t>Grade ≥3 AEs, %</w:t>
            </w:r>
          </w:p>
        </w:tc>
        <w:tc>
          <w:tcPr>
            <w:tcW w:w="552" w:type="pct"/>
            <w:shd w:val="clear" w:color="auto" w:fill="B8CCE4" w:themeFill="accent1" w:themeFillTint="66"/>
            <w:vAlign w:val="center"/>
          </w:tcPr>
          <w:p w14:paraId="34ADC8D4" w14:textId="77777777" w:rsidR="004068F3" w:rsidRPr="00576299" w:rsidRDefault="004068F3" w:rsidP="00646C7F">
            <w:pPr>
              <w:pStyle w:val="TableText0"/>
              <w:widowControl w:val="0"/>
              <w:jc w:val="center"/>
            </w:pPr>
            <w:r w:rsidRPr="00576299">
              <w:t>48.1</w:t>
            </w:r>
          </w:p>
        </w:tc>
        <w:tc>
          <w:tcPr>
            <w:tcW w:w="435" w:type="pct"/>
            <w:shd w:val="clear" w:color="auto" w:fill="auto"/>
            <w:vAlign w:val="center"/>
          </w:tcPr>
          <w:p w14:paraId="09FE4FB3" w14:textId="77777777" w:rsidR="004068F3" w:rsidRPr="00576299" w:rsidRDefault="004068F3" w:rsidP="00646C7F">
            <w:pPr>
              <w:pStyle w:val="TableText0"/>
              <w:widowControl w:val="0"/>
              <w:jc w:val="center"/>
            </w:pPr>
            <w:r w:rsidRPr="00576299">
              <w:t>56.9</w:t>
            </w:r>
          </w:p>
        </w:tc>
        <w:tc>
          <w:tcPr>
            <w:tcW w:w="657" w:type="pct"/>
            <w:shd w:val="clear" w:color="auto" w:fill="B8CCE4" w:themeFill="accent1" w:themeFillTint="66"/>
            <w:vAlign w:val="center"/>
          </w:tcPr>
          <w:p w14:paraId="61A3ACEB" w14:textId="77777777" w:rsidR="004068F3" w:rsidRPr="00576299" w:rsidRDefault="004068F3" w:rsidP="00646C7F">
            <w:pPr>
              <w:pStyle w:val="TableText0"/>
              <w:widowControl w:val="0"/>
              <w:jc w:val="center"/>
            </w:pPr>
            <w:r w:rsidRPr="00576299">
              <w:t>78.3</w:t>
            </w:r>
          </w:p>
        </w:tc>
        <w:tc>
          <w:tcPr>
            <w:tcW w:w="581" w:type="pct"/>
            <w:shd w:val="clear" w:color="auto" w:fill="B8CCE4" w:themeFill="accent1" w:themeFillTint="66"/>
            <w:vAlign w:val="center"/>
          </w:tcPr>
          <w:p w14:paraId="5F2DADE1" w14:textId="77777777" w:rsidR="004068F3" w:rsidRPr="00576299" w:rsidRDefault="004068F3" w:rsidP="00646C7F">
            <w:pPr>
              <w:pStyle w:val="TableText0"/>
              <w:widowControl w:val="0"/>
              <w:jc w:val="center"/>
            </w:pPr>
            <w:r w:rsidRPr="00576299">
              <w:t>NR</w:t>
            </w:r>
          </w:p>
        </w:tc>
        <w:tc>
          <w:tcPr>
            <w:tcW w:w="397" w:type="pct"/>
            <w:shd w:val="clear" w:color="auto" w:fill="B8CCE4" w:themeFill="accent1" w:themeFillTint="66"/>
            <w:vAlign w:val="center"/>
          </w:tcPr>
          <w:p w14:paraId="767469E6" w14:textId="77777777" w:rsidR="004068F3" w:rsidRPr="00576299" w:rsidRDefault="004068F3" w:rsidP="00646C7F">
            <w:pPr>
              <w:pStyle w:val="TableText0"/>
              <w:widowControl w:val="0"/>
              <w:jc w:val="center"/>
            </w:pPr>
            <w:r w:rsidRPr="00576299">
              <w:t>72.7</w:t>
            </w:r>
          </w:p>
        </w:tc>
        <w:tc>
          <w:tcPr>
            <w:tcW w:w="606" w:type="pct"/>
            <w:shd w:val="clear" w:color="auto" w:fill="B8CCE4" w:themeFill="accent1" w:themeFillTint="66"/>
            <w:vAlign w:val="center"/>
          </w:tcPr>
          <w:p w14:paraId="6B0FA299" w14:textId="77777777" w:rsidR="004068F3" w:rsidRPr="00576299" w:rsidRDefault="004068F3" w:rsidP="00646C7F">
            <w:pPr>
              <w:pStyle w:val="TableText0"/>
              <w:widowControl w:val="0"/>
              <w:jc w:val="center"/>
            </w:pPr>
            <w:r w:rsidRPr="00576299">
              <w:t>73.0</w:t>
            </w:r>
          </w:p>
        </w:tc>
        <w:tc>
          <w:tcPr>
            <w:tcW w:w="793" w:type="pct"/>
            <w:shd w:val="clear" w:color="auto" w:fill="B8CCE4" w:themeFill="accent1" w:themeFillTint="66"/>
            <w:vAlign w:val="center"/>
          </w:tcPr>
          <w:p w14:paraId="51DDC623" w14:textId="77777777" w:rsidR="004068F3" w:rsidRPr="00576299" w:rsidRDefault="004068F3" w:rsidP="00646C7F">
            <w:pPr>
              <w:pStyle w:val="TableText0"/>
              <w:widowControl w:val="0"/>
              <w:jc w:val="center"/>
            </w:pPr>
            <w:r w:rsidRPr="00576299">
              <w:t>54</w:t>
            </w:r>
          </w:p>
        </w:tc>
      </w:tr>
      <w:tr w:rsidR="004068F3" w:rsidRPr="00576299" w14:paraId="0FF46ABD" w14:textId="77777777" w:rsidTr="004068F3">
        <w:trPr>
          <w:trHeight w:val="20"/>
        </w:trPr>
        <w:tc>
          <w:tcPr>
            <w:tcW w:w="980" w:type="pct"/>
            <w:shd w:val="clear" w:color="auto" w:fill="auto"/>
          </w:tcPr>
          <w:p w14:paraId="5B6294F7" w14:textId="2AB9344B" w:rsidR="004068F3" w:rsidRPr="00576299" w:rsidRDefault="004068F3" w:rsidP="00C16F53">
            <w:pPr>
              <w:pStyle w:val="TableText0"/>
              <w:widowControl w:val="0"/>
              <w:contextualSpacing/>
            </w:pPr>
            <w:r w:rsidRPr="00576299">
              <w:t>Serious AEs, %</w:t>
            </w:r>
          </w:p>
        </w:tc>
        <w:tc>
          <w:tcPr>
            <w:tcW w:w="552" w:type="pct"/>
            <w:shd w:val="clear" w:color="auto" w:fill="B8CCE4" w:themeFill="accent1" w:themeFillTint="66"/>
            <w:vAlign w:val="center"/>
          </w:tcPr>
          <w:p w14:paraId="6FF9AFF4" w14:textId="77777777" w:rsidR="004068F3" w:rsidRPr="00576299" w:rsidRDefault="004068F3" w:rsidP="00646C7F">
            <w:pPr>
              <w:pStyle w:val="TableText0"/>
              <w:widowControl w:val="0"/>
              <w:jc w:val="center"/>
            </w:pPr>
            <w:r w:rsidRPr="00576299">
              <w:t>34.1</w:t>
            </w:r>
          </w:p>
        </w:tc>
        <w:tc>
          <w:tcPr>
            <w:tcW w:w="435" w:type="pct"/>
            <w:shd w:val="clear" w:color="auto" w:fill="auto"/>
            <w:vAlign w:val="center"/>
          </w:tcPr>
          <w:p w14:paraId="58E016E1" w14:textId="77777777" w:rsidR="004068F3" w:rsidRPr="00576299" w:rsidRDefault="004068F3" w:rsidP="00646C7F">
            <w:pPr>
              <w:pStyle w:val="TableText0"/>
              <w:widowControl w:val="0"/>
              <w:jc w:val="center"/>
            </w:pPr>
            <w:r w:rsidRPr="00576299">
              <w:t>37.9</w:t>
            </w:r>
          </w:p>
        </w:tc>
        <w:tc>
          <w:tcPr>
            <w:tcW w:w="657" w:type="pct"/>
            <w:shd w:val="clear" w:color="auto" w:fill="B8CCE4" w:themeFill="accent1" w:themeFillTint="66"/>
            <w:vAlign w:val="center"/>
          </w:tcPr>
          <w:p w14:paraId="08DF5A21" w14:textId="77777777" w:rsidR="004068F3" w:rsidRPr="00576299" w:rsidRDefault="004068F3" w:rsidP="00646C7F">
            <w:pPr>
              <w:pStyle w:val="TableText0"/>
              <w:widowControl w:val="0"/>
              <w:jc w:val="center"/>
            </w:pPr>
            <w:r w:rsidRPr="00576299">
              <w:t>30.1</w:t>
            </w:r>
          </w:p>
        </w:tc>
        <w:tc>
          <w:tcPr>
            <w:tcW w:w="581" w:type="pct"/>
            <w:shd w:val="clear" w:color="auto" w:fill="B8CCE4" w:themeFill="accent1" w:themeFillTint="66"/>
            <w:vAlign w:val="center"/>
          </w:tcPr>
          <w:p w14:paraId="7B914F85" w14:textId="77777777" w:rsidR="004068F3" w:rsidRPr="00576299" w:rsidRDefault="004068F3" w:rsidP="00646C7F">
            <w:pPr>
              <w:pStyle w:val="TableText0"/>
              <w:widowControl w:val="0"/>
              <w:jc w:val="center"/>
            </w:pPr>
            <w:r w:rsidRPr="00576299">
              <w:t>29.3</w:t>
            </w:r>
          </w:p>
        </w:tc>
        <w:tc>
          <w:tcPr>
            <w:tcW w:w="397" w:type="pct"/>
            <w:shd w:val="clear" w:color="auto" w:fill="auto"/>
            <w:vAlign w:val="center"/>
          </w:tcPr>
          <w:p w14:paraId="10A48F9D" w14:textId="77777777" w:rsidR="004068F3" w:rsidRPr="00576299" w:rsidRDefault="004068F3" w:rsidP="00646C7F">
            <w:pPr>
              <w:pStyle w:val="TableText0"/>
              <w:widowControl w:val="0"/>
              <w:jc w:val="center"/>
            </w:pPr>
            <w:r w:rsidRPr="00576299">
              <w:t>30.4</w:t>
            </w:r>
          </w:p>
        </w:tc>
        <w:tc>
          <w:tcPr>
            <w:tcW w:w="606" w:type="pct"/>
            <w:shd w:val="clear" w:color="auto" w:fill="auto"/>
            <w:vAlign w:val="center"/>
          </w:tcPr>
          <w:p w14:paraId="14263BE6" w14:textId="77777777" w:rsidR="004068F3" w:rsidRPr="00576299" w:rsidRDefault="004068F3" w:rsidP="00646C7F">
            <w:pPr>
              <w:pStyle w:val="TableText0"/>
              <w:widowControl w:val="0"/>
              <w:jc w:val="center"/>
            </w:pPr>
            <w:r w:rsidRPr="00576299">
              <w:t>38.1</w:t>
            </w:r>
          </w:p>
        </w:tc>
        <w:tc>
          <w:tcPr>
            <w:tcW w:w="793" w:type="pct"/>
            <w:shd w:val="clear" w:color="auto" w:fill="auto"/>
            <w:vAlign w:val="center"/>
          </w:tcPr>
          <w:p w14:paraId="19D4B36F" w14:textId="77777777" w:rsidR="004068F3" w:rsidRPr="00576299" w:rsidRDefault="004068F3" w:rsidP="00646C7F">
            <w:pPr>
              <w:pStyle w:val="TableText0"/>
              <w:widowControl w:val="0"/>
              <w:jc w:val="center"/>
            </w:pPr>
            <w:r w:rsidRPr="00576299">
              <w:t>26.4</w:t>
            </w:r>
          </w:p>
        </w:tc>
      </w:tr>
      <w:tr w:rsidR="004068F3" w:rsidRPr="00576299" w14:paraId="74968C28" w14:textId="77777777" w:rsidTr="004068F3">
        <w:trPr>
          <w:trHeight w:val="20"/>
        </w:trPr>
        <w:tc>
          <w:tcPr>
            <w:tcW w:w="980" w:type="pct"/>
            <w:shd w:val="clear" w:color="auto" w:fill="auto"/>
          </w:tcPr>
          <w:p w14:paraId="2EAF9E17" w14:textId="77777777" w:rsidR="004068F3" w:rsidRPr="00576299" w:rsidRDefault="004068F3" w:rsidP="00C16F53">
            <w:pPr>
              <w:pStyle w:val="TableText0"/>
              <w:widowControl w:val="0"/>
              <w:contextualSpacing/>
            </w:pPr>
            <w:r w:rsidRPr="00576299">
              <w:t>AE resulting in treatment discontinuation, %</w:t>
            </w:r>
          </w:p>
        </w:tc>
        <w:tc>
          <w:tcPr>
            <w:tcW w:w="552" w:type="pct"/>
            <w:shd w:val="clear" w:color="auto" w:fill="B8CCE4" w:themeFill="accent1" w:themeFillTint="66"/>
            <w:vAlign w:val="center"/>
          </w:tcPr>
          <w:p w14:paraId="2250B27F" w14:textId="77777777" w:rsidR="004068F3" w:rsidRPr="00576299" w:rsidRDefault="004068F3" w:rsidP="00646C7F">
            <w:pPr>
              <w:pStyle w:val="TableText0"/>
              <w:widowControl w:val="0"/>
              <w:jc w:val="center"/>
            </w:pPr>
            <w:r w:rsidRPr="00576299">
              <w:t>11.6</w:t>
            </w:r>
          </w:p>
        </w:tc>
        <w:tc>
          <w:tcPr>
            <w:tcW w:w="435" w:type="pct"/>
            <w:shd w:val="clear" w:color="auto" w:fill="auto"/>
            <w:vAlign w:val="center"/>
          </w:tcPr>
          <w:p w14:paraId="0CDC7952" w14:textId="77777777" w:rsidR="004068F3" w:rsidRPr="00576299" w:rsidRDefault="004068F3" w:rsidP="00646C7F">
            <w:pPr>
              <w:pStyle w:val="TableText0"/>
              <w:widowControl w:val="0"/>
              <w:jc w:val="center"/>
            </w:pPr>
            <w:r w:rsidRPr="00576299">
              <w:t>15.7</w:t>
            </w:r>
          </w:p>
        </w:tc>
        <w:tc>
          <w:tcPr>
            <w:tcW w:w="657" w:type="pct"/>
            <w:shd w:val="clear" w:color="auto" w:fill="B8CCE4" w:themeFill="accent1" w:themeFillTint="66"/>
            <w:vAlign w:val="center"/>
          </w:tcPr>
          <w:p w14:paraId="515F0763" w14:textId="77777777" w:rsidR="004068F3" w:rsidRPr="00576299" w:rsidRDefault="004068F3" w:rsidP="00646C7F">
            <w:pPr>
              <w:pStyle w:val="TableText0"/>
              <w:widowControl w:val="0"/>
              <w:jc w:val="center"/>
            </w:pPr>
            <w:r w:rsidRPr="00576299">
              <w:t>15.3</w:t>
            </w:r>
          </w:p>
        </w:tc>
        <w:tc>
          <w:tcPr>
            <w:tcW w:w="581" w:type="pct"/>
            <w:shd w:val="clear" w:color="auto" w:fill="B8CCE4" w:themeFill="accent1" w:themeFillTint="66"/>
            <w:vAlign w:val="center"/>
          </w:tcPr>
          <w:p w14:paraId="45AB44FF" w14:textId="77777777" w:rsidR="004068F3" w:rsidRPr="00576299" w:rsidRDefault="004068F3" w:rsidP="00646C7F">
            <w:pPr>
              <w:pStyle w:val="TableText0"/>
              <w:widowControl w:val="0"/>
              <w:jc w:val="center"/>
            </w:pPr>
            <w:r w:rsidRPr="00576299">
              <w:t>15.5</w:t>
            </w:r>
          </w:p>
        </w:tc>
        <w:tc>
          <w:tcPr>
            <w:tcW w:w="397" w:type="pct"/>
            <w:shd w:val="clear" w:color="auto" w:fill="B8CCE4" w:themeFill="accent1" w:themeFillTint="66"/>
            <w:vAlign w:val="center"/>
          </w:tcPr>
          <w:p w14:paraId="5682BC62" w14:textId="77777777" w:rsidR="004068F3" w:rsidRPr="00576299" w:rsidRDefault="004068F3" w:rsidP="00646C7F">
            <w:pPr>
              <w:pStyle w:val="TableText0"/>
              <w:widowControl w:val="0"/>
              <w:jc w:val="center"/>
            </w:pPr>
            <w:r w:rsidRPr="00576299">
              <w:t>8.0</w:t>
            </w:r>
          </w:p>
        </w:tc>
        <w:tc>
          <w:tcPr>
            <w:tcW w:w="606" w:type="pct"/>
            <w:shd w:val="clear" w:color="auto" w:fill="B8CCE4" w:themeFill="accent1" w:themeFillTint="66"/>
            <w:vAlign w:val="center"/>
          </w:tcPr>
          <w:p w14:paraId="7081DBF5" w14:textId="77777777" w:rsidR="004068F3" w:rsidRPr="00576299" w:rsidRDefault="004068F3" w:rsidP="00646C7F">
            <w:pPr>
              <w:pStyle w:val="TableText0"/>
              <w:widowControl w:val="0"/>
              <w:jc w:val="center"/>
            </w:pPr>
            <w:r w:rsidRPr="00576299">
              <w:t>6.3</w:t>
            </w:r>
          </w:p>
        </w:tc>
        <w:tc>
          <w:tcPr>
            <w:tcW w:w="793" w:type="pct"/>
            <w:shd w:val="clear" w:color="auto" w:fill="B8CCE4" w:themeFill="accent1" w:themeFillTint="66"/>
            <w:vAlign w:val="center"/>
          </w:tcPr>
          <w:p w14:paraId="40E03679" w14:textId="77777777" w:rsidR="004068F3" w:rsidRPr="00576299" w:rsidRDefault="004068F3" w:rsidP="00646C7F">
            <w:pPr>
              <w:pStyle w:val="TableText0"/>
              <w:widowControl w:val="0"/>
              <w:jc w:val="center"/>
            </w:pPr>
            <w:r w:rsidRPr="00576299">
              <w:t>NR</w:t>
            </w:r>
          </w:p>
        </w:tc>
      </w:tr>
      <w:tr w:rsidR="004068F3" w:rsidRPr="00576299" w14:paraId="6903BC63" w14:textId="77777777" w:rsidTr="004068F3">
        <w:trPr>
          <w:trHeight w:val="20"/>
        </w:trPr>
        <w:tc>
          <w:tcPr>
            <w:tcW w:w="980" w:type="pct"/>
            <w:shd w:val="clear" w:color="auto" w:fill="auto"/>
          </w:tcPr>
          <w:p w14:paraId="4E8BD051" w14:textId="3436F5F3" w:rsidR="004068F3" w:rsidRPr="00576299" w:rsidRDefault="004068F3" w:rsidP="00C16F53">
            <w:pPr>
              <w:pStyle w:val="TableText0"/>
              <w:widowControl w:val="0"/>
              <w:contextualSpacing/>
            </w:pPr>
            <w:r w:rsidRPr="00576299">
              <w:t>TRAEs, %</w:t>
            </w:r>
          </w:p>
        </w:tc>
        <w:tc>
          <w:tcPr>
            <w:tcW w:w="552" w:type="pct"/>
            <w:shd w:val="clear" w:color="auto" w:fill="B8CCE4" w:themeFill="accent1" w:themeFillTint="66"/>
            <w:vAlign w:val="center"/>
          </w:tcPr>
          <w:p w14:paraId="64C3A1F1" w14:textId="77777777" w:rsidR="004068F3" w:rsidRPr="00576299" w:rsidRDefault="004068F3" w:rsidP="00646C7F">
            <w:pPr>
              <w:pStyle w:val="TableText0"/>
              <w:widowControl w:val="0"/>
              <w:jc w:val="center"/>
            </w:pPr>
            <w:r w:rsidRPr="00576299">
              <w:t>63.6</w:t>
            </w:r>
          </w:p>
        </w:tc>
        <w:tc>
          <w:tcPr>
            <w:tcW w:w="435" w:type="pct"/>
            <w:shd w:val="clear" w:color="auto" w:fill="auto"/>
            <w:vAlign w:val="center"/>
          </w:tcPr>
          <w:p w14:paraId="402897AE" w14:textId="77777777" w:rsidR="004068F3" w:rsidRPr="00576299" w:rsidRDefault="004068F3" w:rsidP="00646C7F">
            <w:pPr>
              <w:pStyle w:val="TableText0"/>
              <w:widowControl w:val="0"/>
              <w:jc w:val="center"/>
            </w:pPr>
            <w:r w:rsidRPr="00576299">
              <w:t>70.6</w:t>
            </w:r>
          </w:p>
        </w:tc>
        <w:tc>
          <w:tcPr>
            <w:tcW w:w="657" w:type="pct"/>
            <w:shd w:val="clear" w:color="auto" w:fill="B8CCE4" w:themeFill="accent1" w:themeFillTint="66"/>
            <w:vAlign w:val="center"/>
          </w:tcPr>
          <w:p w14:paraId="41AE95E4" w14:textId="77777777" w:rsidR="004068F3" w:rsidRPr="00576299" w:rsidRDefault="004068F3" w:rsidP="00646C7F">
            <w:pPr>
              <w:pStyle w:val="TableText0"/>
              <w:widowControl w:val="0"/>
              <w:jc w:val="center"/>
            </w:pPr>
            <w:r w:rsidRPr="00576299">
              <w:t>NR</w:t>
            </w:r>
          </w:p>
        </w:tc>
        <w:tc>
          <w:tcPr>
            <w:tcW w:w="581" w:type="pct"/>
            <w:shd w:val="clear" w:color="auto" w:fill="B8CCE4" w:themeFill="accent1" w:themeFillTint="66"/>
            <w:vAlign w:val="center"/>
          </w:tcPr>
          <w:p w14:paraId="61B9310E" w14:textId="77777777" w:rsidR="004068F3" w:rsidRPr="00576299" w:rsidRDefault="004068F3" w:rsidP="00646C7F">
            <w:pPr>
              <w:pStyle w:val="TableText0"/>
              <w:widowControl w:val="0"/>
              <w:jc w:val="center"/>
            </w:pPr>
            <w:r w:rsidRPr="00576299">
              <w:t>90.0</w:t>
            </w:r>
          </w:p>
        </w:tc>
        <w:tc>
          <w:tcPr>
            <w:tcW w:w="397" w:type="pct"/>
            <w:shd w:val="clear" w:color="auto" w:fill="auto"/>
            <w:vAlign w:val="center"/>
          </w:tcPr>
          <w:p w14:paraId="189BCF23" w14:textId="77777777" w:rsidR="004068F3" w:rsidRPr="00576299" w:rsidRDefault="004068F3" w:rsidP="00646C7F">
            <w:pPr>
              <w:pStyle w:val="TableText0"/>
              <w:widowControl w:val="0"/>
              <w:jc w:val="center"/>
            </w:pPr>
            <w:r w:rsidRPr="00576299">
              <w:t>93.8</w:t>
            </w:r>
          </w:p>
        </w:tc>
        <w:tc>
          <w:tcPr>
            <w:tcW w:w="606" w:type="pct"/>
            <w:shd w:val="clear" w:color="auto" w:fill="auto"/>
            <w:vAlign w:val="center"/>
          </w:tcPr>
          <w:p w14:paraId="2C663E85" w14:textId="77777777" w:rsidR="004068F3" w:rsidRPr="00576299" w:rsidRDefault="004068F3" w:rsidP="00646C7F">
            <w:pPr>
              <w:pStyle w:val="TableText0"/>
              <w:widowControl w:val="0"/>
              <w:jc w:val="center"/>
            </w:pPr>
            <w:r w:rsidRPr="00576299">
              <w:t>88.9</w:t>
            </w:r>
          </w:p>
        </w:tc>
        <w:tc>
          <w:tcPr>
            <w:tcW w:w="793" w:type="pct"/>
            <w:shd w:val="clear" w:color="auto" w:fill="B8CCE4" w:themeFill="accent1" w:themeFillTint="66"/>
            <w:vAlign w:val="center"/>
          </w:tcPr>
          <w:p w14:paraId="69792EC2" w14:textId="77777777" w:rsidR="004068F3" w:rsidRPr="00576299" w:rsidRDefault="004068F3" w:rsidP="00646C7F">
            <w:pPr>
              <w:pStyle w:val="TableText0"/>
              <w:widowControl w:val="0"/>
              <w:jc w:val="center"/>
            </w:pPr>
            <w:r w:rsidRPr="00576299">
              <w:t>NR</w:t>
            </w:r>
          </w:p>
        </w:tc>
      </w:tr>
      <w:tr w:rsidR="004068F3" w:rsidRPr="00576299" w14:paraId="7318BF32" w14:textId="77777777" w:rsidTr="004068F3">
        <w:trPr>
          <w:trHeight w:val="20"/>
        </w:trPr>
        <w:tc>
          <w:tcPr>
            <w:tcW w:w="980" w:type="pct"/>
            <w:shd w:val="clear" w:color="auto" w:fill="auto"/>
          </w:tcPr>
          <w:p w14:paraId="4F5F2217" w14:textId="3B8642A5" w:rsidR="004068F3" w:rsidRPr="00576299" w:rsidRDefault="004068F3" w:rsidP="00C16F53">
            <w:pPr>
              <w:pStyle w:val="TableText0"/>
              <w:widowControl w:val="0"/>
              <w:contextualSpacing/>
            </w:pPr>
            <w:r w:rsidRPr="00576299">
              <w:t>Grade ≥3 TRAEs, %</w:t>
            </w:r>
          </w:p>
        </w:tc>
        <w:tc>
          <w:tcPr>
            <w:tcW w:w="552" w:type="pct"/>
            <w:shd w:val="clear" w:color="auto" w:fill="auto"/>
            <w:vAlign w:val="center"/>
          </w:tcPr>
          <w:p w14:paraId="0FABBD6D" w14:textId="77777777" w:rsidR="004068F3" w:rsidRPr="00576299" w:rsidRDefault="004068F3" w:rsidP="00646C7F">
            <w:pPr>
              <w:pStyle w:val="TableText0"/>
              <w:widowControl w:val="0"/>
              <w:jc w:val="center"/>
            </w:pPr>
            <w:r w:rsidRPr="00576299">
              <w:t>13.2</w:t>
            </w:r>
          </w:p>
        </w:tc>
        <w:tc>
          <w:tcPr>
            <w:tcW w:w="435" w:type="pct"/>
            <w:shd w:val="clear" w:color="auto" w:fill="auto"/>
            <w:vAlign w:val="center"/>
          </w:tcPr>
          <w:p w14:paraId="4A8EB5BF" w14:textId="77777777" w:rsidR="004068F3" w:rsidRPr="00576299" w:rsidRDefault="004068F3" w:rsidP="00646C7F">
            <w:pPr>
              <w:pStyle w:val="TableText0"/>
              <w:widowControl w:val="0"/>
              <w:jc w:val="center"/>
            </w:pPr>
            <w:r w:rsidRPr="00576299">
              <w:t>17.6</w:t>
            </w:r>
          </w:p>
        </w:tc>
        <w:tc>
          <w:tcPr>
            <w:tcW w:w="657" w:type="pct"/>
            <w:shd w:val="clear" w:color="auto" w:fill="auto"/>
            <w:vAlign w:val="center"/>
          </w:tcPr>
          <w:p w14:paraId="0FFDA970" w14:textId="77777777" w:rsidR="004068F3" w:rsidRPr="00576299" w:rsidRDefault="004068F3" w:rsidP="00646C7F">
            <w:pPr>
              <w:pStyle w:val="TableText0"/>
              <w:widowControl w:val="0"/>
              <w:jc w:val="center"/>
            </w:pPr>
            <w:r w:rsidRPr="00576299">
              <w:t>NR</w:t>
            </w:r>
          </w:p>
        </w:tc>
        <w:tc>
          <w:tcPr>
            <w:tcW w:w="581" w:type="pct"/>
            <w:shd w:val="clear" w:color="auto" w:fill="auto"/>
            <w:vAlign w:val="center"/>
          </w:tcPr>
          <w:p w14:paraId="1159E7E9" w14:textId="77777777" w:rsidR="004068F3" w:rsidRPr="00576299" w:rsidRDefault="004068F3" w:rsidP="00646C7F">
            <w:pPr>
              <w:pStyle w:val="TableText0"/>
              <w:widowControl w:val="0"/>
              <w:jc w:val="center"/>
            </w:pPr>
            <w:r w:rsidRPr="00576299">
              <w:t>NR</w:t>
            </w:r>
          </w:p>
        </w:tc>
        <w:tc>
          <w:tcPr>
            <w:tcW w:w="397" w:type="pct"/>
            <w:shd w:val="clear" w:color="auto" w:fill="auto"/>
            <w:vAlign w:val="center"/>
          </w:tcPr>
          <w:p w14:paraId="41228E4A" w14:textId="77777777" w:rsidR="004068F3" w:rsidRPr="00576299" w:rsidRDefault="004068F3" w:rsidP="00646C7F">
            <w:pPr>
              <w:pStyle w:val="TableText0"/>
              <w:widowControl w:val="0"/>
              <w:jc w:val="center"/>
            </w:pPr>
            <w:r w:rsidRPr="00576299">
              <w:t>59.0</w:t>
            </w:r>
          </w:p>
        </w:tc>
        <w:tc>
          <w:tcPr>
            <w:tcW w:w="606" w:type="pct"/>
            <w:shd w:val="clear" w:color="auto" w:fill="auto"/>
            <w:vAlign w:val="center"/>
          </w:tcPr>
          <w:p w14:paraId="65B99302" w14:textId="77777777" w:rsidR="004068F3" w:rsidRPr="00576299" w:rsidRDefault="004068F3" w:rsidP="00646C7F">
            <w:pPr>
              <w:pStyle w:val="TableText0"/>
              <w:widowControl w:val="0"/>
              <w:jc w:val="center"/>
            </w:pPr>
            <w:r w:rsidRPr="00576299">
              <w:t>57.1</w:t>
            </w:r>
          </w:p>
        </w:tc>
        <w:tc>
          <w:tcPr>
            <w:tcW w:w="793" w:type="pct"/>
            <w:shd w:val="clear" w:color="auto" w:fill="auto"/>
            <w:vAlign w:val="center"/>
          </w:tcPr>
          <w:p w14:paraId="1B49A3AC" w14:textId="77777777" w:rsidR="004068F3" w:rsidRPr="00576299" w:rsidRDefault="004068F3" w:rsidP="00646C7F">
            <w:pPr>
              <w:pStyle w:val="TableText0"/>
              <w:widowControl w:val="0"/>
              <w:jc w:val="center"/>
            </w:pPr>
            <w:r w:rsidRPr="00576299">
              <w:t>NR</w:t>
            </w:r>
          </w:p>
        </w:tc>
      </w:tr>
      <w:tr w:rsidR="004068F3" w:rsidRPr="00576299" w14:paraId="05E97F48" w14:textId="77777777" w:rsidTr="004068F3">
        <w:trPr>
          <w:trHeight w:val="20"/>
        </w:trPr>
        <w:tc>
          <w:tcPr>
            <w:tcW w:w="980" w:type="pct"/>
            <w:shd w:val="clear" w:color="auto" w:fill="auto"/>
          </w:tcPr>
          <w:p w14:paraId="176BC678" w14:textId="28B785D7" w:rsidR="004068F3" w:rsidRPr="00576299" w:rsidRDefault="004068F3" w:rsidP="00C16F53">
            <w:pPr>
              <w:pStyle w:val="TableText0"/>
              <w:widowControl w:val="0"/>
              <w:contextualSpacing/>
            </w:pPr>
            <w:r w:rsidRPr="00576299">
              <w:t>Serious TRAEs, %</w:t>
            </w:r>
          </w:p>
        </w:tc>
        <w:tc>
          <w:tcPr>
            <w:tcW w:w="552" w:type="pct"/>
            <w:shd w:val="clear" w:color="auto" w:fill="B8CCE4" w:themeFill="accent1" w:themeFillTint="66"/>
            <w:vAlign w:val="center"/>
          </w:tcPr>
          <w:p w14:paraId="1CA9B340" w14:textId="77777777" w:rsidR="004068F3" w:rsidRPr="00576299" w:rsidRDefault="004068F3" w:rsidP="00646C7F">
            <w:pPr>
              <w:pStyle w:val="TableText0"/>
              <w:widowControl w:val="0"/>
              <w:jc w:val="center"/>
            </w:pPr>
            <w:r w:rsidRPr="00576299">
              <w:t>9.3</w:t>
            </w:r>
          </w:p>
        </w:tc>
        <w:tc>
          <w:tcPr>
            <w:tcW w:w="435" w:type="pct"/>
            <w:shd w:val="clear" w:color="auto" w:fill="auto"/>
            <w:vAlign w:val="center"/>
          </w:tcPr>
          <w:p w14:paraId="354E66EE" w14:textId="77777777" w:rsidR="004068F3" w:rsidRPr="00576299" w:rsidRDefault="004068F3" w:rsidP="00646C7F">
            <w:pPr>
              <w:pStyle w:val="TableText0"/>
              <w:widowControl w:val="0"/>
              <w:jc w:val="center"/>
            </w:pPr>
            <w:r w:rsidRPr="00576299">
              <w:t>11.8</w:t>
            </w:r>
          </w:p>
        </w:tc>
        <w:tc>
          <w:tcPr>
            <w:tcW w:w="657" w:type="pct"/>
            <w:shd w:val="clear" w:color="auto" w:fill="B8CCE4" w:themeFill="accent1" w:themeFillTint="66"/>
            <w:vAlign w:val="center"/>
          </w:tcPr>
          <w:p w14:paraId="064618F9" w14:textId="77777777" w:rsidR="004068F3" w:rsidRPr="00576299" w:rsidRDefault="004068F3" w:rsidP="00646C7F">
            <w:pPr>
              <w:pStyle w:val="TableText0"/>
              <w:widowControl w:val="0"/>
              <w:jc w:val="center"/>
            </w:pPr>
            <w:r w:rsidRPr="00576299">
              <w:t>NR</w:t>
            </w:r>
          </w:p>
        </w:tc>
        <w:tc>
          <w:tcPr>
            <w:tcW w:w="581" w:type="pct"/>
            <w:shd w:val="clear" w:color="auto" w:fill="B8CCE4" w:themeFill="accent1" w:themeFillTint="66"/>
            <w:vAlign w:val="center"/>
          </w:tcPr>
          <w:p w14:paraId="4A38CD9E" w14:textId="77777777" w:rsidR="004068F3" w:rsidRPr="00576299" w:rsidRDefault="004068F3" w:rsidP="00646C7F">
            <w:pPr>
              <w:pStyle w:val="TableText0"/>
              <w:widowControl w:val="0"/>
              <w:jc w:val="center"/>
            </w:pPr>
            <w:r w:rsidRPr="00576299">
              <w:t>12.0</w:t>
            </w:r>
          </w:p>
        </w:tc>
        <w:tc>
          <w:tcPr>
            <w:tcW w:w="397" w:type="pct"/>
            <w:shd w:val="clear" w:color="auto" w:fill="auto"/>
            <w:vAlign w:val="center"/>
          </w:tcPr>
          <w:p w14:paraId="0034F2FB" w14:textId="77777777" w:rsidR="004068F3" w:rsidRPr="00576299" w:rsidRDefault="004068F3" w:rsidP="00646C7F">
            <w:pPr>
              <w:pStyle w:val="TableText0"/>
              <w:widowControl w:val="0"/>
              <w:jc w:val="center"/>
            </w:pPr>
            <w:r w:rsidRPr="00576299">
              <w:t>14.2</w:t>
            </w:r>
          </w:p>
        </w:tc>
        <w:tc>
          <w:tcPr>
            <w:tcW w:w="606" w:type="pct"/>
            <w:shd w:val="clear" w:color="auto" w:fill="auto"/>
            <w:vAlign w:val="center"/>
          </w:tcPr>
          <w:p w14:paraId="0A5A2CBA" w14:textId="77777777" w:rsidR="004068F3" w:rsidRPr="00576299" w:rsidRDefault="004068F3" w:rsidP="00646C7F">
            <w:pPr>
              <w:pStyle w:val="TableText0"/>
              <w:widowControl w:val="0"/>
              <w:jc w:val="center"/>
            </w:pPr>
            <w:r w:rsidRPr="00576299">
              <w:t>17.5</w:t>
            </w:r>
          </w:p>
        </w:tc>
        <w:tc>
          <w:tcPr>
            <w:tcW w:w="793" w:type="pct"/>
            <w:shd w:val="clear" w:color="auto" w:fill="B8CCE4" w:themeFill="accent1" w:themeFillTint="66"/>
            <w:vAlign w:val="center"/>
          </w:tcPr>
          <w:p w14:paraId="40728F1F" w14:textId="77777777" w:rsidR="004068F3" w:rsidRPr="00576299" w:rsidRDefault="004068F3" w:rsidP="00646C7F">
            <w:pPr>
              <w:pStyle w:val="TableText0"/>
              <w:widowControl w:val="0"/>
              <w:jc w:val="center"/>
            </w:pPr>
            <w:r w:rsidRPr="00576299">
              <w:t>NR</w:t>
            </w:r>
          </w:p>
        </w:tc>
      </w:tr>
      <w:tr w:rsidR="004068F3" w:rsidRPr="00576299" w14:paraId="27161EC8" w14:textId="77777777" w:rsidTr="004068F3">
        <w:trPr>
          <w:trHeight w:val="20"/>
        </w:trPr>
        <w:tc>
          <w:tcPr>
            <w:tcW w:w="980" w:type="pct"/>
            <w:shd w:val="clear" w:color="auto" w:fill="auto"/>
          </w:tcPr>
          <w:p w14:paraId="69C4AE57" w14:textId="2396510A" w:rsidR="004068F3" w:rsidRPr="00576299" w:rsidRDefault="004068F3" w:rsidP="00C16F53">
            <w:pPr>
              <w:pStyle w:val="TableText0"/>
              <w:widowControl w:val="0"/>
              <w:contextualSpacing/>
            </w:pPr>
            <w:r w:rsidRPr="00576299">
              <w:t>TRAEs resulting in treatment discontinuation, %</w:t>
            </w:r>
          </w:p>
        </w:tc>
        <w:tc>
          <w:tcPr>
            <w:tcW w:w="552" w:type="pct"/>
            <w:shd w:val="clear" w:color="auto" w:fill="auto"/>
            <w:vAlign w:val="center"/>
          </w:tcPr>
          <w:p w14:paraId="396140DC" w14:textId="77777777" w:rsidR="004068F3" w:rsidRPr="00576299" w:rsidRDefault="004068F3" w:rsidP="00646C7F">
            <w:pPr>
              <w:pStyle w:val="TableText0"/>
              <w:widowControl w:val="0"/>
              <w:jc w:val="center"/>
            </w:pPr>
            <w:r w:rsidRPr="00576299">
              <w:t>3.9</w:t>
            </w:r>
          </w:p>
        </w:tc>
        <w:tc>
          <w:tcPr>
            <w:tcW w:w="435" w:type="pct"/>
            <w:shd w:val="clear" w:color="auto" w:fill="auto"/>
            <w:vAlign w:val="center"/>
          </w:tcPr>
          <w:p w14:paraId="6301F80F" w14:textId="77777777" w:rsidR="004068F3" w:rsidRPr="00576299" w:rsidRDefault="004068F3" w:rsidP="00646C7F">
            <w:pPr>
              <w:pStyle w:val="TableText0"/>
              <w:widowControl w:val="0"/>
              <w:jc w:val="center"/>
            </w:pPr>
            <w:r w:rsidRPr="00576299">
              <w:t>8.5</w:t>
            </w:r>
          </w:p>
        </w:tc>
        <w:tc>
          <w:tcPr>
            <w:tcW w:w="657" w:type="pct"/>
            <w:shd w:val="clear" w:color="auto" w:fill="auto"/>
            <w:vAlign w:val="center"/>
          </w:tcPr>
          <w:p w14:paraId="68B6957B" w14:textId="77777777" w:rsidR="004068F3" w:rsidRPr="00576299" w:rsidRDefault="004068F3" w:rsidP="00646C7F">
            <w:pPr>
              <w:pStyle w:val="TableText0"/>
              <w:widowControl w:val="0"/>
              <w:jc w:val="center"/>
            </w:pPr>
            <w:r w:rsidRPr="00576299">
              <w:t>NR</w:t>
            </w:r>
          </w:p>
        </w:tc>
        <w:tc>
          <w:tcPr>
            <w:tcW w:w="581" w:type="pct"/>
            <w:shd w:val="clear" w:color="auto" w:fill="auto"/>
            <w:vAlign w:val="center"/>
          </w:tcPr>
          <w:p w14:paraId="3F9176DC" w14:textId="77777777" w:rsidR="004068F3" w:rsidRPr="00576299" w:rsidRDefault="004068F3" w:rsidP="00646C7F">
            <w:pPr>
              <w:pStyle w:val="TableText0"/>
              <w:widowControl w:val="0"/>
              <w:jc w:val="center"/>
            </w:pPr>
            <w:r w:rsidRPr="00576299">
              <w:t>NR</w:t>
            </w:r>
          </w:p>
        </w:tc>
        <w:tc>
          <w:tcPr>
            <w:tcW w:w="397" w:type="pct"/>
            <w:shd w:val="clear" w:color="auto" w:fill="auto"/>
            <w:vAlign w:val="center"/>
          </w:tcPr>
          <w:p w14:paraId="4A89B455" w14:textId="77777777" w:rsidR="004068F3" w:rsidRPr="00576299" w:rsidRDefault="004068F3" w:rsidP="00646C7F">
            <w:pPr>
              <w:pStyle w:val="TableText0"/>
              <w:widowControl w:val="0"/>
              <w:jc w:val="center"/>
            </w:pPr>
            <w:r w:rsidRPr="00576299">
              <w:t>5.7</w:t>
            </w:r>
          </w:p>
        </w:tc>
        <w:tc>
          <w:tcPr>
            <w:tcW w:w="606" w:type="pct"/>
            <w:shd w:val="clear" w:color="auto" w:fill="auto"/>
            <w:vAlign w:val="center"/>
          </w:tcPr>
          <w:p w14:paraId="1FD7F5A0" w14:textId="77777777" w:rsidR="004068F3" w:rsidRPr="00576299" w:rsidRDefault="004068F3" w:rsidP="00646C7F">
            <w:pPr>
              <w:pStyle w:val="TableText0"/>
              <w:widowControl w:val="0"/>
              <w:jc w:val="center"/>
            </w:pPr>
            <w:r w:rsidRPr="00576299">
              <w:t>3.2</w:t>
            </w:r>
          </w:p>
        </w:tc>
        <w:tc>
          <w:tcPr>
            <w:tcW w:w="793" w:type="pct"/>
            <w:shd w:val="clear" w:color="auto" w:fill="auto"/>
            <w:vAlign w:val="center"/>
          </w:tcPr>
          <w:p w14:paraId="3AF6BF4F" w14:textId="77777777" w:rsidR="004068F3" w:rsidRPr="00576299" w:rsidRDefault="004068F3" w:rsidP="00646C7F">
            <w:pPr>
              <w:pStyle w:val="TableText0"/>
              <w:widowControl w:val="0"/>
              <w:jc w:val="center"/>
            </w:pPr>
            <w:r w:rsidRPr="00576299">
              <w:t>NR</w:t>
            </w:r>
          </w:p>
        </w:tc>
      </w:tr>
      <w:tr w:rsidR="004068F3" w:rsidRPr="00576299" w14:paraId="307D6183" w14:textId="77777777" w:rsidTr="004068F3">
        <w:trPr>
          <w:trHeight w:val="20"/>
        </w:trPr>
        <w:tc>
          <w:tcPr>
            <w:tcW w:w="980" w:type="pct"/>
            <w:shd w:val="clear" w:color="auto" w:fill="auto"/>
          </w:tcPr>
          <w:p w14:paraId="16A79369" w14:textId="58AFAE7E" w:rsidR="004068F3" w:rsidRPr="00576299" w:rsidRDefault="004068F3" w:rsidP="00C16F53">
            <w:pPr>
              <w:pStyle w:val="TableText0"/>
              <w:widowControl w:val="0"/>
              <w:contextualSpacing/>
            </w:pPr>
            <w:r w:rsidRPr="00576299">
              <w:t>TRAEs resulting in death, %</w:t>
            </w:r>
          </w:p>
        </w:tc>
        <w:tc>
          <w:tcPr>
            <w:tcW w:w="552" w:type="pct"/>
            <w:shd w:val="clear" w:color="auto" w:fill="auto"/>
            <w:vAlign w:val="center"/>
          </w:tcPr>
          <w:p w14:paraId="35CED1D3" w14:textId="77777777" w:rsidR="004068F3" w:rsidRPr="00576299" w:rsidRDefault="004068F3" w:rsidP="00646C7F">
            <w:pPr>
              <w:pStyle w:val="TableText0"/>
              <w:widowControl w:val="0"/>
              <w:jc w:val="center"/>
            </w:pPr>
            <w:r w:rsidRPr="00576299">
              <w:t>0</w:t>
            </w:r>
          </w:p>
        </w:tc>
        <w:tc>
          <w:tcPr>
            <w:tcW w:w="435" w:type="pct"/>
            <w:shd w:val="clear" w:color="auto" w:fill="auto"/>
            <w:vAlign w:val="center"/>
          </w:tcPr>
          <w:p w14:paraId="5A546BB6" w14:textId="77777777" w:rsidR="004068F3" w:rsidRPr="00576299" w:rsidRDefault="004068F3" w:rsidP="00646C7F">
            <w:pPr>
              <w:pStyle w:val="TableText0"/>
              <w:widowControl w:val="0"/>
              <w:jc w:val="center"/>
            </w:pPr>
            <w:r w:rsidRPr="00576299">
              <w:t>0</w:t>
            </w:r>
          </w:p>
        </w:tc>
        <w:tc>
          <w:tcPr>
            <w:tcW w:w="657" w:type="pct"/>
            <w:shd w:val="clear" w:color="auto" w:fill="auto"/>
            <w:vAlign w:val="center"/>
          </w:tcPr>
          <w:p w14:paraId="00DC97BC" w14:textId="77777777" w:rsidR="004068F3" w:rsidRPr="00576299" w:rsidRDefault="004068F3" w:rsidP="00646C7F">
            <w:pPr>
              <w:pStyle w:val="TableText0"/>
              <w:widowControl w:val="0"/>
              <w:jc w:val="center"/>
            </w:pPr>
            <w:r w:rsidRPr="00576299">
              <w:t>NR</w:t>
            </w:r>
          </w:p>
        </w:tc>
        <w:tc>
          <w:tcPr>
            <w:tcW w:w="581" w:type="pct"/>
            <w:shd w:val="clear" w:color="auto" w:fill="auto"/>
            <w:vAlign w:val="center"/>
          </w:tcPr>
          <w:p w14:paraId="29B5A7E4" w14:textId="77777777" w:rsidR="004068F3" w:rsidRPr="00576299" w:rsidRDefault="004068F3" w:rsidP="00646C7F">
            <w:pPr>
              <w:pStyle w:val="TableText0"/>
              <w:widowControl w:val="0"/>
              <w:jc w:val="center"/>
            </w:pPr>
            <w:r w:rsidRPr="00576299">
              <w:t>NR</w:t>
            </w:r>
          </w:p>
        </w:tc>
        <w:tc>
          <w:tcPr>
            <w:tcW w:w="397" w:type="pct"/>
            <w:shd w:val="clear" w:color="auto" w:fill="auto"/>
            <w:vAlign w:val="center"/>
          </w:tcPr>
          <w:p w14:paraId="38F6B032" w14:textId="77777777" w:rsidR="004068F3" w:rsidRPr="00576299" w:rsidRDefault="004068F3" w:rsidP="00646C7F">
            <w:pPr>
              <w:pStyle w:val="TableText0"/>
              <w:widowControl w:val="0"/>
              <w:jc w:val="center"/>
            </w:pPr>
            <w:r w:rsidRPr="00576299">
              <w:t>2.1</w:t>
            </w:r>
          </w:p>
        </w:tc>
        <w:tc>
          <w:tcPr>
            <w:tcW w:w="606" w:type="pct"/>
            <w:shd w:val="clear" w:color="auto" w:fill="auto"/>
            <w:vAlign w:val="center"/>
          </w:tcPr>
          <w:p w14:paraId="6AD22F63" w14:textId="77777777" w:rsidR="004068F3" w:rsidRPr="00576299" w:rsidRDefault="004068F3" w:rsidP="00646C7F">
            <w:pPr>
              <w:pStyle w:val="TableText0"/>
              <w:widowControl w:val="0"/>
              <w:jc w:val="center"/>
            </w:pPr>
            <w:r w:rsidRPr="00576299">
              <w:t>3.2</w:t>
            </w:r>
          </w:p>
        </w:tc>
        <w:tc>
          <w:tcPr>
            <w:tcW w:w="793" w:type="pct"/>
            <w:shd w:val="clear" w:color="auto" w:fill="auto"/>
            <w:vAlign w:val="center"/>
          </w:tcPr>
          <w:p w14:paraId="1C70DA8F" w14:textId="77777777" w:rsidR="004068F3" w:rsidRPr="00576299" w:rsidRDefault="004068F3" w:rsidP="00646C7F">
            <w:pPr>
              <w:pStyle w:val="TableText0"/>
              <w:widowControl w:val="0"/>
              <w:jc w:val="center"/>
            </w:pPr>
            <w:r w:rsidRPr="00576299">
              <w:t>NR</w:t>
            </w:r>
          </w:p>
        </w:tc>
      </w:tr>
    </w:tbl>
    <w:p w14:paraId="6A7D544F" w14:textId="77777777" w:rsidR="00B9009B" w:rsidRPr="00576299" w:rsidRDefault="00B9009B" w:rsidP="00646C7F">
      <w:pPr>
        <w:pStyle w:val="TableFooter"/>
        <w:keepNext/>
        <w:widowControl w:val="0"/>
      </w:pPr>
      <w:r w:rsidRPr="00576299">
        <w:t>Source: Table 50, p133 of the resubmission, Table 17 of the GARNET CSR.</w:t>
      </w:r>
    </w:p>
    <w:p w14:paraId="72399089" w14:textId="36FE6F38" w:rsidR="00B9009B" w:rsidRPr="00576299" w:rsidRDefault="00325FAA" w:rsidP="00646C7F">
      <w:pPr>
        <w:pStyle w:val="TableFooter"/>
        <w:keepNext/>
        <w:widowControl w:val="0"/>
      </w:pPr>
      <w:r w:rsidRPr="00576299">
        <w:t xml:space="preserve">AE = adverse event; </w:t>
      </w:r>
      <w:r w:rsidR="00B9009B" w:rsidRPr="00576299">
        <w:t xml:space="preserve">FU = follow- up; </w:t>
      </w:r>
      <w:r w:rsidRPr="00576299">
        <w:t xml:space="preserve">ITT = intention-to-treat; </w:t>
      </w:r>
      <w:r w:rsidR="00B9009B" w:rsidRPr="00576299">
        <w:t>NR = not reported; TEAE = treatment-emergent adverse event</w:t>
      </w:r>
      <w:r w:rsidRPr="00576299">
        <w:t>; TRAE = treatment related adverse event.</w:t>
      </w:r>
    </w:p>
    <w:p w14:paraId="5512B5F5" w14:textId="77777777" w:rsidR="0092254A" w:rsidRPr="00576299" w:rsidRDefault="0092254A" w:rsidP="00646C7F">
      <w:pPr>
        <w:pStyle w:val="TableFooter"/>
        <w:keepNext/>
        <w:widowControl w:val="0"/>
      </w:pPr>
      <w:r w:rsidRPr="00576299">
        <w:t>a The anonymised ZoptEC IPD has been licensed to GSK from Aeterna Zentaris GmbH for indirect comparison purposes (unpublished data).</w:t>
      </w:r>
    </w:p>
    <w:p w14:paraId="49DB49E6" w14:textId="77777777" w:rsidR="0092254A" w:rsidRPr="00576299" w:rsidRDefault="0092254A" w:rsidP="00646C7F">
      <w:pPr>
        <w:pStyle w:val="TableFooter"/>
        <w:keepNext/>
        <w:widowControl w:val="0"/>
      </w:pPr>
      <w:r w:rsidRPr="00576299">
        <w:t>b Treatment-related AEs are not available from Scambia (2020).</w:t>
      </w:r>
    </w:p>
    <w:p w14:paraId="7E7E7331" w14:textId="77777777" w:rsidR="00B9009B" w:rsidRPr="00576299" w:rsidRDefault="0092254A" w:rsidP="00646C7F">
      <w:pPr>
        <w:pStyle w:val="TableFooter"/>
        <w:keepNext/>
        <w:widowControl w:val="0"/>
        <w:rPr>
          <w:rStyle w:val="CommentReference"/>
          <w:b w:val="0"/>
          <w:sz w:val="18"/>
          <w:szCs w:val="18"/>
        </w:rPr>
      </w:pPr>
      <w:r w:rsidRPr="00576299">
        <w:rPr>
          <w:rStyle w:val="CommentReference"/>
          <w:b w:val="0"/>
          <w:bCs/>
          <w:sz w:val="18"/>
          <w:szCs w:val="18"/>
        </w:rPr>
        <w:t>Note: Relative risk values were not presented for dostarlimab due to the number and variability of the trials and studies presented as comparators and in particular the lack of exchangeability arising from the use of single arms from different studies and trials (i.e. each treatment arm was effectively from a different single arm study).</w:t>
      </w:r>
      <w:r w:rsidR="00B9009B" w:rsidRPr="00576299">
        <w:rPr>
          <w:rStyle w:val="CommentReference"/>
          <w:b w:val="0"/>
          <w:sz w:val="18"/>
          <w:szCs w:val="18"/>
        </w:rPr>
        <w:t xml:space="preserve"> </w:t>
      </w:r>
    </w:p>
    <w:p w14:paraId="3A400FC8" w14:textId="3D555124" w:rsidR="0092254A" w:rsidRPr="00576299" w:rsidRDefault="00B9009B" w:rsidP="000E1DA3">
      <w:pPr>
        <w:pStyle w:val="TableFooter"/>
        <w:keepNext/>
        <w:widowControl w:val="0"/>
        <w:spacing w:after="120"/>
        <w:rPr>
          <w:rStyle w:val="CommentReference"/>
          <w:b w:val="0"/>
          <w:bCs/>
          <w:sz w:val="18"/>
          <w:szCs w:val="18"/>
        </w:rPr>
      </w:pPr>
      <w:r w:rsidRPr="00576299">
        <w:rPr>
          <w:rStyle w:val="CommentReference"/>
          <w:b w:val="0"/>
          <w:bCs/>
          <w:sz w:val="18"/>
          <w:szCs w:val="18"/>
        </w:rPr>
        <w:t>Blue shading indicates trials included in the previous dostarlimab submission.</w:t>
      </w:r>
    </w:p>
    <w:p w14:paraId="3C0E999B" w14:textId="008839E6" w:rsidR="0092254A" w:rsidRPr="00576299" w:rsidRDefault="008C1299" w:rsidP="0092254A">
      <w:pPr>
        <w:pStyle w:val="3-BodyText"/>
      </w:pPr>
      <w:r w:rsidRPr="00576299">
        <w:t>While</w:t>
      </w:r>
      <w:r w:rsidR="00C4338C" w:rsidRPr="00576299">
        <w:t xml:space="preserve"> noting limitations of the available safety data, </w:t>
      </w:r>
      <w:r w:rsidR="0092254A" w:rsidRPr="00576299">
        <w:t xml:space="preserve">the PBAC </w:t>
      </w:r>
      <w:r w:rsidR="00C4338C" w:rsidRPr="00576299">
        <w:t xml:space="preserve">previously </w:t>
      </w:r>
      <w:r w:rsidR="0092254A" w:rsidRPr="00576299">
        <w:t xml:space="preserve">considered that the claim of non-inferior comparative safety may be reasonable and that safety outcomes are likely to be different for dostarlimab compared with chemotherapy, </w:t>
      </w:r>
      <w:bookmarkStart w:id="44" w:name="_Hlk112764328"/>
      <w:r w:rsidR="0092254A" w:rsidRPr="00576299">
        <w:t xml:space="preserve">consistent with other PD-(L)1 inhibitors (paragraph 7.7, dostarlimab </w:t>
      </w:r>
      <w:r w:rsidR="008A7CB8" w:rsidRPr="00576299">
        <w:t>PSD</w:t>
      </w:r>
      <w:r w:rsidR="0092254A" w:rsidRPr="00576299">
        <w:t>, March 2022 PBAC meeting).</w:t>
      </w:r>
      <w:bookmarkEnd w:id="44"/>
    </w:p>
    <w:p w14:paraId="65518E98" w14:textId="3123F186" w:rsidR="00A151BB" w:rsidRPr="004654C2" w:rsidRDefault="00A151BB" w:rsidP="00A151BB">
      <w:pPr>
        <w:pStyle w:val="3-BodyText"/>
      </w:pPr>
      <w:bookmarkStart w:id="45" w:name="_Ref111507513"/>
      <w:r w:rsidRPr="004654C2">
        <w:t xml:space="preserve">The ESC noted that there was an increase in the proportion of patients with AEs and TRAEs with the increased exposure to dostarlimab between IA2 and IA3. The ESC considered that the incidence of AEs </w:t>
      </w:r>
      <w:r w:rsidR="00745D8B" w:rsidRPr="004654C2">
        <w:t xml:space="preserve">for dostarlimab </w:t>
      </w:r>
      <w:r w:rsidRPr="004654C2">
        <w:t xml:space="preserve">may continue to increase with more mature trial data. </w:t>
      </w:r>
    </w:p>
    <w:p w14:paraId="1727A0E9" w14:textId="77228E3E" w:rsidR="0092254A" w:rsidRPr="00576299" w:rsidRDefault="0092254A" w:rsidP="0092254A">
      <w:pPr>
        <w:pStyle w:val="3-BodyText"/>
      </w:pPr>
      <w:r w:rsidRPr="00576299">
        <w:lastRenderedPageBreak/>
        <w:t xml:space="preserve">A summary of safety outcomes reported across the included dostarlimab and pembrolizumab +/- lenvatinib trials and studies is presented in </w:t>
      </w:r>
      <w:r w:rsidRPr="00576299">
        <w:fldChar w:fldCharType="begin"/>
      </w:r>
      <w:r w:rsidRPr="00576299">
        <w:instrText xml:space="preserve"> REF _Ref111426376 \h </w:instrText>
      </w:r>
      <w:r w:rsidRPr="00576299">
        <w:fldChar w:fldCharType="separate"/>
      </w:r>
      <w:r w:rsidR="00CD09E9" w:rsidRPr="00576299">
        <w:t xml:space="preserve">Table </w:t>
      </w:r>
      <w:r w:rsidR="00CD09E9">
        <w:rPr>
          <w:noProof/>
        </w:rPr>
        <w:t>11</w:t>
      </w:r>
      <w:r w:rsidRPr="00576299">
        <w:fldChar w:fldCharType="end"/>
      </w:r>
      <w:r w:rsidRPr="00576299">
        <w:t>.</w:t>
      </w:r>
      <w:bookmarkEnd w:id="45"/>
      <w:r w:rsidRPr="00576299">
        <w:t xml:space="preserve"> </w:t>
      </w:r>
    </w:p>
    <w:p w14:paraId="6654B6B3" w14:textId="4ACB36FD" w:rsidR="0092254A" w:rsidRPr="00576299" w:rsidRDefault="0092254A" w:rsidP="0092254A">
      <w:pPr>
        <w:pStyle w:val="Caption"/>
      </w:pPr>
      <w:bookmarkStart w:id="46" w:name="_Ref111426376"/>
      <w:r w:rsidRPr="00576299">
        <w:t xml:space="preserve">Table </w:t>
      </w:r>
      <w:fldSimple w:instr=" SEQ Table \* ARABIC ">
        <w:r w:rsidR="00CD09E9">
          <w:rPr>
            <w:noProof/>
          </w:rPr>
          <w:t>11</w:t>
        </w:r>
      </w:fldSimple>
      <w:bookmarkEnd w:id="46"/>
      <w:r w:rsidRPr="00576299">
        <w:t>: Summary of safety from included dostarlimab and pembrolizumab +/- lenvatinib studies</w:t>
      </w: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851"/>
        <w:gridCol w:w="850"/>
        <w:gridCol w:w="784"/>
        <w:gridCol w:w="815"/>
        <w:gridCol w:w="1520"/>
      </w:tblGrid>
      <w:tr w:rsidR="006A58C5" w:rsidRPr="00576299" w14:paraId="6DF4DBF7" w14:textId="77777777" w:rsidTr="00C9717C">
        <w:trPr>
          <w:trHeight w:val="20"/>
          <w:tblHeader/>
        </w:trPr>
        <w:tc>
          <w:tcPr>
            <w:tcW w:w="2256" w:type="pct"/>
            <w:shd w:val="clear" w:color="auto" w:fill="auto"/>
          </w:tcPr>
          <w:p w14:paraId="5AF1E9BC" w14:textId="77777777" w:rsidR="006A58C5" w:rsidRPr="00576299" w:rsidRDefault="006A58C5" w:rsidP="00C068F2">
            <w:pPr>
              <w:pStyle w:val="In-tableHeading"/>
              <w:keepLines/>
              <w:widowControl w:val="0"/>
              <w:rPr>
                <w:lang w:val="en-AU"/>
              </w:rPr>
            </w:pPr>
            <w:r w:rsidRPr="00576299">
              <w:rPr>
                <w:lang w:val="en-AU"/>
              </w:rPr>
              <w:t>Intervention</w:t>
            </w:r>
          </w:p>
        </w:tc>
        <w:tc>
          <w:tcPr>
            <w:tcW w:w="968" w:type="pct"/>
            <w:gridSpan w:val="2"/>
            <w:shd w:val="clear" w:color="auto" w:fill="auto"/>
          </w:tcPr>
          <w:p w14:paraId="1688138C" w14:textId="29A0AFBB" w:rsidR="006A58C5" w:rsidRPr="00576299" w:rsidRDefault="006A58C5" w:rsidP="00C068F2">
            <w:pPr>
              <w:pStyle w:val="In-tableHeading"/>
              <w:keepLines/>
              <w:widowControl w:val="0"/>
              <w:jc w:val="center"/>
              <w:rPr>
                <w:lang w:val="en-AU"/>
              </w:rPr>
            </w:pPr>
            <w:r w:rsidRPr="00576299">
              <w:rPr>
                <w:lang w:val="en-AU"/>
              </w:rPr>
              <w:t>Dostarlimab</w:t>
            </w:r>
          </w:p>
        </w:tc>
        <w:tc>
          <w:tcPr>
            <w:tcW w:w="910" w:type="pct"/>
            <w:gridSpan w:val="2"/>
            <w:shd w:val="clear" w:color="auto" w:fill="auto"/>
          </w:tcPr>
          <w:p w14:paraId="6B672621" w14:textId="77777777" w:rsidR="006A58C5" w:rsidRPr="00576299" w:rsidRDefault="006A58C5" w:rsidP="00C068F2">
            <w:pPr>
              <w:pStyle w:val="In-tableHeading"/>
              <w:keepLines/>
              <w:widowControl w:val="0"/>
              <w:jc w:val="center"/>
              <w:rPr>
                <w:lang w:val="en-AU"/>
              </w:rPr>
            </w:pPr>
            <w:r w:rsidRPr="00576299">
              <w:rPr>
                <w:lang w:val="en-AU"/>
              </w:rPr>
              <w:t>PEM+LEN</w:t>
            </w:r>
          </w:p>
        </w:tc>
        <w:tc>
          <w:tcPr>
            <w:tcW w:w="865" w:type="pct"/>
            <w:shd w:val="clear" w:color="auto" w:fill="auto"/>
          </w:tcPr>
          <w:p w14:paraId="6F2EB579" w14:textId="77777777" w:rsidR="006A58C5" w:rsidRPr="00576299" w:rsidRDefault="006A58C5" w:rsidP="00C068F2">
            <w:pPr>
              <w:pStyle w:val="In-tableHeading"/>
              <w:keepLines/>
              <w:widowControl w:val="0"/>
              <w:jc w:val="center"/>
              <w:rPr>
                <w:lang w:val="en-AU"/>
              </w:rPr>
            </w:pPr>
            <w:r w:rsidRPr="00576299">
              <w:rPr>
                <w:lang w:val="en-AU"/>
              </w:rPr>
              <w:t>Pembrolizumab</w:t>
            </w:r>
          </w:p>
        </w:tc>
      </w:tr>
      <w:tr w:rsidR="00C9717C" w:rsidRPr="00576299" w14:paraId="38DA92B3" w14:textId="77777777" w:rsidTr="00C9717C">
        <w:trPr>
          <w:trHeight w:val="20"/>
        </w:trPr>
        <w:tc>
          <w:tcPr>
            <w:tcW w:w="2256" w:type="pct"/>
            <w:shd w:val="clear" w:color="auto" w:fill="auto"/>
            <w:vAlign w:val="center"/>
          </w:tcPr>
          <w:p w14:paraId="65A77A0E" w14:textId="77777777" w:rsidR="006A58C5" w:rsidRPr="00576299" w:rsidRDefault="006A58C5" w:rsidP="00C068F2">
            <w:pPr>
              <w:pStyle w:val="In-tableHeading"/>
              <w:keepLines/>
              <w:widowControl w:val="0"/>
              <w:rPr>
                <w:lang w:val="en-AU"/>
              </w:rPr>
            </w:pPr>
            <w:r w:rsidRPr="00576299">
              <w:rPr>
                <w:lang w:val="en-AU"/>
              </w:rPr>
              <w:t>Trial ID</w:t>
            </w:r>
          </w:p>
        </w:tc>
        <w:tc>
          <w:tcPr>
            <w:tcW w:w="968" w:type="pct"/>
            <w:gridSpan w:val="2"/>
            <w:shd w:val="clear" w:color="auto" w:fill="auto"/>
            <w:vAlign w:val="center"/>
          </w:tcPr>
          <w:p w14:paraId="65025781" w14:textId="77777777" w:rsidR="006A58C5" w:rsidRPr="00576299" w:rsidRDefault="006A58C5" w:rsidP="00C068F2">
            <w:pPr>
              <w:pStyle w:val="In-tableHeading"/>
              <w:keepLines/>
              <w:widowControl w:val="0"/>
              <w:jc w:val="center"/>
              <w:rPr>
                <w:lang w:val="en-AU"/>
              </w:rPr>
            </w:pPr>
            <w:r w:rsidRPr="00576299">
              <w:rPr>
                <w:lang w:val="en-AU"/>
              </w:rPr>
              <w:t>GARNET Cohort A1</w:t>
            </w:r>
          </w:p>
        </w:tc>
        <w:tc>
          <w:tcPr>
            <w:tcW w:w="910" w:type="pct"/>
            <w:gridSpan w:val="2"/>
            <w:shd w:val="clear" w:color="auto" w:fill="auto"/>
            <w:vAlign w:val="center"/>
          </w:tcPr>
          <w:p w14:paraId="338938D7" w14:textId="77777777" w:rsidR="006A58C5" w:rsidRPr="00576299" w:rsidRDefault="006A58C5" w:rsidP="00C068F2">
            <w:pPr>
              <w:pStyle w:val="In-tableHeading"/>
              <w:keepLines/>
              <w:widowControl w:val="0"/>
              <w:jc w:val="center"/>
              <w:rPr>
                <w:lang w:val="en-AU"/>
              </w:rPr>
            </w:pPr>
            <w:r w:rsidRPr="00576299">
              <w:rPr>
                <w:lang w:val="en-AU"/>
              </w:rPr>
              <w:t>KEYNOTE-775</w:t>
            </w:r>
          </w:p>
        </w:tc>
        <w:tc>
          <w:tcPr>
            <w:tcW w:w="865" w:type="pct"/>
            <w:shd w:val="clear" w:color="auto" w:fill="auto"/>
            <w:vAlign w:val="center"/>
          </w:tcPr>
          <w:p w14:paraId="32566E84" w14:textId="77777777" w:rsidR="006A58C5" w:rsidRPr="00576299" w:rsidRDefault="006A58C5" w:rsidP="00C068F2">
            <w:pPr>
              <w:pStyle w:val="In-tableHeading"/>
              <w:keepLines/>
              <w:widowControl w:val="0"/>
              <w:jc w:val="center"/>
              <w:rPr>
                <w:vertAlign w:val="superscript"/>
                <w:lang w:val="en-AU"/>
              </w:rPr>
            </w:pPr>
            <w:r w:rsidRPr="00576299">
              <w:rPr>
                <w:lang w:val="en-AU"/>
              </w:rPr>
              <w:t xml:space="preserve">KEYNOTE-158 </w:t>
            </w:r>
            <w:r w:rsidRPr="00576299">
              <w:rPr>
                <w:vertAlign w:val="superscript"/>
                <w:lang w:val="en-AU"/>
              </w:rPr>
              <w:t>a</w:t>
            </w:r>
          </w:p>
        </w:tc>
      </w:tr>
      <w:tr w:rsidR="006A58C5" w:rsidRPr="00576299" w14:paraId="04C9E00D" w14:textId="77777777" w:rsidTr="00C9717C">
        <w:trPr>
          <w:trHeight w:val="20"/>
        </w:trPr>
        <w:tc>
          <w:tcPr>
            <w:tcW w:w="2256" w:type="pct"/>
            <w:shd w:val="clear" w:color="auto" w:fill="auto"/>
            <w:vAlign w:val="center"/>
          </w:tcPr>
          <w:p w14:paraId="343AA137" w14:textId="77777777" w:rsidR="006A58C5" w:rsidRPr="00576299" w:rsidRDefault="006A58C5" w:rsidP="00C068F2">
            <w:pPr>
              <w:pStyle w:val="In-tableHeading"/>
              <w:keepLines/>
              <w:widowControl w:val="0"/>
              <w:rPr>
                <w:lang w:val="en-AU"/>
              </w:rPr>
            </w:pPr>
            <w:r w:rsidRPr="00576299">
              <w:rPr>
                <w:lang w:val="en-AU"/>
              </w:rPr>
              <w:t>Analysis set</w:t>
            </w:r>
          </w:p>
        </w:tc>
        <w:tc>
          <w:tcPr>
            <w:tcW w:w="484" w:type="pct"/>
            <w:shd w:val="clear" w:color="auto" w:fill="auto"/>
            <w:vAlign w:val="center"/>
          </w:tcPr>
          <w:p w14:paraId="484779B2" w14:textId="77777777" w:rsidR="006A58C5" w:rsidRPr="00576299" w:rsidRDefault="006A58C5" w:rsidP="00C068F2">
            <w:pPr>
              <w:pStyle w:val="In-tableHeading"/>
              <w:keepLines/>
              <w:widowControl w:val="0"/>
              <w:jc w:val="center"/>
              <w:rPr>
                <w:lang w:val="en-AU"/>
              </w:rPr>
            </w:pPr>
            <w:r w:rsidRPr="00576299">
              <w:rPr>
                <w:lang w:val="en-AU"/>
              </w:rPr>
              <w:t>Safety (IA2)</w:t>
            </w:r>
          </w:p>
        </w:tc>
        <w:tc>
          <w:tcPr>
            <w:tcW w:w="484" w:type="pct"/>
            <w:shd w:val="clear" w:color="auto" w:fill="auto"/>
            <w:vAlign w:val="center"/>
          </w:tcPr>
          <w:p w14:paraId="79147CC6" w14:textId="77777777" w:rsidR="006A58C5" w:rsidRPr="00576299" w:rsidRDefault="006A58C5" w:rsidP="00C068F2">
            <w:pPr>
              <w:pStyle w:val="In-tableHeading"/>
              <w:keepLines/>
              <w:widowControl w:val="0"/>
              <w:jc w:val="center"/>
              <w:rPr>
                <w:lang w:val="en-AU"/>
              </w:rPr>
            </w:pPr>
            <w:r w:rsidRPr="00576299">
              <w:rPr>
                <w:lang w:val="en-AU"/>
              </w:rPr>
              <w:t>Safety (IA3)</w:t>
            </w:r>
          </w:p>
        </w:tc>
        <w:tc>
          <w:tcPr>
            <w:tcW w:w="446" w:type="pct"/>
            <w:shd w:val="clear" w:color="auto" w:fill="auto"/>
            <w:vAlign w:val="center"/>
          </w:tcPr>
          <w:p w14:paraId="0303CA61" w14:textId="77777777" w:rsidR="006A58C5" w:rsidRPr="00576299" w:rsidRDefault="006A58C5" w:rsidP="00C068F2">
            <w:pPr>
              <w:pStyle w:val="In-tableHeading"/>
              <w:keepLines/>
              <w:widowControl w:val="0"/>
              <w:jc w:val="center"/>
              <w:rPr>
                <w:lang w:val="en-AU"/>
              </w:rPr>
            </w:pPr>
            <w:r w:rsidRPr="00576299">
              <w:rPr>
                <w:lang w:val="en-AU"/>
              </w:rPr>
              <w:t>Safety</w:t>
            </w:r>
          </w:p>
        </w:tc>
        <w:tc>
          <w:tcPr>
            <w:tcW w:w="464" w:type="pct"/>
            <w:shd w:val="clear" w:color="auto" w:fill="auto"/>
            <w:vAlign w:val="center"/>
          </w:tcPr>
          <w:p w14:paraId="4377A070" w14:textId="77777777" w:rsidR="006A58C5" w:rsidRPr="00576299" w:rsidRDefault="006A58C5" w:rsidP="00C068F2">
            <w:pPr>
              <w:pStyle w:val="In-tableHeading"/>
              <w:keepLines/>
              <w:widowControl w:val="0"/>
              <w:jc w:val="center"/>
              <w:rPr>
                <w:lang w:val="en-AU"/>
              </w:rPr>
            </w:pPr>
            <w:r w:rsidRPr="00576299">
              <w:rPr>
                <w:lang w:val="en-AU"/>
              </w:rPr>
              <w:t>dMMR</w:t>
            </w:r>
          </w:p>
        </w:tc>
        <w:tc>
          <w:tcPr>
            <w:tcW w:w="865" w:type="pct"/>
            <w:shd w:val="clear" w:color="auto" w:fill="auto"/>
            <w:vAlign w:val="center"/>
          </w:tcPr>
          <w:p w14:paraId="5F52C12E" w14:textId="77777777" w:rsidR="006A58C5" w:rsidRPr="00576299" w:rsidRDefault="006A58C5" w:rsidP="00C068F2">
            <w:pPr>
              <w:pStyle w:val="In-tableHeading"/>
              <w:keepLines/>
              <w:widowControl w:val="0"/>
              <w:jc w:val="center"/>
              <w:rPr>
                <w:lang w:val="en-AU"/>
              </w:rPr>
            </w:pPr>
            <w:r w:rsidRPr="00576299">
              <w:rPr>
                <w:lang w:val="en-AU"/>
              </w:rPr>
              <w:t>Safety</w:t>
            </w:r>
          </w:p>
        </w:tc>
      </w:tr>
      <w:tr w:rsidR="006A58C5" w:rsidRPr="00576299" w14:paraId="6253FC3F" w14:textId="77777777" w:rsidTr="00C9717C">
        <w:trPr>
          <w:trHeight w:val="20"/>
        </w:trPr>
        <w:tc>
          <w:tcPr>
            <w:tcW w:w="2256" w:type="pct"/>
            <w:shd w:val="clear" w:color="auto" w:fill="auto"/>
          </w:tcPr>
          <w:p w14:paraId="4FA4FA22" w14:textId="77777777" w:rsidR="006A58C5" w:rsidRPr="00576299" w:rsidRDefault="006A58C5" w:rsidP="00C068F2">
            <w:pPr>
              <w:pStyle w:val="TableText0"/>
              <w:keepLines/>
              <w:widowControl w:val="0"/>
            </w:pPr>
            <w:r w:rsidRPr="00576299">
              <w:t>Median FU, months</w:t>
            </w:r>
          </w:p>
        </w:tc>
        <w:tc>
          <w:tcPr>
            <w:tcW w:w="484" w:type="pct"/>
            <w:shd w:val="clear" w:color="auto" w:fill="auto"/>
            <w:vAlign w:val="center"/>
          </w:tcPr>
          <w:p w14:paraId="071CD906" w14:textId="77777777" w:rsidR="006A58C5" w:rsidRPr="00576299" w:rsidRDefault="006A58C5" w:rsidP="00C068F2">
            <w:pPr>
              <w:pStyle w:val="TableText0"/>
              <w:keepLines/>
              <w:widowControl w:val="0"/>
              <w:jc w:val="center"/>
            </w:pPr>
            <w:r w:rsidRPr="00576299">
              <w:t>12.5</w:t>
            </w:r>
          </w:p>
        </w:tc>
        <w:tc>
          <w:tcPr>
            <w:tcW w:w="484" w:type="pct"/>
            <w:shd w:val="clear" w:color="auto" w:fill="auto"/>
            <w:vAlign w:val="center"/>
          </w:tcPr>
          <w:p w14:paraId="78BE7984" w14:textId="77777777" w:rsidR="006A58C5" w:rsidRPr="00576299" w:rsidRDefault="006A58C5" w:rsidP="00C068F2">
            <w:pPr>
              <w:pStyle w:val="TableText0"/>
              <w:keepLines/>
              <w:widowControl w:val="0"/>
              <w:jc w:val="center"/>
            </w:pPr>
            <w:r w:rsidRPr="00576299">
              <w:t>27.6</w:t>
            </w:r>
          </w:p>
        </w:tc>
        <w:tc>
          <w:tcPr>
            <w:tcW w:w="446" w:type="pct"/>
            <w:shd w:val="clear" w:color="auto" w:fill="auto"/>
            <w:vAlign w:val="center"/>
          </w:tcPr>
          <w:p w14:paraId="08457101" w14:textId="77777777" w:rsidR="006A58C5" w:rsidRPr="00576299" w:rsidRDefault="006A58C5" w:rsidP="00C068F2">
            <w:pPr>
              <w:pStyle w:val="TableText0"/>
              <w:keepLines/>
              <w:widowControl w:val="0"/>
              <w:jc w:val="center"/>
            </w:pPr>
            <w:r w:rsidRPr="00576299">
              <w:t>12.2</w:t>
            </w:r>
          </w:p>
        </w:tc>
        <w:tc>
          <w:tcPr>
            <w:tcW w:w="464" w:type="pct"/>
            <w:shd w:val="clear" w:color="auto" w:fill="auto"/>
            <w:vAlign w:val="center"/>
          </w:tcPr>
          <w:p w14:paraId="6B0CF227" w14:textId="77777777" w:rsidR="006A58C5" w:rsidRPr="00576299" w:rsidRDefault="006A58C5" w:rsidP="00C068F2">
            <w:pPr>
              <w:pStyle w:val="TableText0"/>
              <w:keepLines/>
              <w:widowControl w:val="0"/>
              <w:jc w:val="center"/>
            </w:pPr>
            <w:r w:rsidRPr="00576299">
              <w:t>12.0</w:t>
            </w:r>
          </w:p>
        </w:tc>
        <w:tc>
          <w:tcPr>
            <w:tcW w:w="865" w:type="pct"/>
            <w:shd w:val="clear" w:color="auto" w:fill="auto"/>
            <w:vAlign w:val="center"/>
          </w:tcPr>
          <w:p w14:paraId="6AB2A43F" w14:textId="77777777" w:rsidR="006A58C5" w:rsidRPr="00576299" w:rsidRDefault="006A58C5" w:rsidP="00C068F2">
            <w:pPr>
              <w:pStyle w:val="TableText0"/>
              <w:keepLines/>
              <w:widowControl w:val="0"/>
              <w:jc w:val="center"/>
            </w:pPr>
            <w:r w:rsidRPr="00576299">
              <w:t>42.6</w:t>
            </w:r>
          </w:p>
        </w:tc>
      </w:tr>
      <w:tr w:rsidR="006A58C5" w:rsidRPr="00576299" w14:paraId="6628F643" w14:textId="77777777" w:rsidTr="00C9717C">
        <w:trPr>
          <w:trHeight w:val="20"/>
        </w:trPr>
        <w:tc>
          <w:tcPr>
            <w:tcW w:w="2256" w:type="pct"/>
            <w:shd w:val="clear" w:color="auto" w:fill="auto"/>
          </w:tcPr>
          <w:p w14:paraId="4B00E44A" w14:textId="77777777" w:rsidR="006A58C5" w:rsidRPr="00576299" w:rsidRDefault="006A58C5" w:rsidP="00C068F2">
            <w:pPr>
              <w:pStyle w:val="TableText0"/>
              <w:keepLines/>
              <w:widowControl w:val="0"/>
            </w:pPr>
            <w:r w:rsidRPr="00576299">
              <w:t>N</w:t>
            </w:r>
          </w:p>
        </w:tc>
        <w:tc>
          <w:tcPr>
            <w:tcW w:w="484" w:type="pct"/>
            <w:shd w:val="clear" w:color="auto" w:fill="B8CCE4" w:themeFill="accent1" w:themeFillTint="66"/>
            <w:vAlign w:val="center"/>
          </w:tcPr>
          <w:p w14:paraId="7C42B7D5" w14:textId="77777777" w:rsidR="006A58C5" w:rsidRPr="00576299" w:rsidRDefault="006A58C5" w:rsidP="00C068F2">
            <w:pPr>
              <w:pStyle w:val="TableText0"/>
              <w:keepLines/>
              <w:widowControl w:val="0"/>
              <w:jc w:val="center"/>
            </w:pPr>
            <w:r w:rsidRPr="00576299">
              <w:t>129</w:t>
            </w:r>
          </w:p>
        </w:tc>
        <w:tc>
          <w:tcPr>
            <w:tcW w:w="484" w:type="pct"/>
            <w:shd w:val="clear" w:color="auto" w:fill="auto"/>
            <w:vAlign w:val="center"/>
          </w:tcPr>
          <w:p w14:paraId="26935520" w14:textId="77777777" w:rsidR="006A58C5" w:rsidRPr="00576299" w:rsidRDefault="006A58C5" w:rsidP="00C068F2">
            <w:pPr>
              <w:pStyle w:val="TableText0"/>
              <w:keepLines/>
              <w:widowControl w:val="0"/>
              <w:jc w:val="center"/>
            </w:pPr>
            <w:r w:rsidRPr="00576299">
              <w:t>153</w:t>
            </w:r>
          </w:p>
        </w:tc>
        <w:tc>
          <w:tcPr>
            <w:tcW w:w="446" w:type="pct"/>
            <w:shd w:val="clear" w:color="auto" w:fill="auto"/>
            <w:vAlign w:val="center"/>
          </w:tcPr>
          <w:p w14:paraId="06667815" w14:textId="77777777" w:rsidR="006A58C5" w:rsidRPr="00576299" w:rsidRDefault="006A58C5" w:rsidP="00C068F2">
            <w:pPr>
              <w:pStyle w:val="TableText0"/>
              <w:keepLines/>
              <w:widowControl w:val="0"/>
              <w:jc w:val="center"/>
            </w:pPr>
            <w:r w:rsidRPr="00576299">
              <w:t>406</w:t>
            </w:r>
          </w:p>
        </w:tc>
        <w:tc>
          <w:tcPr>
            <w:tcW w:w="464" w:type="pct"/>
            <w:shd w:val="clear" w:color="auto" w:fill="auto"/>
            <w:vAlign w:val="center"/>
          </w:tcPr>
          <w:p w14:paraId="24197933" w14:textId="77777777" w:rsidR="006A58C5" w:rsidRPr="00576299" w:rsidRDefault="006A58C5" w:rsidP="00C068F2">
            <w:pPr>
              <w:pStyle w:val="TableText0"/>
              <w:keepLines/>
              <w:widowControl w:val="0"/>
              <w:jc w:val="center"/>
            </w:pPr>
            <w:r w:rsidRPr="00576299">
              <w:t>64</w:t>
            </w:r>
          </w:p>
        </w:tc>
        <w:tc>
          <w:tcPr>
            <w:tcW w:w="865" w:type="pct"/>
            <w:shd w:val="clear" w:color="auto" w:fill="auto"/>
            <w:vAlign w:val="center"/>
          </w:tcPr>
          <w:p w14:paraId="004B5C84" w14:textId="77777777" w:rsidR="006A58C5" w:rsidRPr="00576299" w:rsidRDefault="006A58C5" w:rsidP="00C068F2">
            <w:pPr>
              <w:pStyle w:val="TableText0"/>
              <w:keepLines/>
              <w:widowControl w:val="0"/>
              <w:jc w:val="center"/>
            </w:pPr>
            <w:r w:rsidRPr="00576299">
              <w:t>90</w:t>
            </w:r>
          </w:p>
        </w:tc>
      </w:tr>
      <w:tr w:rsidR="006A58C5" w:rsidRPr="00576299" w14:paraId="1FB0FA62" w14:textId="77777777" w:rsidTr="00C9717C">
        <w:trPr>
          <w:trHeight w:val="20"/>
        </w:trPr>
        <w:tc>
          <w:tcPr>
            <w:tcW w:w="2256" w:type="pct"/>
            <w:shd w:val="clear" w:color="auto" w:fill="auto"/>
          </w:tcPr>
          <w:p w14:paraId="4C7C5F07" w14:textId="77777777" w:rsidR="006A58C5" w:rsidRPr="00576299" w:rsidRDefault="006A58C5" w:rsidP="00C068F2">
            <w:pPr>
              <w:pStyle w:val="TableText0"/>
              <w:keepLines/>
              <w:widowControl w:val="0"/>
            </w:pPr>
            <w:r w:rsidRPr="00576299">
              <w:t>Any AEs, %</w:t>
            </w:r>
          </w:p>
        </w:tc>
        <w:tc>
          <w:tcPr>
            <w:tcW w:w="484" w:type="pct"/>
            <w:shd w:val="clear" w:color="auto" w:fill="B8CCE4" w:themeFill="accent1" w:themeFillTint="66"/>
            <w:vAlign w:val="center"/>
          </w:tcPr>
          <w:p w14:paraId="5A566CFA" w14:textId="77777777" w:rsidR="006A58C5" w:rsidRPr="00576299" w:rsidRDefault="006A58C5" w:rsidP="00C068F2">
            <w:pPr>
              <w:pStyle w:val="TableText0"/>
              <w:keepLines/>
              <w:widowControl w:val="0"/>
              <w:jc w:val="center"/>
            </w:pPr>
            <w:r w:rsidRPr="00576299">
              <w:t>95.3</w:t>
            </w:r>
          </w:p>
        </w:tc>
        <w:tc>
          <w:tcPr>
            <w:tcW w:w="484" w:type="pct"/>
            <w:shd w:val="clear" w:color="auto" w:fill="auto"/>
            <w:vAlign w:val="center"/>
          </w:tcPr>
          <w:p w14:paraId="409FA011" w14:textId="77777777" w:rsidR="006A58C5" w:rsidRPr="00576299" w:rsidRDefault="006A58C5" w:rsidP="00C068F2">
            <w:pPr>
              <w:pStyle w:val="TableText0"/>
              <w:keepLines/>
              <w:widowControl w:val="0"/>
              <w:jc w:val="center"/>
            </w:pPr>
            <w:r w:rsidRPr="00576299">
              <w:t>99.3</w:t>
            </w:r>
          </w:p>
        </w:tc>
        <w:tc>
          <w:tcPr>
            <w:tcW w:w="446" w:type="pct"/>
            <w:shd w:val="clear" w:color="auto" w:fill="D9D9D9" w:themeFill="background1" w:themeFillShade="D9"/>
            <w:vAlign w:val="center"/>
          </w:tcPr>
          <w:p w14:paraId="2E46E440" w14:textId="77777777" w:rsidR="006A58C5" w:rsidRPr="00576299" w:rsidRDefault="006A58C5" w:rsidP="00C068F2">
            <w:pPr>
              <w:pStyle w:val="TableText0"/>
              <w:keepLines/>
              <w:widowControl w:val="0"/>
              <w:jc w:val="center"/>
            </w:pPr>
            <w:r w:rsidRPr="00576299">
              <w:t>99.8</w:t>
            </w:r>
          </w:p>
        </w:tc>
        <w:tc>
          <w:tcPr>
            <w:tcW w:w="464" w:type="pct"/>
            <w:shd w:val="clear" w:color="auto" w:fill="auto"/>
            <w:vAlign w:val="center"/>
          </w:tcPr>
          <w:p w14:paraId="70AF276A" w14:textId="77777777" w:rsidR="006A58C5" w:rsidRPr="00576299" w:rsidRDefault="006A58C5" w:rsidP="00C068F2">
            <w:pPr>
              <w:pStyle w:val="TableText0"/>
              <w:keepLines/>
              <w:widowControl w:val="0"/>
              <w:jc w:val="center"/>
            </w:pPr>
            <w:r w:rsidRPr="00576299">
              <w:t>100.0</w:t>
            </w:r>
          </w:p>
        </w:tc>
        <w:tc>
          <w:tcPr>
            <w:tcW w:w="865" w:type="pct"/>
            <w:shd w:val="clear" w:color="auto" w:fill="auto"/>
            <w:vAlign w:val="center"/>
          </w:tcPr>
          <w:p w14:paraId="0A88083E" w14:textId="77777777" w:rsidR="006A58C5" w:rsidRPr="00576299" w:rsidRDefault="006A58C5" w:rsidP="00C068F2">
            <w:pPr>
              <w:pStyle w:val="TableText0"/>
              <w:keepLines/>
              <w:widowControl w:val="0"/>
              <w:jc w:val="center"/>
            </w:pPr>
            <w:r w:rsidRPr="00576299">
              <w:t>NR</w:t>
            </w:r>
          </w:p>
        </w:tc>
      </w:tr>
      <w:tr w:rsidR="006A58C5" w:rsidRPr="00576299" w14:paraId="539C6737" w14:textId="77777777" w:rsidTr="00C9717C">
        <w:trPr>
          <w:trHeight w:val="20"/>
        </w:trPr>
        <w:tc>
          <w:tcPr>
            <w:tcW w:w="2256" w:type="pct"/>
            <w:shd w:val="clear" w:color="auto" w:fill="auto"/>
          </w:tcPr>
          <w:p w14:paraId="63823C7E" w14:textId="77777777" w:rsidR="006A58C5" w:rsidRPr="00576299" w:rsidRDefault="006A58C5" w:rsidP="00C068F2">
            <w:pPr>
              <w:pStyle w:val="TableText0"/>
              <w:keepLines/>
              <w:widowControl w:val="0"/>
            </w:pPr>
            <w:r w:rsidRPr="00576299">
              <w:t>Grade ≥3 AEs, %</w:t>
            </w:r>
          </w:p>
        </w:tc>
        <w:tc>
          <w:tcPr>
            <w:tcW w:w="484" w:type="pct"/>
            <w:shd w:val="clear" w:color="auto" w:fill="B8CCE4" w:themeFill="accent1" w:themeFillTint="66"/>
            <w:vAlign w:val="center"/>
          </w:tcPr>
          <w:p w14:paraId="1657A523" w14:textId="77777777" w:rsidR="006A58C5" w:rsidRPr="00576299" w:rsidRDefault="006A58C5" w:rsidP="00C068F2">
            <w:pPr>
              <w:pStyle w:val="TableText0"/>
              <w:keepLines/>
              <w:widowControl w:val="0"/>
              <w:jc w:val="center"/>
            </w:pPr>
            <w:r w:rsidRPr="00576299">
              <w:t>48.1</w:t>
            </w:r>
          </w:p>
        </w:tc>
        <w:tc>
          <w:tcPr>
            <w:tcW w:w="484" w:type="pct"/>
            <w:shd w:val="clear" w:color="auto" w:fill="auto"/>
            <w:vAlign w:val="center"/>
          </w:tcPr>
          <w:p w14:paraId="3B66F0C1" w14:textId="77777777" w:rsidR="006A58C5" w:rsidRPr="00576299" w:rsidRDefault="006A58C5" w:rsidP="00C068F2">
            <w:pPr>
              <w:pStyle w:val="TableText0"/>
              <w:keepLines/>
              <w:widowControl w:val="0"/>
              <w:jc w:val="center"/>
            </w:pPr>
            <w:r w:rsidRPr="00576299">
              <w:t>56.9</w:t>
            </w:r>
          </w:p>
        </w:tc>
        <w:tc>
          <w:tcPr>
            <w:tcW w:w="446" w:type="pct"/>
            <w:shd w:val="clear" w:color="auto" w:fill="D9D9D9" w:themeFill="background1" w:themeFillShade="D9"/>
            <w:vAlign w:val="center"/>
          </w:tcPr>
          <w:p w14:paraId="5DAFF98E" w14:textId="77777777" w:rsidR="006A58C5" w:rsidRPr="00576299" w:rsidRDefault="006A58C5" w:rsidP="00C068F2">
            <w:pPr>
              <w:pStyle w:val="TableText0"/>
              <w:keepLines/>
              <w:widowControl w:val="0"/>
              <w:jc w:val="center"/>
            </w:pPr>
            <w:r w:rsidRPr="00576299">
              <w:t>88.9</w:t>
            </w:r>
          </w:p>
        </w:tc>
        <w:tc>
          <w:tcPr>
            <w:tcW w:w="464" w:type="pct"/>
            <w:shd w:val="clear" w:color="auto" w:fill="auto"/>
            <w:vAlign w:val="center"/>
          </w:tcPr>
          <w:p w14:paraId="4305A868" w14:textId="77777777" w:rsidR="006A58C5" w:rsidRPr="00576299" w:rsidRDefault="006A58C5" w:rsidP="00C068F2">
            <w:pPr>
              <w:pStyle w:val="TableText0"/>
              <w:keepLines/>
              <w:widowControl w:val="0"/>
              <w:jc w:val="center"/>
            </w:pPr>
            <w:r w:rsidRPr="00576299">
              <w:t>95.3</w:t>
            </w:r>
          </w:p>
        </w:tc>
        <w:tc>
          <w:tcPr>
            <w:tcW w:w="865" w:type="pct"/>
            <w:shd w:val="clear" w:color="auto" w:fill="auto"/>
            <w:vAlign w:val="center"/>
          </w:tcPr>
          <w:p w14:paraId="4B1A863B" w14:textId="77777777" w:rsidR="006A58C5" w:rsidRPr="00576299" w:rsidRDefault="006A58C5" w:rsidP="00C068F2">
            <w:pPr>
              <w:pStyle w:val="TableText0"/>
              <w:keepLines/>
              <w:widowControl w:val="0"/>
              <w:jc w:val="center"/>
            </w:pPr>
            <w:r w:rsidRPr="00576299">
              <w:t>NR</w:t>
            </w:r>
          </w:p>
        </w:tc>
      </w:tr>
      <w:tr w:rsidR="006A58C5" w:rsidRPr="00576299" w14:paraId="2392E605" w14:textId="77777777" w:rsidTr="00C9717C">
        <w:trPr>
          <w:trHeight w:val="20"/>
        </w:trPr>
        <w:tc>
          <w:tcPr>
            <w:tcW w:w="2256" w:type="pct"/>
            <w:shd w:val="clear" w:color="auto" w:fill="auto"/>
          </w:tcPr>
          <w:p w14:paraId="32308465" w14:textId="5879E5BF" w:rsidR="006A58C5" w:rsidRPr="00576299" w:rsidRDefault="006A58C5" w:rsidP="00C068F2">
            <w:pPr>
              <w:pStyle w:val="TableText0"/>
              <w:keepLines/>
              <w:widowControl w:val="0"/>
            </w:pPr>
            <w:r w:rsidRPr="00576299">
              <w:t>Serious AEs, %</w:t>
            </w:r>
          </w:p>
        </w:tc>
        <w:tc>
          <w:tcPr>
            <w:tcW w:w="484" w:type="pct"/>
            <w:shd w:val="clear" w:color="auto" w:fill="B8CCE4" w:themeFill="accent1" w:themeFillTint="66"/>
            <w:vAlign w:val="center"/>
          </w:tcPr>
          <w:p w14:paraId="0A53E140" w14:textId="77777777" w:rsidR="006A58C5" w:rsidRPr="00576299" w:rsidRDefault="006A58C5" w:rsidP="00C068F2">
            <w:pPr>
              <w:pStyle w:val="TableText0"/>
              <w:keepLines/>
              <w:widowControl w:val="0"/>
              <w:jc w:val="center"/>
            </w:pPr>
            <w:r w:rsidRPr="00576299">
              <w:t>34.1</w:t>
            </w:r>
          </w:p>
        </w:tc>
        <w:tc>
          <w:tcPr>
            <w:tcW w:w="484" w:type="pct"/>
            <w:shd w:val="clear" w:color="auto" w:fill="auto"/>
            <w:vAlign w:val="center"/>
          </w:tcPr>
          <w:p w14:paraId="4EF4FD76" w14:textId="77777777" w:rsidR="006A58C5" w:rsidRPr="00576299" w:rsidRDefault="006A58C5" w:rsidP="00C068F2">
            <w:pPr>
              <w:pStyle w:val="TableText0"/>
              <w:keepLines/>
              <w:widowControl w:val="0"/>
              <w:jc w:val="center"/>
            </w:pPr>
            <w:r w:rsidRPr="00576299">
              <w:t>37.9</w:t>
            </w:r>
          </w:p>
        </w:tc>
        <w:tc>
          <w:tcPr>
            <w:tcW w:w="446" w:type="pct"/>
            <w:shd w:val="clear" w:color="auto" w:fill="auto"/>
            <w:vAlign w:val="center"/>
          </w:tcPr>
          <w:p w14:paraId="1D0344E5" w14:textId="77777777" w:rsidR="006A58C5" w:rsidRPr="00576299" w:rsidRDefault="006A58C5" w:rsidP="00C068F2">
            <w:pPr>
              <w:pStyle w:val="TableText0"/>
              <w:keepLines/>
              <w:widowControl w:val="0"/>
              <w:jc w:val="center"/>
            </w:pPr>
            <w:r w:rsidRPr="00576299">
              <w:t>52.7</w:t>
            </w:r>
          </w:p>
        </w:tc>
        <w:tc>
          <w:tcPr>
            <w:tcW w:w="464" w:type="pct"/>
            <w:shd w:val="clear" w:color="auto" w:fill="auto"/>
            <w:vAlign w:val="center"/>
          </w:tcPr>
          <w:p w14:paraId="2176C675" w14:textId="77777777" w:rsidR="006A58C5" w:rsidRPr="00576299" w:rsidRDefault="006A58C5" w:rsidP="00C068F2">
            <w:pPr>
              <w:pStyle w:val="TableText0"/>
              <w:keepLines/>
              <w:widowControl w:val="0"/>
              <w:jc w:val="center"/>
            </w:pPr>
            <w:r w:rsidRPr="00576299">
              <w:t>68.8</w:t>
            </w:r>
          </w:p>
        </w:tc>
        <w:tc>
          <w:tcPr>
            <w:tcW w:w="865" w:type="pct"/>
            <w:shd w:val="clear" w:color="auto" w:fill="auto"/>
            <w:vAlign w:val="center"/>
          </w:tcPr>
          <w:p w14:paraId="64A831FF" w14:textId="77777777" w:rsidR="006A58C5" w:rsidRPr="00576299" w:rsidRDefault="006A58C5" w:rsidP="00C068F2">
            <w:pPr>
              <w:pStyle w:val="TableText0"/>
              <w:keepLines/>
              <w:widowControl w:val="0"/>
              <w:jc w:val="center"/>
            </w:pPr>
            <w:r w:rsidRPr="00576299">
              <w:t>NR</w:t>
            </w:r>
          </w:p>
        </w:tc>
      </w:tr>
      <w:tr w:rsidR="006A58C5" w:rsidRPr="00576299" w14:paraId="038AEFFF" w14:textId="77777777" w:rsidTr="00C9717C">
        <w:trPr>
          <w:trHeight w:val="20"/>
        </w:trPr>
        <w:tc>
          <w:tcPr>
            <w:tcW w:w="2256" w:type="pct"/>
            <w:shd w:val="clear" w:color="auto" w:fill="auto"/>
          </w:tcPr>
          <w:p w14:paraId="558F143F" w14:textId="77777777" w:rsidR="006A58C5" w:rsidRPr="00576299" w:rsidRDefault="006A58C5" w:rsidP="00C068F2">
            <w:pPr>
              <w:pStyle w:val="TableText0"/>
              <w:keepLines/>
              <w:widowControl w:val="0"/>
            </w:pPr>
            <w:r w:rsidRPr="00576299">
              <w:t>AEs resulting in treatment discontinuation, %</w:t>
            </w:r>
          </w:p>
        </w:tc>
        <w:tc>
          <w:tcPr>
            <w:tcW w:w="484" w:type="pct"/>
            <w:shd w:val="clear" w:color="auto" w:fill="B8CCE4" w:themeFill="accent1" w:themeFillTint="66"/>
            <w:vAlign w:val="center"/>
          </w:tcPr>
          <w:p w14:paraId="6D08AB32" w14:textId="77777777" w:rsidR="006A58C5" w:rsidRPr="00576299" w:rsidRDefault="006A58C5" w:rsidP="00C068F2">
            <w:pPr>
              <w:pStyle w:val="TableText0"/>
              <w:keepLines/>
              <w:widowControl w:val="0"/>
              <w:jc w:val="center"/>
            </w:pPr>
            <w:r w:rsidRPr="00576299">
              <w:t>11.6</w:t>
            </w:r>
          </w:p>
        </w:tc>
        <w:tc>
          <w:tcPr>
            <w:tcW w:w="484" w:type="pct"/>
            <w:shd w:val="clear" w:color="auto" w:fill="auto"/>
            <w:vAlign w:val="center"/>
          </w:tcPr>
          <w:p w14:paraId="009C961A" w14:textId="77777777" w:rsidR="006A58C5" w:rsidRPr="00576299" w:rsidRDefault="006A58C5" w:rsidP="00C068F2">
            <w:pPr>
              <w:pStyle w:val="TableText0"/>
              <w:keepLines/>
              <w:widowControl w:val="0"/>
              <w:jc w:val="center"/>
            </w:pPr>
            <w:r w:rsidRPr="00576299">
              <w:t>15.7</w:t>
            </w:r>
          </w:p>
        </w:tc>
        <w:tc>
          <w:tcPr>
            <w:tcW w:w="446" w:type="pct"/>
            <w:shd w:val="clear" w:color="auto" w:fill="D9D9D9" w:themeFill="background1" w:themeFillShade="D9"/>
            <w:vAlign w:val="center"/>
          </w:tcPr>
          <w:p w14:paraId="67742206" w14:textId="77777777" w:rsidR="006A58C5" w:rsidRPr="00576299" w:rsidRDefault="006A58C5" w:rsidP="00C068F2">
            <w:pPr>
              <w:pStyle w:val="TableText0"/>
              <w:keepLines/>
              <w:widowControl w:val="0"/>
              <w:jc w:val="center"/>
            </w:pPr>
            <w:r w:rsidRPr="00576299">
              <w:t>33.0</w:t>
            </w:r>
          </w:p>
        </w:tc>
        <w:tc>
          <w:tcPr>
            <w:tcW w:w="464" w:type="pct"/>
            <w:shd w:val="clear" w:color="auto" w:fill="auto"/>
            <w:vAlign w:val="center"/>
          </w:tcPr>
          <w:p w14:paraId="6D4A3A0C" w14:textId="77777777" w:rsidR="006A58C5" w:rsidRPr="00576299" w:rsidRDefault="006A58C5" w:rsidP="00C068F2">
            <w:pPr>
              <w:pStyle w:val="TableText0"/>
              <w:keepLines/>
              <w:widowControl w:val="0"/>
              <w:jc w:val="center"/>
            </w:pPr>
            <w:r w:rsidRPr="00576299">
              <w:t>43.8</w:t>
            </w:r>
          </w:p>
        </w:tc>
        <w:tc>
          <w:tcPr>
            <w:tcW w:w="865" w:type="pct"/>
            <w:shd w:val="clear" w:color="auto" w:fill="auto"/>
            <w:vAlign w:val="center"/>
          </w:tcPr>
          <w:p w14:paraId="53A1DC3D" w14:textId="77777777" w:rsidR="006A58C5" w:rsidRPr="00576299" w:rsidRDefault="006A58C5" w:rsidP="00C068F2">
            <w:pPr>
              <w:pStyle w:val="TableText0"/>
              <w:keepLines/>
              <w:widowControl w:val="0"/>
              <w:jc w:val="center"/>
            </w:pPr>
            <w:r w:rsidRPr="00576299">
              <w:t>NR</w:t>
            </w:r>
          </w:p>
        </w:tc>
      </w:tr>
      <w:tr w:rsidR="006A58C5" w:rsidRPr="00576299" w14:paraId="54DFBE40" w14:textId="77777777" w:rsidTr="00C9717C">
        <w:trPr>
          <w:trHeight w:val="20"/>
        </w:trPr>
        <w:tc>
          <w:tcPr>
            <w:tcW w:w="2256" w:type="pct"/>
            <w:tcBorders>
              <w:top w:val="single" w:sz="4" w:space="0" w:color="auto"/>
              <w:bottom w:val="single" w:sz="4" w:space="0" w:color="auto"/>
            </w:tcBorders>
            <w:shd w:val="clear" w:color="auto" w:fill="auto"/>
          </w:tcPr>
          <w:p w14:paraId="0425C954" w14:textId="33BAA2E7" w:rsidR="006A58C5" w:rsidRPr="00576299" w:rsidRDefault="006A58C5" w:rsidP="00C068F2">
            <w:pPr>
              <w:pStyle w:val="TableText0"/>
              <w:keepLines/>
              <w:widowControl w:val="0"/>
            </w:pPr>
            <w:r w:rsidRPr="00576299">
              <w:t>TRAEs, %</w:t>
            </w:r>
          </w:p>
        </w:tc>
        <w:tc>
          <w:tcPr>
            <w:tcW w:w="484" w:type="pct"/>
            <w:tcBorders>
              <w:top w:val="single" w:sz="4" w:space="0" w:color="auto"/>
              <w:bottom w:val="single" w:sz="4" w:space="0" w:color="auto"/>
            </w:tcBorders>
            <w:shd w:val="clear" w:color="auto" w:fill="B8CCE4" w:themeFill="accent1" w:themeFillTint="66"/>
            <w:vAlign w:val="center"/>
          </w:tcPr>
          <w:p w14:paraId="38A95E21" w14:textId="77777777" w:rsidR="006A58C5" w:rsidRPr="00576299" w:rsidRDefault="006A58C5" w:rsidP="00C068F2">
            <w:pPr>
              <w:pStyle w:val="TableText0"/>
              <w:keepLines/>
              <w:widowControl w:val="0"/>
              <w:jc w:val="center"/>
            </w:pPr>
            <w:r w:rsidRPr="00576299">
              <w:t>63.6</w:t>
            </w:r>
          </w:p>
        </w:tc>
        <w:tc>
          <w:tcPr>
            <w:tcW w:w="484" w:type="pct"/>
            <w:tcBorders>
              <w:top w:val="single" w:sz="4" w:space="0" w:color="auto"/>
              <w:bottom w:val="single" w:sz="4" w:space="0" w:color="auto"/>
            </w:tcBorders>
            <w:shd w:val="clear" w:color="auto" w:fill="auto"/>
            <w:vAlign w:val="center"/>
          </w:tcPr>
          <w:p w14:paraId="548CDDD2" w14:textId="77777777" w:rsidR="006A58C5" w:rsidRPr="00576299" w:rsidRDefault="006A58C5" w:rsidP="00C068F2">
            <w:pPr>
              <w:pStyle w:val="TableText0"/>
              <w:keepLines/>
              <w:widowControl w:val="0"/>
              <w:jc w:val="center"/>
            </w:pPr>
            <w:r w:rsidRPr="00576299">
              <w:t>70.6</w:t>
            </w:r>
          </w:p>
        </w:tc>
        <w:tc>
          <w:tcPr>
            <w:tcW w:w="446" w:type="pct"/>
            <w:tcBorders>
              <w:top w:val="single" w:sz="4" w:space="0" w:color="auto"/>
              <w:bottom w:val="single" w:sz="4" w:space="0" w:color="auto"/>
            </w:tcBorders>
            <w:shd w:val="clear" w:color="auto" w:fill="D9D9D9" w:themeFill="background1" w:themeFillShade="D9"/>
            <w:vAlign w:val="center"/>
          </w:tcPr>
          <w:p w14:paraId="54C37F85" w14:textId="77777777" w:rsidR="006A58C5" w:rsidRPr="00576299" w:rsidRDefault="006A58C5" w:rsidP="00C068F2">
            <w:pPr>
              <w:pStyle w:val="TableText0"/>
              <w:keepLines/>
              <w:widowControl w:val="0"/>
              <w:jc w:val="center"/>
            </w:pPr>
            <w:r w:rsidRPr="00576299">
              <w:t>97.3</w:t>
            </w:r>
          </w:p>
        </w:tc>
        <w:tc>
          <w:tcPr>
            <w:tcW w:w="464" w:type="pct"/>
            <w:tcBorders>
              <w:top w:val="single" w:sz="4" w:space="0" w:color="auto"/>
              <w:bottom w:val="single" w:sz="4" w:space="0" w:color="auto"/>
            </w:tcBorders>
            <w:shd w:val="clear" w:color="auto" w:fill="auto"/>
            <w:vAlign w:val="center"/>
          </w:tcPr>
          <w:p w14:paraId="6AFFEE9A" w14:textId="77777777" w:rsidR="006A58C5" w:rsidRPr="00576299" w:rsidRDefault="006A58C5" w:rsidP="00C068F2">
            <w:pPr>
              <w:pStyle w:val="TableText0"/>
              <w:keepLines/>
              <w:widowControl w:val="0"/>
              <w:jc w:val="center"/>
            </w:pPr>
            <w:r w:rsidRPr="00576299">
              <w:t>96.9</w:t>
            </w:r>
          </w:p>
        </w:tc>
        <w:tc>
          <w:tcPr>
            <w:tcW w:w="865" w:type="pct"/>
            <w:tcBorders>
              <w:top w:val="single" w:sz="4" w:space="0" w:color="auto"/>
              <w:bottom w:val="single" w:sz="4" w:space="0" w:color="auto"/>
            </w:tcBorders>
            <w:shd w:val="clear" w:color="auto" w:fill="D9D9D9" w:themeFill="background1" w:themeFillShade="D9"/>
            <w:vAlign w:val="center"/>
          </w:tcPr>
          <w:p w14:paraId="77716940" w14:textId="77777777" w:rsidR="006A58C5" w:rsidRPr="00576299" w:rsidRDefault="006A58C5" w:rsidP="00C068F2">
            <w:pPr>
              <w:pStyle w:val="TableText0"/>
              <w:keepLines/>
              <w:widowControl w:val="0"/>
              <w:jc w:val="center"/>
            </w:pPr>
            <w:r w:rsidRPr="00576299">
              <w:t>75.6</w:t>
            </w:r>
          </w:p>
        </w:tc>
      </w:tr>
      <w:tr w:rsidR="006A58C5" w:rsidRPr="00576299" w14:paraId="39DB6173" w14:textId="77777777" w:rsidTr="00C9717C">
        <w:trPr>
          <w:trHeight w:val="20"/>
        </w:trPr>
        <w:tc>
          <w:tcPr>
            <w:tcW w:w="2256" w:type="pct"/>
            <w:tcBorders>
              <w:top w:val="single" w:sz="4" w:space="0" w:color="auto"/>
              <w:bottom w:val="single" w:sz="4" w:space="0" w:color="auto"/>
            </w:tcBorders>
            <w:shd w:val="clear" w:color="auto" w:fill="auto"/>
          </w:tcPr>
          <w:p w14:paraId="26927CC9" w14:textId="1A08483E" w:rsidR="006A58C5" w:rsidRPr="00576299" w:rsidRDefault="006A58C5" w:rsidP="00C068F2">
            <w:pPr>
              <w:pStyle w:val="TableText0"/>
              <w:keepLines/>
              <w:widowControl w:val="0"/>
            </w:pPr>
            <w:r w:rsidRPr="00576299">
              <w:t>Grade ≥3 TRAEs, %</w:t>
            </w:r>
          </w:p>
        </w:tc>
        <w:tc>
          <w:tcPr>
            <w:tcW w:w="484" w:type="pct"/>
            <w:tcBorders>
              <w:top w:val="single" w:sz="4" w:space="0" w:color="auto"/>
              <w:bottom w:val="single" w:sz="4" w:space="0" w:color="auto"/>
            </w:tcBorders>
            <w:shd w:val="clear" w:color="auto" w:fill="auto"/>
            <w:vAlign w:val="center"/>
          </w:tcPr>
          <w:p w14:paraId="5CC9F532" w14:textId="77777777" w:rsidR="006A58C5" w:rsidRPr="00576299" w:rsidRDefault="006A58C5" w:rsidP="00C068F2">
            <w:pPr>
              <w:pStyle w:val="TableText0"/>
              <w:keepLines/>
              <w:widowControl w:val="0"/>
              <w:jc w:val="center"/>
            </w:pPr>
            <w:r w:rsidRPr="00576299">
              <w:t>13.2</w:t>
            </w:r>
          </w:p>
        </w:tc>
        <w:tc>
          <w:tcPr>
            <w:tcW w:w="484" w:type="pct"/>
            <w:tcBorders>
              <w:top w:val="single" w:sz="4" w:space="0" w:color="auto"/>
              <w:bottom w:val="single" w:sz="4" w:space="0" w:color="auto"/>
            </w:tcBorders>
            <w:shd w:val="clear" w:color="auto" w:fill="auto"/>
            <w:vAlign w:val="center"/>
          </w:tcPr>
          <w:p w14:paraId="4AD0789F" w14:textId="77777777" w:rsidR="006A58C5" w:rsidRPr="00576299" w:rsidRDefault="006A58C5" w:rsidP="00C068F2">
            <w:pPr>
              <w:pStyle w:val="TableText0"/>
              <w:keepLines/>
              <w:widowControl w:val="0"/>
              <w:jc w:val="center"/>
            </w:pPr>
            <w:r w:rsidRPr="00576299">
              <w:t>17.6</w:t>
            </w:r>
          </w:p>
        </w:tc>
        <w:tc>
          <w:tcPr>
            <w:tcW w:w="446" w:type="pct"/>
            <w:tcBorders>
              <w:top w:val="single" w:sz="4" w:space="0" w:color="auto"/>
              <w:bottom w:val="single" w:sz="4" w:space="0" w:color="auto"/>
            </w:tcBorders>
            <w:shd w:val="clear" w:color="auto" w:fill="D9D9D9" w:themeFill="background1" w:themeFillShade="D9"/>
            <w:vAlign w:val="center"/>
          </w:tcPr>
          <w:p w14:paraId="19F1B985" w14:textId="77777777" w:rsidR="006A58C5" w:rsidRPr="00576299" w:rsidRDefault="006A58C5" w:rsidP="00C068F2">
            <w:pPr>
              <w:pStyle w:val="TableText0"/>
              <w:keepLines/>
              <w:widowControl w:val="0"/>
              <w:jc w:val="center"/>
            </w:pPr>
            <w:r w:rsidRPr="00576299">
              <w:t>77.8</w:t>
            </w:r>
          </w:p>
        </w:tc>
        <w:tc>
          <w:tcPr>
            <w:tcW w:w="464" w:type="pct"/>
            <w:tcBorders>
              <w:top w:val="single" w:sz="4" w:space="0" w:color="auto"/>
              <w:bottom w:val="single" w:sz="4" w:space="0" w:color="auto"/>
            </w:tcBorders>
            <w:shd w:val="clear" w:color="auto" w:fill="auto"/>
            <w:vAlign w:val="center"/>
          </w:tcPr>
          <w:p w14:paraId="6966F62F" w14:textId="77777777" w:rsidR="006A58C5" w:rsidRPr="00576299" w:rsidRDefault="006A58C5" w:rsidP="00C068F2">
            <w:pPr>
              <w:pStyle w:val="TableText0"/>
              <w:keepLines/>
              <w:widowControl w:val="0"/>
              <w:jc w:val="center"/>
            </w:pPr>
            <w:r w:rsidRPr="00576299">
              <w:t>85.9</w:t>
            </w:r>
          </w:p>
        </w:tc>
        <w:tc>
          <w:tcPr>
            <w:tcW w:w="865" w:type="pct"/>
            <w:tcBorders>
              <w:top w:val="single" w:sz="4" w:space="0" w:color="auto"/>
              <w:bottom w:val="single" w:sz="4" w:space="0" w:color="auto"/>
            </w:tcBorders>
            <w:shd w:val="clear" w:color="auto" w:fill="auto"/>
            <w:vAlign w:val="center"/>
          </w:tcPr>
          <w:p w14:paraId="2DFF653B" w14:textId="77777777" w:rsidR="006A58C5" w:rsidRPr="00576299" w:rsidRDefault="006A58C5" w:rsidP="00C068F2">
            <w:pPr>
              <w:pStyle w:val="TableText0"/>
              <w:keepLines/>
              <w:widowControl w:val="0"/>
              <w:jc w:val="center"/>
            </w:pPr>
            <w:r w:rsidRPr="00576299">
              <w:t>12.2</w:t>
            </w:r>
          </w:p>
        </w:tc>
      </w:tr>
      <w:tr w:rsidR="006A58C5" w:rsidRPr="00576299" w14:paraId="044C826B" w14:textId="77777777" w:rsidTr="00C9717C">
        <w:trPr>
          <w:trHeight w:val="20"/>
        </w:trPr>
        <w:tc>
          <w:tcPr>
            <w:tcW w:w="2256" w:type="pct"/>
            <w:tcBorders>
              <w:top w:val="single" w:sz="4" w:space="0" w:color="auto"/>
              <w:bottom w:val="single" w:sz="4" w:space="0" w:color="auto"/>
            </w:tcBorders>
            <w:shd w:val="clear" w:color="auto" w:fill="auto"/>
          </w:tcPr>
          <w:p w14:paraId="30364A87" w14:textId="4AC84193" w:rsidR="006A58C5" w:rsidRPr="00576299" w:rsidRDefault="006A58C5" w:rsidP="00C068F2">
            <w:pPr>
              <w:pStyle w:val="TableText0"/>
              <w:keepLines/>
              <w:widowControl w:val="0"/>
            </w:pPr>
            <w:r w:rsidRPr="00576299">
              <w:t>Serious TRAEs, %</w:t>
            </w:r>
          </w:p>
        </w:tc>
        <w:tc>
          <w:tcPr>
            <w:tcW w:w="484" w:type="pct"/>
            <w:tcBorders>
              <w:top w:val="single" w:sz="4" w:space="0" w:color="auto"/>
              <w:bottom w:val="single" w:sz="4" w:space="0" w:color="auto"/>
            </w:tcBorders>
            <w:shd w:val="clear" w:color="auto" w:fill="B8CCE4" w:themeFill="accent1" w:themeFillTint="66"/>
            <w:vAlign w:val="center"/>
          </w:tcPr>
          <w:p w14:paraId="2DD5D70A" w14:textId="77777777" w:rsidR="006A58C5" w:rsidRPr="00576299" w:rsidRDefault="006A58C5" w:rsidP="00C068F2">
            <w:pPr>
              <w:pStyle w:val="TableText0"/>
              <w:keepLines/>
              <w:widowControl w:val="0"/>
              <w:jc w:val="center"/>
            </w:pPr>
            <w:r w:rsidRPr="00576299">
              <w:t>9.3</w:t>
            </w:r>
          </w:p>
        </w:tc>
        <w:tc>
          <w:tcPr>
            <w:tcW w:w="484" w:type="pct"/>
            <w:tcBorders>
              <w:top w:val="single" w:sz="4" w:space="0" w:color="auto"/>
              <w:bottom w:val="single" w:sz="4" w:space="0" w:color="auto"/>
            </w:tcBorders>
            <w:shd w:val="clear" w:color="auto" w:fill="auto"/>
            <w:vAlign w:val="center"/>
          </w:tcPr>
          <w:p w14:paraId="7FA764BC" w14:textId="77777777" w:rsidR="006A58C5" w:rsidRPr="00576299" w:rsidRDefault="006A58C5" w:rsidP="00C068F2">
            <w:pPr>
              <w:pStyle w:val="TableText0"/>
              <w:keepLines/>
              <w:widowControl w:val="0"/>
              <w:jc w:val="center"/>
            </w:pPr>
            <w:r w:rsidRPr="00576299">
              <w:t>11.8</w:t>
            </w:r>
          </w:p>
        </w:tc>
        <w:tc>
          <w:tcPr>
            <w:tcW w:w="446" w:type="pct"/>
            <w:tcBorders>
              <w:top w:val="single" w:sz="4" w:space="0" w:color="auto"/>
              <w:bottom w:val="single" w:sz="4" w:space="0" w:color="auto"/>
            </w:tcBorders>
            <w:shd w:val="clear" w:color="auto" w:fill="D9D9D9" w:themeFill="background1" w:themeFillShade="D9"/>
            <w:vAlign w:val="center"/>
          </w:tcPr>
          <w:p w14:paraId="7ED077D6" w14:textId="77777777" w:rsidR="006A58C5" w:rsidRPr="00576299" w:rsidRDefault="006A58C5" w:rsidP="00C068F2">
            <w:pPr>
              <w:pStyle w:val="TableText0"/>
              <w:keepLines/>
              <w:widowControl w:val="0"/>
              <w:jc w:val="center"/>
            </w:pPr>
            <w:r w:rsidRPr="00576299">
              <w:t>33.3</w:t>
            </w:r>
          </w:p>
        </w:tc>
        <w:tc>
          <w:tcPr>
            <w:tcW w:w="464" w:type="pct"/>
            <w:tcBorders>
              <w:top w:val="single" w:sz="4" w:space="0" w:color="auto"/>
              <w:bottom w:val="single" w:sz="4" w:space="0" w:color="auto"/>
            </w:tcBorders>
            <w:shd w:val="clear" w:color="auto" w:fill="auto"/>
            <w:vAlign w:val="center"/>
          </w:tcPr>
          <w:p w14:paraId="1E923F63" w14:textId="77777777" w:rsidR="006A58C5" w:rsidRPr="00576299" w:rsidRDefault="006A58C5" w:rsidP="00C068F2">
            <w:pPr>
              <w:pStyle w:val="TableText0"/>
              <w:keepLines/>
              <w:widowControl w:val="0"/>
              <w:jc w:val="center"/>
            </w:pPr>
            <w:r w:rsidRPr="00576299">
              <w:t>45.3</w:t>
            </w:r>
          </w:p>
        </w:tc>
        <w:tc>
          <w:tcPr>
            <w:tcW w:w="865" w:type="pct"/>
            <w:tcBorders>
              <w:top w:val="single" w:sz="4" w:space="0" w:color="auto"/>
              <w:bottom w:val="single" w:sz="4" w:space="0" w:color="auto"/>
            </w:tcBorders>
            <w:shd w:val="clear" w:color="auto" w:fill="auto"/>
            <w:vAlign w:val="center"/>
          </w:tcPr>
          <w:p w14:paraId="6B966924" w14:textId="77777777" w:rsidR="006A58C5" w:rsidRPr="00576299" w:rsidRDefault="006A58C5" w:rsidP="00C068F2">
            <w:pPr>
              <w:pStyle w:val="TableText0"/>
              <w:keepLines/>
              <w:widowControl w:val="0"/>
              <w:jc w:val="center"/>
            </w:pPr>
            <w:r w:rsidRPr="00576299">
              <w:t>NR</w:t>
            </w:r>
          </w:p>
        </w:tc>
      </w:tr>
      <w:tr w:rsidR="006A58C5" w:rsidRPr="00576299" w14:paraId="19E794C8" w14:textId="77777777" w:rsidTr="00C9717C">
        <w:trPr>
          <w:trHeight w:val="20"/>
        </w:trPr>
        <w:tc>
          <w:tcPr>
            <w:tcW w:w="2256" w:type="pct"/>
            <w:tcBorders>
              <w:top w:val="single" w:sz="4" w:space="0" w:color="auto"/>
              <w:bottom w:val="single" w:sz="4" w:space="0" w:color="auto"/>
            </w:tcBorders>
            <w:shd w:val="clear" w:color="auto" w:fill="auto"/>
          </w:tcPr>
          <w:p w14:paraId="0633EB90" w14:textId="7F887014" w:rsidR="006A58C5" w:rsidRPr="00576299" w:rsidRDefault="006A58C5" w:rsidP="00C068F2">
            <w:pPr>
              <w:pStyle w:val="TableText0"/>
              <w:keepLines/>
              <w:widowControl w:val="0"/>
            </w:pPr>
            <w:r w:rsidRPr="00576299">
              <w:t>TRAEs resulting in treatment discontinuation, %</w:t>
            </w:r>
          </w:p>
        </w:tc>
        <w:tc>
          <w:tcPr>
            <w:tcW w:w="484" w:type="pct"/>
            <w:tcBorders>
              <w:top w:val="single" w:sz="4" w:space="0" w:color="auto"/>
              <w:bottom w:val="single" w:sz="4" w:space="0" w:color="auto"/>
            </w:tcBorders>
            <w:shd w:val="clear" w:color="auto" w:fill="auto"/>
            <w:vAlign w:val="center"/>
          </w:tcPr>
          <w:p w14:paraId="10E098A1" w14:textId="77777777" w:rsidR="006A58C5" w:rsidRPr="00576299" w:rsidRDefault="006A58C5" w:rsidP="00C068F2">
            <w:pPr>
              <w:pStyle w:val="TableText0"/>
              <w:keepLines/>
              <w:widowControl w:val="0"/>
              <w:jc w:val="center"/>
            </w:pPr>
            <w:r w:rsidRPr="00576299">
              <w:t>3.9</w:t>
            </w:r>
          </w:p>
        </w:tc>
        <w:tc>
          <w:tcPr>
            <w:tcW w:w="484" w:type="pct"/>
            <w:tcBorders>
              <w:top w:val="single" w:sz="4" w:space="0" w:color="auto"/>
              <w:bottom w:val="single" w:sz="4" w:space="0" w:color="auto"/>
            </w:tcBorders>
            <w:shd w:val="clear" w:color="auto" w:fill="auto"/>
            <w:vAlign w:val="center"/>
          </w:tcPr>
          <w:p w14:paraId="134C1D80" w14:textId="77777777" w:rsidR="006A58C5" w:rsidRPr="00576299" w:rsidRDefault="006A58C5" w:rsidP="00C068F2">
            <w:pPr>
              <w:pStyle w:val="TableText0"/>
              <w:keepLines/>
              <w:widowControl w:val="0"/>
              <w:jc w:val="center"/>
            </w:pPr>
            <w:r w:rsidRPr="00576299">
              <w:t>8.5</w:t>
            </w:r>
          </w:p>
        </w:tc>
        <w:tc>
          <w:tcPr>
            <w:tcW w:w="446" w:type="pct"/>
            <w:tcBorders>
              <w:top w:val="single" w:sz="4" w:space="0" w:color="auto"/>
              <w:bottom w:val="single" w:sz="4" w:space="0" w:color="auto"/>
            </w:tcBorders>
            <w:shd w:val="clear" w:color="auto" w:fill="auto"/>
            <w:vAlign w:val="center"/>
          </w:tcPr>
          <w:p w14:paraId="2E051739" w14:textId="77777777" w:rsidR="006A58C5" w:rsidRPr="00576299" w:rsidRDefault="006A58C5" w:rsidP="00C068F2">
            <w:pPr>
              <w:pStyle w:val="TableText0"/>
              <w:keepLines/>
              <w:widowControl w:val="0"/>
              <w:jc w:val="center"/>
            </w:pPr>
            <w:r w:rsidRPr="00576299">
              <w:t>26.6</w:t>
            </w:r>
          </w:p>
        </w:tc>
        <w:tc>
          <w:tcPr>
            <w:tcW w:w="464" w:type="pct"/>
            <w:tcBorders>
              <w:top w:val="single" w:sz="4" w:space="0" w:color="auto"/>
              <w:bottom w:val="single" w:sz="4" w:space="0" w:color="auto"/>
            </w:tcBorders>
            <w:shd w:val="clear" w:color="auto" w:fill="auto"/>
            <w:vAlign w:val="center"/>
          </w:tcPr>
          <w:p w14:paraId="1458BEE0" w14:textId="77777777" w:rsidR="006A58C5" w:rsidRPr="00576299" w:rsidRDefault="006A58C5" w:rsidP="00C068F2">
            <w:pPr>
              <w:pStyle w:val="TableText0"/>
              <w:keepLines/>
              <w:widowControl w:val="0"/>
              <w:jc w:val="center"/>
            </w:pPr>
            <w:r w:rsidRPr="00576299">
              <w:t>32.8</w:t>
            </w:r>
          </w:p>
        </w:tc>
        <w:tc>
          <w:tcPr>
            <w:tcW w:w="865" w:type="pct"/>
            <w:tcBorders>
              <w:top w:val="single" w:sz="4" w:space="0" w:color="auto"/>
              <w:bottom w:val="single" w:sz="4" w:space="0" w:color="auto"/>
            </w:tcBorders>
            <w:shd w:val="clear" w:color="auto" w:fill="D9D9D9" w:themeFill="background1" w:themeFillShade="D9"/>
            <w:vAlign w:val="center"/>
          </w:tcPr>
          <w:p w14:paraId="2B9F50B2" w14:textId="77777777" w:rsidR="006A58C5" w:rsidRPr="00576299" w:rsidRDefault="006A58C5" w:rsidP="00C068F2">
            <w:pPr>
              <w:pStyle w:val="TableText0"/>
              <w:keepLines/>
              <w:widowControl w:val="0"/>
              <w:jc w:val="center"/>
            </w:pPr>
            <w:r w:rsidRPr="00576299">
              <w:t>6.7</w:t>
            </w:r>
          </w:p>
        </w:tc>
      </w:tr>
      <w:tr w:rsidR="006A58C5" w:rsidRPr="00576299" w14:paraId="61335DF1" w14:textId="77777777" w:rsidTr="00C9717C">
        <w:trPr>
          <w:trHeight w:val="20"/>
        </w:trPr>
        <w:tc>
          <w:tcPr>
            <w:tcW w:w="2256" w:type="pct"/>
            <w:tcBorders>
              <w:top w:val="single" w:sz="4" w:space="0" w:color="auto"/>
              <w:bottom w:val="single" w:sz="4" w:space="0" w:color="auto"/>
            </w:tcBorders>
            <w:shd w:val="clear" w:color="auto" w:fill="auto"/>
          </w:tcPr>
          <w:p w14:paraId="64438782" w14:textId="30409AA4" w:rsidR="006A58C5" w:rsidRPr="00576299" w:rsidRDefault="006A58C5" w:rsidP="00C068F2">
            <w:pPr>
              <w:pStyle w:val="TableText0"/>
              <w:keepLines/>
              <w:widowControl w:val="0"/>
            </w:pPr>
            <w:r w:rsidRPr="00576299">
              <w:t>TRAEs resulting in death, %</w:t>
            </w:r>
          </w:p>
        </w:tc>
        <w:tc>
          <w:tcPr>
            <w:tcW w:w="484" w:type="pct"/>
            <w:tcBorders>
              <w:top w:val="single" w:sz="4" w:space="0" w:color="auto"/>
              <w:bottom w:val="single" w:sz="4" w:space="0" w:color="auto"/>
            </w:tcBorders>
            <w:shd w:val="clear" w:color="auto" w:fill="auto"/>
            <w:vAlign w:val="center"/>
          </w:tcPr>
          <w:p w14:paraId="0DB271AD" w14:textId="77777777" w:rsidR="006A58C5" w:rsidRPr="00576299" w:rsidRDefault="006A58C5" w:rsidP="00C068F2">
            <w:pPr>
              <w:pStyle w:val="TableText0"/>
              <w:keepLines/>
              <w:widowControl w:val="0"/>
              <w:jc w:val="center"/>
            </w:pPr>
            <w:r w:rsidRPr="00576299">
              <w:t>0</w:t>
            </w:r>
          </w:p>
        </w:tc>
        <w:tc>
          <w:tcPr>
            <w:tcW w:w="484" w:type="pct"/>
            <w:tcBorders>
              <w:top w:val="single" w:sz="4" w:space="0" w:color="auto"/>
              <w:bottom w:val="single" w:sz="4" w:space="0" w:color="auto"/>
            </w:tcBorders>
            <w:shd w:val="clear" w:color="auto" w:fill="auto"/>
            <w:vAlign w:val="center"/>
          </w:tcPr>
          <w:p w14:paraId="11BFBF76" w14:textId="77777777" w:rsidR="006A58C5" w:rsidRPr="00576299" w:rsidRDefault="006A58C5" w:rsidP="00C068F2">
            <w:pPr>
              <w:pStyle w:val="TableText0"/>
              <w:keepLines/>
              <w:widowControl w:val="0"/>
              <w:jc w:val="center"/>
            </w:pPr>
            <w:r w:rsidRPr="00576299">
              <w:t>0</w:t>
            </w:r>
          </w:p>
        </w:tc>
        <w:tc>
          <w:tcPr>
            <w:tcW w:w="446" w:type="pct"/>
            <w:tcBorders>
              <w:top w:val="single" w:sz="4" w:space="0" w:color="auto"/>
              <w:bottom w:val="single" w:sz="4" w:space="0" w:color="auto"/>
            </w:tcBorders>
            <w:shd w:val="clear" w:color="auto" w:fill="D9D9D9" w:themeFill="background1" w:themeFillShade="D9"/>
            <w:vAlign w:val="center"/>
          </w:tcPr>
          <w:p w14:paraId="76C70394" w14:textId="77777777" w:rsidR="006A58C5" w:rsidRPr="00576299" w:rsidRDefault="006A58C5" w:rsidP="00C068F2">
            <w:pPr>
              <w:pStyle w:val="TableText0"/>
              <w:keepLines/>
              <w:widowControl w:val="0"/>
              <w:jc w:val="center"/>
            </w:pPr>
            <w:r w:rsidRPr="00576299">
              <w:t>1.5</w:t>
            </w:r>
          </w:p>
        </w:tc>
        <w:tc>
          <w:tcPr>
            <w:tcW w:w="464" w:type="pct"/>
            <w:tcBorders>
              <w:top w:val="single" w:sz="4" w:space="0" w:color="auto"/>
              <w:bottom w:val="single" w:sz="4" w:space="0" w:color="auto"/>
            </w:tcBorders>
            <w:shd w:val="clear" w:color="auto" w:fill="auto"/>
            <w:vAlign w:val="center"/>
          </w:tcPr>
          <w:p w14:paraId="4BE1474A" w14:textId="77777777" w:rsidR="006A58C5" w:rsidRPr="00576299" w:rsidRDefault="006A58C5" w:rsidP="00C068F2">
            <w:pPr>
              <w:pStyle w:val="TableText0"/>
              <w:keepLines/>
              <w:widowControl w:val="0"/>
              <w:jc w:val="center"/>
            </w:pPr>
            <w:r w:rsidRPr="00576299">
              <w:t>3.1</w:t>
            </w:r>
          </w:p>
        </w:tc>
        <w:tc>
          <w:tcPr>
            <w:tcW w:w="865" w:type="pct"/>
            <w:tcBorders>
              <w:top w:val="single" w:sz="4" w:space="0" w:color="auto"/>
              <w:bottom w:val="single" w:sz="4" w:space="0" w:color="auto"/>
            </w:tcBorders>
            <w:shd w:val="clear" w:color="auto" w:fill="auto"/>
            <w:vAlign w:val="center"/>
          </w:tcPr>
          <w:p w14:paraId="1C78CBE9" w14:textId="77777777" w:rsidR="006A58C5" w:rsidRPr="00576299" w:rsidRDefault="006A58C5" w:rsidP="00C068F2">
            <w:pPr>
              <w:pStyle w:val="TableText0"/>
              <w:keepLines/>
              <w:widowControl w:val="0"/>
              <w:jc w:val="center"/>
            </w:pPr>
            <w:r w:rsidRPr="00576299">
              <w:t>0</w:t>
            </w:r>
          </w:p>
        </w:tc>
      </w:tr>
    </w:tbl>
    <w:p w14:paraId="003D27B6" w14:textId="77777777" w:rsidR="00B9009B" w:rsidRPr="00576299" w:rsidRDefault="00B9009B" w:rsidP="00B9009B">
      <w:pPr>
        <w:pStyle w:val="TableFooter"/>
      </w:pPr>
      <w:r w:rsidRPr="00576299">
        <w:t>Source: Table 51, p134 of the resubmission, Table 17 of the GARNET CSR.</w:t>
      </w:r>
    </w:p>
    <w:p w14:paraId="20C52FF3" w14:textId="77777777" w:rsidR="001A5034" w:rsidRPr="00576299" w:rsidRDefault="001A5034" w:rsidP="001A5034">
      <w:pPr>
        <w:pStyle w:val="TableFooter"/>
        <w:keepNext/>
        <w:widowControl w:val="0"/>
      </w:pPr>
      <w:r w:rsidRPr="00576299">
        <w:t>AE = adverse event; FU = follow- up; ITT = intention-to-treat; NR = not reported; TEAE = treatment-emergent adverse event; TRAE = treatment related adverse event.</w:t>
      </w:r>
    </w:p>
    <w:p w14:paraId="0AA7DE84" w14:textId="77777777" w:rsidR="0092254A" w:rsidRPr="00576299" w:rsidRDefault="0092254A" w:rsidP="0092254A">
      <w:pPr>
        <w:pStyle w:val="TableFooter"/>
      </w:pPr>
      <w:r w:rsidRPr="00576299">
        <w:t>a Only treatment-related AEs are available for KEYNOTE-158 (O’Malley 2022).</w:t>
      </w:r>
    </w:p>
    <w:p w14:paraId="35C2B770" w14:textId="77777777" w:rsidR="0092254A" w:rsidRPr="00576299" w:rsidRDefault="0092254A" w:rsidP="0092254A">
      <w:pPr>
        <w:pStyle w:val="TableFooter"/>
      </w:pPr>
      <w:r w:rsidRPr="00576299">
        <w:t>Blue shading indicates trials included in the previous dostarlimab submission.</w:t>
      </w:r>
    </w:p>
    <w:p w14:paraId="447F91F9" w14:textId="0D1696B7" w:rsidR="0092254A" w:rsidRPr="000E1DA3" w:rsidRDefault="0092254A" w:rsidP="000E1DA3">
      <w:pPr>
        <w:pStyle w:val="TableFooter"/>
        <w:spacing w:after="120"/>
        <w:rPr>
          <w:b/>
        </w:rPr>
      </w:pPr>
      <w:r w:rsidRPr="00576299">
        <w:rPr>
          <w:rStyle w:val="CommentReference"/>
          <w:b w:val="0"/>
          <w:bCs/>
          <w:sz w:val="18"/>
          <w:szCs w:val="18"/>
        </w:rPr>
        <w:t xml:space="preserve">Grey shading indicates data previously seen by the PBAC (pembrolizumab + lenvatinib submission). </w:t>
      </w:r>
    </w:p>
    <w:p w14:paraId="12AF5CB3" w14:textId="6F18C686" w:rsidR="0092254A" w:rsidRPr="00576299" w:rsidRDefault="0092254A" w:rsidP="0092254A">
      <w:pPr>
        <w:pStyle w:val="3-BodyText"/>
      </w:pPr>
      <w:r w:rsidRPr="00576299">
        <w:t xml:space="preserve">The resubmission stated that event specific safety data were inconsistently reported across the identified studies and did not provide any comparative safety information to support the claim that dostarlimab is superior in terms of safety compared with PEM+LEN and non-inferior in terms of safety compared with pembrolizumab monotherapy. </w:t>
      </w:r>
      <w:r w:rsidRPr="00576299">
        <w:fldChar w:fldCharType="begin"/>
      </w:r>
      <w:r w:rsidRPr="00576299">
        <w:instrText xml:space="preserve"> REF _Ref111426698 \h </w:instrText>
      </w:r>
      <w:r w:rsidR="00C535E4" w:rsidRPr="00576299">
        <w:instrText xml:space="preserve"> \* MERGEFORMAT </w:instrText>
      </w:r>
      <w:r w:rsidRPr="00576299">
        <w:fldChar w:fldCharType="separate"/>
      </w:r>
      <w:r w:rsidR="00CD09E9" w:rsidRPr="00576299">
        <w:t xml:space="preserve">Table </w:t>
      </w:r>
      <w:r w:rsidR="00CD09E9">
        <w:t>12</w:t>
      </w:r>
      <w:r w:rsidRPr="00576299">
        <w:fldChar w:fldCharType="end"/>
      </w:r>
      <w:r w:rsidRPr="00576299">
        <w:t xml:space="preserve"> provides a summary of the commonly reported TRAEs for dostarlimab in GARNET Cohort A1, PEM+LEN in KEYNOTE-775 and pembrolizumab monotherapy in KEYNOTE-158. Given the inconsistent reporting using single arms across different trials, </w:t>
      </w:r>
      <w:r w:rsidR="00986A58">
        <w:t xml:space="preserve">the evaluation considered that </w:t>
      </w:r>
      <w:r w:rsidRPr="00576299">
        <w:t>any claims or conclusions of comparative safety based on the available data should be interpreted with caution.</w:t>
      </w:r>
    </w:p>
    <w:p w14:paraId="6C83FE31" w14:textId="1353C497" w:rsidR="0092254A" w:rsidRPr="00576299" w:rsidRDefault="0092254A" w:rsidP="00DF5823">
      <w:pPr>
        <w:pStyle w:val="Caption"/>
        <w:widowControl w:val="0"/>
      </w:pPr>
      <w:bookmarkStart w:id="47" w:name="_Ref111426698"/>
      <w:r w:rsidRPr="00576299">
        <w:lastRenderedPageBreak/>
        <w:t xml:space="preserve">Table </w:t>
      </w:r>
      <w:fldSimple w:instr=" SEQ Table \* ARABIC ">
        <w:r w:rsidR="00CD09E9">
          <w:rPr>
            <w:noProof/>
          </w:rPr>
          <w:t>12</w:t>
        </w:r>
      </w:fldSimple>
      <w:bookmarkEnd w:id="47"/>
      <w:r w:rsidRPr="00576299">
        <w:t>: Common TRAEs reported for dostarlimab (GARNET Cohort A1 IA3 data set), KEYNOTE-775 (ITT, PEM+LEN) and KEYNOTE-158 (pembrolizumab)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843"/>
        <w:gridCol w:w="1984"/>
        <w:gridCol w:w="1509"/>
      </w:tblGrid>
      <w:tr w:rsidR="0092254A" w:rsidRPr="00576299" w14:paraId="418DF887" w14:textId="77777777" w:rsidTr="00624D55">
        <w:trPr>
          <w:trHeight w:val="20"/>
          <w:tblHeader/>
        </w:trPr>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EBB7C5D" w14:textId="77777777" w:rsidR="0092254A" w:rsidRPr="00576299" w:rsidRDefault="0092254A" w:rsidP="00DF5823">
            <w:pPr>
              <w:pStyle w:val="In-tableHeading"/>
              <w:keepLines/>
              <w:widowControl w:val="0"/>
              <w:rPr>
                <w:lang w:val="en-AU"/>
              </w:rPr>
            </w:pPr>
            <w:r w:rsidRPr="00576299">
              <w:rPr>
                <w:lang w:val="en-AU"/>
              </w:rPr>
              <w:t>Trial ID</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199EB841" w14:textId="77777777" w:rsidR="0092254A" w:rsidRPr="00576299" w:rsidRDefault="0092254A" w:rsidP="00DF5823">
            <w:pPr>
              <w:pStyle w:val="In-tableHeading"/>
              <w:keepLines/>
              <w:widowControl w:val="0"/>
              <w:jc w:val="center"/>
              <w:rPr>
                <w:lang w:val="en-AU"/>
              </w:rPr>
            </w:pPr>
            <w:r w:rsidRPr="00576299">
              <w:rPr>
                <w:lang w:val="en-AU"/>
              </w:rPr>
              <w:t>Dostarlimab</w:t>
            </w:r>
          </w:p>
          <w:p w14:paraId="790F5F7D" w14:textId="77777777" w:rsidR="0092254A" w:rsidRPr="00576299" w:rsidRDefault="0092254A" w:rsidP="00DF5823">
            <w:pPr>
              <w:pStyle w:val="In-tableHeading"/>
              <w:keepLines/>
              <w:widowControl w:val="0"/>
              <w:jc w:val="center"/>
              <w:rPr>
                <w:lang w:val="en-AU"/>
              </w:rPr>
            </w:pPr>
            <w:r w:rsidRPr="00576299">
              <w:rPr>
                <w:lang w:val="en-AU"/>
              </w:rPr>
              <w:t>GARNET Cohort A1</w:t>
            </w:r>
            <w:r w:rsidRPr="00576299">
              <w:rPr>
                <w:lang w:val="en-AU"/>
              </w:rPr>
              <w:br/>
              <w:t>IA3 data-cut</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14:paraId="5DCF425B" w14:textId="77777777" w:rsidR="0092254A" w:rsidRPr="00576299" w:rsidRDefault="0092254A" w:rsidP="00DF5823">
            <w:pPr>
              <w:pStyle w:val="In-tableHeading"/>
              <w:keepLines/>
              <w:widowControl w:val="0"/>
              <w:jc w:val="center"/>
              <w:rPr>
                <w:lang w:val="en-AU"/>
              </w:rPr>
            </w:pPr>
            <w:r w:rsidRPr="00576299">
              <w:rPr>
                <w:lang w:val="en-AU"/>
              </w:rPr>
              <w:t>PEM+LEN</w:t>
            </w:r>
          </w:p>
          <w:p w14:paraId="73319850" w14:textId="7B587884" w:rsidR="0092254A" w:rsidRPr="00576299" w:rsidRDefault="0092254A" w:rsidP="00DF5823">
            <w:pPr>
              <w:pStyle w:val="In-tableHeading"/>
              <w:keepLines/>
              <w:widowControl w:val="0"/>
              <w:jc w:val="center"/>
              <w:rPr>
                <w:lang w:val="en-AU"/>
              </w:rPr>
            </w:pPr>
            <w:r w:rsidRPr="00576299">
              <w:rPr>
                <w:lang w:val="en-AU"/>
              </w:rPr>
              <w:t xml:space="preserve">KEYNOTE-775 (ITT) </w:t>
            </w:r>
            <w:r w:rsidRPr="00576299">
              <w:rPr>
                <w:vertAlign w:val="superscript"/>
                <w:lang w:val="en-AU"/>
              </w:rPr>
              <w:t>b</w:t>
            </w:r>
            <w:r w:rsidR="002226CD" w:rsidRPr="00576299">
              <w:rPr>
                <w:vertAlign w:val="superscript"/>
                <w:lang w:val="en-AU"/>
              </w:rPr>
              <w:t xml:space="preserve"> </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50AD2D8C" w14:textId="77777777" w:rsidR="0092254A" w:rsidRPr="00576299" w:rsidRDefault="0092254A" w:rsidP="00DF5823">
            <w:pPr>
              <w:pStyle w:val="In-tableHeading"/>
              <w:keepLines/>
              <w:widowControl w:val="0"/>
              <w:jc w:val="center"/>
              <w:rPr>
                <w:lang w:val="en-AU"/>
              </w:rPr>
            </w:pPr>
            <w:r w:rsidRPr="00576299">
              <w:rPr>
                <w:lang w:val="en-AU"/>
              </w:rPr>
              <w:t>Pembrolizumab</w:t>
            </w:r>
          </w:p>
          <w:p w14:paraId="1EB930B3" w14:textId="77777777" w:rsidR="0092254A" w:rsidRPr="00576299" w:rsidRDefault="0092254A" w:rsidP="00DF5823">
            <w:pPr>
              <w:pStyle w:val="In-tableHeading"/>
              <w:keepLines/>
              <w:widowControl w:val="0"/>
              <w:jc w:val="center"/>
              <w:rPr>
                <w:lang w:val="en-AU"/>
              </w:rPr>
            </w:pPr>
            <w:r w:rsidRPr="00576299">
              <w:rPr>
                <w:lang w:val="en-AU"/>
              </w:rPr>
              <w:t>KEYNOTE-158</w:t>
            </w:r>
          </w:p>
        </w:tc>
      </w:tr>
      <w:tr w:rsidR="0092254A" w:rsidRPr="00576299" w14:paraId="36DC3BEA" w14:textId="77777777" w:rsidTr="00624D55">
        <w:trPr>
          <w:trHeight w:val="20"/>
          <w:tblHeader/>
        </w:trPr>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32E2F04" w14:textId="1EE6FD0B" w:rsidR="0092254A" w:rsidRPr="00576299" w:rsidRDefault="0092254A" w:rsidP="00DF5823">
            <w:pPr>
              <w:pStyle w:val="TableText0"/>
              <w:keepLines/>
              <w:widowControl w:val="0"/>
            </w:pPr>
            <w:r w:rsidRPr="00576299">
              <w:t>Median F</w:t>
            </w:r>
            <w:r w:rsidR="001E21D8" w:rsidRPr="00576299">
              <w:t>ollow up</w:t>
            </w:r>
            <w:r w:rsidRPr="00576299">
              <w:t>, months</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5DCE71E9" w14:textId="77777777" w:rsidR="0092254A" w:rsidRPr="00576299" w:rsidRDefault="0092254A" w:rsidP="00DF5823">
            <w:pPr>
              <w:pStyle w:val="TableText0"/>
              <w:keepLines/>
              <w:widowControl w:val="0"/>
              <w:jc w:val="center"/>
            </w:pPr>
            <w:r w:rsidRPr="00576299">
              <w:t>27.6</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14:paraId="53F4E018" w14:textId="77777777" w:rsidR="0092254A" w:rsidRPr="00576299" w:rsidRDefault="0092254A" w:rsidP="00DF5823">
            <w:pPr>
              <w:pStyle w:val="TableText0"/>
              <w:keepLines/>
              <w:widowControl w:val="0"/>
              <w:jc w:val="center"/>
            </w:pPr>
            <w:r w:rsidRPr="00576299">
              <w:t>12.2</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7445DA7F" w14:textId="77777777" w:rsidR="0092254A" w:rsidRPr="00576299" w:rsidRDefault="0092254A" w:rsidP="00DF5823">
            <w:pPr>
              <w:pStyle w:val="TableText0"/>
              <w:keepLines/>
              <w:widowControl w:val="0"/>
              <w:jc w:val="center"/>
            </w:pPr>
            <w:r w:rsidRPr="00576299">
              <w:t>42.6</w:t>
            </w:r>
          </w:p>
        </w:tc>
      </w:tr>
      <w:tr w:rsidR="0092254A" w:rsidRPr="00576299" w14:paraId="109B5896" w14:textId="77777777" w:rsidTr="00274322">
        <w:trPr>
          <w:trHeight w:val="20"/>
        </w:trPr>
        <w:tc>
          <w:tcPr>
            <w:tcW w:w="2041" w:type="pct"/>
            <w:tcBorders>
              <w:bottom w:val="single" w:sz="4" w:space="0" w:color="auto"/>
            </w:tcBorders>
            <w:shd w:val="clear" w:color="auto" w:fill="auto"/>
            <w:vAlign w:val="center"/>
          </w:tcPr>
          <w:p w14:paraId="39F34A90" w14:textId="77777777" w:rsidR="0092254A" w:rsidRPr="00576299" w:rsidRDefault="0092254A" w:rsidP="00DF5823">
            <w:pPr>
              <w:pStyle w:val="TableText0"/>
              <w:keepLines/>
              <w:widowControl w:val="0"/>
            </w:pPr>
            <w:r w:rsidRPr="00576299">
              <w:t>N</w:t>
            </w:r>
          </w:p>
        </w:tc>
        <w:tc>
          <w:tcPr>
            <w:tcW w:w="1022" w:type="pct"/>
            <w:tcBorders>
              <w:bottom w:val="single" w:sz="4" w:space="0" w:color="auto"/>
            </w:tcBorders>
            <w:shd w:val="clear" w:color="auto" w:fill="auto"/>
            <w:vAlign w:val="center"/>
          </w:tcPr>
          <w:p w14:paraId="458045E3" w14:textId="77777777" w:rsidR="0092254A" w:rsidRPr="00576299" w:rsidRDefault="0092254A" w:rsidP="00DF5823">
            <w:pPr>
              <w:pStyle w:val="TableText0"/>
              <w:keepLines/>
              <w:widowControl w:val="0"/>
              <w:jc w:val="center"/>
            </w:pPr>
            <w:r w:rsidRPr="00576299">
              <w:t>153</w:t>
            </w:r>
          </w:p>
        </w:tc>
        <w:tc>
          <w:tcPr>
            <w:tcW w:w="1100" w:type="pct"/>
            <w:tcBorders>
              <w:bottom w:val="single" w:sz="4" w:space="0" w:color="auto"/>
            </w:tcBorders>
            <w:shd w:val="clear" w:color="auto" w:fill="auto"/>
            <w:vAlign w:val="center"/>
          </w:tcPr>
          <w:p w14:paraId="6505EB8E" w14:textId="77777777" w:rsidR="0092254A" w:rsidRPr="00576299" w:rsidRDefault="0092254A" w:rsidP="00DF5823">
            <w:pPr>
              <w:pStyle w:val="TableText0"/>
              <w:keepLines/>
              <w:widowControl w:val="0"/>
              <w:jc w:val="center"/>
            </w:pPr>
            <w:r w:rsidRPr="00576299">
              <w:t>406</w:t>
            </w:r>
          </w:p>
        </w:tc>
        <w:tc>
          <w:tcPr>
            <w:tcW w:w="837" w:type="pct"/>
            <w:tcBorders>
              <w:bottom w:val="single" w:sz="4" w:space="0" w:color="auto"/>
            </w:tcBorders>
            <w:shd w:val="clear" w:color="auto" w:fill="auto"/>
            <w:vAlign w:val="center"/>
          </w:tcPr>
          <w:p w14:paraId="2F2A9B7A" w14:textId="77777777" w:rsidR="0092254A" w:rsidRPr="00576299" w:rsidRDefault="0092254A" w:rsidP="00DF5823">
            <w:pPr>
              <w:pStyle w:val="TableText0"/>
              <w:keepLines/>
              <w:widowControl w:val="0"/>
              <w:jc w:val="center"/>
            </w:pPr>
            <w:r w:rsidRPr="00576299">
              <w:t>90</w:t>
            </w:r>
          </w:p>
        </w:tc>
      </w:tr>
      <w:tr w:rsidR="0092254A" w:rsidRPr="00576299" w14:paraId="74361AA5" w14:textId="77777777" w:rsidTr="00274322">
        <w:trPr>
          <w:trHeight w:val="20"/>
        </w:trPr>
        <w:tc>
          <w:tcPr>
            <w:tcW w:w="2041" w:type="pct"/>
            <w:tcBorders>
              <w:bottom w:val="single" w:sz="4" w:space="0" w:color="auto"/>
            </w:tcBorders>
            <w:shd w:val="clear" w:color="auto" w:fill="auto"/>
            <w:vAlign w:val="center"/>
          </w:tcPr>
          <w:p w14:paraId="32A22DFD" w14:textId="36DCBB1C" w:rsidR="0092254A" w:rsidRPr="00576299" w:rsidRDefault="0092254A" w:rsidP="00DF5823">
            <w:pPr>
              <w:pStyle w:val="TableText0"/>
              <w:keepLines/>
              <w:widowControl w:val="0"/>
              <w:rPr>
                <w:b/>
              </w:rPr>
            </w:pPr>
            <w:r w:rsidRPr="00576299">
              <w:rPr>
                <w:b/>
              </w:rPr>
              <w:t>Any grade TRAE, n (%)</w:t>
            </w:r>
            <w:r w:rsidR="00F13351" w:rsidRPr="00576299">
              <w:rPr>
                <w:b/>
              </w:rPr>
              <w:t xml:space="preserve"> </w:t>
            </w:r>
            <w:r w:rsidRPr="00576299">
              <w:rPr>
                <w:b/>
                <w:bCs w:val="0"/>
                <w:vertAlign w:val="superscript"/>
              </w:rPr>
              <w:t>a</w:t>
            </w:r>
          </w:p>
        </w:tc>
        <w:tc>
          <w:tcPr>
            <w:tcW w:w="1022" w:type="pct"/>
            <w:tcBorders>
              <w:bottom w:val="single" w:sz="4" w:space="0" w:color="auto"/>
              <w:right w:val="single" w:sz="4" w:space="0" w:color="auto"/>
            </w:tcBorders>
            <w:shd w:val="clear" w:color="auto" w:fill="auto"/>
            <w:vAlign w:val="center"/>
          </w:tcPr>
          <w:p w14:paraId="12CAFEEE" w14:textId="77777777" w:rsidR="0092254A" w:rsidRPr="00576299" w:rsidRDefault="0092254A" w:rsidP="00DF5823">
            <w:pPr>
              <w:pStyle w:val="TableText0"/>
              <w:keepLines/>
              <w:widowControl w:val="0"/>
              <w:jc w:val="center"/>
              <w:rPr>
                <w:b/>
              </w:rPr>
            </w:pPr>
            <w:r w:rsidRPr="00576299">
              <w:rPr>
                <w:b/>
              </w:rPr>
              <w:t>108 (70.6)</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14:paraId="10A2B6E6" w14:textId="7E7CC4DE" w:rsidR="0092254A" w:rsidRPr="00986A58" w:rsidRDefault="0092254A" w:rsidP="00DF5823">
            <w:pPr>
              <w:pStyle w:val="TableText0"/>
              <w:keepLines/>
              <w:widowControl w:val="0"/>
              <w:jc w:val="center"/>
              <w:rPr>
                <w:b/>
              </w:rPr>
            </w:pPr>
            <w:r w:rsidRPr="00986A58">
              <w:rPr>
                <w:b/>
              </w:rPr>
              <w:t>3</w:t>
            </w:r>
            <w:r w:rsidR="00460B74" w:rsidRPr="00986A58">
              <w:rPr>
                <w:b/>
              </w:rPr>
              <w:t>95</w:t>
            </w:r>
            <w:r w:rsidRPr="00986A58">
              <w:rPr>
                <w:b/>
              </w:rPr>
              <w:t xml:space="preserve"> (9</w:t>
            </w:r>
            <w:r w:rsidR="00460B74" w:rsidRPr="00986A58">
              <w:rPr>
                <w:b/>
              </w:rPr>
              <w:t>7.3</w:t>
            </w:r>
            <w:r w:rsidRPr="00986A58">
              <w:rPr>
                <w:b/>
              </w:rPr>
              <w:t>)</w:t>
            </w:r>
          </w:p>
        </w:tc>
        <w:tc>
          <w:tcPr>
            <w:tcW w:w="837" w:type="pct"/>
            <w:tcBorders>
              <w:top w:val="single" w:sz="4" w:space="0" w:color="auto"/>
              <w:left w:val="single" w:sz="4" w:space="0" w:color="auto"/>
              <w:bottom w:val="single" w:sz="4" w:space="0" w:color="auto"/>
              <w:right w:val="single" w:sz="4" w:space="0" w:color="auto"/>
            </w:tcBorders>
            <w:vAlign w:val="center"/>
          </w:tcPr>
          <w:p w14:paraId="4D4F3F24" w14:textId="77777777" w:rsidR="0092254A" w:rsidRPr="00576299" w:rsidRDefault="0092254A" w:rsidP="00DF5823">
            <w:pPr>
              <w:pStyle w:val="TableText0"/>
              <w:keepLines/>
              <w:widowControl w:val="0"/>
              <w:jc w:val="center"/>
              <w:rPr>
                <w:b/>
              </w:rPr>
            </w:pPr>
            <w:r w:rsidRPr="00576299">
              <w:rPr>
                <w:b/>
              </w:rPr>
              <w:t>NR (75.6)</w:t>
            </w:r>
          </w:p>
        </w:tc>
      </w:tr>
      <w:tr w:rsidR="0092254A" w:rsidRPr="00576299" w14:paraId="01A8E5D8" w14:textId="77777777" w:rsidTr="00274322">
        <w:trPr>
          <w:trHeight w:val="20"/>
        </w:trPr>
        <w:tc>
          <w:tcPr>
            <w:tcW w:w="2041" w:type="pct"/>
            <w:tcBorders>
              <w:top w:val="single" w:sz="4" w:space="0" w:color="auto"/>
              <w:bottom w:val="single" w:sz="4" w:space="0" w:color="auto"/>
            </w:tcBorders>
            <w:shd w:val="clear" w:color="auto" w:fill="auto"/>
            <w:vAlign w:val="center"/>
          </w:tcPr>
          <w:p w14:paraId="5AA93296" w14:textId="77777777" w:rsidR="0092254A" w:rsidRPr="00576299" w:rsidRDefault="0092254A" w:rsidP="00DF5823">
            <w:pPr>
              <w:pStyle w:val="TableText0"/>
              <w:keepLines/>
              <w:widowControl w:val="0"/>
            </w:pPr>
            <w:r w:rsidRPr="00576299">
              <w:t>Diarrhoea</w:t>
            </w:r>
          </w:p>
        </w:tc>
        <w:tc>
          <w:tcPr>
            <w:tcW w:w="1022" w:type="pct"/>
            <w:tcBorders>
              <w:top w:val="single" w:sz="4" w:space="0" w:color="auto"/>
              <w:bottom w:val="single" w:sz="4" w:space="0" w:color="auto"/>
              <w:right w:val="single" w:sz="4" w:space="0" w:color="auto"/>
            </w:tcBorders>
            <w:shd w:val="clear" w:color="auto" w:fill="auto"/>
            <w:vAlign w:val="center"/>
          </w:tcPr>
          <w:p w14:paraId="28068E11" w14:textId="77777777" w:rsidR="0092254A" w:rsidRPr="00576299" w:rsidRDefault="0092254A" w:rsidP="00DF5823">
            <w:pPr>
              <w:pStyle w:val="TableText0"/>
              <w:keepLines/>
              <w:widowControl w:val="0"/>
              <w:jc w:val="center"/>
            </w:pPr>
            <w:r w:rsidRPr="00576299">
              <w:t>25 (16.3)</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14:paraId="1E84F965" w14:textId="77777777" w:rsidR="0092254A" w:rsidRPr="00576299" w:rsidRDefault="0092254A" w:rsidP="00DF5823">
            <w:pPr>
              <w:pStyle w:val="TableText0"/>
              <w:keepLines/>
              <w:widowControl w:val="0"/>
              <w:jc w:val="center"/>
            </w:pPr>
            <w:r w:rsidRPr="00576299">
              <w:t>171 (42.1)</w:t>
            </w:r>
          </w:p>
        </w:tc>
        <w:tc>
          <w:tcPr>
            <w:tcW w:w="837" w:type="pct"/>
            <w:tcBorders>
              <w:top w:val="single" w:sz="4" w:space="0" w:color="auto"/>
              <w:left w:val="single" w:sz="4" w:space="0" w:color="auto"/>
              <w:bottom w:val="single" w:sz="4" w:space="0" w:color="auto"/>
              <w:right w:val="single" w:sz="4" w:space="0" w:color="auto"/>
            </w:tcBorders>
            <w:vAlign w:val="center"/>
          </w:tcPr>
          <w:p w14:paraId="6E605BA6" w14:textId="77777777" w:rsidR="0092254A" w:rsidRPr="00576299" w:rsidRDefault="0092254A" w:rsidP="00DF5823">
            <w:pPr>
              <w:pStyle w:val="TableText0"/>
              <w:keepLines/>
              <w:widowControl w:val="0"/>
              <w:jc w:val="center"/>
            </w:pPr>
            <w:r w:rsidRPr="00576299">
              <w:t>14 (15.6)</w:t>
            </w:r>
          </w:p>
        </w:tc>
      </w:tr>
      <w:tr w:rsidR="0092254A" w:rsidRPr="00576299" w14:paraId="3CD0696F" w14:textId="77777777" w:rsidTr="00274322">
        <w:trPr>
          <w:trHeight w:val="20"/>
        </w:trPr>
        <w:tc>
          <w:tcPr>
            <w:tcW w:w="2041" w:type="pct"/>
            <w:tcBorders>
              <w:top w:val="single" w:sz="4" w:space="0" w:color="auto"/>
              <w:bottom w:val="single" w:sz="4" w:space="0" w:color="auto"/>
            </w:tcBorders>
            <w:shd w:val="clear" w:color="auto" w:fill="auto"/>
            <w:vAlign w:val="center"/>
          </w:tcPr>
          <w:p w14:paraId="478650BB" w14:textId="77777777" w:rsidR="0092254A" w:rsidRPr="00576299" w:rsidRDefault="0092254A" w:rsidP="00DF5823">
            <w:pPr>
              <w:pStyle w:val="TableText0"/>
              <w:keepLines/>
              <w:widowControl w:val="0"/>
            </w:pPr>
            <w:r w:rsidRPr="00576299">
              <w:t>Asthenia</w:t>
            </w:r>
          </w:p>
        </w:tc>
        <w:tc>
          <w:tcPr>
            <w:tcW w:w="1022" w:type="pct"/>
            <w:tcBorders>
              <w:top w:val="single" w:sz="4" w:space="0" w:color="auto"/>
              <w:bottom w:val="single" w:sz="4" w:space="0" w:color="auto"/>
              <w:right w:val="single" w:sz="4" w:space="0" w:color="auto"/>
            </w:tcBorders>
            <w:shd w:val="clear" w:color="auto" w:fill="auto"/>
            <w:vAlign w:val="center"/>
          </w:tcPr>
          <w:p w14:paraId="06D3F7CC" w14:textId="77777777" w:rsidR="0092254A" w:rsidRPr="00576299" w:rsidRDefault="0092254A" w:rsidP="00DF5823">
            <w:pPr>
              <w:pStyle w:val="TableText0"/>
              <w:keepLines/>
              <w:widowControl w:val="0"/>
              <w:jc w:val="center"/>
            </w:pPr>
            <w:r w:rsidRPr="00576299">
              <w:t>24 (15.7)</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14:paraId="0CD5EE3B" w14:textId="77777777" w:rsidR="0092254A" w:rsidRPr="00576299" w:rsidRDefault="0092254A" w:rsidP="00DF5823">
            <w:pPr>
              <w:pStyle w:val="TableText0"/>
              <w:keepLines/>
              <w:widowControl w:val="0"/>
              <w:jc w:val="center"/>
            </w:pPr>
            <w:r w:rsidRPr="00576299">
              <w:t>75 (18.5)</w:t>
            </w:r>
          </w:p>
        </w:tc>
        <w:tc>
          <w:tcPr>
            <w:tcW w:w="837" w:type="pct"/>
            <w:tcBorders>
              <w:top w:val="single" w:sz="4" w:space="0" w:color="auto"/>
              <w:left w:val="single" w:sz="4" w:space="0" w:color="auto"/>
              <w:bottom w:val="single" w:sz="4" w:space="0" w:color="auto"/>
              <w:right w:val="single" w:sz="4" w:space="0" w:color="auto"/>
            </w:tcBorders>
            <w:vAlign w:val="center"/>
          </w:tcPr>
          <w:p w14:paraId="06210BDA" w14:textId="77777777" w:rsidR="0092254A" w:rsidRPr="00576299" w:rsidRDefault="0092254A" w:rsidP="00DF5823">
            <w:pPr>
              <w:pStyle w:val="TableText0"/>
              <w:keepLines/>
              <w:widowControl w:val="0"/>
              <w:jc w:val="center"/>
            </w:pPr>
            <w:r w:rsidRPr="00576299">
              <w:t>NR</w:t>
            </w:r>
          </w:p>
        </w:tc>
      </w:tr>
      <w:tr w:rsidR="0092254A" w:rsidRPr="00576299" w14:paraId="6CAC058C" w14:textId="77777777" w:rsidTr="00274322">
        <w:trPr>
          <w:trHeight w:val="20"/>
        </w:trPr>
        <w:tc>
          <w:tcPr>
            <w:tcW w:w="2041" w:type="pct"/>
            <w:tcBorders>
              <w:top w:val="single" w:sz="4" w:space="0" w:color="auto"/>
              <w:bottom w:val="single" w:sz="4" w:space="0" w:color="auto"/>
            </w:tcBorders>
            <w:shd w:val="clear" w:color="auto" w:fill="auto"/>
            <w:vAlign w:val="center"/>
          </w:tcPr>
          <w:p w14:paraId="2269ACDB" w14:textId="77777777" w:rsidR="0092254A" w:rsidRPr="00576299" w:rsidRDefault="0092254A" w:rsidP="00DF5823">
            <w:pPr>
              <w:pStyle w:val="TableText0"/>
              <w:keepLines/>
              <w:widowControl w:val="0"/>
            </w:pPr>
            <w:r w:rsidRPr="00576299">
              <w:t>Fatigue</w:t>
            </w:r>
          </w:p>
        </w:tc>
        <w:tc>
          <w:tcPr>
            <w:tcW w:w="1022" w:type="pct"/>
            <w:tcBorders>
              <w:top w:val="single" w:sz="4" w:space="0" w:color="auto"/>
              <w:bottom w:val="single" w:sz="4" w:space="0" w:color="auto"/>
              <w:right w:val="single" w:sz="4" w:space="0" w:color="auto"/>
            </w:tcBorders>
            <w:shd w:val="clear" w:color="auto" w:fill="auto"/>
            <w:vAlign w:val="center"/>
          </w:tcPr>
          <w:p w14:paraId="4B1905C1" w14:textId="77777777" w:rsidR="0092254A" w:rsidRPr="00576299" w:rsidRDefault="0092254A" w:rsidP="00DF5823">
            <w:pPr>
              <w:pStyle w:val="TableText0"/>
              <w:keepLines/>
              <w:widowControl w:val="0"/>
              <w:jc w:val="center"/>
            </w:pPr>
            <w:r w:rsidRPr="00576299">
              <w:t>21 (13.7)</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14:paraId="19FE9FCC" w14:textId="77777777" w:rsidR="0092254A" w:rsidRPr="00576299" w:rsidRDefault="0092254A" w:rsidP="00DF5823">
            <w:pPr>
              <w:pStyle w:val="TableText0"/>
              <w:keepLines/>
              <w:widowControl w:val="0"/>
              <w:jc w:val="center"/>
            </w:pPr>
            <w:r w:rsidRPr="00576299">
              <w:t>113 (27.8)</w:t>
            </w:r>
          </w:p>
        </w:tc>
        <w:tc>
          <w:tcPr>
            <w:tcW w:w="837" w:type="pct"/>
            <w:tcBorders>
              <w:top w:val="single" w:sz="4" w:space="0" w:color="auto"/>
              <w:left w:val="single" w:sz="4" w:space="0" w:color="auto"/>
              <w:bottom w:val="single" w:sz="4" w:space="0" w:color="auto"/>
              <w:right w:val="single" w:sz="4" w:space="0" w:color="auto"/>
            </w:tcBorders>
            <w:vAlign w:val="center"/>
          </w:tcPr>
          <w:p w14:paraId="5845110D" w14:textId="77777777" w:rsidR="0092254A" w:rsidRPr="00576299" w:rsidRDefault="0092254A" w:rsidP="00DF5823">
            <w:pPr>
              <w:pStyle w:val="TableText0"/>
              <w:keepLines/>
              <w:widowControl w:val="0"/>
              <w:jc w:val="center"/>
            </w:pPr>
            <w:r w:rsidRPr="00576299">
              <w:t>19 (21.1)</w:t>
            </w:r>
          </w:p>
        </w:tc>
      </w:tr>
      <w:tr w:rsidR="0092254A" w:rsidRPr="00576299" w14:paraId="3A3A30C1" w14:textId="77777777" w:rsidTr="00274322">
        <w:trPr>
          <w:trHeight w:val="20"/>
        </w:trPr>
        <w:tc>
          <w:tcPr>
            <w:tcW w:w="2041" w:type="pct"/>
            <w:tcBorders>
              <w:top w:val="single" w:sz="4" w:space="0" w:color="auto"/>
              <w:bottom w:val="single" w:sz="4" w:space="0" w:color="auto"/>
            </w:tcBorders>
            <w:shd w:val="clear" w:color="auto" w:fill="auto"/>
            <w:vAlign w:val="center"/>
          </w:tcPr>
          <w:p w14:paraId="1E5DC64B" w14:textId="77777777" w:rsidR="0092254A" w:rsidRPr="00576299" w:rsidRDefault="0092254A" w:rsidP="00DF5823">
            <w:pPr>
              <w:pStyle w:val="TableText0"/>
              <w:keepLines/>
              <w:widowControl w:val="0"/>
            </w:pPr>
            <w:r w:rsidRPr="00576299">
              <w:t>Nausea</w:t>
            </w:r>
          </w:p>
        </w:tc>
        <w:tc>
          <w:tcPr>
            <w:tcW w:w="1022" w:type="pct"/>
            <w:tcBorders>
              <w:top w:val="single" w:sz="4" w:space="0" w:color="auto"/>
              <w:bottom w:val="single" w:sz="4" w:space="0" w:color="auto"/>
              <w:right w:val="single" w:sz="4" w:space="0" w:color="auto"/>
            </w:tcBorders>
            <w:shd w:val="clear" w:color="auto" w:fill="auto"/>
            <w:vAlign w:val="center"/>
          </w:tcPr>
          <w:p w14:paraId="0E8CFD98" w14:textId="77777777" w:rsidR="0092254A" w:rsidRPr="00576299" w:rsidRDefault="0092254A" w:rsidP="00DF5823">
            <w:pPr>
              <w:pStyle w:val="TableText0"/>
              <w:keepLines/>
              <w:widowControl w:val="0"/>
              <w:jc w:val="center"/>
            </w:pPr>
            <w:r w:rsidRPr="00576299">
              <w:t>19 (12.4)</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14:paraId="51E97B99" w14:textId="77777777" w:rsidR="0092254A" w:rsidRPr="00576299" w:rsidRDefault="0092254A" w:rsidP="00DF5823">
            <w:pPr>
              <w:pStyle w:val="TableText0"/>
              <w:keepLines/>
              <w:widowControl w:val="0"/>
              <w:jc w:val="center"/>
            </w:pPr>
            <w:r w:rsidRPr="00576299">
              <w:t>158 (38.9)</w:t>
            </w:r>
          </w:p>
        </w:tc>
        <w:tc>
          <w:tcPr>
            <w:tcW w:w="837" w:type="pct"/>
            <w:tcBorders>
              <w:top w:val="single" w:sz="4" w:space="0" w:color="auto"/>
              <w:left w:val="single" w:sz="4" w:space="0" w:color="auto"/>
              <w:bottom w:val="single" w:sz="4" w:space="0" w:color="auto"/>
              <w:right w:val="single" w:sz="4" w:space="0" w:color="auto"/>
            </w:tcBorders>
            <w:vAlign w:val="center"/>
          </w:tcPr>
          <w:p w14:paraId="05376C16" w14:textId="77777777" w:rsidR="0092254A" w:rsidRPr="00576299" w:rsidRDefault="0092254A" w:rsidP="00DF5823">
            <w:pPr>
              <w:pStyle w:val="TableText0"/>
              <w:keepLines/>
              <w:widowControl w:val="0"/>
              <w:jc w:val="center"/>
            </w:pPr>
            <w:r w:rsidRPr="00576299">
              <w:t>13 (14.4)</w:t>
            </w:r>
          </w:p>
        </w:tc>
      </w:tr>
      <w:tr w:rsidR="0092254A" w:rsidRPr="00576299" w14:paraId="7B61C379" w14:textId="77777777" w:rsidTr="00274322">
        <w:trPr>
          <w:trHeight w:val="20"/>
        </w:trPr>
        <w:tc>
          <w:tcPr>
            <w:tcW w:w="2041" w:type="pct"/>
            <w:tcBorders>
              <w:top w:val="single" w:sz="4" w:space="0" w:color="auto"/>
              <w:bottom w:val="single" w:sz="4" w:space="0" w:color="auto"/>
            </w:tcBorders>
            <w:shd w:val="clear" w:color="auto" w:fill="auto"/>
            <w:vAlign w:val="center"/>
          </w:tcPr>
          <w:p w14:paraId="656D2EC2" w14:textId="77777777" w:rsidR="0092254A" w:rsidRPr="00576299" w:rsidRDefault="0092254A" w:rsidP="00DF5823">
            <w:pPr>
              <w:pStyle w:val="TableText0"/>
              <w:keepLines/>
              <w:widowControl w:val="0"/>
            </w:pPr>
            <w:r w:rsidRPr="00576299">
              <w:t>Arthralgia</w:t>
            </w:r>
          </w:p>
        </w:tc>
        <w:tc>
          <w:tcPr>
            <w:tcW w:w="1022" w:type="pct"/>
            <w:tcBorders>
              <w:top w:val="single" w:sz="4" w:space="0" w:color="auto"/>
              <w:bottom w:val="single" w:sz="4" w:space="0" w:color="auto"/>
              <w:right w:val="single" w:sz="4" w:space="0" w:color="auto"/>
            </w:tcBorders>
            <w:shd w:val="clear" w:color="auto" w:fill="auto"/>
            <w:vAlign w:val="center"/>
          </w:tcPr>
          <w:p w14:paraId="28A7AFBB" w14:textId="77777777" w:rsidR="0092254A" w:rsidRPr="00576299" w:rsidRDefault="0092254A" w:rsidP="00DF5823">
            <w:pPr>
              <w:pStyle w:val="TableText0"/>
              <w:keepLines/>
              <w:widowControl w:val="0"/>
              <w:jc w:val="center"/>
            </w:pPr>
            <w:r w:rsidRPr="00576299">
              <w:t>16 (10.5)</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14:paraId="440D57F3" w14:textId="77777777" w:rsidR="0092254A" w:rsidRPr="00576299" w:rsidRDefault="0092254A" w:rsidP="00DF5823">
            <w:pPr>
              <w:pStyle w:val="TableText0"/>
              <w:keepLines/>
              <w:widowControl w:val="0"/>
              <w:jc w:val="center"/>
            </w:pPr>
            <w:r w:rsidRPr="00576299">
              <w:t>84 (20.7)</w:t>
            </w:r>
          </w:p>
        </w:tc>
        <w:tc>
          <w:tcPr>
            <w:tcW w:w="837" w:type="pct"/>
            <w:tcBorders>
              <w:top w:val="single" w:sz="4" w:space="0" w:color="auto"/>
              <w:left w:val="single" w:sz="4" w:space="0" w:color="auto"/>
              <w:bottom w:val="single" w:sz="4" w:space="0" w:color="auto"/>
              <w:right w:val="single" w:sz="4" w:space="0" w:color="auto"/>
            </w:tcBorders>
            <w:vAlign w:val="center"/>
          </w:tcPr>
          <w:p w14:paraId="4EF3D5E6" w14:textId="77777777" w:rsidR="0092254A" w:rsidRPr="00576299" w:rsidRDefault="0092254A" w:rsidP="00DF5823">
            <w:pPr>
              <w:pStyle w:val="TableText0"/>
              <w:keepLines/>
              <w:widowControl w:val="0"/>
              <w:jc w:val="center"/>
            </w:pPr>
            <w:r w:rsidRPr="00576299">
              <w:t>13 (14.4)</w:t>
            </w:r>
          </w:p>
        </w:tc>
      </w:tr>
      <w:tr w:rsidR="0092254A" w:rsidRPr="00576299" w14:paraId="2B68E97A" w14:textId="77777777" w:rsidTr="00274322">
        <w:trPr>
          <w:trHeight w:val="20"/>
        </w:trPr>
        <w:tc>
          <w:tcPr>
            <w:tcW w:w="2041" w:type="pct"/>
            <w:tcBorders>
              <w:top w:val="single" w:sz="4" w:space="0" w:color="auto"/>
              <w:bottom w:val="single" w:sz="4" w:space="0" w:color="auto"/>
            </w:tcBorders>
            <w:shd w:val="clear" w:color="auto" w:fill="auto"/>
            <w:vAlign w:val="center"/>
          </w:tcPr>
          <w:p w14:paraId="709500E0" w14:textId="77777777" w:rsidR="0092254A" w:rsidRPr="00576299" w:rsidRDefault="0092254A" w:rsidP="00DF5823">
            <w:pPr>
              <w:pStyle w:val="TableText0"/>
              <w:keepLines/>
              <w:widowControl w:val="0"/>
            </w:pPr>
            <w:r w:rsidRPr="00576299">
              <w:t>Pruritus</w:t>
            </w:r>
          </w:p>
        </w:tc>
        <w:tc>
          <w:tcPr>
            <w:tcW w:w="1022" w:type="pct"/>
            <w:tcBorders>
              <w:top w:val="single" w:sz="4" w:space="0" w:color="auto"/>
              <w:bottom w:val="single" w:sz="4" w:space="0" w:color="auto"/>
              <w:right w:val="single" w:sz="4" w:space="0" w:color="auto"/>
            </w:tcBorders>
            <w:shd w:val="clear" w:color="auto" w:fill="auto"/>
            <w:vAlign w:val="center"/>
          </w:tcPr>
          <w:p w14:paraId="1F4F7E66" w14:textId="77777777" w:rsidR="0092254A" w:rsidRPr="00576299" w:rsidRDefault="0092254A" w:rsidP="00DF5823">
            <w:pPr>
              <w:pStyle w:val="TableText0"/>
              <w:keepLines/>
              <w:widowControl w:val="0"/>
              <w:jc w:val="center"/>
            </w:pPr>
            <w:r w:rsidRPr="00576299">
              <w:t>19 (12.4)</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14:paraId="47B0CD9F" w14:textId="77777777" w:rsidR="0092254A" w:rsidRPr="00576299" w:rsidRDefault="0092254A" w:rsidP="00DF5823">
            <w:pPr>
              <w:pStyle w:val="TableText0"/>
              <w:keepLines/>
              <w:widowControl w:val="0"/>
              <w:jc w:val="center"/>
            </w:pPr>
            <w:r w:rsidRPr="00576299">
              <w:t>NR</w:t>
            </w:r>
          </w:p>
        </w:tc>
        <w:tc>
          <w:tcPr>
            <w:tcW w:w="837" w:type="pct"/>
            <w:tcBorders>
              <w:top w:val="single" w:sz="4" w:space="0" w:color="auto"/>
              <w:left w:val="single" w:sz="4" w:space="0" w:color="auto"/>
              <w:bottom w:val="single" w:sz="4" w:space="0" w:color="auto"/>
              <w:right w:val="single" w:sz="4" w:space="0" w:color="auto"/>
            </w:tcBorders>
            <w:vAlign w:val="center"/>
          </w:tcPr>
          <w:p w14:paraId="64CD19F0" w14:textId="77777777" w:rsidR="0092254A" w:rsidRPr="00576299" w:rsidRDefault="0092254A" w:rsidP="00DF5823">
            <w:pPr>
              <w:pStyle w:val="TableText0"/>
              <w:keepLines/>
              <w:widowControl w:val="0"/>
              <w:jc w:val="center"/>
            </w:pPr>
            <w:r w:rsidRPr="00576299">
              <w:t>22 (24.4)</w:t>
            </w:r>
          </w:p>
        </w:tc>
      </w:tr>
      <w:tr w:rsidR="0092254A" w:rsidRPr="00576299" w14:paraId="26D15CF2" w14:textId="77777777" w:rsidTr="00274322">
        <w:trPr>
          <w:trHeight w:val="20"/>
        </w:trPr>
        <w:tc>
          <w:tcPr>
            <w:tcW w:w="2041" w:type="pct"/>
            <w:tcBorders>
              <w:top w:val="single" w:sz="4" w:space="0" w:color="auto"/>
              <w:bottom w:val="single" w:sz="4" w:space="0" w:color="auto"/>
            </w:tcBorders>
            <w:shd w:val="clear" w:color="auto" w:fill="auto"/>
            <w:vAlign w:val="center"/>
          </w:tcPr>
          <w:p w14:paraId="72D1A643" w14:textId="77777777" w:rsidR="0092254A" w:rsidRPr="00576299" w:rsidRDefault="0092254A" w:rsidP="00DF5823">
            <w:pPr>
              <w:pStyle w:val="TableText0"/>
              <w:keepLines/>
              <w:widowControl w:val="0"/>
            </w:pPr>
            <w:r w:rsidRPr="00576299">
              <w:t>Anaemia</w:t>
            </w:r>
          </w:p>
        </w:tc>
        <w:tc>
          <w:tcPr>
            <w:tcW w:w="1022" w:type="pct"/>
            <w:tcBorders>
              <w:top w:val="single" w:sz="4" w:space="0" w:color="auto"/>
              <w:bottom w:val="single" w:sz="4" w:space="0" w:color="auto"/>
              <w:right w:val="single" w:sz="4" w:space="0" w:color="auto"/>
            </w:tcBorders>
            <w:shd w:val="clear" w:color="auto" w:fill="auto"/>
            <w:vAlign w:val="center"/>
          </w:tcPr>
          <w:p w14:paraId="6FE45A56" w14:textId="77777777" w:rsidR="0092254A" w:rsidRPr="00576299" w:rsidRDefault="0092254A" w:rsidP="00DF5823">
            <w:pPr>
              <w:pStyle w:val="TableText0"/>
              <w:keepLines/>
              <w:widowControl w:val="0"/>
              <w:jc w:val="center"/>
            </w:pPr>
            <w:r w:rsidRPr="00576299">
              <w:t>11 (7.2)</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14:paraId="266A9B24" w14:textId="77777777" w:rsidR="0092254A" w:rsidRPr="00576299" w:rsidRDefault="0092254A" w:rsidP="00DF5823">
            <w:pPr>
              <w:pStyle w:val="TableText0"/>
              <w:keepLines/>
              <w:widowControl w:val="0"/>
              <w:jc w:val="center"/>
            </w:pPr>
            <w:r w:rsidRPr="00576299">
              <w:t>58 (14.3)</w:t>
            </w:r>
          </w:p>
        </w:tc>
        <w:tc>
          <w:tcPr>
            <w:tcW w:w="837" w:type="pct"/>
            <w:tcBorders>
              <w:top w:val="single" w:sz="4" w:space="0" w:color="auto"/>
              <w:left w:val="single" w:sz="4" w:space="0" w:color="auto"/>
              <w:bottom w:val="single" w:sz="4" w:space="0" w:color="auto"/>
              <w:right w:val="single" w:sz="4" w:space="0" w:color="auto"/>
            </w:tcBorders>
            <w:vAlign w:val="center"/>
          </w:tcPr>
          <w:p w14:paraId="62CE7E55" w14:textId="77777777" w:rsidR="0092254A" w:rsidRPr="00576299" w:rsidRDefault="0092254A" w:rsidP="00DF5823">
            <w:pPr>
              <w:pStyle w:val="TableText0"/>
              <w:keepLines/>
              <w:widowControl w:val="0"/>
              <w:jc w:val="center"/>
            </w:pPr>
            <w:r w:rsidRPr="00576299">
              <w:t>NR</w:t>
            </w:r>
          </w:p>
        </w:tc>
      </w:tr>
      <w:tr w:rsidR="0092254A" w:rsidRPr="00576299" w14:paraId="238B93F1" w14:textId="77777777" w:rsidTr="00274322">
        <w:trPr>
          <w:trHeight w:val="20"/>
        </w:trPr>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8E77021" w14:textId="77777777" w:rsidR="0092254A" w:rsidRPr="00576299" w:rsidRDefault="0092254A" w:rsidP="00DF5823">
            <w:pPr>
              <w:pStyle w:val="TableText0"/>
              <w:keepLines/>
              <w:widowControl w:val="0"/>
            </w:pPr>
            <w:r w:rsidRPr="00576299">
              <w:t>Hypothyroidism</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71C56F03" w14:textId="77777777" w:rsidR="0092254A" w:rsidRPr="00576299" w:rsidRDefault="0092254A" w:rsidP="00DF5823">
            <w:pPr>
              <w:pStyle w:val="TableText0"/>
              <w:keepLines/>
              <w:widowControl w:val="0"/>
              <w:jc w:val="center"/>
            </w:pPr>
            <w:r w:rsidRPr="00576299">
              <w:t>17 (11.1)</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14:paraId="3E40BBCD" w14:textId="77777777" w:rsidR="0092254A" w:rsidRPr="00576299" w:rsidRDefault="0092254A" w:rsidP="00DF5823">
            <w:pPr>
              <w:pStyle w:val="TableText0"/>
              <w:keepLines/>
              <w:widowControl w:val="0"/>
              <w:jc w:val="center"/>
            </w:pPr>
            <w:r w:rsidRPr="00576299">
              <w:t>221 (54.4)</w:t>
            </w:r>
          </w:p>
        </w:tc>
        <w:tc>
          <w:tcPr>
            <w:tcW w:w="837" w:type="pct"/>
            <w:tcBorders>
              <w:top w:val="single" w:sz="4" w:space="0" w:color="auto"/>
              <w:left w:val="single" w:sz="4" w:space="0" w:color="auto"/>
              <w:bottom w:val="single" w:sz="4" w:space="0" w:color="auto"/>
              <w:right w:val="single" w:sz="4" w:space="0" w:color="auto"/>
            </w:tcBorders>
            <w:vAlign w:val="center"/>
          </w:tcPr>
          <w:p w14:paraId="54718F19" w14:textId="77777777" w:rsidR="0092254A" w:rsidRPr="00576299" w:rsidRDefault="0092254A" w:rsidP="00DF5823">
            <w:pPr>
              <w:pStyle w:val="TableText0"/>
              <w:keepLines/>
              <w:widowControl w:val="0"/>
              <w:jc w:val="center"/>
            </w:pPr>
            <w:r w:rsidRPr="00576299">
              <w:t>12 (13.3)</w:t>
            </w:r>
          </w:p>
        </w:tc>
      </w:tr>
      <w:tr w:rsidR="0092254A" w:rsidRPr="00576299" w14:paraId="0973C57B" w14:textId="77777777" w:rsidTr="00274322">
        <w:trPr>
          <w:trHeight w:val="20"/>
        </w:trPr>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CB74092" w14:textId="77777777" w:rsidR="0092254A" w:rsidRPr="00576299" w:rsidRDefault="0092254A" w:rsidP="00DF5823">
            <w:pPr>
              <w:pStyle w:val="TableText0"/>
              <w:keepLines/>
              <w:widowControl w:val="0"/>
            </w:pPr>
            <w:r w:rsidRPr="00576299">
              <w:t>Rash</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5D34E778" w14:textId="77777777" w:rsidR="0092254A" w:rsidRPr="00576299" w:rsidRDefault="0092254A" w:rsidP="00DF5823">
            <w:pPr>
              <w:pStyle w:val="TableText0"/>
              <w:keepLines/>
              <w:widowControl w:val="0"/>
              <w:jc w:val="center"/>
            </w:pPr>
            <w:r w:rsidRPr="00576299">
              <w:t>14 (9.2)</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14:paraId="51A0DCE8" w14:textId="77777777" w:rsidR="0092254A" w:rsidRPr="00576299" w:rsidRDefault="0092254A" w:rsidP="00DF5823">
            <w:pPr>
              <w:pStyle w:val="TableText0"/>
              <w:keepLines/>
              <w:widowControl w:val="0"/>
              <w:jc w:val="center"/>
            </w:pPr>
            <w:r w:rsidRPr="00576299">
              <w:t>47 (11.6)</w:t>
            </w:r>
          </w:p>
        </w:tc>
        <w:tc>
          <w:tcPr>
            <w:tcW w:w="837" w:type="pct"/>
            <w:tcBorders>
              <w:top w:val="single" w:sz="4" w:space="0" w:color="auto"/>
              <w:left w:val="single" w:sz="4" w:space="0" w:color="auto"/>
              <w:bottom w:val="single" w:sz="4" w:space="0" w:color="auto"/>
              <w:right w:val="single" w:sz="4" w:space="0" w:color="auto"/>
            </w:tcBorders>
            <w:vAlign w:val="center"/>
          </w:tcPr>
          <w:p w14:paraId="234782DB" w14:textId="77777777" w:rsidR="0092254A" w:rsidRPr="00576299" w:rsidRDefault="0092254A" w:rsidP="00DF5823">
            <w:pPr>
              <w:pStyle w:val="TableText0"/>
              <w:keepLines/>
              <w:widowControl w:val="0"/>
              <w:jc w:val="center"/>
            </w:pPr>
            <w:r w:rsidRPr="00576299">
              <w:t>10 (11.1)</w:t>
            </w:r>
          </w:p>
        </w:tc>
      </w:tr>
    </w:tbl>
    <w:p w14:paraId="25824A29" w14:textId="64856EC9" w:rsidR="00B9009B" w:rsidRPr="00576299" w:rsidRDefault="00B9009B" w:rsidP="00DF5823">
      <w:pPr>
        <w:pStyle w:val="TableFooter"/>
        <w:keepNext/>
        <w:keepLines/>
        <w:widowControl w:val="0"/>
      </w:pPr>
      <w:r w:rsidRPr="00576299">
        <w:t>Source</w:t>
      </w:r>
      <w:r w:rsidR="00EF7F18" w:rsidRPr="00576299">
        <w:t>s</w:t>
      </w:r>
      <w:r w:rsidRPr="00576299">
        <w:t>:</w:t>
      </w:r>
      <w:r w:rsidR="00EF7F18" w:rsidRPr="00576299">
        <w:t xml:space="preserve"> Table</w:t>
      </w:r>
      <w:r w:rsidR="002B2253" w:rsidRPr="00576299">
        <w:t>s</w:t>
      </w:r>
      <w:r w:rsidR="00EF7F18" w:rsidRPr="00576299">
        <w:t xml:space="preserve"> 52</w:t>
      </w:r>
      <w:r w:rsidR="002B2253" w:rsidRPr="00576299">
        <w:t>, 53 and 54, p</w:t>
      </w:r>
      <w:r w:rsidR="00EF7F18" w:rsidRPr="00576299">
        <w:t>p135</w:t>
      </w:r>
      <w:r w:rsidR="002B2253" w:rsidRPr="00576299">
        <w:t>, 136 and 137</w:t>
      </w:r>
      <w:r w:rsidR="00EF7F18" w:rsidRPr="00576299">
        <w:t xml:space="preserve"> of the resubmission</w:t>
      </w:r>
      <w:r w:rsidR="002B2253" w:rsidRPr="00576299">
        <w:t>, O’Malley 2022.</w:t>
      </w:r>
    </w:p>
    <w:p w14:paraId="6B6E4ACD" w14:textId="40500360" w:rsidR="0092254A" w:rsidRPr="00576299" w:rsidRDefault="0092254A" w:rsidP="00DF5823">
      <w:pPr>
        <w:pStyle w:val="TableFooter"/>
        <w:keepNext/>
        <w:keepLines/>
        <w:widowControl w:val="0"/>
      </w:pPr>
      <w:r w:rsidRPr="00576299">
        <w:t xml:space="preserve">ITT = intention to treat; NR = not reported; PEM+LEN = pembrolizumab + </w:t>
      </w:r>
      <w:r w:rsidR="00896ADE" w:rsidRPr="00576299">
        <w:t>l</w:t>
      </w:r>
      <w:r w:rsidRPr="00576299">
        <w:t>envatinib; TRAE = treatment-related adverse event.</w:t>
      </w:r>
    </w:p>
    <w:p w14:paraId="1B742954" w14:textId="26DD3B87" w:rsidR="00074B63" w:rsidRPr="00576299" w:rsidRDefault="0092254A" w:rsidP="00DF5823">
      <w:pPr>
        <w:pStyle w:val="TableFooter"/>
        <w:keepNext/>
        <w:keepLines/>
        <w:widowControl w:val="0"/>
      </w:pPr>
      <w:r w:rsidRPr="00576299">
        <w:t xml:space="preserve">a </w:t>
      </w:r>
      <w:r w:rsidR="00074B63" w:rsidRPr="00576299">
        <w:t>Table presents TRAEs reported in over 20% of patients</w:t>
      </w:r>
      <w:r w:rsidR="00F13351" w:rsidRPr="00576299">
        <w:t xml:space="preserve"> for any of the relevant treatment arms</w:t>
      </w:r>
      <w:r w:rsidR="00074B63" w:rsidRPr="00576299">
        <w:t xml:space="preserve"> of </w:t>
      </w:r>
      <w:r w:rsidR="00F13351" w:rsidRPr="00576299">
        <w:t xml:space="preserve">GARNET Cohort A1 (IA3), </w:t>
      </w:r>
      <w:r w:rsidR="00074B63" w:rsidRPr="00576299">
        <w:t>KEYNOTE-775</w:t>
      </w:r>
      <w:r w:rsidR="00F13351" w:rsidRPr="00576299">
        <w:t xml:space="preserve"> or KEYNOTE-158</w:t>
      </w:r>
      <w:r w:rsidR="00074B63" w:rsidRPr="00576299">
        <w:t>.</w:t>
      </w:r>
    </w:p>
    <w:p w14:paraId="7195E78F" w14:textId="0E1D7C1B" w:rsidR="0092254A" w:rsidRPr="00576299" w:rsidRDefault="0092254A" w:rsidP="00422A71">
      <w:pPr>
        <w:pStyle w:val="TableFooter"/>
        <w:keepNext/>
        <w:keepLines/>
        <w:widowControl w:val="0"/>
        <w:spacing w:after="120"/>
      </w:pPr>
      <w:r w:rsidRPr="00576299">
        <w:t>b For PEM+LEN, individual any grade TRAEs could not be independently verified. The number of patients experiencing each TRAE was not provided in the resubmission. These figures were estimated by multiplying 406 x % of the TRAE.</w:t>
      </w:r>
    </w:p>
    <w:p w14:paraId="49BB76F7" w14:textId="01A87B56" w:rsidR="002226CD" w:rsidRPr="004654C2" w:rsidRDefault="00805538" w:rsidP="003540F6">
      <w:pPr>
        <w:pStyle w:val="3-BodyText"/>
      </w:pPr>
      <w:r w:rsidRPr="00576299">
        <w:t>Adverse events which were likely related to lenvatinib such as hypertension</w:t>
      </w:r>
      <w:r w:rsidR="00CC3CF3" w:rsidRPr="00576299">
        <w:t xml:space="preserve"> (</w:t>
      </w:r>
      <w:r w:rsidR="00BC4502" w:rsidRPr="00576299">
        <w:t>248/406, 61.1%)</w:t>
      </w:r>
      <w:r w:rsidRPr="00576299">
        <w:t xml:space="preserve">, </w:t>
      </w:r>
      <w:r w:rsidR="00274322" w:rsidRPr="00576299">
        <w:t xml:space="preserve">decreased appetite (149/406, 36.7%) and </w:t>
      </w:r>
      <w:r w:rsidR="00BC4502" w:rsidRPr="00576299">
        <w:t xml:space="preserve">proteinuria </w:t>
      </w:r>
      <w:r w:rsidR="00274322" w:rsidRPr="00576299">
        <w:t xml:space="preserve">(102/406, 25.1%) were also reported in KEYNOTE-775 </w:t>
      </w:r>
      <w:r w:rsidR="00274322" w:rsidRPr="004654C2">
        <w:t xml:space="preserve">but </w:t>
      </w:r>
      <w:r w:rsidR="00460B74" w:rsidRPr="004654C2">
        <w:t>the incidence of these events in</w:t>
      </w:r>
      <w:r w:rsidR="00274322" w:rsidRPr="004654C2">
        <w:t xml:space="preserve"> GARNET</w:t>
      </w:r>
      <w:r w:rsidR="00460B74" w:rsidRPr="004654C2">
        <w:t xml:space="preserve"> was low (hypertension: 1/153 (0.7%), decreased appetite: 8/153 (5.2%), proteinuria: 1/153 (0.7%))</w:t>
      </w:r>
      <w:r w:rsidR="002226CD" w:rsidRPr="004654C2">
        <w:t>.</w:t>
      </w:r>
      <w:r w:rsidR="00A151BB" w:rsidRPr="004654C2">
        <w:t xml:space="preserve"> </w:t>
      </w:r>
    </w:p>
    <w:p w14:paraId="215033F6" w14:textId="7F715203" w:rsidR="00A151BB" w:rsidRPr="00576299" w:rsidRDefault="00250DD2" w:rsidP="0092254A">
      <w:pPr>
        <w:pStyle w:val="3-BodyText"/>
      </w:pPr>
      <w:bookmarkStart w:id="48" w:name="_Ref111507516"/>
      <w:bookmarkStart w:id="49" w:name="_Toc22897643"/>
      <w:r w:rsidRPr="00576299">
        <w:t xml:space="preserve">As noted previously, </w:t>
      </w:r>
      <w:r w:rsidR="0021798D" w:rsidRPr="00576299">
        <w:t xml:space="preserve">the number of patient-years of treatment with dostarlimab was low (paragraph 6.38, dostarlimab </w:t>
      </w:r>
      <w:r w:rsidR="008A7CB8" w:rsidRPr="00576299">
        <w:t>PSD</w:t>
      </w:r>
      <w:r w:rsidR="00C52965" w:rsidRPr="00576299">
        <w:t>, March 2022 PBAC meeting)</w:t>
      </w:r>
      <w:r w:rsidR="00357CAC" w:rsidRPr="00576299">
        <w:t xml:space="preserve"> and therefore the long</w:t>
      </w:r>
      <w:r w:rsidR="001C6454" w:rsidRPr="00576299">
        <w:t>-</w:t>
      </w:r>
      <w:r w:rsidR="00357CAC" w:rsidRPr="00576299">
        <w:t>term safety with dostarlimab was uncertain</w:t>
      </w:r>
      <w:r w:rsidR="0092254A" w:rsidRPr="00576299">
        <w:t>.</w:t>
      </w:r>
      <w:bookmarkEnd w:id="48"/>
      <w:r w:rsidR="00357CAC" w:rsidRPr="00576299">
        <w:t xml:space="preserve"> </w:t>
      </w:r>
      <w:r w:rsidR="00343BC5" w:rsidRPr="00576299">
        <w:t xml:space="preserve">Nonetheless, the PBAC had previously considered that the safety </w:t>
      </w:r>
      <w:r w:rsidR="001210A3" w:rsidRPr="00576299">
        <w:t xml:space="preserve">of dostarlimab may be </w:t>
      </w:r>
      <w:r w:rsidR="00357CAC" w:rsidRPr="00576299">
        <w:t>consistent with other PD</w:t>
      </w:r>
      <w:r w:rsidR="00A151BB" w:rsidRPr="00576299">
        <w:noBreakHyphen/>
        <w:t>(</w:t>
      </w:r>
      <w:r w:rsidR="00357CAC" w:rsidRPr="00576299">
        <w:t>L)1 inhibitors (paragraph</w:t>
      </w:r>
      <w:r w:rsidR="001210A3" w:rsidRPr="00576299">
        <w:t>s</w:t>
      </w:r>
      <w:r w:rsidR="00357CAC" w:rsidRPr="00576299">
        <w:t xml:space="preserve"> </w:t>
      </w:r>
      <w:r w:rsidR="001210A3" w:rsidRPr="00576299">
        <w:t xml:space="preserve">6.34 and </w:t>
      </w:r>
      <w:r w:rsidR="00357CAC" w:rsidRPr="00576299">
        <w:t xml:space="preserve">7.7, dostarlimab </w:t>
      </w:r>
      <w:r w:rsidR="008A7CB8" w:rsidRPr="00576299">
        <w:t>PSD</w:t>
      </w:r>
      <w:r w:rsidR="00357CAC" w:rsidRPr="00576299">
        <w:t>, March 2022 PBAC meeting).</w:t>
      </w:r>
      <w:r w:rsidR="00214C77" w:rsidRPr="00576299">
        <w:t xml:space="preserve"> </w:t>
      </w:r>
      <w:r w:rsidR="00A151BB" w:rsidRPr="004654C2">
        <w:t>The ESC noted th</w:t>
      </w:r>
      <w:r w:rsidR="003E1D1A" w:rsidRPr="004654C2">
        <w:t xml:space="preserve">e limitations of the </w:t>
      </w:r>
      <w:r w:rsidR="00A151BB" w:rsidRPr="004654C2">
        <w:t>safety data available, however, overall</w:t>
      </w:r>
      <w:r w:rsidR="00745D8B" w:rsidRPr="004654C2">
        <w:t>,</w:t>
      </w:r>
      <w:r w:rsidR="00A151BB" w:rsidRPr="004654C2">
        <w:t xml:space="preserve"> considered that dostarlimab alone appears less toxic than the combination of PEM+LEN.</w:t>
      </w:r>
    </w:p>
    <w:p w14:paraId="73D9529F" w14:textId="77777777" w:rsidR="0092254A" w:rsidRPr="00576299" w:rsidRDefault="0092254A" w:rsidP="0092254A">
      <w:pPr>
        <w:pStyle w:val="4-SubsectionHeading"/>
      </w:pPr>
      <w:bookmarkStart w:id="50" w:name="_Toc114052526"/>
      <w:r w:rsidRPr="00576299">
        <w:t>Benefits/harms</w:t>
      </w:r>
      <w:bookmarkEnd w:id="49"/>
      <w:bookmarkEnd w:id="50"/>
    </w:p>
    <w:p w14:paraId="73439CD6" w14:textId="6C64EF67" w:rsidR="0092254A" w:rsidRPr="00576299" w:rsidRDefault="0092254A" w:rsidP="0092254A">
      <w:pPr>
        <w:pStyle w:val="3-BodyText"/>
      </w:pPr>
      <w:r w:rsidRPr="00576299">
        <w:t xml:space="preserve">A summary of the comparative survival benefits for dostarlimab versus SoC (doxorubicin) based on the IPTW analysis (adjusted) is presented in the </w:t>
      </w:r>
      <w:r w:rsidRPr="00576299">
        <w:fldChar w:fldCharType="begin"/>
      </w:r>
      <w:r w:rsidRPr="00576299">
        <w:instrText xml:space="preserve"> REF _Ref111445900 \h </w:instrText>
      </w:r>
      <w:r w:rsidRPr="00576299">
        <w:fldChar w:fldCharType="separate"/>
      </w:r>
      <w:r w:rsidR="00CD09E9" w:rsidRPr="00576299">
        <w:t xml:space="preserve">Table </w:t>
      </w:r>
      <w:r w:rsidR="00CD09E9">
        <w:rPr>
          <w:noProof/>
        </w:rPr>
        <w:t>13</w:t>
      </w:r>
      <w:r w:rsidRPr="00576299">
        <w:fldChar w:fldCharType="end"/>
      </w:r>
      <w:r w:rsidRPr="00576299">
        <w:t xml:space="preserve">. </w:t>
      </w:r>
    </w:p>
    <w:p w14:paraId="03E4C059" w14:textId="5DEE1FF3" w:rsidR="0092254A" w:rsidRPr="00576299" w:rsidRDefault="0092254A" w:rsidP="00621DDB">
      <w:pPr>
        <w:pStyle w:val="Caption"/>
      </w:pPr>
      <w:bookmarkStart w:id="51" w:name="_Ref111445900"/>
      <w:r w:rsidRPr="00576299">
        <w:lastRenderedPageBreak/>
        <w:t xml:space="preserve">Table </w:t>
      </w:r>
      <w:fldSimple w:instr=" SEQ Table \* ARABIC ">
        <w:r w:rsidR="00CD09E9">
          <w:rPr>
            <w:noProof/>
          </w:rPr>
          <w:t>13</w:t>
        </w:r>
      </w:fldSimple>
      <w:bookmarkEnd w:id="51"/>
      <w:r w:rsidRPr="00576299">
        <w:rPr>
          <w:rStyle w:val="CommentReference"/>
          <w:b/>
          <w:szCs w:val="18"/>
        </w:rPr>
        <w:t xml:space="preserve">: Summary of OS </w:t>
      </w:r>
      <w:r w:rsidR="001D6D72" w:rsidRPr="00576299">
        <w:rPr>
          <w:rStyle w:val="CommentReference"/>
          <w:b/>
          <w:szCs w:val="18"/>
        </w:rPr>
        <w:t xml:space="preserve">with </w:t>
      </w:r>
      <w:r w:rsidRPr="00576299">
        <w:rPr>
          <w:rStyle w:val="CommentReference"/>
          <w:b/>
          <w:szCs w:val="18"/>
        </w:rPr>
        <w:t>adjusting stabilised-IPTW</w:t>
      </w:r>
      <w:r w:rsidR="007B1CD9">
        <w:rPr>
          <w:rStyle w:val="CommentReference"/>
          <w:b/>
          <w:szCs w:val="18"/>
        </w:rPr>
        <w:t>*</w:t>
      </w:r>
    </w:p>
    <w:tbl>
      <w:tblPr>
        <w:tblStyle w:val="TableGrid"/>
        <w:tblW w:w="5000" w:type="pct"/>
        <w:tblCellMar>
          <w:left w:w="28" w:type="dxa"/>
          <w:right w:w="28" w:type="dxa"/>
        </w:tblCellMar>
        <w:tblLook w:val="04A0" w:firstRow="1" w:lastRow="0" w:firstColumn="1" w:lastColumn="0" w:noHBand="0" w:noVBand="1"/>
      </w:tblPr>
      <w:tblGrid>
        <w:gridCol w:w="2122"/>
        <w:gridCol w:w="3259"/>
        <w:gridCol w:w="1984"/>
        <w:gridCol w:w="1652"/>
      </w:tblGrid>
      <w:tr w:rsidR="001D6D72" w:rsidRPr="00576299" w14:paraId="771D6201" w14:textId="77777777" w:rsidTr="002E1771">
        <w:trPr>
          <w:trHeight w:val="20"/>
        </w:trPr>
        <w:tc>
          <w:tcPr>
            <w:tcW w:w="5000" w:type="pct"/>
            <w:gridSpan w:val="4"/>
          </w:tcPr>
          <w:p w14:paraId="58A96F3D" w14:textId="77777777" w:rsidR="001D6D72" w:rsidRPr="00576299" w:rsidRDefault="001D6D72" w:rsidP="00621DDB">
            <w:pPr>
              <w:pStyle w:val="TableText0"/>
              <w:keepLines/>
              <w:widowControl w:val="0"/>
              <w:rPr>
                <w:b/>
              </w:rPr>
            </w:pPr>
            <w:r w:rsidRPr="00576299">
              <w:rPr>
                <w:b/>
              </w:rPr>
              <w:t>Benefits</w:t>
            </w:r>
          </w:p>
        </w:tc>
      </w:tr>
      <w:tr w:rsidR="001D6D72" w:rsidRPr="00576299" w14:paraId="02A36AF0" w14:textId="77777777" w:rsidTr="00621DDB">
        <w:trPr>
          <w:trHeight w:val="20"/>
        </w:trPr>
        <w:tc>
          <w:tcPr>
            <w:tcW w:w="1177" w:type="pct"/>
            <w:tcBorders>
              <w:bottom w:val="single" w:sz="4" w:space="0" w:color="auto"/>
            </w:tcBorders>
            <w:shd w:val="clear" w:color="auto" w:fill="auto"/>
            <w:vAlign w:val="center"/>
          </w:tcPr>
          <w:p w14:paraId="3D45C151" w14:textId="77777777" w:rsidR="001D6D72" w:rsidRPr="00576299" w:rsidRDefault="001D6D72" w:rsidP="00621DDB">
            <w:pPr>
              <w:pStyle w:val="TableText0"/>
              <w:keepLines/>
              <w:widowControl w:val="0"/>
              <w:rPr>
                <w:b/>
              </w:rPr>
            </w:pPr>
            <w:r w:rsidRPr="00576299">
              <w:rPr>
                <w:b/>
              </w:rPr>
              <w:t>Analysis</w:t>
            </w:r>
          </w:p>
        </w:tc>
        <w:tc>
          <w:tcPr>
            <w:tcW w:w="1807" w:type="pct"/>
            <w:tcBorders>
              <w:bottom w:val="single" w:sz="4" w:space="0" w:color="auto"/>
            </w:tcBorders>
            <w:shd w:val="clear" w:color="auto" w:fill="auto"/>
            <w:vAlign w:val="center"/>
          </w:tcPr>
          <w:p w14:paraId="38160B21" w14:textId="77777777" w:rsidR="001D6D72" w:rsidRPr="00576299" w:rsidRDefault="001D6D72" w:rsidP="00621DDB">
            <w:pPr>
              <w:pStyle w:val="TableText0"/>
              <w:keepLines/>
              <w:widowControl w:val="0"/>
              <w:jc w:val="center"/>
              <w:rPr>
                <w:b/>
              </w:rPr>
            </w:pPr>
            <w:r w:rsidRPr="00576299">
              <w:rPr>
                <w:b/>
              </w:rPr>
              <w:t xml:space="preserve">Dostarlimab </w:t>
            </w:r>
          </w:p>
          <w:p w14:paraId="40B5CE80" w14:textId="77777777" w:rsidR="001D6D72" w:rsidRPr="00576299" w:rsidRDefault="001D6D72" w:rsidP="00621DDB">
            <w:pPr>
              <w:pStyle w:val="TableText0"/>
              <w:keepLines/>
              <w:widowControl w:val="0"/>
              <w:jc w:val="center"/>
              <w:rPr>
                <w:b/>
              </w:rPr>
            </w:pPr>
            <w:r w:rsidRPr="00576299">
              <w:rPr>
                <w:b/>
              </w:rPr>
              <w:t>Events, n/N (%)</w:t>
            </w:r>
          </w:p>
        </w:tc>
        <w:tc>
          <w:tcPr>
            <w:tcW w:w="1100" w:type="pct"/>
            <w:tcBorders>
              <w:bottom w:val="single" w:sz="4" w:space="0" w:color="auto"/>
            </w:tcBorders>
            <w:shd w:val="clear" w:color="auto" w:fill="auto"/>
            <w:vAlign w:val="center"/>
          </w:tcPr>
          <w:p w14:paraId="19BFD25A" w14:textId="77777777" w:rsidR="001D6D72" w:rsidRPr="00576299" w:rsidRDefault="001D6D72" w:rsidP="00621DDB">
            <w:pPr>
              <w:pStyle w:val="TableText0"/>
              <w:keepLines/>
              <w:widowControl w:val="0"/>
              <w:jc w:val="center"/>
              <w:rPr>
                <w:b/>
              </w:rPr>
            </w:pPr>
            <w:r w:rsidRPr="00576299">
              <w:rPr>
                <w:b/>
              </w:rPr>
              <w:t>Doxorubicin</w:t>
            </w:r>
          </w:p>
          <w:p w14:paraId="6EF595F8" w14:textId="77777777" w:rsidR="001D6D72" w:rsidRPr="00576299" w:rsidRDefault="001D6D72" w:rsidP="00621DDB">
            <w:pPr>
              <w:pStyle w:val="TableText0"/>
              <w:keepLines/>
              <w:widowControl w:val="0"/>
              <w:jc w:val="center"/>
              <w:rPr>
                <w:b/>
              </w:rPr>
            </w:pPr>
            <w:r w:rsidRPr="00576299">
              <w:rPr>
                <w:b/>
              </w:rPr>
              <w:t>Events, n/N (%)</w:t>
            </w:r>
          </w:p>
        </w:tc>
        <w:tc>
          <w:tcPr>
            <w:tcW w:w="916" w:type="pct"/>
            <w:tcBorders>
              <w:bottom w:val="single" w:sz="4" w:space="0" w:color="auto"/>
            </w:tcBorders>
            <w:shd w:val="clear" w:color="auto" w:fill="auto"/>
            <w:vAlign w:val="center"/>
          </w:tcPr>
          <w:p w14:paraId="5E872BAD" w14:textId="77777777" w:rsidR="001D6D72" w:rsidRPr="00576299" w:rsidRDefault="001D6D72" w:rsidP="00621DDB">
            <w:pPr>
              <w:pStyle w:val="TableText0"/>
              <w:keepLines/>
              <w:widowControl w:val="0"/>
              <w:jc w:val="center"/>
              <w:rPr>
                <w:b/>
              </w:rPr>
            </w:pPr>
            <w:r w:rsidRPr="00576299">
              <w:rPr>
                <w:b/>
              </w:rPr>
              <w:t>HR (95% CI)</w:t>
            </w:r>
          </w:p>
        </w:tc>
      </w:tr>
      <w:tr w:rsidR="001D6D72" w:rsidRPr="00576299" w14:paraId="7FC34868" w14:textId="77777777" w:rsidTr="002E1771">
        <w:trPr>
          <w:trHeight w:val="20"/>
        </w:trPr>
        <w:tc>
          <w:tcPr>
            <w:tcW w:w="5000" w:type="pct"/>
            <w:gridSpan w:val="4"/>
            <w:tcBorders>
              <w:bottom w:val="single" w:sz="4" w:space="0" w:color="auto"/>
            </w:tcBorders>
            <w:shd w:val="clear" w:color="auto" w:fill="auto"/>
            <w:vAlign w:val="center"/>
          </w:tcPr>
          <w:p w14:paraId="524A198E" w14:textId="77777777" w:rsidR="001D6D72" w:rsidRPr="00576299" w:rsidRDefault="001D6D72" w:rsidP="00621DDB">
            <w:pPr>
              <w:pStyle w:val="TableText0"/>
              <w:keepLines/>
              <w:widowControl w:val="0"/>
              <w:rPr>
                <w:b/>
              </w:rPr>
            </w:pPr>
            <w:r w:rsidRPr="00576299">
              <w:rPr>
                <w:b/>
              </w:rPr>
              <w:t>Overall survival</w:t>
            </w:r>
          </w:p>
        </w:tc>
      </w:tr>
      <w:tr w:rsidR="001D6D72" w:rsidRPr="00576299" w14:paraId="5FE51E0A" w14:textId="77777777" w:rsidTr="00621DDB">
        <w:trPr>
          <w:trHeight w:val="339"/>
        </w:trPr>
        <w:tc>
          <w:tcPr>
            <w:tcW w:w="1177" w:type="pct"/>
            <w:tcBorders>
              <w:right w:val="single" w:sz="4" w:space="0" w:color="auto"/>
            </w:tcBorders>
            <w:shd w:val="clear" w:color="auto" w:fill="auto"/>
            <w:vAlign w:val="center"/>
          </w:tcPr>
          <w:p w14:paraId="01BDBD3D" w14:textId="77777777" w:rsidR="001D6D72" w:rsidRPr="00576299" w:rsidRDefault="001D6D72" w:rsidP="00621DDB">
            <w:pPr>
              <w:pStyle w:val="TableText0"/>
              <w:keepLines/>
              <w:widowControl w:val="0"/>
            </w:pPr>
            <w:r w:rsidRPr="00576299">
              <w:t>IPTW adjusted analysis</w:t>
            </w:r>
          </w:p>
        </w:tc>
        <w:tc>
          <w:tcPr>
            <w:tcW w:w="1807" w:type="pct"/>
            <w:tcBorders>
              <w:left w:val="single" w:sz="4" w:space="0" w:color="auto"/>
              <w:bottom w:val="single" w:sz="4" w:space="0" w:color="auto"/>
              <w:right w:val="single" w:sz="4" w:space="0" w:color="auto"/>
            </w:tcBorders>
            <w:shd w:val="clear" w:color="auto" w:fill="auto"/>
            <w:vAlign w:val="center"/>
          </w:tcPr>
          <w:p w14:paraId="67117F96" w14:textId="77777777" w:rsidR="001D6D72" w:rsidRPr="00576299" w:rsidRDefault="001D6D72" w:rsidP="00621DDB">
            <w:pPr>
              <w:pStyle w:val="TableText0"/>
              <w:keepLines/>
              <w:widowControl w:val="0"/>
              <w:jc w:val="center"/>
            </w:pPr>
            <w:r w:rsidRPr="00576299">
              <w:t>GARNET Cohort A1 (adjusted MAS): 44.6/128.2 (34.8)</w:t>
            </w:r>
          </w:p>
        </w:tc>
        <w:tc>
          <w:tcPr>
            <w:tcW w:w="1100" w:type="pct"/>
            <w:tcBorders>
              <w:left w:val="single" w:sz="4" w:space="0" w:color="auto"/>
              <w:bottom w:val="single" w:sz="4" w:space="0" w:color="auto"/>
              <w:right w:val="single" w:sz="4" w:space="0" w:color="auto"/>
            </w:tcBorders>
            <w:shd w:val="clear" w:color="auto" w:fill="auto"/>
            <w:vAlign w:val="center"/>
          </w:tcPr>
          <w:p w14:paraId="255880B4" w14:textId="77777777" w:rsidR="001D6D72" w:rsidRPr="00576299" w:rsidRDefault="001D6D72" w:rsidP="00621DDB">
            <w:pPr>
              <w:pStyle w:val="TableText0"/>
              <w:keepLines/>
              <w:widowControl w:val="0"/>
              <w:jc w:val="center"/>
            </w:pPr>
            <w:r w:rsidRPr="00576299">
              <w:t xml:space="preserve">ZoptEC (adjusted MAS): </w:t>
            </w:r>
          </w:p>
          <w:p w14:paraId="4F4E3063" w14:textId="77777777" w:rsidR="001D6D72" w:rsidRPr="00576299" w:rsidRDefault="001D6D72" w:rsidP="00621DDB">
            <w:pPr>
              <w:pStyle w:val="TableText0"/>
              <w:keepLines/>
              <w:widowControl w:val="0"/>
              <w:jc w:val="center"/>
            </w:pPr>
            <w:r w:rsidRPr="00576299">
              <w:t>177/237 (74.8)</w:t>
            </w:r>
          </w:p>
        </w:tc>
        <w:tc>
          <w:tcPr>
            <w:tcW w:w="916" w:type="pct"/>
            <w:tcBorders>
              <w:left w:val="single" w:sz="4" w:space="0" w:color="auto"/>
              <w:bottom w:val="single" w:sz="4" w:space="0" w:color="auto"/>
            </w:tcBorders>
            <w:shd w:val="clear" w:color="auto" w:fill="auto"/>
            <w:vAlign w:val="center"/>
          </w:tcPr>
          <w:p w14:paraId="05A32C3F" w14:textId="77777777" w:rsidR="001D6D72" w:rsidRPr="00576299" w:rsidRDefault="001D6D72" w:rsidP="00621DDB">
            <w:pPr>
              <w:pStyle w:val="TableText0"/>
              <w:keepLines/>
              <w:widowControl w:val="0"/>
              <w:jc w:val="center"/>
              <w:rPr>
                <w:b/>
              </w:rPr>
            </w:pPr>
            <w:r w:rsidRPr="00576299">
              <w:rPr>
                <w:b/>
              </w:rPr>
              <w:t>0.294 (0.212, 0.406)</w:t>
            </w:r>
          </w:p>
        </w:tc>
      </w:tr>
    </w:tbl>
    <w:p w14:paraId="73BE4577" w14:textId="56A76AEA" w:rsidR="001D6D72" w:rsidRPr="00576299" w:rsidRDefault="001D6D72" w:rsidP="00621DDB">
      <w:pPr>
        <w:pStyle w:val="TableFooter"/>
        <w:keepNext/>
        <w:keepLines/>
      </w:pPr>
      <w:r w:rsidRPr="00576299">
        <w:t>Source:</w:t>
      </w:r>
      <w:r w:rsidRPr="00576299">
        <w:rPr>
          <w:szCs w:val="18"/>
        </w:rPr>
        <w:t xml:space="preserve"> Table</w:t>
      </w:r>
      <w:r w:rsidR="002B2253" w:rsidRPr="00576299">
        <w:rPr>
          <w:szCs w:val="18"/>
        </w:rPr>
        <w:t>s</w:t>
      </w:r>
      <w:r w:rsidRPr="00576299">
        <w:rPr>
          <w:szCs w:val="18"/>
        </w:rPr>
        <w:t xml:space="preserve"> 70 and 71, p167 of the resubmission</w:t>
      </w:r>
    </w:p>
    <w:p w14:paraId="1A41A280" w14:textId="1693CA7C" w:rsidR="0092254A" w:rsidRDefault="001D6D72" w:rsidP="007B1CD9">
      <w:pPr>
        <w:pStyle w:val="TableFooter"/>
        <w:keepNext/>
        <w:keepLines/>
      </w:pPr>
      <w:r w:rsidRPr="00576299">
        <w:t>CI = confidence interval; HR = hazard ratio; IPTW = inverse probability treatment weighting; MAS = main analysis set (for adjusted indirect comparison); n = number of participants with event; N = total participants in group.</w:t>
      </w:r>
    </w:p>
    <w:p w14:paraId="3ECBAEB8" w14:textId="6D258CC2" w:rsidR="007B1CD9" w:rsidRPr="00576299" w:rsidRDefault="007B1CD9" w:rsidP="007B1CD9">
      <w:pPr>
        <w:pStyle w:val="TableFooter"/>
        <w:keepNext/>
        <w:keepLines/>
      </w:pPr>
      <w:r>
        <w:t>*</w:t>
      </w:r>
      <w:r w:rsidRPr="007B1CD9">
        <w:rPr>
          <w:i/>
          <w:iCs/>
        </w:rPr>
        <w:t>Note that the IPTW adjusted analyses are derived from a post-hoc analysis performed specifically for the purposes of informing the PBAC consideration. This analysis was not part of the pre-specified statistical plan for GARNET and ZoptEC. Interpretation of the results and their application should therefore be limited to seeking to understand the basis for the PBAC outcome and should not be used for any other purpose</w:t>
      </w:r>
    </w:p>
    <w:p w14:paraId="5247BBA7" w14:textId="5BEB3670" w:rsidR="00F70D8C" w:rsidRPr="00576299" w:rsidRDefault="00F70D8C" w:rsidP="00F70D8C">
      <w:pPr>
        <w:pStyle w:val="3-BodyText"/>
      </w:pPr>
      <w:r w:rsidRPr="00576299">
        <w:t xml:space="preserve">On the basis of </w:t>
      </w:r>
      <w:r w:rsidR="00DC5AF6" w:rsidRPr="00576299">
        <w:t>the IPTW analysis (adjusted)</w:t>
      </w:r>
      <w:r w:rsidRPr="00576299">
        <w:t xml:space="preserve"> </w:t>
      </w:r>
      <w:r w:rsidR="0079514F" w:rsidRPr="00576299">
        <w:t xml:space="preserve">informed by the indirect naïve </w:t>
      </w:r>
      <w:r w:rsidRPr="00576299">
        <w:t xml:space="preserve">evidence presented by the </w:t>
      </w:r>
      <w:r w:rsidR="00DC5AF6" w:rsidRPr="00576299">
        <w:t>re</w:t>
      </w:r>
      <w:r w:rsidRPr="00576299">
        <w:t xml:space="preserve">submission, </w:t>
      </w:r>
      <w:r w:rsidR="004734F0" w:rsidRPr="00576299">
        <w:t>the comparison of</w:t>
      </w:r>
      <w:r w:rsidRPr="00576299">
        <w:t xml:space="preserve"> </w:t>
      </w:r>
      <w:r w:rsidR="00DC5AF6" w:rsidRPr="00576299">
        <w:t xml:space="preserve">dostarlimab </w:t>
      </w:r>
      <w:r w:rsidR="004734F0" w:rsidRPr="00576299">
        <w:t>and</w:t>
      </w:r>
      <w:r w:rsidRPr="00576299">
        <w:t xml:space="preserve"> </w:t>
      </w:r>
      <w:r w:rsidR="00DC5AF6" w:rsidRPr="00576299">
        <w:t>doxorubicin</w:t>
      </w:r>
      <w:r w:rsidR="004734F0" w:rsidRPr="00576299">
        <w:t xml:space="preserve"> resulted in</w:t>
      </w:r>
      <w:r w:rsidRPr="00576299">
        <w:t>:</w:t>
      </w:r>
    </w:p>
    <w:p w14:paraId="3FD5DEF1" w14:textId="04BD3BF6" w:rsidR="00DA53B9" w:rsidRPr="00576299" w:rsidRDefault="00DA53B9" w:rsidP="002029E5">
      <w:pPr>
        <w:pStyle w:val="3-BodyText"/>
        <w:numPr>
          <w:ilvl w:val="0"/>
          <w:numId w:val="9"/>
        </w:numPr>
        <w:ind w:left="1134" w:hanging="425"/>
      </w:pPr>
      <w:r w:rsidRPr="00576299">
        <w:t xml:space="preserve">Approximately a 70.6% reduction in death over a median duration of exposure of </w:t>
      </w:r>
      <w:r w:rsidR="000F74AE" w:rsidRPr="00576299">
        <w:t>11.2</w:t>
      </w:r>
      <w:r w:rsidRPr="00576299">
        <w:t xml:space="preserve"> months</w:t>
      </w:r>
      <w:r w:rsidR="000F74AE" w:rsidRPr="00576299">
        <w:t xml:space="preserve"> for doxorubicin</w:t>
      </w:r>
      <w:r w:rsidRPr="00576299">
        <w:t>.</w:t>
      </w:r>
      <w:r w:rsidR="000F74AE" w:rsidRPr="00576299">
        <w:t xml:space="preserve"> </w:t>
      </w:r>
    </w:p>
    <w:p w14:paraId="0B2C5C93" w14:textId="1A8F2300" w:rsidR="005143EF" w:rsidRPr="004654C2" w:rsidRDefault="005143EF" w:rsidP="005143EF">
      <w:pPr>
        <w:pStyle w:val="3-BodyText"/>
        <w:numPr>
          <w:ilvl w:val="0"/>
          <w:numId w:val="0"/>
        </w:numPr>
        <w:ind w:left="720"/>
      </w:pPr>
      <w:r w:rsidRPr="004654C2">
        <w:t>However, the ESC considered the magnitude of the incremental benefit was highly uncertain given the key transitivity and methodological issues identified with the IPTW analysis</w:t>
      </w:r>
      <w:r w:rsidR="00C46DA2" w:rsidRPr="004654C2">
        <w:t xml:space="preserve"> (refer to Paragraph </w:t>
      </w:r>
      <w:r w:rsidR="00C46DA2" w:rsidRPr="004654C2">
        <w:fldChar w:fldCharType="begin"/>
      </w:r>
      <w:r w:rsidR="00C46DA2" w:rsidRPr="004654C2">
        <w:instrText xml:space="preserve"> REF _Ref116906469 \r \h </w:instrText>
      </w:r>
      <w:r w:rsidR="004654C2">
        <w:instrText xml:space="preserve"> \* MERGEFORMAT </w:instrText>
      </w:r>
      <w:r w:rsidR="00C46DA2" w:rsidRPr="004654C2">
        <w:fldChar w:fldCharType="separate"/>
      </w:r>
      <w:r w:rsidR="00CD09E9">
        <w:t>6.40</w:t>
      </w:r>
      <w:r w:rsidR="00C46DA2" w:rsidRPr="004654C2">
        <w:fldChar w:fldCharType="end"/>
      </w:r>
      <w:r w:rsidR="00C46DA2" w:rsidRPr="004654C2">
        <w:t>)</w:t>
      </w:r>
      <w:r w:rsidRPr="004654C2">
        <w:t xml:space="preserve">. </w:t>
      </w:r>
    </w:p>
    <w:p w14:paraId="6303C531" w14:textId="0BE5D516" w:rsidR="0092254A" w:rsidRPr="00576299" w:rsidRDefault="0092254A" w:rsidP="0092254A">
      <w:pPr>
        <w:pStyle w:val="3-BodyText"/>
      </w:pPr>
      <w:r w:rsidRPr="00576299">
        <w:rPr>
          <w:snapToGrid/>
        </w:rPr>
        <w:t>A comparison of harms is not presented for the comparison of dostarlimab versus SoC as the resubmission made a claim of non-inferiority.</w:t>
      </w:r>
    </w:p>
    <w:p w14:paraId="22B0D5F4" w14:textId="77777777" w:rsidR="0092254A" w:rsidRPr="00576299" w:rsidRDefault="0092254A" w:rsidP="0092254A">
      <w:pPr>
        <w:pStyle w:val="3-BodyText"/>
      </w:pPr>
      <w:r w:rsidRPr="00576299">
        <w:rPr>
          <w:snapToGrid/>
        </w:rPr>
        <w:t>While the resubmission made a claim of non-inferior efficacy and superior safety, the naïve indirect comparison presented in the resubmission did not allow for a quantitative comparison of the benefits and harms of dostarlimab and PEM+LEN. Accordingly, a benefits/harms table has not been presented.</w:t>
      </w:r>
    </w:p>
    <w:p w14:paraId="750CC5EF" w14:textId="39A7CBD6" w:rsidR="0092254A" w:rsidRPr="00576299" w:rsidRDefault="005D0811" w:rsidP="0092254A">
      <w:pPr>
        <w:pStyle w:val="3-BodyText"/>
      </w:pPr>
      <w:r w:rsidRPr="00576299">
        <w:rPr>
          <w:snapToGrid/>
        </w:rPr>
        <w:t>As t</w:t>
      </w:r>
      <w:r w:rsidR="0092254A" w:rsidRPr="00576299">
        <w:rPr>
          <w:snapToGrid/>
        </w:rPr>
        <w:t>he resubmission made a claim of non-inferior efficacy and safety for dostarlimab versus pembrolizumab monotherapy</w:t>
      </w:r>
      <w:r w:rsidRPr="00576299">
        <w:rPr>
          <w:snapToGrid/>
        </w:rPr>
        <w:t>,</w:t>
      </w:r>
      <w:r w:rsidR="0092254A" w:rsidRPr="00576299">
        <w:rPr>
          <w:snapToGrid/>
        </w:rPr>
        <w:t xml:space="preserve"> a benefits/harms table has not been presented.</w:t>
      </w:r>
    </w:p>
    <w:p w14:paraId="061248EE" w14:textId="77777777" w:rsidR="0092254A" w:rsidRPr="00576299" w:rsidRDefault="0092254A" w:rsidP="0092254A">
      <w:pPr>
        <w:pStyle w:val="4-SubsectionHeading"/>
      </w:pPr>
      <w:bookmarkStart w:id="52" w:name="_Toc22897644"/>
      <w:bookmarkStart w:id="53" w:name="_Toc114052527"/>
      <w:r w:rsidRPr="00576299">
        <w:t>Clinical claim</w:t>
      </w:r>
      <w:bookmarkEnd w:id="52"/>
      <w:bookmarkEnd w:id="53"/>
    </w:p>
    <w:p w14:paraId="0684838B" w14:textId="77777777" w:rsidR="0092254A" w:rsidRPr="00576299" w:rsidRDefault="0092254A" w:rsidP="0092254A">
      <w:pPr>
        <w:pStyle w:val="Heading3"/>
      </w:pPr>
      <w:r w:rsidRPr="00576299">
        <w:t xml:space="preserve">Dostarlimab versus SoC: </w:t>
      </w:r>
    </w:p>
    <w:p w14:paraId="1B1029E8" w14:textId="324CA175" w:rsidR="0038007B" w:rsidRPr="00576299" w:rsidRDefault="0092254A" w:rsidP="0038007B">
      <w:pPr>
        <w:pStyle w:val="3-BodyText"/>
      </w:pPr>
      <w:r w:rsidRPr="00576299">
        <w:rPr>
          <w:rFonts w:eastAsia="Calibri"/>
        </w:rPr>
        <w:t xml:space="preserve">As in the previous submission, the resubmission described dostarlimab as superior in terms of effectiveness and non-inferior in terms of safety compared to </w:t>
      </w:r>
      <w:r w:rsidRPr="00576299">
        <w:t>SoC in A/R dMMR EC following PBC.</w:t>
      </w:r>
      <w:r w:rsidRPr="00576299">
        <w:rPr>
          <w:rFonts w:eastAsia="Calibri"/>
        </w:rPr>
        <w:t xml:space="preserve"> </w:t>
      </w:r>
    </w:p>
    <w:p w14:paraId="2006A9D0" w14:textId="520A4C48" w:rsidR="0092254A" w:rsidRPr="00576299" w:rsidRDefault="0092254A" w:rsidP="00B5168F">
      <w:pPr>
        <w:pStyle w:val="3-BodyText"/>
      </w:pPr>
      <w:r w:rsidRPr="00576299">
        <w:t xml:space="preserve">The PBAC </w:t>
      </w:r>
      <w:r w:rsidR="00373DC5">
        <w:t xml:space="preserve">previously </w:t>
      </w:r>
      <w:r w:rsidR="00B9018D">
        <w:t>consider</w:t>
      </w:r>
      <w:r w:rsidRPr="00576299">
        <w:t xml:space="preserve">ed that </w:t>
      </w:r>
      <w:r w:rsidR="00373DC5">
        <w:t>“</w:t>
      </w:r>
      <w:r w:rsidRPr="00576299">
        <w:t>even with the longer follow-up provided in the PSCR</w:t>
      </w:r>
      <w:r w:rsidR="00236368" w:rsidRPr="00576299">
        <w:t xml:space="preserve"> (i.e. IA3)</w:t>
      </w:r>
      <w:r w:rsidRPr="00576299">
        <w:t>, the OS data from GARNET Cohort A1 were relatively immature with median survival not reached</w:t>
      </w:r>
      <w:r w:rsidR="00B9018D">
        <w:t>” and</w:t>
      </w:r>
      <w:r w:rsidRPr="00576299">
        <w:t xml:space="preserve"> that </w:t>
      </w:r>
      <w:r w:rsidR="00373DC5">
        <w:t>“</w:t>
      </w:r>
      <w:r w:rsidRPr="00576299">
        <w:t xml:space="preserve">the immaturity of the single-arm data from GARNET Cohort A1, along with the key transitivity and methodological issues identified with the IPTW analysis, limited the ability to assess the magnitude of any OS benefit from the indirect comparisons presented” (paragraph 7.5, dostarlimab </w:t>
      </w:r>
      <w:r w:rsidR="00106B44" w:rsidRPr="00576299">
        <w:t>PSD</w:t>
      </w:r>
      <w:r w:rsidRPr="00576299">
        <w:t>, March 2022 PBAC meeting)</w:t>
      </w:r>
      <w:r w:rsidR="00B5168F" w:rsidRPr="00576299">
        <w:t>.</w:t>
      </w:r>
    </w:p>
    <w:p w14:paraId="32A3BEC3" w14:textId="28F0AAE7" w:rsidR="005C381D" w:rsidRPr="004654C2" w:rsidRDefault="005C381D" w:rsidP="00B5168F">
      <w:pPr>
        <w:pStyle w:val="3-BodyText"/>
      </w:pPr>
      <w:bookmarkStart w:id="54" w:name="_Ref116906469"/>
      <w:r w:rsidRPr="004654C2">
        <w:lastRenderedPageBreak/>
        <w:t xml:space="preserve">The ESC </w:t>
      </w:r>
      <w:r w:rsidR="00C46DA2" w:rsidRPr="004654C2">
        <w:t xml:space="preserve">considered </w:t>
      </w:r>
      <w:r w:rsidRPr="004654C2">
        <w:t xml:space="preserve">that while it was reasonable to conclude that dostarlimab was superior in efficacy compared to SoC, the magnitude of the incremental benefit remains </w:t>
      </w:r>
      <w:r w:rsidR="005143EF" w:rsidRPr="004654C2">
        <w:t xml:space="preserve">highly </w:t>
      </w:r>
      <w:r w:rsidRPr="004654C2">
        <w:t xml:space="preserve">uncertain. </w:t>
      </w:r>
      <w:r w:rsidR="005143EF" w:rsidRPr="004654C2">
        <w:t xml:space="preserve">The </w:t>
      </w:r>
      <w:r w:rsidR="00914CC8" w:rsidRPr="004654C2">
        <w:t>difference in OS appeared highly favourable towards dostarlimab</w:t>
      </w:r>
      <w:r w:rsidR="005143EF" w:rsidRPr="004654C2">
        <w:t xml:space="preserve">, </w:t>
      </w:r>
      <w:r w:rsidR="00AE4AF7" w:rsidRPr="004654C2">
        <w:t xml:space="preserve">with </w:t>
      </w:r>
      <w:r w:rsidR="00C46DA2" w:rsidRPr="004654C2">
        <w:t xml:space="preserve">the IPTW analysis estimating </w:t>
      </w:r>
      <w:r w:rsidR="00AE4AF7" w:rsidRPr="004654C2">
        <w:t>a hazard ratio for OS of 0.29 (95% CI: 0.21, 0.41)</w:t>
      </w:r>
      <w:r w:rsidR="00C23EBB" w:rsidRPr="004654C2">
        <w:t xml:space="preserve">; however, the ESC </w:t>
      </w:r>
      <w:r w:rsidR="00AE4AF7" w:rsidRPr="004654C2">
        <w:t>considered this analysis was unreliable due to</w:t>
      </w:r>
      <w:r w:rsidR="005143EF" w:rsidRPr="004654C2">
        <w:t xml:space="preserve"> </w:t>
      </w:r>
      <w:r w:rsidR="00AE4AF7" w:rsidRPr="004654C2">
        <w:t>key transitivity and methodological issues. Further, the OS benefit</w:t>
      </w:r>
      <w:r w:rsidR="00C23EBB" w:rsidRPr="004654C2">
        <w:t>,</w:t>
      </w:r>
      <w:r w:rsidR="00C46DA2" w:rsidRPr="004654C2">
        <w:t xml:space="preserve"> which was</w:t>
      </w:r>
      <w:r w:rsidR="00AE4AF7" w:rsidRPr="004654C2">
        <w:t xml:space="preserve"> estimated based on data from single arms of different studies, was </w:t>
      </w:r>
      <w:r w:rsidR="00327BE6" w:rsidRPr="004654C2">
        <w:t>greater</w:t>
      </w:r>
      <w:r w:rsidR="00C46DA2" w:rsidRPr="004654C2">
        <w:t xml:space="preserve"> than</w:t>
      </w:r>
      <w:r w:rsidR="00327BE6" w:rsidRPr="004654C2">
        <w:t xml:space="preserve"> that</w:t>
      </w:r>
      <w:r w:rsidR="00C46DA2" w:rsidRPr="004654C2">
        <w:t xml:space="preserve"> observed in the randomised controlled trial of</w:t>
      </w:r>
      <w:r w:rsidR="00AE4AF7" w:rsidRPr="004654C2">
        <w:t xml:space="preserve"> PEM+LEN versus SoC, KEYNOTE-775 (</w:t>
      </w:r>
      <w:r w:rsidR="00C46DA2" w:rsidRPr="004654C2">
        <w:t xml:space="preserve">OS HR: </w:t>
      </w:r>
      <w:r w:rsidR="00AE4AF7" w:rsidRPr="004654C2">
        <w:t>0.6</w:t>
      </w:r>
      <w:r w:rsidR="00C46DA2" w:rsidRPr="004654C2">
        <w:t>2</w:t>
      </w:r>
      <w:r w:rsidR="00AE4AF7" w:rsidRPr="004654C2">
        <w:t xml:space="preserve"> (95% CI: 0.</w:t>
      </w:r>
      <w:r w:rsidR="00C46DA2" w:rsidRPr="004654C2">
        <w:t>51</w:t>
      </w:r>
      <w:r w:rsidR="00AE4AF7" w:rsidRPr="004654C2">
        <w:t>, 0.</w:t>
      </w:r>
      <w:r w:rsidR="00C46DA2" w:rsidRPr="004654C2">
        <w:t>75</w:t>
      </w:r>
      <w:r w:rsidR="00AE4AF7" w:rsidRPr="004654C2">
        <w:t>)</w:t>
      </w:r>
      <w:r w:rsidR="00C46DA2" w:rsidRPr="004654C2">
        <w:t xml:space="preserve"> for the ITT population</w:t>
      </w:r>
      <w:r w:rsidR="00AE4AF7" w:rsidRPr="004654C2">
        <w:t xml:space="preserve"> </w:t>
      </w:r>
      <w:r w:rsidR="00C46DA2" w:rsidRPr="004654C2">
        <w:t xml:space="preserve">and 0.37 (95% CI: 0.22, 0.62) in the </w:t>
      </w:r>
      <w:r w:rsidR="00AE4AF7" w:rsidRPr="004654C2">
        <w:t xml:space="preserve">exploratory analysis </w:t>
      </w:r>
      <w:r w:rsidR="00C46DA2" w:rsidRPr="004654C2">
        <w:t>of</w:t>
      </w:r>
      <w:r w:rsidR="00AE4AF7" w:rsidRPr="004654C2">
        <w:t xml:space="preserve"> the dMMR subgroup)</w:t>
      </w:r>
      <w:r w:rsidR="00C46DA2" w:rsidRPr="004654C2">
        <w:t xml:space="preserve">. The ESC considered this further indicated that the IPTW and naïve indirect analyses had </w:t>
      </w:r>
      <w:r w:rsidR="00A2654B" w:rsidRPr="004654C2">
        <w:t xml:space="preserve">likely </w:t>
      </w:r>
      <w:r w:rsidR="00C46DA2" w:rsidRPr="004654C2">
        <w:t xml:space="preserve">overestimated the treatment effect of dostarlimab versus SoC. </w:t>
      </w:r>
      <w:bookmarkEnd w:id="54"/>
    </w:p>
    <w:p w14:paraId="3630ABA7" w14:textId="415BC7D0" w:rsidR="0092254A" w:rsidRPr="00460574" w:rsidRDefault="0092254A" w:rsidP="0092254A">
      <w:pPr>
        <w:pStyle w:val="3-BodyText"/>
      </w:pPr>
      <w:r w:rsidRPr="00576299">
        <w:t xml:space="preserve">For the previous dostarlimab submission the PBAC considered that the safety comparison of dostarlimab to SoC was limited </w:t>
      </w:r>
      <w:r w:rsidR="00944920" w:rsidRPr="00576299">
        <w:t>but</w:t>
      </w:r>
      <w:r w:rsidRPr="00576299">
        <w:t xml:space="preserve"> considered that the claim of non-inferior comparative safety may be reasonable and that safety outcomes are likely to be different for dostarlimab compared with chemotherapy, consistent with other PD</w:t>
      </w:r>
      <w:r w:rsidR="00EF5348">
        <w:noBreakHyphen/>
      </w:r>
      <w:r w:rsidR="00EF5348" w:rsidRPr="00576299">
        <w:t>(</w:t>
      </w:r>
      <w:r w:rsidRPr="00576299">
        <w:t xml:space="preserve">L)1 inhibitors (paragraph 7.7, dostarlimab </w:t>
      </w:r>
      <w:r w:rsidR="00106B44" w:rsidRPr="00576299">
        <w:t>PSD</w:t>
      </w:r>
      <w:r w:rsidRPr="00576299">
        <w:t xml:space="preserve">, March 2022 PBAC meeting). </w:t>
      </w:r>
      <w:r w:rsidR="005C381D" w:rsidRPr="00B54CF0">
        <w:t xml:space="preserve">The ESC considered that while </w:t>
      </w:r>
      <w:r w:rsidRPr="00B54CF0">
        <w:t xml:space="preserve">AEs reported in </w:t>
      </w:r>
      <w:r w:rsidR="002173D4" w:rsidRPr="00B54CF0">
        <w:t xml:space="preserve">patients treated with dostarlimab in </w:t>
      </w:r>
      <w:r w:rsidRPr="00B54CF0">
        <w:t>G</w:t>
      </w:r>
      <w:r w:rsidRPr="00576299">
        <w:t>ARNET had increased for the I</w:t>
      </w:r>
      <w:r w:rsidR="0090294B" w:rsidRPr="00576299">
        <w:t>A</w:t>
      </w:r>
      <w:r w:rsidRPr="00576299">
        <w:t>3 data cut compared to I</w:t>
      </w:r>
      <w:r w:rsidR="0090294B" w:rsidRPr="00576299">
        <w:t>A</w:t>
      </w:r>
      <w:r w:rsidRPr="00576299">
        <w:t>2</w:t>
      </w:r>
      <w:r w:rsidR="0038007B" w:rsidRPr="00576299">
        <w:t xml:space="preserve">, the conclusion of </w:t>
      </w:r>
      <w:r w:rsidR="00A73970" w:rsidRPr="00576299">
        <w:t>non</w:t>
      </w:r>
      <w:r w:rsidR="00EF5348">
        <w:noBreakHyphen/>
      </w:r>
      <w:r w:rsidR="00A73970" w:rsidRPr="00576299">
        <w:t xml:space="preserve">inferior </w:t>
      </w:r>
      <w:r w:rsidR="00A73970" w:rsidRPr="00460574">
        <w:t>comparative safety</w:t>
      </w:r>
      <w:r w:rsidR="005C381D" w:rsidRPr="00460574">
        <w:t xml:space="preserve"> remained reasonable</w:t>
      </w:r>
      <w:r w:rsidR="00A73970" w:rsidRPr="00460574">
        <w:t>.</w:t>
      </w:r>
      <w:r w:rsidRPr="00460574">
        <w:t xml:space="preserve"> </w:t>
      </w:r>
    </w:p>
    <w:p w14:paraId="1B569C18" w14:textId="5C6C9EF2" w:rsidR="00CC3B3A" w:rsidRPr="00460574" w:rsidRDefault="00CC3B3A" w:rsidP="00CC3B3A">
      <w:pPr>
        <w:widowControl w:val="0"/>
        <w:numPr>
          <w:ilvl w:val="1"/>
          <w:numId w:val="1"/>
        </w:numPr>
        <w:spacing w:after="120"/>
        <w:rPr>
          <w:rFonts w:asciiTheme="minorHAnsi" w:hAnsiTheme="minorHAnsi"/>
          <w:snapToGrid w:val="0"/>
          <w:szCs w:val="20"/>
        </w:rPr>
      </w:pPr>
      <w:bookmarkStart w:id="55" w:name="_Hlk76376200"/>
      <w:r w:rsidRPr="00460574">
        <w:rPr>
          <w:rFonts w:asciiTheme="minorHAnsi" w:hAnsiTheme="minorHAnsi"/>
          <w:iCs/>
          <w:snapToGrid w:val="0"/>
        </w:rPr>
        <w:t>The</w:t>
      </w:r>
      <w:r w:rsidRPr="00460574">
        <w:rPr>
          <w:rFonts w:asciiTheme="minorHAnsi" w:hAnsiTheme="minorHAnsi"/>
          <w:snapToGrid w:val="0"/>
          <w:szCs w:val="20"/>
        </w:rPr>
        <w:t xml:space="preserve"> PBAC considered that the claim of superior comparative effectiveness </w:t>
      </w:r>
      <w:r w:rsidR="00B54CF0" w:rsidRPr="00460574">
        <w:rPr>
          <w:rFonts w:asciiTheme="minorHAnsi" w:hAnsiTheme="minorHAnsi"/>
          <w:snapToGrid w:val="0"/>
          <w:szCs w:val="20"/>
        </w:rPr>
        <w:t xml:space="preserve">versus SoC </w:t>
      </w:r>
      <w:r w:rsidRPr="00460574">
        <w:rPr>
          <w:rFonts w:asciiTheme="minorHAnsi" w:hAnsiTheme="minorHAnsi"/>
          <w:snapToGrid w:val="0"/>
          <w:szCs w:val="20"/>
        </w:rPr>
        <w:t>was reasonable</w:t>
      </w:r>
      <w:r w:rsidR="00B54CF0" w:rsidRPr="00460574">
        <w:rPr>
          <w:rFonts w:asciiTheme="minorHAnsi" w:hAnsiTheme="minorHAnsi"/>
          <w:snapToGrid w:val="0"/>
          <w:szCs w:val="20"/>
        </w:rPr>
        <w:t xml:space="preserve">, but the </w:t>
      </w:r>
      <w:r w:rsidR="00B54CF0" w:rsidRPr="00460574">
        <w:rPr>
          <w:lang w:val="en-GB"/>
        </w:rPr>
        <w:t>magnitude of the incremental benefit versus SoC was unable to be reliably estimated</w:t>
      </w:r>
      <w:r w:rsidRPr="00460574">
        <w:rPr>
          <w:rFonts w:asciiTheme="minorHAnsi" w:hAnsiTheme="minorHAnsi"/>
          <w:snapToGrid w:val="0"/>
          <w:szCs w:val="20"/>
        </w:rPr>
        <w:t>.</w:t>
      </w:r>
    </w:p>
    <w:p w14:paraId="64AF1318" w14:textId="09130C6E" w:rsidR="00CC3B3A" w:rsidRPr="00460574" w:rsidRDefault="00CC3B3A" w:rsidP="00CC3B3A">
      <w:pPr>
        <w:widowControl w:val="0"/>
        <w:numPr>
          <w:ilvl w:val="1"/>
          <w:numId w:val="1"/>
        </w:numPr>
        <w:spacing w:after="120"/>
        <w:rPr>
          <w:rFonts w:asciiTheme="minorHAnsi" w:hAnsiTheme="minorHAnsi"/>
          <w:snapToGrid w:val="0"/>
          <w:szCs w:val="20"/>
        </w:rPr>
      </w:pPr>
      <w:r w:rsidRPr="00460574">
        <w:rPr>
          <w:rFonts w:asciiTheme="minorHAnsi" w:hAnsiTheme="minorHAnsi"/>
          <w:snapToGrid w:val="0"/>
          <w:szCs w:val="20"/>
        </w:rPr>
        <w:t xml:space="preserve">The PBAC considered that the claim of non-inferior </w:t>
      </w:r>
      <w:r w:rsidR="00B54CF0" w:rsidRPr="00460574">
        <w:rPr>
          <w:rFonts w:asciiTheme="minorHAnsi" w:hAnsiTheme="minorHAnsi"/>
          <w:snapToGrid w:val="0"/>
          <w:szCs w:val="20"/>
        </w:rPr>
        <w:t xml:space="preserve">comparative </w:t>
      </w:r>
      <w:r w:rsidRPr="00460574">
        <w:rPr>
          <w:rFonts w:asciiTheme="minorHAnsi" w:hAnsiTheme="minorHAnsi"/>
          <w:snapToGrid w:val="0"/>
          <w:szCs w:val="20"/>
        </w:rPr>
        <w:t xml:space="preserve">safety </w:t>
      </w:r>
      <w:r w:rsidR="00B54CF0" w:rsidRPr="00460574">
        <w:rPr>
          <w:rFonts w:asciiTheme="minorHAnsi" w:hAnsiTheme="minorHAnsi"/>
          <w:snapToGrid w:val="0"/>
          <w:szCs w:val="20"/>
        </w:rPr>
        <w:t xml:space="preserve">versus SoC </w:t>
      </w:r>
      <w:r w:rsidRPr="00460574">
        <w:rPr>
          <w:rFonts w:asciiTheme="minorHAnsi" w:hAnsiTheme="minorHAnsi"/>
          <w:snapToGrid w:val="0"/>
          <w:szCs w:val="20"/>
        </w:rPr>
        <w:t>was reasonable.</w:t>
      </w:r>
    </w:p>
    <w:bookmarkEnd w:id="55"/>
    <w:p w14:paraId="0435EA3B" w14:textId="77777777" w:rsidR="0092254A" w:rsidRPr="00576299" w:rsidRDefault="0092254A" w:rsidP="0092254A">
      <w:pPr>
        <w:pStyle w:val="Heading3"/>
      </w:pPr>
      <w:r w:rsidRPr="00576299">
        <w:t>Dostarlimab versus pembrolizumab ± lenvatinib:</w:t>
      </w:r>
    </w:p>
    <w:p w14:paraId="7F0D5A11" w14:textId="701D53B3" w:rsidR="00A73970" w:rsidRPr="00576299" w:rsidRDefault="0092254A" w:rsidP="0092254A">
      <w:pPr>
        <w:pStyle w:val="3-BodyText"/>
        <w:rPr>
          <w:rFonts w:eastAsia="Calibri"/>
        </w:rPr>
      </w:pPr>
      <w:r w:rsidRPr="00576299">
        <w:rPr>
          <w:rFonts w:eastAsia="Calibri"/>
        </w:rPr>
        <w:t xml:space="preserve">The resubmission described dostarlimab as non-inferior in terms of effectiveness and superior in terms of safety compared with PEM+LEN. The resubmission </w:t>
      </w:r>
      <w:r w:rsidR="00A73970" w:rsidRPr="00576299">
        <w:rPr>
          <w:rFonts w:eastAsia="Calibri"/>
        </w:rPr>
        <w:t xml:space="preserve">also </w:t>
      </w:r>
      <w:r w:rsidRPr="00576299">
        <w:rPr>
          <w:rFonts w:eastAsia="Calibri"/>
        </w:rPr>
        <w:t xml:space="preserve">described dostarlimab as non-inferior in terms of effectiveness and safety compared with pembrolizumab monotherapy. </w:t>
      </w:r>
    </w:p>
    <w:p w14:paraId="236794A1" w14:textId="55770416" w:rsidR="0092254A" w:rsidRPr="004654C2" w:rsidRDefault="00CD3188" w:rsidP="0092254A">
      <w:pPr>
        <w:pStyle w:val="3-BodyText"/>
        <w:rPr>
          <w:rFonts w:eastAsia="Calibri"/>
        </w:rPr>
      </w:pPr>
      <w:r w:rsidRPr="00576299">
        <w:rPr>
          <w:rFonts w:eastAsia="Calibri"/>
        </w:rPr>
        <w:t>T</w:t>
      </w:r>
      <w:r w:rsidR="0092254A" w:rsidRPr="00576299">
        <w:rPr>
          <w:rFonts w:eastAsia="Calibri"/>
        </w:rPr>
        <w:t xml:space="preserve">he efficacy of dostarlimab appeared to be generally comparable to that of </w:t>
      </w:r>
      <w:r w:rsidR="002A24AC" w:rsidRPr="00576299">
        <w:rPr>
          <w:rFonts w:eastAsia="Calibri"/>
        </w:rPr>
        <w:t>PEM+LEN</w:t>
      </w:r>
      <w:r w:rsidR="006E7CAC" w:rsidRPr="00576299">
        <w:rPr>
          <w:rFonts w:eastAsia="Calibri"/>
        </w:rPr>
        <w:t xml:space="preserve"> </w:t>
      </w:r>
      <w:r w:rsidR="005C381D" w:rsidRPr="004654C2">
        <w:rPr>
          <w:rFonts w:eastAsia="Calibri"/>
        </w:rPr>
        <w:t xml:space="preserve">however, the ESC considered that </w:t>
      </w:r>
      <w:r w:rsidR="005F5A69" w:rsidRPr="004654C2">
        <w:rPr>
          <w:rFonts w:eastAsia="Calibri"/>
        </w:rPr>
        <w:t xml:space="preserve">the </w:t>
      </w:r>
      <w:r w:rsidR="005C381D" w:rsidRPr="004654C2">
        <w:rPr>
          <w:rFonts w:eastAsia="Calibri"/>
        </w:rPr>
        <w:t>clinical claim was uncertain</w:t>
      </w:r>
      <w:r w:rsidR="0092254A" w:rsidRPr="00576299">
        <w:rPr>
          <w:rFonts w:eastAsia="Calibri"/>
        </w:rPr>
        <w:t xml:space="preserve"> due to the nature of the naïve indirect comparison of arms from different studies which was associated with high risk of bias</w:t>
      </w:r>
      <w:r w:rsidR="005C381D" w:rsidRPr="00576299">
        <w:rPr>
          <w:rFonts w:eastAsia="Calibri"/>
        </w:rPr>
        <w:t xml:space="preserve"> </w:t>
      </w:r>
      <w:r w:rsidR="005C381D" w:rsidRPr="004654C2">
        <w:rPr>
          <w:rFonts w:eastAsia="Calibri"/>
        </w:rPr>
        <w:t xml:space="preserve">and </w:t>
      </w:r>
      <w:r w:rsidR="002003EC" w:rsidRPr="004654C2">
        <w:rPr>
          <w:rFonts w:eastAsia="Calibri"/>
        </w:rPr>
        <w:t xml:space="preserve">also </w:t>
      </w:r>
      <w:r w:rsidR="00DF289D" w:rsidRPr="004654C2">
        <w:rPr>
          <w:rFonts w:eastAsia="Calibri"/>
        </w:rPr>
        <w:t xml:space="preserve">due to </w:t>
      </w:r>
      <w:r w:rsidR="005C381D" w:rsidRPr="004654C2">
        <w:rPr>
          <w:rFonts w:eastAsia="Calibri"/>
        </w:rPr>
        <w:t>the immaturity of the</w:t>
      </w:r>
      <w:r w:rsidR="00BA11A6" w:rsidRPr="004654C2">
        <w:rPr>
          <w:rFonts w:eastAsia="Calibri"/>
        </w:rPr>
        <w:t xml:space="preserve"> OS</w:t>
      </w:r>
      <w:r w:rsidR="005C381D" w:rsidRPr="004654C2">
        <w:rPr>
          <w:rFonts w:eastAsia="Calibri"/>
        </w:rPr>
        <w:t xml:space="preserve"> trial data</w:t>
      </w:r>
      <w:r w:rsidR="0092254A" w:rsidRPr="004654C2">
        <w:rPr>
          <w:rFonts w:eastAsia="Calibri"/>
        </w:rPr>
        <w:t>.</w:t>
      </w:r>
      <w:r w:rsidR="0071075B" w:rsidRPr="004654C2">
        <w:rPr>
          <w:rFonts w:eastAsia="Calibri"/>
        </w:rPr>
        <w:t xml:space="preserve"> </w:t>
      </w:r>
    </w:p>
    <w:p w14:paraId="50FA5174" w14:textId="25BC9278" w:rsidR="00CC3B3A" w:rsidRPr="00EF5348" w:rsidRDefault="00CC3B3A" w:rsidP="00CC3B3A">
      <w:pPr>
        <w:widowControl w:val="0"/>
        <w:numPr>
          <w:ilvl w:val="1"/>
          <w:numId w:val="1"/>
        </w:numPr>
        <w:spacing w:after="120"/>
        <w:rPr>
          <w:rFonts w:asciiTheme="minorHAnsi" w:hAnsiTheme="minorHAnsi"/>
          <w:snapToGrid w:val="0"/>
          <w:szCs w:val="20"/>
        </w:rPr>
      </w:pPr>
      <w:r w:rsidRPr="00460574">
        <w:rPr>
          <w:rFonts w:asciiTheme="minorHAnsi" w:hAnsiTheme="minorHAnsi"/>
          <w:iCs/>
          <w:snapToGrid w:val="0"/>
        </w:rPr>
        <w:t>The</w:t>
      </w:r>
      <w:r w:rsidRPr="00460574">
        <w:rPr>
          <w:rFonts w:asciiTheme="minorHAnsi" w:hAnsiTheme="minorHAnsi"/>
          <w:snapToGrid w:val="0"/>
          <w:szCs w:val="20"/>
        </w:rPr>
        <w:t xml:space="preserve"> PBAC considered that the claim of non-inferior comparative effectiveness </w:t>
      </w:r>
      <w:r w:rsidR="00460574" w:rsidRPr="00460574">
        <w:rPr>
          <w:rFonts w:asciiTheme="minorHAnsi" w:hAnsiTheme="minorHAnsi"/>
          <w:snapToGrid w:val="0"/>
          <w:szCs w:val="20"/>
        </w:rPr>
        <w:t xml:space="preserve">versus </w:t>
      </w:r>
      <w:r w:rsidR="00460574" w:rsidRPr="00EF5348">
        <w:rPr>
          <w:rFonts w:asciiTheme="minorHAnsi" w:hAnsiTheme="minorHAnsi"/>
          <w:snapToGrid w:val="0"/>
          <w:szCs w:val="20"/>
        </w:rPr>
        <w:t xml:space="preserve">PEM+LEN </w:t>
      </w:r>
      <w:r w:rsidRPr="00EF5348">
        <w:rPr>
          <w:rFonts w:asciiTheme="minorHAnsi" w:hAnsiTheme="minorHAnsi"/>
          <w:snapToGrid w:val="0"/>
          <w:szCs w:val="20"/>
        </w:rPr>
        <w:t>was not adequately supported by the data.</w:t>
      </w:r>
    </w:p>
    <w:p w14:paraId="2E13C0CF" w14:textId="6F18B4E0" w:rsidR="00CC3B3A" w:rsidRPr="00EF5348" w:rsidRDefault="00CC3B3A" w:rsidP="00CC3B3A">
      <w:pPr>
        <w:widowControl w:val="0"/>
        <w:numPr>
          <w:ilvl w:val="1"/>
          <w:numId w:val="1"/>
        </w:numPr>
        <w:spacing w:after="120"/>
        <w:rPr>
          <w:rFonts w:asciiTheme="minorHAnsi" w:hAnsiTheme="minorHAnsi"/>
          <w:snapToGrid w:val="0"/>
          <w:szCs w:val="20"/>
        </w:rPr>
      </w:pPr>
      <w:r w:rsidRPr="00EF5348">
        <w:rPr>
          <w:rFonts w:asciiTheme="minorHAnsi" w:hAnsiTheme="minorHAnsi"/>
          <w:snapToGrid w:val="0"/>
          <w:szCs w:val="20"/>
        </w:rPr>
        <w:t xml:space="preserve">The PBAC considered that the claim of superior comparative safety </w:t>
      </w:r>
      <w:r w:rsidR="00EF5348" w:rsidRPr="00EF5348">
        <w:rPr>
          <w:rFonts w:asciiTheme="minorHAnsi" w:hAnsiTheme="minorHAnsi"/>
          <w:snapToGrid w:val="0"/>
          <w:szCs w:val="20"/>
        </w:rPr>
        <w:t xml:space="preserve">versus PEM+LEN </w:t>
      </w:r>
      <w:r w:rsidRPr="00EF5348">
        <w:rPr>
          <w:rFonts w:asciiTheme="minorHAnsi" w:hAnsiTheme="minorHAnsi"/>
          <w:snapToGrid w:val="0"/>
          <w:szCs w:val="20"/>
        </w:rPr>
        <w:t>was</w:t>
      </w:r>
      <w:r w:rsidR="00EF5348" w:rsidRPr="00EF5348">
        <w:rPr>
          <w:rFonts w:asciiTheme="minorHAnsi" w:hAnsiTheme="minorHAnsi"/>
          <w:snapToGrid w:val="0"/>
          <w:szCs w:val="20"/>
        </w:rPr>
        <w:t xml:space="preserve"> likely to be </w:t>
      </w:r>
      <w:r w:rsidRPr="00EF5348">
        <w:rPr>
          <w:rFonts w:asciiTheme="minorHAnsi" w:hAnsiTheme="minorHAnsi"/>
          <w:snapToGrid w:val="0"/>
          <w:szCs w:val="20"/>
        </w:rPr>
        <w:t>reasonable</w:t>
      </w:r>
      <w:r w:rsidR="008C6C68">
        <w:rPr>
          <w:rFonts w:asciiTheme="minorHAnsi" w:hAnsiTheme="minorHAnsi"/>
          <w:snapToGrid w:val="0"/>
          <w:szCs w:val="20"/>
        </w:rPr>
        <w:t xml:space="preserve"> as combination use with lenvatinib is likely to add toxicity compared with single therapy</w:t>
      </w:r>
      <w:r w:rsidRPr="00EF5348">
        <w:rPr>
          <w:rFonts w:asciiTheme="minorHAnsi" w:hAnsiTheme="minorHAnsi"/>
          <w:snapToGrid w:val="0"/>
          <w:szCs w:val="20"/>
        </w:rPr>
        <w:t>.</w:t>
      </w:r>
    </w:p>
    <w:p w14:paraId="27FC6711" w14:textId="77777777" w:rsidR="00CC3B3A" w:rsidRPr="004654C2" w:rsidRDefault="00CC3B3A" w:rsidP="00CC3B3A">
      <w:pPr>
        <w:pStyle w:val="3-BodyText"/>
        <w:numPr>
          <w:ilvl w:val="0"/>
          <w:numId w:val="0"/>
        </w:numPr>
        <w:ind w:left="720"/>
      </w:pPr>
    </w:p>
    <w:p w14:paraId="29D36AE9" w14:textId="77777777" w:rsidR="0092254A" w:rsidRPr="00576299" w:rsidRDefault="0092254A" w:rsidP="0092254A">
      <w:pPr>
        <w:pStyle w:val="4-SubsectionHeading"/>
      </w:pPr>
      <w:bookmarkStart w:id="56" w:name="_Toc22897645"/>
      <w:bookmarkStart w:id="57" w:name="_Toc114052528"/>
      <w:r w:rsidRPr="00576299">
        <w:lastRenderedPageBreak/>
        <w:t>Economic analysis</w:t>
      </w:r>
      <w:bookmarkEnd w:id="56"/>
      <w:bookmarkEnd w:id="57"/>
      <w:r w:rsidRPr="00576299">
        <w:t xml:space="preserve"> </w:t>
      </w:r>
    </w:p>
    <w:p w14:paraId="2EB9369A" w14:textId="615B8EA1" w:rsidR="0092254A" w:rsidRPr="00576299" w:rsidRDefault="00764117" w:rsidP="0092254A">
      <w:pPr>
        <w:pStyle w:val="3-BodyText"/>
      </w:pPr>
      <w:bookmarkStart w:id="58" w:name="_Ref111507545"/>
      <w:r w:rsidRPr="00576299">
        <w:t>T</w:t>
      </w:r>
      <w:r w:rsidR="0092254A" w:rsidRPr="00576299">
        <w:t>he resubmission presented:</w:t>
      </w:r>
      <w:bookmarkEnd w:id="58"/>
    </w:p>
    <w:p w14:paraId="12707024" w14:textId="59511B97" w:rsidR="0092254A" w:rsidRPr="00576299" w:rsidRDefault="00B9018D" w:rsidP="0092254A">
      <w:pPr>
        <w:pStyle w:val="Bulletpoints"/>
        <w:widowControl w:val="0"/>
        <w:ind w:left="993" w:hanging="284"/>
        <w:contextualSpacing w:val="0"/>
        <w:rPr>
          <w:iCs/>
        </w:rPr>
      </w:pPr>
      <w:r>
        <w:rPr>
          <w:iCs/>
        </w:rPr>
        <w:t>a</w:t>
      </w:r>
      <w:r w:rsidR="0092254A" w:rsidRPr="00576299">
        <w:rPr>
          <w:iCs/>
        </w:rPr>
        <w:t xml:space="preserve"> revised </w:t>
      </w:r>
      <w:r w:rsidR="0067659C" w:rsidRPr="00576299">
        <w:rPr>
          <w:iCs/>
        </w:rPr>
        <w:t>cost utility analysis (</w:t>
      </w:r>
      <w:r w:rsidR="0092254A" w:rsidRPr="00576299">
        <w:rPr>
          <w:iCs/>
        </w:rPr>
        <w:t>CUA</w:t>
      </w:r>
      <w:r w:rsidR="0067659C" w:rsidRPr="00576299">
        <w:rPr>
          <w:iCs/>
        </w:rPr>
        <w:t>)</w:t>
      </w:r>
      <w:r w:rsidR="0092254A" w:rsidRPr="00576299">
        <w:rPr>
          <w:iCs/>
        </w:rPr>
        <w:t xml:space="preserve"> that incorporated data for the updated IA3 data-cut of GARNET </w:t>
      </w:r>
      <w:r w:rsidR="00782DB5" w:rsidRPr="00576299">
        <w:rPr>
          <w:iCs/>
        </w:rPr>
        <w:t xml:space="preserve">Cohort A1 </w:t>
      </w:r>
      <w:r w:rsidR="0092254A" w:rsidRPr="00576299">
        <w:rPr>
          <w:iCs/>
        </w:rPr>
        <w:t>and applied modelling assumptions that were considered more conservative by the resubmission; and</w:t>
      </w:r>
    </w:p>
    <w:p w14:paraId="7E8ABF69" w14:textId="2939741E" w:rsidR="0092254A" w:rsidRPr="00576299" w:rsidRDefault="00B9018D" w:rsidP="0092254A">
      <w:pPr>
        <w:pStyle w:val="Bulletpoints"/>
        <w:widowControl w:val="0"/>
        <w:ind w:left="993" w:hanging="284"/>
        <w:contextualSpacing w:val="0"/>
        <w:rPr>
          <w:iCs/>
        </w:rPr>
      </w:pPr>
      <w:r w:rsidRPr="00576299">
        <w:rPr>
          <w:iCs/>
        </w:rPr>
        <w:t xml:space="preserve">a cost-minimisation </w:t>
      </w:r>
      <w:r>
        <w:rPr>
          <w:iCs/>
        </w:rPr>
        <w:t>approach</w:t>
      </w:r>
      <w:r w:rsidRPr="00576299">
        <w:rPr>
          <w:iCs/>
        </w:rPr>
        <w:t xml:space="preserve"> (CMA) versus PEM+LEN using published prices</w:t>
      </w:r>
      <w:r>
        <w:rPr>
          <w:iCs/>
        </w:rPr>
        <w:t>, b</w:t>
      </w:r>
      <w:r w:rsidR="0092254A" w:rsidRPr="00576299">
        <w:rPr>
          <w:iCs/>
        </w:rPr>
        <w:t>ased on the clinical claim of non-inferior effectiveness and superior safety for dostarlimab compared to PEM+LEN.</w:t>
      </w:r>
      <w:r w:rsidR="008341D0" w:rsidRPr="004654C2">
        <w:t xml:space="preserve"> </w:t>
      </w:r>
    </w:p>
    <w:p w14:paraId="2BDE1109" w14:textId="4EAC9D86" w:rsidR="0092254A" w:rsidRPr="00576299" w:rsidRDefault="0092254A" w:rsidP="0092254A">
      <w:pPr>
        <w:pStyle w:val="3-BodyText"/>
        <w:rPr>
          <w:i/>
          <w:iCs/>
        </w:rPr>
      </w:pPr>
      <w:r w:rsidRPr="00576299">
        <w:t xml:space="preserve">The resubmission stated that an economic evaluation of dostarlimab versus pembrolizumab monotherapy was not formally conducted due to the absence of a </w:t>
      </w:r>
      <w:r w:rsidR="00764117" w:rsidRPr="00576299">
        <w:t xml:space="preserve">positive </w:t>
      </w:r>
      <w:r w:rsidRPr="00576299">
        <w:t>PBAC recommendation and a cost-effective price in this setting.</w:t>
      </w:r>
      <w:r w:rsidRPr="00576299">
        <w:rPr>
          <w:i/>
          <w:iCs/>
        </w:rPr>
        <w:t xml:space="preserve"> </w:t>
      </w:r>
    </w:p>
    <w:p w14:paraId="014063B6" w14:textId="77777777" w:rsidR="0092254A" w:rsidRPr="00576299" w:rsidRDefault="0092254A" w:rsidP="00284F84">
      <w:pPr>
        <w:pStyle w:val="Heading3"/>
        <w:keepNext/>
        <w:keepLines/>
      </w:pPr>
      <w:r w:rsidRPr="00576299">
        <w:t>Dostarlimab versus SoC: CUA</w:t>
      </w:r>
    </w:p>
    <w:p w14:paraId="1E3DDDA3" w14:textId="34DCA3E2" w:rsidR="0092254A" w:rsidRPr="00576299" w:rsidRDefault="0092254A" w:rsidP="00284F84">
      <w:pPr>
        <w:pStyle w:val="3-BodyText"/>
        <w:keepNext/>
        <w:keepLines/>
      </w:pPr>
      <w:r w:rsidRPr="00576299">
        <w:t xml:space="preserve">As in the previous dostarlimab submission, the resubmission presented a stepped economic evaluation of dostarlimab versus SoC in A/R dMMR EC following PBC. The model </w:t>
      </w:r>
      <w:r w:rsidR="00204C21" w:rsidRPr="00576299">
        <w:t>was informed by data from the</w:t>
      </w:r>
      <w:r w:rsidRPr="00576299">
        <w:t xml:space="preserve"> naïve indirect approach, with the dostarlimab arm of the model informed by the GARNET Cohort A1 study, and the SoC arm of the model informed by the doxorubicin arm of ZoptEC in the base case. </w:t>
      </w:r>
    </w:p>
    <w:p w14:paraId="466C899C" w14:textId="77777777" w:rsidR="0092254A" w:rsidRPr="00576299" w:rsidRDefault="0092254A" w:rsidP="0092254A">
      <w:pPr>
        <w:pStyle w:val="3-BodyText"/>
      </w:pPr>
      <w:bookmarkStart w:id="59" w:name="_Ref111502527"/>
      <w:r w:rsidRPr="00576299">
        <w:t>The structure and inputs of the updated model were predominantly the same as in the previous submission with the following key changes:</w:t>
      </w:r>
      <w:bookmarkEnd w:id="59"/>
    </w:p>
    <w:p w14:paraId="4CE81161" w14:textId="40370722" w:rsidR="0092254A" w:rsidRPr="00576299" w:rsidRDefault="0092254A" w:rsidP="0092254A">
      <w:pPr>
        <w:pStyle w:val="Bulletpoints"/>
        <w:widowControl w:val="0"/>
        <w:ind w:left="993" w:hanging="284"/>
        <w:contextualSpacing w:val="0"/>
        <w:rPr>
          <w:iCs/>
        </w:rPr>
      </w:pPr>
      <w:r w:rsidRPr="00576299">
        <w:rPr>
          <w:iCs/>
        </w:rPr>
        <w:t>The updated IA3 data-cut from GARNET Cohort A1 was incorporated into the model, increasing the period of applied KM data from 12.5 months to 27.6 months for the dostarlimab arm (in line with the median IA3 data-cut follow-up);</w:t>
      </w:r>
    </w:p>
    <w:p w14:paraId="7DEFA760" w14:textId="77777777" w:rsidR="0092254A" w:rsidRPr="00576299" w:rsidRDefault="0092254A" w:rsidP="0092254A">
      <w:pPr>
        <w:pStyle w:val="Bulletpoints"/>
        <w:widowControl w:val="0"/>
        <w:ind w:left="993" w:hanging="284"/>
        <w:contextualSpacing w:val="0"/>
        <w:rPr>
          <w:iCs/>
        </w:rPr>
      </w:pPr>
      <w:r w:rsidRPr="00576299">
        <w:rPr>
          <w:iCs/>
        </w:rPr>
        <w:t>The time horizon was reduced from 10 years to 6 years; and</w:t>
      </w:r>
    </w:p>
    <w:p w14:paraId="6DF518B7" w14:textId="4173CA8B" w:rsidR="0092254A" w:rsidRPr="00576299" w:rsidRDefault="00B52828" w:rsidP="0092254A">
      <w:pPr>
        <w:pStyle w:val="Bulletpoints"/>
        <w:widowControl w:val="0"/>
        <w:ind w:left="993" w:hanging="284"/>
        <w:contextualSpacing w:val="0"/>
        <w:rPr>
          <w:iCs/>
        </w:rPr>
      </w:pPr>
      <w:r w:rsidRPr="00576299">
        <w:rPr>
          <w:iCs/>
        </w:rPr>
        <w:t>C</w:t>
      </w:r>
      <w:r w:rsidR="0092254A" w:rsidRPr="00576299">
        <w:rPr>
          <w:iCs/>
        </w:rPr>
        <w:t>onvergence of the dostarlimab OS curve was applied between 4 and 6 years.</w:t>
      </w:r>
    </w:p>
    <w:p w14:paraId="6EC214A5" w14:textId="5C093192" w:rsidR="0092254A" w:rsidRPr="00576299" w:rsidRDefault="0092254A" w:rsidP="0092254A">
      <w:pPr>
        <w:pStyle w:val="3-BodyText"/>
      </w:pPr>
      <w:r w:rsidRPr="00576299">
        <w:t xml:space="preserve">A summary of the economic model is presented in </w:t>
      </w:r>
      <w:r w:rsidRPr="00576299">
        <w:fldChar w:fldCharType="begin"/>
      </w:r>
      <w:r w:rsidRPr="00576299">
        <w:instrText xml:space="preserve"> REF _Ref111450077 \h </w:instrText>
      </w:r>
      <w:r w:rsidRPr="00576299">
        <w:fldChar w:fldCharType="separate"/>
      </w:r>
      <w:r w:rsidR="00CD09E9" w:rsidRPr="00576299">
        <w:t xml:space="preserve">Table </w:t>
      </w:r>
      <w:r w:rsidR="00CD09E9">
        <w:rPr>
          <w:noProof/>
        </w:rPr>
        <w:t>14</w:t>
      </w:r>
      <w:r w:rsidRPr="00576299">
        <w:fldChar w:fldCharType="end"/>
      </w:r>
      <w:r w:rsidRPr="00576299">
        <w:t>.</w:t>
      </w:r>
    </w:p>
    <w:p w14:paraId="269EFB00" w14:textId="1637E599" w:rsidR="0092254A" w:rsidRPr="00576299" w:rsidRDefault="0092254A" w:rsidP="0092254A">
      <w:pPr>
        <w:pStyle w:val="Caption"/>
      </w:pPr>
      <w:bookmarkStart w:id="60" w:name="_Ref111450077"/>
      <w:r w:rsidRPr="00576299">
        <w:lastRenderedPageBreak/>
        <w:t xml:space="preserve">Table </w:t>
      </w:r>
      <w:fldSimple w:instr=" SEQ Table \* ARABIC ">
        <w:r w:rsidR="00CD09E9">
          <w:rPr>
            <w:noProof/>
          </w:rPr>
          <w:t>14</w:t>
        </w:r>
      </w:fldSimple>
      <w:bookmarkEnd w:id="60"/>
      <w:r w:rsidRPr="00576299">
        <w:t xml:space="preserve">: </w:t>
      </w:r>
      <w:r w:rsidRPr="00576299">
        <w:rPr>
          <w:rStyle w:val="CommentReference"/>
          <w:b/>
          <w:szCs w:val="24"/>
        </w:rPr>
        <w:t>Summary of model structure, key inputs and rationale</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976"/>
        <w:gridCol w:w="4488"/>
      </w:tblGrid>
      <w:tr w:rsidR="0092254A" w:rsidRPr="00576299" w14:paraId="5C6BA89C" w14:textId="77777777" w:rsidTr="008F14D7">
        <w:trPr>
          <w:trHeight w:val="20"/>
          <w:tblHeader/>
        </w:trPr>
        <w:tc>
          <w:tcPr>
            <w:tcW w:w="862" w:type="pct"/>
            <w:shd w:val="clear" w:color="auto" w:fill="auto"/>
            <w:vAlign w:val="center"/>
          </w:tcPr>
          <w:p w14:paraId="3C0FE89F" w14:textId="77777777" w:rsidR="0092254A" w:rsidRPr="00576299" w:rsidRDefault="0092254A" w:rsidP="00AD20AB">
            <w:pPr>
              <w:pStyle w:val="TableTextCA"/>
              <w:keepNext/>
              <w:keepLines/>
              <w:spacing w:before="0" w:after="0"/>
              <w:jc w:val="left"/>
              <w:rPr>
                <w:b/>
                <w:bCs/>
              </w:rPr>
            </w:pPr>
            <w:r w:rsidRPr="00576299">
              <w:rPr>
                <w:b/>
                <w:bCs/>
              </w:rPr>
              <w:t>Component</w:t>
            </w:r>
          </w:p>
        </w:tc>
        <w:tc>
          <w:tcPr>
            <w:tcW w:w="1650" w:type="pct"/>
            <w:shd w:val="clear" w:color="auto" w:fill="auto"/>
            <w:vAlign w:val="center"/>
          </w:tcPr>
          <w:p w14:paraId="495BE963" w14:textId="77777777" w:rsidR="0092254A" w:rsidRPr="00576299" w:rsidRDefault="0092254A" w:rsidP="00AD20AB">
            <w:pPr>
              <w:pStyle w:val="TableTextCA"/>
              <w:keepNext/>
              <w:keepLines/>
              <w:spacing w:before="0" w:after="0"/>
              <w:rPr>
                <w:b/>
                <w:bCs/>
              </w:rPr>
            </w:pPr>
            <w:r w:rsidRPr="00576299">
              <w:rPr>
                <w:b/>
                <w:bCs/>
              </w:rPr>
              <w:t>Description</w:t>
            </w:r>
          </w:p>
        </w:tc>
        <w:tc>
          <w:tcPr>
            <w:tcW w:w="2488" w:type="pct"/>
            <w:vAlign w:val="center"/>
          </w:tcPr>
          <w:p w14:paraId="66155BB2" w14:textId="77777777" w:rsidR="0092254A" w:rsidRPr="00576299" w:rsidRDefault="0092254A" w:rsidP="00AD20AB">
            <w:pPr>
              <w:pStyle w:val="TableTextCA"/>
              <w:keepNext/>
              <w:keepLines/>
              <w:spacing w:before="0" w:after="0"/>
              <w:rPr>
                <w:b/>
                <w:bCs/>
              </w:rPr>
            </w:pPr>
            <w:r w:rsidRPr="00576299">
              <w:rPr>
                <w:b/>
              </w:rPr>
              <w:t>Justification/comments</w:t>
            </w:r>
          </w:p>
        </w:tc>
      </w:tr>
      <w:tr w:rsidR="0092254A" w:rsidRPr="00576299" w14:paraId="0026CB1D" w14:textId="77777777" w:rsidTr="008F14D7">
        <w:tblPrEx>
          <w:tblCellMar>
            <w:left w:w="28" w:type="dxa"/>
            <w:right w:w="28" w:type="dxa"/>
          </w:tblCellMar>
          <w:tblLook w:val="0000" w:firstRow="0" w:lastRow="0" w:firstColumn="0" w:lastColumn="0" w:noHBand="0" w:noVBand="0"/>
        </w:tblPrEx>
        <w:tc>
          <w:tcPr>
            <w:tcW w:w="862" w:type="pct"/>
            <w:vAlign w:val="center"/>
          </w:tcPr>
          <w:p w14:paraId="2930468F" w14:textId="77777777" w:rsidR="0092254A" w:rsidRPr="00576299" w:rsidRDefault="0092254A" w:rsidP="00AD20AB">
            <w:pPr>
              <w:pStyle w:val="TableTextCA"/>
              <w:keepNext/>
              <w:keepLines/>
              <w:spacing w:before="0" w:after="0"/>
              <w:ind w:left="112"/>
              <w:jc w:val="left"/>
            </w:pPr>
            <w:r w:rsidRPr="00576299">
              <w:t>Interventions compared</w:t>
            </w:r>
          </w:p>
        </w:tc>
        <w:tc>
          <w:tcPr>
            <w:tcW w:w="1650" w:type="pct"/>
            <w:vAlign w:val="center"/>
          </w:tcPr>
          <w:p w14:paraId="3C0FA647" w14:textId="77777777" w:rsidR="0092254A" w:rsidRPr="00576299" w:rsidRDefault="0092254A" w:rsidP="00AD20AB">
            <w:pPr>
              <w:pStyle w:val="Tabletext"/>
              <w:keepNext/>
              <w:keepLines/>
            </w:pPr>
            <w:r w:rsidRPr="00576299">
              <w:t>Dostarlimab compared with doxorubicin</w:t>
            </w:r>
          </w:p>
        </w:tc>
        <w:tc>
          <w:tcPr>
            <w:tcW w:w="2488" w:type="pct"/>
            <w:vAlign w:val="center"/>
          </w:tcPr>
          <w:p w14:paraId="3F6AD2D3" w14:textId="54B18AF5" w:rsidR="0092254A" w:rsidRPr="00576299" w:rsidRDefault="0092254A" w:rsidP="00AD20AB">
            <w:pPr>
              <w:pStyle w:val="Tabletext"/>
              <w:keepNext/>
              <w:keepLines/>
            </w:pPr>
            <w:r w:rsidRPr="00576299">
              <w:t xml:space="preserve">As for the previous dostarlimab model, the SoC arm in the base case was based on the doxorubicin arm of the ZoptEC trial. This was inconsistent with </w:t>
            </w:r>
            <w:r w:rsidR="004703A9" w:rsidRPr="00576299">
              <w:t>S</w:t>
            </w:r>
            <w:r w:rsidRPr="00576299">
              <w:t>ection 2 of the resubmission where paclitaxel and doxorubicin were both presented as comparators. Use of alternative studies was presented as sensitivity analyses.</w:t>
            </w:r>
          </w:p>
        </w:tc>
      </w:tr>
      <w:tr w:rsidR="0092254A" w:rsidRPr="00576299" w14:paraId="3362702C" w14:textId="77777777" w:rsidTr="008F14D7">
        <w:trPr>
          <w:trHeight w:val="20"/>
        </w:trPr>
        <w:tc>
          <w:tcPr>
            <w:tcW w:w="862" w:type="pct"/>
            <w:vAlign w:val="center"/>
          </w:tcPr>
          <w:p w14:paraId="6B4ABE92" w14:textId="77777777" w:rsidR="0092254A" w:rsidRPr="00576299" w:rsidRDefault="0092254A" w:rsidP="00AD20AB">
            <w:pPr>
              <w:pStyle w:val="TableTextCA"/>
              <w:keepNext/>
              <w:keepLines/>
              <w:spacing w:before="0" w:after="0"/>
              <w:jc w:val="left"/>
            </w:pPr>
            <w:r w:rsidRPr="00576299">
              <w:t>Type of analysis</w:t>
            </w:r>
          </w:p>
        </w:tc>
        <w:tc>
          <w:tcPr>
            <w:tcW w:w="1650" w:type="pct"/>
            <w:vAlign w:val="center"/>
          </w:tcPr>
          <w:p w14:paraId="2D7DD93C" w14:textId="77777777" w:rsidR="0092254A" w:rsidRPr="00576299" w:rsidRDefault="0092254A" w:rsidP="00AD20AB">
            <w:pPr>
              <w:pStyle w:val="TableTextCA"/>
              <w:keepNext/>
              <w:keepLines/>
              <w:spacing w:before="0" w:after="0"/>
              <w:jc w:val="left"/>
            </w:pPr>
            <w:r w:rsidRPr="00576299">
              <w:t>Cost utility analysis</w:t>
            </w:r>
          </w:p>
        </w:tc>
        <w:tc>
          <w:tcPr>
            <w:tcW w:w="2488" w:type="pct"/>
            <w:vAlign w:val="center"/>
          </w:tcPr>
          <w:p w14:paraId="50038DC4" w14:textId="04A0EF5D" w:rsidR="0092254A" w:rsidRPr="00576299" w:rsidRDefault="0092254A" w:rsidP="00AD20AB">
            <w:pPr>
              <w:pStyle w:val="TableTextCA"/>
              <w:keepNext/>
              <w:keepLines/>
              <w:spacing w:before="0" w:after="0"/>
              <w:jc w:val="left"/>
            </w:pPr>
            <w:r w:rsidRPr="00576299">
              <w:t xml:space="preserve">Consistent with the resubmission’s clinical claim of superior effectiveness and non-inferior safety for dostarlimab compared to SoC. </w:t>
            </w:r>
            <w:r w:rsidR="00D2085A" w:rsidRPr="00576299">
              <w:t>T</w:t>
            </w:r>
            <w:r w:rsidRPr="00576299">
              <w:t xml:space="preserve">he PBAC previously found that “it was likely reasonable to conclude that dostarlimab has superior efficacy compared with SoC, (however) an adequate assessment of the magnitude of the OS benefit was not possible with the available data…” (paragraph 6.41, dostarlimab </w:t>
            </w:r>
            <w:r w:rsidR="000C6CB8" w:rsidRPr="00576299">
              <w:t>P</w:t>
            </w:r>
            <w:r w:rsidR="00A03261">
              <w:t>SD</w:t>
            </w:r>
            <w:r w:rsidRPr="00576299">
              <w:t>, March 2022 PBAC meeting).</w:t>
            </w:r>
          </w:p>
        </w:tc>
      </w:tr>
      <w:tr w:rsidR="0092254A" w:rsidRPr="00576299" w14:paraId="58C0CE74" w14:textId="77777777" w:rsidTr="008F14D7">
        <w:trPr>
          <w:trHeight w:val="20"/>
        </w:trPr>
        <w:tc>
          <w:tcPr>
            <w:tcW w:w="862" w:type="pct"/>
            <w:vAlign w:val="center"/>
          </w:tcPr>
          <w:p w14:paraId="627604E6" w14:textId="77777777" w:rsidR="0092254A" w:rsidRPr="00576299" w:rsidRDefault="0092254A" w:rsidP="00AD20AB">
            <w:pPr>
              <w:pStyle w:val="TableTextCA"/>
              <w:keepNext/>
              <w:keepLines/>
              <w:spacing w:before="0" w:after="0"/>
              <w:jc w:val="left"/>
            </w:pPr>
            <w:r w:rsidRPr="00576299">
              <w:t>Outcomes</w:t>
            </w:r>
          </w:p>
        </w:tc>
        <w:tc>
          <w:tcPr>
            <w:tcW w:w="1650" w:type="pct"/>
            <w:vAlign w:val="center"/>
          </w:tcPr>
          <w:p w14:paraId="64A6DF3E" w14:textId="77777777" w:rsidR="0092254A" w:rsidRPr="00576299" w:rsidRDefault="0092254A" w:rsidP="00AD20AB">
            <w:pPr>
              <w:pStyle w:val="TableTextCA"/>
              <w:keepNext/>
              <w:keepLines/>
              <w:spacing w:before="0" w:after="0"/>
              <w:jc w:val="left"/>
            </w:pPr>
            <w:r w:rsidRPr="00576299">
              <w:t>Life-years gained; Quality adjusted life years gained</w:t>
            </w:r>
          </w:p>
        </w:tc>
        <w:tc>
          <w:tcPr>
            <w:tcW w:w="2488" w:type="pct"/>
            <w:vAlign w:val="center"/>
          </w:tcPr>
          <w:p w14:paraId="70CF38BE" w14:textId="77777777" w:rsidR="0092254A" w:rsidRPr="00576299" w:rsidRDefault="0092254A" w:rsidP="00AD20AB">
            <w:pPr>
              <w:pStyle w:val="TableTextCA"/>
              <w:keepNext/>
              <w:keepLines/>
              <w:spacing w:before="0" w:after="0"/>
              <w:jc w:val="left"/>
            </w:pPr>
            <w:r w:rsidRPr="00576299">
              <w:t>Appropriate.</w:t>
            </w:r>
          </w:p>
        </w:tc>
      </w:tr>
      <w:tr w:rsidR="0092254A" w:rsidRPr="00576299" w14:paraId="6F8CB48A" w14:textId="77777777" w:rsidTr="008F14D7">
        <w:trPr>
          <w:trHeight w:val="20"/>
        </w:trPr>
        <w:tc>
          <w:tcPr>
            <w:tcW w:w="862" w:type="pct"/>
            <w:vAlign w:val="center"/>
          </w:tcPr>
          <w:p w14:paraId="77BD14AD" w14:textId="77777777" w:rsidR="0092254A" w:rsidRPr="00576299" w:rsidRDefault="0092254A" w:rsidP="00AD20AB">
            <w:pPr>
              <w:pStyle w:val="TableTextCA"/>
              <w:keepNext/>
              <w:keepLines/>
              <w:spacing w:before="0" w:after="0"/>
              <w:jc w:val="left"/>
            </w:pPr>
            <w:r w:rsidRPr="00576299">
              <w:t>Time horizon</w:t>
            </w:r>
          </w:p>
        </w:tc>
        <w:tc>
          <w:tcPr>
            <w:tcW w:w="1650" w:type="pct"/>
            <w:vAlign w:val="center"/>
          </w:tcPr>
          <w:p w14:paraId="2BCF1734" w14:textId="77777777" w:rsidR="0092254A" w:rsidRPr="00576299" w:rsidRDefault="0092254A" w:rsidP="00AD20AB">
            <w:pPr>
              <w:pStyle w:val="TableTextCA"/>
              <w:keepNext/>
              <w:keepLines/>
              <w:spacing w:before="0" w:after="0"/>
              <w:jc w:val="left"/>
            </w:pPr>
            <w:r w:rsidRPr="00576299">
              <w:t>6 years (vs median follow-up of 27.6 months in GARNET Cohort A1 IA3 data-cut)</w:t>
            </w:r>
          </w:p>
        </w:tc>
        <w:tc>
          <w:tcPr>
            <w:tcW w:w="2488" w:type="pct"/>
            <w:vAlign w:val="center"/>
          </w:tcPr>
          <w:p w14:paraId="42B9DE29" w14:textId="29801423" w:rsidR="0092254A" w:rsidRPr="00576299" w:rsidRDefault="0092254A" w:rsidP="00AD20AB">
            <w:pPr>
              <w:pStyle w:val="TableTextCA"/>
              <w:keepNext/>
              <w:keepLines/>
              <w:spacing w:before="0" w:after="0"/>
              <w:jc w:val="left"/>
            </w:pPr>
            <w:r w:rsidRPr="00576299">
              <w:t xml:space="preserve">“ESC considered that a shorter time horizon of 5 years may be more appropriate given the immature OS data from GARNET.” (paragraph 6.56, dostarlimab </w:t>
            </w:r>
            <w:r w:rsidR="00A03261">
              <w:t>PSD</w:t>
            </w:r>
            <w:r w:rsidRPr="00576299">
              <w:t>, March 2022</w:t>
            </w:r>
            <w:r w:rsidR="00F838B1" w:rsidRPr="00576299">
              <w:t xml:space="preserve"> PBAC meeting</w:t>
            </w:r>
            <w:r w:rsidRPr="00576299">
              <w:t>).</w:t>
            </w:r>
          </w:p>
        </w:tc>
      </w:tr>
      <w:tr w:rsidR="00626E85" w:rsidRPr="00576299" w14:paraId="5860149A" w14:textId="77777777" w:rsidTr="008F14D7">
        <w:trPr>
          <w:trHeight w:val="20"/>
        </w:trPr>
        <w:tc>
          <w:tcPr>
            <w:tcW w:w="862" w:type="pct"/>
            <w:vAlign w:val="center"/>
          </w:tcPr>
          <w:p w14:paraId="3A2D6546" w14:textId="38BB1856" w:rsidR="00626E85" w:rsidRPr="00576299" w:rsidRDefault="00626E85" w:rsidP="00626E85">
            <w:pPr>
              <w:pStyle w:val="TableTextCA"/>
              <w:keepNext/>
              <w:keepLines/>
              <w:spacing w:before="0" w:after="0"/>
              <w:jc w:val="left"/>
            </w:pPr>
            <w:r w:rsidRPr="00576299">
              <w:t>Discount rate</w:t>
            </w:r>
          </w:p>
        </w:tc>
        <w:tc>
          <w:tcPr>
            <w:tcW w:w="1650" w:type="pct"/>
            <w:vAlign w:val="center"/>
          </w:tcPr>
          <w:p w14:paraId="7A92FB9A" w14:textId="7CA17F0B" w:rsidR="00626E85" w:rsidRPr="00576299" w:rsidRDefault="00626E85" w:rsidP="00626E85">
            <w:pPr>
              <w:pStyle w:val="TableTextCA"/>
              <w:keepNext/>
              <w:keepLines/>
              <w:spacing w:before="0" w:after="0"/>
              <w:jc w:val="left"/>
            </w:pPr>
            <w:r w:rsidRPr="00576299">
              <w:t>5% per annum</w:t>
            </w:r>
          </w:p>
        </w:tc>
        <w:tc>
          <w:tcPr>
            <w:tcW w:w="2488" w:type="pct"/>
            <w:vAlign w:val="center"/>
          </w:tcPr>
          <w:p w14:paraId="73CB4697" w14:textId="5A93C719" w:rsidR="00626E85" w:rsidRPr="00576299" w:rsidRDefault="00626E85" w:rsidP="00626E85">
            <w:pPr>
              <w:pStyle w:val="TableTextCA"/>
              <w:keepNext/>
              <w:keepLines/>
              <w:spacing w:before="0" w:after="0"/>
              <w:jc w:val="left"/>
            </w:pPr>
            <w:r w:rsidRPr="00576299">
              <w:t>Reasonable</w:t>
            </w:r>
          </w:p>
        </w:tc>
      </w:tr>
      <w:tr w:rsidR="0092254A" w:rsidRPr="00576299" w14:paraId="42C65CEE" w14:textId="77777777" w:rsidTr="008F14D7">
        <w:trPr>
          <w:trHeight w:val="20"/>
        </w:trPr>
        <w:tc>
          <w:tcPr>
            <w:tcW w:w="862" w:type="pct"/>
            <w:vAlign w:val="center"/>
          </w:tcPr>
          <w:p w14:paraId="03F716AF" w14:textId="77777777" w:rsidR="0092254A" w:rsidRPr="00576299" w:rsidRDefault="0092254A" w:rsidP="00AD20AB">
            <w:pPr>
              <w:pStyle w:val="TableTextCA"/>
              <w:keepNext/>
              <w:keepLines/>
              <w:spacing w:before="0" w:after="0"/>
              <w:jc w:val="left"/>
            </w:pPr>
            <w:r w:rsidRPr="00576299">
              <w:t>Method(s) used to generate results</w:t>
            </w:r>
          </w:p>
        </w:tc>
        <w:tc>
          <w:tcPr>
            <w:tcW w:w="1650" w:type="pct"/>
            <w:vAlign w:val="center"/>
          </w:tcPr>
          <w:p w14:paraId="392DF77D" w14:textId="77777777" w:rsidR="0092254A" w:rsidRPr="00576299" w:rsidRDefault="0092254A" w:rsidP="00AD20AB">
            <w:pPr>
              <w:pStyle w:val="TableTextCA"/>
              <w:keepNext/>
              <w:keepLines/>
              <w:spacing w:before="0" w:after="0"/>
              <w:jc w:val="left"/>
            </w:pPr>
            <w:r w:rsidRPr="00576299">
              <w:t>Partitioned survival analysis</w:t>
            </w:r>
          </w:p>
        </w:tc>
        <w:tc>
          <w:tcPr>
            <w:tcW w:w="2488" w:type="pct"/>
            <w:vAlign w:val="center"/>
          </w:tcPr>
          <w:p w14:paraId="337C4DED" w14:textId="77777777" w:rsidR="0092254A" w:rsidRPr="00576299" w:rsidRDefault="0092254A" w:rsidP="00AD20AB">
            <w:pPr>
              <w:pStyle w:val="TableTextCA"/>
              <w:keepNext/>
              <w:keepLines/>
              <w:spacing w:before="0" w:after="0"/>
              <w:jc w:val="left"/>
            </w:pPr>
            <w:r w:rsidRPr="00576299">
              <w:t>Reasonable</w:t>
            </w:r>
          </w:p>
        </w:tc>
      </w:tr>
      <w:tr w:rsidR="0092254A" w:rsidRPr="00576299" w14:paraId="597F2627" w14:textId="77777777" w:rsidTr="008F14D7">
        <w:trPr>
          <w:trHeight w:val="20"/>
        </w:trPr>
        <w:tc>
          <w:tcPr>
            <w:tcW w:w="862" w:type="pct"/>
            <w:vAlign w:val="center"/>
          </w:tcPr>
          <w:p w14:paraId="4EE7FC83" w14:textId="77777777" w:rsidR="0092254A" w:rsidRPr="00576299" w:rsidRDefault="0092254A" w:rsidP="00AD20AB">
            <w:pPr>
              <w:pStyle w:val="TableTextCA"/>
              <w:keepNext/>
              <w:keepLines/>
              <w:spacing w:before="0" w:after="0"/>
              <w:jc w:val="left"/>
            </w:pPr>
            <w:r w:rsidRPr="00576299">
              <w:t>Health states</w:t>
            </w:r>
          </w:p>
        </w:tc>
        <w:tc>
          <w:tcPr>
            <w:tcW w:w="1650" w:type="pct"/>
            <w:vAlign w:val="center"/>
          </w:tcPr>
          <w:p w14:paraId="34CF1691" w14:textId="77777777" w:rsidR="0092254A" w:rsidRPr="00576299" w:rsidRDefault="0092254A" w:rsidP="00AD20AB">
            <w:pPr>
              <w:pStyle w:val="TableTextCA"/>
              <w:keepNext/>
              <w:keepLines/>
              <w:spacing w:before="0" w:after="0"/>
              <w:jc w:val="left"/>
            </w:pPr>
            <w:r w:rsidRPr="00576299">
              <w:t>Progression-free; Progressed disease; Dead</w:t>
            </w:r>
          </w:p>
        </w:tc>
        <w:tc>
          <w:tcPr>
            <w:tcW w:w="2488" w:type="pct"/>
            <w:vAlign w:val="center"/>
          </w:tcPr>
          <w:p w14:paraId="07A17E83" w14:textId="122DFCDB" w:rsidR="0092254A" w:rsidRPr="00576299" w:rsidRDefault="0092254A" w:rsidP="00AD20AB">
            <w:pPr>
              <w:pStyle w:val="TableTextCA"/>
              <w:keepNext/>
              <w:keepLines/>
              <w:spacing w:before="0" w:after="0"/>
              <w:jc w:val="left"/>
            </w:pPr>
            <w:r w:rsidRPr="00576299">
              <w:t>Appropriate</w:t>
            </w:r>
          </w:p>
        </w:tc>
      </w:tr>
      <w:tr w:rsidR="0092254A" w:rsidRPr="00576299" w14:paraId="2C9CA10F" w14:textId="77777777" w:rsidTr="008F14D7">
        <w:trPr>
          <w:trHeight w:val="70"/>
        </w:trPr>
        <w:tc>
          <w:tcPr>
            <w:tcW w:w="862" w:type="pct"/>
            <w:vAlign w:val="center"/>
          </w:tcPr>
          <w:p w14:paraId="7DE799B4" w14:textId="77777777" w:rsidR="0092254A" w:rsidRPr="00576299" w:rsidRDefault="0092254A" w:rsidP="00AD20AB">
            <w:pPr>
              <w:pStyle w:val="TableTextCA"/>
              <w:keepNext/>
              <w:keepLines/>
              <w:spacing w:before="0" w:after="0"/>
              <w:jc w:val="left"/>
            </w:pPr>
            <w:r w:rsidRPr="00576299">
              <w:t>Cycle length</w:t>
            </w:r>
          </w:p>
        </w:tc>
        <w:tc>
          <w:tcPr>
            <w:tcW w:w="1650" w:type="pct"/>
            <w:vAlign w:val="center"/>
          </w:tcPr>
          <w:p w14:paraId="3900920A" w14:textId="77777777" w:rsidR="0092254A" w:rsidRPr="00576299" w:rsidRDefault="0092254A" w:rsidP="00AD20AB">
            <w:pPr>
              <w:pStyle w:val="TableTextCA"/>
              <w:keepNext/>
              <w:keepLines/>
              <w:spacing w:before="0" w:after="0"/>
              <w:jc w:val="left"/>
            </w:pPr>
            <w:r w:rsidRPr="00576299">
              <w:t>21 days</w:t>
            </w:r>
          </w:p>
        </w:tc>
        <w:tc>
          <w:tcPr>
            <w:tcW w:w="2488" w:type="pct"/>
            <w:vAlign w:val="center"/>
          </w:tcPr>
          <w:p w14:paraId="65EF6904" w14:textId="77777777" w:rsidR="0092254A" w:rsidRPr="00576299" w:rsidRDefault="0092254A" w:rsidP="00AD20AB">
            <w:pPr>
              <w:pStyle w:val="TableTextCA"/>
              <w:keepNext/>
              <w:keepLines/>
              <w:spacing w:before="0" w:after="0"/>
              <w:jc w:val="left"/>
            </w:pPr>
            <w:r w:rsidRPr="00576299">
              <w:t>Reasonable</w:t>
            </w:r>
          </w:p>
        </w:tc>
      </w:tr>
      <w:tr w:rsidR="0092254A" w:rsidRPr="00576299" w14:paraId="4EE57A5D" w14:textId="77777777" w:rsidTr="008F14D7">
        <w:trPr>
          <w:trHeight w:val="337"/>
        </w:trPr>
        <w:tc>
          <w:tcPr>
            <w:tcW w:w="862" w:type="pct"/>
            <w:vAlign w:val="center"/>
          </w:tcPr>
          <w:p w14:paraId="0FDB97CA" w14:textId="77777777" w:rsidR="0092254A" w:rsidRPr="00576299" w:rsidRDefault="0092254A" w:rsidP="00AD20AB">
            <w:pPr>
              <w:pStyle w:val="TableTextCA"/>
              <w:keepNext/>
              <w:keepLines/>
              <w:spacing w:before="0" w:after="0"/>
              <w:jc w:val="left"/>
            </w:pPr>
            <w:r w:rsidRPr="00576299">
              <w:t>Allocation to health states</w:t>
            </w:r>
          </w:p>
        </w:tc>
        <w:tc>
          <w:tcPr>
            <w:tcW w:w="1650" w:type="pct"/>
            <w:vAlign w:val="center"/>
          </w:tcPr>
          <w:p w14:paraId="765AE3F7" w14:textId="332A755E" w:rsidR="0092254A" w:rsidRPr="00576299" w:rsidRDefault="0092254A" w:rsidP="00AD20AB">
            <w:pPr>
              <w:pStyle w:val="TableTextCA"/>
              <w:keepNext/>
              <w:keepLines/>
              <w:spacing w:before="0" w:after="0"/>
              <w:jc w:val="left"/>
              <w:rPr>
                <w:i/>
                <w:iCs/>
              </w:rPr>
            </w:pPr>
            <w:r w:rsidRPr="00576299">
              <w:t>Dostarlimab arm: PFS and OS from GARNET Cohort A1 IA3 data-cut, followed by extrapolation of PFS and OS</w:t>
            </w:r>
            <w:r w:rsidR="0017534D" w:rsidRPr="00576299">
              <w:t xml:space="preserve"> </w:t>
            </w:r>
            <w:r w:rsidR="0017534D" w:rsidRPr="00A03261">
              <w:t>from 27.6 months</w:t>
            </w:r>
          </w:p>
          <w:p w14:paraId="17E874CB" w14:textId="094A268B" w:rsidR="0092254A" w:rsidRPr="00576299" w:rsidRDefault="0092254A" w:rsidP="00AD20AB">
            <w:pPr>
              <w:pStyle w:val="TableTextCA"/>
              <w:keepNext/>
              <w:keepLines/>
              <w:spacing w:before="0" w:after="0"/>
              <w:jc w:val="left"/>
            </w:pPr>
            <w:r w:rsidRPr="00576299">
              <w:t>SoC arm: PFS and OS from ZoptEC, followed by extrapolation of PFS and OS</w:t>
            </w:r>
            <w:r w:rsidR="0017534D" w:rsidRPr="00576299">
              <w:t xml:space="preserve"> </w:t>
            </w:r>
            <w:r w:rsidR="0017534D" w:rsidRPr="00A03261">
              <w:t>from 2</w:t>
            </w:r>
            <w:r w:rsidR="00784E52" w:rsidRPr="00A03261">
              <w:t>6.</w:t>
            </w:r>
            <w:r w:rsidR="0017534D" w:rsidRPr="00A03261">
              <w:t>7 months</w:t>
            </w:r>
          </w:p>
        </w:tc>
        <w:tc>
          <w:tcPr>
            <w:tcW w:w="2488" w:type="pct"/>
            <w:vAlign w:val="center"/>
          </w:tcPr>
          <w:p w14:paraId="4BD53F2D" w14:textId="54E8F9F9" w:rsidR="0092254A" w:rsidRPr="00576299" w:rsidRDefault="0092254A" w:rsidP="00AD20AB">
            <w:pPr>
              <w:pStyle w:val="TableTextCA"/>
              <w:keepNext/>
              <w:keepLines/>
              <w:spacing w:before="0" w:after="0"/>
              <w:jc w:val="left"/>
            </w:pPr>
            <w:r w:rsidRPr="00576299">
              <w:t xml:space="preserve">Reasonable. Different parametric extrapolations were fitted in the sensitivity analysis of the resubmission. </w:t>
            </w:r>
          </w:p>
        </w:tc>
      </w:tr>
      <w:tr w:rsidR="0092254A" w:rsidRPr="00576299" w14:paraId="1354EFD4" w14:textId="77777777" w:rsidTr="008F14D7">
        <w:trPr>
          <w:trHeight w:val="20"/>
        </w:trPr>
        <w:tc>
          <w:tcPr>
            <w:tcW w:w="862" w:type="pct"/>
            <w:vAlign w:val="center"/>
          </w:tcPr>
          <w:p w14:paraId="54941388" w14:textId="77777777" w:rsidR="0092254A" w:rsidRPr="00576299" w:rsidRDefault="0092254A" w:rsidP="00AD20AB">
            <w:pPr>
              <w:pStyle w:val="TableTextCA"/>
              <w:keepNext/>
              <w:keepLines/>
              <w:spacing w:before="0" w:after="0"/>
              <w:jc w:val="left"/>
            </w:pPr>
            <w:r w:rsidRPr="00576299">
              <w:t>Software</w:t>
            </w:r>
          </w:p>
        </w:tc>
        <w:tc>
          <w:tcPr>
            <w:tcW w:w="1650" w:type="pct"/>
            <w:vAlign w:val="center"/>
          </w:tcPr>
          <w:p w14:paraId="4FBE28C3" w14:textId="77777777" w:rsidR="0092254A" w:rsidRPr="00576299" w:rsidRDefault="0092254A" w:rsidP="00AD20AB">
            <w:pPr>
              <w:pStyle w:val="TableTextCA"/>
              <w:keepNext/>
              <w:keepLines/>
              <w:spacing w:before="0" w:after="0"/>
              <w:jc w:val="left"/>
            </w:pPr>
            <w:r w:rsidRPr="00576299">
              <w:t>Microsoft Excel</w:t>
            </w:r>
          </w:p>
        </w:tc>
        <w:tc>
          <w:tcPr>
            <w:tcW w:w="2488" w:type="pct"/>
            <w:vAlign w:val="center"/>
          </w:tcPr>
          <w:p w14:paraId="4D2EB14F" w14:textId="7CB552D2" w:rsidR="0092254A" w:rsidRPr="00576299" w:rsidRDefault="0092254A" w:rsidP="00AD20AB">
            <w:pPr>
              <w:pStyle w:val="TableTextCA"/>
              <w:keepNext/>
              <w:keepLines/>
              <w:spacing w:before="0" w:after="0"/>
              <w:jc w:val="left"/>
            </w:pPr>
            <w:r w:rsidRPr="00576299">
              <w:t>Appropriate</w:t>
            </w:r>
          </w:p>
        </w:tc>
      </w:tr>
    </w:tbl>
    <w:p w14:paraId="7F43FDBB" w14:textId="77777777" w:rsidR="002B2253" w:rsidRPr="00576299" w:rsidRDefault="002B2253" w:rsidP="002B2253">
      <w:pPr>
        <w:pStyle w:val="TableFooter"/>
      </w:pPr>
      <w:r w:rsidRPr="00576299">
        <w:t>Source: Table 85, p195 of the resubmission.</w:t>
      </w:r>
    </w:p>
    <w:p w14:paraId="0AE4B852" w14:textId="4D0BF854" w:rsidR="0092254A" w:rsidRPr="00576299" w:rsidRDefault="0092254A" w:rsidP="000E1DA3">
      <w:pPr>
        <w:pStyle w:val="TableFooter"/>
        <w:spacing w:after="120"/>
      </w:pPr>
      <w:r w:rsidRPr="00576299">
        <w:t>OS = overall survival; PFS = progression-free survival; SoC = standard of care.</w:t>
      </w:r>
    </w:p>
    <w:p w14:paraId="037FC6BC" w14:textId="3FD1002A" w:rsidR="0092254A" w:rsidRPr="00576299" w:rsidRDefault="0092254A" w:rsidP="0092254A">
      <w:pPr>
        <w:pStyle w:val="3-BodyText"/>
      </w:pPr>
      <w:r w:rsidRPr="00576299">
        <w:t xml:space="preserve">An outline of how the survival curves were constructed within the model base case is provided in </w:t>
      </w:r>
      <w:r w:rsidRPr="00576299">
        <w:fldChar w:fldCharType="begin"/>
      </w:r>
      <w:r w:rsidRPr="00576299">
        <w:instrText xml:space="preserve"> REF _Ref111455174 \h </w:instrText>
      </w:r>
      <w:r w:rsidRPr="00576299">
        <w:fldChar w:fldCharType="separate"/>
      </w:r>
      <w:r w:rsidR="00CD09E9" w:rsidRPr="00576299">
        <w:t xml:space="preserve">Table </w:t>
      </w:r>
      <w:r w:rsidR="00CD09E9">
        <w:rPr>
          <w:noProof/>
        </w:rPr>
        <w:t>15</w:t>
      </w:r>
      <w:r w:rsidRPr="00576299">
        <w:fldChar w:fldCharType="end"/>
      </w:r>
      <w:r w:rsidRPr="00576299">
        <w:t>.</w:t>
      </w:r>
    </w:p>
    <w:p w14:paraId="57F7BC77" w14:textId="4237365A" w:rsidR="0092254A" w:rsidRPr="00576299" w:rsidRDefault="0092254A" w:rsidP="0092254A">
      <w:pPr>
        <w:pStyle w:val="Caption"/>
        <w:jc w:val="left"/>
      </w:pPr>
      <w:bookmarkStart w:id="61" w:name="_Ref111455174"/>
      <w:r w:rsidRPr="00576299">
        <w:lastRenderedPageBreak/>
        <w:t xml:space="preserve">Table </w:t>
      </w:r>
      <w:fldSimple w:instr=" SEQ Table \* ARABIC ">
        <w:r w:rsidR="00CD09E9">
          <w:rPr>
            <w:noProof/>
          </w:rPr>
          <w:t>15</w:t>
        </w:r>
      </w:fldSimple>
      <w:bookmarkEnd w:id="61"/>
      <w:r w:rsidRPr="00576299">
        <w:t>: Outline of survival curves applied in the model base case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562"/>
        <w:gridCol w:w="3446"/>
        <w:gridCol w:w="3163"/>
      </w:tblGrid>
      <w:tr w:rsidR="0092254A" w:rsidRPr="00576299" w14:paraId="560BA11B" w14:textId="77777777" w:rsidTr="00C068F2">
        <w:tc>
          <w:tcPr>
            <w:tcW w:w="1335" w:type="pct"/>
            <w:gridSpan w:val="2"/>
            <w:shd w:val="clear" w:color="auto" w:fill="auto"/>
          </w:tcPr>
          <w:p w14:paraId="5605F47A" w14:textId="77777777" w:rsidR="0092254A" w:rsidRPr="00576299" w:rsidRDefault="0092254A" w:rsidP="00C068F2">
            <w:pPr>
              <w:pStyle w:val="In-tableHeading"/>
              <w:rPr>
                <w:lang w:val="en-AU"/>
              </w:rPr>
            </w:pPr>
            <w:r w:rsidRPr="00576299">
              <w:rPr>
                <w:lang w:val="en-AU"/>
              </w:rPr>
              <w:t>Treatment arm</w:t>
            </w:r>
          </w:p>
        </w:tc>
        <w:tc>
          <w:tcPr>
            <w:tcW w:w="1911" w:type="pct"/>
            <w:shd w:val="clear" w:color="auto" w:fill="auto"/>
          </w:tcPr>
          <w:p w14:paraId="3D80BE98" w14:textId="77777777" w:rsidR="0092254A" w:rsidRPr="00576299" w:rsidRDefault="0092254A" w:rsidP="00C068F2">
            <w:pPr>
              <w:pStyle w:val="In-tableHeading"/>
              <w:jc w:val="center"/>
              <w:rPr>
                <w:lang w:val="en-AU"/>
              </w:rPr>
            </w:pPr>
            <w:r w:rsidRPr="00576299">
              <w:rPr>
                <w:lang w:val="en-AU"/>
              </w:rPr>
              <w:t>Dostarlimab</w:t>
            </w:r>
          </w:p>
        </w:tc>
        <w:tc>
          <w:tcPr>
            <w:tcW w:w="1754" w:type="pct"/>
            <w:shd w:val="clear" w:color="auto" w:fill="auto"/>
          </w:tcPr>
          <w:p w14:paraId="0F1C91A2" w14:textId="77777777" w:rsidR="0092254A" w:rsidRPr="00576299" w:rsidRDefault="0092254A" w:rsidP="00C068F2">
            <w:pPr>
              <w:pStyle w:val="In-tableHeading"/>
              <w:jc w:val="center"/>
              <w:rPr>
                <w:lang w:val="en-AU"/>
              </w:rPr>
            </w:pPr>
            <w:r w:rsidRPr="00576299">
              <w:rPr>
                <w:lang w:val="en-AU"/>
              </w:rPr>
              <w:t>SoC</w:t>
            </w:r>
          </w:p>
        </w:tc>
      </w:tr>
      <w:tr w:rsidR="0092254A" w:rsidRPr="00576299" w14:paraId="5E84E2A6" w14:textId="77777777" w:rsidTr="00CD6CDB">
        <w:tc>
          <w:tcPr>
            <w:tcW w:w="1335" w:type="pct"/>
            <w:gridSpan w:val="2"/>
            <w:shd w:val="clear" w:color="auto" w:fill="auto"/>
          </w:tcPr>
          <w:p w14:paraId="17307DED" w14:textId="77777777" w:rsidR="0092254A" w:rsidRPr="00576299" w:rsidRDefault="0092254A" w:rsidP="00C068F2">
            <w:pPr>
              <w:pStyle w:val="TableText0"/>
            </w:pPr>
            <w:r w:rsidRPr="00576299">
              <w:t>Data source</w:t>
            </w:r>
          </w:p>
        </w:tc>
        <w:tc>
          <w:tcPr>
            <w:tcW w:w="1911" w:type="pct"/>
            <w:shd w:val="clear" w:color="auto" w:fill="auto"/>
            <w:vAlign w:val="center"/>
          </w:tcPr>
          <w:p w14:paraId="3A5B9CE7" w14:textId="77777777" w:rsidR="0092254A" w:rsidRPr="00576299" w:rsidRDefault="0092254A" w:rsidP="00CD6CDB">
            <w:pPr>
              <w:pStyle w:val="TableText0"/>
            </w:pPr>
            <w:r w:rsidRPr="00576299">
              <w:t>GARNET Cohort A1 IA3 data-cut</w:t>
            </w:r>
          </w:p>
        </w:tc>
        <w:tc>
          <w:tcPr>
            <w:tcW w:w="1754" w:type="pct"/>
            <w:shd w:val="clear" w:color="auto" w:fill="auto"/>
            <w:vAlign w:val="center"/>
          </w:tcPr>
          <w:p w14:paraId="679F1F69" w14:textId="77777777" w:rsidR="0092254A" w:rsidRPr="00576299" w:rsidRDefault="0092254A" w:rsidP="00CD6CDB">
            <w:pPr>
              <w:pStyle w:val="TableText0"/>
            </w:pPr>
            <w:r w:rsidRPr="00576299">
              <w:t>ZoptEC</w:t>
            </w:r>
          </w:p>
        </w:tc>
      </w:tr>
      <w:tr w:rsidR="0092254A" w:rsidRPr="00576299" w14:paraId="6081B43C" w14:textId="77777777" w:rsidTr="005E7FCC">
        <w:tc>
          <w:tcPr>
            <w:tcW w:w="469" w:type="pct"/>
            <w:vMerge w:val="restart"/>
            <w:shd w:val="clear" w:color="auto" w:fill="auto"/>
            <w:vAlign w:val="center"/>
          </w:tcPr>
          <w:p w14:paraId="2AF7DC8A" w14:textId="77777777" w:rsidR="0092254A" w:rsidRPr="00576299" w:rsidRDefault="0092254A" w:rsidP="005E7FCC">
            <w:pPr>
              <w:pStyle w:val="TableText0"/>
            </w:pPr>
            <w:r w:rsidRPr="00576299">
              <w:t>PFS</w:t>
            </w:r>
          </w:p>
        </w:tc>
        <w:tc>
          <w:tcPr>
            <w:tcW w:w="866" w:type="pct"/>
            <w:shd w:val="clear" w:color="auto" w:fill="auto"/>
            <w:vAlign w:val="center"/>
          </w:tcPr>
          <w:p w14:paraId="01D452A2" w14:textId="77777777" w:rsidR="0092254A" w:rsidRPr="00576299" w:rsidRDefault="0092254A" w:rsidP="005E7FCC">
            <w:pPr>
              <w:pStyle w:val="TableText0"/>
            </w:pPr>
            <w:r w:rsidRPr="00576299">
              <w:t>Trial period</w:t>
            </w:r>
          </w:p>
        </w:tc>
        <w:tc>
          <w:tcPr>
            <w:tcW w:w="1911" w:type="pct"/>
            <w:shd w:val="clear" w:color="auto" w:fill="auto"/>
            <w:vAlign w:val="center"/>
          </w:tcPr>
          <w:p w14:paraId="4972C2AE" w14:textId="77777777" w:rsidR="0092254A" w:rsidRPr="00576299" w:rsidRDefault="0092254A" w:rsidP="005E7FCC">
            <w:pPr>
              <w:pStyle w:val="TableText0"/>
            </w:pPr>
            <w:r w:rsidRPr="00576299">
              <w:t xml:space="preserve">KM data </w:t>
            </w:r>
            <w:r w:rsidRPr="00576299">
              <w:br/>
              <w:t>(Baseline to 27.6 months)</w:t>
            </w:r>
          </w:p>
        </w:tc>
        <w:tc>
          <w:tcPr>
            <w:tcW w:w="1754" w:type="pct"/>
            <w:shd w:val="clear" w:color="auto" w:fill="auto"/>
            <w:vAlign w:val="center"/>
          </w:tcPr>
          <w:p w14:paraId="52A35F09" w14:textId="77777777" w:rsidR="0092254A" w:rsidRPr="00576299" w:rsidRDefault="0092254A" w:rsidP="005E7FCC">
            <w:pPr>
              <w:pStyle w:val="TableText0"/>
            </w:pPr>
            <w:r w:rsidRPr="00576299">
              <w:t xml:space="preserve">KM data </w:t>
            </w:r>
            <w:r w:rsidRPr="00576299">
              <w:br/>
              <w:t xml:space="preserve">(Baseline to 26.7 months </w:t>
            </w:r>
            <w:r w:rsidRPr="00576299">
              <w:rPr>
                <w:vertAlign w:val="superscript"/>
              </w:rPr>
              <w:t>a</w:t>
            </w:r>
            <w:r w:rsidRPr="00576299">
              <w:t>)</w:t>
            </w:r>
          </w:p>
        </w:tc>
      </w:tr>
      <w:tr w:rsidR="0092254A" w:rsidRPr="00576299" w14:paraId="48399444" w14:textId="77777777" w:rsidTr="005E7FCC">
        <w:tc>
          <w:tcPr>
            <w:tcW w:w="469" w:type="pct"/>
            <w:vMerge/>
            <w:shd w:val="clear" w:color="auto" w:fill="auto"/>
            <w:vAlign w:val="center"/>
          </w:tcPr>
          <w:p w14:paraId="6AEC4513" w14:textId="77777777" w:rsidR="0092254A" w:rsidRPr="00576299" w:rsidRDefault="0092254A" w:rsidP="005E7FCC">
            <w:pPr>
              <w:pStyle w:val="TableText0"/>
            </w:pPr>
          </w:p>
        </w:tc>
        <w:tc>
          <w:tcPr>
            <w:tcW w:w="866" w:type="pct"/>
            <w:shd w:val="clear" w:color="auto" w:fill="auto"/>
            <w:vAlign w:val="center"/>
          </w:tcPr>
          <w:p w14:paraId="0522DD98" w14:textId="77777777" w:rsidR="0092254A" w:rsidRPr="00576299" w:rsidRDefault="0092254A" w:rsidP="005E7FCC">
            <w:pPr>
              <w:pStyle w:val="TableText0"/>
            </w:pPr>
            <w:r w:rsidRPr="00576299">
              <w:t>Extrapolation</w:t>
            </w:r>
          </w:p>
        </w:tc>
        <w:tc>
          <w:tcPr>
            <w:tcW w:w="1911" w:type="pct"/>
            <w:shd w:val="clear" w:color="auto" w:fill="auto"/>
            <w:vAlign w:val="center"/>
          </w:tcPr>
          <w:p w14:paraId="259BD514" w14:textId="77777777" w:rsidR="0092254A" w:rsidRPr="00576299" w:rsidRDefault="0092254A" w:rsidP="005E7FCC">
            <w:pPr>
              <w:pStyle w:val="TableText0"/>
            </w:pPr>
            <w:r w:rsidRPr="00576299">
              <w:t>Lognormal extrapolation (incorporating lifetables adjustment) from 27.6 to 48 months, followed by convergence to SoC PFS from 48 to 72 months</w:t>
            </w:r>
          </w:p>
        </w:tc>
        <w:tc>
          <w:tcPr>
            <w:tcW w:w="1754" w:type="pct"/>
            <w:shd w:val="clear" w:color="auto" w:fill="auto"/>
            <w:vAlign w:val="center"/>
          </w:tcPr>
          <w:p w14:paraId="664A3755" w14:textId="77777777" w:rsidR="0092254A" w:rsidRPr="00576299" w:rsidRDefault="0092254A" w:rsidP="005E7FCC">
            <w:pPr>
              <w:pStyle w:val="TableText0"/>
            </w:pPr>
            <w:r w:rsidRPr="00576299">
              <w:t>Lognormal extrapolation (incorporating lifetables adjustment) from 26.7 to 72 months</w:t>
            </w:r>
          </w:p>
        </w:tc>
      </w:tr>
      <w:tr w:rsidR="0092254A" w:rsidRPr="00576299" w14:paraId="624FEAA1" w14:textId="77777777" w:rsidTr="005E7FCC">
        <w:tc>
          <w:tcPr>
            <w:tcW w:w="469" w:type="pct"/>
            <w:vMerge w:val="restart"/>
            <w:shd w:val="clear" w:color="auto" w:fill="auto"/>
            <w:vAlign w:val="center"/>
          </w:tcPr>
          <w:p w14:paraId="63F9CD1E" w14:textId="77777777" w:rsidR="0092254A" w:rsidRPr="00576299" w:rsidRDefault="0092254A" w:rsidP="005E7FCC">
            <w:pPr>
              <w:pStyle w:val="TableText0"/>
            </w:pPr>
            <w:r w:rsidRPr="00576299">
              <w:t>OS</w:t>
            </w:r>
          </w:p>
        </w:tc>
        <w:tc>
          <w:tcPr>
            <w:tcW w:w="866" w:type="pct"/>
            <w:shd w:val="clear" w:color="auto" w:fill="auto"/>
            <w:vAlign w:val="center"/>
          </w:tcPr>
          <w:p w14:paraId="013EDEA1" w14:textId="77777777" w:rsidR="0092254A" w:rsidRPr="00576299" w:rsidRDefault="0092254A" w:rsidP="005E7FCC">
            <w:pPr>
              <w:pStyle w:val="TableText0"/>
            </w:pPr>
            <w:r w:rsidRPr="00576299">
              <w:t>Trial period</w:t>
            </w:r>
          </w:p>
        </w:tc>
        <w:tc>
          <w:tcPr>
            <w:tcW w:w="1911" w:type="pct"/>
            <w:shd w:val="clear" w:color="auto" w:fill="auto"/>
            <w:vAlign w:val="center"/>
          </w:tcPr>
          <w:p w14:paraId="63EF7B16" w14:textId="77777777" w:rsidR="0092254A" w:rsidRPr="00576299" w:rsidRDefault="0092254A" w:rsidP="005E7FCC">
            <w:pPr>
              <w:pStyle w:val="TableText0"/>
            </w:pPr>
            <w:r w:rsidRPr="00576299">
              <w:t>KM data</w:t>
            </w:r>
            <w:r w:rsidRPr="00576299">
              <w:br/>
              <w:t>(Baseline to 27.6 months)</w:t>
            </w:r>
          </w:p>
        </w:tc>
        <w:tc>
          <w:tcPr>
            <w:tcW w:w="1754" w:type="pct"/>
            <w:shd w:val="clear" w:color="auto" w:fill="auto"/>
            <w:vAlign w:val="center"/>
          </w:tcPr>
          <w:p w14:paraId="7551E876" w14:textId="77777777" w:rsidR="0092254A" w:rsidRPr="00576299" w:rsidRDefault="0092254A" w:rsidP="005E7FCC">
            <w:pPr>
              <w:pStyle w:val="TableText0"/>
            </w:pPr>
            <w:r w:rsidRPr="00576299">
              <w:t xml:space="preserve">KM data </w:t>
            </w:r>
            <w:r w:rsidRPr="00576299">
              <w:br/>
              <w:t xml:space="preserve">(Baseline to 26.7 months </w:t>
            </w:r>
            <w:r w:rsidRPr="00576299">
              <w:rPr>
                <w:vertAlign w:val="superscript"/>
              </w:rPr>
              <w:t>a</w:t>
            </w:r>
            <w:r w:rsidRPr="00576299">
              <w:t>)</w:t>
            </w:r>
          </w:p>
        </w:tc>
      </w:tr>
      <w:tr w:rsidR="0092254A" w:rsidRPr="00576299" w14:paraId="2F625D92" w14:textId="77777777" w:rsidTr="005E7FCC">
        <w:tc>
          <w:tcPr>
            <w:tcW w:w="469" w:type="pct"/>
            <w:vMerge/>
            <w:shd w:val="clear" w:color="auto" w:fill="auto"/>
            <w:vAlign w:val="center"/>
          </w:tcPr>
          <w:p w14:paraId="2EE914C1" w14:textId="77777777" w:rsidR="0092254A" w:rsidRPr="00576299" w:rsidRDefault="0092254A" w:rsidP="005E7FCC">
            <w:pPr>
              <w:pStyle w:val="TableText0"/>
            </w:pPr>
          </w:p>
        </w:tc>
        <w:tc>
          <w:tcPr>
            <w:tcW w:w="866" w:type="pct"/>
            <w:shd w:val="clear" w:color="auto" w:fill="auto"/>
            <w:vAlign w:val="center"/>
          </w:tcPr>
          <w:p w14:paraId="3ECE0A07" w14:textId="77777777" w:rsidR="0092254A" w:rsidRPr="00576299" w:rsidRDefault="0092254A" w:rsidP="005E7FCC">
            <w:pPr>
              <w:pStyle w:val="TableText0"/>
            </w:pPr>
            <w:r w:rsidRPr="00576299">
              <w:t>Extrapolation</w:t>
            </w:r>
          </w:p>
        </w:tc>
        <w:tc>
          <w:tcPr>
            <w:tcW w:w="1911" w:type="pct"/>
            <w:shd w:val="clear" w:color="auto" w:fill="auto"/>
            <w:vAlign w:val="center"/>
          </w:tcPr>
          <w:p w14:paraId="01638730" w14:textId="77777777" w:rsidR="0092254A" w:rsidRPr="00576299" w:rsidRDefault="0092254A" w:rsidP="005E7FCC">
            <w:pPr>
              <w:pStyle w:val="TableText0"/>
            </w:pPr>
            <w:r w:rsidRPr="00576299">
              <w:t>Lognormal extrapolation (incorporating lifetables adjustment) from 27.6 to 48 months, followed by convergence to SoC OS from 48 to 72 months</w:t>
            </w:r>
          </w:p>
        </w:tc>
        <w:tc>
          <w:tcPr>
            <w:tcW w:w="1754" w:type="pct"/>
            <w:shd w:val="clear" w:color="auto" w:fill="auto"/>
            <w:vAlign w:val="center"/>
          </w:tcPr>
          <w:p w14:paraId="6245EB57" w14:textId="77777777" w:rsidR="0092254A" w:rsidRPr="00576299" w:rsidRDefault="0092254A" w:rsidP="005E7FCC">
            <w:pPr>
              <w:pStyle w:val="TableText0"/>
            </w:pPr>
            <w:r w:rsidRPr="00576299">
              <w:t>Lognormal extrapolation (incorporating lifetables adjustment) from 26.7 to 72 months</w:t>
            </w:r>
          </w:p>
        </w:tc>
      </w:tr>
      <w:tr w:rsidR="0092254A" w:rsidRPr="00576299" w14:paraId="5017D9FA" w14:textId="77777777" w:rsidTr="005E7FCC">
        <w:tc>
          <w:tcPr>
            <w:tcW w:w="469" w:type="pct"/>
            <w:vMerge w:val="restart"/>
            <w:shd w:val="clear" w:color="auto" w:fill="auto"/>
            <w:vAlign w:val="center"/>
          </w:tcPr>
          <w:p w14:paraId="6BAC7DBB" w14:textId="77777777" w:rsidR="0092254A" w:rsidRPr="00576299" w:rsidRDefault="0092254A" w:rsidP="005E7FCC">
            <w:pPr>
              <w:pStyle w:val="TableText0"/>
            </w:pPr>
            <w:r w:rsidRPr="00576299">
              <w:t>TTD</w:t>
            </w:r>
          </w:p>
        </w:tc>
        <w:tc>
          <w:tcPr>
            <w:tcW w:w="866" w:type="pct"/>
            <w:shd w:val="clear" w:color="auto" w:fill="auto"/>
            <w:vAlign w:val="center"/>
          </w:tcPr>
          <w:p w14:paraId="53606B04" w14:textId="77777777" w:rsidR="0092254A" w:rsidRPr="00576299" w:rsidRDefault="0092254A" w:rsidP="005E7FCC">
            <w:pPr>
              <w:pStyle w:val="TableText0"/>
            </w:pPr>
            <w:r w:rsidRPr="00576299">
              <w:t>Trial period</w:t>
            </w:r>
          </w:p>
        </w:tc>
        <w:tc>
          <w:tcPr>
            <w:tcW w:w="1911" w:type="pct"/>
            <w:shd w:val="clear" w:color="auto" w:fill="auto"/>
            <w:vAlign w:val="center"/>
          </w:tcPr>
          <w:p w14:paraId="34F64A80" w14:textId="77777777" w:rsidR="0092254A" w:rsidRPr="00576299" w:rsidRDefault="0092254A" w:rsidP="005E7FCC">
            <w:pPr>
              <w:pStyle w:val="TableText0"/>
            </w:pPr>
            <w:r w:rsidRPr="00576299">
              <w:t>KM data</w:t>
            </w:r>
            <w:r w:rsidRPr="00576299">
              <w:br/>
              <w:t xml:space="preserve">(Baseline to 24 months </w:t>
            </w:r>
            <w:r w:rsidRPr="00576299">
              <w:rPr>
                <w:vertAlign w:val="superscript"/>
              </w:rPr>
              <w:t>b</w:t>
            </w:r>
            <w:r w:rsidRPr="00576299">
              <w:t>)</w:t>
            </w:r>
          </w:p>
        </w:tc>
        <w:tc>
          <w:tcPr>
            <w:tcW w:w="1754" w:type="pct"/>
            <w:vMerge w:val="restart"/>
            <w:shd w:val="clear" w:color="auto" w:fill="auto"/>
            <w:vAlign w:val="center"/>
          </w:tcPr>
          <w:p w14:paraId="6794E65E" w14:textId="77777777" w:rsidR="0092254A" w:rsidRPr="00576299" w:rsidRDefault="0092254A" w:rsidP="005E7FCC">
            <w:pPr>
              <w:pStyle w:val="TableText0"/>
            </w:pPr>
            <w:r w:rsidRPr="00576299">
              <w:t>Not applicable</w:t>
            </w:r>
          </w:p>
          <w:p w14:paraId="56568421" w14:textId="77777777" w:rsidR="0092254A" w:rsidRPr="00576299" w:rsidRDefault="0092254A" w:rsidP="005E7FCC">
            <w:pPr>
              <w:pStyle w:val="TableText0"/>
            </w:pPr>
            <w:r w:rsidRPr="00576299">
              <w:t>(SoC treatment durations are applied directly at model entry)</w:t>
            </w:r>
          </w:p>
        </w:tc>
      </w:tr>
      <w:tr w:rsidR="0092254A" w:rsidRPr="00576299" w14:paraId="5DB9729E" w14:textId="77777777" w:rsidTr="005E7FCC">
        <w:tc>
          <w:tcPr>
            <w:tcW w:w="469" w:type="pct"/>
            <w:vMerge/>
            <w:shd w:val="clear" w:color="auto" w:fill="auto"/>
          </w:tcPr>
          <w:p w14:paraId="3E122C8E" w14:textId="77777777" w:rsidR="0092254A" w:rsidRPr="00576299" w:rsidRDefault="0092254A" w:rsidP="00C068F2">
            <w:pPr>
              <w:pStyle w:val="TableText0"/>
            </w:pPr>
          </w:p>
        </w:tc>
        <w:tc>
          <w:tcPr>
            <w:tcW w:w="866" w:type="pct"/>
            <w:shd w:val="clear" w:color="auto" w:fill="auto"/>
            <w:vAlign w:val="center"/>
          </w:tcPr>
          <w:p w14:paraId="5A440A2B" w14:textId="77777777" w:rsidR="0092254A" w:rsidRPr="00576299" w:rsidRDefault="0092254A" w:rsidP="005E7FCC">
            <w:pPr>
              <w:pStyle w:val="TableText0"/>
            </w:pPr>
            <w:r w:rsidRPr="00576299">
              <w:t>Extrapolation</w:t>
            </w:r>
          </w:p>
        </w:tc>
        <w:tc>
          <w:tcPr>
            <w:tcW w:w="1911" w:type="pct"/>
            <w:shd w:val="clear" w:color="auto" w:fill="auto"/>
            <w:vAlign w:val="center"/>
          </w:tcPr>
          <w:p w14:paraId="7F46F181" w14:textId="77777777" w:rsidR="0092254A" w:rsidRPr="00576299" w:rsidRDefault="0092254A" w:rsidP="005E7FCC">
            <w:pPr>
              <w:pStyle w:val="TableText0"/>
            </w:pPr>
            <w:r w:rsidRPr="00576299">
              <w:t>Not required</w:t>
            </w:r>
          </w:p>
        </w:tc>
        <w:tc>
          <w:tcPr>
            <w:tcW w:w="1754" w:type="pct"/>
            <w:vMerge/>
            <w:shd w:val="clear" w:color="auto" w:fill="auto"/>
          </w:tcPr>
          <w:p w14:paraId="5FABD28E" w14:textId="77777777" w:rsidR="0092254A" w:rsidRPr="00576299" w:rsidRDefault="0092254A" w:rsidP="00C068F2">
            <w:pPr>
              <w:pStyle w:val="TableText0"/>
              <w:jc w:val="center"/>
            </w:pPr>
          </w:p>
        </w:tc>
      </w:tr>
    </w:tbl>
    <w:p w14:paraId="2AECEE60" w14:textId="77777777" w:rsidR="002B2253" w:rsidRPr="00576299" w:rsidRDefault="002B2253" w:rsidP="002B2253">
      <w:pPr>
        <w:pStyle w:val="TableFooter"/>
      </w:pPr>
      <w:r w:rsidRPr="00576299">
        <w:t>Source: Table 99, p226 of the resubmission.</w:t>
      </w:r>
    </w:p>
    <w:p w14:paraId="2E6EF9DB" w14:textId="2A55A49C" w:rsidR="0092254A" w:rsidRPr="00576299" w:rsidRDefault="0092254A" w:rsidP="0092254A">
      <w:pPr>
        <w:pStyle w:val="TableFooter"/>
      </w:pPr>
      <w:r w:rsidRPr="00576299">
        <w:t>KM = Kaplan-Meier; OS = overall survival; PFS = progression-free survival; SoC = standard of care; TTD = time to treatment discontinuation.</w:t>
      </w:r>
    </w:p>
    <w:p w14:paraId="727413F5" w14:textId="4214C9B1" w:rsidR="0092254A" w:rsidRPr="00576299" w:rsidRDefault="008726CC" w:rsidP="0092254A">
      <w:pPr>
        <w:pStyle w:val="TableFooter"/>
      </w:pPr>
      <w:r w:rsidRPr="00576299">
        <w:t xml:space="preserve">a </w:t>
      </w:r>
      <w:r w:rsidR="0092254A" w:rsidRPr="00576299">
        <w:t>Estimated median follow-up in the doxorubicin arm of ZoptEC, based on the reverse KM estimator method using the available survival IPD.</w:t>
      </w:r>
    </w:p>
    <w:p w14:paraId="6A2E9031" w14:textId="03599C1D" w:rsidR="0092254A" w:rsidRPr="00576299" w:rsidRDefault="008726CC" w:rsidP="00E8170A">
      <w:pPr>
        <w:pStyle w:val="TableFooter"/>
        <w:spacing w:after="120"/>
      </w:pPr>
      <w:r w:rsidRPr="00576299">
        <w:t xml:space="preserve">b </w:t>
      </w:r>
      <w:r w:rsidR="0092254A" w:rsidRPr="00576299">
        <w:t>In line with the maximum dostarlimab treatment duration applied in the model.</w:t>
      </w:r>
    </w:p>
    <w:p w14:paraId="4DA024B8" w14:textId="1F222DCA" w:rsidR="0092254A" w:rsidRPr="00576299" w:rsidRDefault="0092254A" w:rsidP="0092254A">
      <w:pPr>
        <w:pStyle w:val="3-BodyText"/>
      </w:pPr>
      <w:r w:rsidRPr="00576299">
        <w:t>Survival curves applied in the model base case are illustrated in</w:t>
      </w:r>
      <w:r w:rsidR="00CD0E0F" w:rsidRPr="00576299">
        <w:t xml:space="preserve"> </w:t>
      </w:r>
      <w:r w:rsidR="00CD0E0F" w:rsidRPr="00576299">
        <w:fldChar w:fldCharType="begin"/>
      </w:r>
      <w:r w:rsidR="00CD0E0F" w:rsidRPr="00576299">
        <w:instrText xml:space="preserve"> REF _Ref113912292 \h </w:instrText>
      </w:r>
      <w:r w:rsidR="007F1FF4" w:rsidRPr="00576299">
        <w:instrText xml:space="preserve"> \* MERGEFORMAT </w:instrText>
      </w:r>
      <w:r w:rsidR="00CD0E0F" w:rsidRPr="00576299">
        <w:fldChar w:fldCharType="separate"/>
      </w:r>
      <w:r w:rsidR="00CD09E9" w:rsidRPr="00CD09E9">
        <w:t>Figure 5</w:t>
      </w:r>
      <w:r w:rsidR="00CD0E0F" w:rsidRPr="00576299">
        <w:fldChar w:fldCharType="end"/>
      </w:r>
      <w:r w:rsidRPr="00576299">
        <w:t xml:space="preserve">. For comparison, the survival curves from the </w:t>
      </w:r>
      <w:r w:rsidR="008F1391" w:rsidRPr="00576299">
        <w:t xml:space="preserve">economic model in the </w:t>
      </w:r>
      <w:r w:rsidRPr="00576299">
        <w:t xml:space="preserve">previous submission </w:t>
      </w:r>
      <w:r w:rsidR="00481631">
        <w:t xml:space="preserve">base case </w:t>
      </w:r>
      <w:r w:rsidRPr="00576299">
        <w:t xml:space="preserve">are </w:t>
      </w:r>
      <w:r w:rsidR="00D52171" w:rsidRPr="00576299">
        <w:t xml:space="preserve">also </w:t>
      </w:r>
      <w:r w:rsidRPr="00576299">
        <w:t>provided</w:t>
      </w:r>
      <w:r w:rsidR="00B46BFB" w:rsidRPr="00576299">
        <w:t xml:space="preserve">, but </w:t>
      </w:r>
      <w:r w:rsidRPr="00576299">
        <w:t>over a six</w:t>
      </w:r>
      <w:r w:rsidR="00CD6CDB" w:rsidRPr="00576299">
        <w:t>-</w:t>
      </w:r>
      <w:r w:rsidRPr="00576299">
        <w:t>year time horizon (rather than the 10</w:t>
      </w:r>
      <w:r w:rsidR="00CD6CDB" w:rsidRPr="00576299">
        <w:t>-</w:t>
      </w:r>
      <w:r w:rsidRPr="00576299">
        <w:t>year time horizon used in the previous model).</w:t>
      </w:r>
    </w:p>
    <w:p w14:paraId="75C85BAA" w14:textId="62AA67F6" w:rsidR="00B221DE" w:rsidRPr="00576299" w:rsidRDefault="00B221DE" w:rsidP="00B221DE">
      <w:pPr>
        <w:pStyle w:val="3-BodyText"/>
        <w:numPr>
          <w:ilvl w:val="0"/>
          <w:numId w:val="0"/>
        </w:numPr>
        <w:rPr>
          <w:rFonts w:ascii="Arial Narrow" w:hAnsi="Arial Narrow"/>
          <w:b/>
          <w:bCs/>
          <w:sz w:val="20"/>
          <w:szCs w:val="20"/>
        </w:rPr>
      </w:pPr>
      <w:bookmarkStart w:id="62" w:name="_Ref113912292"/>
      <w:r w:rsidRPr="00576299">
        <w:rPr>
          <w:rFonts w:ascii="Arial Narrow" w:hAnsi="Arial Narrow"/>
          <w:b/>
          <w:bCs/>
          <w:sz w:val="20"/>
          <w:szCs w:val="20"/>
        </w:rPr>
        <w:t xml:space="preserve">Figure </w:t>
      </w:r>
      <w:r w:rsidRPr="00576299">
        <w:rPr>
          <w:rFonts w:ascii="Arial Narrow" w:hAnsi="Arial Narrow"/>
          <w:b/>
          <w:bCs/>
          <w:sz w:val="20"/>
          <w:szCs w:val="20"/>
        </w:rPr>
        <w:fldChar w:fldCharType="begin"/>
      </w:r>
      <w:r w:rsidRPr="00576299">
        <w:rPr>
          <w:rFonts w:ascii="Arial Narrow" w:hAnsi="Arial Narrow"/>
          <w:b/>
          <w:bCs/>
          <w:sz w:val="20"/>
          <w:szCs w:val="20"/>
        </w:rPr>
        <w:instrText xml:space="preserve"> SEQ Figure \* ARABIC </w:instrText>
      </w:r>
      <w:r w:rsidRPr="00576299">
        <w:rPr>
          <w:rFonts w:ascii="Arial Narrow" w:hAnsi="Arial Narrow"/>
          <w:b/>
          <w:bCs/>
          <w:sz w:val="20"/>
          <w:szCs w:val="20"/>
        </w:rPr>
        <w:fldChar w:fldCharType="separate"/>
      </w:r>
      <w:r w:rsidR="00CD09E9">
        <w:rPr>
          <w:rFonts w:ascii="Arial Narrow" w:hAnsi="Arial Narrow"/>
          <w:b/>
          <w:bCs/>
          <w:noProof/>
          <w:sz w:val="20"/>
          <w:szCs w:val="20"/>
        </w:rPr>
        <w:t>5</w:t>
      </w:r>
      <w:r w:rsidRPr="00576299">
        <w:rPr>
          <w:rFonts w:ascii="Arial Narrow" w:hAnsi="Arial Narrow"/>
          <w:b/>
          <w:bCs/>
          <w:sz w:val="20"/>
          <w:szCs w:val="20"/>
        </w:rPr>
        <w:fldChar w:fldCharType="end"/>
      </w:r>
      <w:bookmarkEnd w:id="62"/>
      <w:r w:rsidRPr="00576299">
        <w:rPr>
          <w:rFonts w:ascii="Arial Narrow" w:hAnsi="Arial Narrow"/>
          <w:b/>
          <w:bCs/>
          <w:sz w:val="20"/>
          <w:szCs w:val="20"/>
        </w:rPr>
        <w:t>: Comparison of survival curves applied in the model base case: resubmission and previous submission</w:t>
      </w:r>
      <w:r w:rsidR="007B1CD9">
        <w:rPr>
          <w:rFonts w:ascii="Arial Narrow" w:hAnsi="Arial Narrow"/>
          <w:b/>
          <w:bCs/>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955AAB" w:rsidRPr="00576299" w14:paraId="75CE5587" w14:textId="77777777" w:rsidTr="00955AAB">
        <w:tc>
          <w:tcPr>
            <w:tcW w:w="4508" w:type="dxa"/>
          </w:tcPr>
          <w:p w14:paraId="3DD32826" w14:textId="35EFF089" w:rsidR="00955AAB" w:rsidRPr="00576299" w:rsidRDefault="00955AAB" w:rsidP="00955AAB">
            <w:pPr>
              <w:pStyle w:val="Caption"/>
              <w:rPr>
                <w:b w:val="0"/>
                <w:bCs w:val="0"/>
              </w:rPr>
            </w:pPr>
            <w:r w:rsidRPr="00576299">
              <w:rPr>
                <w:b w:val="0"/>
                <w:bCs w:val="0"/>
              </w:rPr>
              <w:t>Parametrically extrapolated and converged survival curves applied in the model base case of the resubmission</w:t>
            </w:r>
          </w:p>
        </w:tc>
        <w:tc>
          <w:tcPr>
            <w:tcW w:w="4509" w:type="dxa"/>
          </w:tcPr>
          <w:p w14:paraId="68B7FF69" w14:textId="189BCBBC" w:rsidR="00955AAB" w:rsidRPr="00576299" w:rsidRDefault="00955AAB" w:rsidP="00955AAB">
            <w:pPr>
              <w:pStyle w:val="Caption"/>
              <w:rPr>
                <w:b w:val="0"/>
                <w:bCs w:val="0"/>
              </w:rPr>
            </w:pPr>
            <w:r w:rsidRPr="00576299">
              <w:rPr>
                <w:b w:val="0"/>
                <w:bCs w:val="0"/>
              </w:rPr>
              <w:t>Parametrically extrapolated and converged survival curves applied in the previous submission (March 2022) model base case</w:t>
            </w:r>
          </w:p>
        </w:tc>
      </w:tr>
    </w:tbl>
    <w:p w14:paraId="704C2E89" w14:textId="208383FB" w:rsidR="0092254A" w:rsidRPr="00576299" w:rsidRDefault="00B171F0" w:rsidP="005E7FCC">
      <w:pPr>
        <w:pStyle w:val="TableFooter"/>
        <w:keepNext/>
        <w:keepLines/>
      </w:pPr>
      <w:r w:rsidRPr="00576299">
        <w:rPr>
          <w:noProof/>
        </w:rPr>
        <w:drawing>
          <wp:inline distT="0" distB="0" distL="0" distR="0" wp14:anchorId="6603216D" wp14:editId="35F4BF94">
            <wp:extent cx="2732838" cy="1349654"/>
            <wp:effectExtent l="0" t="0" r="0" b="3175"/>
            <wp:docPr id="16" name="Picture 16" descr="Figure 5: Comparison of survival curves applied in the model base case: resubmission and previous submission&#10;Parametrically extrapolated and converged survival curves applied in the model base case of the resub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igure 5: Comparison of survival curves applied in the model base case: resubmission and previous submission&#10;Parametrically extrapolated and converged survival curves applied in the model base case of the resubmiss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2838" cy="1349654"/>
                    </a:xfrm>
                    <a:prstGeom prst="rect">
                      <a:avLst/>
                    </a:prstGeom>
                  </pic:spPr>
                </pic:pic>
              </a:graphicData>
            </a:graphic>
          </wp:inline>
        </w:drawing>
      </w:r>
      <w:r w:rsidR="00615D83" w:rsidRPr="00576299">
        <w:rPr>
          <w:noProof/>
        </w:rPr>
        <w:drawing>
          <wp:inline distT="0" distB="0" distL="0" distR="0" wp14:anchorId="476104FD" wp14:editId="27C41973">
            <wp:extent cx="2914015" cy="1325522"/>
            <wp:effectExtent l="0" t="0" r="635" b="8255"/>
            <wp:docPr id="40" name="Picture 40" descr="Figure 5: Comparison of survival curves applied in the model base case: resubmission and previous submission&#10;Parametrically extrapolated and converged survival curves applied in the previous submission (March 2022) model base 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Figure 5: Comparison of survival curves applied in the model base case: resubmission and previous submission&#10;Parametrically extrapolated and converged survival curves applied in the previous submission (March 2022) model base case"/>
                    <pic:cNvPicPr>
                      <a:picLocks noChangeAspect="1" noChangeArrowheads="1"/>
                    </pic:cNvPicPr>
                  </pic:nvPicPr>
                  <pic:blipFill rotWithShape="1">
                    <a:blip r:embed="rId13">
                      <a:extLst>
                        <a:ext uri="{28A0092B-C50C-407E-A947-70E740481C1C}">
                          <a14:useLocalDpi xmlns:a14="http://schemas.microsoft.com/office/drawing/2010/main" val="0"/>
                        </a:ext>
                      </a:extLst>
                    </a:blip>
                    <a:srcRect b="-124"/>
                    <a:stretch/>
                  </pic:blipFill>
                  <pic:spPr bwMode="auto">
                    <a:xfrm>
                      <a:off x="0" y="0"/>
                      <a:ext cx="2922180" cy="1329236"/>
                    </a:xfrm>
                    <a:prstGeom prst="rect">
                      <a:avLst/>
                    </a:prstGeom>
                    <a:extLst>
                      <a:ext uri="{53640926-AAD7-44D8-BBD7-CCE9431645EC}">
                        <a14:shadowObscured xmlns:a14="http://schemas.microsoft.com/office/drawing/2010/main"/>
                      </a:ext>
                    </a:extLst>
                  </pic:spPr>
                </pic:pic>
              </a:graphicData>
            </a:graphic>
          </wp:inline>
        </w:drawing>
      </w:r>
      <w:r w:rsidR="0092254A" w:rsidRPr="00576299">
        <w:t>DOST = dostarlimab; PFS = progression-free survival; OS = overall survival; SOC = standard of care; TTD = time to treatment discontinuation</w:t>
      </w:r>
    </w:p>
    <w:p w14:paraId="32284D3F" w14:textId="77777777" w:rsidR="005F6B23" w:rsidRPr="00576299" w:rsidRDefault="0092254A" w:rsidP="00955AAB">
      <w:pPr>
        <w:pStyle w:val="TableFooter"/>
        <w:keepNext/>
        <w:keepLines/>
      </w:pPr>
      <w:r w:rsidRPr="00576299">
        <w:t>Source</w:t>
      </w:r>
      <w:r w:rsidR="00955AAB" w:rsidRPr="00576299">
        <w:t>s</w:t>
      </w:r>
      <w:r w:rsidRPr="00576299">
        <w:t>:</w:t>
      </w:r>
      <w:r w:rsidR="009C583F" w:rsidRPr="00576299">
        <w:t xml:space="preserve"> </w:t>
      </w:r>
      <w:r w:rsidRPr="00576299">
        <w:t>Figure 63, p226 of the resubmission.</w:t>
      </w:r>
      <w:r w:rsidR="00955AAB" w:rsidRPr="00576299">
        <w:t xml:space="preserve"> Constructed during evaluation using Jemperli (dostarlimab) 2L dMMR CUA_March 2022.xls.</w:t>
      </w:r>
    </w:p>
    <w:p w14:paraId="2A6A2B2E" w14:textId="54CAE922" w:rsidR="0092254A" w:rsidRDefault="00955AAB" w:rsidP="007B1CD9">
      <w:pPr>
        <w:pStyle w:val="TableFooter"/>
        <w:keepNext/>
        <w:keepLines/>
      </w:pPr>
      <w:r w:rsidRPr="00576299">
        <w:t>Based on the model provided in the previous submission, noting revised models were provided in the previous PSCR and pre-PBAC response.</w:t>
      </w:r>
    </w:p>
    <w:p w14:paraId="075E92A0" w14:textId="68C6E390" w:rsidR="007B1CD9" w:rsidRDefault="007B1CD9" w:rsidP="007B1CD9">
      <w:pPr>
        <w:pStyle w:val="TableFooter"/>
        <w:keepNext/>
        <w:keepLines/>
        <w:rPr>
          <w:i/>
          <w:iCs/>
        </w:rPr>
      </w:pPr>
      <w:r>
        <w:t>*</w:t>
      </w:r>
      <w:r w:rsidRPr="007B1CD9">
        <w:rPr>
          <w:i/>
          <w:iCs/>
        </w:rPr>
        <w:t>Note that the Kaplan-Meier plots and survival curves depicted in Figure 5 are presented specifically for the purposes of informing the PBAC consideration. Their interpretation and application should therefore be limited to seeking to understand the basis for the PBAC outcome and should not be used for any other purpose</w:t>
      </w:r>
    </w:p>
    <w:p w14:paraId="311509A5" w14:textId="77777777" w:rsidR="007B1CD9" w:rsidRPr="00576299" w:rsidRDefault="007B1CD9" w:rsidP="007B1CD9">
      <w:pPr>
        <w:pStyle w:val="TableFooter"/>
        <w:keepNext/>
        <w:keepLines/>
      </w:pPr>
    </w:p>
    <w:p w14:paraId="4088B39F" w14:textId="68210122" w:rsidR="008F1391" w:rsidRPr="00576299" w:rsidRDefault="008F1391" w:rsidP="0092254A">
      <w:pPr>
        <w:pStyle w:val="3-BodyText"/>
      </w:pPr>
      <w:r w:rsidRPr="00576299">
        <w:t xml:space="preserve">The </w:t>
      </w:r>
      <w:r w:rsidR="006C601C" w:rsidRPr="00576299">
        <w:t xml:space="preserve">application of the convergence from year 4 to year 6 in the resubmission was clearly observable in </w:t>
      </w:r>
      <w:r w:rsidR="00D6048D" w:rsidRPr="00576299">
        <w:fldChar w:fldCharType="begin"/>
      </w:r>
      <w:r w:rsidR="00D6048D" w:rsidRPr="00576299">
        <w:instrText xml:space="preserve"> REF _Ref113912292 \h  \* MERGEFORMAT </w:instrText>
      </w:r>
      <w:r w:rsidR="00D6048D" w:rsidRPr="00576299">
        <w:fldChar w:fldCharType="separate"/>
      </w:r>
      <w:r w:rsidR="00CD09E9" w:rsidRPr="00CD09E9">
        <w:t>Figure 5</w:t>
      </w:r>
      <w:r w:rsidR="00D6048D" w:rsidRPr="00576299">
        <w:fldChar w:fldCharType="end"/>
      </w:r>
      <w:r w:rsidR="00D6048D" w:rsidRPr="00576299">
        <w:t xml:space="preserve">. </w:t>
      </w:r>
      <w:r w:rsidR="009524DB" w:rsidRPr="00576299">
        <w:t>However</w:t>
      </w:r>
      <w:r w:rsidR="001C4BBC" w:rsidRPr="00576299">
        <w:t>,</w:t>
      </w:r>
      <w:r w:rsidR="009524DB" w:rsidRPr="00576299">
        <w:t xml:space="preserve"> prior to </w:t>
      </w:r>
      <w:r w:rsidR="009524DB" w:rsidRPr="00576299">
        <w:lastRenderedPageBreak/>
        <w:t>year 4, the resubmission</w:t>
      </w:r>
      <w:r w:rsidR="00A422DB" w:rsidRPr="00576299">
        <w:t xml:space="preserve">’s estimates of survival in the dostarlimab arm were more optimistic than in the previous submission. For example, at three years, </w:t>
      </w:r>
      <w:r w:rsidR="000441B1" w:rsidRPr="00576299">
        <w:t xml:space="preserve">the resubmission estimated that </w:t>
      </w:r>
      <w:r w:rsidR="003B740F" w:rsidRPr="00576299">
        <w:t xml:space="preserve">52.7% of patients in the dostarlimab arm remain alive, compared to </w:t>
      </w:r>
      <w:r w:rsidR="00E34FCE" w:rsidRPr="00576299">
        <w:t xml:space="preserve">46.1% in the previous submission. </w:t>
      </w:r>
    </w:p>
    <w:p w14:paraId="1538D853" w14:textId="145B16F3" w:rsidR="00FB00FD" w:rsidRPr="00576299" w:rsidRDefault="00FB00FD" w:rsidP="00FB00FD">
      <w:pPr>
        <w:pStyle w:val="3-BodyText"/>
      </w:pPr>
      <w:r w:rsidRPr="00576299">
        <w:t xml:space="preserve">The OS extrapolation had a much larger impact on the economic analysis than the PFS extrapolation. However, due to the shorter time horizon in the current model as well as the forced convergence from year 4, the impact of </w:t>
      </w:r>
      <w:r w:rsidR="00373FDA" w:rsidRPr="00576299">
        <w:t xml:space="preserve">the choice of parametric </w:t>
      </w:r>
      <w:r w:rsidRPr="00576299">
        <w:t xml:space="preserve">extrapolation was </w:t>
      </w:r>
      <w:r w:rsidR="003F500D" w:rsidRPr="00576299">
        <w:t>reduced</w:t>
      </w:r>
      <w:r w:rsidRPr="00576299">
        <w:t xml:space="preserve"> </w:t>
      </w:r>
      <w:r w:rsidR="008C57CA" w:rsidRPr="00576299">
        <w:t xml:space="preserve">(up to 6.8% change in ICER) </w:t>
      </w:r>
      <w:r w:rsidRPr="00576299">
        <w:t>compared to the previous submission</w:t>
      </w:r>
      <w:r w:rsidR="008C57CA" w:rsidRPr="00576299">
        <w:t xml:space="preserve"> (up to 42.6% change in ICER)</w:t>
      </w:r>
      <w:r w:rsidRPr="00576299">
        <w:t xml:space="preserve">. </w:t>
      </w:r>
    </w:p>
    <w:p w14:paraId="60C2B7EC" w14:textId="133B6D2F" w:rsidR="0092254A" w:rsidRPr="00576299" w:rsidRDefault="0092254A" w:rsidP="0092254A">
      <w:pPr>
        <w:pStyle w:val="3-BodyText"/>
      </w:pPr>
      <w:r w:rsidRPr="00576299">
        <w:fldChar w:fldCharType="begin"/>
      </w:r>
      <w:r w:rsidRPr="00576299">
        <w:instrText xml:space="preserve"> REF _Ref111453150 \h </w:instrText>
      </w:r>
      <w:r w:rsidRPr="00576299">
        <w:fldChar w:fldCharType="separate"/>
      </w:r>
      <w:r w:rsidR="00CD09E9" w:rsidRPr="00576299">
        <w:t xml:space="preserve">Table </w:t>
      </w:r>
      <w:r w:rsidR="00CD09E9">
        <w:rPr>
          <w:noProof/>
        </w:rPr>
        <w:t>16</w:t>
      </w:r>
      <w:r w:rsidRPr="00576299">
        <w:fldChar w:fldCharType="end"/>
      </w:r>
      <w:r w:rsidRPr="00576299">
        <w:t xml:space="preserve"> summarises the key drivers of the economic model.</w:t>
      </w:r>
    </w:p>
    <w:p w14:paraId="2916B50C" w14:textId="105A4C86" w:rsidR="0092254A" w:rsidRPr="00576299" w:rsidRDefault="0092254A" w:rsidP="0092254A">
      <w:pPr>
        <w:pStyle w:val="Caption"/>
        <w:rPr>
          <w:rStyle w:val="CommentReference"/>
          <w:b/>
          <w:szCs w:val="24"/>
        </w:rPr>
      </w:pPr>
      <w:bookmarkStart w:id="63" w:name="_Ref111453150"/>
      <w:r w:rsidRPr="00576299">
        <w:t xml:space="preserve">Table </w:t>
      </w:r>
      <w:fldSimple w:instr=" SEQ Table \* ARABIC ">
        <w:r w:rsidR="00CD09E9">
          <w:rPr>
            <w:noProof/>
          </w:rPr>
          <w:t>16</w:t>
        </w:r>
      </w:fldSimple>
      <w:bookmarkEnd w:id="63"/>
      <w:r w:rsidRPr="00576299">
        <w:t>:</w:t>
      </w:r>
      <w:r w:rsidRPr="00576299">
        <w:rPr>
          <w:rStyle w:val="CommentReference"/>
          <w:b/>
          <w:szCs w:val="24"/>
        </w:rPr>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4112"/>
        <w:gridCol w:w="3776"/>
      </w:tblGrid>
      <w:tr w:rsidR="0092254A" w:rsidRPr="00576299" w14:paraId="1A9BDB02" w14:textId="77777777" w:rsidTr="009F75A7">
        <w:trPr>
          <w:tblHeader/>
        </w:trPr>
        <w:tc>
          <w:tcPr>
            <w:tcW w:w="626" w:type="pct"/>
            <w:shd w:val="clear" w:color="auto" w:fill="auto"/>
            <w:vAlign w:val="center"/>
          </w:tcPr>
          <w:p w14:paraId="672C5ECE" w14:textId="77777777" w:rsidR="0092254A" w:rsidRPr="00576299" w:rsidRDefault="0092254A" w:rsidP="00C068F2">
            <w:pPr>
              <w:pStyle w:val="In-tableHeading"/>
              <w:jc w:val="center"/>
              <w:rPr>
                <w:lang w:val="en-AU"/>
              </w:rPr>
            </w:pPr>
            <w:r w:rsidRPr="00576299">
              <w:rPr>
                <w:lang w:val="en-AU"/>
              </w:rPr>
              <w:t>Description</w:t>
            </w:r>
          </w:p>
        </w:tc>
        <w:tc>
          <w:tcPr>
            <w:tcW w:w="2280" w:type="pct"/>
            <w:shd w:val="clear" w:color="auto" w:fill="auto"/>
            <w:vAlign w:val="center"/>
          </w:tcPr>
          <w:p w14:paraId="2C3DEFAF" w14:textId="77777777" w:rsidR="0092254A" w:rsidRPr="00576299" w:rsidRDefault="0092254A" w:rsidP="00C068F2">
            <w:pPr>
              <w:pStyle w:val="In-tableHeading"/>
              <w:jc w:val="center"/>
              <w:rPr>
                <w:lang w:val="en-AU"/>
              </w:rPr>
            </w:pPr>
            <w:r w:rsidRPr="00576299">
              <w:rPr>
                <w:lang w:val="en-AU"/>
              </w:rPr>
              <w:t>Method/Value</w:t>
            </w:r>
          </w:p>
        </w:tc>
        <w:tc>
          <w:tcPr>
            <w:tcW w:w="2094" w:type="pct"/>
            <w:shd w:val="clear" w:color="auto" w:fill="auto"/>
            <w:vAlign w:val="center"/>
          </w:tcPr>
          <w:p w14:paraId="5F20E729" w14:textId="77777777" w:rsidR="0092254A" w:rsidRPr="00576299" w:rsidRDefault="0092254A" w:rsidP="00C068F2">
            <w:pPr>
              <w:pStyle w:val="In-tableHeading"/>
              <w:jc w:val="center"/>
              <w:rPr>
                <w:lang w:val="en-AU"/>
              </w:rPr>
            </w:pPr>
            <w:r w:rsidRPr="00576299">
              <w:rPr>
                <w:lang w:val="en-AU"/>
              </w:rPr>
              <w:t>Impact</w:t>
            </w:r>
          </w:p>
          <w:p w14:paraId="0C5100E4" w14:textId="46E382B7" w:rsidR="0092254A" w:rsidRPr="00576299" w:rsidRDefault="0092254A" w:rsidP="00C068F2">
            <w:pPr>
              <w:pStyle w:val="In-tableHeading"/>
              <w:jc w:val="center"/>
              <w:rPr>
                <w:lang w:val="en-AU"/>
              </w:rPr>
            </w:pPr>
            <w:r w:rsidRPr="00576299">
              <w:rPr>
                <w:rFonts w:cs="Arial"/>
                <w:szCs w:val="20"/>
                <w:lang w:val="en-AU"/>
              </w:rPr>
              <w:t>Base case: $</w:t>
            </w:r>
            <w:r w:rsidR="00833009" w:rsidRPr="00833009">
              <w:rPr>
                <w:rFonts w:cs="Arial"/>
                <w:color w:val="000000"/>
                <w:szCs w:val="20"/>
                <w:shd w:val="solid" w:color="000000" w:fill="000000"/>
                <w:lang w:val="en-AU"/>
                <w14:textFill>
                  <w14:solidFill>
                    <w14:srgbClr w14:val="000000">
                      <w14:alpha w14:val="100000"/>
                    </w14:srgbClr>
                  </w14:solidFill>
                </w14:textFill>
              </w:rPr>
              <w:t>|</w:t>
            </w:r>
            <w:r w:rsidR="0033224B">
              <w:rPr>
                <w:rFonts w:cs="Arial"/>
                <w:szCs w:val="20"/>
                <w:vertAlign w:val="superscript"/>
                <w:lang w:val="en-AU"/>
              </w:rPr>
              <w:t>1</w:t>
            </w:r>
            <w:r w:rsidRPr="00576299">
              <w:rPr>
                <w:rFonts w:cs="Arial"/>
                <w:szCs w:val="20"/>
                <w:lang w:val="en-AU"/>
              </w:rPr>
              <w:t xml:space="preserve"> /QALY gained</w:t>
            </w:r>
          </w:p>
        </w:tc>
      </w:tr>
      <w:tr w:rsidR="002A24AC" w:rsidRPr="004654C2" w14:paraId="67324AA8" w14:textId="77777777" w:rsidTr="009F75A7">
        <w:trPr>
          <w:tblHeader/>
        </w:trPr>
        <w:tc>
          <w:tcPr>
            <w:tcW w:w="626" w:type="pct"/>
            <w:shd w:val="clear" w:color="auto" w:fill="auto"/>
            <w:vAlign w:val="center"/>
          </w:tcPr>
          <w:p w14:paraId="087091B1" w14:textId="739DBDFF" w:rsidR="002A24AC" w:rsidRPr="004654C2" w:rsidRDefault="002A24AC" w:rsidP="00C068F2">
            <w:pPr>
              <w:pStyle w:val="TableText0"/>
            </w:pPr>
            <w:r w:rsidRPr="004654C2">
              <w:t xml:space="preserve">Dostarlimab OS data </w:t>
            </w:r>
          </w:p>
        </w:tc>
        <w:tc>
          <w:tcPr>
            <w:tcW w:w="2280" w:type="pct"/>
            <w:shd w:val="clear" w:color="auto" w:fill="auto"/>
            <w:vAlign w:val="center"/>
          </w:tcPr>
          <w:p w14:paraId="6191F41D" w14:textId="5C235C66" w:rsidR="002A24AC" w:rsidRPr="004654C2" w:rsidRDefault="002A24AC" w:rsidP="003D6624">
            <w:pPr>
              <w:pStyle w:val="TableText0"/>
            </w:pPr>
            <w:r w:rsidRPr="004654C2">
              <w:t xml:space="preserve">Based on data from the single-arm GARNET study (Cohort A1) in the dostarlimab arm and the doxorubicin arm of the ZoptEC trial in the SoC arm. </w:t>
            </w:r>
            <w:r w:rsidR="00C23EBB" w:rsidRPr="004654C2">
              <w:rPr>
                <w:snapToGrid w:val="0"/>
              </w:rPr>
              <w:t>T</w:t>
            </w:r>
            <w:r w:rsidRPr="004654C2">
              <w:rPr>
                <w:snapToGrid w:val="0"/>
              </w:rPr>
              <w:t>he resulting difference in OS appeared highly favourable towards dostarlimab,</w:t>
            </w:r>
            <w:r w:rsidR="00C55505" w:rsidRPr="004654C2">
              <w:rPr>
                <w:snapToGrid w:val="0"/>
              </w:rPr>
              <w:t xml:space="preserve"> </w:t>
            </w:r>
            <w:r w:rsidR="00E777F0">
              <w:rPr>
                <w:snapToGrid w:val="0"/>
              </w:rPr>
              <w:t>and</w:t>
            </w:r>
            <w:r w:rsidR="00C23EBB" w:rsidRPr="004654C2">
              <w:rPr>
                <w:snapToGrid w:val="0"/>
              </w:rPr>
              <w:t xml:space="preserve"> </w:t>
            </w:r>
            <w:r w:rsidR="00C55505" w:rsidRPr="004654C2">
              <w:rPr>
                <w:snapToGrid w:val="0"/>
              </w:rPr>
              <w:t xml:space="preserve">the ESC considered the </w:t>
            </w:r>
            <w:r w:rsidR="00C55505" w:rsidRPr="004654C2">
              <w:t xml:space="preserve">magnitude of the incremental benefit was highly uncertain and likely overestimated. </w:t>
            </w:r>
          </w:p>
        </w:tc>
        <w:tc>
          <w:tcPr>
            <w:tcW w:w="2094" w:type="pct"/>
            <w:shd w:val="clear" w:color="auto" w:fill="auto"/>
            <w:vAlign w:val="center"/>
          </w:tcPr>
          <w:p w14:paraId="374EDAF2" w14:textId="2ADADEBB" w:rsidR="002A24AC" w:rsidRPr="004654C2" w:rsidRDefault="002A24AC" w:rsidP="003D6624">
            <w:pPr>
              <w:pStyle w:val="In-tableHeading"/>
              <w:rPr>
                <w:b w:val="0"/>
                <w:bCs/>
                <w:lang w:val="en-AU"/>
              </w:rPr>
            </w:pPr>
            <w:r w:rsidRPr="004654C2">
              <w:rPr>
                <w:b w:val="0"/>
                <w:bCs/>
                <w:lang w:val="en-AU"/>
              </w:rPr>
              <w:t xml:space="preserve">Unable to be </w:t>
            </w:r>
            <w:r w:rsidR="00C55505" w:rsidRPr="004654C2">
              <w:rPr>
                <w:b w:val="0"/>
                <w:bCs/>
                <w:lang w:val="en-AU"/>
              </w:rPr>
              <w:t xml:space="preserve">adequately </w:t>
            </w:r>
            <w:r w:rsidRPr="004654C2">
              <w:rPr>
                <w:b w:val="0"/>
                <w:bCs/>
                <w:lang w:val="en-AU"/>
              </w:rPr>
              <w:t>tested in s</w:t>
            </w:r>
            <w:r w:rsidR="00C55505" w:rsidRPr="004654C2">
              <w:rPr>
                <w:b w:val="0"/>
                <w:bCs/>
                <w:lang w:val="en-AU"/>
              </w:rPr>
              <w:t xml:space="preserve">ensitivity analyses, but likely to be a key driver as indicated by the large incremental difference observed in </w:t>
            </w:r>
            <w:r w:rsidR="00C55505" w:rsidRPr="004654C2">
              <w:rPr>
                <w:b w:val="0"/>
                <w:bCs/>
                <w:lang w:val="en-AU"/>
              </w:rPr>
              <w:fldChar w:fldCharType="begin"/>
            </w:r>
            <w:r w:rsidR="00C55505" w:rsidRPr="004654C2">
              <w:rPr>
                <w:b w:val="0"/>
                <w:bCs/>
                <w:lang w:val="en-AU"/>
              </w:rPr>
              <w:instrText xml:space="preserve"> REF _Ref111414927 \h  \* MERGEFORMAT </w:instrText>
            </w:r>
            <w:r w:rsidR="00C55505" w:rsidRPr="004654C2">
              <w:rPr>
                <w:b w:val="0"/>
                <w:bCs/>
                <w:lang w:val="en-AU"/>
              </w:rPr>
            </w:r>
            <w:r w:rsidR="00C55505" w:rsidRPr="004654C2">
              <w:rPr>
                <w:b w:val="0"/>
                <w:bCs/>
                <w:lang w:val="en-AU"/>
              </w:rPr>
              <w:fldChar w:fldCharType="separate"/>
            </w:r>
            <w:r w:rsidR="00CD09E9" w:rsidRPr="00CD09E9">
              <w:rPr>
                <w:b w:val="0"/>
                <w:bCs/>
                <w:lang w:val="en-AU"/>
              </w:rPr>
              <w:t>Figure 1</w:t>
            </w:r>
            <w:r w:rsidR="00C55505" w:rsidRPr="004654C2">
              <w:rPr>
                <w:b w:val="0"/>
                <w:bCs/>
                <w:lang w:val="en-AU"/>
              </w:rPr>
              <w:fldChar w:fldCharType="end"/>
            </w:r>
            <w:r w:rsidR="00C55505" w:rsidRPr="004654C2">
              <w:rPr>
                <w:b w:val="0"/>
                <w:bCs/>
                <w:lang w:val="en-AU"/>
              </w:rPr>
              <w:t xml:space="preserve"> and </w:t>
            </w:r>
            <w:r w:rsidR="00C55505" w:rsidRPr="004654C2">
              <w:rPr>
                <w:b w:val="0"/>
                <w:bCs/>
                <w:lang w:val="en-AU"/>
              </w:rPr>
              <w:fldChar w:fldCharType="begin"/>
            </w:r>
            <w:r w:rsidR="00C55505" w:rsidRPr="004654C2">
              <w:rPr>
                <w:b w:val="0"/>
                <w:bCs/>
                <w:lang w:val="en-AU"/>
              </w:rPr>
              <w:instrText xml:space="preserve"> REF _Ref113912292 \h  \* MERGEFORMAT </w:instrText>
            </w:r>
            <w:r w:rsidR="00C55505" w:rsidRPr="004654C2">
              <w:rPr>
                <w:b w:val="0"/>
                <w:bCs/>
                <w:lang w:val="en-AU"/>
              </w:rPr>
            </w:r>
            <w:r w:rsidR="00C55505" w:rsidRPr="004654C2">
              <w:rPr>
                <w:b w:val="0"/>
                <w:bCs/>
                <w:lang w:val="en-AU"/>
              </w:rPr>
              <w:fldChar w:fldCharType="separate"/>
            </w:r>
            <w:r w:rsidR="00CD09E9" w:rsidRPr="00CD09E9">
              <w:rPr>
                <w:b w:val="0"/>
                <w:bCs/>
                <w:lang w:val="en-AU"/>
              </w:rPr>
              <w:t>Figure 5</w:t>
            </w:r>
            <w:r w:rsidR="00C55505" w:rsidRPr="004654C2">
              <w:rPr>
                <w:b w:val="0"/>
                <w:bCs/>
                <w:lang w:val="en-AU"/>
              </w:rPr>
              <w:fldChar w:fldCharType="end"/>
            </w:r>
            <w:r w:rsidR="00C55505" w:rsidRPr="004654C2">
              <w:rPr>
                <w:b w:val="0"/>
                <w:bCs/>
                <w:lang w:val="en-AU"/>
              </w:rPr>
              <w:t xml:space="preserve">. While the </w:t>
            </w:r>
            <w:r w:rsidR="00E777F0">
              <w:rPr>
                <w:b w:val="0"/>
                <w:bCs/>
                <w:lang w:val="en-AU"/>
              </w:rPr>
              <w:t>re</w:t>
            </w:r>
            <w:r w:rsidR="00C55505" w:rsidRPr="004654C2">
              <w:rPr>
                <w:b w:val="0"/>
                <w:bCs/>
                <w:lang w:val="en-AU"/>
              </w:rPr>
              <w:t xml:space="preserve">submission presented multivariate sensitivity analyses using alternative SoC studies, the </w:t>
            </w:r>
            <w:r w:rsidR="00E777F0">
              <w:rPr>
                <w:b w:val="0"/>
                <w:bCs/>
                <w:lang w:val="en-AU"/>
              </w:rPr>
              <w:t xml:space="preserve">ESC considered that the </w:t>
            </w:r>
            <w:r w:rsidR="00C55505" w:rsidRPr="004654C2">
              <w:rPr>
                <w:b w:val="0"/>
                <w:bCs/>
                <w:lang w:val="en-AU"/>
              </w:rPr>
              <w:t xml:space="preserve">variation observed did not reflect the extent of uncertainty with regard to the clinical benefit.  </w:t>
            </w:r>
          </w:p>
        </w:tc>
      </w:tr>
      <w:tr w:rsidR="0092254A" w:rsidRPr="00576299" w14:paraId="6C5A8B68" w14:textId="77777777" w:rsidTr="009F75A7">
        <w:trPr>
          <w:tblHeader/>
        </w:trPr>
        <w:tc>
          <w:tcPr>
            <w:tcW w:w="626" w:type="pct"/>
            <w:shd w:val="clear" w:color="auto" w:fill="auto"/>
            <w:vAlign w:val="center"/>
          </w:tcPr>
          <w:p w14:paraId="682DADB2" w14:textId="77777777" w:rsidR="0092254A" w:rsidRPr="00576299" w:rsidRDefault="0092254A" w:rsidP="00C068F2">
            <w:pPr>
              <w:pStyle w:val="TableText0"/>
            </w:pPr>
            <w:r w:rsidRPr="00576299">
              <w:t>Time horizon</w:t>
            </w:r>
          </w:p>
        </w:tc>
        <w:tc>
          <w:tcPr>
            <w:tcW w:w="2280" w:type="pct"/>
            <w:shd w:val="clear" w:color="auto" w:fill="auto"/>
            <w:vAlign w:val="center"/>
          </w:tcPr>
          <w:p w14:paraId="3B6D7AED" w14:textId="451B4A26" w:rsidR="0092254A" w:rsidRPr="00576299" w:rsidRDefault="0092254A" w:rsidP="003D6624">
            <w:pPr>
              <w:pStyle w:val="TableText0"/>
            </w:pPr>
            <w:r w:rsidRPr="00576299">
              <w:t xml:space="preserve">The revised model base case presented in the resubmission applied a 6-year time horizon, reduced from the 10 years applied in the previous dostarlimab submission and 7.5 years applied in the </w:t>
            </w:r>
            <w:r w:rsidR="00481631">
              <w:t xml:space="preserve">PSCR </w:t>
            </w:r>
            <w:r w:rsidRPr="00576299">
              <w:t>of the previous submission.</w:t>
            </w:r>
          </w:p>
        </w:tc>
        <w:tc>
          <w:tcPr>
            <w:tcW w:w="2094" w:type="pct"/>
            <w:shd w:val="clear" w:color="auto" w:fill="auto"/>
            <w:vAlign w:val="center"/>
          </w:tcPr>
          <w:p w14:paraId="2D212A25" w14:textId="08FC44F9" w:rsidR="0092254A" w:rsidRPr="00576299" w:rsidRDefault="0092254A" w:rsidP="003D6624">
            <w:pPr>
              <w:pStyle w:val="In-tableHeading"/>
              <w:rPr>
                <w:b w:val="0"/>
                <w:bCs/>
                <w:lang w:val="en-AU"/>
              </w:rPr>
            </w:pPr>
            <w:r w:rsidRPr="00576299">
              <w:rPr>
                <w:b w:val="0"/>
                <w:bCs/>
                <w:lang w:val="en-AU"/>
              </w:rPr>
              <w:t>Moderate, favoured dostarlimab. Changing the time horizon to 5 years increased the ICER to $</w:t>
            </w:r>
            <w:r w:rsidR="00833009" w:rsidRPr="00833009">
              <w:rPr>
                <w:b w:val="0"/>
                <w:bCs/>
                <w:color w:val="000000"/>
                <w:spacing w:val="39"/>
                <w:shd w:val="solid" w:color="000000" w:fill="000000"/>
                <w:fitText w:val="451" w:id="-1304167920"/>
                <w:lang w:val="en-AU"/>
                <w14:textFill>
                  <w14:solidFill>
                    <w14:srgbClr w14:val="000000">
                      <w14:alpha w14:val="100000"/>
                    </w14:srgbClr>
                  </w14:solidFill>
                </w14:textFill>
              </w:rPr>
              <w:t>|||||</w:t>
            </w:r>
            <w:r w:rsidR="00833009" w:rsidRPr="00833009">
              <w:rPr>
                <w:b w:val="0"/>
                <w:bCs/>
                <w:color w:val="000000"/>
                <w:spacing w:val="1"/>
                <w:shd w:val="solid" w:color="000000" w:fill="000000"/>
                <w:fitText w:val="451" w:id="-1304167920"/>
                <w:lang w:val="en-AU"/>
                <w14:textFill>
                  <w14:solidFill>
                    <w14:srgbClr w14:val="000000">
                      <w14:alpha w14:val="100000"/>
                    </w14:srgbClr>
                  </w14:solidFill>
                </w14:textFill>
              </w:rPr>
              <w:t>|</w:t>
            </w:r>
            <w:r w:rsidR="0033224B" w:rsidRPr="0033224B">
              <w:rPr>
                <w:b w:val="0"/>
                <w:bCs/>
                <w:vertAlign w:val="superscript"/>
                <w:lang w:val="en-AU"/>
              </w:rPr>
              <w:t>1</w:t>
            </w:r>
            <w:r w:rsidRPr="0033224B">
              <w:rPr>
                <w:b w:val="0"/>
                <w:bCs/>
                <w:vertAlign w:val="superscript"/>
                <w:lang w:val="en-AU"/>
              </w:rPr>
              <w:t xml:space="preserve"> </w:t>
            </w:r>
            <w:r w:rsidRPr="00576299">
              <w:rPr>
                <w:b w:val="0"/>
                <w:bCs/>
                <w:lang w:val="en-AU"/>
              </w:rPr>
              <w:t>(+12.8%).</w:t>
            </w:r>
          </w:p>
        </w:tc>
      </w:tr>
      <w:tr w:rsidR="0092254A" w:rsidRPr="00576299" w14:paraId="0D1119E0" w14:textId="77777777" w:rsidTr="009F75A7">
        <w:trPr>
          <w:tblHeader/>
        </w:trPr>
        <w:tc>
          <w:tcPr>
            <w:tcW w:w="626" w:type="pct"/>
            <w:shd w:val="clear" w:color="auto" w:fill="auto"/>
            <w:vAlign w:val="center"/>
          </w:tcPr>
          <w:p w14:paraId="68A2F6EF" w14:textId="77777777" w:rsidR="0092254A" w:rsidRPr="00576299" w:rsidRDefault="0092254A" w:rsidP="00C068F2">
            <w:pPr>
              <w:pStyle w:val="TableText0"/>
            </w:pPr>
            <w:r w:rsidRPr="00576299">
              <w:t>Convergence</w:t>
            </w:r>
          </w:p>
        </w:tc>
        <w:tc>
          <w:tcPr>
            <w:tcW w:w="2280" w:type="pct"/>
            <w:shd w:val="clear" w:color="auto" w:fill="auto"/>
            <w:vAlign w:val="center"/>
          </w:tcPr>
          <w:p w14:paraId="4EE82D3A" w14:textId="7888600B" w:rsidR="0092254A" w:rsidRPr="00576299" w:rsidRDefault="009F75A7" w:rsidP="003D6624">
            <w:pPr>
              <w:pStyle w:val="TableText0"/>
            </w:pPr>
            <w:r w:rsidRPr="00576299">
              <w:t>C</w:t>
            </w:r>
            <w:r w:rsidR="0092254A" w:rsidRPr="00576299">
              <w:t xml:space="preserve">onvergence of survival curves was incorporated in the </w:t>
            </w:r>
            <w:r w:rsidRPr="00576299">
              <w:t xml:space="preserve">resubmission, </w:t>
            </w:r>
            <w:r w:rsidR="0092254A" w:rsidRPr="00576299">
              <w:t>consistent with advice provided in the March 2022 evaluation. In the base case the parametrically extrapolated OS and PFS curves in the dostarlimab arm of the model were linearly converged to the respective curves in the SoC arm</w:t>
            </w:r>
            <w:r w:rsidR="00D626A0" w:rsidRPr="00576299">
              <w:t xml:space="preserve"> </w:t>
            </w:r>
            <w:r w:rsidR="0092254A" w:rsidRPr="00576299">
              <w:t xml:space="preserve">from four years, with convergence completed at six years.  </w:t>
            </w:r>
          </w:p>
        </w:tc>
        <w:tc>
          <w:tcPr>
            <w:tcW w:w="2094" w:type="pct"/>
            <w:shd w:val="clear" w:color="auto" w:fill="auto"/>
            <w:vAlign w:val="center"/>
          </w:tcPr>
          <w:p w14:paraId="1778B6FF" w14:textId="58BD0DFA" w:rsidR="0092254A" w:rsidRPr="00576299" w:rsidRDefault="0092254A" w:rsidP="003D6624">
            <w:pPr>
              <w:pStyle w:val="In-tableHeading"/>
              <w:rPr>
                <w:lang w:val="en-AU"/>
              </w:rPr>
            </w:pPr>
            <w:r w:rsidRPr="00576299">
              <w:rPr>
                <w:b w:val="0"/>
                <w:bCs/>
                <w:lang w:val="en-AU"/>
              </w:rPr>
              <w:t>Moderate</w:t>
            </w:r>
            <w:r w:rsidR="003D6624" w:rsidRPr="00576299">
              <w:rPr>
                <w:b w:val="0"/>
                <w:bCs/>
                <w:lang w:val="en-AU"/>
              </w:rPr>
              <w:t xml:space="preserve">. </w:t>
            </w:r>
            <w:r w:rsidRPr="00576299">
              <w:rPr>
                <w:b w:val="0"/>
                <w:bCs/>
                <w:lang w:val="en-AU"/>
              </w:rPr>
              <w:t>Changing the convergence to start at three years with completion at six years increased the ICER to $</w:t>
            </w:r>
            <w:r w:rsidR="00833009" w:rsidRPr="00833009">
              <w:rPr>
                <w:b w:val="0"/>
                <w:bCs/>
                <w:color w:val="000000"/>
                <w:spacing w:val="41"/>
                <w:shd w:val="solid" w:color="000000" w:fill="000000"/>
                <w:fitText w:val="462" w:id="-1304167936"/>
                <w:lang w:val="en-AU"/>
                <w14:textFill>
                  <w14:solidFill>
                    <w14:srgbClr w14:val="000000">
                      <w14:alpha w14:val="100000"/>
                    </w14:srgbClr>
                  </w14:solidFill>
                </w14:textFill>
              </w:rPr>
              <w:t>|||||</w:t>
            </w:r>
            <w:r w:rsidR="00833009" w:rsidRPr="00833009">
              <w:rPr>
                <w:b w:val="0"/>
                <w:bCs/>
                <w:color w:val="000000"/>
                <w:spacing w:val="2"/>
                <w:shd w:val="solid" w:color="000000" w:fill="000000"/>
                <w:fitText w:val="462" w:id="-1304167936"/>
                <w:lang w:val="en-AU"/>
                <w14:textFill>
                  <w14:solidFill>
                    <w14:srgbClr w14:val="000000">
                      <w14:alpha w14:val="100000"/>
                    </w14:srgbClr>
                  </w14:solidFill>
                </w14:textFill>
              </w:rPr>
              <w:t>|</w:t>
            </w:r>
            <w:r w:rsidR="0033224B" w:rsidRPr="0033224B">
              <w:rPr>
                <w:b w:val="0"/>
                <w:bCs/>
                <w:vertAlign w:val="superscript"/>
                <w:lang w:val="en-AU"/>
              </w:rPr>
              <w:t xml:space="preserve">1 </w:t>
            </w:r>
            <w:r w:rsidRPr="00576299">
              <w:rPr>
                <w:b w:val="0"/>
                <w:bCs/>
                <w:lang w:val="en-AU"/>
              </w:rPr>
              <w:t xml:space="preserve"> (+10.1%)</w:t>
            </w:r>
          </w:p>
        </w:tc>
      </w:tr>
    </w:tbl>
    <w:p w14:paraId="5F77B4AD" w14:textId="1B5D44C8" w:rsidR="0092254A" w:rsidRDefault="0092254A" w:rsidP="0033224B">
      <w:pPr>
        <w:pStyle w:val="FooterTableFigure"/>
        <w:spacing w:after="0"/>
      </w:pPr>
      <w:r w:rsidRPr="00576299">
        <w:t>Source: Constructed during evaluation using Table 119, p248 of the resubmission.</w:t>
      </w:r>
    </w:p>
    <w:p w14:paraId="63D07B47" w14:textId="77777777" w:rsidR="0033224B" w:rsidRPr="009A6D58" w:rsidRDefault="0033224B" w:rsidP="0033224B">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642468AC" w14:textId="038FE72A" w:rsidR="0033224B" w:rsidRPr="0033224B" w:rsidRDefault="0033224B" w:rsidP="0033224B">
      <w:pPr>
        <w:spacing w:after="120"/>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33224B">
        <w:rPr>
          <w:rFonts w:ascii="Arial Narrow" w:hAnsi="Arial Narrow"/>
          <w:i/>
          <w:sz w:val="18"/>
          <w:szCs w:val="18"/>
        </w:rPr>
        <w:t>$55,000 to &lt; $75,000</w:t>
      </w:r>
    </w:p>
    <w:p w14:paraId="0E5B47B0" w14:textId="6BD6D1E5" w:rsidR="0092254A" w:rsidRPr="00576299" w:rsidRDefault="0092254A" w:rsidP="0092254A">
      <w:pPr>
        <w:pStyle w:val="3-BodyText"/>
      </w:pPr>
      <w:r w:rsidRPr="00576299">
        <w:fldChar w:fldCharType="begin"/>
      </w:r>
      <w:r w:rsidRPr="00576299">
        <w:instrText xml:space="preserve"> REF _Ref111455014 \h </w:instrText>
      </w:r>
      <w:r w:rsidRPr="00576299">
        <w:fldChar w:fldCharType="separate"/>
      </w:r>
      <w:r w:rsidR="00CD09E9" w:rsidRPr="00576299">
        <w:t xml:space="preserve">Table </w:t>
      </w:r>
      <w:r w:rsidR="00CD09E9">
        <w:rPr>
          <w:noProof/>
        </w:rPr>
        <w:t>17</w:t>
      </w:r>
      <w:r w:rsidRPr="00576299">
        <w:fldChar w:fldCharType="end"/>
      </w:r>
      <w:r w:rsidRPr="00576299">
        <w:t xml:space="preserve"> summarises the results of the economic evaluation presented in the </w:t>
      </w:r>
      <w:r w:rsidR="00204C21" w:rsidRPr="00576299">
        <w:t>re</w:t>
      </w:r>
      <w:r w:rsidRPr="00576299">
        <w:t xml:space="preserve">submission. As observed in </w:t>
      </w:r>
      <w:r w:rsidR="002C7ED0" w:rsidRPr="00576299">
        <w:t>S</w:t>
      </w:r>
      <w:r w:rsidRPr="00576299">
        <w:t xml:space="preserve">tep 2 of the table below, extending the time horizon had an important impact on the model results despite </w:t>
      </w:r>
      <w:r w:rsidR="0078058C" w:rsidRPr="00576299">
        <w:t xml:space="preserve">extrapolating </w:t>
      </w:r>
      <w:r w:rsidRPr="00576299">
        <w:t xml:space="preserve">out to six years (rather than 10 years as in the previous submission, or 7.5 years as in the previous PSCR). </w:t>
      </w:r>
    </w:p>
    <w:p w14:paraId="5ED9E18F" w14:textId="2E4EF761" w:rsidR="0092254A" w:rsidRPr="00576299" w:rsidRDefault="0092254A" w:rsidP="0092254A">
      <w:pPr>
        <w:pStyle w:val="Caption"/>
        <w:rPr>
          <w:rStyle w:val="CommentReference"/>
          <w:b/>
          <w:szCs w:val="18"/>
        </w:rPr>
      </w:pPr>
      <w:bookmarkStart w:id="64" w:name="_Ref111455014"/>
      <w:r w:rsidRPr="00576299">
        <w:lastRenderedPageBreak/>
        <w:t xml:space="preserve">Table </w:t>
      </w:r>
      <w:fldSimple w:instr=" SEQ Table \* ARABIC ">
        <w:r w:rsidR="00CD09E9">
          <w:rPr>
            <w:noProof/>
          </w:rPr>
          <w:t>17</w:t>
        </w:r>
      </w:fldSimple>
      <w:bookmarkEnd w:id="64"/>
      <w:r w:rsidRPr="00576299">
        <w:rPr>
          <w:rStyle w:val="CommentReference"/>
          <w:b/>
          <w:szCs w:val="18"/>
        </w:rPr>
        <w:t>: Results of the stepped economic evaluation</w:t>
      </w:r>
      <w:r w:rsidR="00D705D8">
        <w:rPr>
          <w:rStyle w:val="CommentReference"/>
          <w:b/>
          <w:szCs w:val="18"/>
        </w:rPr>
        <w:t xml:space="preserve"> (resubmission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27"/>
        <w:gridCol w:w="2321"/>
        <w:gridCol w:w="2168"/>
        <w:gridCol w:w="1901"/>
      </w:tblGrid>
      <w:tr w:rsidR="0092254A" w:rsidRPr="00576299" w14:paraId="2337AF36" w14:textId="77777777" w:rsidTr="00C068F2">
        <w:trPr>
          <w:tblHeader/>
        </w:trPr>
        <w:tc>
          <w:tcPr>
            <w:tcW w:w="1457" w:type="pct"/>
            <w:vAlign w:val="center"/>
          </w:tcPr>
          <w:p w14:paraId="67AF14BF" w14:textId="77777777" w:rsidR="0092254A" w:rsidRPr="00576299" w:rsidRDefault="0092254A" w:rsidP="00C068F2">
            <w:pPr>
              <w:pStyle w:val="Tabletext"/>
              <w:keepNext/>
              <w:keepLines/>
              <w:rPr>
                <w:b/>
              </w:rPr>
            </w:pPr>
            <w:r w:rsidRPr="00576299">
              <w:rPr>
                <w:b/>
              </w:rPr>
              <w:t>Step and component</w:t>
            </w:r>
          </w:p>
        </w:tc>
        <w:tc>
          <w:tcPr>
            <w:tcW w:w="1287" w:type="pct"/>
            <w:vAlign w:val="center"/>
          </w:tcPr>
          <w:p w14:paraId="42BBCF82" w14:textId="77777777" w:rsidR="0092254A" w:rsidRPr="00576299" w:rsidRDefault="0092254A" w:rsidP="00C068F2">
            <w:pPr>
              <w:pStyle w:val="Tabletext"/>
              <w:keepNext/>
              <w:keepLines/>
              <w:jc w:val="center"/>
              <w:rPr>
                <w:b/>
              </w:rPr>
            </w:pPr>
            <w:r w:rsidRPr="00576299">
              <w:rPr>
                <w:b/>
              </w:rPr>
              <w:t>Dostarlimab</w:t>
            </w:r>
          </w:p>
        </w:tc>
        <w:tc>
          <w:tcPr>
            <w:tcW w:w="1202" w:type="pct"/>
            <w:vAlign w:val="center"/>
          </w:tcPr>
          <w:p w14:paraId="3A148C30" w14:textId="77777777" w:rsidR="0092254A" w:rsidRPr="00576299" w:rsidRDefault="0092254A" w:rsidP="00C068F2">
            <w:pPr>
              <w:pStyle w:val="Tabletext"/>
              <w:keepNext/>
              <w:keepLines/>
              <w:jc w:val="center"/>
              <w:rPr>
                <w:b/>
              </w:rPr>
            </w:pPr>
            <w:r w:rsidRPr="00576299">
              <w:rPr>
                <w:b/>
              </w:rPr>
              <w:t>SoC</w:t>
            </w:r>
          </w:p>
        </w:tc>
        <w:tc>
          <w:tcPr>
            <w:tcW w:w="1054" w:type="pct"/>
            <w:vAlign w:val="center"/>
          </w:tcPr>
          <w:p w14:paraId="4152DEBC" w14:textId="77777777" w:rsidR="0092254A" w:rsidRPr="00576299" w:rsidRDefault="0092254A" w:rsidP="00C068F2">
            <w:pPr>
              <w:pStyle w:val="Tabletext"/>
              <w:keepNext/>
              <w:keepLines/>
              <w:jc w:val="center"/>
              <w:rPr>
                <w:b/>
              </w:rPr>
            </w:pPr>
            <w:r w:rsidRPr="00576299">
              <w:rPr>
                <w:b/>
              </w:rPr>
              <w:t>Increment</w:t>
            </w:r>
          </w:p>
        </w:tc>
      </w:tr>
      <w:tr w:rsidR="0092254A" w:rsidRPr="00576299" w14:paraId="5D0480DF" w14:textId="77777777" w:rsidTr="00C068F2">
        <w:tc>
          <w:tcPr>
            <w:tcW w:w="5000" w:type="pct"/>
            <w:gridSpan w:val="4"/>
            <w:vAlign w:val="center"/>
          </w:tcPr>
          <w:p w14:paraId="2A496716" w14:textId="67984375" w:rsidR="0092254A" w:rsidRPr="00576299" w:rsidRDefault="0092254A" w:rsidP="00C068F2">
            <w:pPr>
              <w:pStyle w:val="Tabletext"/>
              <w:keepNext/>
              <w:keepLines/>
              <w:rPr>
                <w:b/>
              </w:rPr>
            </w:pPr>
            <w:r w:rsidRPr="00576299">
              <w:rPr>
                <w:b/>
              </w:rPr>
              <w:t>Trial-based (36 months), incorporating drug and drug administration costs (L</w:t>
            </w:r>
            <w:r w:rsidR="00F838B1" w:rsidRPr="00576299">
              <w:rPr>
                <w:b/>
              </w:rPr>
              <w:t>y</w:t>
            </w:r>
            <w:r w:rsidRPr="00576299">
              <w:rPr>
                <w:b/>
              </w:rPr>
              <w:t xml:space="preserve">s) </w:t>
            </w:r>
            <w:r w:rsidRPr="00576299">
              <w:rPr>
                <w:b/>
                <w:vertAlign w:val="superscript"/>
              </w:rPr>
              <w:t>a</w:t>
            </w:r>
          </w:p>
        </w:tc>
      </w:tr>
      <w:tr w:rsidR="0092254A" w:rsidRPr="00576299" w14:paraId="1DA2CB20" w14:textId="77777777" w:rsidTr="00C068F2">
        <w:tc>
          <w:tcPr>
            <w:tcW w:w="1457" w:type="pct"/>
            <w:vAlign w:val="center"/>
          </w:tcPr>
          <w:p w14:paraId="10D0C89A" w14:textId="77777777" w:rsidR="0092254A" w:rsidRPr="00576299" w:rsidRDefault="0092254A" w:rsidP="00C068F2">
            <w:pPr>
              <w:pStyle w:val="Tabletext"/>
              <w:keepNext/>
              <w:keepLines/>
              <w:rPr>
                <w:rFonts w:ascii="Times" w:hAnsi="Times"/>
              </w:rPr>
            </w:pPr>
            <w:r w:rsidRPr="00576299">
              <w:t>Costs</w:t>
            </w:r>
          </w:p>
        </w:tc>
        <w:tc>
          <w:tcPr>
            <w:tcW w:w="1287" w:type="pct"/>
            <w:vAlign w:val="bottom"/>
          </w:tcPr>
          <w:p w14:paraId="34AC6A67" w14:textId="5281AB62" w:rsidR="0092254A" w:rsidRPr="00576299" w:rsidRDefault="0092254A" w:rsidP="00C068F2">
            <w:pPr>
              <w:pStyle w:val="TableText0"/>
              <w:jc w:val="center"/>
              <w:rPr>
                <w:rFonts w:ascii="Times" w:hAnsi="Times"/>
              </w:rPr>
            </w:pPr>
            <w:r w:rsidRPr="00576299">
              <w:t>$</w:t>
            </w:r>
            <w:r w:rsidR="00833009" w:rsidRPr="00833009">
              <w:rPr>
                <w:color w:val="000000"/>
                <w:shd w:val="solid" w:color="000000" w:fill="000000"/>
                <w14:textFill>
                  <w14:solidFill>
                    <w14:srgbClr w14:val="000000">
                      <w14:alpha w14:val="100000"/>
                    </w14:srgbClr>
                  </w14:solidFill>
                </w14:textFill>
              </w:rPr>
              <w:t>|</w:t>
            </w:r>
          </w:p>
        </w:tc>
        <w:tc>
          <w:tcPr>
            <w:tcW w:w="1202" w:type="pct"/>
            <w:vAlign w:val="bottom"/>
          </w:tcPr>
          <w:p w14:paraId="557ABC92" w14:textId="77777777" w:rsidR="0092254A" w:rsidRPr="00576299" w:rsidRDefault="0092254A" w:rsidP="00C068F2">
            <w:pPr>
              <w:pStyle w:val="TableText0"/>
              <w:jc w:val="center"/>
              <w:rPr>
                <w:rFonts w:ascii="Times" w:hAnsi="Times"/>
              </w:rPr>
            </w:pPr>
            <w:r w:rsidRPr="00833009">
              <w:t>$1,120</w:t>
            </w:r>
          </w:p>
        </w:tc>
        <w:tc>
          <w:tcPr>
            <w:tcW w:w="1054" w:type="pct"/>
            <w:vAlign w:val="bottom"/>
          </w:tcPr>
          <w:p w14:paraId="60A10DFF" w14:textId="1FD5324D" w:rsidR="0092254A" w:rsidRPr="00576299" w:rsidRDefault="0092254A" w:rsidP="00C068F2">
            <w:pPr>
              <w:pStyle w:val="TableText0"/>
              <w:jc w:val="center"/>
              <w:rPr>
                <w:rFonts w:ascii="Times" w:hAnsi="Times"/>
              </w:rPr>
            </w:pPr>
            <w:r w:rsidRPr="00576299">
              <w:t>$</w:t>
            </w:r>
            <w:r w:rsidR="00833009" w:rsidRPr="00833009">
              <w:rPr>
                <w:color w:val="000000"/>
                <w:shd w:val="solid" w:color="000000" w:fill="000000"/>
                <w14:textFill>
                  <w14:solidFill>
                    <w14:srgbClr w14:val="000000">
                      <w14:alpha w14:val="100000"/>
                    </w14:srgbClr>
                  </w14:solidFill>
                </w14:textFill>
              </w:rPr>
              <w:t>|</w:t>
            </w:r>
          </w:p>
        </w:tc>
      </w:tr>
      <w:tr w:rsidR="0092254A" w:rsidRPr="00576299" w14:paraId="7CC192A1" w14:textId="77777777" w:rsidTr="00C068F2">
        <w:tc>
          <w:tcPr>
            <w:tcW w:w="1457" w:type="pct"/>
            <w:vAlign w:val="center"/>
          </w:tcPr>
          <w:p w14:paraId="09575C27" w14:textId="77777777" w:rsidR="0092254A" w:rsidRPr="00576299" w:rsidRDefault="0092254A" w:rsidP="00C068F2">
            <w:pPr>
              <w:pStyle w:val="Tabletext"/>
              <w:keepNext/>
              <w:keepLines/>
              <w:rPr>
                <w:rFonts w:ascii="Times" w:hAnsi="Times"/>
              </w:rPr>
            </w:pPr>
            <w:r w:rsidRPr="00576299">
              <w:t>LYG</w:t>
            </w:r>
          </w:p>
        </w:tc>
        <w:tc>
          <w:tcPr>
            <w:tcW w:w="1287" w:type="pct"/>
            <w:vAlign w:val="bottom"/>
          </w:tcPr>
          <w:p w14:paraId="7776E941" w14:textId="77777777" w:rsidR="0092254A" w:rsidRPr="00576299" w:rsidRDefault="0092254A" w:rsidP="00C068F2">
            <w:pPr>
              <w:pStyle w:val="TableText0"/>
              <w:jc w:val="center"/>
              <w:rPr>
                <w:rFonts w:ascii="Times" w:hAnsi="Times"/>
              </w:rPr>
            </w:pPr>
            <w:r w:rsidRPr="00576299">
              <w:t>2.0219</w:t>
            </w:r>
          </w:p>
        </w:tc>
        <w:tc>
          <w:tcPr>
            <w:tcW w:w="1202" w:type="pct"/>
            <w:vAlign w:val="bottom"/>
          </w:tcPr>
          <w:p w14:paraId="27DF5F72" w14:textId="77777777" w:rsidR="0092254A" w:rsidRPr="00576299" w:rsidRDefault="0092254A" w:rsidP="00C068F2">
            <w:pPr>
              <w:pStyle w:val="TableText0"/>
              <w:jc w:val="center"/>
              <w:rPr>
                <w:rFonts w:ascii="Times" w:hAnsi="Times"/>
              </w:rPr>
            </w:pPr>
            <w:r w:rsidRPr="00576299">
              <w:t>1.2184</w:t>
            </w:r>
          </w:p>
        </w:tc>
        <w:tc>
          <w:tcPr>
            <w:tcW w:w="1054" w:type="pct"/>
            <w:vAlign w:val="bottom"/>
          </w:tcPr>
          <w:p w14:paraId="3F5D6391" w14:textId="77777777" w:rsidR="0092254A" w:rsidRPr="00576299" w:rsidRDefault="0092254A" w:rsidP="00C068F2">
            <w:pPr>
              <w:pStyle w:val="TableText0"/>
              <w:jc w:val="center"/>
            </w:pPr>
            <w:r w:rsidRPr="00576299">
              <w:t>0.8035</w:t>
            </w:r>
          </w:p>
        </w:tc>
      </w:tr>
      <w:tr w:rsidR="0092254A" w:rsidRPr="00576299" w14:paraId="6214B84F" w14:textId="77777777" w:rsidTr="00C068F2">
        <w:tc>
          <w:tcPr>
            <w:tcW w:w="3946" w:type="pct"/>
            <w:gridSpan w:val="3"/>
            <w:vAlign w:val="center"/>
          </w:tcPr>
          <w:p w14:paraId="29232C57" w14:textId="77777777" w:rsidR="0092254A" w:rsidRPr="00576299" w:rsidRDefault="0092254A" w:rsidP="00C068F2">
            <w:pPr>
              <w:pStyle w:val="Tabletext"/>
              <w:keepNext/>
              <w:keepLines/>
              <w:rPr>
                <w:rFonts w:ascii="Times" w:hAnsi="Times"/>
              </w:rPr>
            </w:pPr>
            <w:r w:rsidRPr="00576299">
              <w:t>Incremental cost/extra LYG gained</w:t>
            </w:r>
          </w:p>
        </w:tc>
        <w:tc>
          <w:tcPr>
            <w:tcW w:w="1054" w:type="pct"/>
            <w:vAlign w:val="center"/>
          </w:tcPr>
          <w:p w14:paraId="4568D734" w14:textId="6FD03F53" w:rsidR="0092254A" w:rsidRPr="0033224B" w:rsidRDefault="0092254A" w:rsidP="00C068F2">
            <w:pPr>
              <w:pStyle w:val="Tabletext"/>
              <w:keepNext/>
              <w:keepLines/>
              <w:jc w:val="center"/>
              <w:rPr>
                <w:rFonts w:ascii="Times" w:hAnsi="Times"/>
                <w:bCs/>
                <w:vertAlign w:val="superscript"/>
              </w:rPr>
            </w:pPr>
            <w:r w:rsidRPr="00576299">
              <w:rPr>
                <w:bCs/>
              </w:rPr>
              <w:t>$</w:t>
            </w:r>
            <w:r w:rsidR="00833009" w:rsidRPr="00833009">
              <w:rPr>
                <w:bCs/>
                <w:color w:val="000000"/>
                <w:shd w:val="solid" w:color="000000" w:fill="000000"/>
                <w14:textFill>
                  <w14:solidFill>
                    <w14:srgbClr w14:val="000000">
                      <w14:alpha w14:val="100000"/>
                    </w14:srgbClr>
                  </w14:solidFill>
                </w14:textFill>
              </w:rPr>
              <w:t>|</w:t>
            </w:r>
            <w:r w:rsidR="0033224B">
              <w:rPr>
                <w:bCs/>
                <w:vertAlign w:val="superscript"/>
              </w:rPr>
              <w:t>1</w:t>
            </w:r>
          </w:p>
        </w:tc>
      </w:tr>
      <w:tr w:rsidR="0092254A" w:rsidRPr="00576299" w14:paraId="1CEF5818" w14:textId="77777777" w:rsidTr="00C068F2">
        <w:tc>
          <w:tcPr>
            <w:tcW w:w="5000" w:type="pct"/>
            <w:gridSpan w:val="4"/>
            <w:vAlign w:val="center"/>
          </w:tcPr>
          <w:p w14:paraId="1606C63A" w14:textId="00BE3E86" w:rsidR="0092254A" w:rsidRPr="00576299" w:rsidRDefault="00B95F57" w:rsidP="00C068F2">
            <w:pPr>
              <w:pStyle w:val="Tabletext"/>
              <w:keepNext/>
              <w:keepLines/>
              <w:rPr>
                <w:b/>
              </w:rPr>
            </w:pPr>
            <w:r w:rsidRPr="00576299">
              <w:rPr>
                <w:b/>
              </w:rPr>
              <w:t>Extrapolated to 6 years</w:t>
            </w:r>
            <w:r w:rsidR="001A53BF" w:rsidRPr="00576299">
              <w:rPr>
                <w:b/>
              </w:rPr>
              <w:t xml:space="preserve"> with convergence from 4 years and resource care use and converted </w:t>
            </w:r>
            <w:r w:rsidR="0092254A" w:rsidRPr="00576299">
              <w:rPr>
                <w:b/>
              </w:rPr>
              <w:t>QALYs</w:t>
            </w:r>
          </w:p>
        </w:tc>
      </w:tr>
      <w:tr w:rsidR="0092254A" w:rsidRPr="00576299" w14:paraId="7C474781" w14:textId="77777777" w:rsidTr="00C068F2">
        <w:tc>
          <w:tcPr>
            <w:tcW w:w="1457" w:type="pct"/>
            <w:vAlign w:val="center"/>
          </w:tcPr>
          <w:p w14:paraId="25134CF7" w14:textId="77777777" w:rsidR="0092254A" w:rsidRPr="00576299" w:rsidRDefault="0092254A" w:rsidP="00C068F2">
            <w:pPr>
              <w:pStyle w:val="Tabletext"/>
              <w:keepNext/>
              <w:keepLines/>
              <w:rPr>
                <w:rFonts w:ascii="Times" w:hAnsi="Times"/>
              </w:rPr>
            </w:pPr>
            <w:r w:rsidRPr="00576299">
              <w:t>Costs</w:t>
            </w:r>
          </w:p>
        </w:tc>
        <w:tc>
          <w:tcPr>
            <w:tcW w:w="1287" w:type="pct"/>
            <w:vAlign w:val="bottom"/>
          </w:tcPr>
          <w:p w14:paraId="707C54B4" w14:textId="5BA720EA" w:rsidR="0092254A" w:rsidRPr="00576299" w:rsidRDefault="0092254A" w:rsidP="00C068F2">
            <w:pPr>
              <w:pStyle w:val="TableText0"/>
              <w:jc w:val="center"/>
            </w:pPr>
            <w:r w:rsidRPr="00576299">
              <w:t>$</w:t>
            </w:r>
            <w:r w:rsidR="00833009" w:rsidRPr="00833009">
              <w:rPr>
                <w:color w:val="000000"/>
                <w:shd w:val="solid" w:color="000000" w:fill="000000"/>
                <w14:textFill>
                  <w14:solidFill>
                    <w14:srgbClr w14:val="000000">
                      <w14:alpha w14:val="100000"/>
                    </w14:srgbClr>
                  </w14:solidFill>
                </w14:textFill>
              </w:rPr>
              <w:t>|</w:t>
            </w:r>
          </w:p>
        </w:tc>
        <w:tc>
          <w:tcPr>
            <w:tcW w:w="1202" w:type="pct"/>
            <w:vAlign w:val="bottom"/>
          </w:tcPr>
          <w:p w14:paraId="6CCA6756" w14:textId="77777777" w:rsidR="0092254A" w:rsidRPr="00576299" w:rsidRDefault="0092254A" w:rsidP="00C068F2">
            <w:pPr>
              <w:pStyle w:val="TableText0"/>
              <w:jc w:val="center"/>
            </w:pPr>
            <w:r w:rsidRPr="00833009">
              <w:t>$60,248</w:t>
            </w:r>
          </w:p>
        </w:tc>
        <w:tc>
          <w:tcPr>
            <w:tcW w:w="1054" w:type="pct"/>
            <w:vAlign w:val="bottom"/>
          </w:tcPr>
          <w:p w14:paraId="2BEB4874" w14:textId="7098E786" w:rsidR="0092254A" w:rsidRPr="00576299" w:rsidRDefault="0092254A" w:rsidP="00C068F2">
            <w:pPr>
              <w:pStyle w:val="TableText0"/>
              <w:jc w:val="center"/>
            </w:pPr>
            <w:r w:rsidRPr="00576299">
              <w:t>$</w:t>
            </w:r>
            <w:r w:rsidR="00833009" w:rsidRPr="00833009">
              <w:rPr>
                <w:color w:val="000000"/>
                <w:shd w:val="solid" w:color="000000" w:fill="000000"/>
                <w14:textFill>
                  <w14:solidFill>
                    <w14:srgbClr w14:val="000000">
                      <w14:alpha w14:val="100000"/>
                    </w14:srgbClr>
                  </w14:solidFill>
                </w14:textFill>
              </w:rPr>
              <w:t>|</w:t>
            </w:r>
          </w:p>
        </w:tc>
      </w:tr>
      <w:tr w:rsidR="0058796B" w:rsidRPr="00576299" w14:paraId="7759A102" w14:textId="77777777" w:rsidTr="00F839C1">
        <w:tc>
          <w:tcPr>
            <w:tcW w:w="1457" w:type="pct"/>
            <w:vAlign w:val="center"/>
          </w:tcPr>
          <w:p w14:paraId="0A76296C" w14:textId="16245284" w:rsidR="0058796B" w:rsidRPr="00576299" w:rsidRDefault="0058796B" w:rsidP="0058796B">
            <w:pPr>
              <w:pStyle w:val="Tabletext"/>
              <w:keepNext/>
              <w:keepLines/>
            </w:pPr>
            <w:r w:rsidRPr="00576299">
              <w:t>LYG (undiscounted)</w:t>
            </w:r>
          </w:p>
        </w:tc>
        <w:tc>
          <w:tcPr>
            <w:tcW w:w="1287" w:type="pct"/>
          </w:tcPr>
          <w:p w14:paraId="721FC755" w14:textId="43391F9F" w:rsidR="0058796B" w:rsidRPr="00576299" w:rsidRDefault="0058796B" w:rsidP="0058796B">
            <w:pPr>
              <w:pStyle w:val="TableText0"/>
              <w:jc w:val="center"/>
              <w:rPr>
                <w:i/>
                <w:iCs/>
              </w:rPr>
            </w:pPr>
            <w:r w:rsidRPr="00576299">
              <w:t>3.08</w:t>
            </w:r>
          </w:p>
        </w:tc>
        <w:tc>
          <w:tcPr>
            <w:tcW w:w="1202" w:type="pct"/>
          </w:tcPr>
          <w:p w14:paraId="482F036F" w14:textId="1CA53778" w:rsidR="0058796B" w:rsidRPr="00576299" w:rsidRDefault="0058796B" w:rsidP="0058796B">
            <w:pPr>
              <w:pStyle w:val="TableText0"/>
              <w:jc w:val="center"/>
              <w:rPr>
                <w:i/>
                <w:iCs/>
              </w:rPr>
            </w:pPr>
            <w:r w:rsidRPr="00576299">
              <w:t>1.45</w:t>
            </w:r>
          </w:p>
        </w:tc>
        <w:tc>
          <w:tcPr>
            <w:tcW w:w="1054" w:type="pct"/>
            <w:vAlign w:val="bottom"/>
          </w:tcPr>
          <w:p w14:paraId="4EA3A765" w14:textId="412098A6" w:rsidR="0058796B" w:rsidRPr="00576299" w:rsidRDefault="0058796B" w:rsidP="0058796B">
            <w:pPr>
              <w:pStyle w:val="TableText0"/>
              <w:jc w:val="center"/>
            </w:pPr>
            <w:r w:rsidRPr="00576299">
              <w:t>1.63</w:t>
            </w:r>
          </w:p>
        </w:tc>
      </w:tr>
      <w:tr w:rsidR="0092254A" w:rsidRPr="00576299" w14:paraId="174CE814" w14:textId="77777777" w:rsidTr="00C068F2">
        <w:tc>
          <w:tcPr>
            <w:tcW w:w="1457" w:type="pct"/>
            <w:vAlign w:val="center"/>
          </w:tcPr>
          <w:p w14:paraId="558F1700" w14:textId="77777777" w:rsidR="0092254A" w:rsidRPr="00576299" w:rsidRDefault="0092254A" w:rsidP="00C068F2">
            <w:pPr>
              <w:pStyle w:val="Tabletext"/>
              <w:keepNext/>
              <w:keepLines/>
              <w:rPr>
                <w:rFonts w:ascii="Times" w:hAnsi="Times"/>
              </w:rPr>
            </w:pPr>
            <w:r w:rsidRPr="00576299">
              <w:t>QALY</w:t>
            </w:r>
          </w:p>
        </w:tc>
        <w:tc>
          <w:tcPr>
            <w:tcW w:w="1287" w:type="pct"/>
            <w:vAlign w:val="center"/>
          </w:tcPr>
          <w:p w14:paraId="6D722DA5" w14:textId="77777777" w:rsidR="0092254A" w:rsidRPr="00576299" w:rsidRDefault="0092254A" w:rsidP="00C068F2">
            <w:pPr>
              <w:pStyle w:val="TableText0"/>
              <w:jc w:val="center"/>
            </w:pPr>
            <w:r w:rsidRPr="00576299">
              <w:t>2.0145</w:t>
            </w:r>
          </w:p>
        </w:tc>
        <w:tc>
          <w:tcPr>
            <w:tcW w:w="1202" w:type="pct"/>
            <w:vAlign w:val="center"/>
          </w:tcPr>
          <w:p w14:paraId="504DFA31" w14:textId="77777777" w:rsidR="0092254A" w:rsidRPr="00576299" w:rsidRDefault="0092254A" w:rsidP="00C068F2">
            <w:pPr>
              <w:pStyle w:val="TableText0"/>
              <w:jc w:val="center"/>
            </w:pPr>
            <w:r w:rsidRPr="00576299">
              <w:t>0.9725</w:t>
            </w:r>
          </w:p>
        </w:tc>
        <w:tc>
          <w:tcPr>
            <w:tcW w:w="1054" w:type="pct"/>
            <w:vAlign w:val="center"/>
          </w:tcPr>
          <w:p w14:paraId="5A840F54" w14:textId="77777777" w:rsidR="0092254A" w:rsidRPr="00576299" w:rsidRDefault="0092254A" w:rsidP="00C068F2">
            <w:pPr>
              <w:pStyle w:val="TableText0"/>
              <w:jc w:val="center"/>
            </w:pPr>
            <w:r w:rsidRPr="00576299">
              <w:t>1.0421</w:t>
            </w:r>
          </w:p>
        </w:tc>
      </w:tr>
      <w:tr w:rsidR="0092254A" w:rsidRPr="00576299" w14:paraId="54158127" w14:textId="77777777" w:rsidTr="00C068F2">
        <w:tc>
          <w:tcPr>
            <w:tcW w:w="3946" w:type="pct"/>
            <w:gridSpan w:val="3"/>
            <w:vAlign w:val="center"/>
          </w:tcPr>
          <w:p w14:paraId="7C700394" w14:textId="77777777" w:rsidR="0092254A" w:rsidRPr="00576299" w:rsidRDefault="0092254A" w:rsidP="00C068F2">
            <w:pPr>
              <w:pStyle w:val="Tabletext"/>
              <w:keepNext/>
              <w:keepLines/>
              <w:rPr>
                <w:rFonts w:ascii="Times" w:hAnsi="Times"/>
                <w:b/>
              </w:rPr>
            </w:pPr>
            <w:r w:rsidRPr="00576299">
              <w:rPr>
                <w:b/>
              </w:rPr>
              <w:t>Incremental cost/extra QALY gained (base case)</w:t>
            </w:r>
          </w:p>
        </w:tc>
        <w:tc>
          <w:tcPr>
            <w:tcW w:w="1054" w:type="pct"/>
            <w:vAlign w:val="center"/>
          </w:tcPr>
          <w:p w14:paraId="70464D6F" w14:textId="2F268C5A" w:rsidR="0092254A" w:rsidRPr="0033224B" w:rsidRDefault="0092254A" w:rsidP="00C068F2">
            <w:pPr>
              <w:pStyle w:val="Tabletext"/>
              <w:keepNext/>
              <w:keepLines/>
              <w:jc w:val="center"/>
              <w:rPr>
                <w:rFonts w:ascii="Times" w:hAnsi="Times"/>
                <w:b/>
                <w:vertAlign w:val="superscript"/>
              </w:rPr>
            </w:pPr>
            <w:r w:rsidRPr="00576299">
              <w:rPr>
                <w:b/>
              </w:rPr>
              <w:t>$</w:t>
            </w:r>
            <w:r w:rsidR="00833009" w:rsidRPr="00833009">
              <w:rPr>
                <w:b/>
                <w:color w:val="000000"/>
                <w:shd w:val="solid" w:color="000000" w:fill="000000"/>
                <w14:textFill>
                  <w14:solidFill>
                    <w14:srgbClr w14:val="000000">
                      <w14:alpha w14:val="100000"/>
                    </w14:srgbClr>
                  </w14:solidFill>
                </w14:textFill>
              </w:rPr>
              <w:t>|</w:t>
            </w:r>
            <w:r w:rsidR="0033224B" w:rsidRPr="0033224B">
              <w:rPr>
                <w:bCs/>
                <w:vertAlign w:val="superscript"/>
              </w:rPr>
              <w:t>2</w:t>
            </w:r>
          </w:p>
        </w:tc>
      </w:tr>
      <w:tr w:rsidR="00AC0C49" w:rsidRPr="00576299" w14:paraId="2E039646" w14:textId="77777777" w:rsidTr="00AC0C49">
        <w:tc>
          <w:tcPr>
            <w:tcW w:w="5000" w:type="pct"/>
            <w:gridSpan w:val="4"/>
            <w:shd w:val="clear" w:color="auto" w:fill="C6D9F1" w:themeFill="text2" w:themeFillTint="33"/>
            <w:vAlign w:val="center"/>
          </w:tcPr>
          <w:p w14:paraId="50BAEC2F" w14:textId="46E07CF8" w:rsidR="00AC0C49" w:rsidRPr="00576299" w:rsidRDefault="00AC0C49" w:rsidP="002E1771">
            <w:pPr>
              <w:pStyle w:val="Tabletext"/>
              <w:keepNext/>
              <w:keepLines/>
              <w:rPr>
                <w:b/>
                <w:vertAlign w:val="superscript"/>
              </w:rPr>
            </w:pPr>
            <w:r w:rsidRPr="00576299">
              <w:rPr>
                <w:b/>
              </w:rPr>
              <w:t>Previous submission (March 2022)</w:t>
            </w:r>
            <w:r w:rsidR="006E3959" w:rsidRPr="00576299">
              <w:rPr>
                <w:b/>
              </w:rPr>
              <w:t xml:space="preserve"> </w:t>
            </w:r>
            <w:r w:rsidR="006E3959" w:rsidRPr="00576299">
              <w:rPr>
                <w:b/>
                <w:vertAlign w:val="superscript"/>
              </w:rPr>
              <w:t>b</w:t>
            </w:r>
          </w:p>
        </w:tc>
      </w:tr>
      <w:tr w:rsidR="00AC0C49" w:rsidRPr="00576299" w14:paraId="4136A8EC" w14:textId="77777777" w:rsidTr="002E1771">
        <w:tc>
          <w:tcPr>
            <w:tcW w:w="1457" w:type="pct"/>
            <w:shd w:val="clear" w:color="auto" w:fill="C6D9F1" w:themeFill="text2" w:themeFillTint="33"/>
            <w:vAlign w:val="center"/>
          </w:tcPr>
          <w:p w14:paraId="5AA8D50B" w14:textId="77777777" w:rsidR="00AC0C49" w:rsidRPr="00576299" w:rsidRDefault="00AC0C49" w:rsidP="002E1771">
            <w:pPr>
              <w:pStyle w:val="Tabletext"/>
              <w:keepNext/>
              <w:keepLines/>
              <w:rPr>
                <w:rFonts w:ascii="Times" w:hAnsi="Times"/>
              </w:rPr>
            </w:pPr>
            <w:r w:rsidRPr="00576299">
              <w:t>Costs</w:t>
            </w:r>
          </w:p>
        </w:tc>
        <w:tc>
          <w:tcPr>
            <w:tcW w:w="1287" w:type="pct"/>
            <w:shd w:val="clear" w:color="auto" w:fill="C6D9F1" w:themeFill="text2" w:themeFillTint="33"/>
            <w:vAlign w:val="center"/>
          </w:tcPr>
          <w:p w14:paraId="1A01EA21" w14:textId="5296A6F2" w:rsidR="00AC0C49" w:rsidRPr="00576299" w:rsidRDefault="00AC0C49" w:rsidP="002E1771">
            <w:pPr>
              <w:pStyle w:val="TableText0"/>
              <w:jc w:val="center"/>
              <w:rPr>
                <w:i/>
                <w:iCs/>
              </w:rPr>
            </w:pPr>
            <w:r w:rsidRPr="00576299">
              <w:t>$</w:t>
            </w:r>
            <w:r w:rsidR="00833009" w:rsidRPr="00833009">
              <w:rPr>
                <w:color w:val="000000"/>
                <w:shd w:val="solid" w:color="000000" w:fill="000000"/>
                <w14:textFill>
                  <w14:solidFill>
                    <w14:srgbClr w14:val="000000">
                      <w14:alpha w14:val="100000"/>
                    </w14:srgbClr>
                  </w14:solidFill>
                </w14:textFill>
              </w:rPr>
              <w:t>|</w:t>
            </w:r>
          </w:p>
        </w:tc>
        <w:tc>
          <w:tcPr>
            <w:tcW w:w="1202" w:type="pct"/>
            <w:shd w:val="clear" w:color="auto" w:fill="C6D9F1" w:themeFill="text2" w:themeFillTint="33"/>
            <w:vAlign w:val="center"/>
          </w:tcPr>
          <w:p w14:paraId="567FB360" w14:textId="77777777" w:rsidR="00AC0C49" w:rsidRPr="00576299" w:rsidRDefault="00AC0C49" w:rsidP="002E1771">
            <w:pPr>
              <w:pStyle w:val="TableText0"/>
              <w:jc w:val="center"/>
              <w:rPr>
                <w:i/>
                <w:iCs/>
              </w:rPr>
            </w:pPr>
            <w:r w:rsidRPr="00833009">
              <w:t>$59,336</w:t>
            </w:r>
          </w:p>
        </w:tc>
        <w:tc>
          <w:tcPr>
            <w:tcW w:w="1054" w:type="pct"/>
            <w:shd w:val="clear" w:color="auto" w:fill="C6D9F1" w:themeFill="text2" w:themeFillTint="33"/>
            <w:vAlign w:val="center"/>
          </w:tcPr>
          <w:p w14:paraId="7C115D56" w14:textId="14AED120" w:rsidR="00AC0C49" w:rsidRPr="00576299" w:rsidRDefault="00AC0C49" w:rsidP="002E1771">
            <w:pPr>
              <w:pStyle w:val="TableText0"/>
              <w:jc w:val="center"/>
              <w:rPr>
                <w:i/>
                <w:iCs/>
              </w:rPr>
            </w:pPr>
            <w:r w:rsidRPr="00576299">
              <w:t>$</w:t>
            </w:r>
            <w:r w:rsidR="00833009" w:rsidRPr="00833009">
              <w:rPr>
                <w:color w:val="000000"/>
                <w:shd w:val="solid" w:color="000000" w:fill="000000"/>
                <w14:textFill>
                  <w14:solidFill>
                    <w14:srgbClr w14:val="000000">
                      <w14:alpha w14:val="100000"/>
                    </w14:srgbClr>
                  </w14:solidFill>
                </w14:textFill>
              </w:rPr>
              <w:t>|</w:t>
            </w:r>
          </w:p>
        </w:tc>
      </w:tr>
      <w:tr w:rsidR="00AC0C49" w:rsidRPr="00576299" w14:paraId="405309F1" w14:textId="77777777" w:rsidTr="002E1771">
        <w:tc>
          <w:tcPr>
            <w:tcW w:w="1457" w:type="pct"/>
            <w:shd w:val="clear" w:color="auto" w:fill="C6D9F1" w:themeFill="text2" w:themeFillTint="33"/>
            <w:vAlign w:val="center"/>
          </w:tcPr>
          <w:p w14:paraId="68FB4929" w14:textId="77777777" w:rsidR="00AC0C49" w:rsidRPr="00576299" w:rsidRDefault="00AC0C49" w:rsidP="002E1771">
            <w:pPr>
              <w:pStyle w:val="Tabletext"/>
              <w:keepNext/>
              <w:keepLines/>
              <w:rPr>
                <w:rFonts w:ascii="Times" w:hAnsi="Times"/>
              </w:rPr>
            </w:pPr>
            <w:r w:rsidRPr="00576299">
              <w:t>QALY</w:t>
            </w:r>
          </w:p>
        </w:tc>
        <w:tc>
          <w:tcPr>
            <w:tcW w:w="1287" w:type="pct"/>
            <w:shd w:val="clear" w:color="auto" w:fill="C6D9F1" w:themeFill="text2" w:themeFillTint="33"/>
            <w:vAlign w:val="center"/>
          </w:tcPr>
          <w:p w14:paraId="0B32AB86" w14:textId="77777777" w:rsidR="00AC0C49" w:rsidRPr="00576299" w:rsidRDefault="00AC0C49" w:rsidP="002E1771">
            <w:pPr>
              <w:pStyle w:val="TableText0"/>
              <w:jc w:val="center"/>
            </w:pPr>
            <w:r w:rsidRPr="00576299">
              <w:t>2.4657</w:t>
            </w:r>
          </w:p>
        </w:tc>
        <w:tc>
          <w:tcPr>
            <w:tcW w:w="1202" w:type="pct"/>
            <w:shd w:val="clear" w:color="auto" w:fill="C6D9F1" w:themeFill="text2" w:themeFillTint="33"/>
            <w:vAlign w:val="center"/>
          </w:tcPr>
          <w:p w14:paraId="31EAF04C" w14:textId="77777777" w:rsidR="00AC0C49" w:rsidRPr="00576299" w:rsidRDefault="00AC0C49" w:rsidP="002E1771">
            <w:pPr>
              <w:pStyle w:val="TableText0"/>
              <w:jc w:val="center"/>
            </w:pPr>
            <w:r w:rsidRPr="00576299">
              <w:t>1.0163</w:t>
            </w:r>
          </w:p>
        </w:tc>
        <w:tc>
          <w:tcPr>
            <w:tcW w:w="1054" w:type="pct"/>
            <w:shd w:val="clear" w:color="auto" w:fill="C6D9F1" w:themeFill="text2" w:themeFillTint="33"/>
            <w:vAlign w:val="center"/>
          </w:tcPr>
          <w:p w14:paraId="1D116B6E" w14:textId="77777777" w:rsidR="00AC0C49" w:rsidRPr="00576299" w:rsidRDefault="00AC0C49" w:rsidP="002E1771">
            <w:pPr>
              <w:pStyle w:val="TableText0"/>
              <w:jc w:val="center"/>
            </w:pPr>
            <w:r w:rsidRPr="00576299">
              <w:t>1.4494</w:t>
            </w:r>
          </w:p>
        </w:tc>
      </w:tr>
      <w:tr w:rsidR="00AC0C49" w:rsidRPr="00576299" w14:paraId="5B81379F" w14:textId="77777777" w:rsidTr="00AC0C49">
        <w:tc>
          <w:tcPr>
            <w:tcW w:w="3946" w:type="pct"/>
            <w:gridSpan w:val="3"/>
            <w:shd w:val="clear" w:color="auto" w:fill="C6D9F1" w:themeFill="text2" w:themeFillTint="33"/>
            <w:vAlign w:val="center"/>
          </w:tcPr>
          <w:p w14:paraId="4CB1381E" w14:textId="77777777" w:rsidR="00AC0C49" w:rsidRPr="00576299" w:rsidRDefault="00AC0C49" w:rsidP="002E1771">
            <w:pPr>
              <w:pStyle w:val="Tabletext"/>
              <w:keepNext/>
              <w:keepLines/>
              <w:rPr>
                <w:rFonts w:ascii="Times" w:hAnsi="Times"/>
                <w:b/>
              </w:rPr>
            </w:pPr>
            <w:r w:rsidRPr="00576299">
              <w:rPr>
                <w:b/>
              </w:rPr>
              <w:t>Incremental cost/extra QALY gained (base case)</w:t>
            </w:r>
          </w:p>
        </w:tc>
        <w:tc>
          <w:tcPr>
            <w:tcW w:w="1054" w:type="pct"/>
            <w:shd w:val="clear" w:color="auto" w:fill="C6D9F1" w:themeFill="text2" w:themeFillTint="33"/>
            <w:vAlign w:val="center"/>
          </w:tcPr>
          <w:p w14:paraId="45C2C15F" w14:textId="480EBD35" w:rsidR="00AC0C49" w:rsidRPr="0033224B" w:rsidRDefault="00AC0C49" w:rsidP="002E1771">
            <w:pPr>
              <w:pStyle w:val="Tabletext"/>
              <w:keepNext/>
              <w:keepLines/>
              <w:jc w:val="center"/>
              <w:rPr>
                <w:rFonts w:ascii="Times" w:hAnsi="Times"/>
                <w:b/>
                <w:i/>
                <w:iCs/>
                <w:vertAlign w:val="superscript"/>
              </w:rPr>
            </w:pPr>
            <w:r w:rsidRPr="00576299">
              <w:rPr>
                <w:b/>
              </w:rPr>
              <w:t>$</w:t>
            </w:r>
            <w:r w:rsidR="00833009" w:rsidRPr="00833009">
              <w:rPr>
                <w:b/>
                <w:color w:val="000000"/>
                <w:shd w:val="solid" w:color="000000" w:fill="000000"/>
                <w14:textFill>
                  <w14:solidFill>
                    <w14:srgbClr w14:val="000000">
                      <w14:alpha w14:val="100000"/>
                    </w14:srgbClr>
                  </w14:solidFill>
                </w14:textFill>
              </w:rPr>
              <w:t>|</w:t>
            </w:r>
            <w:r w:rsidR="0033224B" w:rsidRPr="0033224B">
              <w:rPr>
                <w:bCs/>
                <w:vertAlign w:val="superscript"/>
              </w:rPr>
              <w:t>2</w:t>
            </w:r>
          </w:p>
        </w:tc>
      </w:tr>
    </w:tbl>
    <w:p w14:paraId="5D4DF4F7" w14:textId="77777777" w:rsidR="0092254A" w:rsidRPr="00576299" w:rsidRDefault="0092254A" w:rsidP="0092254A">
      <w:pPr>
        <w:pStyle w:val="TableFooter"/>
      </w:pPr>
      <w:r w:rsidRPr="00576299">
        <w:t>Source: Table 113, p243 of the resubmission.</w:t>
      </w:r>
    </w:p>
    <w:p w14:paraId="12BB93B5" w14:textId="000CDE75" w:rsidR="0092254A" w:rsidRPr="00576299" w:rsidRDefault="0092254A" w:rsidP="0092254A">
      <w:pPr>
        <w:pStyle w:val="TableFooter"/>
      </w:pPr>
      <w:r w:rsidRPr="00576299">
        <w:t>ICER = incremental cost effectiveness ratio; LY = life years; QALY = quality adjusted life years; SoC = standard of care.</w:t>
      </w:r>
    </w:p>
    <w:p w14:paraId="411E306A" w14:textId="2F203C94" w:rsidR="0092254A" w:rsidRPr="00576299" w:rsidRDefault="0092254A" w:rsidP="0092254A">
      <w:pPr>
        <w:pStyle w:val="TableFooter"/>
      </w:pPr>
      <w:r w:rsidRPr="00576299">
        <w:t>a A 36-month time horizon is applied in the trial-based step of the analysis. KM data is available out to 50 months for GARNET Cohort A1 (IA3 data-cut), however KM data from the base case comparator trial (ZoptEC) is available out to 38 months.</w:t>
      </w:r>
    </w:p>
    <w:p w14:paraId="02C0D51B" w14:textId="7B4A11D8" w:rsidR="006E3959" w:rsidRPr="00576299" w:rsidRDefault="006E3959" w:rsidP="000E1DA3">
      <w:pPr>
        <w:pStyle w:val="TableFooter"/>
      </w:pPr>
      <w:r w:rsidRPr="00576299">
        <w:rPr>
          <w:vertAlign w:val="superscript"/>
        </w:rPr>
        <w:t>b</w:t>
      </w:r>
      <w:r w:rsidRPr="00576299">
        <w:t xml:space="preserve"> Based on the model provided in the previous submission, noting revised models were provided in the previous PSCR and pre-PBAC response.</w:t>
      </w:r>
    </w:p>
    <w:p w14:paraId="728AA485" w14:textId="6A17AC5A" w:rsidR="0092254A" w:rsidRDefault="002B2253" w:rsidP="0033224B">
      <w:pPr>
        <w:pStyle w:val="TableNotes"/>
        <w:spacing w:after="0"/>
        <w:rPr>
          <w:szCs w:val="18"/>
        </w:rPr>
      </w:pPr>
      <w:r w:rsidRPr="00576299">
        <w:rPr>
          <w:szCs w:val="18"/>
        </w:rPr>
        <w:t>Blue shaded cell indicates values previously considered by PBAC.</w:t>
      </w:r>
    </w:p>
    <w:p w14:paraId="786193EB" w14:textId="77777777" w:rsidR="0033224B" w:rsidRPr="009A6D58" w:rsidRDefault="0033224B" w:rsidP="0033224B">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5274A252" w14:textId="77875FDB" w:rsidR="0033224B" w:rsidRPr="009A6D58" w:rsidRDefault="0033224B" w:rsidP="0033224B">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33224B">
        <w:rPr>
          <w:rFonts w:ascii="Arial Narrow" w:hAnsi="Arial Narrow"/>
          <w:i/>
          <w:sz w:val="18"/>
          <w:szCs w:val="18"/>
        </w:rPr>
        <w:t>$75,000 to &lt; $95,000</w:t>
      </w:r>
    </w:p>
    <w:p w14:paraId="293BDB87" w14:textId="3EC1904F" w:rsidR="0033224B" w:rsidRPr="0033224B" w:rsidRDefault="0033224B" w:rsidP="0033224B">
      <w:pPr>
        <w:spacing w:after="120"/>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33224B">
        <w:rPr>
          <w:rFonts w:ascii="Arial Narrow" w:hAnsi="Arial Narrow"/>
          <w:i/>
          <w:sz w:val="18"/>
          <w:szCs w:val="18"/>
        </w:rPr>
        <w:t>$55,000 to &lt; $75,000</w:t>
      </w:r>
    </w:p>
    <w:p w14:paraId="250CA23F" w14:textId="1CC5122B" w:rsidR="00A32C75" w:rsidRPr="004654C2" w:rsidRDefault="0092254A" w:rsidP="0033224B">
      <w:pPr>
        <w:pStyle w:val="3-BodyText"/>
      </w:pPr>
      <w:r w:rsidRPr="00576299">
        <w:t>Compared to the previous submission, the discounted incremental QALY gain decreased from 1.</w:t>
      </w:r>
      <w:r w:rsidR="005F6B23" w:rsidRPr="00576299">
        <w:t xml:space="preserve">45 </w:t>
      </w:r>
      <w:r w:rsidRPr="00576299">
        <w:t>(over 10 years) to 1.04 (over six years). This was primarily driven by fewer QALYs estimated in the dostarlimab arm (2.4</w:t>
      </w:r>
      <w:r w:rsidR="005F6B23" w:rsidRPr="00576299">
        <w:t>7</w:t>
      </w:r>
      <w:r w:rsidRPr="00576299">
        <w:t xml:space="preserve"> previously, 2.01 in</w:t>
      </w:r>
      <w:r w:rsidR="00784E52" w:rsidRPr="00576299">
        <w:t xml:space="preserve"> the</w:t>
      </w:r>
      <w:r w:rsidRPr="00576299">
        <w:t xml:space="preserve"> resubmission). Similarly, the </w:t>
      </w:r>
      <w:r w:rsidR="008E6042" w:rsidRPr="00576299">
        <w:t>un</w:t>
      </w:r>
      <w:r w:rsidRPr="00576299">
        <w:t>discounted life years gained (LYG) also decreased from 2.</w:t>
      </w:r>
      <w:r w:rsidR="00447580" w:rsidRPr="00576299">
        <w:t>50</w:t>
      </w:r>
      <w:r w:rsidRPr="00576299">
        <w:t xml:space="preserve"> years (over 10 years) to 1.</w:t>
      </w:r>
      <w:r w:rsidR="00447580" w:rsidRPr="00576299">
        <w:t xml:space="preserve">63 </w:t>
      </w:r>
      <w:r w:rsidRPr="00576299">
        <w:t>years (over six years) with the difference mainly due to fewer LYG estimated in the dostarlimab arm (</w:t>
      </w:r>
      <w:r w:rsidR="005F50A6" w:rsidRPr="00576299">
        <w:t>4.05</w:t>
      </w:r>
      <w:r w:rsidRPr="00576299">
        <w:t xml:space="preserve"> previously, </w:t>
      </w:r>
      <w:r w:rsidR="005F50A6" w:rsidRPr="00576299">
        <w:t>3.08</w:t>
      </w:r>
      <w:r w:rsidRPr="00576299">
        <w:t xml:space="preserve"> in resubmission).</w:t>
      </w:r>
      <w:r w:rsidR="008A487D" w:rsidRPr="00576299">
        <w:t xml:space="preserve"> </w:t>
      </w:r>
      <w:r w:rsidR="008A487D" w:rsidRPr="004654C2">
        <w:t xml:space="preserve">The PSCR stated that 55% of the incremental benefits (QALYs and LYs) were accrued over the trial period, compared to 22% in the November 2021 submission. </w:t>
      </w:r>
      <w:r w:rsidR="00322E74" w:rsidRPr="004654C2">
        <w:t xml:space="preserve">However, the ESC considered that the proportion of incremental benefits derived during the extrapolated period versus the trial period was less relevant in this case given the uncertainties with the underlying clinical data. </w:t>
      </w:r>
      <w:r w:rsidR="008A487D" w:rsidRPr="004654C2">
        <w:t xml:space="preserve">The PSCR </w:t>
      </w:r>
      <w:r w:rsidR="00322E74" w:rsidRPr="004654C2">
        <w:t xml:space="preserve">further </w:t>
      </w:r>
      <w:r w:rsidR="008A487D" w:rsidRPr="004654C2">
        <w:t>claimed that the application of the more conservative assumptions in the resubmission model, together with a lower price, made the model results more robust and noted that all important sensitivity analyses show</w:t>
      </w:r>
      <w:r w:rsidR="00FE16A7">
        <w:t>ed</w:t>
      </w:r>
      <w:r w:rsidR="008A487D" w:rsidRPr="004654C2">
        <w:t xml:space="preserve"> an ICER </w:t>
      </w:r>
      <w:r w:rsidR="00322E74" w:rsidRPr="004654C2">
        <w:t>lower</w:t>
      </w:r>
      <w:r w:rsidR="008A487D" w:rsidRPr="004654C2">
        <w:t xml:space="preserve"> than </w:t>
      </w:r>
      <w:r w:rsidR="0033224B" w:rsidRPr="0033224B">
        <w:t>$75,000 to &lt; $95,000</w:t>
      </w:r>
      <w:r w:rsidR="0033224B">
        <w:t xml:space="preserve"> </w:t>
      </w:r>
      <w:r w:rsidR="008A487D" w:rsidRPr="004654C2">
        <w:t>per QALY.</w:t>
      </w:r>
    </w:p>
    <w:p w14:paraId="6BDC2692" w14:textId="11D577BC" w:rsidR="00C463B3" w:rsidRPr="004654C2" w:rsidRDefault="00C463B3" w:rsidP="00863F56">
      <w:pPr>
        <w:pStyle w:val="3-BodyText"/>
      </w:pPr>
      <w:r w:rsidRPr="004654C2">
        <w:t xml:space="preserve">The ESC noted that, although the resubmission’s extrapolated benefit was more conservative than the previous submission, the model still </w:t>
      </w:r>
      <w:r w:rsidR="00322E74" w:rsidRPr="004654C2">
        <w:t>estimat</w:t>
      </w:r>
      <w:r w:rsidRPr="004654C2">
        <w:t xml:space="preserve">ed a substantially larger incremental benefit for dostarlimab </w:t>
      </w:r>
      <w:r w:rsidR="004D4E5F" w:rsidRPr="004654C2">
        <w:t>(1.</w:t>
      </w:r>
      <w:r w:rsidR="00FF0F1C">
        <w:t>45</w:t>
      </w:r>
      <w:r w:rsidR="00FF0F1C" w:rsidRPr="004654C2">
        <w:t xml:space="preserve"> </w:t>
      </w:r>
      <w:r w:rsidR="004D4E5F" w:rsidRPr="004654C2">
        <w:t xml:space="preserve">LY and 1.04 QALYs over 6 years </w:t>
      </w:r>
      <w:r w:rsidR="00106B44" w:rsidRPr="004654C2">
        <w:t>[</w:t>
      </w:r>
      <w:r w:rsidR="004D4E5F" w:rsidRPr="004654C2">
        <w:t>discounted</w:t>
      </w:r>
      <w:r w:rsidR="00106B44" w:rsidRPr="004654C2">
        <w:t>]</w:t>
      </w:r>
      <w:r w:rsidR="004D4E5F" w:rsidRPr="004654C2">
        <w:t xml:space="preserve">) </w:t>
      </w:r>
      <w:r w:rsidRPr="004654C2">
        <w:t xml:space="preserve">than the </w:t>
      </w:r>
      <w:r w:rsidR="00322E74" w:rsidRPr="004654C2">
        <w:t xml:space="preserve">March 2022 </w:t>
      </w:r>
      <w:r w:rsidR="00106B44" w:rsidRPr="004654C2">
        <w:t>PEM+LEN</w:t>
      </w:r>
      <w:r w:rsidR="00863F56" w:rsidRPr="004654C2">
        <w:t xml:space="preserve"> </w:t>
      </w:r>
      <w:r w:rsidRPr="004654C2">
        <w:t xml:space="preserve">model (0.70 LY and 0.50 QALYs over </w:t>
      </w:r>
      <w:r w:rsidR="004D4E5F" w:rsidRPr="004654C2">
        <w:t>5</w:t>
      </w:r>
      <w:r w:rsidRPr="004654C2">
        <w:t xml:space="preserve"> years </w:t>
      </w:r>
      <w:r w:rsidR="00106B44" w:rsidRPr="004654C2">
        <w:t>[</w:t>
      </w:r>
      <w:r w:rsidRPr="004654C2">
        <w:t>discounted</w:t>
      </w:r>
      <w:r w:rsidR="007638A1">
        <w:t>]) (</w:t>
      </w:r>
      <w:r w:rsidRPr="004654C2">
        <w:t>Table 11 pembrolizumab PSD, March</w:t>
      </w:r>
      <w:r w:rsidR="00322E74" w:rsidRPr="004654C2">
        <w:t xml:space="preserve"> 2022</w:t>
      </w:r>
      <w:r w:rsidRPr="004654C2">
        <w:t xml:space="preserve"> PBAC meeting). </w:t>
      </w:r>
      <w:r w:rsidR="00863F56" w:rsidRPr="004654C2">
        <w:t>The majority of the difference was in the estimated QALYs for the active treatment arm (</w:t>
      </w:r>
      <w:r w:rsidR="00322E74" w:rsidRPr="004654C2">
        <w:t xml:space="preserve">2.01 over 6 years for dostarlimab versus </w:t>
      </w:r>
      <w:r w:rsidR="00863F56" w:rsidRPr="004654C2">
        <w:t xml:space="preserve">1.45 over </w:t>
      </w:r>
      <w:r w:rsidR="004D4E5F" w:rsidRPr="004654C2">
        <w:t>5</w:t>
      </w:r>
      <w:r w:rsidR="00863F56" w:rsidRPr="004654C2">
        <w:t xml:space="preserve"> years for PEM+LEN).</w:t>
      </w:r>
      <w:r w:rsidR="001F1763" w:rsidRPr="004654C2">
        <w:t xml:space="preserve"> While the </w:t>
      </w:r>
      <w:r w:rsidR="00334438" w:rsidRPr="004654C2">
        <w:t>PEM+LEN</w:t>
      </w:r>
      <w:r w:rsidR="001F1763" w:rsidRPr="004654C2">
        <w:t xml:space="preserve"> model was based on the randomised controlled trial, </w:t>
      </w:r>
      <w:r w:rsidR="002B2212" w:rsidRPr="004654C2">
        <w:t>KEYNOTE-755</w:t>
      </w:r>
      <w:r w:rsidR="001F1763" w:rsidRPr="004654C2">
        <w:t xml:space="preserve">, which </w:t>
      </w:r>
      <w:r w:rsidR="001F1763" w:rsidRPr="004654C2">
        <w:lastRenderedPageBreak/>
        <w:t>predominantly included pMMR patients (84% of patients were pMMR and 16% were dMMR), the ESC considered the comparison in LY</w:t>
      </w:r>
      <w:r w:rsidR="00334438" w:rsidRPr="004654C2">
        <w:t>s</w:t>
      </w:r>
      <w:r w:rsidR="001F1763" w:rsidRPr="004654C2">
        <w:t xml:space="preserve"> and QALY</w:t>
      </w:r>
      <w:r w:rsidR="00334438" w:rsidRPr="004654C2">
        <w:t>s gained</w:t>
      </w:r>
      <w:r w:rsidR="001F1763" w:rsidRPr="004654C2">
        <w:t xml:space="preserve"> between the two models indicated the OS benefit estimated in the dostarlimab model was likely overestimated. </w:t>
      </w:r>
      <w:r w:rsidR="007638A1">
        <w:t xml:space="preserve">The pre-PBAC response argued that </w:t>
      </w:r>
      <w:r w:rsidR="007638A1" w:rsidRPr="00715B99">
        <w:t xml:space="preserve">overestimation of outcomes in </w:t>
      </w:r>
      <w:r w:rsidR="00D705D8">
        <w:t xml:space="preserve">the </w:t>
      </w:r>
      <w:r w:rsidR="007638A1" w:rsidRPr="00715B99">
        <w:t>resubmission’s model is unlikely</w:t>
      </w:r>
      <w:r w:rsidR="007638A1">
        <w:t xml:space="preserve"> and that d</w:t>
      </w:r>
      <w:r w:rsidR="007638A1" w:rsidRPr="00715B99">
        <w:t xml:space="preserve">ifferences in incremental LYs and QALYs gained estimated in the current dostarlimab model compared to the PEM+LEN model </w:t>
      </w:r>
      <w:r w:rsidR="00D705D8">
        <w:t>are due to</w:t>
      </w:r>
      <w:r w:rsidR="007638A1" w:rsidRPr="00715B99">
        <w:t xml:space="preserve"> differences in the magnitude of treatment effects observed in the respective clinical trial evidence bases (GARNET Cohort A1 – dMMR cohort;</w:t>
      </w:r>
      <w:r w:rsidR="007638A1">
        <w:t xml:space="preserve"> KEYNOTE-775</w:t>
      </w:r>
      <w:r w:rsidR="007638A1" w:rsidRPr="00715B99">
        <w:t xml:space="preserve"> – ITT, predominantly </w:t>
      </w:r>
      <w:r w:rsidR="00481631">
        <w:t>p</w:t>
      </w:r>
      <w:r w:rsidR="007638A1" w:rsidRPr="00715B99">
        <w:t>MMR cohort)</w:t>
      </w:r>
      <w:r w:rsidR="007638A1">
        <w:t>.</w:t>
      </w:r>
      <w:r w:rsidR="001F1763" w:rsidRPr="004654C2">
        <w:t xml:space="preserve"> </w:t>
      </w:r>
      <w:r w:rsidR="00D705D8">
        <w:t xml:space="preserve">The pre-PBAC response argued that </w:t>
      </w:r>
      <w:r w:rsidR="00D705D8" w:rsidRPr="00D705D8">
        <w:t xml:space="preserve">the </w:t>
      </w:r>
      <w:r w:rsidR="00D705D8">
        <w:t>“</w:t>
      </w:r>
      <w:r w:rsidR="00D705D8" w:rsidRPr="00D705D8">
        <w:t>higher incremental benefits estimated for dostarlimab in dMMR patients relative to PEM+LEN in all-comers are not due to any economic model assumptions which may inappropriately favour dostarlimab, but instead are explained by the differences in treatment effects between the dMMR subgroup and all-comers (ITT) population</w:t>
      </w:r>
      <w:r w:rsidR="00D705D8">
        <w:t>”.</w:t>
      </w:r>
    </w:p>
    <w:p w14:paraId="537C5815" w14:textId="1AA5C57F" w:rsidR="00006A5C" w:rsidRPr="00576299" w:rsidRDefault="004D4E5F" w:rsidP="0092254A">
      <w:pPr>
        <w:pStyle w:val="3-BodyText"/>
        <w:rPr>
          <w:i/>
          <w:iCs/>
        </w:rPr>
      </w:pPr>
      <w:r w:rsidRPr="00576299">
        <w:t xml:space="preserve">The approach to deriving utility values from GARNET Cohort A1 EQ-5D-5L data </w:t>
      </w:r>
      <w:r w:rsidR="0057575A" w:rsidRPr="00576299">
        <w:t>was</w:t>
      </w:r>
      <w:r w:rsidRPr="00576299">
        <w:t xml:space="preserve"> fundamentally unchanged compared with the previous submission, except updated </w:t>
      </w:r>
      <w:r w:rsidR="0057575A" w:rsidRPr="00576299">
        <w:t>data from th</w:t>
      </w:r>
      <w:r w:rsidRPr="00576299">
        <w:t xml:space="preserve">e </w:t>
      </w:r>
      <w:r w:rsidR="0057575A" w:rsidRPr="00576299">
        <w:t xml:space="preserve">more recent </w:t>
      </w:r>
      <w:r w:rsidRPr="00576299">
        <w:t xml:space="preserve">IA3 data-cut </w:t>
      </w:r>
      <w:r w:rsidR="0057575A" w:rsidRPr="00576299">
        <w:t>were used t</w:t>
      </w:r>
      <w:r w:rsidRPr="00576299">
        <w:t>o derive utility values for the progression free (0.718) and progressed disease (0.696)</w:t>
      </w:r>
      <w:r w:rsidR="007B1CD9">
        <w:rPr>
          <w:rStyle w:val="FootnoteReference"/>
        </w:rPr>
        <w:footnoteReference w:id="5"/>
      </w:r>
      <w:r w:rsidRPr="00576299">
        <w:t xml:space="preserve"> health states</w:t>
      </w:r>
      <w:r w:rsidRPr="004654C2">
        <w:t xml:space="preserve">. </w:t>
      </w:r>
      <w:r w:rsidR="00006A5C" w:rsidRPr="004654C2">
        <w:t xml:space="preserve">The ESC </w:t>
      </w:r>
      <w:r w:rsidR="0057575A" w:rsidRPr="004654C2">
        <w:t>considered this was</w:t>
      </w:r>
      <w:r w:rsidR="00006A5C" w:rsidRPr="004654C2">
        <w:t xml:space="preserve"> appropriate</w:t>
      </w:r>
      <w:r w:rsidR="0057575A" w:rsidRPr="004654C2">
        <w:t xml:space="preserve"> </w:t>
      </w:r>
      <w:r w:rsidR="00006A5C" w:rsidRPr="004654C2">
        <w:t xml:space="preserve">and </w:t>
      </w:r>
      <w:r w:rsidR="0057575A" w:rsidRPr="004654C2">
        <w:t>noted</w:t>
      </w:r>
      <w:r w:rsidR="00006A5C" w:rsidRPr="004654C2">
        <w:t xml:space="preserve"> these values were slightly more conservative than in the previous submission.</w:t>
      </w:r>
      <w:r w:rsidR="00006A5C" w:rsidRPr="00576299">
        <w:rPr>
          <w:i/>
          <w:iCs/>
        </w:rPr>
        <w:t xml:space="preserve"> </w:t>
      </w:r>
    </w:p>
    <w:p w14:paraId="7C016099" w14:textId="2A2CBC9F" w:rsidR="0092254A" w:rsidRPr="00576299" w:rsidRDefault="0092254A" w:rsidP="0092254A">
      <w:pPr>
        <w:pStyle w:val="3-BodyText"/>
        <w:rPr>
          <w:i/>
          <w:iCs/>
        </w:rPr>
      </w:pPr>
      <w:r w:rsidRPr="00576299">
        <w:t xml:space="preserve">A summary table of key univariate sensitivity analyses are presented in </w:t>
      </w:r>
      <w:r w:rsidRPr="00576299">
        <w:fldChar w:fldCharType="begin"/>
      </w:r>
      <w:r w:rsidRPr="00576299">
        <w:instrText xml:space="preserve"> REF _Ref111455048 \h </w:instrText>
      </w:r>
      <w:r w:rsidRPr="00576299">
        <w:fldChar w:fldCharType="separate"/>
      </w:r>
      <w:r w:rsidR="00CD09E9" w:rsidRPr="00576299">
        <w:t xml:space="preserve">Table </w:t>
      </w:r>
      <w:r w:rsidR="00CD09E9">
        <w:rPr>
          <w:noProof/>
        </w:rPr>
        <w:t>18</w:t>
      </w:r>
      <w:r w:rsidRPr="00576299">
        <w:fldChar w:fldCharType="end"/>
      </w:r>
      <w:r w:rsidRPr="00576299">
        <w:t xml:space="preserve">. </w:t>
      </w:r>
    </w:p>
    <w:p w14:paraId="5BE3D4C0" w14:textId="5B9E2335" w:rsidR="0092254A" w:rsidRPr="00576299" w:rsidRDefault="0092254A" w:rsidP="00BF0B72">
      <w:pPr>
        <w:pStyle w:val="Caption"/>
        <w:keepLines w:val="0"/>
      </w:pPr>
      <w:bookmarkStart w:id="65" w:name="_Ref111455048"/>
      <w:r w:rsidRPr="00576299">
        <w:lastRenderedPageBreak/>
        <w:t xml:space="preserve">Table </w:t>
      </w:r>
      <w:fldSimple w:instr=" SEQ Table \* ARABIC ">
        <w:r w:rsidR="00CD09E9">
          <w:rPr>
            <w:noProof/>
          </w:rPr>
          <w:t>18</w:t>
        </w:r>
      </w:fldSimple>
      <w:bookmarkEnd w:id="65"/>
      <w:r w:rsidRPr="00576299">
        <w:t>: Univariate sensitivity analyses</w:t>
      </w:r>
      <w:r w:rsidR="00D705D8">
        <w:t xml:space="preserve"> (based on resubmission model)</w:t>
      </w:r>
    </w:p>
    <w:tbl>
      <w:tblPr>
        <w:tblStyle w:val="TableGrid"/>
        <w:tblW w:w="5000" w:type="pct"/>
        <w:tblLook w:val="04A0" w:firstRow="1" w:lastRow="0" w:firstColumn="1" w:lastColumn="0" w:noHBand="0" w:noVBand="1"/>
      </w:tblPr>
      <w:tblGrid>
        <w:gridCol w:w="4390"/>
        <w:gridCol w:w="1105"/>
        <w:gridCol w:w="1174"/>
        <w:gridCol w:w="1174"/>
        <w:gridCol w:w="1174"/>
      </w:tblGrid>
      <w:tr w:rsidR="0092254A" w:rsidRPr="00576299" w14:paraId="083C3F3E" w14:textId="77777777" w:rsidTr="00B03F28">
        <w:trPr>
          <w:tblHeader/>
        </w:trPr>
        <w:tc>
          <w:tcPr>
            <w:tcW w:w="2434" w:type="pct"/>
            <w:shd w:val="clear" w:color="auto" w:fill="auto"/>
            <w:vAlign w:val="center"/>
          </w:tcPr>
          <w:p w14:paraId="4E65BDAA" w14:textId="77777777" w:rsidR="0092254A" w:rsidRPr="00576299" w:rsidRDefault="0092254A" w:rsidP="00BF0B72">
            <w:pPr>
              <w:pStyle w:val="In-tableHeading"/>
              <w:jc w:val="center"/>
              <w:rPr>
                <w:lang w:val="en-AU"/>
              </w:rPr>
            </w:pPr>
          </w:p>
        </w:tc>
        <w:tc>
          <w:tcPr>
            <w:tcW w:w="613" w:type="pct"/>
            <w:shd w:val="clear" w:color="auto" w:fill="auto"/>
            <w:vAlign w:val="center"/>
          </w:tcPr>
          <w:p w14:paraId="3029FC86" w14:textId="77777777" w:rsidR="0092254A" w:rsidRPr="00576299" w:rsidRDefault="0092254A" w:rsidP="00BF0B72">
            <w:pPr>
              <w:pStyle w:val="In-tableHeading"/>
              <w:jc w:val="center"/>
              <w:rPr>
                <w:lang w:val="en-AU"/>
              </w:rPr>
            </w:pPr>
            <w:r w:rsidRPr="00576299">
              <w:rPr>
                <w:lang w:val="en-AU"/>
              </w:rPr>
              <w:t>Incr. cost</w:t>
            </w:r>
          </w:p>
        </w:tc>
        <w:tc>
          <w:tcPr>
            <w:tcW w:w="651" w:type="pct"/>
            <w:shd w:val="clear" w:color="auto" w:fill="auto"/>
            <w:vAlign w:val="center"/>
          </w:tcPr>
          <w:p w14:paraId="55C96B62" w14:textId="77777777" w:rsidR="0092254A" w:rsidRPr="00576299" w:rsidRDefault="0092254A" w:rsidP="00BF0B72">
            <w:pPr>
              <w:pStyle w:val="In-tableHeading"/>
              <w:jc w:val="center"/>
              <w:rPr>
                <w:lang w:val="en-AU"/>
              </w:rPr>
            </w:pPr>
            <w:r w:rsidRPr="00576299">
              <w:rPr>
                <w:lang w:val="en-AU"/>
              </w:rPr>
              <w:t>Incr. QALYs</w:t>
            </w:r>
          </w:p>
        </w:tc>
        <w:tc>
          <w:tcPr>
            <w:tcW w:w="651" w:type="pct"/>
            <w:shd w:val="clear" w:color="auto" w:fill="auto"/>
            <w:vAlign w:val="center"/>
          </w:tcPr>
          <w:p w14:paraId="2B296C1D" w14:textId="77777777" w:rsidR="0092254A" w:rsidRPr="00576299" w:rsidRDefault="0092254A" w:rsidP="00BF0B72">
            <w:pPr>
              <w:pStyle w:val="In-tableHeading"/>
              <w:jc w:val="center"/>
              <w:rPr>
                <w:lang w:val="en-AU"/>
              </w:rPr>
            </w:pPr>
            <w:r w:rsidRPr="00576299">
              <w:rPr>
                <w:lang w:val="en-AU"/>
              </w:rPr>
              <w:t>ICER</w:t>
            </w:r>
          </w:p>
        </w:tc>
        <w:tc>
          <w:tcPr>
            <w:tcW w:w="651" w:type="pct"/>
            <w:shd w:val="clear" w:color="auto" w:fill="auto"/>
            <w:vAlign w:val="center"/>
          </w:tcPr>
          <w:p w14:paraId="6F256262" w14:textId="77777777" w:rsidR="0092254A" w:rsidRPr="00576299" w:rsidRDefault="0092254A" w:rsidP="00BF0B72">
            <w:pPr>
              <w:pStyle w:val="In-tableHeading"/>
              <w:jc w:val="center"/>
              <w:rPr>
                <w:lang w:val="en-AU"/>
              </w:rPr>
            </w:pPr>
            <w:r w:rsidRPr="00576299">
              <w:rPr>
                <w:lang w:val="en-AU"/>
              </w:rPr>
              <w:t>% change</w:t>
            </w:r>
          </w:p>
        </w:tc>
      </w:tr>
      <w:tr w:rsidR="0092254A" w:rsidRPr="00576299" w14:paraId="3C124D79" w14:textId="77777777" w:rsidTr="00B03F28">
        <w:tc>
          <w:tcPr>
            <w:tcW w:w="2434" w:type="pct"/>
            <w:tcBorders>
              <w:bottom w:val="single" w:sz="4" w:space="0" w:color="000000" w:themeColor="text1"/>
            </w:tcBorders>
            <w:shd w:val="clear" w:color="auto" w:fill="auto"/>
            <w:vAlign w:val="center"/>
          </w:tcPr>
          <w:p w14:paraId="0A52E7E5" w14:textId="77777777" w:rsidR="0092254A" w:rsidRPr="00576299" w:rsidRDefault="0092254A" w:rsidP="00BF0B72">
            <w:pPr>
              <w:pStyle w:val="TableText0"/>
              <w:rPr>
                <w:b/>
                <w:bCs w:val="0"/>
              </w:rPr>
            </w:pPr>
            <w:r w:rsidRPr="00576299">
              <w:rPr>
                <w:b/>
                <w:bCs w:val="0"/>
              </w:rPr>
              <w:t>Base case</w:t>
            </w:r>
          </w:p>
        </w:tc>
        <w:tc>
          <w:tcPr>
            <w:tcW w:w="613" w:type="pct"/>
            <w:tcBorders>
              <w:bottom w:val="single" w:sz="4" w:space="0" w:color="000000" w:themeColor="text1"/>
            </w:tcBorders>
            <w:shd w:val="clear" w:color="auto" w:fill="auto"/>
            <w:vAlign w:val="center"/>
          </w:tcPr>
          <w:p w14:paraId="299702C7" w14:textId="232E4842" w:rsidR="0092254A" w:rsidRPr="00576299" w:rsidRDefault="0092254A" w:rsidP="00BF0B72">
            <w:pPr>
              <w:pStyle w:val="TableText0"/>
              <w:jc w:val="center"/>
              <w:rPr>
                <w:b/>
                <w:bCs w:val="0"/>
              </w:rPr>
            </w:pPr>
            <w:r w:rsidRPr="00576299">
              <w:rPr>
                <w:b/>
                <w:bCs w:val="0"/>
              </w:rPr>
              <w:t>$</w:t>
            </w:r>
            <w:r w:rsidR="00833009" w:rsidRPr="00833009">
              <w:rPr>
                <w:b/>
                <w:bCs w:val="0"/>
                <w:color w:val="000000"/>
                <w:spacing w:val="46"/>
                <w:shd w:val="solid" w:color="000000" w:fill="000000"/>
                <w:fitText w:val="323" w:id="-1304167935"/>
                <w14:textFill>
                  <w14:solidFill>
                    <w14:srgbClr w14:val="000000">
                      <w14:alpha w14:val="100000"/>
                    </w14:srgbClr>
                  </w14:solidFill>
                </w14:textFill>
              </w:rPr>
              <w:t>|||</w:t>
            </w:r>
            <w:r w:rsidR="00833009" w:rsidRPr="00833009">
              <w:rPr>
                <w:b/>
                <w:bCs w:val="0"/>
                <w:color w:val="000000"/>
                <w:spacing w:val="2"/>
                <w:shd w:val="solid" w:color="000000" w:fill="000000"/>
                <w:fitText w:val="323" w:id="-1304167935"/>
                <w14:textFill>
                  <w14:solidFill>
                    <w14:srgbClr w14:val="000000">
                      <w14:alpha w14:val="100000"/>
                    </w14:srgbClr>
                  </w14:solidFill>
                </w14:textFill>
              </w:rPr>
              <w:t>|</w:t>
            </w:r>
          </w:p>
        </w:tc>
        <w:tc>
          <w:tcPr>
            <w:tcW w:w="651" w:type="pct"/>
            <w:tcBorders>
              <w:bottom w:val="single" w:sz="4" w:space="0" w:color="000000" w:themeColor="text1"/>
            </w:tcBorders>
            <w:shd w:val="clear" w:color="auto" w:fill="auto"/>
            <w:vAlign w:val="center"/>
          </w:tcPr>
          <w:p w14:paraId="215243D1" w14:textId="77777777" w:rsidR="0092254A" w:rsidRPr="00576299" w:rsidRDefault="0092254A" w:rsidP="00BF0B72">
            <w:pPr>
              <w:pStyle w:val="TableText0"/>
              <w:jc w:val="center"/>
              <w:rPr>
                <w:b/>
                <w:bCs w:val="0"/>
              </w:rPr>
            </w:pPr>
            <w:r w:rsidRPr="00576299">
              <w:rPr>
                <w:b/>
                <w:bCs w:val="0"/>
              </w:rPr>
              <w:t>1.0421</w:t>
            </w:r>
          </w:p>
        </w:tc>
        <w:tc>
          <w:tcPr>
            <w:tcW w:w="651" w:type="pct"/>
            <w:tcBorders>
              <w:bottom w:val="single" w:sz="4" w:space="0" w:color="000000" w:themeColor="text1"/>
            </w:tcBorders>
            <w:shd w:val="clear" w:color="auto" w:fill="auto"/>
            <w:vAlign w:val="center"/>
          </w:tcPr>
          <w:p w14:paraId="6C007341" w14:textId="6C6C82B9" w:rsidR="0092254A" w:rsidRPr="0033224B" w:rsidRDefault="0092254A" w:rsidP="00BF0B72">
            <w:pPr>
              <w:pStyle w:val="TableText0"/>
              <w:jc w:val="center"/>
              <w:rPr>
                <w:vertAlign w:val="superscript"/>
              </w:rPr>
            </w:pPr>
            <w:r w:rsidRPr="00576299">
              <w:rPr>
                <w:b/>
                <w:bCs w:val="0"/>
              </w:rPr>
              <w:t>$</w:t>
            </w:r>
            <w:r w:rsidR="00833009" w:rsidRPr="00833009">
              <w:rPr>
                <w:b/>
                <w:bCs w:val="0"/>
                <w:color w:val="000000"/>
                <w:spacing w:val="49"/>
                <w:shd w:val="solid" w:color="000000" w:fill="000000"/>
                <w:fitText w:val="333" w:id="-1304167934"/>
                <w14:textFill>
                  <w14:solidFill>
                    <w14:srgbClr w14:val="000000">
                      <w14:alpha w14:val="100000"/>
                    </w14:srgbClr>
                  </w14:solidFill>
                </w14:textFill>
              </w:rPr>
              <w:t>|||</w:t>
            </w:r>
            <w:r w:rsidR="00833009" w:rsidRPr="00833009">
              <w:rPr>
                <w:b/>
                <w:bCs w:val="0"/>
                <w:color w:val="000000"/>
                <w:spacing w:val="3"/>
                <w:shd w:val="solid" w:color="000000" w:fill="000000"/>
                <w:fitText w:val="333" w:id="-1304167934"/>
                <w14:textFill>
                  <w14:solidFill>
                    <w14:srgbClr w14:val="000000">
                      <w14:alpha w14:val="100000"/>
                    </w14:srgbClr>
                  </w14:solidFill>
                </w14:textFill>
              </w:rPr>
              <w:t>|</w:t>
            </w:r>
            <w:r w:rsidR="0033224B">
              <w:rPr>
                <w:vertAlign w:val="superscript"/>
              </w:rPr>
              <w:t>1</w:t>
            </w:r>
          </w:p>
        </w:tc>
        <w:tc>
          <w:tcPr>
            <w:tcW w:w="651" w:type="pct"/>
            <w:tcBorders>
              <w:bottom w:val="single" w:sz="4" w:space="0" w:color="000000" w:themeColor="text1"/>
            </w:tcBorders>
            <w:shd w:val="clear" w:color="auto" w:fill="auto"/>
            <w:vAlign w:val="center"/>
          </w:tcPr>
          <w:p w14:paraId="685265A5" w14:textId="77777777" w:rsidR="0092254A" w:rsidRPr="00576299" w:rsidRDefault="0092254A" w:rsidP="00BF0B72">
            <w:pPr>
              <w:pStyle w:val="TableText0"/>
              <w:jc w:val="center"/>
              <w:rPr>
                <w:b/>
                <w:bCs w:val="0"/>
              </w:rPr>
            </w:pPr>
            <w:r w:rsidRPr="00576299">
              <w:rPr>
                <w:b/>
                <w:bCs w:val="0"/>
              </w:rPr>
              <w:t>-</w:t>
            </w:r>
          </w:p>
        </w:tc>
      </w:tr>
      <w:tr w:rsidR="0092254A" w:rsidRPr="00576299" w14:paraId="2E143139" w14:textId="77777777" w:rsidTr="00C068F2">
        <w:tc>
          <w:tcPr>
            <w:tcW w:w="5000" w:type="pct"/>
            <w:gridSpan w:val="5"/>
            <w:shd w:val="clear" w:color="auto" w:fill="auto"/>
            <w:vAlign w:val="center"/>
          </w:tcPr>
          <w:p w14:paraId="2532EF54" w14:textId="77777777" w:rsidR="0092254A" w:rsidRPr="00576299" w:rsidRDefault="0092254A" w:rsidP="00BF0B72">
            <w:pPr>
              <w:pStyle w:val="TableText0"/>
            </w:pPr>
            <w:r w:rsidRPr="00576299">
              <w:t>Time horizon (base case 6 years)</w:t>
            </w:r>
          </w:p>
        </w:tc>
      </w:tr>
      <w:tr w:rsidR="0092254A" w:rsidRPr="00576299" w14:paraId="4B30E6C1" w14:textId="77777777" w:rsidTr="00B03F28">
        <w:tc>
          <w:tcPr>
            <w:tcW w:w="2434" w:type="pct"/>
            <w:shd w:val="clear" w:color="auto" w:fill="auto"/>
            <w:vAlign w:val="center"/>
          </w:tcPr>
          <w:p w14:paraId="57B12B07" w14:textId="77777777" w:rsidR="0092254A" w:rsidRPr="00576299" w:rsidRDefault="0092254A" w:rsidP="002029E5">
            <w:pPr>
              <w:pStyle w:val="TableText0"/>
              <w:numPr>
                <w:ilvl w:val="0"/>
                <w:numId w:val="6"/>
              </w:numPr>
              <w:ind w:hanging="196"/>
            </w:pPr>
            <w:r w:rsidRPr="00576299">
              <w:t>Within trial (27.6 months)</w:t>
            </w:r>
          </w:p>
        </w:tc>
        <w:tc>
          <w:tcPr>
            <w:tcW w:w="613" w:type="pct"/>
            <w:shd w:val="clear" w:color="auto" w:fill="auto"/>
            <w:vAlign w:val="center"/>
          </w:tcPr>
          <w:p w14:paraId="42CC84C8" w14:textId="6965271F" w:rsidR="0092254A" w:rsidRPr="00576299" w:rsidRDefault="0092254A" w:rsidP="00BF0B72">
            <w:pPr>
              <w:pStyle w:val="TableText0"/>
              <w:jc w:val="center"/>
            </w:pPr>
            <w:r w:rsidRPr="00576299">
              <w:t>$</w:t>
            </w:r>
            <w:r w:rsidR="00833009" w:rsidRPr="00833009">
              <w:rPr>
                <w:color w:val="000000"/>
                <w:spacing w:val="50"/>
                <w:shd w:val="solid" w:color="000000" w:fill="000000"/>
                <w:fitText w:val="323" w:id="-1304167933"/>
                <w14:textFill>
                  <w14:solidFill>
                    <w14:srgbClr w14:val="000000">
                      <w14:alpha w14:val="100000"/>
                    </w14:srgbClr>
                  </w14:solidFill>
                </w14:textFill>
              </w:rPr>
              <w:t>|||</w:t>
            </w:r>
            <w:r w:rsidR="00833009" w:rsidRPr="00833009">
              <w:rPr>
                <w:color w:val="000000"/>
                <w:spacing w:val="3"/>
                <w:shd w:val="solid" w:color="000000" w:fill="000000"/>
                <w:fitText w:val="323" w:id="-1304167933"/>
                <w14:textFill>
                  <w14:solidFill>
                    <w14:srgbClr w14:val="000000">
                      <w14:alpha w14:val="100000"/>
                    </w14:srgbClr>
                  </w14:solidFill>
                </w14:textFill>
              </w:rPr>
              <w:t>|</w:t>
            </w:r>
          </w:p>
        </w:tc>
        <w:tc>
          <w:tcPr>
            <w:tcW w:w="651" w:type="pct"/>
            <w:shd w:val="clear" w:color="auto" w:fill="auto"/>
            <w:vAlign w:val="center"/>
          </w:tcPr>
          <w:p w14:paraId="3B0ED34F" w14:textId="77777777" w:rsidR="0092254A" w:rsidRPr="00576299" w:rsidRDefault="0092254A" w:rsidP="00BF0B72">
            <w:pPr>
              <w:pStyle w:val="TableText0"/>
              <w:jc w:val="center"/>
            </w:pPr>
            <w:r w:rsidRPr="00576299">
              <w:t>0.4039</w:t>
            </w:r>
          </w:p>
        </w:tc>
        <w:tc>
          <w:tcPr>
            <w:tcW w:w="651" w:type="pct"/>
            <w:shd w:val="clear" w:color="auto" w:fill="auto"/>
            <w:vAlign w:val="center"/>
          </w:tcPr>
          <w:p w14:paraId="42CD51B2" w14:textId="46FC6659" w:rsidR="0092254A" w:rsidRPr="00576299" w:rsidRDefault="0092254A" w:rsidP="00BF0B72">
            <w:pPr>
              <w:pStyle w:val="TableText0"/>
              <w:jc w:val="center"/>
            </w:pPr>
            <w:r w:rsidRPr="00576299">
              <w:t>$</w:t>
            </w:r>
            <w:r w:rsidR="00833009" w:rsidRPr="00833009">
              <w:rPr>
                <w:color w:val="000000"/>
                <w:spacing w:val="54"/>
                <w:shd w:val="solid" w:color="000000" w:fill="000000"/>
                <w:fitText w:val="333" w:id="-1304167932"/>
                <w14:textFill>
                  <w14:solidFill>
                    <w14:srgbClr w14:val="000000">
                      <w14:alpha w14:val="100000"/>
                    </w14:srgbClr>
                  </w14:solidFill>
                </w14:textFill>
              </w:rPr>
              <w:t>|||</w:t>
            </w:r>
            <w:r w:rsidR="00833009" w:rsidRPr="00833009">
              <w:rPr>
                <w:color w:val="000000"/>
                <w:spacing w:val="1"/>
                <w:shd w:val="solid" w:color="000000" w:fill="000000"/>
                <w:fitText w:val="333" w:id="-1304167932"/>
                <w14:textFill>
                  <w14:solidFill>
                    <w14:srgbClr w14:val="000000">
                      <w14:alpha w14:val="100000"/>
                    </w14:srgbClr>
                  </w14:solidFill>
                </w14:textFill>
              </w:rPr>
              <w:t>|</w:t>
            </w:r>
            <w:r w:rsidR="0033224B">
              <w:rPr>
                <w:vertAlign w:val="superscript"/>
              </w:rPr>
              <w:t>2</w:t>
            </w:r>
          </w:p>
        </w:tc>
        <w:tc>
          <w:tcPr>
            <w:tcW w:w="651" w:type="pct"/>
            <w:shd w:val="clear" w:color="auto" w:fill="auto"/>
            <w:vAlign w:val="center"/>
          </w:tcPr>
          <w:p w14:paraId="59C3E4E4" w14:textId="77777777" w:rsidR="0092254A" w:rsidRPr="00576299" w:rsidRDefault="0092254A" w:rsidP="00BF0B72">
            <w:pPr>
              <w:pStyle w:val="TableText0"/>
              <w:jc w:val="center"/>
            </w:pPr>
            <w:r w:rsidRPr="00576299">
              <w:t>66.4%</w:t>
            </w:r>
          </w:p>
        </w:tc>
      </w:tr>
      <w:tr w:rsidR="0092254A" w:rsidRPr="00576299" w14:paraId="6BBA1DED" w14:textId="77777777" w:rsidTr="00B03F28">
        <w:tc>
          <w:tcPr>
            <w:tcW w:w="2434" w:type="pct"/>
            <w:shd w:val="clear" w:color="auto" w:fill="auto"/>
            <w:vAlign w:val="center"/>
          </w:tcPr>
          <w:p w14:paraId="2E11517B" w14:textId="77777777" w:rsidR="0092254A" w:rsidRPr="00576299" w:rsidRDefault="0092254A" w:rsidP="002029E5">
            <w:pPr>
              <w:pStyle w:val="TableText0"/>
              <w:numPr>
                <w:ilvl w:val="0"/>
                <w:numId w:val="6"/>
              </w:numPr>
              <w:ind w:hanging="196"/>
            </w:pPr>
            <w:r w:rsidRPr="00576299">
              <w:t>5 years</w:t>
            </w:r>
          </w:p>
        </w:tc>
        <w:tc>
          <w:tcPr>
            <w:tcW w:w="613" w:type="pct"/>
            <w:shd w:val="clear" w:color="auto" w:fill="auto"/>
            <w:vAlign w:val="center"/>
          </w:tcPr>
          <w:p w14:paraId="696FAD94" w14:textId="555D49A7" w:rsidR="0092254A" w:rsidRPr="00576299" w:rsidRDefault="0092254A" w:rsidP="00BF0B72">
            <w:pPr>
              <w:pStyle w:val="TableText0"/>
              <w:jc w:val="center"/>
            </w:pPr>
            <w:r w:rsidRPr="00576299">
              <w:t>$</w:t>
            </w:r>
            <w:r w:rsidR="00833009" w:rsidRPr="00833009">
              <w:rPr>
                <w:color w:val="000000"/>
                <w:spacing w:val="50"/>
                <w:shd w:val="solid" w:color="000000" w:fill="000000"/>
                <w:fitText w:val="323" w:id="-1304167931"/>
                <w14:textFill>
                  <w14:solidFill>
                    <w14:srgbClr w14:val="000000">
                      <w14:alpha w14:val="100000"/>
                    </w14:srgbClr>
                  </w14:solidFill>
                </w14:textFill>
              </w:rPr>
              <w:t>|||</w:t>
            </w:r>
            <w:r w:rsidR="00833009" w:rsidRPr="00833009">
              <w:rPr>
                <w:color w:val="000000"/>
                <w:spacing w:val="3"/>
                <w:shd w:val="solid" w:color="000000" w:fill="000000"/>
                <w:fitText w:val="323" w:id="-1304167931"/>
                <w14:textFill>
                  <w14:solidFill>
                    <w14:srgbClr w14:val="000000">
                      <w14:alpha w14:val="100000"/>
                    </w14:srgbClr>
                  </w14:solidFill>
                </w14:textFill>
              </w:rPr>
              <w:t>|</w:t>
            </w:r>
          </w:p>
        </w:tc>
        <w:tc>
          <w:tcPr>
            <w:tcW w:w="651" w:type="pct"/>
            <w:shd w:val="clear" w:color="auto" w:fill="auto"/>
            <w:vAlign w:val="center"/>
          </w:tcPr>
          <w:p w14:paraId="7C62F50F" w14:textId="77777777" w:rsidR="0092254A" w:rsidRPr="00576299" w:rsidRDefault="0092254A" w:rsidP="00BF0B72">
            <w:pPr>
              <w:pStyle w:val="TableText0"/>
              <w:jc w:val="center"/>
            </w:pPr>
            <w:r w:rsidRPr="00576299">
              <w:t>0.9266</w:t>
            </w:r>
          </w:p>
        </w:tc>
        <w:tc>
          <w:tcPr>
            <w:tcW w:w="651" w:type="pct"/>
            <w:shd w:val="clear" w:color="auto" w:fill="auto"/>
            <w:vAlign w:val="center"/>
          </w:tcPr>
          <w:p w14:paraId="7B6028AC" w14:textId="1B3826DC" w:rsidR="0092254A" w:rsidRPr="00576299" w:rsidRDefault="0092254A" w:rsidP="00BF0B72">
            <w:pPr>
              <w:pStyle w:val="TableText0"/>
              <w:jc w:val="center"/>
            </w:pPr>
            <w:r w:rsidRPr="00576299">
              <w:t>$</w:t>
            </w:r>
            <w:r w:rsidR="00833009" w:rsidRPr="00833009">
              <w:rPr>
                <w:color w:val="000000"/>
                <w:spacing w:val="54"/>
                <w:shd w:val="solid" w:color="000000" w:fill="000000"/>
                <w:fitText w:val="333" w:id="-1304167930"/>
                <w14:textFill>
                  <w14:solidFill>
                    <w14:srgbClr w14:val="000000">
                      <w14:alpha w14:val="100000"/>
                    </w14:srgbClr>
                  </w14:solidFill>
                </w14:textFill>
              </w:rPr>
              <w:t>|||</w:t>
            </w:r>
            <w:r w:rsidR="00833009" w:rsidRPr="00833009">
              <w:rPr>
                <w:color w:val="000000"/>
                <w:spacing w:val="1"/>
                <w:shd w:val="solid" w:color="000000" w:fill="000000"/>
                <w:fitText w:val="333" w:id="-1304167930"/>
                <w14:textFill>
                  <w14:solidFill>
                    <w14:srgbClr w14:val="000000">
                      <w14:alpha w14:val="100000"/>
                    </w14:srgbClr>
                  </w14:solidFill>
                </w14:textFill>
              </w:rPr>
              <w:t>|</w:t>
            </w:r>
            <w:r w:rsidR="0033224B">
              <w:rPr>
                <w:vertAlign w:val="superscript"/>
              </w:rPr>
              <w:t>1</w:t>
            </w:r>
          </w:p>
        </w:tc>
        <w:tc>
          <w:tcPr>
            <w:tcW w:w="651" w:type="pct"/>
            <w:shd w:val="clear" w:color="auto" w:fill="auto"/>
            <w:vAlign w:val="center"/>
          </w:tcPr>
          <w:p w14:paraId="330541CD" w14:textId="77777777" w:rsidR="0092254A" w:rsidRPr="00576299" w:rsidRDefault="0092254A" w:rsidP="00BF0B72">
            <w:pPr>
              <w:pStyle w:val="TableText0"/>
              <w:jc w:val="center"/>
            </w:pPr>
            <w:r w:rsidRPr="00576299">
              <w:t>12.8%</w:t>
            </w:r>
          </w:p>
        </w:tc>
      </w:tr>
      <w:tr w:rsidR="0092254A" w:rsidRPr="00576299" w14:paraId="7DD49A10" w14:textId="77777777" w:rsidTr="00B03F28">
        <w:tc>
          <w:tcPr>
            <w:tcW w:w="2434" w:type="pct"/>
            <w:shd w:val="clear" w:color="auto" w:fill="auto"/>
            <w:vAlign w:val="center"/>
          </w:tcPr>
          <w:p w14:paraId="27678EA0" w14:textId="77777777" w:rsidR="0092254A" w:rsidRPr="00576299" w:rsidRDefault="0092254A" w:rsidP="002029E5">
            <w:pPr>
              <w:pStyle w:val="TableText0"/>
              <w:numPr>
                <w:ilvl w:val="0"/>
                <w:numId w:val="6"/>
              </w:numPr>
              <w:ind w:hanging="196"/>
            </w:pPr>
            <w:r w:rsidRPr="00576299">
              <w:t>10 years</w:t>
            </w:r>
          </w:p>
        </w:tc>
        <w:tc>
          <w:tcPr>
            <w:tcW w:w="613" w:type="pct"/>
            <w:shd w:val="clear" w:color="auto" w:fill="auto"/>
            <w:vAlign w:val="center"/>
          </w:tcPr>
          <w:p w14:paraId="4AD744F3" w14:textId="51A2A809" w:rsidR="0092254A" w:rsidRPr="00576299" w:rsidRDefault="0092254A" w:rsidP="00BF0B72">
            <w:pPr>
              <w:pStyle w:val="TableText0"/>
              <w:jc w:val="center"/>
            </w:pPr>
            <w:r w:rsidRPr="00576299">
              <w:t>$</w:t>
            </w:r>
            <w:r w:rsidR="00833009" w:rsidRPr="00833009">
              <w:rPr>
                <w:color w:val="000000"/>
                <w:spacing w:val="50"/>
                <w:shd w:val="solid" w:color="000000" w:fill="000000"/>
                <w:fitText w:val="323" w:id="-1304167929"/>
                <w14:textFill>
                  <w14:solidFill>
                    <w14:srgbClr w14:val="000000">
                      <w14:alpha w14:val="100000"/>
                    </w14:srgbClr>
                  </w14:solidFill>
                </w14:textFill>
              </w:rPr>
              <w:t>|||</w:t>
            </w:r>
            <w:r w:rsidR="00833009" w:rsidRPr="00833009">
              <w:rPr>
                <w:color w:val="000000"/>
                <w:spacing w:val="3"/>
                <w:shd w:val="solid" w:color="000000" w:fill="000000"/>
                <w:fitText w:val="323" w:id="-1304167929"/>
                <w14:textFill>
                  <w14:solidFill>
                    <w14:srgbClr w14:val="000000">
                      <w14:alpha w14:val="100000"/>
                    </w14:srgbClr>
                  </w14:solidFill>
                </w14:textFill>
              </w:rPr>
              <w:t>|</w:t>
            </w:r>
          </w:p>
        </w:tc>
        <w:tc>
          <w:tcPr>
            <w:tcW w:w="651" w:type="pct"/>
            <w:shd w:val="clear" w:color="auto" w:fill="auto"/>
            <w:vAlign w:val="center"/>
          </w:tcPr>
          <w:p w14:paraId="3F7CFA4A" w14:textId="77777777" w:rsidR="0092254A" w:rsidRPr="00576299" w:rsidRDefault="0092254A" w:rsidP="00BF0B72">
            <w:pPr>
              <w:pStyle w:val="TableText0"/>
              <w:jc w:val="center"/>
            </w:pPr>
            <w:r w:rsidRPr="00576299">
              <w:t>1.4753</w:t>
            </w:r>
          </w:p>
        </w:tc>
        <w:tc>
          <w:tcPr>
            <w:tcW w:w="651" w:type="pct"/>
            <w:shd w:val="clear" w:color="auto" w:fill="auto"/>
            <w:vAlign w:val="center"/>
          </w:tcPr>
          <w:p w14:paraId="389AC4D2" w14:textId="3564FDA3" w:rsidR="0092254A" w:rsidRPr="00576299" w:rsidRDefault="0092254A" w:rsidP="00BF0B72">
            <w:pPr>
              <w:pStyle w:val="TableText0"/>
              <w:jc w:val="center"/>
            </w:pPr>
            <w:r w:rsidRPr="00576299">
              <w:t>$</w:t>
            </w:r>
            <w:r w:rsidR="00833009" w:rsidRPr="00833009">
              <w:rPr>
                <w:color w:val="000000"/>
                <w:spacing w:val="54"/>
                <w:shd w:val="solid" w:color="000000" w:fill="000000"/>
                <w:fitText w:val="333" w:id="-1304167928"/>
                <w14:textFill>
                  <w14:solidFill>
                    <w14:srgbClr w14:val="000000">
                      <w14:alpha w14:val="100000"/>
                    </w14:srgbClr>
                  </w14:solidFill>
                </w14:textFill>
              </w:rPr>
              <w:t>|||</w:t>
            </w:r>
            <w:r w:rsidR="00833009" w:rsidRPr="00833009">
              <w:rPr>
                <w:color w:val="000000"/>
                <w:spacing w:val="1"/>
                <w:shd w:val="solid" w:color="000000" w:fill="000000"/>
                <w:fitText w:val="333" w:id="-1304167928"/>
                <w14:textFill>
                  <w14:solidFill>
                    <w14:srgbClr w14:val="000000">
                      <w14:alpha w14:val="100000"/>
                    </w14:srgbClr>
                  </w14:solidFill>
                </w14:textFill>
              </w:rPr>
              <w:t>|</w:t>
            </w:r>
            <w:r w:rsidR="0033224B">
              <w:rPr>
                <w:vertAlign w:val="superscript"/>
              </w:rPr>
              <w:t>3</w:t>
            </w:r>
          </w:p>
        </w:tc>
        <w:tc>
          <w:tcPr>
            <w:tcW w:w="651" w:type="pct"/>
            <w:shd w:val="clear" w:color="auto" w:fill="auto"/>
            <w:vAlign w:val="center"/>
          </w:tcPr>
          <w:p w14:paraId="247D8142" w14:textId="77777777" w:rsidR="0092254A" w:rsidRPr="00576299" w:rsidRDefault="0092254A" w:rsidP="00BF0B72">
            <w:pPr>
              <w:pStyle w:val="TableText0"/>
              <w:jc w:val="center"/>
            </w:pPr>
            <w:r w:rsidRPr="00576299">
              <w:t>-30.3%</w:t>
            </w:r>
          </w:p>
        </w:tc>
      </w:tr>
      <w:tr w:rsidR="0092254A" w:rsidRPr="00576299" w14:paraId="165CD65D" w14:textId="77777777" w:rsidTr="00C068F2">
        <w:tc>
          <w:tcPr>
            <w:tcW w:w="5000" w:type="pct"/>
            <w:gridSpan w:val="5"/>
            <w:shd w:val="clear" w:color="auto" w:fill="auto"/>
            <w:vAlign w:val="center"/>
          </w:tcPr>
          <w:p w14:paraId="36953D48" w14:textId="77777777" w:rsidR="0092254A" w:rsidRPr="00576299" w:rsidRDefault="0092254A" w:rsidP="00BF0B72">
            <w:pPr>
              <w:pStyle w:val="TableText0"/>
            </w:pPr>
            <w:r w:rsidRPr="00576299">
              <w:t>Utility values (base case PF=0.718; PD=0.696)</w:t>
            </w:r>
          </w:p>
        </w:tc>
      </w:tr>
      <w:tr w:rsidR="0092254A" w:rsidRPr="00576299" w14:paraId="4D800D0A" w14:textId="77777777" w:rsidTr="00B03F28">
        <w:tc>
          <w:tcPr>
            <w:tcW w:w="2434" w:type="pct"/>
            <w:shd w:val="clear" w:color="auto" w:fill="auto"/>
            <w:vAlign w:val="center"/>
          </w:tcPr>
          <w:p w14:paraId="02987426" w14:textId="77777777" w:rsidR="0092254A" w:rsidRPr="00576299" w:rsidRDefault="0092254A" w:rsidP="002029E5">
            <w:pPr>
              <w:pStyle w:val="TableText0"/>
              <w:numPr>
                <w:ilvl w:val="0"/>
                <w:numId w:val="6"/>
              </w:numPr>
              <w:ind w:hanging="196"/>
            </w:pPr>
            <w:r w:rsidRPr="00576299">
              <w:t>GARNET Cohort A1 IA2 DC regression (PF=0.726; PD=0.684)</w:t>
            </w:r>
          </w:p>
        </w:tc>
        <w:tc>
          <w:tcPr>
            <w:tcW w:w="613" w:type="pct"/>
            <w:shd w:val="clear" w:color="auto" w:fill="auto"/>
            <w:vAlign w:val="center"/>
          </w:tcPr>
          <w:p w14:paraId="2DAC786C" w14:textId="7982C3B3" w:rsidR="0092254A" w:rsidRPr="00576299" w:rsidRDefault="0092254A" w:rsidP="00BF0B72">
            <w:pPr>
              <w:pStyle w:val="TableText0"/>
              <w:jc w:val="center"/>
            </w:pPr>
            <w:r w:rsidRPr="00576299">
              <w:t>$</w:t>
            </w:r>
            <w:r w:rsidR="00833009" w:rsidRPr="00833009">
              <w:rPr>
                <w:color w:val="000000"/>
                <w:spacing w:val="50"/>
                <w:shd w:val="solid" w:color="000000" w:fill="000000"/>
                <w:fitText w:val="323" w:id="-1304167927"/>
                <w14:textFill>
                  <w14:solidFill>
                    <w14:srgbClr w14:val="000000">
                      <w14:alpha w14:val="100000"/>
                    </w14:srgbClr>
                  </w14:solidFill>
                </w14:textFill>
              </w:rPr>
              <w:t>|||</w:t>
            </w:r>
            <w:r w:rsidR="00833009" w:rsidRPr="00833009">
              <w:rPr>
                <w:color w:val="000000"/>
                <w:spacing w:val="3"/>
                <w:shd w:val="solid" w:color="000000" w:fill="000000"/>
                <w:fitText w:val="323" w:id="-1304167927"/>
                <w14:textFill>
                  <w14:solidFill>
                    <w14:srgbClr w14:val="000000">
                      <w14:alpha w14:val="100000"/>
                    </w14:srgbClr>
                  </w14:solidFill>
                </w14:textFill>
              </w:rPr>
              <w:t>|</w:t>
            </w:r>
          </w:p>
        </w:tc>
        <w:tc>
          <w:tcPr>
            <w:tcW w:w="651" w:type="pct"/>
            <w:shd w:val="clear" w:color="auto" w:fill="auto"/>
            <w:vAlign w:val="center"/>
          </w:tcPr>
          <w:p w14:paraId="4C949DEE" w14:textId="77777777" w:rsidR="0092254A" w:rsidRPr="00576299" w:rsidRDefault="0092254A" w:rsidP="00BF0B72">
            <w:pPr>
              <w:pStyle w:val="TableText0"/>
              <w:jc w:val="center"/>
            </w:pPr>
            <w:r w:rsidRPr="00576299">
              <w:t>1.0515</w:t>
            </w:r>
          </w:p>
        </w:tc>
        <w:tc>
          <w:tcPr>
            <w:tcW w:w="651" w:type="pct"/>
            <w:shd w:val="clear" w:color="auto" w:fill="auto"/>
            <w:vAlign w:val="center"/>
          </w:tcPr>
          <w:p w14:paraId="7C7B8401" w14:textId="041FF35C" w:rsidR="0092254A" w:rsidRPr="00576299" w:rsidRDefault="0092254A" w:rsidP="00BF0B72">
            <w:pPr>
              <w:pStyle w:val="TableText0"/>
              <w:jc w:val="center"/>
            </w:pPr>
            <w:r w:rsidRPr="00576299">
              <w:t>$</w:t>
            </w:r>
            <w:r w:rsidR="00833009" w:rsidRPr="00833009">
              <w:rPr>
                <w:color w:val="000000"/>
                <w:spacing w:val="54"/>
                <w:shd w:val="solid" w:color="000000" w:fill="000000"/>
                <w:fitText w:val="333" w:id="-1304167926"/>
                <w14:textFill>
                  <w14:solidFill>
                    <w14:srgbClr w14:val="000000">
                      <w14:alpha w14:val="100000"/>
                    </w14:srgbClr>
                  </w14:solidFill>
                </w14:textFill>
              </w:rPr>
              <w:t>|||</w:t>
            </w:r>
            <w:r w:rsidR="00833009" w:rsidRPr="00833009">
              <w:rPr>
                <w:color w:val="000000"/>
                <w:spacing w:val="1"/>
                <w:shd w:val="solid" w:color="000000" w:fill="000000"/>
                <w:fitText w:val="333" w:id="-1304167926"/>
                <w14:textFill>
                  <w14:solidFill>
                    <w14:srgbClr w14:val="000000">
                      <w14:alpha w14:val="100000"/>
                    </w14:srgbClr>
                  </w14:solidFill>
                </w14:textFill>
              </w:rPr>
              <w:t>|</w:t>
            </w:r>
            <w:r w:rsidR="0033224B">
              <w:rPr>
                <w:vertAlign w:val="superscript"/>
              </w:rPr>
              <w:t>1</w:t>
            </w:r>
          </w:p>
        </w:tc>
        <w:tc>
          <w:tcPr>
            <w:tcW w:w="651" w:type="pct"/>
            <w:shd w:val="clear" w:color="auto" w:fill="auto"/>
            <w:vAlign w:val="center"/>
          </w:tcPr>
          <w:p w14:paraId="298424AF" w14:textId="77777777" w:rsidR="0092254A" w:rsidRPr="00576299" w:rsidRDefault="0092254A" w:rsidP="00BF0B72">
            <w:pPr>
              <w:pStyle w:val="TableText0"/>
              <w:jc w:val="center"/>
            </w:pPr>
            <w:r w:rsidRPr="00576299">
              <w:t>-0.9%</w:t>
            </w:r>
          </w:p>
        </w:tc>
      </w:tr>
      <w:tr w:rsidR="0092254A" w:rsidRPr="00576299" w14:paraId="12E6CB62" w14:textId="77777777" w:rsidTr="00B03F28">
        <w:tc>
          <w:tcPr>
            <w:tcW w:w="2434" w:type="pct"/>
            <w:shd w:val="clear" w:color="auto" w:fill="auto"/>
            <w:vAlign w:val="center"/>
          </w:tcPr>
          <w:p w14:paraId="44810CB4" w14:textId="77777777" w:rsidR="0092254A" w:rsidRPr="00576299" w:rsidRDefault="0092254A" w:rsidP="002029E5">
            <w:pPr>
              <w:pStyle w:val="TableText0"/>
              <w:numPr>
                <w:ilvl w:val="0"/>
                <w:numId w:val="6"/>
              </w:numPr>
              <w:ind w:hanging="196"/>
            </w:pPr>
            <w:r w:rsidRPr="00576299">
              <w:t>Thurgar 2021 (PF=0.817; PD=0.779)</w:t>
            </w:r>
          </w:p>
        </w:tc>
        <w:tc>
          <w:tcPr>
            <w:tcW w:w="613" w:type="pct"/>
            <w:shd w:val="clear" w:color="auto" w:fill="auto"/>
            <w:vAlign w:val="center"/>
          </w:tcPr>
          <w:p w14:paraId="25D12797" w14:textId="0932DE50" w:rsidR="0092254A" w:rsidRPr="00576299" w:rsidRDefault="0092254A" w:rsidP="00BF0B72">
            <w:pPr>
              <w:pStyle w:val="TableText0"/>
              <w:jc w:val="center"/>
            </w:pPr>
            <w:r w:rsidRPr="00576299">
              <w:t>$</w:t>
            </w:r>
            <w:r w:rsidR="00833009" w:rsidRPr="00833009">
              <w:rPr>
                <w:color w:val="000000"/>
                <w:spacing w:val="50"/>
                <w:shd w:val="solid" w:color="000000" w:fill="000000"/>
                <w:fitText w:val="323" w:id="-1304167925"/>
                <w14:textFill>
                  <w14:solidFill>
                    <w14:srgbClr w14:val="000000">
                      <w14:alpha w14:val="100000"/>
                    </w14:srgbClr>
                  </w14:solidFill>
                </w14:textFill>
              </w:rPr>
              <w:t>|||</w:t>
            </w:r>
            <w:r w:rsidR="00833009" w:rsidRPr="00833009">
              <w:rPr>
                <w:color w:val="000000"/>
                <w:spacing w:val="3"/>
                <w:shd w:val="solid" w:color="000000" w:fill="000000"/>
                <w:fitText w:val="323" w:id="-1304167925"/>
                <w14:textFill>
                  <w14:solidFill>
                    <w14:srgbClr w14:val="000000">
                      <w14:alpha w14:val="100000"/>
                    </w14:srgbClr>
                  </w14:solidFill>
                </w14:textFill>
              </w:rPr>
              <w:t>|</w:t>
            </w:r>
          </w:p>
        </w:tc>
        <w:tc>
          <w:tcPr>
            <w:tcW w:w="651" w:type="pct"/>
            <w:shd w:val="clear" w:color="auto" w:fill="auto"/>
            <w:vAlign w:val="center"/>
          </w:tcPr>
          <w:p w14:paraId="63E8894B" w14:textId="77777777" w:rsidR="0092254A" w:rsidRPr="00576299" w:rsidRDefault="0092254A" w:rsidP="00BF0B72">
            <w:pPr>
              <w:pStyle w:val="TableText0"/>
              <w:jc w:val="center"/>
            </w:pPr>
            <w:r w:rsidRPr="00576299">
              <w:t>1.1843</w:t>
            </w:r>
          </w:p>
        </w:tc>
        <w:tc>
          <w:tcPr>
            <w:tcW w:w="651" w:type="pct"/>
            <w:shd w:val="clear" w:color="auto" w:fill="auto"/>
            <w:vAlign w:val="center"/>
          </w:tcPr>
          <w:p w14:paraId="6AE80059" w14:textId="1D67F1C8" w:rsidR="0092254A" w:rsidRPr="00576299" w:rsidRDefault="0092254A" w:rsidP="00BF0B72">
            <w:pPr>
              <w:pStyle w:val="TableText0"/>
              <w:jc w:val="center"/>
            </w:pPr>
            <w:r w:rsidRPr="00576299">
              <w:t>$</w:t>
            </w:r>
            <w:r w:rsidR="00833009" w:rsidRPr="00833009">
              <w:rPr>
                <w:color w:val="000000"/>
                <w:spacing w:val="54"/>
                <w:shd w:val="solid" w:color="000000" w:fill="000000"/>
                <w:fitText w:val="333" w:id="-1304167924"/>
                <w14:textFill>
                  <w14:solidFill>
                    <w14:srgbClr w14:val="000000">
                      <w14:alpha w14:val="100000"/>
                    </w14:srgbClr>
                  </w14:solidFill>
                </w14:textFill>
              </w:rPr>
              <w:t>|||</w:t>
            </w:r>
            <w:r w:rsidR="00833009" w:rsidRPr="00833009">
              <w:rPr>
                <w:color w:val="000000"/>
                <w:spacing w:val="1"/>
                <w:shd w:val="solid" w:color="000000" w:fill="000000"/>
                <w:fitText w:val="333" w:id="-1304167924"/>
                <w14:textFill>
                  <w14:solidFill>
                    <w14:srgbClr w14:val="000000">
                      <w14:alpha w14:val="100000"/>
                    </w14:srgbClr>
                  </w14:solidFill>
                </w14:textFill>
              </w:rPr>
              <w:t>|</w:t>
            </w:r>
            <w:r w:rsidR="0033224B">
              <w:rPr>
                <w:vertAlign w:val="superscript"/>
              </w:rPr>
              <w:t>4</w:t>
            </w:r>
          </w:p>
        </w:tc>
        <w:tc>
          <w:tcPr>
            <w:tcW w:w="651" w:type="pct"/>
            <w:shd w:val="clear" w:color="auto" w:fill="auto"/>
            <w:vAlign w:val="center"/>
          </w:tcPr>
          <w:p w14:paraId="61624B12" w14:textId="77777777" w:rsidR="0092254A" w:rsidRPr="00576299" w:rsidRDefault="0092254A" w:rsidP="00BF0B72">
            <w:pPr>
              <w:pStyle w:val="TableText0"/>
              <w:jc w:val="center"/>
            </w:pPr>
            <w:r w:rsidRPr="00576299">
              <w:t>-12.0%</w:t>
            </w:r>
          </w:p>
        </w:tc>
      </w:tr>
      <w:tr w:rsidR="0092254A" w:rsidRPr="00576299" w14:paraId="7F00B4B7" w14:textId="77777777" w:rsidTr="00B03F28">
        <w:tc>
          <w:tcPr>
            <w:tcW w:w="2434" w:type="pct"/>
            <w:shd w:val="clear" w:color="auto" w:fill="auto"/>
            <w:vAlign w:val="center"/>
          </w:tcPr>
          <w:p w14:paraId="3B1519E9" w14:textId="77777777" w:rsidR="0092254A" w:rsidRPr="00576299" w:rsidRDefault="0092254A" w:rsidP="002029E5">
            <w:pPr>
              <w:pStyle w:val="TableText0"/>
              <w:numPr>
                <w:ilvl w:val="0"/>
                <w:numId w:val="6"/>
              </w:numPr>
              <w:ind w:hanging="196"/>
            </w:pPr>
            <w:r w:rsidRPr="00576299">
              <w:t>KEYNOTE-775 ITT (PF=0.736; PD=0.700)</w:t>
            </w:r>
          </w:p>
        </w:tc>
        <w:tc>
          <w:tcPr>
            <w:tcW w:w="613" w:type="pct"/>
            <w:shd w:val="clear" w:color="auto" w:fill="auto"/>
            <w:vAlign w:val="center"/>
          </w:tcPr>
          <w:p w14:paraId="338FD909" w14:textId="7FDF5D8C" w:rsidR="0092254A" w:rsidRPr="00576299" w:rsidRDefault="0092254A" w:rsidP="00BF0B72">
            <w:pPr>
              <w:pStyle w:val="TableText0"/>
              <w:jc w:val="center"/>
            </w:pPr>
            <w:r w:rsidRPr="00576299">
              <w:t>$</w:t>
            </w:r>
            <w:r w:rsidR="00833009" w:rsidRPr="00833009">
              <w:rPr>
                <w:color w:val="000000"/>
                <w:spacing w:val="50"/>
                <w:shd w:val="solid" w:color="000000" w:fill="000000"/>
                <w:fitText w:val="323" w:id="-1304167923"/>
                <w14:textFill>
                  <w14:solidFill>
                    <w14:srgbClr w14:val="000000">
                      <w14:alpha w14:val="100000"/>
                    </w14:srgbClr>
                  </w14:solidFill>
                </w14:textFill>
              </w:rPr>
              <w:t>|||</w:t>
            </w:r>
            <w:r w:rsidR="00833009" w:rsidRPr="00833009">
              <w:rPr>
                <w:color w:val="000000"/>
                <w:spacing w:val="3"/>
                <w:shd w:val="solid" w:color="000000" w:fill="000000"/>
                <w:fitText w:val="323" w:id="-1304167923"/>
                <w14:textFill>
                  <w14:solidFill>
                    <w14:srgbClr w14:val="000000">
                      <w14:alpha w14:val="100000"/>
                    </w14:srgbClr>
                  </w14:solidFill>
                </w14:textFill>
              </w:rPr>
              <w:t>|</w:t>
            </w:r>
          </w:p>
        </w:tc>
        <w:tc>
          <w:tcPr>
            <w:tcW w:w="651" w:type="pct"/>
            <w:shd w:val="clear" w:color="auto" w:fill="auto"/>
          </w:tcPr>
          <w:p w14:paraId="3085FC7F" w14:textId="77777777" w:rsidR="0092254A" w:rsidRPr="00576299" w:rsidRDefault="0092254A" w:rsidP="00BF0B72">
            <w:pPr>
              <w:pStyle w:val="TableText0"/>
              <w:jc w:val="center"/>
            </w:pPr>
            <w:r w:rsidRPr="00576299">
              <w:t>1.0667</w:t>
            </w:r>
          </w:p>
        </w:tc>
        <w:tc>
          <w:tcPr>
            <w:tcW w:w="651" w:type="pct"/>
            <w:shd w:val="clear" w:color="auto" w:fill="auto"/>
          </w:tcPr>
          <w:p w14:paraId="1F345FE4" w14:textId="3030BB5E" w:rsidR="0092254A" w:rsidRPr="00576299" w:rsidRDefault="0092254A" w:rsidP="00BF0B72">
            <w:pPr>
              <w:pStyle w:val="TableText0"/>
              <w:jc w:val="center"/>
            </w:pPr>
            <w:r w:rsidRPr="00576299">
              <w:t>$</w:t>
            </w:r>
            <w:r w:rsidR="00833009" w:rsidRPr="00833009">
              <w:rPr>
                <w:color w:val="000000"/>
                <w:spacing w:val="54"/>
                <w:shd w:val="solid" w:color="000000" w:fill="000000"/>
                <w:fitText w:val="333" w:id="-1304167922"/>
                <w14:textFill>
                  <w14:solidFill>
                    <w14:srgbClr w14:val="000000">
                      <w14:alpha w14:val="100000"/>
                    </w14:srgbClr>
                  </w14:solidFill>
                </w14:textFill>
              </w:rPr>
              <w:t>|||</w:t>
            </w:r>
            <w:r w:rsidR="00833009" w:rsidRPr="00833009">
              <w:rPr>
                <w:color w:val="000000"/>
                <w:spacing w:val="1"/>
                <w:shd w:val="solid" w:color="000000" w:fill="000000"/>
                <w:fitText w:val="333" w:id="-1304167922"/>
                <w14:textFill>
                  <w14:solidFill>
                    <w14:srgbClr w14:val="000000">
                      <w14:alpha w14:val="100000"/>
                    </w14:srgbClr>
                  </w14:solidFill>
                </w14:textFill>
              </w:rPr>
              <w:t>|</w:t>
            </w:r>
            <w:r w:rsidR="0033224B">
              <w:rPr>
                <w:vertAlign w:val="superscript"/>
              </w:rPr>
              <w:t>1</w:t>
            </w:r>
          </w:p>
        </w:tc>
        <w:tc>
          <w:tcPr>
            <w:tcW w:w="651" w:type="pct"/>
            <w:shd w:val="clear" w:color="auto" w:fill="auto"/>
          </w:tcPr>
          <w:p w14:paraId="374F79CE" w14:textId="77777777" w:rsidR="0092254A" w:rsidRPr="00576299" w:rsidRDefault="0092254A" w:rsidP="00BF0B72">
            <w:pPr>
              <w:pStyle w:val="TableText0"/>
              <w:jc w:val="center"/>
            </w:pPr>
            <w:r w:rsidRPr="00576299">
              <w:t>-2.3%</w:t>
            </w:r>
          </w:p>
        </w:tc>
      </w:tr>
      <w:tr w:rsidR="00A35AAA" w:rsidRPr="00576299" w14:paraId="5AA05FC2" w14:textId="77777777" w:rsidTr="00644BAE">
        <w:tc>
          <w:tcPr>
            <w:tcW w:w="5000" w:type="pct"/>
            <w:gridSpan w:val="5"/>
            <w:shd w:val="clear" w:color="auto" w:fill="auto"/>
            <w:vAlign w:val="center"/>
          </w:tcPr>
          <w:p w14:paraId="0A397DEB" w14:textId="77777777" w:rsidR="00A35AAA" w:rsidRPr="00576299" w:rsidRDefault="00A35AAA" w:rsidP="00644BAE">
            <w:pPr>
              <w:pStyle w:val="TableText0"/>
            </w:pPr>
            <w:r w:rsidRPr="00576299">
              <w:t>Discount rate (base case 5%)</w:t>
            </w:r>
          </w:p>
        </w:tc>
      </w:tr>
      <w:tr w:rsidR="00A35AAA" w:rsidRPr="00576299" w14:paraId="373BE112" w14:textId="77777777" w:rsidTr="00644BAE">
        <w:tc>
          <w:tcPr>
            <w:tcW w:w="2434" w:type="pct"/>
            <w:shd w:val="clear" w:color="auto" w:fill="auto"/>
            <w:vAlign w:val="center"/>
          </w:tcPr>
          <w:p w14:paraId="558688F1" w14:textId="77777777" w:rsidR="00A35AAA" w:rsidRPr="00576299" w:rsidRDefault="00A35AAA" w:rsidP="002029E5">
            <w:pPr>
              <w:pStyle w:val="TableText0"/>
              <w:numPr>
                <w:ilvl w:val="0"/>
                <w:numId w:val="6"/>
              </w:numPr>
              <w:ind w:hanging="196"/>
            </w:pPr>
            <w:r w:rsidRPr="00576299">
              <w:t>3.5%</w:t>
            </w:r>
          </w:p>
        </w:tc>
        <w:tc>
          <w:tcPr>
            <w:tcW w:w="613" w:type="pct"/>
            <w:shd w:val="clear" w:color="auto" w:fill="auto"/>
            <w:vAlign w:val="center"/>
          </w:tcPr>
          <w:p w14:paraId="25405BDF" w14:textId="67091D34" w:rsidR="00A35AAA" w:rsidRPr="00576299" w:rsidRDefault="00A35AAA" w:rsidP="00644BAE">
            <w:pPr>
              <w:pStyle w:val="TableText0"/>
              <w:jc w:val="center"/>
            </w:pPr>
            <w:r w:rsidRPr="00576299">
              <w:t>$</w:t>
            </w:r>
            <w:r w:rsidR="00833009" w:rsidRPr="00833009">
              <w:rPr>
                <w:color w:val="000000"/>
                <w:spacing w:val="50"/>
                <w:shd w:val="solid" w:color="000000" w:fill="000000"/>
                <w:fitText w:val="323" w:id="-1304167921"/>
                <w14:textFill>
                  <w14:solidFill>
                    <w14:srgbClr w14:val="000000">
                      <w14:alpha w14:val="100000"/>
                    </w14:srgbClr>
                  </w14:solidFill>
                </w14:textFill>
              </w:rPr>
              <w:t>|||</w:t>
            </w:r>
            <w:r w:rsidR="00833009" w:rsidRPr="00833009">
              <w:rPr>
                <w:color w:val="000000"/>
                <w:spacing w:val="3"/>
                <w:shd w:val="solid" w:color="000000" w:fill="000000"/>
                <w:fitText w:val="323" w:id="-1304167921"/>
                <w14:textFill>
                  <w14:solidFill>
                    <w14:srgbClr w14:val="000000">
                      <w14:alpha w14:val="100000"/>
                    </w14:srgbClr>
                  </w14:solidFill>
                </w14:textFill>
              </w:rPr>
              <w:t>|</w:t>
            </w:r>
          </w:p>
        </w:tc>
        <w:tc>
          <w:tcPr>
            <w:tcW w:w="651" w:type="pct"/>
            <w:shd w:val="clear" w:color="auto" w:fill="auto"/>
            <w:vAlign w:val="center"/>
          </w:tcPr>
          <w:p w14:paraId="31113714" w14:textId="77777777" w:rsidR="00A35AAA" w:rsidRPr="00576299" w:rsidRDefault="00A35AAA" w:rsidP="00644BAE">
            <w:pPr>
              <w:pStyle w:val="TableText0"/>
              <w:jc w:val="center"/>
            </w:pPr>
            <w:r w:rsidRPr="00576299">
              <w:t>1.0771</w:t>
            </w:r>
          </w:p>
        </w:tc>
        <w:tc>
          <w:tcPr>
            <w:tcW w:w="651" w:type="pct"/>
            <w:shd w:val="clear" w:color="auto" w:fill="auto"/>
            <w:vAlign w:val="center"/>
          </w:tcPr>
          <w:p w14:paraId="7C7AD586" w14:textId="53ED1537" w:rsidR="00A35AAA" w:rsidRPr="00576299" w:rsidRDefault="00A35AAA" w:rsidP="00644BAE">
            <w:pPr>
              <w:pStyle w:val="TableText0"/>
              <w:jc w:val="center"/>
            </w:pPr>
            <w:r w:rsidRPr="00576299">
              <w:t>$</w:t>
            </w:r>
            <w:r w:rsidR="00833009" w:rsidRPr="00833009">
              <w:rPr>
                <w:color w:val="000000"/>
                <w:spacing w:val="54"/>
                <w:shd w:val="solid" w:color="000000" w:fill="000000"/>
                <w:fitText w:val="333" w:id="-1304167920"/>
                <w14:textFill>
                  <w14:solidFill>
                    <w14:srgbClr w14:val="000000">
                      <w14:alpha w14:val="100000"/>
                    </w14:srgbClr>
                  </w14:solidFill>
                </w14:textFill>
              </w:rPr>
              <w:t>|||</w:t>
            </w:r>
            <w:r w:rsidR="00833009" w:rsidRPr="00833009">
              <w:rPr>
                <w:color w:val="000000"/>
                <w:spacing w:val="1"/>
                <w:shd w:val="solid" w:color="000000" w:fill="000000"/>
                <w:fitText w:val="333" w:id="-1304167920"/>
                <w14:textFill>
                  <w14:solidFill>
                    <w14:srgbClr w14:val="000000">
                      <w14:alpha w14:val="100000"/>
                    </w14:srgbClr>
                  </w14:solidFill>
                </w14:textFill>
              </w:rPr>
              <w:t>|</w:t>
            </w:r>
            <w:r w:rsidR="0033224B">
              <w:rPr>
                <w:vertAlign w:val="superscript"/>
              </w:rPr>
              <w:t>1</w:t>
            </w:r>
          </w:p>
        </w:tc>
        <w:tc>
          <w:tcPr>
            <w:tcW w:w="651" w:type="pct"/>
            <w:shd w:val="clear" w:color="auto" w:fill="auto"/>
            <w:vAlign w:val="center"/>
          </w:tcPr>
          <w:p w14:paraId="0F5E7F07" w14:textId="77777777" w:rsidR="00A35AAA" w:rsidRPr="00576299" w:rsidRDefault="00A35AAA" w:rsidP="00644BAE">
            <w:pPr>
              <w:pStyle w:val="TableText0"/>
              <w:jc w:val="center"/>
            </w:pPr>
            <w:r w:rsidRPr="00576299">
              <w:t>-0.7%</w:t>
            </w:r>
          </w:p>
        </w:tc>
      </w:tr>
      <w:tr w:rsidR="00A35AAA" w:rsidRPr="00576299" w14:paraId="269DBFB8" w14:textId="77777777" w:rsidTr="00644BAE">
        <w:tc>
          <w:tcPr>
            <w:tcW w:w="2434" w:type="pct"/>
            <w:tcBorders>
              <w:bottom w:val="single" w:sz="4" w:space="0" w:color="000000" w:themeColor="text1"/>
            </w:tcBorders>
            <w:shd w:val="clear" w:color="auto" w:fill="auto"/>
            <w:vAlign w:val="center"/>
          </w:tcPr>
          <w:p w14:paraId="0F364BDB" w14:textId="77777777" w:rsidR="00A35AAA" w:rsidRPr="00576299" w:rsidRDefault="00A35AAA" w:rsidP="002029E5">
            <w:pPr>
              <w:pStyle w:val="TableText0"/>
              <w:numPr>
                <w:ilvl w:val="0"/>
                <w:numId w:val="6"/>
              </w:numPr>
              <w:ind w:hanging="196"/>
            </w:pPr>
            <w:r w:rsidRPr="00576299">
              <w:t>0%</w:t>
            </w:r>
          </w:p>
        </w:tc>
        <w:tc>
          <w:tcPr>
            <w:tcW w:w="613" w:type="pct"/>
            <w:tcBorders>
              <w:bottom w:val="single" w:sz="4" w:space="0" w:color="000000" w:themeColor="text1"/>
            </w:tcBorders>
            <w:shd w:val="clear" w:color="auto" w:fill="auto"/>
            <w:vAlign w:val="center"/>
          </w:tcPr>
          <w:p w14:paraId="3108BBA5" w14:textId="3A4CA746" w:rsidR="00A35AAA" w:rsidRPr="00576299" w:rsidRDefault="00A35AAA" w:rsidP="00644BAE">
            <w:pPr>
              <w:pStyle w:val="TableText0"/>
              <w:jc w:val="center"/>
            </w:pPr>
            <w:r w:rsidRPr="00576299">
              <w:t>$</w:t>
            </w:r>
            <w:r w:rsidR="00833009" w:rsidRPr="00833009">
              <w:rPr>
                <w:color w:val="000000"/>
                <w:spacing w:val="50"/>
                <w:shd w:val="solid" w:color="000000" w:fill="000000"/>
                <w:fitText w:val="323" w:id="-1304167936"/>
                <w14:textFill>
                  <w14:solidFill>
                    <w14:srgbClr w14:val="000000">
                      <w14:alpha w14:val="100000"/>
                    </w14:srgbClr>
                  </w14:solidFill>
                </w14:textFill>
              </w:rPr>
              <w:t>|||</w:t>
            </w:r>
            <w:r w:rsidR="00833009" w:rsidRPr="00833009">
              <w:rPr>
                <w:color w:val="000000"/>
                <w:spacing w:val="3"/>
                <w:shd w:val="solid" w:color="000000" w:fill="000000"/>
                <w:fitText w:val="323" w:id="-1304167936"/>
                <w14:textFill>
                  <w14:solidFill>
                    <w14:srgbClr w14:val="000000">
                      <w14:alpha w14:val="100000"/>
                    </w14:srgbClr>
                  </w14:solidFill>
                </w14:textFill>
              </w:rPr>
              <w:t>|</w:t>
            </w:r>
          </w:p>
        </w:tc>
        <w:tc>
          <w:tcPr>
            <w:tcW w:w="651" w:type="pct"/>
            <w:tcBorders>
              <w:bottom w:val="single" w:sz="4" w:space="0" w:color="000000" w:themeColor="text1"/>
            </w:tcBorders>
            <w:shd w:val="clear" w:color="auto" w:fill="auto"/>
            <w:vAlign w:val="center"/>
          </w:tcPr>
          <w:p w14:paraId="37136D6D" w14:textId="77777777" w:rsidR="00A35AAA" w:rsidRPr="00576299" w:rsidRDefault="00A35AAA" w:rsidP="00644BAE">
            <w:pPr>
              <w:pStyle w:val="TableText0"/>
              <w:jc w:val="center"/>
            </w:pPr>
            <w:r w:rsidRPr="00576299">
              <w:t>1.1674</w:t>
            </w:r>
          </w:p>
        </w:tc>
        <w:tc>
          <w:tcPr>
            <w:tcW w:w="651" w:type="pct"/>
            <w:tcBorders>
              <w:bottom w:val="single" w:sz="4" w:space="0" w:color="000000" w:themeColor="text1"/>
            </w:tcBorders>
            <w:shd w:val="clear" w:color="auto" w:fill="auto"/>
            <w:vAlign w:val="center"/>
          </w:tcPr>
          <w:p w14:paraId="7F59C92F" w14:textId="355D3827" w:rsidR="00A35AAA" w:rsidRPr="00576299" w:rsidRDefault="00A35AAA" w:rsidP="00644BAE">
            <w:pPr>
              <w:pStyle w:val="TableText0"/>
              <w:jc w:val="center"/>
            </w:pPr>
            <w:r w:rsidRPr="00576299">
              <w:t>$</w:t>
            </w:r>
            <w:r w:rsidR="00833009" w:rsidRPr="00833009">
              <w:rPr>
                <w:color w:val="000000"/>
                <w:spacing w:val="54"/>
                <w:shd w:val="solid" w:color="000000" w:fill="000000"/>
                <w:fitText w:val="333" w:id="-1304167935"/>
                <w14:textFill>
                  <w14:solidFill>
                    <w14:srgbClr w14:val="000000">
                      <w14:alpha w14:val="100000"/>
                    </w14:srgbClr>
                  </w14:solidFill>
                </w14:textFill>
              </w:rPr>
              <w:t>|||</w:t>
            </w:r>
            <w:r w:rsidR="00833009" w:rsidRPr="00833009">
              <w:rPr>
                <w:color w:val="000000"/>
                <w:spacing w:val="1"/>
                <w:shd w:val="solid" w:color="000000" w:fill="000000"/>
                <w:fitText w:val="333" w:id="-1304167935"/>
                <w14:textFill>
                  <w14:solidFill>
                    <w14:srgbClr w14:val="000000">
                      <w14:alpha w14:val="100000"/>
                    </w14:srgbClr>
                  </w14:solidFill>
                </w14:textFill>
              </w:rPr>
              <w:t>|</w:t>
            </w:r>
            <w:r w:rsidR="0033224B">
              <w:rPr>
                <w:vertAlign w:val="superscript"/>
              </w:rPr>
              <w:t>1</w:t>
            </w:r>
          </w:p>
        </w:tc>
        <w:tc>
          <w:tcPr>
            <w:tcW w:w="651" w:type="pct"/>
            <w:tcBorders>
              <w:bottom w:val="single" w:sz="4" w:space="0" w:color="000000" w:themeColor="text1"/>
            </w:tcBorders>
            <w:shd w:val="clear" w:color="auto" w:fill="auto"/>
            <w:vAlign w:val="center"/>
          </w:tcPr>
          <w:p w14:paraId="32880111" w14:textId="77777777" w:rsidR="00A35AAA" w:rsidRPr="00576299" w:rsidRDefault="00A35AAA" w:rsidP="00644BAE">
            <w:pPr>
              <w:pStyle w:val="TableText0"/>
              <w:jc w:val="center"/>
            </w:pPr>
            <w:r w:rsidRPr="00576299">
              <w:t>-2.3%</w:t>
            </w:r>
          </w:p>
        </w:tc>
      </w:tr>
      <w:tr w:rsidR="0092254A" w:rsidRPr="00576299" w14:paraId="0C7C28CD" w14:textId="77777777" w:rsidTr="00C068F2">
        <w:tc>
          <w:tcPr>
            <w:tcW w:w="5000" w:type="pct"/>
            <w:gridSpan w:val="5"/>
            <w:shd w:val="clear" w:color="auto" w:fill="auto"/>
            <w:vAlign w:val="center"/>
          </w:tcPr>
          <w:p w14:paraId="7696A671" w14:textId="77777777" w:rsidR="0092254A" w:rsidRPr="00576299" w:rsidRDefault="0092254A" w:rsidP="00BF0B72">
            <w:pPr>
              <w:pStyle w:val="TableText0"/>
            </w:pPr>
            <w:r w:rsidRPr="00576299">
              <w:t xml:space="preserve">Terminal care costs (base </w:t>
            </w:r>
            <w:r w:rsidRPr="00833009">
              <w:t>case $61,482;</w:t>
            </w:r>
            <w:r w:rsidRPr="00576299">
              <w:t xml:space="preserve"> Goldsbury 2018)</w:t>
            </w:r>
          </w:p>
        </w:tc>
      </w:tr>
      <w:tr w:rsidR="0092254A" w:rsidRPr="00576299" w14:paraId="442A6F3D" w14:textId="77777777" w:rsidTr="00B03F28">
        <w:tc>
          <w:tcPr>
            <w:tcW w:w="2434" w:type="pct"/>
            <w:shd w:val="clear" w:color="auto" w:fill="auto"/>
            <w:vAlign w:val="center"/>
          </w:tcPr>
          <w:p w14:paraId="1235FBBE" w14:textId="77777777" w:rsidR="0092254A" w:rsidRPr="00833009" w:rsidRDefault="0092254A" w:rsidP="002029E5">
            <w:pPr>
              <w:pStyle w:val="TableText0"/>
              <w:numPr>
                <w:ilvl w:val="0"/>
                <w:numId w:val="6"/>
              </w:numPr>
              <w:ind w:hanging="196"/>
            </w:pPr>
            <w:r w:rsidRPr="00833009">
              <w:t>$54,574</w:t>
            </w:r>
            <w:r w:rsidRPr="00833009">
              <w:rPr>
                <w:vertAlign w:val="superscript"/>
              </w:rPr>
              <w:t>a</w:t>
            </w:r>
            <w:r w:rsidRPr="00833009">
              <w:t xml:space="preserve"> (Goldsbury 2018; excl. PBS and MBS costs)</w:t>
            </w:r>
          </w:p>
        </w:tc>
        <w:tc>
          <w:tcPr>
            <w:tcW w:w="613" w:type="pct"/>
            <w:shd w:val="clear" w:color="auto" w:fill="auto"/>
            <w:vAlign w:val="center"/>
          </w:tcPr>
          <w:p w14:paraId="3C077580" w14:textId="7960EE10" w:rsidR="0092254A" w:rsidRPr="00576299" w:rsidRDefault="0092254A" w:rsidP="00BF0B72">
            <w:pPr>
              <w:pStyle w:val="TableText0"/>
              <w:jc w:val="center"/>
            </w:pPr>
            <w:r w:rsidRPr="00576299">
              <w:t>$</w:t>
            </w:r>
            <w:r w:rsidR="00833009" w:rsidRPr="00833009">
              <w:rPr>
                <w:color w:val="000000"/>
                <w:spacing w:val="50"/>
                <w:shd w:val="solid" w:color="000000" w:fill="000000"/>
                <w:fitText w:val="323" w:id="-1304167934"/>
                <w14:textFill>
                  <w14:solidFill>
                    <w14:srgbClr w14:val="000000">
                      <w14:alpha w14:val="100000"/>
                    </w14:srgbClr>
                  </w14:solidFill>
                </w14:textFill>
              </w:rPr>
              <w:t>|||</w:t>
            </w:r>
            <w:r w:rsidR="00833009" w:rsidRPr="00833009">
              <w:rPr>
                <w:color w:val="000000"/>
                <w:spacing w:val="3"/>
                <w:shd w:val="solid" w:color="000000" w:fill="000000"/>
                <w:fitText w:val="323" w:id="-1304167934"/>
                <w14:textFill>
                  <w14:solidFill>
                    <w14:srgbClr w14:val="000000">
                      <w14:alpha w14:val="100000"/>
                    </w14:srgbClr>
                  </w14:solidFill>
                </w14:textFill>
              </w:rPr>
              <w:t>|</w:t>
            </w:r>
          </w:p>
        </w:tc>
        <w:tc>
          <w:tcPr>
            <w:tcW w:w="651" w:type="pct"/>
            <w:shd w:val="clear" w:color="auto" w:fill="auto"/>
            <w:vAlign w:val="center"/>
          </w:tcPr>
          <w:p w14:paraId="0533824D" w14:textId="77777777" w:rsidR="0092254A" w:rsidRPr="00576299" w:rsidRDefault="0092254A" w:rsidP="00BF0B72">
            <w:pPr>
              <w:pStyle w:val="TableText0"/>
              <w:jc w:val="center"/>
            </w:pPr>
            <w:r w:rsidRPr="00576299">
              <w:t>1.0421</w:t>
            </w:r>
          </w:p>
        </w:tc>
        <w:tc>
          <w:tcPr>
            <w:tcW w:w="651" w:type="pct"/>
            <w:shd w:val="clear" w:color="auto" w:fill="auto"/>
            <w:vAlign w:val="center"/>
          </w:tcPr>
          <w:p w14:paraId="241A6C70" w14:textId="2A52DAA4" w:rsidR="0092254A" w:rsidRPr="00576299" w:rsidRDefault="0092254A" w:rsidP="00BF0B72">
            <w:pPr>
              <w:pStyle w:val="TableText0"/>
              <w:jc w:val="center"/>
            </w:pPr>
            <w:r w:rsidRPr="00576299">
              <w:t>$</w:t>
            </w:r>
            <w:r w:rsidR="00833009" w:rsidRPr="00833009">
              <w:rPr>
                <w:color w:val="000000"/>
                <w:spacing w:val="54"/>
                <w:shd w:val="solid" w:color="000000" w:fill="000000"/>
                <w:fitText w:val="333" w:id="-1304167933"/>
                <w14:textFill>
                  <w14:solidFill>
                    <w14:srgbClr w14:val="000000">
                      <w14:alpha w14:val="100000"/>
                    </w14:srgbClr>
                  </w14:solidFill>
                </w14:textFill>
              </w:rPr>
              <w:t>|||</w:t>
            </w:r>
            <w:r w:rsidR="00833009" w:rsidRPr="00833009">
              <w:rPr>
                <w:color w:val="000000"/>
                <w:spacing w:val="1"/>
                <w:shd w:val="solid" w:color="000000" w:fill="000000"/>
                <w:fitText w:val="333" w:id="-1304167933"/>
                <w14:textFill>
                  <w14:solidFill>
                    <w14:srgbClr w14:val="000000">
                      <w14:alpha w14:val="100000"/>
                    </w14:srgbClr>
                  </w14:solidFill>
                </w14:textFill>
              </w:rPr>
              <w:t>|</w:t>
            </w:r>
            <w:r w:rsidR="0033224B">
              <w:rPr>
                <w:vertAlign w:val="superscript"/>
              </w:rPr>
              <w:t>1</w:t>
            </w:r>
          </w:p>
        </w:tc>
        <w:tc>
          <w:tcPr>
            <w:tcW w:w="651" w:type="pct"/>
            <w:shd w:val="clear" w:color="auto" w:fill="auto"/>
            <w:vAlign w:val="center"/>
          </w:tcPr>
          <w:p w14:paraId="24BEBB76" w14:textId="77777777" w:rsidR="0092254A" w:rsidRPr="00576299" w:rsidRDefault="0092254A" w:rsidP="00BF0B72">
            <w:pPr>
              <w:pStyle w:val="TableText0"/>
              <w:jc w:val="center"/>
            </w:pPr>
            <w:r w:rsidRPr="00576299">
              <w:t>0.8%</w:t>
            </w:r>
          </w:p>
        </w:tc>
      </w:tr>
      <w:tr w:rsidR="0092254A" w:rsidRPr="00576299" w14:paraId="6E1BF777" w14:textId="77777777" w:rsidTr="00B03F28">
        <w:tc>
          <w:tcPr>
            <w:tcW w:w="2434" w:type="pct"/>
            <w:shd w:val="clear" w:color="auto" w:fill="auto"/>
            <w:vAlign w:val="center"/>
          </w:tcPr>
          <w:p w14:paraId="2AFA5B0B" w14:textId="77777777" w:rsidR="0092254A" w:rsidRPr="00833009" w:rsidRDefault="0092254A" w:rsidP="002029E5">
            <w:pPr>
              <w:pStyle w:val="TableText0"/>
              <w:numPr>
                <w:ilvl w:val="0"/>
                <w:numId w:val="6"/>
              </w:numPr>
              <w:ind w:hanging="196"/>
            </w:pPr>
            <w:r w:rsidRPr="00833009">
              <w:t>$42,002 (Reeve 2018)</w:t>
            </w:r>
          </w:p>
        </w:tc>
        <w:tc>
          <w:tcPr>
            <w:tcW w:w="613" w:type="pct"/>
            <w:shd w:val="clear" w:color="auto" w:fill="auto"/>
            <w:vAlign w:val="center"/>
          </w:tcPr>
          <w:p w14:paraId="61836D57" w14:textId="1E159D09" w:rsidR="0092254A" w:rsidRPr="00576299" w:rsidRDefault="0092254A" w:rsidP="00BF0B72">
            <w:pPr>
              <w:pStyle w:val="TableText0"/>
              <w:jc w:val="center"/>
            </w:pPr>
            <w:r w:rsidRPr="00576299">
              <w:t>$</w:t>
            </w:r>
            <w:r w:rsidR="00833009" w:rsidRPr="00833009">
              <w:rPr>
                <w:color w:val="000000"/>
                <w:spacing w:val="50"/>
                <w:shd w:val="solid" w:color="000000" w:fill="000000"/>
                <w:fitText w:val="323" w:id="-1304167932"/>
                <w14:textFill>
                  <w14:solidFill>
                    <w14:srgbClr w14:val="000000">
                      <w14:alpha w14:val="100000"/>
                    </w14:srgbClr>
                  </w14:solidFill>
                </w14:textFill>
              </w:rPr>
              <w:t>|||</w:t>
            </w:r>
            <w:r w:rsidR="00833009" w:rsidRPr="00833009">
              <w:rPr>
                <w:color w:val="000000"/>
                <w:spacing w:val="3"/>
                <w:shd w:val="solid" w:color="000000" w:fill="000000"/>
                <w:fitText w:val="323" w:id="-1304167932"/>
                <w14:textFill>
                  <w14:solidFill>
                    <w14:srgbClr w14:val="000000">
                      <w14:alpha w14:val="100000"/>
                    </w14:srgbClr>
                  </w14:solidFill>
                </w14:textFill>
              </w:rPr>
              <w:t>|</w:t>
            </w:r>
          </w:p>
        </w:tc>
        <w:tc>
          <w:tcPr>
            <w:tcW w:w="651" w:type="pct"/>
            <w:shd w:val="clear" w:color="auto" w:fill="auto"/>
            <w:vAlign w:val="center"/>
          </w:tcPr>
          <w:p w14:paraId="0A06933A" w14:textId="77777777" w:rsidR="0092254A" w:rsidRPr="00576299" w:rsidRDefault="0092254A" w:rsidP="00BF0B72">
            <w:pPr>
              <w:pStyle w:val="TableText0"/>
              <w:jc w:val="center"/>
            </w:pPr>
            <w:r w:rsidRPr="00576299">
              <w:t>1.0421</w:t>
            </w:r>
          </w:p>
        </w:tc>
        <w:tc>
          <w:tcPr>
            <w:tcW w:w="651" w:type="pct"/>
            <w:shd w:val="clear" w:color="auto" w:fill="auto"/>
            <w:vAlign w:val="center"/>
          </w:tcPr>
          <w:p w14:paraId="394ACBC6" w14:textId="109D3ACE" w:rsidR="0092254A" w:rsidRPr="00576299" w:rsidRDefault="0092254A" w:rsidP="00BF0B72">
            <w:pPr>
              <w:pStyle w:val="TableText0"/>
              <w:jc w:val="center"/>
            </w:pPr>
            <w:r w:rsidRPr="00576299">
              <w:t>$</w:t>
            </w:r>
            <w:r w:rsidR="00833009" w:rsidRPr="00833009">
              <w:rPr>
                <w:color w:val="000000"/>
                <w:spacing w:val="54"/>
                <w:shd w:val="solid" w:color="000000" w:fill="000000"/>
                <w:fitText w:val="333" w:id="-1304167931"/>
                <w14:textFill>
                  <w14:solidFill>
                    <w14:srgbClr w14:val="000000">
                      <w14:alpha w14:val="100000"/>
                    </w14:srgbClr>
                  </w14:solidFill>
                </w14:textFill>
              </w:rPr>
              <w:t>|||</w:t>
            </w:r>
            <w:r w:rsidR="00833009" w:rsidRPr="00833009">
              <w:rPr>
                <w:color w:val="000000"/>
                <w:spacing w:val="1"/>
                <w:shd w:val="solid" w:color="000000" w:fill="000000"/>
                <w:fitText w:val="333" w:id="-1304167931"/>
                <w14:textFill>
                  <w14:solidFill>
                    <w14:srgbClr w14:val="000000">
                      <w14:alpha w14:val="100000"/>
                    </w14:srgbClr>
                  </w14:solidFill>
                </w14:textFill>
              </w:rPr>
              <w:t>|</w:t>
            </w:r>
            <w:r w:rsidR="0033224B">
              <w:rPr>
                <w:vertAlign w:val="superscript"/>
              </w:rPr>
              <w:t>1</w:t>
            </w:r>
          </w:p>
        </w:tc>
        <w:tc>
          <w:tcPr>
            <w:tcW w:w="651" w:type="pct"/>
            <w:shd w:val="clear" w:color="auto" w:fill="auto"/>
            <w:vAlign w:val="center"/>
          </w:tcPr>
          <w:p w14:paraId="05782B26" w14:textId="77777777" w:rsidR="0092254A" w:rsidRPr="00576299" w:rsidRDefault="0092254A" w:rsidP="00BF0B72">
            <w:pPr>
              <w:pStyle w:val="TableText0"/>
              <w:jc w:val="center"/>
            </w:pPr>
            <w:r w:rsidRPr="00576299">
              <w:t>2.2%</w:t>
            </w:r>
          </w:p>
        </w:tc>
      </w:tr>
      <w:tr w:rsidR="0092254A" w:rsidRPr="00576299" w14:paraId="1936703D" w14:textId="77777777" w:rsidTr="00B03F28">
        <w:tc>
          <w:tcPr>
            <w:tcW w:w="2434" w:type="pct"/>
            <w:shd w:val="clear" w:color="auto" w:fill="auto"/>
            <w:vAlign w:val="center"/>
          </w:tcPr>
          <w:p w14:paraId="41F185F1" w14:textId="77777777" w:rsidR="0092254A" w:rsidRPr="00576299" w:rsidRDefault="0092254A" w:rsidP="002029E5">
            <w:pPr>
              <w:pStyle w:val="TableText0"/>
              <w:numPr>
                <w:ilvl w:val="0"/>
                <w:numId w:val="6"/>
              </w:numPr>
              <w:ind w:hanging="196"/>
            </w:pPr>
            <w:r w:rsidRPr="00576299">
              <w:t>$0 (excluded)</w:t>
            </w:r>
          </w:p>
        </w:tc>
        <w:tc>
          <w:tcPr>
            <w:tcW w:w="613" w:type="pct"/>
            <w:shd w:val="clear" w:color="auto" w:fill="auto"/>
            <w:vAlign w:val="center"/>
          </w:tcPr>
          <w:p w14:paraId="69AC562D" w14:textId="1E46B66E" w:rsidR="0092254A" w:rsidRPr="00576299" w:rsidRDefault="0092254A" w:rsidP="00BF0B72">
            <w:pPr>
              <w:pStyle w:val="TableText0"/>
              <w:jc w:val="center"/>
            </w:pPr>
            <w:r w:rsidRPr="00576299">
              <w:t>$</w:t>
            </w:r>
            <w:r w:rsidR="00833009" w:rsidRPr="00833009">
              <w:rPr>
                <w:color w:val="000000"/>
                <w:spacing w:val="50"/>
                <w:shd w:val="solid" w:color="000000" w:fill="000000"/>
                <w:fitText w:val="323" w:id="-1304167930"/>
                <w14:textFill>
                  <w14:solidFill>
                    <w14:srgbClr w14:val="000000">
                      <w14:alpha w14:val="100000"/>
                    </w14:srgbClr>
                  </w14:solidFill>
                </w14:textFill>
              </w:rPr>
              <w:t>|||</w:t>
            </w:r>
            <w:r w:rsidR="00833009" w:rsidRPr="00833009">
              <w:rPr>
                <w:color w:val="000000"/>
                <w:spacing w:val="3"/>
                <w:shd w:val="solid" w:color="000000" w:fill="000000"/>
                <w:fitText w:val="323" w:id="-1304167930"/>
                <w14:textFill>
                  <w14:solidFill>
                    <w14:srgbClr w14:val="000000">
                      <w14:alpha w14:val="100000"/>
                    </w14:srgbClr>
                  </w14:solidFill>
                </w14:textFill>
              </w:rPr>
              <w:t>|</w:t>
            </w:r>
          </w:p>
        </w:tc>
        <w:tc>
          <w:tcPr>
            <w:tcW w:w="651" w:type="pct"/>
            <w:shd w:val="clear" w:color="auto" w:fill="auto"/>
            <w:vAlign w:val="center"/>
          </w:tcPr>
          <w:p w14:paraId="1372DE35" w14:textId="77777777" w:rsidR="0092254A" w:rsidRPr="00576299" w:rsidRDefault="0092254A" w:rsidP="00BF0B72">
            <w:pPr>
              <w:pStyle w:val="TableText0"/>
              <w:jc w:val="center"/>
            </w:pPr>
            <w:r w:rsidRPr="00576299">
              <w:t>1.0421</w:t>
            </w:r>
          </w:p>
        </w:tc>
        <w:tc>
          <w:tcPr>
            <w:tcW w:w="651" w:type="pct"/>
            <w:shd w:val="clear" w:color="auto" w:fill="auto"/>
            <w:vAlign w:val="center"/>
          </w:tcPr>
          <w:p w14:paraId="38C35346" w14:textId="0B66A805" w:rsidR="0092254A" w:rsidRPr="00576299" w:rsidRDefault="0092254A" w:rsidP="00BF0B72">
            <w:pPr>
              <w:pStyle w:val="TableText0"/>
              <w:jc w:val="center"/>
            </w:pPr>
            <w:r w:rsidRPr="00833009">
              <w:t>$</w:t>
            </w:r>
            <w:r w:rsidR="00833009" w:rsidRPr="00833009">
              <w:rPr>
                <w:color w:val="000000"/>
                <w:spacing w:val="54"/>
                <w:shd w:val="solid" w:color="000000" w:fill="000000"/>
                <w:fitText w:val="333" w:id="-1304167929"/>
                <w14:textFill>
                  <w14:solidFill>
                    <w14:srgbClr w14:val="000000">
                      <w14:alpha w14:val="100000"/>
                    </w14:srgbClr>
                  </w14:solidFill>
                </w14:textFill>
              </w:rPr>
              <w:t>|||</w:t>
            </w:r>
            <w:r w:rsidR="00833009" w:rsidRPr="00833009">
              <w:rPr>
                <w:color w:val="000000"/>
                <w:spacing w:val="1"/>
                <w:shd w:val="solid" w:color="000000" w:fill="000000"/>
                <w:fitText w:val="333" w:id="-1304167929"/>
                <w14:textFill>
                  <w14:solidFill>
                    <w14:srgbClr w14:val="000000">
                      <w14:alpha w14:val="100000"/>
                    </w14:srgbClr>
                  </w14:solidFill>
                </w14:textFill>
              </w:rPr>
              <w:t>|</w:t>
            </w:r>
            <w:r w:rsidR="0033224B">
              <w:rPr>
                <w:vertAlign w:val="superscript"/>
              </w:rPr>
              <w:t>1</w:t>
            </w:r>
          </w:p>
        </w:tc>
        <w:tc>
          <w:tcPr>
            <w:tcW w:w="651" w:type="pct"/>
            <w:shd w:val="clear" w:color="auto" w:fill="auto"/>
            <w:vAlign w:val="center"/>
          </w:tcPr>
          <w:p w14:paraId="385E6ADD" w14:textId="77777777" w:rsidR="0092254A" w:rsidRPr="00576299" w:rsidRDefault="0092254A" w:rsidP="00BF0B72">
            <w:pPr>
              <w:pStyle w:val="TableText0"/>
              <w:jc w:val="center"/>
            </w:pPr>
            <w:r w:rsidRPr="00576299">
              <w:t>7.0%</w:t>
            </w:r>
          </w:p>
        </w:tc>
      </w:tr>
      <w:tr w:rsidR="0092254A" w:rsidRPr="00576299" w14:paraId="3B55766F" w14:textId="77777777" w:rsidTr="00C068F2">
        <w:tc>
          <w:tcPr>
            <w:tcW w:w="5000" w:type="pct"/>
            <w:gridSpan w:val="5"/>
            <w:shd w:val="clear" w:color="auto" w:fill="auto"/>
            <w:vAlign w:val="center"/>
          </w:tcPr>
          <w:p w14:paraId="587C805E" w14:textId="77777777" w:rsidR="0092254A" w:rsidRPr="00576299" w:rsidRDefault="0092254A" w:rsidP="00BF0B72">
            <w:pPr>
              <w:pStyle w:val="TableText0"/>
            </w:pPr>
            <w:r w:rsidRPr="00576299">
              <w:t>Convergence of survival curves (base case convergence between 4 to 6 years)</w:t>
            </w:r>
          </w:p>
        </w:tc>
      </w:tr>
      <w:tr w:rsidR="0092254A" w:rsidRPr="00576299" w14:paraId="0592153D" w14:textId="77777777" w:rsidTr="00B03F28">
        <w:tc>
          <w:tcPr>
            <w:tcW w:w="2434" w:type="pct"/>
            <w:shd w:val="clear" w:color="auto" w:fill="auto"/>
            <w:vAlign w:val="center"/>
          </w:tcPr>
          <w:p w14:paraId="58AD4375" w14:textId="77777777" w:rsidR="0092254A" w:rsidRPr="00576299" w:rsidRDefault="0092254A" w:rsidP="002029E5">
            <w:pPr>
              <w:pStyle w:val="TableText0"/>
              <w:numPr>
                <w:ilvl w:val="0"/>
                <w:numId w:val="6"/>
              </w:numPr>
              <w:ind w:hanging="196"/>
            </w:pPr>
            <w:r w:rsidRPr="00576299">
              <w:t>Between 3 and 6 years</w:t>
            </w:r>
          </w:p>
        </w:tc>
        <w:tc>
          <w:tcPr>
            <w:tcW w:w="613" w:type="pct"/>
            <w:shd w:val="clear" w:color="auto" w:fill="auto"/>
            <w:vAlign w:val="center"/>
          </w:tcPr>
          <w:p w14:paraId="0A01D61E" w14:textId="551617DB" w:rsidR="0092254A" w:rsidRPr="00576299" w:rsidRDefault="0092254A" w:rsidP="00BF0B72">
            <w:pPr>
              <w:pStyle w:val="TableText0"/>
              <w:jc w:val="center"/>
            </w:pPr>
            <w:r w:rsidRPr="00576299">
              <w:t>$</w:t>
            </w:r>
            <w:r w:rsidR="00833009" w:rsidRPr="00833009">
              <w:rPr>
                <w:color w:val="000000"/>
                <w:spacing w:val="50"/>
                <w:shd w:val="solid" w:color="000000" w:fill="000000"/>
                <w:fitText w:val="323" w:id="-1304167928"/>
                <w14:textFill>
                  <w14:solidFill>
                    <w14:srgbClr w14:val="000000">
                      <w14:alpha w14:val="100000"/>
                    </w14:srgbClr>
                  </w14:solidFill>
                </w14:textFill>
              </w:rPr>
              <w:t>|||</w:t>
            </w:r>
            <w:r w:rsidR="00833009" w:rsidRPr="00833009">
              <w:rPr>
                <w:color w:val="000000"/>
                <w:spacing w:val="3"/>
                <w:shd w:val="solid" w:color="000000" w:fill="000000"/>
                <w:fitText w:val="323" w:id="-1304167928"/>
                <w14:textFill>
                  <w14:solidFill>
                    <w14:srgbClr w14:val="000000">
                      <w14:alpha w14:val="100000"/>
                    </w14:srgbClr>
                  </w14:solidFill>
                </w14:textFill>
              </w:rPr>
              <w:t>|</w:t>
            </w:r>
          </w:p>
        </w:tc>
        <w:tc>
          <w:tcPr>
            <w:tcW w:w="651" w:type="pct"/>
            <w:shd w:val="clear" w:color="auto" w:fill="auto"/>
            <w:vAlign w:val="center"/>
          </w:tcPr>
          <w:p w14:paraId="038004FC" w14:textId="77777777" w:rsidR="0092254A" w:rsidRPr="00576299" w:rsidRDefault="0092254A" w:rsidP="00BF0B72">
            <w:pPr>
              <w:pStyle w:val="TableText0"/>
              <w:jc w:val="center"/>
            </w:pPr>
            <w:r w:rsidRPr="00576299">
              <w:t>0.9500</w:t>
            </w:r>
          </w:p>
        </w:tc>
        <w:tc>
          <w:tcPr>
            <w:tcW w:w="651" w:type="pct"/>
            <w:shd w:val="clear" w:color="auto" w:fill="auto"/>
            <w:vAlign w:val="center"/>
          </w:tcPr>
          <w:p w14:paraId="614BE0FB" w14:textId="68F4775A" w:rsidR="0092254A" w:rsidRPr="00576299" w:rsidRDefault="0092254A" w:rsidP="00BF0B72">
            <w:pPr>
              <w:pStyle w:val="TableText0"/>
              <w:jc w:val="center"/>
            </w:pPr>
            <w:r w:rsidRPr="00576299">
              <w:t>$</w:t>
            </w:r>
            <w:r w:rsidR="00833009" w:rsidRPr="00833009">
              <w:rPr>
                <w:color w:val="000000"/>
                <w:spacing w:val="54"/>
                <w:shd w:val="solid" w:color="000000" w:fill="000000"/>
                <w:fitText w:val="333" w:id="-1304167927"/>
                <w14:textFill>
                  <w14:solidFill>
                    <w14:srgbClr w14:val="000000">
                      <w14:alpha w14:val="100000"/>
                    </w14:srgbClr>
                  </w14:solidFill>
                </w14:textFill>
              </w:rPr>
              <w:t>|||</w:t>
            </w:r>
            <w:r w:rsidR="00833009" w:rsidRPr="00833009">
              <w:rPr>
                <w:color w:val="000000"/>
                <w:spacing w:val="1"/>
                <w:shd w:val="solid" w:color="000000" w:fill="000000"/>
                <w:fitText w:val="333" w:id="-1304167927"/>
                <w14:textFill>
                  <w14:solidFill>
                    <w14:srgbClr w14:val="000000">
                      <w14:alpha w14:val="100000"/>
                    </w14:srgbClr>
                  </w14:solidFill>
                </w14:textFill>
              </w:rPr>
              <w:t>|</w:t>
            </w:r>
            <w:r w:rsidR="0033224B">
              <w:rPr>
                <w:vertAlign w:val="superscript"/>
              </w:rPr>
              <w:t>1</w:t>
            </w:r>
          </w:p>
        </w:tc>
        <w:tc>
          <w:tcPr>
            <w:tcW w:w="651" w:type="pct"/>
            <w:shd w:val="clear" w:color="auto" w:fill="auto"/>
            <w:vAlign w:val="center"/>
          </w:tcPr>
          <w:p w14:paraId="3702E82F" w14:textId="77777777" w:rsidR="0092254A" w:rsidRPr="00576299" w:rsidRDefault="0092254A" w:rsidP="00BF0B72">
            <w:pPr>
              <w:pStyle w:val="TableText0"/>
              <w:jc w:val="center"/>
            </w:pPr>
            <w:r w:rsidRPr="00576299">
              <w:t>10.1%</w:t>
            </w:r>
          </w:p>
        </w:tc>
      </w:tr>
      <w:tr w:rsidR="0092254A" w:rsidRPr="00576299" w14:paraId="5B8C5A4A" w14:textId="77777777" w:rsidTr="00B03F28">
        <w:tc>
          <w:tcPr>
            <w:tcW w:w="2434" w:type="pct"/>
            <w:shd w:val="clear" w:color="auto" w:fill="auto"/>
            <w:vAlign w:val="center"/>
          </w:tcPr>
          <w:p w14:paraId="5045878C" w14:textId="77777777" w:rsidR="0092254A" w:rsidRPr="00576299" w:rsidRDefault="0092254A" w:rsidP="002029E5">
            <w:pPr>
              <w:pStyle w:val="TableText0"/>
              <w:numPr>
                <w:ilvl w:val="0"/>
                <w:numId w:val="6"/>
              </w:numPr>
              <w:ind w:hanging="196"/>
            </w:pPr>
            <w:r w:rsidRPr="00576299">
              <w:t>Between 5 and 6 years</w:t>
            </w:r>
          </w:p>
        </w:tc>
        <w:tc>
          <w:tcPr>
            <w:tcW w:w="613" w:type="pct"/>
            <w:shd w:val="clear" w:color="auto" w:fill="auto"/>
            <w:vAlign w:val="center"/>
          </w:tcPr>
          <w:p w14:paraId="166DDD27" w14:textId="7A92E8F7" w:rsidR="0092254A" w:rsidRPr="00576299" w:rsidRDefault="0092254A" w:rsidP="00BF0B72">
            <w:pPr>
              <w:pStyle w:val="TableText0"/>
              <w:jc w:val="center"/>
            </w:pPr>
            <w:r w:rsidRPr="00576299">
              <w:t>$</w:t>
            </w:r>
            <w:r w:rsidR="00833009" w:rsidRPr="00833009">
              <w:rPr>
                <w:color w:val="000000"/>
                <w:spacing w:val="50"/>
                <w:shd w:val="solid" w:color="000000" w:fill="000000"/>
                <w:fitText w:val="323" w:id="-1304167926"/>
                <w14:textFill>
                  <w14:solidFill>
                    <w14:srgbClr w14:val="000000">
                      <w14:alpha w14:val="100000"/>
                    </w14:srgbClr>
                  </w14:solidFill>
                </w14:textFill>
              </w:rPr>
              <w:t>|||</w:t>
            </w:r>
            <w:r w:rsidR="00833009" w:rsidRPr="00833009">
              <w:rPr>
                <w:color w:val="000000"/>
                <w:spacing w:val="3"/>
                <w:shd w:val="solid" w:color="000000" w:fill="000000"/>
                <w:fitText w:val="323" w:id="-1304167926"/>
                <w14:textFill>
                  <w14:solidFill>
                    <w14:srgbClr w14:val="000000">
                      <w14:alpha w14:val="100000"/>
                    </w14:srgbClr>
                  </w14:solidFill>
                </w14:textFill>
              </w:rPr>
              <w:t>|</w:t>
            </w:r>
          </w:p>
        </w:tc>
        <w:tc>
          <w:tcPr>
            <w:tcW w:w="651" w:type="pct"/>
            <w:shd w:val="clear" w:color="auto" w:fill="auto"/>
            <w:vAlign w:val="center"/>
          </w:tcPr>
          <w:p w14:paraId="0FC9EC19" w14:textId="77777777" w:rsidR="0092254A" w:rsidRPr="00576299" w:rsidRDefault="0092254A" w:rsidP="00BF0B72">
            <w:pPr>
              <w:pStyle w:val="TableText0"/>
              <w:jc w:val="center"/>
            </w:pPr>
            <w:r w:rsidRPr="00576299">
              <w:t>1.1314</w:t>
            </w:r>
          </w:p>
        </w:tc>
        <w:tc>
          <w:tcPr>
            <w:tcW w:w="651" w:type="pct"/>
            <w:shd w:val="clear" w:color="auto" w:fill="auto"/>
            <w:vAlign w:val="center"/>
          </w:tcPr>
          <w:p w14:paraId="50734722" w14:textId="2B021B93" w:rsidR="0092254A" w:rsidRPr="00576299" w:rsidRDefault="0092254A" w:rsidP="00BF0B72">
            <w:pPr>
              <w:pStyle w:val="TableText0"/>
              <w:jc w:val="center"/>
            </w:pPr>
            <w:r w:rsidRPr="00576299">
              <w:t>$</w:t>
            </w:r>
            <w:r w:rsidR="00833009" w:rsidRPr="00833009">
              <w:rPr>
                <w:color w:val="000000"/>
                <w:spacing w:val="54"/>
                <w:shd w:val="solid" w:color="000000" w:fill="000000"/>
                <w:fitText w:val="333" w:id="-1304167925"/>
                <w14:textFill>
                  <w14:solidFill>
                    <w14:srgbClr w14:val="000000">
                      <w14:alpha w14:val="100000"/>
                    </w14:srgbClr>
                  </w14:solidFill>
                </w14:textFill>
              </w:rPr>
              <w:t>|||</w:t>
            </w:r>
            <w:r w:rsidR="00833009" w:rsidRPr="00833009">
              <w:rPr>
                <w:color w:val="000000"/>
                <w:spacing w:val="1"/>
                <w:shd w:val="solid" w:color="000000" w:fill="000000"/>
                <w:fitText w:val="333" w:id="-1304167925"/>
                <w14:textFill>
                  <w14:solidFill>
                    <w14:srgbClr w14:val="000000">
                      <w14:alpha w14:val="100000"/>
                    </w14:srgbClr>
                  </w14:solidFill>
                </w14:textFill>
              </w:rPr>
              <w:t>|</w:t>
            </w:r>
            <w:r w:rsidR="0033224B">
              <w:rPr>
                <w:vertAlign w:val="superscript"/>
              </w:rPr>
              <w:t>4</w:t>
            </w:r>
          </w:p>
        </w:tc>
        <w:tc>
          <w:tcPr>
            <w:tcW w:w="651" w:type="pct"/>
            <w:shd w:val="clear" w:color="auto" w:fill="auto"/>
            <w:vAlign w:val="center"/>
          </w:tcPr>
          <w:p w14:paraId="717CCB33" w14:textId="77777777" w:rsidR="0092254A" w:rsidRPr="00576299" w:rsidRDefault="0092254A" w:rsidP="00BF0B72">
            <w:pPr>
              <w:pStyle w:val="TableText0"/>
              <w:jc w:val="center"/>
            </w:pPr>
            <w:r w:rsidRPr="00576299">
              <w:t>-8.2%</w:t>
            </w:r>
          </w:p>
        </w:tc>
      </w:tr>
      <w:tr w:rsidR="00391954" w:rsidRPr="00576299" w14:paraId="4FF0F581" w14:textId="77777777" w:rsidTr="00391954">
        <w:tc>
          <w:tcPr>
            <w:tcW w:w="5000" w:type="pct"/>
            <w:gridSpan w:val="5"/>
            <w:shd w:val="clear" w:color="auto" w:fill="auto"/>
            <w:vAlign w:val="center"/>
          </w:tcPr>
          <w:p w14:paraId="6E911C20" w14:textId="5434A851" w:rsidR="00391954" w:rsidRPr="00576299" w:rsidRDefault="00391954" w:rsidP="00BF0B72">
            <w:pPr>
              <w:pStyle w:val="TableText0"/>
            </w:pPr>
            <w:r w:rsidRPr="00576299">
              <w:t>Parametric functions used for extrapolation</w:t>
            </w:r>
            <w:r w:rsidR="002462FC" w:rsidRPr="00576299">
              <w:t xml:space="preserve"> of OS</w:t>
            </w:r>
          </w:p>
        </w:tc>
      </w:tr>
      <w:tr w:rsidR="00B03F28" w:rsidRPr="00576299" w14:paraId="0D58372A" w14:textId="77777777" w:rsidTr="00B03F28">
        <w:tc>
          <w:tcPr>
            <w:tcW w:w="2434" w:type="pct"/>
            <w:shd w:val="clear" w:color="auto" w:fill="auto"/>
            <w:vAlign w:val="center"/>
          </w:tcPr>
          <w:p w14:paraId="6A0735B2" w14:textId="6F0E9792" w:rsidR="00B03F28" w:rsidRPr="00216464" w:rsidRDefault="00B03F28" w:rsidP="002029E5">
            <w:pPr>
              <w:pStyle w:val="TableText0"/>
              <w:numPr>
                <w:ilvl w:val="0"/>
                <w:numId w:val="6"/>
              </w:numPr>
              <w:ind w:hanging="196"/>
              <w:rPr>
                <w:lang w:val="it-IT"/>
              </w:rPr>
            </w:pPr>
            <w:r w:rsidRPr="00216464">
              <w:rPr>
                <w:lang w:val="it-IT"/>
              </w:rPr>
              <w:t>Dostarlimab OS Gompertz (base case Lognormal)</w:t>
            </w:r>
          </w:p>
        </w:tc>
        <w:tc>
          <w:tcPr>
            <w:tcW w:w="613" w:type="pct"/>
            <w:shd w:val="clear" w:color="auto" w:fill="auto"/>
            <w:vAlign w:val="center"/>
          </w:tcPr>
          <w:p w14:paraId="31A3D3B8" w14:textId="0855F78A" w:rsidR="00B03F28" w:rsidRPr="00576299" w:rsidRDefault="00B03F28" w:rsidP="00BF0B72">
            <w:pPr>
              <w:pStyle w:val="TableText0"/>
              <w:jc w:val="center"/>
            </w:pPr>
            <w:r w:rsidRPr="00576299">
              <w:t>$</w:t>
            </w:r>
            <w:r w:rsidR="00833009" w:rsidRPr="00833009">
              <w:rPr>
                <w:color w:val="000000"/>
                <w:spacing w:val="50"/>
                <w:shd w:val="solid" w:color="000000" w:fill="000000"/>
                <w:fitText w:val="323" w:id="-1304167924"/>
                <w14:textFill>
                  <w14:solidFill>
                    <w14:srgbClr w14:val="000000">
                      <w14:alpha w14:val="100000"/>
                    </w14:srgbClr>
                  </w14:solidFill>
                </w14:textFill>
              </w:rPr>
              <w:t>|||</w:t>
            </w:r>
            <w:r w:rsidR="00833009" w:rsidRPr="00833009">
              <w:rPr>
                <w:color w:val="000000"/>
                <w:spacing w:val="3"/>
                <w:shd w:val="solid" w:color="000000" w:fill="000000"/>
                <w:fitText w:val="323" w:id="-1304167924"/>
                <w14:textFill>
                  <w14:solidFill>
                    <w14:srgbClr w14:val="000000">
                      <w14:alpha w14:val="100000"/>
                    </w14:srgbClr>
                  </w14:solidFill>
                </w14:textFill>
              </w:rPr>
              <w:t>|</w:t>
            </w:r>
          </w:p>
        </w:tc>
        <w:tc>
          <w:tcPr>
            <w:tcW w:w="651" w:type="pct"/>
            <w:shd w:val="clear" w:color="auto" w:fill="auto"/>
            <w:vAlign w:val="center"/>
          </w:tcPr>
          <w:p w14:paraId="74FDFC74" w14:textId="41601E06" w:rsidR="00B03F28" w:rsidRPr="00576299" w:rsidRDefault="00B03F28" w:rsidP="00BF0B72">
            <w:pPr>
              <w:pStyle w:val="TableText0"/>
              <w:jc w:val="center"/>
            </w:pPr>
            <w:r w:rsidRPr="00576299">
              <w:t>1.0979</w:t>
            </w:r>
          </w:p>
        </w:tc>
        <w:tc>
          <w:tcPr>
            <w:tcW w:w="651" w:type="pct"/>
            <w:shd w:val="clear" w:color="auto" w:fill="auto"/>
            <w:vAlign w:val="center"/>
          </w:tcPr>
          <w:p w14:paraId="4ECADA56" w14:textId="677AD013" w:rsidR="00B03F28" w:rsidRPr="00576299" w:rsidRDefault="00B03F28" w:rsidP="00BF0B72">
            <w:pPr>
              <w:pStyle w:val="TableText0"/>
              <w:jc w:val="center"/>
            </w:pPr>
            <w:r w:rsidRPr="00576299">
              <w:t>$</w:t>
            </w:r>
            <w:r w:rsidR="00833009" w:rsidRPr="00833009">
              <w:rPr>
                <w:color w:val="000000"/>
                <w:spacing w:val="54"/>
                <w:shd w:val="solid" w:color="000000" w:fill="000000"/>
                <w:fitText w:val="333" w:id="-1304167923"/>
                <w14:textFill>
                  <w14:solidFill>
                    <w14:srgbClr w14:val="000000">
                      <w14:alpha w14:val="100000"/>
                    </w14:srgbClr>
                  </w14:solidFill>
                </w14:textFill>
              </w:rPr>
              <w:t>|||</w:t>
            </w:r>
            <w:r w:rsidR="00833009" w:rsidRPr="00833009">
              <w:rPr>
                <w:color w:val="000000"/>
                <w:spacing w:val="1"/>
                <w:shd w:val="solid" w:color="000000" w:fill="000000"/>
                <w:fitText w:val="333" w:id="-1304167923"/>
                <w14:textFill>
                  <w14:solidFill>
                    <w14:srgbClr w14:val="000000">
                      <w14:alpha w14:val="100000"/>
                    </w14:srgbClr>
                  </w14:solidFill>
                </w14:textFill>
              </w:rPr>
              <w:t>|</w:t>
            </w:r>
            <w:r w:rsidR="0033224B">
              <w:rPr>
                <w:vertAlign w:val="superscript"/>
              </w:rPr>
              <w:t>1</w:t>
            </w:r>
          </w:p>
        </w:tc>
        <w:tc>
          <w:tcPr>
            <w:tcW w:w="651" w:type="pct"/>
            <w:shd w:val="clear" w:color="auto" w:fill="auto"/>
            <w:vAlign w:val="center"/>
          </w:tcPr>
          <w:p w14:paraId="5726FA2B" w14:textId="273DD313" w:rsidR="00B03F28" w:rsidRPr="00576299" w:rsidRDefault="00B03F28" w:rsidP="00BF0B72">
            <w:pPr>
              <w:pStyle w:val="TableText0"/>
              <w:jc w:val="center"/>
            </w:pPr>
            <w:r w:rsidRPr="00576299">
              <w:t>-5.5%</w:t>
            </w:r>
          </w:p>
        </w:tc>
      </w:tr>
      <w:tr w:rsidR="00B03F28" w:rsidRPr="00576299" w14:paraId="50793DBF" w14:textId="77777777" w:rsidTr="00B03F28">
        <w:tc>
          <w:tcPr>
            <w:tcW w:w="2434" w:type="pct"/>
            <w:shd w:val="clear" w:color="auto" w:fill="auto"/>
            <w:vAlign w:val="center"/>
          </w:tcPr>
          <w:p w14:paraId="0C48FD2F" w14:textId="4616916E" w:rsidR="00B03F28" w:rsidRPr="00576299" w:rsidRDefault="00B03F28" w:rsidP="002029E5">
            <w:pPr>
              <w:pStyle w:val="TableText0"/>
              <w:numPr>
                <w:ilvl w:val="0"/>
                <w:numId w:val="6"/>
              </w:numPr>
              <w:ind w:hanging="196"/>
            </w:pPr>
            <w:r w:rsidRPr="00576299">
              <w:t>Dostarlimab OS Exponential (base case Lognormal)</w:t>
            </w:r>
          </w:p>
        </w:tc>
        <w:tc>
          <w:tcPr>
            <w:tcW w:w="613" w:type="pct"/>
            <w:shd w:val="clear" w:color="auto" w:fill="auto"/>
            <w:vAlign w:val="center"/>
          </w:tcPr>
          <w:p w14:paraId="6725AD05" w14:textId="15B5F6BB" w:rsidR="00B03F28" w:rsidRPr="00576299" w:rsidRDefault="00B03F28" w:rsidP="00BF0B72">
            <w:pPr>
              <w:pStyle w:val="TableText0"/>
              <w:jc w:val="center"/>
            </w:pPr>
            <w:r w:rsidRPr="00576299">
              <w:t>$</w:t>
            </w:r>
            <w:r w:rsidR="00833009" w:rsidRPr="00833009">
              <w:rPr>
                <w:color w:val="000000"/>
                <w:spacing w:val="50"/>
                <w:shd w:val="solid" w:color="000000" w:fill="000000"/>
                <w:fitText w:val="323" w:id="-1304167922"/>
                <w14:textFill>
                  <w14:solidFill>
                    <w14:srgbClr w14:val="000000">
                      <w14:alpha w14:val="100000"/>
                    </w14:srgbClr>
                  </w14:solidFill>
                </w14:textFill>
              </w:rPr>
              <w:t>|||</w:t>
            </w:r>
            <w:r w:rsidR="00833009" w:rsidRPr="00833009">
              <w:rPr>
                <w:color w:val="000000"/>
                <w:spacing w:val="3"/>
                <w:shd w:val="solid" w:color="000000" w:fill="000000"/>
                <w:fitText w:val="323" w:id="-1304167922"/>
                <w14:textFill>
                  <w14:solidFill>
                    <w14:srgbClr w14:val="000000">
                      <w14:alpha w14:val="100000"/>
                    </w14:srgbClr>
                  </w14:solidFill>
                </w14:textFill>
              </w:rPr>
              <w:t>|</w:t>
            </w:r>
          </w:p>
        </w:tc>
        <w:tc>
          <w:tcPr>
            <w:tcW w:w="651" w:type="pct"/>
            <w:shd w:val="clear" w:color="auto" w:fill="auto"/>
            <w:vAlign w:val="center"/>
          </w:tcPr>
          <w:p w14:paraId="2B6B7475" w14:textId="798EA7AB" w:rsidR="00B03F28" w:rsidRPr="00576299" w:rsidRDefault="00B03F28" w:rsidP="00BF0B72">
            <w:pPr>
              <w:pStyle w:val="TableText0"/>
              <w:jc w:val="center"/>
            </w:pPr>
            <w:r w:rsidRPr="00576299">
              <w:t>0.9804</w:t>
            </w:r>
          </w:p>
        </w:tc>
        <w:tc>
          <w:tcPr>
            <w:tcW w:w="651" w:type="pct"/>
            <w:shd w:val="clear" w:color="auto" w:fill="auto"/>
            <w:vAlign w:val="center"/>
          </w:tcPr>
          <w:p w14:paraId="545F6599" w14:textId="610BC8B5" w:rsidR="00B03F28" w:rsidRPr="00576299" w:rsidRDefault="00B03F28" w:rsidP="00BF0B72">
            <w:pPr>
              <w:pStyle w:val="TableText0"/>
              <w:jc w:val="center"/>
            </w:pPr>
            <w:r w:rsidRPr="00576299">
              <w:t>$</w:t>
            </w:r>
            <w:r w:rsidR="00833009" w:rsidRPr="00833009">
              <w:rPr>
                <w:color w:val="000000"/>
                <w:spacing w:val="54"/>
                <w:shd w:val="solid" w:color="000000" w:fill="000000"/>
                <w:fitText w:val="333" w:id="-1304167921"/>
                <w14:textFill>
                  <w14:solidFill>
                    <w14:srgbClr w14:val="000000">
                      <w14:alpha w14:val="100000"/>
                    </w14:srgbClr>
                  </w14:solidFill>
                </w14:textFill>
              </w:rPr>
              <w:t>|||</w:t>
            </w:r>
            <w:r w:rsidR="00833009" w:rsidRPr="00833009">
              <w:rPr>
                <w:color w:val="000000"/>
                <w:spacing w:val="1"/>
                <w:shd w:val="solid" w:color="000000" w:fill="000000"/>
                <w:fitText w:val="333" w:id="-1304167921"/>
                <w14:textFill>
                  <w14:solidFill>
                    <w14:srgbClr w14:val="000000">
                      <w14:alpha w14:val="100000"/>
                    </w14:srgbClr>
                  </w14:solidFill>
                </w14:textFill>
              </w:rPr>
              <w:t>|</w:t>
            </w:r>
            <w:r w:rsidR="0033224B">
              <w:rPr>
                <w:vertAlign w:val="superscript"/>
              </w:rPr>
              <w:t>1</w:t>
            </w:r>
          </w:p>
        </w:tc>
        <w:tc>
          <w:tcPr>
            <w:tcW w:w="651" w:type="pct"/>
            <w:shd w:val="clear" w:color="auto" w:fill="auto"/>
            <w:vAlign w:val="center"/>
          </w:tcPr>
          <w:p w14:paraId="6AC98827" w14:textId="0E198D51" w:rsidR="00B03F28" w:rsidRPr="00576299" w:rsidRDefault="00B03F28" w:rsidP="00BF0B72">
            <w:pPr>
              <w:pStyle w:val="TableText0"/>
              <w:jc w:val="center"/>
            </w:pPr>
            <w:r w:rsidRPr="00576299">
              <w:t>6.8%</w:t>
            </w:r>
          </w:p>
        </w:tc>
      </w:tr>
      <w:tr w:rsidR="00507FC7" w:rsidRPr="00576299" w14:paraId="79F7D845" w14:textId="77777777" w:rsidTr="00B25CA0">
        <w:tc>
          <w:tcPr>
            <w:tcW w:w="2434" w:type="pct"/>
            <w:shd w:val="clear" w:color="auto" w:fill="auto"/>
            <w:vAlign w:val="center"/>
          </w:tcPr>
          <w:p w14:paraId="5D7C3C1E" w14:textId="2D7DEED6" w:rsidR="00507FC7" w:rsidRPr="00576299" w:rsidRDefault="00507FC7" w:rsidP="002029E5">
            <w:pPr>
              <w:pStyle w:val="TableText0"/>
              <w:numPr>
                <w:ilvl w:val="0"/>
                <w:numId w:val="6"/>
              </w:numPr>
              <w:ind w:hanging="196"/>
            </w:pPr>
            <w:r w:rsidRPr="00576299">
              <w:t>SoC OS Weibull (base case Lognormal)</w:t>
            </w:r>
          </w:p>
        </w:tc>
        <w:tc>
          <w:tcPr>
            <w:tcW w:w="613" w:type="pct"/>
            <w:shd w:val="clear" w:color="auto" w:fill="auto"/>
          </w:tcPr>
          <w:p w14:paraId="021B21E5" w14:textId="17AC2540" w:rsidR="00507FC7" w:rsidRPr="00576299" w:rsidRDefault="00507FC7" w:rsidP="00BF0B72">
            <w:pPr>
              <w:pStyle w:val="TableText0"/>
              <w:jc w:val="center"/>
            </w:pPr>
            <w:r w:rsidRPr="00576299">
              <w:t>$</w:t>
            </w:r>
            <w:r w:rsidR="00833009" w:rsidRPr="00833009">
              <w:rPr>
                <w:color w:val="000000"/>
                <w:spacing w:val="50"/>
                <w:shd w:val="solid" w:color="000000" w:fill="000000"/>
                <w:fitText w:val="323" w:id="-1304167920"/>
                <w14:textFill>
                  <w14:solidFill>
                    <w14:srgbClr w14:val="000000">
                      <w14:alpha w14:val="100000"/>
                    </w14:srgbClr>
                  </w14:solidFill>
                </w14:textFill>
              </w:rPr>
              <w:t>|||</w:t>
            </w:r>
            <w:r w:rsidR="00833009" w:rsidRPr="00833009">
              <w:rPr>
                <w:color w:val="000000"/>
                <w:spacing w:val="3"/>
                <w:shd w:val="solid" w:color="000000" w:fill="000000"/>
                <w:fitText w:val="323" w:id="-1304167920"/>
                <w14:textFill>
                  <w14:solidFill>
                    <w14:srgbClr w14:val="000000">
                      <w14:alpha w14:val="100000"/>
                    </w14:srgbClr>
                  </w14:solidFill>
                </w14:textFill>
              </w:rPr>
              <w:t>|</w:t>
            </w:r>
          </w:p>
        </w:tc>
        <w:tc>
          <w:tcPr>
            <w:tcW w:w="651" w:type="pct"/>
            <w:shd w:val="clear" w:color="auto" w:fill="auto"/>
          </w:tcPr>
          <w:p w14:paraId="65EFFD3F" w14:textId="05B77CA8" w:rsidR="00507FC7" w:rsidRPr="00576299" w:rsidRDefault="00507FC7" w:rsidP="00BF0B72">
            <w:pPr>
              <w:pStyle w:val="TableText0"/>
              <w:jc w:val="center"/>
            </w:pPr>
            <w:r w:rsidRPr="00576299">
              <w:t>1.1013</w:t>
            </w:r>
          </w:p>
        </w:tc>
        <w:tc>
          <w:tcPr>
            <w:tcW w:w="651" w:type="pct"/>
            <w:shd w:val="clear" w:color="auto" w:fill="auto"/>
          </w:tcPr>
          <w:p w14:paraId="42D3366D" w14:textId="03919B1C" w:rsidR="00507FC7" w:rsidRPr="00576299" w:rsidRDefault="00507FC7" w:rsidP="00BF0B72">
            <w:pPr>
              <w:pStyle w:val="TableText0"/>
              <w:jc w:val="center"/>
            </w:pPr>
            <w:r w:rsidRPr="00576299">
              <w:t>$</w:t>
            </w:r>
            <w:r w:rsidR="00833009" w:rsidRPr="00833009">
              <w:rPr>
                <w:color w:val="000000"/>
                <w:spacing w:val="54"/>
                <w:shd w:val="solid" w:color="000000" w:fill="000000"/>
                <w:fitText w:val="333" w:id="-1304167936"/>
                <w14:textFill>
                  <w14:solidFill>
                    <w14:srgbClr w14:val="000000">
                      <w14:alpha w14:val="100000"/>
                    </w14:srgbClr>
                  </w14:solidFill>
                </w14:textFill>
              </w:rPr>
              <w:t>|||</w:t>
            </w:r>
            <w:r w:rsidR="00833009" w:rsidRPr="00833009">
              <w:rPr>
                <w:color w:val="000000"/>
                <w:spacing w:val="1"/>
                <w:shd w:val="solid" w:color="000000" w:fill="000000"/>
                <w:fitText w:val="333" w:id="-1304167936"/>
                <w14:textFill>
                  <w14:solidFill>
                    <w14:srgbClr w14:val="000000">
                      <w14:alpha w14:val="100000"/>
                    </w14:srgbClr>
                  </w14:solidFill>
                </w14:textFill>
              </w:rPr>
              <w:t>|</w:t>
            </w:r>
            <w:r w:rsidR="0033224B">
              <w:rPr>
                <w:vertAlign w:val="superscript"/>
              </w:rPr>
              <w:t>1</w:t>
            </w:r>
          </w:p>
        </w:tc>
        <w:tc>
          <w:tcPr>
            <w:tcW w:w="651" w:type="pct"/>
            <w:shd w:val="clear" w:color="auto" w:fill="auto"/>
          </w:tcPr>
          <w:p w14:paraId="3BDBCA97" w14:textId="0D4C3996" w:rsidR="00507FC7" w:rsidRPr="00576299" w:rsidRDefault="00507FC7" w:rsidP="00BF0B72">
            <w:pPr>
              <w:pStyle w:val="TableText0"/>
              <w:jc w:val="center"/>
            </w:pPr>
            <w:r w:rsidRPr="00576299">
              <w:t>-5.8%</w:t>
            </w:r>
          </w:p>
        </w:tc>
      </w:tr>
      <w:tr w:rsidR="00105150" w:rsidRPr="00576299" w14:paraId="21AAC3E3" w14:textId="77777777" w:rsidTr="00B03F28">
        <w:tc>
          <w:tcPr>
            <w:tcW w:w="2434" w:type="pct"/>
            <w:shd w:val="clear" w:color="auto" w:fill="auto"/>
            <w:vAlign w:val="center"/>
          </w:tcPr>
          <w:p w14:paraId="3430D1F8" w14:textId="0859F33E" w:rsidR="00105150" w:rsidRPr="00576299" w:rsidRDefault="00105150" w:rsidP="002029E5">
            <w:pPr>
              <w:pStyle w:val="TableText0"/>
              <w:numPr>
                <w:ilvl w:val="0"/>
                <w:numId w:val="6"/>
              </w:numPr>
              <w:ind w:hanging="196"/>
            </w:pPr>
            <w:r w:rsidRPr="00576299">
              <w:t>SoC OS Loglogistic (base case Lognormal)</w:t>
            </w:r>
          </w:p>
        </w:tc>
        <w:tc>
          <w:tcPr>
            <w:tcW w:w="613" w:type="pct"/>
            <w:shd w:val="clear" w:color="auto" w:fill="auto"/>
            <w:vAlign w:val="center"/>
          </w:tcPr>
          <w:p w14:paraId="4FF3D728" w14:textId="672E946B" w:rsidR="00105150" w:rsidRPr="00576299" w:rsidRDefault="00105150" w:rsidP="00BF0B72">
            <w:pPr>
              <w:pStyle w:val="TableText0"/>
              <w:jc w:val="center"/>
            </w:pPr>
            <w:r w:rsidRPr="00576299">
              <w:t>$</w:t>
            </w:r>
            <w:r w:rsidR="00833009" w:rsidRPr="00833009">
              <w:rPr>
                <w:color w:val="000000"/>
                <w:spacing w:val="50"/>
                <w:shd w:val="solid" w:color="000000" w:fill="000000"/>
                <w:fitText w:val="323" w:id="-1304167935"/>
                <w14:textFill>
                  <w14:solidFill>
                    <w14:srgbClr w14:val="000000">
                      <w14:alpha w14:val="100000"/>
                    </w14:srgbClr>
                  </w14:solidFill>
                </w14:textFill>
              </w:rPr>
              <w:t>|||</w:t>
            </w:r>
            <w:r w:rsidR="00833009" w:rsidRPr="00833009">
              <w:rPr>
                <w:color w:val="000000"/>
                <w:spacing w:val="3"/>
                <w:shd w:val="solid" w:color="000000" w:fill="000000"/>
                <w:fitText w:val="323" w:id="-1304167935"/>
                <w14:textFill>
                  <w14:solidFill>
                    <w14:srgbClr w14:val="000000">
                      <w14:alpha w14:val="100000"/>
                    </w14:srgbClr>
                  </w14:solidFill>
                </w14:textFill>
              </w:rPr>
              <w:t>|</w:t>
            </w:r>
          </w:p>
        </w:tc>
        <w:tc>
          <w:tcPr>
            <w:tcW w:w="651" w:type="pct"/>
            <w:shd w:val="clear" w:color="auto" w:fill="auto"/>
            <w:vAlign w:val="center"/>
          </w:tcPr>
          <w:p w14:paraId="5891FEFC" w14:textId="618812CF" w:rsidR="00105150" w:rsidRPr="00576299" w:rsidRDefault="00105150" w:rsidP="00BF0B72">
            <w:pPr>
              <w:pStyle w:val="TableText0"/>
              <w:jc w:val="center"/>
            </w:pPr>
            <w:r w:rsidRPr="00576299">
              <w:t>1.0404</w:t>
            </w:r>
          </w:p>
        </w:tc>
        <w:tc>
          <w:tcPr>
            <w:tcW w:w="651" w:type="pct"/>
            <w:shd w:val="clear" w:color="auto" w:fill="auto"/>
            <w:vAlign w:val="center"/>
          </w:tcPr>
          <w:p w14:paraId="73EFE123" w14:textId="4FAB193D" w:rsidR="00105150" w:rsidRPr="00576299" w:rsidRDefault="00105150" w:rsidP="00BF0B72">
            <w:pPr>
              <w:pStyle w:val="TableText0"/>
              <w:jc w:val="center"/>
            </w:pPr>
            <w:r w:rsidRPr="00576299">
              <w:t>$</w:t>
            </w:r>
            <w:r w:rsidR="00833009" w:rsidRPr="00833009">
              <w:rPr>
                <w:color w:val="000000"/>
                <w:spacing w:val="54"/>
                <w:shd w:val="solid" w:color="000000" w:fill="000000"/>
                <w:fitText w:val="333" w:id="-1304167934"/>
                <w14:textFill>
                  <w14:solidFill>
                    <w14:srgbClr w14:val="000000">
                      <w14:alpha w14:val="100000"/>
                    </w14:srgbClr>
                  </w14:solidFill>
                </w14:textFill>
              </w:rPr>
              <w:t>|||</w:t>
            </w:r>
            <w:r w:rsidR="00833009" w:rsidRPr="00833009">
              <w:rPr>
                <w:color w:val="000000"/>
                <w:spacing w:val="1"/>
                <w:shd w:val="solid" w:color="000000" w:fill="000000"/>
                <w:fitText w:val="333" w:id="-1304167934"/>
                <w14:textFill>
                  <w14:solidFill>
                    <w14:srgbClr w14:val="000000">
                      <w14:alpha w14:val="100000"/>
                    </w14:srgbClr>
                  </w14:solidFill>
                </w14:textFill>
              </w:rPr>
              <w:t>|</w:t>
            </w:r>
            <w:r w:rsidR="0033224B">
              <w:rPr>
                <w:vertAlign w:val="superscript"/>
              </w:rPr>
              <w:t>1</w:t>
            </w:r>
          </w:p>
        </w:tc>
        <w:tc>
          <w:tcPr>
            <w:tcW w:w="651" w:type="pct"/>
            <w:shd w:val="clear" w:color="auto" w:fill="auto"/>
            <w:vAlign w:val="center"/>
          </w:tcPr>
          <w:p w14:paraId="549CE284" w14:textId="7529EB70" w:rsidR="00105150" w:rsidRPr="00576299" w:rsidRDefault="00105150" w:rsidP="00BF0B72">
            <w:pPr>
              <w:pStyle w:val="TableText0"/>
              <w:jc w:val="center"/>
            </w:pPr>
            <w:r w:rsidRPr="00576299">
              <w:t>0.2%</w:t>
            </w:r>
          </w:p>
        </w:tc>
      </w:tr>
    </w:tbl>
    <w:p w14:paraId="32DB9436" w14:textId="77777777" w:rsidR="002B2253" w:rsidRPr="00576299" w:rsidRDefault="002B2253" w:rsidP="002B2253">
      <w:pPr>
        <w:pStyle w:val="TableNotes"/>
        <w:spacing w:after="0"/>
        <w:rPr>
          <w:szCs w:val="18"/>
        </w:rPr>
      </w:pPr>
      <w:r w:rsidRPr="00576299">
        <w:rPr>
          <w:szCs w:val="18"/>
        </w:rPr>
        <w:t>Source: Table 119, p248 of the resubmission.</w:t>
      </w:r>
    </w:p>
    <w:p w14:paraId="57F737CB" w14:textId="4B3FAEE2" w:rsidR="0092254A" w:rsidRPr="00576299" w:rsidRDefault="0092254A" w:rsidP="00105150">
      <w:pPr>
        <w:pStyle w:val="TableNotes"/>
        <w:spacing w:after="0"/>
        <w:rPr>
          <w:szCs w:val="18"/>
        </w:rPr>
      </w:pPr>
      <w:r w:rsidRPr="00576299">
        <w:rPr>
          <w:szCs w:val="18"/>
        </w:rPr>
        <w:t>ICER = incremental cost effectiveness ratio; OS = overall survival; PD = progressed disease; PF = progression-free; PFS = progression-free survival; QALY = quality adjusted life years; SoC = standard of care.</w:t>
      </w:r>
    </w:p>
    <w:p w14:paraId="19BFDBF4" w14:textId="208DEB79" w:rsidR="0092254A" w:rsidRDefault="006E7CAC" w:rsidP="0033224B">
      <w:pPr>
        <w:pStyle w:val="TableFooter"/>
        <w:keepNext/>
        <w:keepLines/>
        <w:rPr>
          <w:szCs w:val="18"/>
        </w:rPr>
      </w:pPr>
      <w:r w:rsidRPr="00576299">
        <w:rPr>
          <w:szCs w:val="18"/>
        </w:rPr>
        <w:t>a</w:t>
      </w:r>
      <w:r w:rsidR="002B2253" w:rsidRPr="00576299">
        <w:rPr>
          <w:szCs w:val="18"/>
        </w:rPr>
        <w:t xml:space="preserve"> This figure could not be independently verified.</w:t>
      </w:r>
    </w:p>
    <w:p w14:paraId="3653BB8C" w14:textId="77777777" w:rsidR="0033224B" w:rsidRPr="009A6D58" w:rsidRDefault="0033224B" w:rsidP="0033224B">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454EAB1F" w14:textId="2D0F0BA4" w:rsidR="0033224B" w:rsidRPr="009A6D58" w:rsidRDefault="0033224B" w:rsidP="0033224B">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33224B">
        <w:rPr>
          <w:rFonts w:ascii="Arial Narrow" w:hAnsi="Arial Narrow"/>
          <w:i/>
          <w:sz w:val="18"/>
          <w:szCs w:val="18"/>
        </w:rPr>
        <w:t>$55,000 to &lt; $75,000</w:t>
      </w:r>
    </w:p>
    <w:p w14:paraId="7607A61D" w14:textId="7E07E472" w:rsidR="0033224B" w:rsidRPr="009A6D58" w:rsidRDefault="0033224B" w:rsidP="0033224B">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33224B">
        <w:rPr>
          <w:rFonts w:ascii="Arial Narrow" w:hAnsi="Arial Narrow"/>
          <w:i/>
          <w:sz w:val="18"/>
          <w:szCs w:val="18"/>
        </w:rPr>
        <w:t>$95,000 to &lt; $115,000</w:t>
      </w:r>
    </w:p>
    <w:p w14:paraId="1E7CAF48" w14:textId="3CC319B8" w:rsidR="0033224B" w:rsidRDefault="0033224B" w:rsidP="0033224B">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33224B">
        <w:rPr>
          <w:rFonts w:ascii="Arial Narrow" w:hAnsi="Arial Narrow"/>
          <w:i/>
          <w:sz w:val="18"/>
          <w:szCs w:val="18"/>
        </w:rPr>
        <w:t>$35,000 to &lt; $45,000</w:t>
      </w:r>
    </w:p>
    <w:p w14:paraId="7F8F44EA" w14:textId="1D93AC34" w:rsidR="0033224B" w:rsidRPr="0033224B" w:rsidRDefault="0033224B" w:rsidP="0033224B">
      <w:pPr>
        <w:spacing w:after="120"/>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33224B">
        <w:rPr>
          <w:rFonts w:ascii="Arial Narrow" w:hAnsi="Arial Narrow"/>
          <w:i/>
          <w:sz w:val="18"/>
          <w:szCs w:val="18"/>
        </w:rPr>
        <w:t>$45,000 to &lt; $55,000</w:t>
      </w:r>
    </w:p>
    <w:p w14:paraId="4EFED79A" w14:textId="0815CB5F" w:rsidR="00AE207D" w:rsidRPr="00576299" w:rsidRDefault="0092254A" w:rsidP="00AE207D">
      <w:pPr>
        <w:pStyle w:val="3-BodyText"/>
      </w:pPr>
      <w:r w:rsidRPr="00576299">
        <w:t>Compared to the previous submission, sensitivity analyses for the resubmission indicated that the ICER for the current model was less variable when changes were made to time horizon (e.g. a 5 year time horizon resulted in a +12.8% change in the resubmission compared to +54.3% in the previous submission), terminal care costs (e.g. removing terminal care costs altogether resulted in a +7.0% change in the resubmission compared to +13.5% in the previous submission) and changes in parametric function used for OS and PFS (e.g. using an exponential extrapolation for all OS and PFS curves resulted in a +2.0% change in the resubmission compared to +44.0% in the previous submission). These differences could be explained by the shorter time horizon in the base case and the convergence assumed.</w:t>
      </w:r>
    </w:p>
    <w:p w14:paraId="0DC872EB" w14:textId="587B60AE" w:rsidR="0092254A" w:rsidRPr="00576299" w:rsidRDefault="0092254A" w:rsidP="0092254A">
      <w:pPr>
        <w:pStyle w:val="3-BodyText"/>
      </w:pPr>
      <w:r w:rsidRPr="00576299">
        <w:t xml:space="preserve">Multivariate sensitivity analyses were conducted by the resubmission with respect to the data source used to inform the SoC arm of the model, using the studies included </w:t>
      </w:r>
      <w:r w:rsidRPr="00576299">
        <w:lastRenderedPageBreak/>
        <w:t>in the submission</w:t>
      </w:r>
      <w:r w:rsidR="00F838B1" w:rsidRPr="00576299">
        <w:t>’</w:t>
      </w:r>
      <w:r w:rsidRPr="00576299">
        <w:t>s clinical evaluation (IXAMPLE2, KEYNOTE-775, and the UK RWE). The choice of SoC arm used to inform the SoC arm had a low to moderate impact on the ICER. Depending on the SoC arm selected, the resulting ICER varied by up to 1</w:t>
      </w:r>
      <w:r w:rsidR="00BF5E2E" w:rsidRPr="00576299">
        <w:t>4</w:t>
      </w:r>
      <w:r w:rsidRPr="00576299">
        <w:t>.</w:t>
      </w:r>
      <w:r w:rsidR="00BF5E2E" w:rsidRPr="00576299">
        <w:t>8</w:t>
      </w:r>
      <w:r w:rsidRPr="00576299">
        <w:t>% (</w:t>
      </w:r>
      <w:r w:rsidRPr="00576299">
        <w:fldChar w:fldCharType="begin"/>
      </w:r>
      <w:r w:rsidRPr="00576299">
        <w:instrText xml:space="preserve"> REF _Ref111455065 \h </w:instrText>
      </w:r>
      <w:r w:rsidR="00C535E4" w:rsidRPr="00576299">
        <w:instrText xml:space="preserve"> \* MERGEFORMAT </w:instrText>
      </w:r>
      <w:r w:rsidRPr="00576299">
        <w:fldChar w:fldCharType="separate"/>
      </w:r>
      <w:r w:rsidR="00CD09E9" w:rsidRPr="00576299">
        <w:t xml:space="preserve">Table </w:t>
      </w:r>
      <w:r w:rsidR="00CD09E9">
        <w:t>19</w:t>
      </w:r>
      <w:r w:rsidRPr="00576299">
        <w:fldChar w:fldCharType="end"/>
      </w:r>
      <w:r w:rsidRPr="00576299">
        <w:t>)</w:t>
      </w:r>
      <w:r w:rsidR="00C55505" w:rsidRPr="00576299">
        <w:t xml:space="preserve">. </w:t>
      </w:r>
      <w:r w:rsidR="00C55505" w:rsidRPr="004654C2">
        <w:t xml:space="preserve">However, the ESC considered the variation observed did not reflect the extent of uncertainty with regard to the clinical benefit </w:t>
      </w:r>
      <w:r w:rsidR="00322E74" w:rsidRPr="004654C2">
        <w:t xml:space="preserve">as </w:t>
      </w:r>
      <w:r w:rsidR="00C55505" w:rsidRPr="004654C2">
        <w:t>these analyses had the same limitations as the base case (e.g. informed by single arms of different studies/trials with transitivity issues, and</w:t>
      </w:r>
      <w:r w:rsidR="00322E74" w:rsidRPr="004654C2">
        <w:t xml:space="preserve"> a reliance on</w:t>
      </w:r>
      <w:r w:rsidR="00C55505" w:rsidRPr="004654C2">
        <w:t xml:space="preserve"> immature data from the single-arm GARNET study informing the dostarlimab arm).</w:t>
      </w:r>
      <w:r w:rsidR="00C55505" w:rsidRPr="00576299">
        <w:rPr>
          <w:i/>
          <w:iCs/>
        </w:rPr>
        <w:t xml:space="preserve">  </w:t>
      </w:r>
    </w:p>
    <w:p w14:paraId="5DED59A4" w14:textId="059E900E" w:rsidR="0092254A" w:rsidRPr="00576299" w:rsidRDefault="0092254A" w:rsidP="0092254A">
      <w:pPr>
        <w:pStyle w:val="Caption"/>
        <w:rPr>
          <w:rStyle w:val="CommentReference"/>
          <w:b/>
          <w:szCs w:val="18"/>
        </w:rPr>
      </w:pPr>
      <w:bookmarkStart w:id="66" w:name="_Ref111455065"/>
      <w:r w:rsidRPr="00576299">
        <w:t xml:space="preserve">Table </w:t>
      </w:r>
      <w:fldSimple w:instr=" SEQ Table \* ARABIC ">
        <w:r w:rsidR="00CD09E9">
          <w:rPr>
            <w:noProof/>
          </w:rPr>
          <w:t>19</w:t>
        </w:r>
      </w:fldSimple>
      <w:bookmarkEnd w:id="66"/>
      <w:r w:rsidRPr="00576299">
        <w:rPr>
          <w:rStyle w:val="CommentReference"/>
          <w:b/>
          <w:szCs w:val="18"/>
        </w:rPr>
        <w:t>: Results of the multivariate sensitivity analyses (applying PFS, OS, chemotherapy regimens and treatment durations) of alternative SoC studies</w:t>
      </w:r>
    </w:p>
    <w:tbl>
      <w:tblPr>
        <w:tblStyle w:val="TableGrid"/>
        <w:tblW w:w="5000" w:type="pct"/>
        <w:tblLook w:val="04A0" w:firstRow="1" w:lastRow="0" w:firstColumn="1" w:lastColumn="0" w:noHBand="0" w:noVBand="1"/>
      </w:tblPr>
      <w:tblGrid>
        <w:gridCol w:w="2690"/>
        <w:gridCol w:w="1581"/>
        <w:gridCol w:w="1582"/>
        <w:gridCol w:w="1582"/>
        <w:gridCol w:w="1582"/>
      </w:tblGrid>
      <w:tr w:rsidR="0092254A" w:rsidRPr="00576299" w14:paraId="7629FB86" w14:textId="77777777" w:rsidTr="00C068F2">
        <w:tc>
          <w:tcPr>
            <w:tcW w:w="1492" w:type="pct"/>
            <w:tcBorders>
              <w:bottom w:val="single" w:sz="4" w:space="0" w:color="000000" w:themeColor="text1"/>
            </w:tcBorders>
            <w:shd w:val="clear" w:color="auto" w:fill="auto"/>
            <w:vAlign w:val="center"/>
          </w:tcPr>
          <w:p w14:paraId="7594D239" w14:textId="77777777" w:rsidR="0092254A" w:rsidRPr="00576299" w:rsidRDefault="0092254A" w:rsidP="00C068F2">
            <w:pPr>
              <w:pStyle w:val="In-tableHeading"/>
              <w:rPr>
                <w:lang w:val="en-AU"/>
              </w:rPr>
            </w:pPr>
            <w:r w:rsidRPr="00576299">
              <w:rPr>
                <w:lang w:val="en-AU"/>
              </w:rPr>
              <w:t>SoC study</w:t>
            </w:r>
          </w:p>
        </w:tc>
        <w:tc>
          <w:tcPr>
            <w:tcW w:w="877" w:type="pct"/>
            <w:tcBorders>
              <w:bottom w:val="single" w:sz="4" w:space="0" w:color="000000" w:themeColor="text1"/>
            </w:tcBorders>
            <w:shd w:val="clear" w:color="auto" w:fill="auto"/>
            <w:vAlign w:val="center"/>
          </w:tcPr>
          <w:p w14:paraId="6951D941" w14:textId="77777777" w:rsidR="0092254A" w:rsidRPr="00576299" w:rsidRDefault="0092254A" w:rsidP="00C068F2">
            <w:pPr>
              <w:pStyle w:val="In-tableHeading"/>
              <w:jc w:val="center"/>
              <w:rPr>
                <w:lang w:val="en-AU"/>
              </w:rPr>
            </w:pPr>
            <w:r w:rsidRPr="00576299">
              <w:rPr>
                <w:lang w:val="en-AU"/>
              </w:rPr>
              <w:t>Incr. cost</w:t>
            </w:r>
          </w:p>
        </w:tc>
        <w:tc>
          <w:tcPr>
            <w:tcW w:w="877" w:type="pct"/>
            <w:tcBorders>
              <w:bottom w:val="single" w:sz="4" w:space="0" w:color="000000" w:themeColor="text1"/>
            </w:tcBorders>
            <w:shd w:val="clear" w:color="auto" w:fill="auto"/>
            <w:vAlign w:val="center"/>
          </w:tcPr>
          <w:p w14:paraId="040878E5" w14:textId="77777777" w:rsidR="0092254A" w:rsidRPr="00576299" w:rsidRDefault="0092254A" w:rsidP="00C068F2">
            <w:pPr>
              <w:pStyle w:val="In-tableHeading"/>
              <w:jc w:val="center"/>
              <w:rPr>
                <w:lang w:val="en-AU"/>
              </w:rPr>
            </w:pPr>
            <w:r w:rsidRPr="00576299">
              <w:rPr>
                <w:lang w:val="en-AU"/>
              </w:rPr>
              <w:t>Incr. QALYs</w:t>
            </w:r>
          </w:p>
        </w:tc>
        <w:tc>
          <w:tcPr>
            <w:tcW w:w="877" w:type="pct"/>
            <w:tcBorders>
              <w:bottom w:val="single" w:sz="4" w:space="0" w:color="000000" w:themeColor="text1"/>
            </w:tcBorders>
            <w:shd w:val="clear" w:color="auto" w:fill="auto"/>
            <w:vAlign w:val="center"/>
          </w:tcPr>
          <w:p w14:paraId="54129A58" w14:textId="77777777" w:rsidR="0092254A" w:rsidRPr="00576299" w:rsidRDefault="0092254A" w:rsidP="00C068F2">
            <w:pPr>
              <w:pStyle w:val="In-tableHeading"/>
              <w:jc w:val="center"/>
              <w:rPr>
                <w:lang w:val="en-AU"/>
              </w:rPr>
            </w:pPr>
            <w:r w:rsidRPr="00576299">
              <w:rPr>
                <w:lang w:val="en-AU"/>
              </w:rPr>
              <w:t>ICER</w:t>
            </w:r>
          </w:p>
        </w:tc>
        <w:tc>
          <w:tcPr>
            <w:tcW w:w="877" w:type="pct"/>
            <w:tcBorders>
              <w:bottom w:val="single" w:sz="4" w:space="0" w:color="000000" w:themeColor="text1"/>
            </w:tcBorders>
            <w:shd w:val="clear" w:color="auto" w:fill="auto"/>
            <w:vAlign w:val="center"/>
          </w:tcPr>
          <w:p w14:paraId="68B801CD" w14:textId="77777777" w:rsidR="0092254A" w:rsidRPr="00576299" w:rsidRDefault="0092254A" w:rsidP="00C068F2">
            <w:pPr>
              <w:pStyle w:val="In-tableHeading"/>
              <w:jc w:val="center"/>
              <w:rPr>
                <w:lang w:val="en-AU"/>
              </w:rPr>
            </w:pPr>
            <w:r w:rsidRPr="00576299">
              <w:rPr>
                <w:lang w:val="en-AU"/>
              </w:rPr>
              <w:t>% Difference</w:t>
            </w:r>
          </w:p>
        </w:tc>
      </w:tr>
      <w:tr w:rsidR="0092254A" w:rsidRPr="00576299" w14:paraId="41C3A31B" w14:textId="77777777" w:rsidTr="00C068F2">
        <w:tc>
          <w:tcPr>
            <w:tcW w:w="1492" w:type="pct"/>
            <w:shd w:val="clear" w:color="auto" w:fill="auto"/>
            <w:vAlign w:val="center"/>
          </w:tcPr>
          <w:p w14:paraId="43A32CA8" w14:textId="77777777" w:rsidR="0092254A" w:rsidRPr="00576299" w:rsidRDefault="0092254A" w:rsidP="00C068F2">
            <w:pPr>
              <w:pStyle w:val="TableText0"/>
            </w:pPr>
            <w:r w:rsidRPr="00576299">
              <w:t>ZoptEC (base case)</w:t>
            </w:r>
          </w:p>
        </w:tc>
        <w:tc>
          <w:tcPr>
            <w:tcW w:w="877" w:type="pct"/>
            <w:shd w:val="clear" w:color="auto" w:fill="auto"/>
            <w:vAlign w:val="center"/>
          </w:tcPr>
          <w:p w14:paraId="65F4EEF0" w14:textId="77F2F8AA" w:rsidR="0092254A" w:rsidRPr="00576299" w:rsidRDefault="0092254A" w:rsidP="00C068F2">
            <w:pPr>
              <w:pStyle w:val="TableText0"/>
              <w:jc w:val="center"/>
            </w:pPr>
            <w:r w:rsidRPr="00576299">
              <w:rPr>
                <w:b/>
                <w:bCs w:val="0"/>
              </w:rPr>
              <w:t>$</w:t>
            </w:r>
            <w:r w:rsidR="00833009" w:rsidRPr="00833009">
              <w:rPr>
                <w:rFonts w:hint="eastAsia"/>
                <w:b/>
                <w:bCs w:val="0"/>
                <w:color w:val="000000"/>
                <w:w w:val="19"/>
                <w:shd w:val="solid" w:color="000000" w:fill="000000"/>
                <w:fitText w:val="86" w:id="-1304167933"/>
                <w14:textFill>
                  <w14:solidFill>
                    <w14:srgbClr w14:val="000000">
                      <w14:alpha w14:val="100000"/>
                    </w14:srgbClr>
                  </w14:solidFill>
                </w14:textFill>
              </w:rPr>
              <w:t xml:space="preserve">　</w:t>
            </w:r>
            <w:r w:rsidR="00833009" w:rsidRPr="00833009">
              <w:rPr>
                <w:b/>
                <w:bCs w:val="0"/>
                <w:color w:val="000000"/>
                <w:w w:val="19"/>
                <w:shd w:val="solid" w:color="000000" w:fill="000000"/>
                <w:fitText w:val="86" w:id="-1304167933"/>
                <w14:textFill>
                  <w14:solidFill>
                    <w14:srgbClr w14:val="000000">
                      <w14:alpha w14:val="100000"/>
                    </w14:srgbClr>
                  </w14:solidFill>
                </w14:textFill>
              </w:rPr>
              <w:t>|</w:t>
            </w:r>
            <w:r w:rsidR="00833009" w:rsidRPr="00833009">
              <w:rPr>
                <w:rFonts w:hint="eastAsia"/>
                <w:b/>
                <w:bCs w:val="0"/>
                <w:color w:val="000000"/>
                <w:spacing w:val="2"/>
                <w:w w:val="19"/>
                <w:shd w:val="solid" w:color="000000" w:fill="000000"/>
                <w:fitText w:val="86" w:id="-1304167933"/>
                <w14:textFill>
                  <w14:solidFill>
                    <w14:srgbClr w14:val="000000">
                      <w14:alpha w14:val="100000"/>
                    </w14:srgbClr>
                  </w14:solidFill>
                </w14:textFill>
              </w:rPr>
              <w:t xml:space="preserve">　</w:t>
            </w:r>
          </w:p>
        </w:tc>
        <w:tc>
          <w:tcPr>
            <w:tcW w:w="877" w:type="pct"/>
            <w:shd w:val="clear" w:color="auto" w:fill="auto"/>
            <w:vAlign w:val="center"/>
          </w:tcPr>
          <w:p w14:paraId="007F5917" w14:textId="77777777" w:rsidR="0092254A" w:rsidRPr="00576299" w:rsidRDefault="0092254A" w:rsidP="00C068F2">
            <w:pPr>
              <w:pStyle w:val="TableText0"/>
              <w:jc w:val="center"/>
            </w:pPr>
            <w:r w:rsidRPr="00576299">
              <w:rPr>
                <w:b/>
                <w:bCs w:val="0"/>
              </w:rPr>
              <w:t>1.0421</w:t>
            </w:r>
          </w:p>
        </w:tc>
        <w:tc>
          <w:tcPr>
            <w:tcW w:w="877" w:type="pct"/>
            <w:shd w:val="clear" w:color="auto" w:fill="auto"/>
            <w:vAlign w:val="center"/>
          </w:tcPr>
          <w:p w14:paraId="30896A0C" w14:textId="6C4E1F60" w:rsidR="0092254A" w:rsidRPr="0033224B" w:rsidRDefault="0092254A" w:rsidP="00C068F2">
            <w:pPr>
              <w:pStyle w:val="TableText0"/>
              <w:jc w:val="center"/>
              <w:rPr>
                <w:vertAlign w:val="superscript"/>
              </w:rPr>
            </w:pPr>
            <w:r w:rsidRPr="00576299">
              <w:rPr>
                <w:b/>
                <w:bCs w:val="0"/>
              </w:rPr>
              <w:t>$</w:t>
            </w:r>
            <w:r w:rsidR="00833009" w:rsidRPr="00833009">
              <w:rPr>
                <w:rFonts w:hint="eastAsia"/>
                <w:b/>
                <w:bCs w:val="0"/>
                <w:color w:val="000000"/>
                <w:w w:val="28"/>
                <w:shd w:val="solid" w:color="000000" w:fill="000000"/>
                <w:fitText w:val="129" w:id="-1304167932"/>
                <w14:textFill>
                  <w14:solidFill>
                    <w14:srgbClr w14:val="000000">
                      <w14:alpha w14:val="100000"/>
                    </w14:srgbClr>
                  </w14:solidFill>
                </w14:textFill>
              </w:rPr>
              <w:t xml:space="preserve">　</w:t>
            </w:r>
            <w:r w:rsidR="00833009" w:rsidRPr="00833009">
              <w:rPr>
                <w:b/>
                <w:bCs w:val="0"/>
                <w:color w:val="000000"/>
                <w:w w:val="28"/>
                <w:shd w:val="solid" w:color="000000" w:fill="000000"/>
                <w:fitText w:val="129" w:id="-1304167932"/>
                <w14:textFill>
                  <w14:solidFill>
                    <w14:srgbClr w14:val="000000">
                      <w14:alpha w14:val="100000"/>
                    </w14:srgbClr>
                  </w14:solidFill>
                </w14:textFill>
              </w:rPr>
              <w:t>|</w:t>
            </w:r>
            <w:r w:rsidR="00833009" w:rsidRPr="00833009">
              <w:rPr>
                <w:rFonts w:hint="eastAsia"/>
                <w:b/>
                <w:bCs w:val="0"/>
                <w:color w:val="000000"/>
                <w:spacing w:val="6"/>
                <w:w w:val="28"/>
                <w:shd w:val="solid" w:color="000000" w:fill="000000"/>
                <w:fitText w:val="129" w:id="-1304167932"/>
                <w14:textFill>
                  <w14:solidFill>
                    <w14:srgbClr w14:val="000000">
                      <w14:alpha w14:val="100000"/>
                    </w14:srgbClr>
                  </w14:solidFill>
                </w14:textFill>
              </w:rPr>
              <w:t xml:space="preserve">　</w:t>
            </w:r>
            <w:r w:rsidR="0033224B">
              <w:rPr>
                <w:vertAlign w:val="superscript"/>
              </w:rPr>
              <w:t>1</w:t>
            </w:r>
          </w:p>
        </w:tc>
        <w:tc>
          <w:tcPr>
            <w:tcW w:w="877" w:type="pct"/>
            <w:shd w:val="clear" w:color="auto" w:fill="auto"/>
            <w:vAlign w:val="center"/>
          </w:tcPr>
          <w:p w14:paraId="22B62C06" w14:textId="77777777" w:rsidR="0092254A" w:rsidRPr="00576299" w:rsidRDefault="0092254A" w:rsidP="00C068F2">
            <w:pPr>
              <w:pStyle w:val="TableText0"/>
              <w:jc w:val="center"/>
            </w:pPr>
            <w:r w:rsidRPr="00576299">
              <w:rPr>
                <w:b/>
                <w:bCs w:val="0"/>
              </w:rPr>
              <w:t>-</w:t>
            </w:r>
          </w:p>
        </w:tc>
      </w:tr>
      <w:tr w:rsidR="0092254A" w:rsidRPr="00576299" w14:paraId="6B8975B1" w14:textId="77777777" w:rsidTr="00C068F2">
        <w:tc>
          <w:tcPr>
            <w:tcW w:w="1492" w:type="pct"/>
            <w:shd w:val="clear" w:color="auto" w:fill="auto"/>
            <w:vAlign w:val="center"/>
          </w:tcPr>
          <w:p w14:paraId="0955187E" w14:textId="77777777" w:rsidR="0092254A" w:rsidRPr="00576299" w:rsidRDefault="0092254A" w:rsidP="00C068F2">
            <w:pPr>
              <w:pStyle w:val="TableText0"/>
            </w:pPr>
            <w:r w:rsidRPr="00576299">
              <w:t>IXAMPLE2</w:t>
            </w:r>
          </w:p>
        </w:tc>
        <w:tc>
          <w:tcPr>
            <w:tcW w:w="877" w:type="pct"/>
            <w:shd w:val="clear" w:color="auto" w:fill="auto"/>
          </w:tcPr>
          <w:p w14:paraId="2099551E" w14:textId="1634E6BC" w:rsidR="0092254A" w:rsidRPr="00576299" w:rsidRDefault="0092254A" w:rsidP="00C068F2">
            <w:pPr>
              <w:pStyle w:val="TableText0"/>
              <w:jc w:val="center"/>
            </w:pPr>
            <w:r w:rsidRPr="00576299">
              <w:t>$</w:t>
            </w:r>
            <w:r w:rsidR="00833009" w:rsidRPr="00833009">
              <w:rPr>
                <w:rFonts w:hint="eastAsia"/>
                <w:color w:val="000000"/>
                <w:w w:val="19"/>
                <w:shd w:val="solid" w:color="000000" w:fill="000000"/>
                <w:fitText w:val="86" w:id="-1304167931"/>
                <w14:textFill>
                  <w14:solidFill>
                    <w14:srgbClr w14:val="000000">
                      <w14:alpha w14:val="100000"/>
                    </w14:srgbClr>
                  </w14:solidFill>
                </w14:textFill>
              </w:rPr>
              <w:t xml:space="preserve">　</w:t>
            </w:r>
            <w:r w:rsidR="00833009" w:rsidRPr="00833009">
              <w:rPr>
                <w:color w:val="000000"/>
                <w:w w:val="19"/>
                <w:shd w:val="solid" w:color="000000" w:fill="000000"/>
                <w:fitText w:val="86" w:id="-1304167931"/>
                <w14:textFill>
                  <w14:solidFill>
                    <w14:srgbClr w14:val="000000">
                      <w14:alpha w14:val="100000"/>
                    </w14:srgbClr>
                  </w14:solidFill>
                </w14:textFill>
              </w:rPr>
              <w:t>|</w:t>
            </w:r>
            <w:r w:rsidR="00833009" w:rsidRPr="00833009">
              <w:rPr>
                <w:rFonts w:hint="eastAsia"/>
                <w:color w:val="000000"/>
                <w:spacing w:val="2"/>
                <w:w w:val="19"/>
                <w:shd w:val="solid" w:color="000000" w:fill="000000"/>
                <w:fitText w:val="86" w:id="-1304167931"/>
                <w14:textFill>
                  <w14:solidFill>
                    <w14:srgbClr w14:val="000000">
                      <w14:alpha w14:val="100000"/>
                    </w14:srgbClr>
                  </w14:solidFill>
                </w14:textFill>
              </w:rPr>
              <w:t xml:space="preserve">　</w:t>
            </w:r>
          </w:p>
        </w:tc>
        <w:tc>
          <w:tcPr>
            <w:tcW w:w="877" w:type="pct"/>
            <w:shd w:val="clear" w:color="auto" w:fill="auto"/>
          </w:tcPr>
          <w:p w14:paraId="35633458" w14:textId="77777777" w:rsidR="0092254A" w:rsidRPr="00576299" w:rsidRDefault="0092254A" w:rsidP="00C068F2">
            <w:pPr>
              <w:pStyle w:val="TableText0"/>
              <w:jc w:val="center"/>
            </w:pPr>
            <w:r w:rsidRPr="00576299">
              <w:t>0.9169</w:t>
            </w:r>
          </w:p>
        </w:tc>
        <w:tc>
          <w:tcPr>
            <w:tcW w:w="877" w:type="pct"/>
            <w:shd w:val="clear" w:color="auto" w:fill="auto"/>
          </w:tcPr>
          <w:p w14:paraId="39DBE2A5" w14:textId="72351043" w:rsidR="0092254A" w:rsidRPr="00576299" w:rsidRDefault="0092254A" w:rsidP="00C068F2">
            <w:pPr>
              <w:pStyle w:val="TableText0"/>
              <w:jc w:val="center"/>
            </w:pPr>
            <w:r w:rsidRPr="00576299">
              <w:t>$</w:t>
            </w:r>
            <w:r w:rsidR="00833009" w:rsidRPr="00833009">
              <w:rPr>
                <w:rFonts w:hint="eastAsia"/>
                <w:color w:val="000000"/>
                <w:w w:val="29"/>
                <w:shd w:val="solid" w:color="000000" w:fill="000000"/>
                <w:fitText w:val="129" w:id="-1304167930"/>
                <w14:textFill>
                  <w14:solidFill>
                    <w14:srgbClr w14:val="000000">
                      <w14:alpha w14:val="100000"/>
                    </w14:srgbClr>
                  </w14:solidFill>
                </w14:textFill>
              </w:rPr>
              <w:t xml:space="preserve">　</w:t>
            </w:r>
            <w:r w:rsidR="00833009" w:rsidRPr="00833009">
              <w:rPr>
                <w:color w:val="000000"/>
                <w:w w:val="29"/>
                <w:shd w:val="solid" w:color="000000" w:fill="000000"/>
                <w:fitText w:val="129" w:id="-1304167930"/>
                <w14:textFill>
                  <w14:solidFill>
                    <w14:srgbClr w14:val="000000">
                      <w14:alpha w14:val="100000"/>
                    </w14:srgbClr>
                  </w14:solidFill>
                </w14:textFill>
              </w:rPr>
              <w:t>|</w:t>
            </w:r>
            <w:r w:rsidR="00833009" w:rsidRPr="00833009">
              <w:rPr>
                <w:rFonts w:hint="eastAsia"/>
                <w:color w:val="000000"/>
                <w:spacing w:val="1"/>
                <w:w w:val="29"/>
                <w:shd w:val="solid" w:color="000000" w:fill="000000"/>
                <w:fitText w:val="129" w:id="-1304167930"/>
                <w14:textFill>
                  <w14:solidFill>
                    <w14:srgbClr w14:val="000000">
                      <w14:alpha w14:val="100000"/>
                    </w14:srgbClr>
                  </w14:solidFill>
                </w14:textFill>
              </w:rPr>
              <w:t xml:space="preserve">　</w:t>
            </w:r>
            <w:r w:rsidR="0033224B">
              <w:rPr>
                <w:vertAlign w:val="superscript"/>
              </w:rPr>
              <w:t>1</w:t>
            </w:r>
          </w:p>
        </w:tc>
        <w:tc>
          <w:tcPr>
            <w:tcW w:w="877" w:type="pct"/>
            <w:shd w:val="clear" w:color="auto" w:fill="auto"/>
          </w:tcPr>
          <w:p w14:paraId="4392A324" w14:textId="77777777" w:rsidR="0092254A" w:rsidRPr="00576299" w:rsidRDefault="0092254A" w:rsidP="00C068F2">
            <w:pPr>
              <w:pStyle w:val="TableText0"/>
              <w:jc w:val="center"/>
            </w:pPr>
            <w:r w:rsidRPr="00576299">
              <w:t>14.8%</w:t>
            </w:r>
          </w:p>
        </w:tc>
      </w:tr>
      <w:tr w:rsidR="0092254A" w:rsidRPr="00576299" w14:paraId="788AF2F8" w14:textId="77777777" w:rsidTr="00C068F2">
        <w:tc>
          <w:tcPr>
            <w:tcW w:w="1492" w:type="pct"/>
            <w:shd w:val="clear" w:color="auto" w:fill="auto"/>
            <w:vAlign w:val="center"/>
          </w:tcPr>
          <w:p w14:paraId="1374EA6F" w14:textId="77777777" w:rsidR="0092254A" w:rsidRPr="00576299" w:rsidRDefault="0092254A" w:rsidP="00C068F2">
            <w:pPr>
              <w:pStyle w:val="TableText0"/>
            </w:pPr>
            <w:r w:rsidRPr="00576299">
              <w:t>KEYNOTE-775 ITT</w:t>
            </w:r>
          </w:p>
        </w:tc>
        <w:tc>
          <w:tcPr>
            <w:tcW w:w="877" w:type="pct"/>
            <w:shd w:val="clear" w:color="auto" w:fill="auto"/>
          </w:tcPr>
          <w:p w14:paraId="075263CB" w14:textId="7C80FCB5" w:rsidR="0092254A" w:rsidRPr="00576299" w:rsidRDefault="0092254A" w:rsidP="00C068F2">
            <w:pPr>
              <w:pStyle w:val="TableText0"/>
              <w:jc w:val="center"/>
            </w:pPr>
            <w:r w:rsidRPr="00576299">
              <w:t>$</w:t>
            </w:r>
            <w:r w:rsidR="00833009" w:rsidRPr="00833009">
              <w:rPr>
                <w:rFonts w:hint="eastAsia"/>
                <w:color w:val="000000"/>
                <w:w w:val="19"/>
                <w:shd w:val="solid" w:color="000000" w:fill="000000"/>
                <w:fitText w:val="86" w:id="-1304167929"/>
                <w14:textFill>
                  <w14:solidFill>
                    <w14:srgbClr w14:val="000000">
                      <w14:alpha w14:val="100000"/>
                    </w14:srgbClr>
                  </w14:solidFill>
                </w14:textFill>
              </w:rPr>
              <w:t xml:space="preserve">　</w:t>
            </w:r>
            <w:r w:rsidR="00833009" w:rsidRPr="00833009">
              <w:rPr>
                <w:color w:val="000000"/>
                <w:w w:val="19"/>
                <w:shd w:val="solid" w:color="000000" w:fill="000000"/>
                <w:fitText w:val="86" w:id="-1304167929"/>
                <w14:textFill>
                  <w14:solidFill>
                    <w14:srgbClr w14:val="000000">
                      <w14:alpha w14:val="100000"/>
                    </w14:srgbClr>
                  </w14:solidFill>
                </w14:textFill>
              </w:rPr>
              <w:t>|</w:t>
            </w:r>
            <w:r w:rsidR="00833009" w:rsidRPr="00833009">
              <w:rPr>
                <w:rFonts w:hint="eastAsia"/>
                <w:color w:val="000000"/>
                <w:spacing w:val="2"/>
                <w:w w:val="19"/>
                <w:shd w:val="solid" w:color="000000" w:fill="000000"/>
                <w:fitText w:val="86" w:id="-1304167929"/>
                <w14:textFill>
                  <w14:solidFill>
                    <w14:srgbClr w14:val="000000">
                      <w14:alpha w14:val="100000"/>
                    </w14:srgbClr>
                  </w14:solidFill>
                </w14:textFill>
              </w:rPr>
              <w:t xml:space="preserve">　</w:t>
            </w:r>
          </w:p>
        </w:tc>
        <w:tc>
          <w:tcPr>
            <w:tcW w:w="877" w:type="pct"/>
            <w:shd w:val="clear" w:color="auto" w:fill="auto"/>
          </w:tcPr>
          <w:p w14:paraId="7ECB1073" w14:textId="77777777" w:rsidR="0092254A" w:rsidRPr="00576299" w:rsidRDefault="0092254A" w:rsidP="00C068F2">
            <w:pPr>
              <w:pStyle w:val="TableText0"/>
              <w:jc w:val="center"/>
            </w:pPr>
            <w:r w:rsidRPr="00576299">
              <w:t>1.0624</w:t>
            </w:r>
          </w:p>
        </w:tc>
        <w:tc>
          <w:tcPr>
            <w:tcW w:w="877" w:type="pct"/>
            <w:shd w:val="clear" w:color="auto" w:fill="auto"/>
          </w:tcPr>
          <w:p w14:paraId="4F430456" w14:textId="6B28A7C7" w:rsidR="0092254A" w:rsidRPr="00576299" w:rsidRDefault="0092254A" w:rsidP="00C068F2">
            <w:pPr>
              <w:pStyle w:val="TableText0"/>
              <w:jc w:val="center"/>
            </w:pPr>
            <w:r w:rsidRPr="00576299">
              <w:t>$</w:t>
            </w:r>
            <w:r w:rsidR="00833009" w:rsidRPr="00833009">
              <w:rPr>
                <w:rFonts w:hint="eastAsia"/>
                <w:color w:val="000000"/>
                <w:w w:val="29"/>
                <w:shd w:val="solid" w:color="000000" w:fill="000000"/>
                <w:fitText w:val="129" w:id="-1304167928"/>
                <w14:textFill>
                  <w14:solidFill>
                    <w14:srgbClr w14:val="000000">
                      <w14:alpha w14:val="100000"/>
                    </w14:srgbClr>
                  </w14:solidFill>
                </w14:textFill>
              </w:rPr>
              <w:t xml:space="preserve">　</w:t>
            </w:r>
            <w:r w:rsidR="00833009" w:rsidRPr="00833009">
              <w:rPr>
                <w:color w:val="000000"/>
                <w:w w:val="29"/>
                <w:shd w:val="solid" w:color="000000" w:fill="000000"/>
                <w:fitText w:val="129" w:id="-1304167928"/>
                <w14:textFill>
                  <w14:solidFill>
                    <w14:srgbClr w14:val="000000">
                      <w14:alpha w14:val="100000"/>
                    </w14:srgbClr>
                  </w14:solidFill>
                </w14:textFill>
              </w:rPr>
              <w:t>|</w:t>
            </w:r>
            <w:r w:rsidR="00833009" w:rsidRPr="00833009">
              <w:rPr>
                <w:rFonts w:hint="eastAsia"/>
                <w:color w:val="000000"/>
                <w:spacing w:val="1"/>
                <w:w w:val="29"/>
                <w:shd w:val="solid" w:color="000000" w:fill="000000"/>
                <w:fitText w:val="129" w:id="-1304167928"/>
                <w14:textFill>
                  <w14:solidFill>
                    <w14:srgbClr w14:val="000000">
                      <w14:alpha w14:val="100000"/>
                    </w14:srgbClr>
                  </w14:solidFill>
                </w14:textFill>
              </w:rPr>
              <w:t xml:space="preserve">　</w:t>
            </w:r>
            <w:r w:rsidR="0033224B">
              <w:rPr>
                <w:vertAlign w:val="superscript"/>
              </w:rPr>
              <w:t>1</w:t>
            </w:r>
          </w:p>
        </w:tc>
        <w:tc>
          <w:tcPr>
            <w:tcW w:w="877" w:type="pct"/>
            <w:shd w:val="clear" w:color="auto" w:fill="auto"/>
          </w:tcPr>
          <w:p w14:paraId="590A3B1F" w14:textId="77777777" w:rsidR="0092254A" w:rsidRPr="00576299" w:rsidRDefault="0092254A" w:rsidP="00C068F2">
            <w:pPr>
              <w:pStyle w:val="TableText0"/>
              <w:jc w:val="center"/>
            </w:pPr>
            <w:r w:rsidRPr="00576299">
              <w:t>-2.1%</w:t>
            </w:r>
          </w:p>
        </w:tc>
      </w:tr>
      <w:tr w:rsidR="0092254A" w:rsidRPr="00576299" w14:paraId="05410A32" w14:textId="77777777" w:rsidTr="00C068F2">
        <w:tc>
          <w:tcPr>
            <w:tcW w:w="1492" w:type="pct"/>
            <w:shd w:val="clear" w:color="auto" w:fill="auto"/>
            <w:vAlign w:val="center"/>
          </w:tcPr>
          <w:p w14:paraId="059804B7" w14:textId="77777777" w:rsidR="0092254A" w:rsidRPr="00576299" w:rsidRDefault="0092254A" w:rsidP="00C068F2">
            <w:pPr>
              <w:pStyle w:val="TableText0"/>
            </w:pPr>
            <w:r w:rsidRPr="00576299">
              <w:t>KEYNOTE-775 dMMR subgroup</w:t>
            </w:r>
          </w:p>
        </w:tc>
        <w:tc>
          <w:tcPr>
            <w:tcW w:w="877" w:type="pct"/>
            <w:shd w:val="clear" w:color="auto" w:fill="auto"/>
          </w:tcPr>
          <w:p w14:paraId="33F99442" w14:textId="45A5070D" w:rsidR="0092254A" w:rsidRPr="00576299" w:rsidRDefault="0092254A" w:rsidP="00C068F2">
            <w:pPr>
              <w:pStyle w:val="TableText0"/>
              <w:jc w:val="center"/>
            </w:pPr>
            <w:r w:rsidRPr="00576299">
              <w:t>$</w:t>
            </w:r>
            <w:r w:rsidR="00833009" w:rsidRPr="00833009">
              <w:rPr>
                <w:rFonts w:hint="eastAsia"/>
                <w:color w:val="000000"/>
                <w:w w:val="19"/>
                <w:shd w:val="solid" w:color="000000" w:fill="000000"/>
                <w:fitText w:val="86" w:id="-1304167927"/>
                <w14:textFill>
                  <w14:solidFill>
                    <w14:srgbClr w14:val="000000">
                      <w14:alpha w14:val="100000"/>
                    </w14:srgbClr>
                  </w14:solidFill>
                </w14:textFill>
              </w:rPr>
              <w:t xml:space="preserve">　</w:t>
            </w:r>
            <w:r w:rsidR="00833009" w:rsidRPr="00833009">
              <w:rPr>
                <w:color w:val="000000"/>
                <w:w w:val="19"/>
                <w:shd w:val="solid" w:color="000000" w:fill="000000"/>
                <w:fitText w:val="86" w:id="-1304167927"/>
                <w14:textFill>
                  <w14:solidFill>
                    <w14:srgbClr w14:val="000000">
                      <w14:alpha w14:val="100000"/>
                    </w14:srgbClr>
                  </w14:solidFill>
                </w14:textFill>
              </w:rPr>
              <w:t>|</w:t>
            </w:r>
            <w:r w:rsidR="00833009" w:rsidRPr="00833009">
              <w:rPr>
                <w:rFonts w:hint="eastAsia"/>
                <w:color w:val="000000"/>
                <w:spacing w:val="2"/>
                <w:w w:val="19"/>
                <w:shd w:val="solid" w:color="000000" w:fill="000000"/>
                <w:fitText w:val="86" w:id="-1304167927"/>
                <w14:textFill>
                  <w14:solidFill>
                    <w14:srgbClr w14:val="000000">
                      <w14:alpha w14:val="100000"/>
                    </w14:srgbClr>
                  </w14:solidFill>
                </w14:textFill>
              </w:rPr>
              <w:t xml:space="preserve">　</w:t>
            </w:r>
          </w:p>
        </w:tc>
        <w:tc>
          <w:tcPr>
            <w:tcW w:w="877" w:type="pct"/>
            <w:shd w:val="clear" w:color="auto" w:fill="auto"/>
          </w:tcPr>
          <w:p w14:paraId="08B96F2A" w14:textId="77777777" w:rsidR="0092254A" w:rsidRPr="00576299" w:rsidRDefault="0092254A" w:rsidP="00C068F2">
            <w:pPr>
              <w:pStyle w:val="TableText0"/>
              <w:jc w:val="center"/>
            </w:pPr>
            <w:r w:rsidRPr="00576299">
              <w:t>1.1784</w:t>
            </w:r>
          </w:p>
        </w:tc>
        <w:tc>
          <w:tcPr>
            <w:tcW w:w="877" w:type="pct"/>
            <w:shd w:val="clear" w:color="auto" w:fill="auto"/>
          </w:tcPr>
          <w:p w14:paraId="4CEA40CD" w14:textId="3CC4F926" w:rsidR="0092254A" w:rsidRPr="00576299" w:rsidRDefault="0092254A" w:rsidP="00C068F2">
            <w:pPr>
              <w:pStyle w:val="TableText0"/>
              <w:jc w:val="center"/>
            </w:pPr>
            <w:r w:rsidRPr="00576299">
              <w:t>$</w:t>
            </w:r>
            <w:r w:rsidR="00833009" w:rsidRPr="00833009">
              <w:rPr>
                <w:rFonts w:hint="eastAsia"/>
                <w:color w:val="000000"/>
                <w:w w:val="29"/>
                <w:shd w:val="solid" w:color="000000" w:fill="000000"/>
                <w:fitText w:val="129" w:id="-1304167926"/>
                <w14:textFill>
                  <w14:solidFill>
                    <w14:srgbClr w14:val="000000">
                      <w14:alpha w14:val="100000"/>
                    </w14:srgbClr>
                  </w14:solidFill>
                </w14:textFill>
              </w:rPr>
              <w:t xml:space="preserve">　</w:t>
            </w:r>
            <w:r w:rsidR="00833009" w:rsidRPr="00833009">
              <w:rPr>
                <w:color w:val="000000"/>
                <w:w w:val="29"/>
                <w:shd w:val="solid" w:color="000000" w:fill="000000"/>
                <w:fitText w:val="129" w:id="-1304167926"/>
                <w14:textFill>
                  <w14:solidFill>
                    <w14:srgbClr w14:val="000000">
                      <w14:alpha w14:val="100000"/>
                    </w14:srgbClr>
                  </w14:solidFill>
                </w14:textFill>
              </w:rPr>
              <w:t>|</w:t>
            </w:r>
            <w:r w:rsidR="00833009" w:rsidRPr="00833009">
              <w:rPr>
                <w:rFonts w:hint="eastAsia"/>
                <w:color w:val="000000"/>
                <w:spacing w:val="1"/>
                <w:w w:val="29"/>
                <w:shd w:val="solid" w:color="000000" w:fill="000000"/>
                <w:fitText w:val="129" w:id="-1304167926"/>
                <w14:textFill>
                  <w14:solidFill>
                    <w14:srgbClr w14:val="000000">
                      <w14:alpha w14:val="100000"/>
                    </w14:srgbClr>
                  </w14:solidFill>
                </w14:textFill>
              </w:rPr>
              <w:t xml:space="preserve">　</w:t>
            </w:r>
            <w:r w:rsidR="0033224B">
              <w:rPr>
                <w:vertAlign w:val="superscript"/>
              </w:rPr>
              <w:t>2</w:t>
            </w:r>
          </w:p>
        </w:tc>
        <w:tc>
          <w:tcPr>
            <w:tcW w:w="877" w:type="pct"/>
            <w:shd w:val="clear" w:color="auto" w:fill="auto"/>
          </w:tcPr>
          <w:p w14:paraId="51C4C832" w14:textId="77777777" w:rsidR="0092254A" w:rsidRPr="00576299" w:rsidRDefault="0092254A" w:rsidP="00C068F2">
            <w:pPr>
              <w:pStyle w:val="TableText0"/>
              <w:jc w:val="center"/>
            </w:pPr>
            <w:r w:rsidRPr="00576299">
              <w:t>-12.1%</w:t>
            </w:r>
          </w:p>
        </w:tc>
      </w:tr>
      <w:tr w:rsidR="0092254A" w:rsidRPr="00576299" w14:paraId="2EB7ED5A" w14:textId="77777777" w:rsidTr="00C068F2">
        <w:tc>
          <w:tcPr>
            <w:tcW w:w="1492" w:type="pct"/>
            <w:shd w:val="clear" w:color="auto" w:fill="auto"/>
            <w:vAlign w:val="center"/>
          </w:tcPr>
          <w:p w14:paraId="2B30E673" w14:textId="77777777" w:rsidR="0092254A" w:rsidRPr="00576299" w:rsidRDefault="0092254A" w:rsidP="00C068F2">
            <w:pPr>
              <w:pStyle w:val="TableText0"/>
            </w:pPr>
            <w:r w:rsidRPr="00576299">
              <w:t>UK RWE study</w:t>
            </w:r>
          </w:p>
        </w:tc>
        <w:tc>
          <w:tcPr>
            <w:tcW w:w="877" w:type="pct"/>
            <w:shd w:val="clear" w:color="auto" w:fill="auto"/>
          </w:tcPr>
          <w:p w14:paraId="0E058BCB" w14:textId="77E6672A" w:rsidR="0092254A" w:rsidRPr="00576299" w:rsidRDefault="0092254A" w:rsidP="00C068F2">
            <w:pPr>
              <w:pStyle w:val="TableText0"/>
              <w:jc w:val="center"/>
            </w:pPr>
            <w:r w:rsidRPr="00576299">
              <w:t>$</w:t>
            </w:r>
            <w:r w:rsidR="00833009" w:rsidRPr="00833009">
              <w:rPr>
                <w:rFonts w:hint="eastAsia"/>
                <w:color w:val="000000"/>
                <w:w w:val="19"/>
                <w:shd w:val="solid" w:color="000000" w:fill="000000"/>
                <w:fitText w:val="86" w:id="-1304167925"/>
                <w14:textFill>
                  <w14:solidFill>
                    <w14:srgbClr w14:val="000000">
                      <w14:alpha w14:val="100000"/>
                    </w14:srgbClr>
                  </w14:solidFill>
                </w14:textFill>
              </w:rPr>
              <w:t xml:space="preserve">　</w:t>
            </w:r>
            <w:r w:rsidR="00833009" w:rsidRPr="00833009">
              <w:rPr>
                <w:color w:val="000000"/>
                <w:w w:val="19"/>
                <w:shd w:val="solid" w:color="000000" w:fill="000000"/>
                <w:fitText w:val="86" w:id="-1304167925"/>
                <w14:textFill>
                  <w14:solidFill>
                    <w14:srgbClr w14:val="000000">
                      <w14:alpha w14:val="100000"/>
                    </w14:srgbClr>
                  </w14:solidFill>
                </w14:textFill>
              </w:rPr>
              <w:t>|</w:t>
            </w:r>
            <w:r w:rsidR="00833009" w:rsidRPr="00833009">
              <w:rPr>
                <w:rFonts w:hint="eastAsia"/>
                <w:color w:val="000000"/>
                <w:spacing w:val="2"/>
                <w:w w:val="19"/>
                <w:shd w:val="solid" w:color="000000" w:fill="000000"/>
                <w:fitText w:val="86" w:id="-1304167925"/>
                <w14:textFill>
                  <w14:solidFill>
                    <w14:srgbClr w14:val="000000">
                      <w14:alpha w14:val="100000"/>
                    </w14:srgbClr>
                  </w14:solidFill>
                </w14:textFill>
              </w:rPr>
              <w:t xml:space="preserve">　</w:t>
            </w:r>
          </w:p>
        </w:tc>
        <w:tc>
          <w:tcPr>
            <w:tcW w:w="877" w:type="pct"/>
            <w:shd w:val="clear" w:color="auto" w:fill="auto"/>
          </w:tcPr>
          <w:p w14:paraId="05D09F33" w14:textId="77777777" w:rsidR="0092254A" w:rsidRPr="00576299" w:rsidRDefault="0092254A" w:rsidP="00C068F2">
            <w:pPr>
              <w:pStyle w:val="TableText0"/>
              <w:jc w:val="center"/>
            </w:pPr>
            <w:r w:rsidRPr="00576299">
              <w:t>1.0759</w:t>
            </w:r>
          </w:p>
        </w:tc>
        <w:tc>
          <w:tcPr>
            <w:tcW w:w="877" w:type="pct"/>
            <w:shd w:val="clear" w:color="auto" w:fill="auto"/>
          </w:tcPr>
          <w:p w14:paraId="2F7820B3" w14:textId="212F51B3" w:rsidR="0092254A" w:rsidRPr="00576299" w:rsidRDefault="0092254A" w:rsidP="00C068F2">
            <w:pPr>
              <w:pStyle w:val="TableText0"/>
              <w:jc w:val="center"/>
            </w:pPr>
            <w:r w:rsidRPr="00576299">
              <w:t>$</w:t>
            </w:r>
            <w:r w:rsidR="00833009" w:rsidRPr="00833009">
              <w:rPr>
                <w:rFonts w:hint="eastAsia"/>
                <w:color w:val="000000"/>
                <w:w w:val="29"/>
                <w:shd w:val="solid" w:color="000000" w:fill="000000"/>
                <w:fitText w:val="129" w:id="-1304167924"/>
                <w14:textFill>
                  <w14:solidFill>
                    <w14:srgbClr w14:val="000000">
                      <w14:alpha w14:val="100000"/>
                    </w14:srgbClr>
                  </w14:solidFill>
                </w14:textFill>
              </w:rPr>
              <w:t xml:space="preserve">　</w:t>
            </w:r>
            <w:r w:rsidR="00833009" w:rsidRPr="00833009">
              <w:rPr>
                <w:color w:val="000000"/>
                <w:w w:val="29"/>
                <w:shd w:val="solid" w:color="000000" w:fill="000000"/>
                <w:fitText w:val="129" w:id="-1304167924"/>
                <w14:textFill>
                  <w14:solidFill>
                    <w14:srgbClr w14:val="000000">
                      <w14:alpha w14:val="100000"/>
                    </w14:srgbClr>
                  </w14:solidFill>
                </w14:textFill>
              </w:rPr>
              <w:t>|</w:t>
            </w:r>
            <w:r w:rsidR="00833009" w:rsidRPr="00833009">
              <w:rPr>
                <w:rFonts w:hint="eastAsia"/>
                <w:color w:val="000000"/>
                <w:spacing w:val="1"/>
                <w:w w:val="29"/>
                <w:shd w:val="solid" w:color="000000" w:fill="000000"/>
                <w:fitText w:val="129" w:id="-1304167924"/>
                <w14:textFill>
                  <w14:solidFill>
                    <w14:srgbClr w14:val="000000">
                      <w14:alpha w14:val="100000"/>
                    </w14:srgbClr>
                  </w14:solidFill>
                </w14:textFill>
              </w:rPr>
              <w:t xml:space="preserve">　</w:t>
            </w:r>
            <w:r w:rsidR="0033224B">
              <w:rPr>
                <w:vertAlign w:val="superscript"/>
              </w:rPr>
              <w:t>1</w:t>
            </w:r>
          </w:p>
        </w:tc>
        <w:tc>
          <w:tcPr>
            <w:tcW w:w="877" w:type="pct"/>
            <w:shd w:val="clear" w:color="auto" w:fill="auto"/>
          </w:tcPr>
          <w:p w14:paraId="2E8B3D35" w14:textId="77777777" w:rsidR="0092254A" w:rsidRPr="00576299" w:rsidRDefault="0092254A" w:rsidP="00C068F2">
            <w:pPr>
              <w:pStyle w:val="TableText0"/>
              <w:jc w:val="center"/>
            </w:pPr>
            <w:r w:rsidRPr="00576299">
              <w:t>-2.5%</w:t>
            </w:r>
          </w:p>
        </w:tc>
      </w:tr>
    </w:tbl>
    <w:p w14:paraId="4B246C9F" w14:textId="77777777" w:rsidR="002B2253" w:rsidRPr="00576299" w:rsidRDefault="002B2253" w:rsidP="002B2253">
      <w:pPr>
        <w:pStyle w:val="TableFooter"/>
        <w:keepNext/>
        <w:keepLines/>
      </w:pPr>
      <w:r w:rsidRPr="00576299">
        <w:t xml:space="preserve">Source: Table 121, p250 of the resubmission. </w:t>
      </w:r>
    </w:p>
    <w:p w14:paraId="61195A07" w14:textId="3805D63B" w:rsidR="0092254A" w:rsidRDefault="0092254A" w:rsidP="0033224B">
      <w:pPr>
        <w:pStyle w:val="TableFooter"/>
        <w:keepNext/>
        <w:keepLines/>
      </w:pPr>
      <w:r w:rsidRPr="00576299">
        <w:t xml:space="preserve">dMMR = mismatch repair deficient; ICER = incremental cost effectiveness ratio; ITT = intention-to-treat; OS = overall survival; PFS = progression-free survival; QALY = quality adjusted life years; SoC = standard of care. </w:t>
      </w:r>
    </w:p>
    <w:p w14:paraId="1D565EAF" w14:textId="77777777" w:rsidR="0033224B" w:rsidRPr="009A6D58" w:rsidRDefault="0033224B" w:rsidP="0033224B">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157B2F00" w14:textId="582182D8" w:rsidR="0033224B" w:rsidRPr="009A6D58" w:rsidRDefault="0033224B" w:rsidP="0033224B">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33224B">
        <w:rPr>
          <w:rFonts w:ascii="Arial Narrow" w:hAnsi="Arial Narrow"/>
          <w:i/>
          <w:sz w:val="18"/>
          <w:szCs w:val="18"/>
        </w:rPr>
        <w:t>$55,000 to &lt; $75,000</w:t>
      </w:r>
    </w:p>
    <w:p w14:paraId="52F85EB6" w14:textId="3482F940" w:rsidR="0033224B" w:rsidRPr="0033224B" w:rsidRDefault="0033224B" w:rsidP="0033224B">
      <w:pPr>
        <w:spacing w:after="120"/>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33224B">
        <w:rPr>
          <w:rFonts w:ascii="Arial Narrow" w:hAnsi="Arial Narrow"/>
          <w:i/>
          <w:sz w:val="18"/>
          <w:szCs w:val="18"/>
        </w:rPr>
        <w:t>$45,000 to &lt; $55,000</w:t>
      </w:r>
    </w:p>
    <w:p w14:paraId="504A0645" w14:textId="2385B1DF" w:rsidR="007C1713" w:rsidRDefault="007C1713" w:rsidP="007C1713">
      <w:pPr>
        <w:pStyle w:val="3-BodyText"/>
      </w:pPr>
      <w:r w:rsidRPr="00576299">
        <w:t xml:space="preserve">As the magnitude of the incremental benefit and the clinical significance of dostarlimab compared to SoC remain highly uncertain, </w:t>
      </w:r>
      <w:r w:rsidR="00D705D8">
        <w:t xml:space="preserve">the evaluation and the ESC considered that </w:t>
      </w:r>
      <w:r w:rsidRPr="00576299">
        <w:t xml:space="preserve">it remains unclear whether the OS benefit for dostarlimab estimated in the CUA was appropriate. </w:t>
      </w:r>
      <w:r w:rsidR="00741208" w:rsidRPr="004654C2">
        <w:t xml:space="preserve">The ESC </w:t>
      </w:r>
      <w:r w:rsidR="00D705D8">
        <w:t>not</w:t>
      </w:r>
      <w:r w:rsidR="00741208" w:rsidRPr="004654C2">
        <w:t xml:space="preserve">ed that incorporation of the IA3 data cut in the economic evaluation, the resubmission’s shorter time horizon of 6 years, and the assumption of convergence in overall survival between 4-6 years, resulted in </w:t>
      </w:r>
      <w:r w:rsidR="002B2235" w:rsidRPr="004654C2">
        <w:t xml:space="preserve">less variability in </w:t>
      </w:r>
      <w:r w:rsidR="00BF0116" w:rsidRPr="004654C2">
        <w:t xml:space="preserve">the ICER </w:t>
      </w:r>
      <w:r w:rsidR="002B2235" w:rsidRPr="004654C2">
        <w:t>in</w:t>
      </w:r>
      <w:r w:rsidR="00BF0116" w:rsidRPr="004654C2">
        <w:t xml:space="preserve"> the sensitivity analyses presented. </w:t>
      </w:r>
      <w:r w:rsidR="00741208" w:rsidRPr="004654C2">
        <w:t>However, the ESC considered that there remained a high level of uncertainty in the ICER due to reliance on data from the single arm study GARNET which remained immature</w:t>
      </w:r>
      <w:r w:rsidR="00BF0116" w:rsidRPr="004654C2">
        <w:t>, and the naïve indirect nature of the clinical data applied in the model</w:t>
      </w:r>
      <w:r w:rsidR="00741208" w:rsidRPr="004654C2">
        <w:t>.</w:t>
      </w:r>
      <w:r w:rsidR="00741208" w:rsidRPr="00576299">
        <w:rPr>
          <w:i/>
          <w:iCs/>
        </w:rPr>
        <w:t xml:space="preserve"> </w:t>
      </w:r>
    </w:p>
    <w:p w14:paraId="5927EFAD" w14:textId="012A1351" w:rsidR="001F16B2" w:rsidRPr="00576299" w:rsidRDefault="001F16B2" w:rsidP="0033224B">
      <w:pPr>
        <w:pStyle w:val="3-BodyText"/>
        <w:rPr>
          <w:lang w:bidi="en-US"/>
        </w:rPr>
      </w:pPr>
      <w:r w:rsidRPr="004B6AF6">
        <w:rPr>
          <w:lang w:bidi="en-US"/>
        </w:rPr>
        <w:t xml:space="preserve">Acknowledging the quality of the available evidence, </w:t>
      </w:r>
      <w:r w:rsidRPr="00D22401">
        <w:rPr>
          <w:lang w:bidi="en-US"/>
        </w:rPr>
        <w:t>to address any remaining uncertainty associated with reliance on single-arm study data</w:t>
      </w:r>
      <w:r w:rsidR="008365D9">
        <w:rPr>
          <w:lang w:bidi="en-US"/>
        </w:rPr>
        <w:t>,</w:t>
      </w:r>
      <w:r>
        <w:rPr>
          <w:lang w:bidi="en-US"/>
        </w:rPr>
        <w:t xml:space="preserve"> the pre-PBAC response</w:t>
      </w:r>
      <w:r w:rsidRPr="004B6AF6">
        <w:rPr>
          <w:lang w:bidi="en-US"/>
        </w:rPr>
        <w:t xml:space="preserve"> propose</w:t>
      </w:r>
      <w:r>
        <w:rPr>
          <w:lang w:bidi="en-US"/>
        </w:rPr>
        <w:t>d</w:t>
      </w:r>
      <w:r w:rsidRPr="004B6AF6">
        <w:rPr>
          <w:lang w:bidi="en-US"/>
        </w:rPr>
        <w:t xml:space="preserve"> </w:t>
      </w:r>
      <w:r>
        <w:rPr>
          <w:lang w:bidi="en-US"/>
        </w:rPr>
        <w:t xml:space="preserve">a </w:t>
      </w:r>
      <w:r w:rsidRPr="004B6AF6">
        <w:rPr>
          <w:lang w:bidi="en-US"/>
        </w:rPr>
        <w:t>lower effective price of $</w:t>
      </w:r>
      <w:r w:rsidR="00833009" w:rsidRPr="00CD09E9">
        <w:rPr>
          <w:color w:val="000000"/>
          <w:w w:val="15"/>
          <w:shd w:val="solid" w:color="000000" w:fill="000000"/>
          <w:fitText w:val="-20" w:id="-1304167923"/>
          <w:lang w:bidi="en-US"/>
          <w14:textFill>
            <w14:solidFill>
              <w14:srgbClr w14:val="000000">
                <w14:alpha w14:val="100000"/>
              </w14:srgbClr>
            </w14:solidFill>
          </w14:textFill>
        </w:rPr>
        <w:t xml:space="preserve">|  </w:t>
      </w:r>
      <w:r w:rsidR="00833009" w:rsidRPr="00CD09E9">
        <w:rPr>
          <w:color w:val="000000"/>
          <w:spacing w:val="-69"/>
          <w:w w:val="15"/>
          <w:shd w:val="solid" w:color="000000" w:fill="000000"/>
          <w:fitText w:val="-20" w:id="-1304167923"/>
          <w:lang w:bidi="en-US"/>
          <w14:textFill>
            <w14:solidFill>
              <w14:srgbClr w14:val="000000">
                <w14:alpha w14:val="100000"/>
              </w14:srgbClr>
            </w14:solidFill>
          </w14:textFill>
        </w:rPr>
        <w:t>|</w:t>
      </w:r>
      <w:r>
        <w:rPr>
          <w:lang w:bidi="en-US"/>
        </w:rPr>
        <w:t xml:space="preserve"> per </w:t>
      </w:r>
      <w:r w:rsidRPr="004B6AF6">
        <w:rPr>
          <w:lang w:bidi="en-US"/>
        </w:rPr>
        <w:t>500mg vial</w:t>
      </w:r>
      <w:r>
        <w:rPr>
          <w:lang w:bidi="en-US"/>
        </w:rPr>
        <w:t>, reducing the</w:t>
      </w:r>
      <w:r w:rsidRPr="004B6AF6">
        <w:rPr>
          <w:lang w:bidi="en-US"/>
        </w:rPr>
        <w:t xml:space="preserve"> base case ICER from </w:t>
      </w:r>
      <w:r w:rsidR="0033224B" w:rsidRPr="0033224B">
        <w:rPr>
          <w:lang w:bidi="en-US"/>
        </w:rPr>
        <w:t xml:space="preserve">$55,000 to &lt; $75,000 </w:t>
      </w:r>
      <w:r w:rsidRPr="004B6AF6">
        <w:rPr>
          <w:lang w:bidi="en-US"/>
        </w:rPr>
        <w:t xml:space="preserve">to </w:t>
      </w:r>
      <w:r w:rsidR="0033224B" w:rsidRPr="0033224B">
        <w:rPr>
          <w:lang w:bidi="en-US"/>
        </w:rPr>
        <w:t>$45,000 to &lt; $55,000</w:t>
      </w:r>
      <w:r w:rsidR="0033224B">
        <w:rPr>
          <w:lang w:bidi="en-US"/>
        </w:rPr>
        <w:t xml:space="preserve"> </w:t>
      </w:r>
      <w:r w:rsidR="006C50DE">
        <w:rPr>
          <w:lang w:bidi="en-US"/>
        </w:rPr>
        <w:t>per QALY</w:t>
      </w:r>
      <w:r>
        <w:rPr>
          <w:lang w:bidi="en-US"/>
        </w:rPr>
        <w:t>.</w:t>
      </w:r>
      <w:r w:rsidR="008365D9">
        <w:rPr>
          <w:lang w:bidi="en-US"/>
        </w:rPr>
        <w:t xml:space="preserve"> The pre-PBAC response noted that t</w:t>
      </w:r>
      <w:r w:rsidR="008365D9" w:rsidRPr="00D22401">
        <w:rPr>
          <w:lang w:bidi="en-US"/>
        </w:rPr>
        <w:t>his is lower than the $75,000 to $9</w:t>
      </w:r>
      <w:r w:rsidR="008365D9">
        <w:rPr>
          <w:lang w:bidi="en-US"/>
        </w:rPr>
        <w:t>5</w:t>
      </w:r>
      <w:r w:rsidR="008365D9" w:rsidRPr="00D22401">
        <w:rPr>
          <w:lang w:bidi="en-US"/>
        </w:rPr>
        <w:t>,000</w:t>
      </w:r>
      <w:r w:rsidR="008365D9">
        <w:rPr>
          <w:lang w:bidi="en-US"/>
        </w:rPr>
        <w:t xml:space="preserve"> per </w:t>
      </w:r>
      <w:r w:rsidR="008365D9" w:rsidRPr="00D22401">
        <w:rPr>
          <w:lang w:bidi="en-US"/>
        </w:rPr>
        <w:t>QALY ICER range accepted for PEM+LEN in A/R EC following PBC (</w:t>
      </w:r>
      <w:r w:rsidR="008365D9">
        <w:rPr>
          <w:lang w:bidi="en-US"/>
        </w:rPr>
        <w:t xml:space="preserve">para 7.13, </w:t>
      </w:r>
      <w:r w:rsidR="000E1DA3">
        <w:rPr>
          <w:lang w:bidi="en-US"/>
        </w:rPr>
        <w:t>p</w:t>
      </w:r>
      <w:r w:rsidR="008365D9" w:rsidRPr="005B7B98">
        <w:rPr>
          <w:lang w:bidi="en-US"/>
        </w:rPr>
        <w:t>embrolizumab PSD, March 2022</w:t>
      </w:r>
      <w:r w:rsidR="008365D9" w:rsidRPr="00D22401">
        <w:rPr>
          <w:lang w:bidi="en-US"/>
        </w:rPr>
        <w:t>)</w:t>
      </w:r>
      <w:r w:rsidR="008365D9" w:rsidRPr="005B7B98">
        <w:rPr>
          <w:lang w:bidi="en-US"/>
        </w:rPr>
        <w:t>.</w:t>
      </w:r>
    </w:p>
    <w:p w14:paraId="422C8715" w14:textId="77777777" w:rsidR="0092254A" w:rsidRPr="00576299" w:rsidRDefault="0092254A" w:rsidP="00BE1F1C">
      <w:pPr>
        <w:pStyle w:val="Heading3"/>
        <w:keepNext/>
      </w:pPr>
      <w:r w:rsidRPr="00576299">
        <w:t>Dostarlimab versus PEM+LEN: CMA</w:t>
      </w:r>
    </w:p>
    <w:p w14:paraId="414709A5" w14:textId="675ED281" w:rsidR="0092254A" w:rsidRPr="00576299" w:rsidRDefault="0092254A" w:rsidP="00BE1F1C">
      <w:pPr>
        <w:pStyle w:val="3-BodyText"/>
        <w:keepNext/>
      </w:pPr>
      <w:r w:rsidRPr="00576299">
        <w:t xml:space="preserve">The resubmission presented a CMA comparing dostarlimab </w:t>
      </w:r>
      <w:r w:rsidR="00D35327" w:rsidRPr="00576299">
        <w:t>to</w:t>
      </w:r>
      <w:r w:rsidRPr="00576299">
        <w:t xml:space="preserve"> PEM+LEN, </w:t>
      </w:r>
      <w:r w:rsidR="00D35327" w:rsidRPr="00576299">
        <w:t>given the PBAC recommended</w:t>
      </w:r>
      <w:r w:rsidRPr="00576299">
        <w:t xml:space="preserve"> PEM+LEN in patients with advanced EC who have disease </w:t>
      </w:r>
      <w:r w:rsidRPr="00576299">
        <w:lastRenderedPageBreak/>
        <w:t xml:space="preserve">progression following prior systemic therapy regardless of biomarker status at the March 2022 PBAC meeting. </w:t>
      </w:r>
    </w:p>
    <w:p w14:paraId="395EBDB7" w14:textId="7EE402E5" w:rsidR="0092254A" w:rsidRPr="00576299" w:rsidRDefault="0092254A" w:rsidP="0092254A">
      <w:pPr>
        <w:pStyle w:val="3-BodyText"/>
      </w:pPr>
      <w:r w:rsidRPr="00576299">
        <w:t xml:space="preserve">A summary of the key assumptions and components of the CMA presented in the resubmission is provided in </w:t>
      </w:r>
      <w:r w:rsidRPr="00576299">
        <w:fldChar w:fldCharType="begin"/>
      </w:r>
      <w:r w:rsidRPr="00576299">
        <w:instrText xml:space="preserve"> REF _Ref111455505 \h </w:instrText>
      </w:r>
      <w:r w:rsidRPr="00576299">
        <w:fldChar w:fldCharType="separate"/>
      </w:r>
      <w:r w:rsidR="00CD09E9" w:rsidRPr="00576299">
        <w:t xml:space="preserve">Table </w:t>
      </w:r>
      <w:r w:rsidR="00CD09E9">
        <w:rPr>
          <w:noProof/>
        </w:rPr>
        <w:t>20</w:t>
      </w:r>
      <w:r w:rsidRPr="00576299">
        <w:fldChar w:fldCharType="end"/>
      </w:r>
      <w:r w:rsidRPr="00576299">
        <w:t>.</w:t>
      </w:r>
    </w:p>
    <w:p w14:paraId="02A0E1B0" w14:textId="3E5476BC" w:rsidR="0092254A" w:rsidRPr="00576299" w:rsidRDefault="0092254A" w:rsidP="0092254A">
      <w:pPr>
        <w:pStyle w:val="Caption"/>
      </w:pPr>
      <w:bookmarkStart w:id="67" w:name="_Ref111455505"/>
      <w:r w:rsidRPr="00576299">
        <w:t xml:space="preserve">Table </w:t>
      </w:r>
      <w:fldSimple w:instr=" SEQ Table \* ARABIC ">
        <w:r w:rsidR="00CD09E9">
          <w:rPr>
            <w:noProof/>
          </w:rPr>
          <w:t>20</w:t>
        </w:r>
      </w:fldSimple>
      <w:bookmarkEnd w:id="67"/>
      <w:r w:rsidRPr="00576299">
        <w:t>: Key components and assumptions of the cost-minimisation approach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754"/>
      </w:tblGrid>
      <w:tr w:rsidR="0092254A" w:rsidRPr="00576299" w14:paraId="5E9F0A4D" w14:textId="77777777" w:rsidTr="006C50DE">
        <w:trPr>
          <w:trHeight w:val="20"/>
          <w:tblHeader/>
        </w:trPr>
        <w:tc>
          <w:tcPr>
            <w:tcW w:w="1255" w:type="pct"/>
            <w:shd w:val="clear" w:color="auto" w:fill="auto"/>
            <w:vAlign w:val="center"/>
          </w:tcPr>
          <w:p w14:paraId="70FEC5FF" w14:textId="77777777" w:rsidR="0092254A" w:rsidRPr="00576299" w:rsidRDefault="0092254A" w:rsidP="00C068F2">
            <w:pPr>
              <w:pStyle w:val="In-tableHeading"/>
              <w:rPr>
                <w:lang w:val="en-AU"/>
              </w:rPr>
            </w:pPr>
            <w:r w:rsidRPr="00576299">
              <w:rPr>
                <w:lang w:val="en-AU"/>
              </w:rPr>
              <w:t>Component</w:t>
            </w:r>
          </w:p>
        </w:tc>
        <w:tc>
          <w:tcPr>
            <w:tcW w:w="3745" w:type="pct"/>
            <w:shd w:val="clear" w:color="auto" w:fill="auto"/>
          </w:tcPr>
          <w:p w14:paraId="78FEB628" w14:textId="77777777" w:rsidR="0092254A" w:rsidRPr="00576299" w:rsidRDefault="0092254A" w:rsidP="00C068F2">
            <w:pPr>
              <w:pStyle w:val="In-tableHeading"/>
              <w:jc w:val="center"/>
              <w:rPr>
                <w:lang w:val="en-AU"/>
              </w:rPr>
            </w:pPr>
            <w:r w:rsidRPr="00576299">
              <w:rPr>
                <w:lang w:val="en-AU"/>
              </w:rPr>
              <w:t>Claim or assumption</w:t>
            </w:r>
          </w:p>
        </w:tc>
      </w:tr>
      <w:tr w:rsidR="0092254A" w:rsidRPr="00576299" w14:paraId="3FA10348" w14:textId="77777777" w:rsidTr="006C50DE">
        <w:trPr>
          <w:trHeight w:val="20"/>
        </w:trPr>
        <w:tc>
          <w:tcPr>
            <w:tcW w:w="1255" w:type="pct"/>
            <w:vAlign w:val="center"/>
          </w:tcPr>
          <w:p w14:paraId="165B09DC" w14:textId="77777777" w:rsidR="0092254A" w:rsidRPr="00576299" w:rsidRDefault="0092254A" w:rsidP="00C068F2">
            <w:pPr>
              <w:pStyle w:val="TableText0"/>
            </w:pPr>
            <w:r w:rsidRPr="00576299">
              <w:t>Therapeutic claim: effectiveness</w:t>
            </w:r>
          </w:p>
        </w:tc>
        <w:tc>
          <w:tcPr>
            <w:tcW w:w="3745" w:type="pct"/>
          </w:tcPr>
          <w:p w14:paraId="3D960740" w14:textId="77777777" w:rsidR="0092254A" w:rsidRPr="00576299" w:rsidRDefault="0092254A" w:rsidP="00C068F2">
            <w:pPr>
              <w:pStyle w:val="TableText0"/>
            </w:pPr>
            <w:r w:rsidRPr="00576299">
              <w:t>Effectiveness for dostarlimab was assumed to be non-inferior to PEM+LEN in A/R dMMR EC following PBC</w:t>
            </w:r>
          </w:p>
        </w:tc>
      </w:tr>
      <w:tr w:rsidR="0092254A" w:rsidRPr="00576299" w14:paraId="70D73383" w14:textId="77777777" w:rsidTr="006C50DE">
        <w:trPr>
          <w:trHeight w:val="20"/>
        </w:trPr>
        <w:tc>
          <w:tcPr>
            <w:tcW w:w="1255" w:type="pct"/>
            <w:vAlign w:val="center"/>
          </w:tcPr>
          <w:p w14:paraId="1F07C39D" w14:textId="77777777" w:rsidR="0092254A" w:rsidRPr="00576299" w:rsidRDefault="0092254A" w:rsidP="00C068F2">
            <w:pPr>
              <w:pStyle w:val="TableText0"/>
            </w:pPr>
            <w:r w:rsidRPr="00576299">
              <w:t>Therapeutic claim: safety</w:t>
            </w:r>
          </w:p>
        </w:tc>
        <w:tc>
          <w:tcPr>
            <w:tcW w:w="3745" w:type="pct"/>
          </w:tcPr>
          <w:p w14:paraId="07E82B71" w14:textId="77777777" w:rsidR="0092254A" w:rsidRPr="00576299" w:rsidRDefault="0092254A" w:rsidP="00C068F2">
            <w:pPr>
              <w:pStyle w:val="TableText0"/>
            </w:pPr>
            <w:r w:rsidRPr="00576299">
              <w:t>Safety for dostarlimab was assumed to be superior to PEM+LEN in A/R dMMR EC following PBC</w:t>
            </w:r>
          </w:p>
        </w:tc>
      </w:tr>
      <w:tr w:rsidR="0092254A" w:rsidRPr="00576299" w14:paraId="231C4531" w14:textId="77777777" w:rsidTr="006C50DE">
        <w:trPr>
          <w:trHeight w:val="20"/>
        </w:trPr>
        <w:tc>
          <w:tcPr>
            <w:tcW w:w="1255" w:type="pct"/>
            <w:vAlign w:val="center"/>
          </w:tcPr>
          <w:p w14:paraId="0AE021E7" w14:textId="77777777" w:rsidR="0092254A" w:rsidRPr="00576299" w:rsidRDefault="0092254A" w:rsidP="00C068F2">
            <w:pPr>
              <w:pStyle w:val="TableText0"/>
            </w:pPr>
            <w:r w:rsidRPr="00576299">
              <w:t>Evidence base</w:t>
            </w:r>
          </w:p>
        </w:tc>
        <w:tc>
          <w:tcPr>
            <w:tcW w:w="3745" w:type="pct"/>
          </w:tcPr>
          <w:p w14:paraId="53815164" w14:textId="77777777" w:rsidR="0092254A" w:rsidRPr="00576299" w:rsidRDefault="0092254A" w:rsidP="00C068F2">
            <w:pPr>
              <w:pStyle w:val="TableText0"/>
            </w:pPr>
            <w:r w:rsidRPr="00576299">
              <w:t>Dostarlimab: GARNET Cohort A1; PEM+LEN: KEYNOTE-775</w:t>
            </w:r>
          </w:p>
        </w:tc>
      </w:tr>
      <w:tr w:rsidR="0092254A" w:rsidRPr="00576299" w14:paraId="5F4428C4" w14:textId="77777777" w:rsidTr="006C50DE">
        <w:trPr>
          <w:trHeight w:val="20"/>
        </w:trPr>
        <w:tc>
          <w:tcPr>
            <w:tcW w:w="1255" w:type="pct"/>
            <w:vAlign w:val="center"/>
          </w:tcPr>
          <w:p w14:paraId="0E9736CE" w14:textId="77777777" w:rsidR="0092254A" w:rsidRPr="00576299" w:rsidRDefault="0092254A" w:rsidP="00C068F2">
            <w:pPr>
              <w:pStyle w:val="TableText0"/>
            </w:pPr>
            <w:r w:rsidRPr="00576299">
              <w:t>Equi-effective doses</w:t>
            </w:r>
          </w:p>
        </w:tc>
        <w:tc>
          <w:tcPr>
            <w:tcW w:w="3745" w:type="pct"/>
          </w:tcPr>
          <w:p w14:paraId="5A1E33AF" w14:textId="202D8CEA" w:rsidR="0092254A" w:rsidRPr="00576299" w:rsidRDefault="0092254A" w:rsidP="00C068F2">
            <w:pPr>
              <w:pStyle w:val="TableText0"/>
            </w:pPr>
            <w:r w:rsidRPr="00576299">
              <w:t>500 mg dostarlimab Q3W = 200 mg pembrolizumab plus 289.8 mg lenvatinib Q3W, OR</w:t>
            </w:r>
          </w:p>
          <w:p w14:paraId="53B198EA" w14:textId="15475542" w:rsidR="0092254A" w:rsidRPr="00576299" w:rsidRDefault="0092254A" w:rsidP="00C068F2">
            <w:pPr>
              <w:pStyle w:val="TableText0"/>
            </w:pPr>
            <w:r w:rsidRPr="00576299">
              <w:t>7,988 mg dostarlimab = 3,195 mg pembrolizumab plus 4,630 mg lenvatinib per course of treatment (</w:t>
            </w:r>
            <w:r w:rsidR="000E0E50" w:rsidRPr="00576299">
              <w:t xml:space="preserve">which was assumed to be </w:t>
            </w:r>
            <w:r w:rsidRPr="00576299">
              <w:t>335.5 days</w:t>
            </w:r>
            <w:r w:rsidR="000E0E50" w:rsidRPr="00576299">
              <w:t xml:space="preserve"> for all treatments</w:t>
            </w:r>
            <w:r w:rsidRPr="00576299">
              <w:t>)</w:t>
            </w:r>
          </w:p>
        </w:tc>
      </w:tr>
      <w:tr w:rsidR="00C51867" w:rsidRPr="004654C2" w14:paraId="1596C1B4" w14:textId="77777777" w:rsidTr="006C50DE">
        <w:trPr>
          <w:trHeight w:val="20"/>
        </w:trPr>
        <w:tc>
          <w:tcPr>
            <w:tcW w:w="1255" w:type="pct"/>
            <w:vAlign w:val="center"/>
          </w:tcPr>
          <w:p w14:paraId="23151263" w14:textId="7DFAFBEE" w:rsidR="00C51867" w:rsidRPr="004654C2" w:rsidRDefault="00C51867" w:rsidP="00C068F2">
            <w:pPr>
              <w:pStyle w:val="TableText0"/>
            </w:pPr>
            <w:r w:rsidRPr="004654C2">
              <w:t>Duration of therapy</w:t>
            </w:r>
          </w:p>
        </w:tc>
        <w:tc>
          <w:tcPr>
            <w:tcW w:w="3745" w:type="pct"/>
          </w:tcPr>
          <w:p w14:paraId="7A6F2977" w14:textId="7D27092E" w:rsidR="00C51867" w:rsidRPr="004654C2" w:rsidRDefault="00C51867" w:rsidP="00C068F2">
            <w:pPr>
              <w:pStyle w:val="TableText0"/>
            </w:pPr>
            <w:r w:rsidRPr="004654C2">
              <w:t>335.5 days in both arms (based on the median treatment for PEM+LEN in KEYNOTE-775 in dMMR patients)</w:t>
            </w:r>
          </w:p>
        </w:tc>
      </w:tr>
      <w:tr w:rsidR="0092254A" w:rsidRPr="00576299" w14:paraId="572331DB" w14:textId="77777777" w:rsidTr="006C50DE">
        <w:trPr>
          <w:trHeight w:val="20"/>
        </w:trPr>
        <w:tc>
          <w:tcPr>
            <w:tcW w:w="1255" w:type="pct"/>
            <w:vAlign w:val="center"/>
          </w:tcPr>
          <w:p w14:paraId="54DCC649" w14:textId="77777777" w:rsidR="0092254A" w:rsidRPr="00576299" w:rsidRDefault="0092254A" w:rsidP="00C068F2">
            <w:pPr>
              <w:pStyle w:val="TableText0"/>
            </w:pPr>
            <w:r w:rsidRPr="00576299">
              <w:t>Direct medicine costs</w:t>
            </w:r>
          </w:p>
        </w:tc>
        <w:tc>
          <w:tcPr>
            <w:tcW w:w="3745" w:type="pct"/>
          </w:tcPr>
          <w:p w14:paraId="34AFCB9E" w14:textId="63F5CFD4" w:rsidR="0092254A" w:rsidRPr="00576299" w:rsidRDefault="0092254A" w:rsidP="00C068F2">
            <w:pPr>
              <w:pStyle w:val="TableText0"/>
            </w:pPr>
            <w:r w:rsidRPr="00576299">
              <w:t>Dostarlimab: $</w:t>
            </w:r>
            <w:r w:rsidR="00833009" w:rsidRPr="00833009">
              <w:rPr>
                <w:color w:val="000000"/>
                <w:spacing w:val="39"/>
                <w:shd w:val="solid" w:color="000000" w:fill="000000"/>
                <w:fitText w:val="451" w:id="-1304167922"/>
                <w14:textFill>
                  <w14:solidFill>
                    <w14:srgbClr w14:val="000000">
                      <w14:alpha w14:val="100000"/>
                    </w14:srgbClr>
                  </w14:solidFill>
                </w14:textFill>
              </w:rPr>
              <w:t>|||||</w:t>
            </w:r>
            <w:r w:rsidR="00833009" w:rsidRPr="00833009">
              <w:rPr>
                <w:color w:val="000000"/>
                <w:spacing w:val="1"/>
                <w:shd w:val="solid" w:color="000000" w:fill="000000"/>
                <w:fitText w:val="451" w:id="-1304167922"/>
                <w14:textFill>
                  <w14:solidFill>
                    <w14:srgbClr w14:val="000000">
                      <w14:alpha w14:val="100000"/>
                    </w14:srgbClr>
                  </w14:solidFill>
                </w14:textFill>
              </w:rPr>
              <w:t>|</w:t>
            </w:r>
            <w:r w:rsidRPr="00576299">
              <w:t>; PEM+LEN: $</w:t>
            </w:r>
            <w:r w:rsidR="00833009" w:rsidRPr="00833009">
              <w:rPr>
                <w:color w:val="000000"/>
                <w:spacing w:val="39"/>
                <w:shd w:val="solid" w:color="000000" w:fill="000000"/>
                <w:fitText w:val="451" w:id="-1304167921"/>
                <w14:textFill>
                  <w14:solidFill>
                    <w14:srgbClr w14:val="000000">
                      <w14:alpha w14:val="100000"/>
                    </w14:srgbClr>
                  </w14:solidFill>
                </w14:textFill>
              </w:rPr>
              <w:t>|||||</w:t>
            </w:r>
            <w:r w:rsidR="00833009" w:rsidRPr="00833009">
              <w:rPr>
                <w:color w:val="000000"/>
                <w:spacing w:val="1"/>
                <w:shd w:val="solid" w:color="000000" w:fill="000000"/>
                <w:fitText w:val="451" w:id="-1304167921"/>
                <w14:textFill>
                  <w14:solidFill>
                    <w14:srgbClr w14:val="000000">
                      <w14:alpha w14:val="100000"/>
                    </w14:srgbClr>
                  </w14:solidFill>
                </w14:textFill>
              </w:rPr>
              <w:t>|</w:t>
            </w:r>
          </w:p>
        </w:tc>
      </w:tr>
      <w:tr w:rsidR="0092254A" w:rsidRPr="00576299" w14:paraId="2E479A65" w14:textId="77777777" w:rsidTr="006C50DE">
        <w:trPr>
          <w:trHeight w:val="70"/>
        </w:trPr>
        <w:tc>
          <w:tcPr>
            <w:tcW w:w="1255" w:type="pct"/>
            <w:vAlign w:val="center"/>
          </w:tcPr>
          <w:p w14:paraId="7C3C8701" w14:textId="77777777" w:rsidR="0092254A" w:rsidRPr="00576299" w:rsidRDefault="0092254A" w:rsidP="00C068F2">
            <w:pPr>
              <w:pStyle w:val="TableText0"/>
            </w:pPr>
            <w:r w:rsidRPr="00576299">
              <w:t>Other costs or cost offsets</w:t>
            </w:r>
          </w:p>
        </w:tc>
        <w:tc>
          <w:tcPr>
            <w:tcW w:w="3745" w:type="pct"/>
          </w:tcPr>
          <w:p w14:paraId="39143982" w14:textId="77777777" w:rsidR="0092254A" w:rsidRPr="00576299" w:rsidRDefault="0092254A" w:rsidP="00C068F2">
            <w:pPr>
              <w:pStyle w:val="TableText0"/>
              <w:rPr>
                <w:u w:val="single"/>
              </w:rPr>
            </w:pPr>
            <w:r w:rsidRPr="00576299">
              <w:rPr>
                <w:u w:val="single"/>
              </w:rPr>
              <w:t>Administration costs:</w:t>
            </w:r>
          </w:p>
          <w:p w14:paraId="57EF0BB6" w14:textId="5B467DAB" w:rsidR="0092254A" w:rsidRPr="00833009" w:rsidRDefault="0092254A" w:rsidP="00C068F2">
            <w:pPr>
              <w:pStyle w:val="TableText0"/>
            </w:pPr>
            <w:r w:rsidRPr="00576299">
              <w:t>Dostarlimab: $</w:t>
            </w:r>
            <w:r w:rsidRPr="00833009">
              <w:t>1,12</w:t>
            </w:r>
            <w:r w:rsidR="006F5639" w:rsidRPr="00833009">
              <w:t>3</w:t>
            </w:r>
            <w:r w:rsidRPr="00833009">
              <w:t>; PEM+LEN: $1,64</w:t>
            </w:r>
            <w:r w:rsidR="006F5639" w:rsidRPr="00833009">
              <w:t>5</w:t>
            </w:r>
          </w:p>
          <w:p w14:paraId="08A13D02" w14:textId="77777777" w:rsidR="0092254A" w:rsidRPr="00833009" w:rsidRDefault="0092254A" w:rsidP="00C068F2">
            <w:pPr>
              <w:pStyle w:val="TableText0"/>
              <w:rPr>
                <w:u w:val="single"/>
              </w:rPr>
            </w:pPr>
            <w:r w:rsidRPr="00833009">
              <w:rPr>
                <w:u w:val="single"/>
              </w:rPr>
              <w:t>Safety costs:</w:t>
            </w:r>
          </w:p>
          <w:p w14:paraId="2CAE1AD1" w14:textId="20A07CD7" w:rsidR="0092254A" w:rsidRPr="00576299" w:rsidRDefault="0092254A" w:rsidP="00C068F2">
            <w:pPr>
              <w:pStyle w:val="TableText0"/>
            </w:pPr>
            <w:r w:rsidRPr="00833009">
              <w:t>Dostarlimab: $171; PEM+LEN: $1,272</w:t>
            </w:r>
          </w:p>
        </w:tc>
      </w:tr>
    </w:tbl>
    <w:p w14:paraId="75737519" w14:textId="77777777" w:rsidR="002B2253" w:rsidRPr="00576299" w:rsidRDefault="002B2253" w:rsidP="002B2253">
      <w:pPr>
        <w:pStyle w:val="TableFooter"/>
      </w:pPr>
      <w:r w:rsidRPr="00576299">
        <w:t>Source: Table 122, p253 of the resubmission.</w:t>
      </w:r>
    </w:p>
    <w:p w14:paraId="54F6574E" w14:textId="5424963D" w:rsidR="0092254A" w:rsidRPr="00576299" w:rsidRDefault="0092254A" w:rsidP="001F194F">
      <w:pPr>
        <w:pStyle w:val="TableFooter"/>
        <w:spacing w:after="120"/>
      </w:pPr>
      <w:r w:rsidRPr="00576299">
        <w:t xml:space="preserve">A/R = recurrent or advanced; dMMR = mismatch repair deficient; EC = endometrial cancer; OS = overall </w:t>
      </w:r>
      <w:r w:rsidR="00792ABF" w:rsidRPr="00576299">
        <w:t>survival</w:t>
      </w:r>
      <w:r w:rsidRPr="00576299">
        <w:t xml:space="preserve"> PBC = platinum-based chemotherapy; PEM+LEN = pembrolizumab in combination with lenvatinib; PFS = progression-free survival; Q3W = every 3 weeks.</w:t>
      </w:r>
    </w:p>
    <w:p w14:paraId="4E625BB8" w14:textId="76FA28AD" w:rsidR="00576C7C" w:rsidRPr="00576299" w:rsidRDefault="0092254A" w:rsidP="00020FC9">
      <w:pPr>
        <w:pStyle w:val="3-BodyText"/>
        <w:rPr>
          <w:i/>
          <w:iCs/>
        </w:rPr>
      </w:pPr>
      <w:r w:rsidRPr="00576299">
        <w:t>Equi-effective doses were determined using data from GARNET for dostarlimab and KEYNOTE-775 for PEM+LEN. Patients in GARNET received 500 mg of dostarlimab, administered as an IV infusion, every three weeks for 4 doses, followed by 1,000 mg every six weeks thereafter, in line with the dostarlimab PI. A duration of treatment of 335.5 days (the median treatment for PEM+LEN in KEYNOTE-775</w:t>
      </w:r>
      <w:r w:rsidR="003C4689" w:rsidRPr="00576299">
        <w:t xml:space="preserve"> in </w:t>
      </w:r>
      <w:r w:rsidR="0091400B" w:rsidRPr="00576299">
        <w:t xml:space="preserve">the subgroup of patients with </w:t>
      </w:r>
      <w:r w:rsidR="003C4689" w:rsidRPr="00576299">
        <w:t>dMMR</w:t>
      </w:r>
      <w:r w:rsidRPr="00576299">
        <w:t xml:space="preserve">) </w:t>
      </w:r>
      <w:r w:rsidR="00927BB4" w:rsidRPr="00576299">
        <w:t xml:space="preserve">was used </w:t>
      </w:r>
      <w:r w:rsidRPr="00576299">
        <w:t>for both treatment arms. The resubmission claimed that the use of the dostarlimab median duration of treatment (238 days) would have favoured dostarlimab</w:t>
      </w:r>
      <w:r w:rsidR="007F6599" w:rsidRPr="00576299">
        <w:t xml:space="preserve">. </w:t>
      </w:r>
      <w:r w:rsidR="00C51867" w:rsidRPr="00576299">
        <w:t xml:space="preserve">This was because assuming a </w:t>
      </w:r>
      <w:bookmarkStart w:id="68" w:name="_Hlk116659053"/>
      <w:r w:rsidR="00C51867" w:rsidRPr="00576299">
        <w:t>shorter duration of dostarlimab treatment would have reduced the number of dostarlimab doses thereby increasing the cost per dose</w:t>
      </w:r>
      <w:bookmarkEnd w:id="68"/>
      <w:r w:rsidR="00C51867" w:rsidRPr="00576299">
        <w:t>.</w:t>
      </w:r>
    </w:p>
    <w:p w14:paraId="35619DD3" w14:textId="451223F8" w:rsidR="00733D42" w:rsidRPr="00576299" w:rsidRDefault="003D5679" w:rsidP="00F90AA0">
      <w:pPr>
        <w:pStyle w:val="3-BodyText"/>
      </w:pPr>
      <w:r w:rsidRPr="00576299">
        <w:t>However</w:t>
      </w:r>
      <w:r w:rsidR="008341D0" w:rsidRPr="00576299">
        <w:t>,</w:t>
      </w:r>
      <w:r w:rsidR="00BE657D" w:rsidRPr="00576299">
        <w:t xml:space="preserve"> the evaluation considered</w:t>
      </w:r>
      <w:r w:rsidRPr="00576299">
        <w:t xml:space="preserve"> i</w:t>
      </w:r>
      <w:r w:rsidR="00995AA6" w:rsidRPr="00576299">
        <w:t xml:space="preserve">t </w:t>
      </w:r>
      <w:r w:rsidR="00DB442F" w:rsidRPr="00576299">
        <w:t>may not have been</w:t>
      </w:r>
      <w:r w:rsidR="00995AA6" w:rsidRPr="00576299">
        <w:t xml:space="preserve"> reasonable to </w:t>
      </w:r>
      <w:r w:rsidR="00DB442F" w:rsidRPr="00576299">
        <w:t>use</w:t>
      </w:r>
      <w:r w:rsidR="00995AA6" w:rsidRPr="00576299">
        <w:t xml:space="preserve"> the median rather than mean duration of treatment </w:t>
      </w:r>
      <w:r w:rsidR="00DB442F" w:rsidRPr="00576299">
        <w:t>in</w:t>
      </w:r>
      <w:r w:rsidR="00995AA6" w:rsidRPr="00576299">
        <w:t xml:space="preserve"> the CMA</w:t>
      </w:r>
      <w:r w:rsidR="00DB442F" w:rsidRPr="00576299">
        <w:t xml:space="preserve">. </w:t>
      </w:r>
      <w:r w:rsidR="001D3200" w:rsidRPr="004654C2">
        <w:t>The ESC considered the median w</w:t>
      </w:r>
      <w:r w:rsidR="00733D42" w:rsidRPr="004654C2">
        <w:t>ould</w:t>
      </w:r>
      <w:r w:rsidR="001D3200" w:rsidRPr="004654C2">
        <w:t xml:space="preserve"> underestimate the average cost per course on the PBS </w:t>
      </w:r>
      <w:r w:rsidR="002B2212" w:rsidRPr="004654C2">
        <w:t xml:space="preserve">given the </w:t>
      </w:r>
      <w:r w:rsidR="001D3200" w:rsidRPr="004654C2">
        <w:t xml:space="preserve">median duration of use in GARNET Cohort A1 </w:t>
      </w:r>
      <w:r w:rsidR="00733D42" w:rsidRPr="004654C2">
        <w:t>(IA3 data</w:t>
      </w:r>
      <w:r w:rsidR="0091400B" w:rsidRPr="004654C2">
        <w:t>-</w:t>
      </w:r>
      <w:r w:rsidR="00733D42" w:rsidRPr="004654C2">
        <w:t xml:space="preserve">cut) </w:t>
      </w:r>
      <w:r w:rsidR="001D3200" w:rsidRPr="004654C2">
        <w:t xml:space="preserve">was substantially shorter than the extrapolated mean estimated in the economic model (238 days versus 374 days, respectively). </w:t>
      </w:r>
      <w:r w:rsidR="0091400B" w:rsidRPr="00576299">
        <w:t xml:space="preserve">That is, the resubmission’s use of the median, rather than the mean, duration of treatment for dostarlimab resulted in a higher price per vial of dostarlimab. </w:t>
      </w:r>
      <w:r w:rsidR="008857F7">
        <w:t>The evaluation and ESC considered that it would be more appropriate to apply</w:t>
      </w:r>
      <w:r w:rsidR="00895726" w:rsidRPr="00576299">
        <w:t>:</w:t>
      </w:r>
      <w:r w:rsidR="0091400B" w:rsidRPr="00576299">
        <w:t xml:space="preserve"> a mean </w:t>
      </w:r>
      <w:r w:rsidR="0091400B" w:rsidRPr="008857F7">
        <w:t>duration of 374 days for dostarlimab</w:t>
      </w:r>
      <w:r w:rsidR="00895726" w:rsidRPr="008857F7">
        <w:t>;</w:t>
      </w:r>
      <w:r w:rsidR="0091400B" w:rsidRPr="008857F7">
        <w:t xml:space="preserve"> and the mean duration for PEM + LEN </w:t>
      </w:r>
      <w:r w:rsidR="00895726" w:rsidRPr="008857F7">
        <w:t>that was applied</w:t>
      </w:r>
      <w:r w:rsidR="00895726" w:rsidRPr="00576299">
        <w:t xml:space="preserve"> in the model on which the </w:t>
      </w:r>
      <w:r w:rsidR="0091400B" w:rsidRPr="00576299">
        <w:t xml:space="preserve">PBAC </w:t>
      </w:r>
      <w:r w:rsidR="00895726" w:rsidRPr="00576299">
        <w:t xml:space="preserve">based its </w:t>
      </w:r>
      <w:r w:rsidR="0091400B" w:rsidRPr="00576299">
        <w:t xml:space="preserve">March 2022 </w:t>
      </w:r>
      <w:r w:rsidR="00895726" w:rsidRPr="00576299">
        <w:t>recommendation</w:t>
      </w:r>
      <w:r w:rsidR="000A78E8" w:rsidRPr="00576299">
        <w:t xml:space="preserve"> for PEM+LEN</w:t>
      </w:r>
      <w:r w:rsidR="0091400B" w:rsidRPr="00576299">
        <w:t xml:space="preserve">. </w:t>
      </w:r>
    </w:p>
    <w:p w14:paraId="4B57BD27" w14:textId="644359F2" w:rsidR="00F2464E" w:rsidRPr="004654C2" w:rsidRDefault="0005649C" w:rsidP="007A35E3">
      <w:pPr>
        <w:pStyle w:val="3-BodyText"/>
      </w:pPr>
      <w:r w:rsidRPr="004654C2">
        <w:lastRenderedPageBreak/>
        <w:t xml:space="preserve">The PSCR </w:t>
      </w:r>
      <w:r w:rsidR="001072F3" w:rsidRPr="004654C2">
        <w:t>stat</w:t>
      </w:r>
      <w:r w:rsidR="007B574C" w:rsidRPr="004654C2">
        <w:t>ed</w:t>
      </w:r>
      <w:r w:rsidRPr="004654C2">
        <w:t xml:space="preserve"> that </w:t>
      </w:r>
      <w:r w:rsidR="001072F3" w:rsidRPr="004654C2">
        <w:t xml:space="preserve">it </w:t>
      </w:r>
      <w:r w:rsidR="008857F7">
        <w:t xml:space="preserve">would not be appropriate to </w:t>
      </w:r>
      <w:r w:rsidR="001072F3" w:rsidRPr="004654C2">
        <w:t xml:space="preserve">estimate </w:t>
      </w:r>
      <w:r w:rsidRPr="004654C2">
        <w:rPr>
          <w:lang w:bidi="en-US"/>
        </w:rPr>
        <w:t xml:space="preserve">the net cost per patient for PEM+LEN based on the ITT cohort (irrespective of MMR status) of </w:t>
      </w:r>
      <w:r w:rsidR="002B2212" w:rsidRPr="004654C2">
        <w:rPr>
          <w:lang w:bidi="en-US"/>
        </w:rPr>
        <w:t>KEYNOTE-755</w:t>
      </w:r>
      <w:r w:rsidR="00895726" w:rsidRPr="004654C2">
        <w:rPr>
          <w:lang w:bidi="en-US"/>
        </w:rPr>
        <w:t>,</w:t>
      </w:r>
      <w:r w:rsidR="002B2212" w:rsidRPr="004654C2">
        <w:rPr>
          <w:lang w:bidi="en-US"/>
        </w:rPr>
        <w:t xml:space="preserve"> </w:t>
      </w:r>
      <w:r w:rsidR="007B574C" w:rsidRPr="004654C2">
        <w:rPr>
          <w:lang w:bidi="en-US"/>
        </w:rPr>
        <w:t xml:space="preserve">and </w:t>
      </w:r>
      <w:r w:rsidR="00895726" w:rsidRPr="004654C2">
        <w:rPr>
          <w:lang w:bidi="en-US"/>
        </w:rPr>
        <w:t xml:space="preserve">argued </w:t>
      </w:r>
      <w:r w:rsidR="00306D3E" w:rsidRPr="004654C2">
        <w:rPr>
          <w:lang w:bidi="en-US"/>
        </w:rPr>
        <w:t>that the treatment exposure of PEM+LEN was longer in dMMR patients compared with pMMR patients</w:t>
      </w:r>
      <w:r w:rsidR="007B574C" w:rsidRPr="004654C2">
        <w:rPr>
          <w:lang w:bidi="en-US"/>
        </w:rPr>
        <w:t xml:space="preserve"> (354 vs 283 days</w:t>
      </w:r>
      <w:r w:rsidR="001072F3" w:rsidRPr="004654C2">
        <w:rPr>
          <w:lang w:bidi="en-US"/>
        </w:rPr>
        <w:t>, based on the truncated mean in the trial at 12 months median follow-up</w:t>
      </w:r>
      <w:r w:rsidR="007B574C" w:rsidRPr="004654C2">
        <w:rPr>
          <w:lang w:bidi="en-US"/>
        </w:rPr>
        <w:t>). Th</w:t>
      </w:r>
      <w:r w:rsidR="001072F3" w:rsidRPr="004654C2">
        <w:rPr>
          <w:lang w:bidi="en-US"/>
        </w:rPr>
        <w:t>e PSCR argued that the evaluator’s approach</w:t>
      </w:r>
      <w:r w:rsidR="007B574C" w:rsidRPr="004654C2">
        <w:rPr>
          <w:lang w:bidi="en-US"/>
        </w:rPr>
        <w:t xml:space="preserve"> would therefore underestimate the duration of PEM+LEN treatment for dMMR patients</w:t>
      </w:r>
      <w:r w:rsidR="00B34B4F" w:rsidRPr="004654C2">
        <w:rPr>
          <w:lang w:bidi="en-US"/>
        </w:rPr>
        <w:t xml:space="preserve"> (the relevant population for the CMA)</w:t>
      </w:r>
      <w:r w:rsidR="007B574C" w:rsidRPr="004654C2">
        <w:rPr>
          <w:lang w:bidi="en-US"/>
        </w:rPr>
        <w:t xml:space="preserve">. </w:t>
      </w:r>
      <w:r w:rsidR="00B34B4F" w:rsidRPr="004654C2">
        <w:rPr>
          <w:lang w:bidi="en-US"/>
        </w:rPr>
        <w:t xml:space="preserve">The PSCR </w:t>
      </w:r>
      <w:r w:rsidR="001072F3" w:rsidRPr="004654C2">
        <w:rPr>
          <w:lang w:bidi="en-US"/>
        </w:rPr>
        <w:t>sta</w:t>
      </w:r>
      <w:r w:rsidR="00B34B4F" w:rsidRPr="004654C2">
        <w:rPr>
          <w:lang w:bidi="en-US"/>
        </w:rPr>
        <w:t>ted if consistent follow-up periods and outcomes were considered for dostarlimab (GARNET Cohort A1 IA2 data-cut, 12.5 months follow-up) and PEM+LEN (</w:t>
      </w:r>
      <w:r w:rsidR="002B2212" w:rsidRPr="004654C2">
        <w:rPr>
          <w:lang w:bidi="en-US"/>
        </w:rPr>
        <w:t>KEYNOTE-755</w:t>
      </w:r>
      <w:r w:rsidR="002B2212" w:rsidRPr="004654C2">
        <w:rPr>
          <w:rStyle w:val="CommentReference"/>
          <w:b w:val="0"/>
          <w:bCs/>
          <w:sz w:val="18"/>
          <w:szCs w:val="18"/>
        </w:rPr>
        <w:t xml:space="preserve"> </w:t>
      </w:r>
      <w:r w:rsidR="00B34B4F" w:rsidRPr="004654C2">
        <w:rPr>
          <w:lang w:bidi="en-US"/>
        </w:rPr>
        <w:t>dMMR 26/10/22 data-cut, 12 months follow-up), applying either the median (182 vs 33</w:t>
      </w:r>
      <w:r w:rsidR="001072F3" w:rsidRPr="004654C2">
        <w:rPr>
          <w:lang w:bidi="en-US"/>
        </w:rPr>
        <w:t>6</w:t>
      </w:r>
      <w:r w:rsidR="00B34B4F" w:rsidRPr="004654C2">
        <w:rPr>
          <w:lang w:bidi="en-US"/>
        </w:rPr>
        <w:t xml:space="preserve"> days</w:t>
      </w:r>
      <w:r w:rsidR="00BE657D" w:rsidRPr="004654C2">
        <w:rPr>
          <w:lang w:bidi="en-US"/>
        </w:rPr>
        <w:t xml:space="preserve"> for dostarlimab versus </w:t>
      </w:r>
      <w:r w:rsidR="002B2235" w:rsidRPr="004654C2">
        <w:rPr>
          <w:lang w:bidi="en-US"/>
        </w:rPr>
        <w:t>PEM+LEN</w:t>
      </w:r>
      <w:r w:rsidR="001072F3" w:rsidRPr="004654C2">
        <w:rPr>
          <w:lang w:bidi="en-US"/>
        </w:rPr>
        <w:t xml:space="preserve"> in dMMR patients</w:t>
      </w:r>
      <w:r w:rsidR="00BE657D" w:rsidRPr="004654C2">
        <w:rPr>
          <w:lang w:bidi="en-US"/>
        </w:rPr>
        <w:t>, respectively</w:t>
      </w:r>
      <w:r w:rsidR="00B34B4F" w:rsidRPr="004654C2">
        <w:rPr>
          <w:lang w:bidi="en-US"/>
        </w:rPr>
        <w:t xml:space="preserve">) or </w:t>
      </w:r>
      <w:r w:rsidR="00DE406F" w:rsidRPr="004654C2">
        <w:rPr>
          <w:lang w:bidi="en-US"/>
        </w:rPr>
        <w:t xml:space="preserve">truncated </w:t>
      </w:r>
      <w:r w:rsidR="00B34B4F" w:rsidRPr="004654C2">
        <w:rPr>
          <w:lang w:bidi="en-US"/>
        </w:rPr>
        <w:t>mean duration of therapy (28</w:t>
      </w:r>
      <w:r w:rsidR="001072F3" w:rsidRPr="004654C2">
        <w:rPr>
          <w:lang w:bidi="en-US"/>
        </w:rPr>
        <w:t>6</w:t>
      </w:r>
      <w:r w:rsidR="00B34B4F" w:rsidRPr="004654C2">
        <w:rPr>
          <w:lang w:bidi="en-US"/>
        </w:rPr>
        <w:t xml:space="preserve"> vs 354 days</w:t>
      </w:r>
      <w:r w:rsidR="002B2235" w:rsidRPr="004654C2">
        <w:rPr>
          <w:lang w:bidi="en-US"/>
        </w:rPr>
        <w:t xml:space="preserve"> for dostarlimab versus PEM+LEN in dMMR patients</w:t>
      </w:r>
      <w:r w:rsidR="001072F3" w:rsidRPr="004654C2">
        <w:rPr>
          <w:lang w:bidi="en-US"/>
        </w:rPr>
        <w:t>,</w:t>
      </w:r>
      <w:r w:rsidR="002B2235" w:rsidRPr="004654C2">
        <w:rPr>
          <w:lang w:bidi="en-US"/>
        </w:rPr>
        <w:t xml:space="preserve"> respectively</w:t>
      </w:r>
      <w:r w:rsidR="00B34B4F" w:rsidRPr="004654C2">
        <w:rPr>
          <w:lang w:bidi="en-US"/>
        </w:rPr>
        <w:t>) would favour dostarlimab in a CMA</w:t>
      </w:r>
      <w:r w:rsidR="00F2464E" w:rsidRPr="004654C2">
        <w:rPr>
          <w:lang w:bidi="en-US"/>
        </w:rPr>
        <w:t xml:space="preserve"> (i.e. both the median and truncated mean durations were shorter for dostarlimab than PEM+LEN in the dMMR subgroup). </w:t>
      </w:r>
      <w:r w:rsidR="00B34B4F" w:rsidRPr="004654C2">
        <w:rPr>
          <w:lang w:bidi="en-US"/>
        </w:rPr>
        <w:t>The PSCR argued that it is reasonable that the same cost per day (via equivalent treatment durations derived from a dMMR population) be applied to dostarlimab and PEM+LEN as per the CMA presented in the resubmission.</w:t>
      </w:r>
      <w:r w:rsidR="00DE406F" w:rsidRPr="004654C2">
        <w:rPr>
          <w:lang w:bidi="en-US"/>
        </w:rPr>
        <w:t xml:space="preserve"> </w:t>
      </w:r>
    </w:p>
    <w:p w14:paraId="70EED9FD" w14:textId="438F18F4" w:rsidR="00573FF1" w:rsidRPr="004654C2" w:rsidRDefault="00DE406F" w:rsidP="0092254A">
      <w:pPr>
        <w:pStyle w:val="3-BodyText"/>
      </w:pPr>
      <w:r w:rsidRPr="004654C2">
        <w:rPr>
          <w:lang w:bidi="en-US"/>
        </w:rPr>
        <w:t xml:space="preserve">However, the ESC noted that </w:t>
      </w:r>
      <w:r w:rsidR="00F2464E" w:rsidRPr="004654C2">
        <w:rPr>
          <w:lang w:bidi="en-US"/>
        </w:rPr>
        <w:t xml:space="preserve">the PBAC had recommended PEM+LEN in an all-comers population regardless of MMR status. </w:t>
      </w:r>
      <w:r w:rsidR="004F2AA9" w:rsidRPr="004654C2">
        <w:rPr>
          <w:lang w:bidi="en-US"/>
        </w:rPr>
        <w:t xml:space="preserve">The economic model for PEM+LEN (upon which the PBAC’s March 2022 recommendation was based) used the ITT results from </w:t>
      </w:r>
      <w:r w:rsidR="002B2212" w:rsidRPr="004654C2">
        <w:rPr>
          <w:lang w:bidi="en-US"/>
        </w:rPr>
        <w:t>KEYNOTE-755</w:t>
      </w:r>
      <w:r w:rsidR="002B2212" w:rsidRPr="004654C2">
        <w:rPr>
          <w:rStyle w:val="CommentReference"/>
          <w:b w:val="0"/>
          <w:bCs/>
          <w:sz w:val="18"/>
          <w:szCs w:val="18"/>
        </w:rPr>
        <w:t xml:space="preserve"> </w:t>
      </w:r>
      <w:r w:rsidR="004F2AA9" w:rsidRPr="004654C2">
        <w:rPr>
          <w:lang w:bidi="en-US"/>
        </w:rPr>
        <w:t xml:space="preserve">(paragraph 6.54, pembrolizumab PSD, March 2022 PBAC Meeting). </w:t>
      </w:r>
      <w:r w:rsidR="00EE2A0C" w:rsidRPr="004654C2">
        <w:rPr>
          <w:lang w:bidi="en-US"/>
        </w:rPr>
        <w:t xml:space="preserve">Analyses in the dMMR subgroup of </w:t>
      </w:r>
      <w:r w:rsidR="002B2212" w:rsidRPr="004654C2">
        <w:rPr>
          <w:lang w:bidi="en-US"/>
        </w:rPr>
        <w:t>KEYNOTE-755</w:t>
      </w:r>
      <w:r w:rsidR="00EE2A0C" w:rsidRPr="004654C2">
        <w:rPr>
          <w:lang w:bidi="en-US"/>
        </w:rPr>
        <w:t xml:space="preserve"> were exploratory (p</w:t>
      </w:r>
      <w:r w:rsidR="00EE2A0C" w:rsidRPr="004654C2">
        <w:t>atients with dMMR tumours comprised 1</w:t>
      </w:r>
      <w:r w:rsidR="000A78E8" w:rsidRPr="004654C2">
        <w:t>6</w:t>
      </w:r>
      <w:r w:rsidR="00EE2A0C" w:rsidRPr="004654C2">
        <w:t>% of the total trial population, and subgroup analyses of the dMMR population were not included in the pre-specified statistical analysis plan)</w:t>
      </w:r>
      <w:r w:rsidR="00444D60" w:rsidRPr="004654C2">
        <w:t>, thus the ESC considered that any comparisons of treatment duration in pMMR versus dMMR patients would be subject to limitations</w:t>
      </w:r>
      <w:r w:rsidR="00EE2A0C" w:rsidRPr="004654C2">
        <w:rPr>
          <w:lang w:bidi="en-US"/>
        </w:rPr>
        <w:t xml:space="preserve">. Given the price for PEM+LEN would be based on the ITT population, </w:t>
      </w:r>
      <w:r w:rsidR="004F2AA9" w:rsidRPr="004654C2">
        <w:rPr>
          <w:lang w:bidi="en-US"/>
        </w:rPr>
        <w:t xml:space="preserve">the ESC considered </w:t>
      </w:r>
      <w:r w:rsidR="00EE2A0C" w:rsidRPr="004654C2">
        <w:rPr>
          <w:lang w:bidi="en-US"/>
        </w:rPr>
        <w:t xml:space="preserve">the comparisons conducted in the PSCR using the dMMR subgroup of </w:t>
      </w:r>
      <w:r w:rsidR="002B2212" w:rsidRPr="004654C2">
        <w:rPr>
          <w:lang w:bidi="en-US"/>
        </w:rPr>
        <w:t>KEYNOTE-755</w:t>
      </w:r>
      <w:r w:rsidR="00EE2A0C" w:rsidRPr="004654C2">
        <w:rPr>
          <w:lang w:bidi="en-US"/>
        </w:rPr>
        <w:t xml:space="preserve"> were not relevant.</w:t>
      </w:r>
      <w:r w:rsidR="00444D60" w:rsidRPr="004654C2">
        <w:rPr>
          <w:lang w:bidi="en-US"/>
        </w:rPr>
        <w:t xml:space="preserve"> The ESC considered that it would be appropriate for the CMA to apply (a) a </w:t>
      </w:r>
      <w:r w:rsidR="00444D60" w:rsidRPr="004654C2">
        <w:t xml:space="preserve">mean duration of 374 days for dostarlimab (based on GARNET Cohort A1, as extrapolated in the CUA model) </w:t>
      </w:r>
      <w:r w:rsidR="00444D60" w:rsidRPr="004654C2">
        <w:rPr>
          <w:lang w:bidi="en-US"/>
        </w:rPr>
        <w:t xml:space="preserve">and (b) the mean duration of PEM+LEN as applied in the economic model on which the PBAC’s recommendation was made. </w:t>
      </w:r>
    </w:p>
    <w:p w14:paraId="12C330AC" w14:textId="41142F2F" w:rsidR="0092254A" w:rsidRPr="00576299" w:rsidRDefault="0092254A" w:rsidP="0092254A">
      <w:pPr>
        <w:pStyle w:val="3-BodyText"/>
      </w:pPr>
      <w:r w:rsidRPr="00576299">
        <w:t xml:space="preserve">The </w:t>
      </w:r>
      <w:r w:rsidR="008341D0" w:rsidRPr="00576299">
        <w:t xml:space="preserve">resubmission estimated </w:t>
      </w:r>
      <w:r w:rsidRPr="00576299">
        <w:t xml:space="preserve">equi-effective doses </w:t>
      </w:r>
      <w:r w:rsidR="008341D0" w:rsidRPr="00576299">
        <w:t>of</w:t>
      </w:r>
      <w:r w:rsidRPr="00576299">
        <w:t xml:space="preserve"> 7,988 mg dostarlimab = 3,195 mg pembrolizumab plus 4,630 mg lenvatinib (which </w:t>
      </w:r>
      <w:r w:rsidR="00494CAD" w:rsidRPr="00576299">
        <w:t>was</w:t>
      </w:r>
      <w:r w:rsidRPr="00576299">
        <w:t xml:space="preserve"> equivalent to 500 mg dostarlimab </w:t>
      </w:r>
      <w:r w:rsidR="005B458D" w:rsidRPr="00576299">
        <w:t>every three weeks being equal to</w:t>
      </w:r>
      <w:r w:rsidRPr="00576299">
        <w:t xml:space="preserve"> 200 mg pembrolizumab plus 289.8 mg lenvatinib</w:t>
      </w:r>
      <w:r w:rsidR="005B458D" w:rsidRPr="00576299">
        <w:t xml:space="preserve"> every three weeks</w:t>
      </w:r>
      <w:r w:rsidRPr="00576299">
        <w:t>).</w:t>
      </w:r>
      <w:r w:rsidR="005B458D" w:rsidRPr="00576299">
        <w:t xml:space="preserve"> </w:t>
      </w:r>
      <w:r w:rsidR="00F400EA" w:rsidRPr="00576299">
        <w:t>The dosage of lenvatinib reflected a dose intensity equivalent to 69% (13.8/20) reported in KEYNOTE-775. Both dostarlimab and pembrolizumab were assumed to have a dose intensity of 100%.</w:t>
      </w:r>
    </w:p>
    <w:p w14:paraId="652EE96F" w14:textId="3113F3BD" w:rsidR="0092254A" w:rsidRPr="00576299" w:rsidRDefault="0092254A" w:rsidP="0092254A">
      <w:pPr>
        <w:pStyle w:val="3-BodyText"/>
      </w:pPr>
      <w:r w:rsidRPr="00576299">
        <w:t xml:space="preserve">The resubmission applied an administration cost per dose of dostarlimab and pembrolizumab to account for the cost of IV infusion. This resulted in total administration costs </w:t>
      </w:r>
      <w:r w:rsidRPr="00833009">
        <w:t>of $1,140.64 per course of dostarlimab, and $1,671.11 per course</w:t>
      </w:r>
      <w:r w:rsidRPr="00576299">
        <w:t xml:space="preserve"> </w:t>
      </w:r>
      <w:r w:rsidRPr="00576299">
        <w:lastRenderedPageBreak/>
        <w:t>of PEM+LEN, being applied in the CMA.</w:t>
      </w:r>
      <w:r w:rsidRPr="00576299">
        <w:rPr>
          <w:i/>
          <w:iCs/>
        </w:rPr>
        <w:t xml:space="preserve"> </w:t>
      </w:r>
      <w:r w:rsidRPr="00576299">
        <w:t>No administration costs were attributed to lenvatinib as it is administered orally.</w:t>
      </w:r>
    </w:p>
    <w:p w14:paraId="371D66F4" w14:textId="388870B6" w:rsidR="0092254A" w:rsidRPr="00576299" w:rsidRDefault="0092254A" w:rsidP="0092254A">
      <w:pPr>
        <w:pStyle w:val="3-BodyText"/>
      </w:pPr>
      <w:r w:rsidRPr="00576299">
        <w:t xml:space="preserve">The resubmission claimed that given the </w:t>
      </w:r>
      <w:r w:rsidR="004D7F85">
        <w:t>superior safety</w:t>
      </w:r>
      <w:r w:rsidRPr="00576299">
        <w:t xml:space="preserve"> for dostarlimab it was appropriate to include safety costs in the CMA. The resubmission claimed </w:t>
      </w:r>
      <w:r w:rsidR="00F80B17" w:rsidRPr="00576299">
        <w:t>that</w:t>
      </w:r>
      <w:r w:rsidRPr="00576299">
        <w:t xml:space="preserve"> due to the comparability of follow-up with KEYNOTE-775 (PEM+LEN median course of treatment 335.5 days</w:t>
      </w:r>
      <w:r w:rsidR="00CF5793" w:rsidRPr="00576299">
        <w:t xml:space="preserve"> in dMMR patients</w:t>
      </w:r>
      <w:r w:rsidRPr="00576299">
        <w:t xml:space="preserve">), it was appropriate to apply safety costs in the dostarlimab arm of the CMA based on the occurrence of grade ≥3 TRAEs in the IA2 data-cut of GARNET Cohort A1 rather than using the IA3 data. </w:t>
      </w:r>
      <w:r w:rsidR="00FB6E8D" w:rsidRPr="00576299">
        <w:t>The resubmission limited safety costing in the CMA to particular grade ≥3 TRAEs, specifically hypertension, diarrhoea and anaemia</w:t>
      </w:r>
      <w:r w:rsidR="007747EB">
        <w:t xml:space="preserve">; the evaluation noted that the </w:t>
      </w:r>
      <w:r w:rsidR="00FB6E8D">
        <w:t>use of TREAs rather than TEAEs favoured dostarlimab</w:t>
      </w:r>
      <w:r w:rsidR="00FB6E8D" w:rsidRPr="00576299">
        <w:t>.</w:t>
      </w:r>
      <w:r w:rsidR="00FB6E8D">
        <w:t xml:space="preserve"> </w:t>
      </w:r>
      <w:r w:rsidRPr="00576299">
        <w:t>The unit costs applied to the safety events in the CMA were derived from the NHCDC cost weight report (2019-20). Applying these costs to grade ≥3 TRAE reported in GARNET Cohort A1 and KEYNOTE-775 for hypertension</w:t>
      </w:r>
      <w:r w:rsidR="00E55764" w:rsidRPr="00576299">
        <w:t xml:space="preserve"> (AR-DRG F67)</w:t>
      </w:r>
      <w:r w:rsidRPr="00576299">
        <w:t xml:space="preserve">, diarrhoea </w:t>
      </w:r>
      <w:r w:rsidR="00E55764" w:rsidRPr="00576299">
        <w:t>(AR-DRG</w:t>
      </w:r>
      <w:r w:rsidR="00BD5FBE" w:rsidRPr="00576299">
        <w:t xml:space="preserve"> G70) </w:t>
      </w:r>
      <w:r w:rsidRPr="00576299">
        <w:t>and anaemia</w:t>
      </w:r>
      <w:r w:rsidR="00BD5FBE" w:rsidRPr="00576299">
        <w:t xml:space="preserve"> (AR-DRG Q61)</w:t>
      </w:r>
      <w:r w:rsidRPr="00576299">
        <w:t xml:space="preserve">, total </w:t>
      </w:r>
      <w:r w:rsidRPr="00833009">
        <w:t>safety costs of $171.25 and $1,272.19 were</w:t>
      </w:r>
      <w:r w:rsidRPr="00576299">
        <w:t xml:space="preserve"> applied to dostarlimab and PEM+LEN respectively in the CMA.</w:t>
      </w:r>
    </w:p>
    <w:p w14:paraId="7E036166" w14:textId="5B149619" w:rsidR="0092254A" w:rsidRPr="00576299" w:rsidRDefault="0092254A" w:rsidP="0092254A">
      <w:pPr>
        <w:pStyle w:val="3-BodyText"/>
      </w:pPr>
      <w:r w:rsidRPr="00576299">
        <w:t xml:space="preserve">A summary of the CMA of dostarlimab versus PEM+LEN in A/R dMMR EC following PBC presented in the resubmission is provided in </w:t>
      </w:r>
      <w:r w:rsidRPr="00576299">
        <w:fldChar w:fldCharType="begin"/>
      </w:r>
      <w:r w:rsidRPr="00576299">
        <w:instrText xml:space="preserve"> REF _Ref111457515 \h </w:instrText>
      </w:r>
      <w:r w:rsidRPr="00576299">
        <w:fldChar w:fldCharType="separate"/>
      </w:r>
      <w:r w:rsidR="00CD09E9" w:rsidRPr="00576299">
        <w:t xml:space="preserve">Table </w:t>
      </w:r>
      <w:r w:rsidR="00CD09E9">
        <w:rPr>
          <w:noProof/>
        </w:rPr>
        <w:t>21</w:t>
      </w:r>
      <w:r w:rsidRPr="00576299">
        <w:fldChar w:fldCharType="end"/>
      </w:r>
      <w:r w:rsidR="00FF4734" w:rsidRPr="00576299">
        <w:t>, noting this was based on published prices</w:t>
      </w:r>
      <w:r w:rsidRPr="00576299">
        <w:t>.</w:t>
      </w:r>
      <w:r w:rsidR="00DC0E07" w:rsidRPr="00576299">
        <w:t xml:space="preserve"> </w:t>
      </w:r>
    </w:p>
    <w:p w14:paraId="62BC8030" w14:textId="7CCDC063" w:rsidR="0092254A" w:rsidRPr="00576299" w:rsidRDefault="0092254A" w:rsidP="0092254A">
      <w:pPr>
        <w:pStyle w:val="Caption"/>
      </w:pPr>
      <w:bookmarkStart w:id="69" w:name="_Ref111457515"/>
      <w:r w:rsidRPr="00576299">
        <w:t xml:space="preserve">Table </w:t>
      </w:r>
      <w:fldSimple w:instr=" SEQ Table \* ARABIC ">
        <w:r w:rsidR="00CD09E9">
          <w:rPr>
            <w:noProof/>
          </w:rPr>
          <w:t>21</w:t>
        </w:r>
      </w:fldSimple>
      <w:bookmarkEnd w:id="69"/>
      <w:r w:rsidRPr="00576299">
        <w:rPr>
          <w:rStyle w:val="CommentReference"/>
          <w:b/>
          <w:szCs w:val="24"/>
        </w:rPr>
        <w:t>: Results of the cost-minimisation approach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4110"/>
        <w:gridCol w:w="2126"/>
        <w:gridCol w:w="2126"/>
      </w:tblGrid>
      <w:tr w:rsidR="0092254A" w:rsidRPr="00576299" w14:paraId="3CCC0F34" w14:textId="77777777" w:rsidTr="00C068F2">
        <w:tc>
          <w:tcPr>
            <w:tcW w:w="363" w:type="pct"/>
            <w:tcBorders>
              <w:bottom w:val="single" w:sz="4" w:space="0" w:color="auto"/>
            </w:tcBorders>
            <w:shd w:val="clear" w:color="auto" w:fill="auto"/>
          </w:tcPr>
          <w:p w14:paraId="748E8E45" w14:textId="77777777" w:rsidR="0092254A" w:rsidRPr="00576299" w:rsidRDefault="0092254A" w:rsidP="00C068F2">
            <w:pPr>
              <w:pStyle w:val="In-tableHeading"/>
              <w:rPr>
                <w:lang w:val="en-AU"/>
              </w:rPr>
            </w:pPr>
            <w:r w:rsidRPr="00576299">
              <w:rPr>
                <w:lang w:val="en-AU"/>
              </w:rPr>
              <w:t>Row</w:t>
            </w:r>
          </w:p>
        </w:tc>
        <w:tc>
          <w:tcPr>
            <w:tcW w:w="2279" w:type="pct"/>
            <w:tcBorders>
              <w:bottom w:val="single" w:sz="4" w:space="0" w:color="auto"/>
            </w:tcBorders>
            <w:shd w:val="clear" w:color="auto" w:fill="auto"/>
          </w:tcPr>
          <w:p w14:paraId="1BF4EF4B" w14:textId="77777777" w:rsidR="0092254A" w:rsidRPr="00576299" w:rsidRDefault="0092254A" w:rsidP="00C068F2">
            <w:pPr>
              <w:pStyle w:val="In-tableHeading"/>
              <w:jc w:val="center"/>
              <w:rPr>
                <w:lang w:val="en-AU"/>
              </w:rPr>
            </w:pPr>
            <w:r w:rsidRPr="00576299">
              <w:rPr>
                <w:lang w:val="en-AU"/>
              </w:rPr>
              <w:t>Parameter</w:t>
            </w:r>
          </w:p>
        </w:tc>
        <w:tc>
          <w:tcPr>
            <w:tcW w:w="1179" w:type="pct"/>
            <w:tcBorders>
              <w:bottom w:val="single" w:sz="4" w:space="0" w:color="auto"/>
            </w:tcBorders>
            <w:shd w:val="clear" w:color="auto" w:fill="auto"/>
          </w:tcPr>
          <w:p w14:paraId="1E8CDE66" w14:textId="77777777" w:rsidR="0092254A" w:rsidRPr="00576299" w:rsidRDefault="0092254A" w:rsidP="00C068F2">
            <w:pPr>
              <w:pStyle w:val="In-tableHeading"/>
              <w:jc w:val="center"/>
              <w:rPr>
                <w:lang w:val="en-AU"/>
              </w:rPr>
            </w:pPr>
            <w:r w:rsidRPr="00576299">
              <w:rPr>
                <w:lang w:val="en-AU"/>
              </w:rPr>
              <w:t>Input</w:t>
            </w:r>
          </w:p>
        </w:tc>
        <w:tc>
          <w:tcPr>
            <w:tcW w:w="1179" w:type="pct"/>
            <w:tcBorders>
              <w:bottom w:val="single" w:sz="4" w:space="0" w:color="auto"/>
            </w:tcBorders>
            <w:shd w:val="clear" w:color="auto" w:fill="auto"/>
          </w:tcPr>
          <w:p w14:paraId="1D3CB3D7" w14:textId="77777777" w:rsidR="0092254A" w:rsidRPr="00576299" w:rsidRDefault="0092254A" w:rsidP="00C068F2">
            <w:pPr>
              <w:pStyle w:val="In-tableHeading"/>
              <w:jc w:val="center"/>
              <w:rPr>
                <w:lang w:val="en-AU"/>
              </w:rPr>
            </w:pPr>
            <w:r w:rsidRPr="00576299">
              <w:rPr>
                <w:lang w:val="en-AU"/>
              </w:rPr>
              <w:t>Source / calculation</w:t>
            </w:r>
          </w:p>
        </w:tc>
      </w:tr>
      <w:tr w:rsidR="0092254A" w:rsidRPr="00576299" w14:paraId="4A938C2B" w14:textId="77777777" w:rsidTr="00C068F2">
        <w:tc>
          <w:tcPr>
            <w:tcW w:w="2642" w:type="pct"/>
            <w:gridSpan w:val="2"/>
            <w:tcBorders>
              <w:right w:val="nil"/>
            </w:tcBorders>
            <w:shd w:val="clear" w:color="auto" w:fill="auto"/>
          </w:tcPr>
          <w:p w14:paraId="7B701E65" w14:textId="77777777" w:rsidR="0092254A" w:rsidRPr="00576299" w:rsidRDefault="0092254A" w:rsidP="00C068F2">
            <w:pPr>
              <w:pStyle w:val="In-tableHeading"/>
              <w:jc w:val="both"/>
              <w:rPr>
                <w:b w:val="0"/>
                <w:bCs/>
                <w:lang w:val="en-AU"/>
              </w:rPr>
            </w:pPr>
            <w:r w:rsidRPr="00576299">
              <w:rPr>
                <w:b w:val="0"/>
                <w:bCs/>
                <w:lang w:val="en-AU"/>
              </w:rPr>
              <w:t>Pembrolizumab plus lenvatinib</w:t>
            </w:r>
          </w:p>
        </w:tc>
        <w:tc>
          <w:tcPr>
            <w:tcW w:w="1179" w:type="pct"/>
            <w:tcBorders>
              <w:left w:val="nil"/>
              <w:right w:val="nil"/>
            </w:tcBorders>
            <w:shd w:val="clear" w:color="auto" w:fill="auto"/>
          </w:tcPr>
          <w:p w14:paraId="174B0719" w14:textId="77777777" w:rsidR="0092254A" w:rsidRPr="00576299" w:rsidRDefault="0092254A" w:rsidP="00C068F2">
            <w:pPr>
              <w:pStyle w:val="In-tableHeading"/>
              <w:rPr>
                <w:lang w:val="en-AU"/>
              </w:rPr>
            </w:pPr>
          </w:p>
        </w:tc>
        <w:tc>
          <w:tcPr>
            <w:tcW w:w="1179" w:type="pct"/>
            <w:tcBorders>
              <w:left w:val="nil"/>
            </w:tcBorders>
            <w:shd w:val="clear" w:color="auto" w:fill="auto"/>
          </w:tcPr>
          <w:p w14:paraId="345C0E0B" w14:textId="77777777" w:rsidR="0092254A" w:rsidRPr="00576299" w:rsidRDefault="0092254A" w:rsidP="00C068F2">
            <w:pPr>
              <w:pStyle w:val="In-tableHeading"/>
              <w:rPr>
                <w:lang w:val="en-AU"/>
              </w:rPr>
            </w:pPr>
          </w:p>
        </w:tc>
      </w:tr>
      <w:tr w:rsidR="0092254A" w:rsidRPr="00576299" w14:paraId="7BF31D56" w14:textId="77777777" w:rsidTr="00C068F2">
        <w:tc>
          <w:tcPr>
            <w:tcW w:w="363" w:type="pct"/>
          </w:tcPr>
          <w:p w14:paraId="1975351A" w14:textId="77777777" w:rsidR="0092254A" w:rsidRPr="00576299" w:rsidRDefault="0092254A" w:rsidP="00C068F2">
            <w:pPr>
              <w:pStyle w:val="TableText0"/>
            </w:pPr>
            <w:r w:rsidRPr="00576299">
              <w:t>A</w:t>
            </w:r>
          </w:p>
        </w:tc>
        <w:tc>
          <w:tcPr>
            <w:tcW w:w="2279" w:type="pct"/>
          </w:tcPr>
          <w:p w14:paraId="4082D401" w14:textId="77777777" w:rsidR="0092254A" w:rsidRPr="00576299" w:rsidRDefault="0092254A" w:rsidP="00C068F2">
            <w:pPr>
              <w:pStyle w:val="TableText0"/>
            </w:pPr>
            <w:r w:rsidRPr="00576299">
              <w:t>Pembrolizumab volume (mg) per course of treatment</w:t>
            </w:r>
          </w:p>
        </w:tc>
        <w:tc>
          <w:tcPr>
            <w:tcW w:w="1179" w:type="pct"/>
          </w:tcPr>
          <w:p w14:paraId="760BEE9F" w14:textId="77777777" w:rsidR="0092254A" w:rsidRPr="00576299" w:rsidRDefault="0092254A" w:rsidP="00C068F2">
            <w:pPr>
              <w:pStyle w:val="TableText0"/>
              <w:jc w:val="center"/>
            </w:pPr>
            <w:r w:rsidRPr="00576299">
              <w:t>3,195</w:t>
            </w:r>
          </w:p>
        </w:tc>
        <w:tc>
          <w:tcPr>
            <w:tcW w:w="1179" w:type="pct"/>
          </w:tcPr>
          <w:p w14:paraId="42CE35CF" w14:textId="77777777" w:rsidR="0092254A" w:rsidRPr="00576299" w:rsidRDefault="0092254A" w:rsidP="00C068F2">
            <w:pPr>
              <w:pStyle w:val="TableText0"/>
              <w:jc w:val="center"/>
            </w:pPr>
            <w:r w:rsidRPr="00576299">
              <w:t>Table 3B.2.4</w:t>
            </w:r>
          </w:p>
        </w:tc>
      </w:tr>
      <w:tr w:rsidR="0092254A" w:rsidRPr="00576299" w14:paraId="51FB2E09" w14:textId="77777777" w:rsidTr="00C068F2">
        <w:tc>
          <w:tcPr>
            <w:tcW w:w="363" w:type="pct"/>
          </w:tcPr>
          <w:p w14:paraId="38B975F6" w14:textId="77777777" w:rsidR="0092254A" w:rsidRPr="00576299" w:rsidRDefault="0092254A" w:rsidP="00C068F2">
            <w:pPr>
              <w:pStyle w:val="TableText0"/>
            </w:pPr>
            <w:r w:rsidRPr="00576299">
              <w:t>B</w:t>
            </w:r>
          </w:p>
        </w:tc>
        <w:tc>
          <w:tcPr>
            <w:tcW w:w="2279" w:type="pct"/>
          </w:tcPr>
          <w:p w14:paraId="3DEF32D0" w14:textId="77777777" w:rsidR="0092254A" w:rsidRPr="00576299" w:rsidRDefault="0092254A" w:rsidP="00C068F2">
            <w:pPr>
              <w:pStyle w:val="TableText0"/>
            </w:pPr>
            <w:r w:rsidRPr="00576299">
              <w:t>Pembrolizumab ex-manufacturer price per unit</w:t>
            </w:r>
          </w:p>
        </w:tc>
        <w:tc>
          <w:tcPr>
            <w:tcW w:w="1179" w:type="pct"/>
          </w:tcPr>
          <w:p w14:paraId="1C7D243D" w14:textId="4D4360D0" w:rsidR="0092254A" w:rsidRPr="00576299" w:rsidRDefault="0092254A" w:rsidP="00C068F2">
            <w:pPr>
              <w:pStyle w:val="TableText0"/>
              <w:jc w:val="center"/>
            </w:pPr>
            <w:r w:rsidRPr="00576299">
              <w:t>$</w:t>
            </w:r>
            <w:r w:rsidR="00833009" w:rsidRPr="00833009">
              <w:rPr>
                <w:color w:val="000000"/>
                <w:shd w:val="solid" w:color="000000" w:fill="000000"/>
                <w14:textFill>
                  <w14:solidFill>
                    <w14:srgbClr w14:val="000000">
                      <w14:alpha w14:val="100000"/>
                    </w14:srgbClr>
                  </w14:solidFill>
                </w14:textFill>
              </w:rPr>
              <w:t>|</w:t>
            </w:r>
          </w:p>
        </w:tc>
        <w:tc>
          <w:tcPr>
            <w:tcW w:w="1179" w:type="pct"/>
          </w:tcPr>
          <w:p w14:paraId="07E4075D" w14:textId="0D1E11C6" w:rsidR="0092254A" w:rsidRPr="00576299" w:rsidRDefault="00D07C84" w:rsidP="00C068F2">
            <w:pPr>
              <w:pStyle w:val="TableText0"/>
              <w:jc w:val="center"/>
            </w:pPr>
            <w:r w:rsidRPr="00576299">
              <w:t>PBS</w:t>
            </w:r>
          </w:p>
        </w:tc>
      </w:tr>
      <w:tr w:rsidR="0092254A" w:rsidRPr="00576299" w14:paraId="54363450" w14:textId="77777777" w:rsidTr="00C068F2">
        <w:tc>
          <w:tcPr>
            <w:tcW w:w="363" w:type="pct"/>
          </w:tcPr>
          <w:p w14:paraId="2C21F267" w14:textId="77777777" w:rsidR="0092254A" w:rsidRPr="00576299" w:rsidRDefault="0092254A" w:rsidP="00C068F2">
            <w:pPr>
              <w:pStyle w:val="TableText0"/>
            </w:pPr>
            <w:r w:rsidRPr="00576299">
              <w:t>C</w:t>
            </w:r>
          </w:p>
        </w:tc>
        <w:tc>
          <w:tcPr>
            <w:tcW w:w="2279" w:type="pct"/>
          </w:tcPr>
          <w:p w14:paraId="2D5D18CF" w14:textId="77777777" w:rsidR="0092254A" w:rsidRPr="00216464" w:rsidRDefault="0092254A" w:rsidP="00C068F2">
            <w:pPr>
              <w:pStyle w:val="TableText0"/>
              <w:rPr>
                <w:lang w:val="it-IT"/>
              </w:rPr>
            </w:pPr>
            <w:r w:rsidRPr="00216464">
              <w:rPr>
                <w:lang w:val="it-IT"/>
              </w:rPr>
              <w:t>Pembrolizumab volume (mg) per unit</w:t>
            </w:r>
          </w:p>
        </w:tc>
        <w:tc>
          <w:tcPr>
            <w:tcW w:w="1179" w:type="pct"/>
          </w:tcPr>
          <w:p w14:paraId="678D8A4C" w14:textId="77777777" w:rsidR="0092254A" w:rsidRPr="00576299" w:rsidRDefault="0092254A" w:rsidP="00C068F2">
            <w:pPr>
              <w:pStyle w:val="TableText0"/>
              <w:jc w:val="center"/>
            </w:pPr>
            <w:r w:rsidRPr="00576299">
              <w:t>100</w:t>
            </w:r>
          </w:p>
        </w:tc>
        <w:tc>
          <w:tcPr>
            <w:tcW w:w="1179" w:type="pct"/>
          </w:tcPr>
          <w:p w14:paraId="3BFF824A" w14:textId="77777777" w:rsidR="0092254A" w:rsidRPr="00576299" w:rsidRDefault="0092254A" w:rsidP="00C068F2">
            <w:pPr>
              <w:pStyle w:val="TableText0"/>
              <w:jc w:val="center"/>
            </w:pPr>
            <w:r w:rsidRPr="00576299">
              <w:t>1 * 100 mg</w:t>
            </w:r>
          </w:p>
        </w:tc>
      </w:tr>
      <w:tr w:rsidR="0092254A" w:rsidRPr="00576299" w14:paraId="50C0D24C" w14:textId="77777777" w:rsidTr="00C068F2">
        <w:tc>
          <w:tcPr>
            <w:tcW w:w="363" w:type="pct"/>
            <w:tcBorders>
              <w:bottom w:val="single" w:sz="4" w:space="0" w:color="auto"/>
            </w:tcBorders>
          </w:tcPr>
          <w:p w14:paraId="3E81BC53" w14:textId="77777777" w:rsidR="0092254A" w:rsidRPr="00576299" w:rsidRDefault="0092254A" w:rsidP="00C068F2">
            <w:pPr>
              <w:pStyle w:val="TableText0"/>
            </w:pPr>
            <w:r w:rsidRPr="00576299">
              <w:t>D</w:t>
            </w:r>
          </w:p>
        </w:tc>
        <w:tc>
          <w:tcPr>
            <w:tcW w:w="2279" w:type="pct"/>
            <w:tcBorders>
              <w:bottom w:val="single" w:sz="4" w:space="0" w:color="auto"/>
            </w:tcBorders>
          </w:tcPr>
          <w:p w14:paraId="12229F23" w14:textId="77777777" w:rsidR="0092254A" w:rsidRPr="00576299" w:rsidRDefault="0092254A" w:rsidP="00C068F2">
            <w:pPr>
              <w:pStyle w:val="TableText0"/>
            </w:pPr>
            <w:r w:rsidRPr="00576299">
              <w:t>Pembrolizumab cost per mg</w:t>
            </w:r>
          </w:p>
        </w:tc>
        <w:tc>
          <w:tcPr>
            <w:tcW w:w="1179" w:type="pct"/>
            <w:tcBorders>
              <w:bottom w:val="single" w:sz="4" w:space="0" w:color="auto"/>
            </w:tcBorders>
          </w:tcPr>
          <w:p w14:paraId="553FB32B" w14:textId="5E2A4B1B" w:rsidR="0092254A" w:rsidRPr="00576299" w:rsidRDefault="0092254A" w:rsidP="00C068F2">
            <w:pPr>
              <w:pStyle w:val="TableText0"/>
              <w:jc w:val="center"/>
            </w:pPr>
            <w:r w:rsidRPr="00576299">
              <w:t>$</w:t>
            </w:r>
            <w:r w:rsidR="00833009" w:rsidRPr="00833009">
              <w:rPr>
                <w:color w:val="000000"/>
                <w:shd w:val="solid" w:color="000000" w:fill="000000"/>
                <w14:textFill>
                  <w14:solidFill>
                    <w14:srgbClr w14:val="000000">
                      <w14:alpha w14:val="100000"/>
                    </w14:srgbClr>
                  </w14:solidFill>
                </w14:textFill>
              </w:rPr>
              <w:t>|</w:t>
            </w:r>
          </w:p>
        </w:tc>
        <w:tc>
          <w:tcPr>
            <w:tcW w:w="1179" w:type="pct"/>
            <w:tcBorders>
              <w:bottom w:val="single" w:sz="4" w:space="0" w:color="auto"/>
            </w:tcBorders>
          </w:tcPr>
          <w:p w14:paraId="07C94DF8" w14:textId="77777777" w:rsidR="0092254A" w:rsidRPr="00576299" w:rsidRDefault="0092254A" w:rsidP="00C068F2">
            <w:pPr>
              <w:pStyle w:val="TableText0"/>
              <w:jc w:val="center"/>
            </w:pPr>
            <w:r w:rsidRPr="00576299">
              <w:t>B/C</w:t>
            </w:r>
          </w:p>
        </w:tc>
      </w:tr>
      <w:tr w:rsidR="0092254A" w:rsidRPr="00576299" w14:paraId="07EFCC60" w14:textId="77777777" w:rsidTr="00C068F2">
        <w:tc>
          <w:tcPr>
            <w:tcW w:w="363" w:type="pct"/>
            <w:tcBorders>
              <w:bottom w:val="single" w:sz="4" w:space="0" w:color="auto"/>
            </w:tcBorders>
          </w:tcPr>
          <w:p w14:paraId="10509816" w14:textId="77777777" w:rsidR="0092254A" w:rsidRPr="00576299" w:rsidRDefault="0092254A" w:rsidP="00C068F2">
            <w:pPr>
              <w:pStyle w:val="TableText0"/>
            </w:pPr>
            <w:r w:rsidRPr="00576299">
              <w:t>E</w:t>
            </w:r>
          </w:p>
        </w:tc>
        <w:tc>
          <w:tcPr>
            <w:tcW w:w="2279" w:type="pct"/>
            <w:tcBorders>
              <w:bottom w:val="single" w:sz="4" w:space="0" w:color="auto"/>
            </w:tcBorders>
          </w:tcPr>
          <w:p w14:paraId="7EE73BBC" w14:textId="77777777" w:rsidR="0092254A" w:rsidRPr="00576299" w:rsidRDefault="0092254A" w:rsidP="00C068F2">
            <w:pPr>
              <w:pStyle w:val="TableText0"/>
            </w:pPr>
            <w:r w:rsidRPr="00576299">
              <w:t>Pembrolizumab drug costs per course of treatment</w:t>
            </w:r>
          </w:p>
        </w:tc>
        <w:tc>
          <w:tcPr>
            <w:tcW w:w="1179" w:type="pct"/>
            <w:tcBorders>
              <w:bottom w:val="single" w:sz="4" w:space="0" w:color="auto"/>
            </w:tcBorders>
          </w:tcPr>
          <w:p w14:paraId="07EBA0E6" w14:textId="57759BCA" w:rsidR="0092254A" w:rsidRPr="00576299" w:rsidRDefault="0092254A" w:rsidP="00C068F2">
            <w:pPr>
              <w:pStyle w:val="TableText0"/>
              <w:jc w:val="center"/>
            </w:pPr>
            <w:r w:rsidRPr="00576299">
              <w:t>$</w:t>
            </w:r>
            <w:r w:rsidR="00833009" w:rsidRPr="00833009">
              <w:rPr>
                <w:color w:val="000000"/>
                <w:shd w:val="solid" w:color="000000" w:fill="000000"/>
                <w14:textFill>
                  <w14:solidFill>
                    <w14:srgbClr w14:val="000000">
                      <w14:alpha w14:val="100000"/>
                    </w14:srgbClr>
                  </w14:solidFill>
                </w14:textFill>
              </w:rPr>
              <w:t>|</w:t>
            </w:r>
          </w:p>
        </w:tc>
        <w:tc>
          <w:tcPr>
            <w:tcW w:w="1179" w:type="pct"/>
            <w:tcBorders>
              <w:bottom w:val="single" w:sz="4" w:space="0" w:color="auto"/>
            </w:tcBorders>
          </w:tcPr>
          <w:p w14:paraId="758845EF" w14:textId="77777777" w:rsidR="0092254A" w:rsidRPr="00576299" w:rsidRDefault="0092254A" w:rsidP="00C068F2">
            <w:pPr>
              <w:pStyle w:val="TableText0"/>
              <w:jc w:val="center"/>
            </w:pPr>
            <w:r w:rsidRPr="00576299">
              <w:t>A*D</w:t>
            </w:r>
          </w:p>
        </w:tc>
      </w:tr>
      <w:tr w:rsidR="0092254A" w:rsidRPr="00576299" w14:paraId="1A026023" w14:textId="77777777" w:rsidTr="00C068F2">
        <w:tc>
          <w:tcPr>
            <w:tcW w:w="363" w:type="pct"/>
            <w:tcBorders>
              <w:bottom w:val="single" w:sz="4" w:space="0" w:color="auto"/>
            </w:tcBorders>
          </w:tcPr>
          <w:p w14:paraId="15803DBE" w14:textId="77777777" w:rsidR="0092254A" w:rsidRPr="00576299" w:rsidRDefault="0092254A" w:rsidP="00C068F2">
            <w:pPr>
              <w:pStyle w:val="TableText0"/>
            </w:pPr>
            <w:r w:rsidRPr="00576299">
              <w:t>F</w:t>
            </w:r>
          </w:p>
        </w:tc>
        <w:tc>
          <w:tcPr>
            <w:tcW w:w="2279" w:type="pct"/>
            <w:tcBorders>
              <w:bottom w:val="single" w:sz="4" w:space="0" w:color="auto"/>
            </w:tcBorders>
          </w:tcPr>
          <w:p w14:paraId="73CD64B5" w14:textId="77777777" w:rsidR="0092254A" w:rsidRPr="00576299" w:rsidRDefault="0092254A" w:rsidP="00C068F2">
            <w:pPr>
              <w:pStyle w:val="TableText0"/>
            </w:pPr>
            <w:r w:rsidRPr="00576299">
              <w:t>Lenvatinib volume (mg) per course of treatment</w:t>
            </w:r>
          </w:p>
        </w:tc>
        <w:tc>
          <w:tcPr>
            <w:tcW w:w="1179" w:type="pct"/>
            <w:tcBorders>
              <w:bottom w:val="single" w:sz="4" w:space="0" w:color="auto"/>
            </w:tcBorders>
          </w:tcPr>
          <w:p w14:paraId="299D66EC" w14:textId="77777777" w:rsidR="0092254A" w:rsidRPr="00576299" w:rsidRDefault="0092254A" w:rsidP="00C068F2">
            <w:pPr>
              <w:pStyle w:val="TableText0"/>
              <w:jc w:val="center"/>
            </w:pPr>
            <w:r w:rsidRPr="00576299">
              <w:t>4,630</w:t>
            </w:r>
          </w:p>
        </w:tc>
        <w:tc>
          <w:tcPr>
            <w:tcW w:w="1179" w:type="pct"/>
            <w:tcBorders>
              <w:bottom w:val="single" w:sz="4" w:space="0" w:color="auto"/>
            </w:tcBorders>
          </w:tcPr>
          <w:p w14:paraId="16822642" w14:textId="77777777" w:rsidR="0092254A" w:rsidRPr="00576299" w:rsidRDefault="0092254A" w:rsidP="00C068F2">
            <w:pPr>
              <w:jc w:val="center"/>
              <w:rPr>
                <w:rFonts w:ascii="Arial Narrow" w:hAnsi="Arial Narrow" w:cs="Calibri"/>
                <w:color w:val="000000"/>
                <w:sz w:val="20"/>
                <w:szCs w:val="20"/>
              </w:rPr>
            </w:pPr>
            <w:r w:rsidRPr="00576299">
              <w:rPr>
                <w:rFonts w:ascii="Arial Narrow" w:hAnsi="Arial Narrow" w:cs="Calibri"/>
                <w:color w:val="000000"/>
                <w:sz w:val="20"/>
                <w:szCs w:val="20"/>
              </w:rPr>
              <w:t>Table 3B.2.4</w:t>
            </w:r>
          </w:p>
        </w:tc>
      </w:tr>
      <w:tr w:rsidR="0092254A" w:rsidRPr="00576299" w14:paraId="0890830B" w14:textId="77777777" w:rsidTr="00C068F2">
        <w:tc>
          <w:tcPr>
            <w:tcW w:w="363" w:type="pct"/>
            <w:tcBorders>
              <w:bottom w:val="single" w:sz="4" w:space="0" w:color="auto"/>
            </w:tcBorders>
          </w:tcPr>
          <w:p w14:paraId="682ECDFE" w14:textId="77777777" w:rsidR="0092254A" w:rsidRPr="00576299" w:rsidRDefault="0092254A" w:rsidP="00C068F2">
            <w:pPr>
              <w:pStyle w:val="TableText0"/>
            </w:pPr>
            <w:r w:rsidRPr="00576299">
              <w:t>G</w:t>
            </w:r>
          </w:p>
        </w:tc>
        <w:tc>
          <w:tcPr>
            <w:tcW w:w="2279" w:type="pct"/>
            <w:tcBorders>
              <w:bottom w:val="single" w:sz="4" w:space="0" w:color="auto"/>
            </w:tcBorders>
          </w:tcPr>
          <w:p w14:paraId="66A17AB6" w14:textId="77777777" w:rsidR="0092254A" w:rsidRPr="00576299" w:rsidRDefault="0092254A" w:rsidP="00C068F2">
            <w:pPr>
              <w:pStyle w:val="TableText0"/>
            </w:pPr>
            <w:r w:rsidRPr="00576299">
              <w:t>Lenvatinib ex-manufacturer price per unit</w:t>
            </w:r>
          </w:p>
        </w:tc>
        <w:tc>
          <w:tcPr>
            <w:tcW w:w="1179" w:type="pct"/>
            <w:tcBorders>
              <w:bottom w:val="single" w:sz="4" w:space="0" w:color="auto"/>
            </w:tcBorders>
          </w:tcPr>
          <w:p w14:paraId="5BED9878" w14:textId="051FE72C" w:rsidR="0092254A" w:rsidRPr="00576299" w:rsidRDefault="0092254A" w:rsidP="00C068F2">
            <w:pPr>
              <w:pStyle w:val="TableText0"/>
              <w:jc w:val="center"/>
            </w:pPr>
            <w:r w:rsidRPr="00576299">
              <w:t>$</w:t>
            </w:r>
            <w:r w:rsidR="00833009" w:rsidRPr="00833009">
              <w:rPr>
                <w:color w:val="000000"/>
                <w:shd w:val="solid" w:color="000000" w:fill="000000"/>
                <w14:textFill>
                  <w14:solidFill>
                    <w14:srgbClr w14:val="000000">
                      <w14:alpha w14:val="100000"/>
                    </w14:srgbClr>
                  </w14:solidFill>
                </w14:textFill>
              </w:rPr>
              <w:t>|</w:t>
            </w:r>
          </w:p>
        </w:tc>
        <w:tc>
          <w:tcPr>
            <w:tcW w:w="1179" w:type="pct"/>
            <w:tcBorders>
              <w:bottom w:val="single" w:sz="4" w:space="0" w:color="auto"/>
            </w:tcBorders>
          </w:tcPr>
          <w:p w14:paraId="44FF1334" w14:textId="213E2954" w:rsidR="0092254A" w:rsidRPr="00576299" w:rsidRDefault="00D07C84" w:rsidP="00C068F2">
            <w:pPr>
              <w:pStyle w:val="TableText0"/>
              <w:jc w:val="center"/>
            </w:pPr>
            <w:r w:rsidRPr="00576299">
              <w:t>PBS</w:t>
            </w:r>
          </w:p>
        </w:tc>
      </w:tr>
      <w:tr w:rsidR="0092254A" w:rsidRPr="00576299" w14:paraId="178E53FB" w14:textId="77777777" w:rsidTr="00C068F2">
        <w:tc>
          <w:tcPr>
            <w:tcW w:w="363" w:type="pct"/>
            <w:tcBorders>
              <w:bottom w:val="single" w:sz="4" w:space="0" w:color="auto"/>
            </w:tcBorders>
          </w:tcPr>
          <w:p w14:paraId="2AFFE59C" w14:textId="77777777" w:rsidR="0092254A" w:rsidRPr="00576299" w:rsidRDefault="0092254A" w:rsidP="00C068F2">
            <w:pPr>
              <w:pStyle w:val="TableText0"/>
            </w:pPr>
            <w:r w:rsidRPr="00576299">
              <w:t>H</w:t>
            </w:r>
          </w:p>
        </w:tc>
        <w:tc>
          <w:tcPr>
            <w:tcW w:w="2279" w:type="pct"/>
            <w:tcBorders>
              <w:bottom w:val="single" w:sz="4" w:space="0" w:color="auto"/>
            </w:tcBorders>
          </w:tcPr>
          <w:p w14:paraId="36185662" w14:textId="77777777" w:rsidR="0092254A" w:rsidRPr="00576299" w:rsidRDefault="0092254A" w:rsidP="00C068F2">
            <w:pPr>
              <w:pStyle w:val="TableText0"/>
            </w:pPr>
            <w:r w:rsidRPr="00576299">
              <w:t>Lenvatinib volume (mg) per unit</w:t>
            </w:r>
          </w:p>
        </w:tc>
        <w:tc>
          <w:tcPr>
            <w:tcW w:w="1179" w:type="pct"/>
            <w:tcBorders>
              <w:bottom w:val="single" w:sz="4" w:space="0" w:color="auto"/>
            </w:tcBorders>
          </w:tcPr>
          <w:p w14:paraId="5EB6B6BB" w14:textId="77777777" w:rsidR="0092254A" w:rsidRPr="00576299" w:rsidRDefault="0092254A" w:rsidP="00C068F2">
            <w:pPr>
              <w:pStyle w:val="TableText0"/>
              <w:jc w:val="center"/>
            </w:pPr>
            <w:r w:rsidRPr="00576299">
              <w:t>300</w:t>
            </w:r>
          </w:p>
        </w:tc>
        <w:tc>
          <w:tcPr>
            <w:tcW w:w="1179" w:type="pct"/>
            <w:tcBorders>
              <w:bottom w:val="single" w:sz="4" w:space="0" w:color="auto"/>
            </w:tcBorders>
          </w:tcPr>
          <w:p w14:paraId="228D0890" w14:textId="77777777" w:rsidR="0092254A" w:rsidRPr="00576299" w:rsidRDefault="0092254A" w:rsidP="00C068F2">
            <w:pPr>
              <w:pStyle w:val="TableText0"/>
              <w:jc w:val="center"/>
            </w:pPr>
            <w:r w:rsidRPr="00576299">
              <w:t>30 * 10 mg</w:t>
            </w:r>
          </w:p>
        </w:tc>
      </w:tr>
      <w:tr w:rsidR="0092254A" w:rsidRPr="00576299" w14:paraId="7555A6C4" w14:textId="77777777" w:rsidTr="00C068F2">
        <w:tc>
          <w:tcPr>
            <w:tcW w:w="363" w:type="pct"/>
            <w:tcBorders>
              <w:bottom w:val="single" w:sz="4" w:space="0" w:color="auto"/>
            </w:tcBorders>
          </w:tcPr>
          <w:p w14:paraId="4A388B97" w14:textId="77777777" w:rsidR="0092254A" w:rsidRPr="00576299" w:rsidRDefault="0092254A" w:rsidP="00C068F2">
            <w:pPr>
              <w:pStyle w:val="TableText0"/>
            </w:pPr>
            <w:r w:rsidRPr="00576299">
              <w:t>I</w:t>
            </w:r>
          </w:p>
        </w:tc>
        <w:tc>
          <w:tcPr>
            <w:tcW w:w="2279" w:type="pct"/>
            <w:tcBorders>
              <w:bottom w:val="single" w:sz="4" w:space="0" w:color="auto"/>
            </w:tcBorders>
          </w:tcPr>
          <w:p w14:paraId="764FFDAA" w14:textId="77777777" w:rsidR="0092254A" w:rsidRPr="00576299" w:rsidRDefault="0092254A" w:rsidP="00C068F2">
            <w:pPr>
              <w:pStyle w:val="TableText0"/>
            </w:pPr>
            <w:r w:rsidRPr="00576299">
              <w:t>Lenvatinib cost per mg</w:t>
            </w:r>
          </w:p>
        </w:tc>
        <w:tc>
          <w:tcPr>
            <w:tcW w:w="1179" w:type="pct"/>
            <w:tcBorders>
              <w:bottom w:val="single" w:sz="4" w:space="0" w:color="auto"/>
            </w:tcBorders>
          </w:tcPr>
          <w:p w14:paraId="75C34C7B" w14:textId="5655A5DA" w:rsidR="0092254A" w:rsidRPr="00576299" w:rsidRDefault="0092254A" w:rsidP="00C068F2">
            <w:pPr>
              <w:pStyle w:val="TableText0"/>
              <w:jc w:val="center"/>
            </w:pPr>
            <w:r w:rsidRPr="00576299">
              <w:t>$</w:t>
            </w:r>
            <w:r w:rsidR="00833009" w:rsidRPr="00833009">
              <w:rPr>
                <w:color w:val="000000"/>
                <w:shd w:val="solid" w:color="000000" w:fill="000000"/>
                <w14:textFill>
                  <w14:solidFill>
                    <w14:srgbClr w14:val="000000">
                      <w14:alpha w14:val="100000"/>
                    </w14:srgbClr>
                  </w14:solidFill>
                </w14:textFill>
              </w:rPr>
              <w:t>|</w:t>
            </w:r>
          </w:p>
        </w:tc>
        <w:tc>
          <w:tcPr>
            <w:tcW w:w="1179" w:type="pct"/>
            <w:tcBorders>
              <w:bottom w:val="single" w:sz="4" w:space="0" w:color="auto"/>
            </w:tcBorders>
          </w:tcPr>
          <w:p w14:paraId="6059EFE9" w14:textId="77777777" w:rsidR="0092254A" w:rsidRPr="00576299" w:rsidRDefault="0092254A" w:rsidP="00C068F2">
            <w:pPr>
              <w:pStyle w:val="TableText0"/>
              <w:jc w:val="center"/>
            </w:pPr>
            <w:r w:rsidRPr="00576299">
              <w:t>G/H</w:t>
            </w:r>
          </w:p>
        </w:tc>
      </w:tr>
      <w:tr w:rsidR="0092254A" w:rsidRPr="00576299" w14:paraId="717F7DE1" w14:textId="77777777" w:rsidTr="00C068F2">
        <w:tc>
          <w:tcPr>
            <w:tcW w:w="363" w:type="pct"/>
            <w:tcBorders>
              <w:bottom w:val="single" w:sz="4" w:space="0" w:color="auto"/>
            </w:tcBorders>
          </w:tcPr>
          <w:p w14:paraId="71EBA755" w14:textId="77777777" w:rsidR="0092254A" w:rsidRPr="00576299" w:rsidRDefault="0092254A" w:rsidP="00C068F2">
            <w:pPr>
              <w:pStyle w:val="TableText0"/>
            </w:pPr>
            <w:r w:rsidRPr="00576299">
              <w:t>J</w:t>
            </w:r>
          </w:p>
        </w:tc>
        <w:tc>
          <w:tcPr>
            <w:tcW w:w="2279" w:type="pct"/>
            <w:tcBorders>
              <w:bottom w:val="single" w:sz="4" w:space="0" w:color="auto"/>
            </w:tcBorders>
          </w:tcPr>
          <w:p w14:paraId="787F6B13" w14:textId="77777777" w:rsidR="0092254A" w:rsidRPr="00576299" w:rsidRDefault="0092254A" w:rsidP="00C068F2">
            <w:pPr>
              <w:pStyle w:val="TableText0"/>
            </w:pPr>
            <w:r w:rsidRPr="00576299">
              <w:t>Lenvatinib drug costs per course of treatment</w:t>
            </w:r>
          </w:p>
        </w:tc>
        <w:tc>
          <w:tcPr>
            <w:tcW w:w="1179" w:type="pct"/>
            <w:tcBorders>
              <w:bottom w:val="single" w:sz="4" w:space="0" w:color="auto"/>
            </w:tcBorders>
          </w:tcPr>
          <w:p w14:paraId="4B3BBA34" w14:textId="03DE99E6" w:rsidR="0092254A" w:rsidRPr="00576299" w:rsidRDefault="0092254A" w:rsidP="00C068F2">
            <w:pPr>
              <w:pStyle w:val="TableText0"/>
              <w:jc w:val="center"/>
            </w:pPr>
            <w:r w:rsidRPr="00576299">
              <w:t>$</w:t>
            </w:r>
            <w:r w:rsidR="00833009" w:rsidRPr="00833009">
              <w:rPr>
                <w:color w:val="000000"/>
                <w:shd w:val="solid" w:color="000000" w:fill="000000"/>
                <w14:textFill>
                  <w14:solidFill>
                    <w14:srgbClr w14:val="000000">
                      <w14:alpha w14:val="100000"/>
                    </w14:srgbClr>
                  </w14:solidFill>
                </w14:textFill>
              </w:rPr>
              <w:t>|</w:t>
            </w:r>
          </w:p>
        </w:tc>
        <w:tc>
          <w:tcPr>
            <w:tcW w:w="1179" w:type="pct"/>
            <w:tcBorders>
              <w:bottom w:val="single" w:sz="4" w:space="0" w:color="auto"/>
            </w:tcBorders>
          </w:tcPr>
          <w:p w14:paraId="4D6331EF" w14:textId="77777777" w:rsidR="0092254A" w:rsidRPr="00576299" w:rsidRDefault="0092254A" w:rsidP="00C068F2">
            <w:pPr>
              <w:pStyle w:val="TableText0"/>
              <w:jc w:val="center"/>
            </w:pPr>
            <w:r w:rsidRPr="00576299">
              <w:t>F*I</w:t>
            </w:r>
          </w:p>
        </w:tc>
      </w:tr>
      <w:tr w:rsidR="0092254A" w:rsidRPr="00576299" w14:paraId="083E96D4" w14:textId="77777777" w:rsidTr="00C068F2">
        <w:tc>
          <w:tcPr>
            <w:tcW w:w="363" w:type="pct"/>
            <w:tcBorders>
              <w:bottom w:val="single" w:sz="4" w:space="0" w:color="auto"/>
            </w:tcBorders>
          </w:tcPr>
          <w:p w14:paraId="430D1BB2" w14:textId="77777777" w:rsidR="0092254A" w:rsidRPr="00576299" w:rsidRDefault="0092254A" w:rsidP="00C068F2">
            <w:pPr>
              <w:pStyle w:val="TableText0"/>
            </w:pPr>
            <w:r w:rsidRPr="00576299">
              <w:t>K</w:t>
            </w:r>
          </w:p>
        </w:tc>
        <w:tc>
          <w:tcPr>
            <w:tcW w:w="2279" w:type="pct"/>
            <w:tcBorders>
              <w:bottom w:val="single" w:sz="4" w:space="0" w:color="auto"/>
            </w:tcBorders>
          </w:tcPr>
          <w:p w14:paraId="68EC5859" w14:textId="77777777" w:rsidR="0092254A" w:rsidRPr="00576299" w:rsidRDefault="0092254A" w:rsidP="00C068F2">
            <w:pPr>
              <w:pStyle w:val="TableText0"/>
            </w:pPr>
            <w:r w:rsidRPr="00576299">
              <w:t>Total drug costs per course of treatment</w:t>
            </w:r>
          </w:p>
        </w:tc>
        <w:tc>
          <w:tcPr>
            <w:tcW w:w="1179" w:type="pct"/>
            <w:tcBorders>
              <w:bottom w:val="single" w:sz="4" w:space="0" w:color="auto"/>
            </w:tcBorders>
          </w:tcPr>
          <w:p w14:paraId="4E06429F" w14:textId="04EC4911" w:rsidR="0092254A" w:rsidRPr="00576299" w:rsidRDefault="0092254A" w:rsidP="00C068F2">
            <w:pPr>
              <w:pStyle w:val="TableText0"/>
              <w:jc w:val="center"/>
            </w:pPr>
            <w:r w:rsidRPr="00576299">
              <w:t>$</w:t>
            </w:r>
            <w:r w:rsidR="00833009" w:rsidRPr="00833009">
              <w:rPr>
                <w:color w:val="000000"/>
                <w:shd w:val="solid" w:color="000000" w:fill="000000"/>
                <w14:textFill>
                  <w14:solidFill>
                    <w14:srgbClr w14:val="000000">
                      <w14:alpha w14:val="100000"/>
                    </w14:srgbClr>
                  </w14:solidFill>
                </w14:textFill>
              </w:rPr>
              <w:t>|</w:t>
            </w:r>
          </w:p>
        </w:tc>
        <w:tc>
          <w:tcPr>
            <w:tcW w:w="1179" w:type="pct"/>
            <w:tcBorders>
              <w:bottom w:val="single" w:sz="4" w:space="0" w:color="auto"/>
            </w:tcBorders>
          </w:tcPr>
          <w:p w14:paraId="6136A401" w14:textId="77777777" w:rsidR="0092254A" w:rsidRPr="00576299" w:rsidRDefault="0092254A" w:rsidP="00C068F2">
            <w:pPr>
              <w:pStyle w:val="TableText0"/>
              <w:jc w:val="center"/>
            </w:pPr>
            <w:r w:rsidRPr="00576299">
              <w:t>E+J</w:t>
            </w:r>
          </w:p>
        </w:tc>
      </w:tr>
      <w:tr w:rsidR="0092254A" w:rsidRPr="00576299" w14:paraId="49747F05" w14:textId="77777777" w:rsidTr="00C068F2">
        <w:tc>
          <w:tcPr>
            <w:tcW w:w="363" w:type="pct"/>
            <w:tcBorders>
              <w:bottom w:val="single" w:sz="4" w:space="0" w:color="auto"/>
            </w:tcBorders>
          </w:tcPr>
          <w:p w14:paraId="642CFC09" w14:textId="77777777" w:rsidR="0092254A" w:rsidRPr="00576299" w:rsidRDefault="0092254A" w:rsidP="00C068F2">
            <w:pPr>
              <w:pStyle w:val="TableText0"/>
            </w:pPr>
            <w:r w:rsidRPr="00576299">
              <w:t>L</w:t>
            </w:r>
          </w:p>
        </w:tc>
        <w:tc>
          <w:tcPr>
            <w:tcW w:w="2279" w:type="pct"/>
            <w:tcBorders>
              <w:bottom w:val="single" w:sz="4" w:space="0" w:color="auto"/>
            </w:tcBorders>
          </w:tcPr>
          <w:p w14:paraId="2CCDC7E0" w14:textId="77777777" w:rsidR="0092254A" w:rsidRPr="00576299" w:rsidRDefault="0092254A" w:rsidP="00C068F2">
            <w:pPr>
              <w:pStyle w:val="TableText0"/>
            </w:pPr>
            <w:r w:rsidRPr="00576299">
              <w:t>Administration costs</w:t>
            </w:r>
          </w:p>
        </w:tc>
        <w:tc>
          <w:tcPr>
            <w:tcW w:w="1179" w:type="pct"/>
            <w:tcBorders>
              <w:bottom w:val="single" w:sz="4" w:space="0" w:color="auto"/>
            </w:tcBorders>
          </w:tcPr>
          <w:p w14:paraId="6D79B7B6" w14:textId="1562F568" w:rsidR="0092254A" w:rsidRPr="00833009" w:rsidRDefault="0092254A" w:rsidP="00C068F2">
            <w:pPr>
              <w:pStyle w:val="TableText0"/>
              <w:jc w:val="center"/>
              <w:rPr>
                <w:vertAlign w:val="superscript"/>
              </w:rPr>
            </w:pPr>
            <w:r w:rsidRPr="00833009">
              <w:t>$1,671</w:t>
            </w:r>
            <w:r w:rsidR="00972E5A" w:rsidRPr="00833009">
              <w:t xml:space="preserve"> </w:t>
            </w:r>
            <w:r w:rsidR="00972E5A" w:rsidRPr="00833009">
              <w:rPr>
                <w:vertAlign w:val="superscript"/>
              </w:rPr>
              <w:t>a</w:t>
            </w:r>
          </w:p>
        </w:tc>
        <w:tc>
          <w:tcPr>
            <w:tcW w:w="1179" w:type="pct"/>
            <w:tcBorders>
              <w:bottom w:val="single" w:sz="4" w:space="0" w:color="auto"/>
            </w:tcBorders>
            <w:vAlign w:val="center"/>
          </w:tcPr>
          <w:p w14:paraId="7189AB10" w14:textId="77777777" w:rsidR="0092254A" w:rsidRPr="00576299" w:rsidRDefault="0092254A" w:rsidP="00C068F2">
            <w:pPr>
              <w:pStyle w:val="TableText0"/>
              <w:jc w:val="center"/>
            </w:pPr>
            <w:r w:rsidRPr="00576299">
              <w:rPr>
                <w:rFonts w:cs="Calibri"/>
                <w:color w:val="000000"/>
                <w:szCs w:val="20"/>
              </w:rPr>
              <w:t>Table 3B.3.1</w:t>
            </w:r>
          </w:p>
        </w:tc>
      </w:tr>
      <w:tr w:rsidR="0092254A" w:rsidRPr="00576299" w14:paraId="434DF890" w14:textId="77777777" w:rsidTr="00C068F2">
        <w:tc>
          <w:tcPr>
            <w:tcW w:w="363" w:type="pct"/>
            <w:tcBorders>
              <w:bottom w:val="single" w:sz="4" w:space="0" w:color="auto"/>
            </w:tcBorders>
          </w:tcPr>
          <w:p w14:paraId="1539C68D" w14:textId="77777777" w:rsidR="0092254A" w:rsidRPr="00576299" w:rsidRDefault="0092254A" w:rsidP="00C068F2">
            <w:pPr>
              <w:pStyle w:val="TableText0"/>
            </w:pPr>
            <w:r w:rsidRPr="00576299">
              <w:t>M</w:t>
            </w:r>
          </w:p>
        </w:tc>
        <w:tc>
          <w:tcPr>
            <w:tcW w:w="2279" w:type="pct"/>
            <w:tcBorders>
              <w:bottom w:val="single" w:sz="4" w:space="0" w:color="auto"/>
            </w:tcBorders>
          </w:tcPr>
          <w:p w14:paraId="6482B9A1" w14:textId="77777777" w:rsidR="0092254A" w:rsidRPr="00576299" w:rsidRDefault="0092254A" w:rsidP="00C068F2">
            <w:pPr>
              <w:pStyle w:val="TableText0"/>
            </w:pPr>
            <w:r w:rsidRPr="00576299">
              <w:t>Safety costs</w:t>
            </w:r>
          </w:p>
        </w:tc>
        <w:tc>
          <w:tcPr>
            <w:tcW w:w="1179" w:type="pct"/>
            <w:tcBorders>
              <w:bottom w:val="single" w:sz="4" w:space="0" w:color="auto"/>
            </w:tcBorders>
          </w:tcPr>
          <w:p w14:paraId="06184E5A" w14:textId="106D654F" w:rsidR="0092254A" w:rsidRPr="00833009" w:rsidRDefault="0092254A" w:rsidP="00C068F2">
            <w:pPr>
              <w:pStyle w:val="TableText0"/>
              <w:jc w:val="center"/>
            </w:pPr>
            <w:r w:rsidRPr="00833009">
              <w:t>$1,272</w:t>
            </w:r>
          </w:p>
        </w:tc>
        <w:tc>
          <w:tcPr>
            <w:tcW w:w="1179" w:type="pct"/>
            <w:tcBorders>
              <w:bottom w:val="single" w:sz="4" w:space="0" w:color="auto"/>
            </w:tcBorders>
            <w:vAlign w:val="center"/>
          </w:tcPr>
          <w:p w14:paraId="6D8285A5" w14:textId="77777777" w:rsidR="0092254A" w:rsidRPr="00576299" w:rsidRDefault="0092254A" w:rsidP="00C068F2">
            <w:pPr>
              <w:pStyle w:val="TableText0"/>
              <w:jc w:val="center"/>
            </w:pPr>
            <w:r w:rsidRPr="00576299">
              <w:rPr>
                <w:rFonts w:cs="Calibri"/>
                <w:color w:val="000000"/>
                <w:szCs w:val="20"/>
              </w:rPr>
              <w:t>Table 3B.3.4</w:t>
            </w:r>
          </w:p>
        </w:tc>
      </w:tr>
      <w:tr w:rsidR="0092254A" w:rsidRPr="00576299" w14:paraId="58818FD5" w14:textId="77777777" w:rsidTr="00C068F2">
        <w:tc>
          <w:tcPr>
            <w:tcW w:w="363" w:type="pct"/>
            <w:tcBorders>
              <w:bottom w:val="single" w:sz="4" w:space="0" w:color="auto"/>
            </w:tcBorders>
          </w:tcPr>
          <w:p w14:paraId="21457C43" w14:textId="77777777" w:rsidR="0092254A" w:rsidRPr="00576299" w:rsidRDefault="0092254A" w:rsidP="00C068F2">
            <w:pPr>
              <w:pStyle w:val="TableText0"/>
            </w:pPr>
            <w:r w:rsidRPr="00576299">
              <w:t>N</w:t>
            </w:r>
          </w:p>
        </w:tc>
        <w:tc>
          <w:tcPr>
            <w:tcW w:w="2279" w:type="pct"/>
            <w:tcBorders>
              <w:bottom w:val="single" w:sz="4" w:space="0" w:color="auto"/>
            </w:tcBorders>
          </w:tcPr>
          <w:p w14:paraId="01BCE8EA" w14:textId="77777777" w:rsidR="0092254A" w:rsidRPr="00576299" w:rsidRDefault="0092254A" w:rsidP="00C068F2">
            <w:pPr>
              <w:pStyle w:val="TableText0"/>
            </w:pPr>
            <w:r w:rsidRPr="00576299">
              <w:t>Total costs per course of treatment</w:t>
            </w:r>
          </w:p>
        </w:tc>
        <w:tc>
          <w:tcPr>
            <w:tcW w:w="1179" w:type="pct"/>
            <w:tcBorders>
              <w:bottom w:val="single" w:sz="4" w:space="0" w:color="auto"/>
            </w:tcBorders>
          </w:tcPr>
          <w:p w14:paraId="474012ED" w14:textId="6A46C648" w:rsidR="0092254A" w:rsidRPr="00576299" w:rsidRDefault="0092254A" w:rsidP="00C068F2">
            <w:pPr>
              <w:pStyle w:val="TableText0"/>
              <w:jc w:val="center"/>
            </w:pPr>
            <w:r w:rsidRPr="00576299">
              <w:t>$</w:t>
            </w:r>
            <w:r w:rsidR="00833009" w:rsidRPr="00833009">
              <w:rPr>
                <w:color w:val="000000"/>
                <w:shd w:val="solid" w:color="000000" w:fill="000000"/>
                <w14:textFill>
                  <w14:solidFill>
                    <w14:srgbClr w14:val="000000">
                      <w14:alpha w14:val="100000"/>
                    </w14:srgbClr>
                  </w14:solidFill>
                </w14:textFill>
              </w:rPr>
              <w:t>|</w:t>
            </w:r>
          </w:p>
        </w:tc>
        <w:tc>
          <w:tcPr>
            <w:tcW w:w="1179" w:type="pct"/>
            <w:tcBorders>
              <w:bottom w:val="single" w:sz="4" w:space="0" w:color="auto"/>
            </w:tcBorders>
          </w:tcPr>
          <w:p w14:paraId="0022F79A" w14:textId="77777777" w:rsidR="0092254A" w:rsidRPr="00576299" w:rsidRDefault="0092254A" w:rsidP="00C068F2">
            <w:pPr>
              <w:pStyle w:val="TableText0"/>
              <w:jc w:val="center"/>
            </w:pPr>
            <w:r w:rsidRPr="00576299">
              <w:t>K+L+M</w:t>
            </w:r>
          </w:p>
        </w:tc>
      </w:tr>
      <w:tr w:rsidR="0092254A" w:rsidRPr="00576299" w14:paraId="769DC87C" w14:textId="77777777" w:rsidTr="00C068F2">
        <w:tc>
          <w:tcPr>
            <w:tcW w:w="5000" w:type="pct"/>
            <w:gridSpan w:val="4"/>
            <w:tcBorders>
              <w:bottom w:val="single" w:sz="4" w:space="0" w:color="auto"/>
            </w:tcBorders>
            <w:shd w:val="clear" w:color="auto" w:fill="auto"/>
          </w:tcPr>
          <w:p w14:paraId="7D77C3C1" w14:textId="77777777" w:rsidR="0092254A" w:rsidRPr="00576299" w:rsidRDefault="0092254A" w:rsidP="00C068F2">
            <w:pPr>
              <w:pStyle w:val="TableText0"/>
            </w:pPr>
            <w:r w:rsidRPr="00576299">
              <w:t>Dostarlimab</w:t>
            </w:r>
          </w:p>
        </w:tc>
      </w:tr>
      <w:tr w:rsidR="0092254A" w:rsidRPr="00576299" w14:paraId="61C95B7B" w14:textId="77777777" w:rsidTr="00C068F2">
        <w:tc>
          <w:tcPr>
            <w:tcW w:w="363" w:type="pct"/>
          </w:tcPr>
          <w:p w14:paraId="1E21232D" w14:textId="77777777" w:rsidR="0092254A" w:rsidRPr="00576299" w:rsidRDefault="0092254A" w:rsidP="00C068F2">
            <w:pPr>
              <w:pStyle w:val="TableText0"/>
            </w:pPr>
            <w:r w:rsidRPr="00576299">
              <w:t>O</w:t>
            </w:r>
          </w:p>
        </w:tc>
        <w:tc>
          <w:tcPr>
            <w:tcW w:w="2279" w:type="pct"/>
          </w:tcPr>
          <w:p w14:paraId="784F3F00" w14:textId="77777777" w:rsidR="0092254A" w:rsidRPr="00576299" w:rsidRDefault="0092254A" w:rsidP="00C068F2">
            <w:pPr>
              <w:pStyle w:val="TableText0"/>
            </w:pPr>
            <w:r w:rsidRPr="00576299">
              <w:t>Total costs per course of treatment</w:t>
            </w:r>
          </w:p>
        </w:tc>
        <w:tc>
          <w:tcPr>
            <w:tcW w:w="1179" w:type="pct"/>
          </w:tcPr>
          <w:p w14:paraId="1330D20C" w14:textId="0EAA4A08" w:rsidR="0092254A" w:rsidRPr="00576299" w:rsidRDefault="0092254A" w:rsidP="00C068F2">
            <w:pPr>
              <w:pStyle w:val="TableText0"/>
              <w:jc w:val="center"/>
            </w:pPr>
            <w:r w:rsidRPr="00576299">
              <w:t>$</w:t>
            </w:r>
            <w:r w:rsidR="00833009" w:rsidRPr="00833009">
              <w:rPr>
                <w:color w:val="000000"/>
                <w:shd w:val="solid" w:color="000000" w:fill="000000"/>
                <w14:textFill>
                  <w14:solidFill>
                    <w14:srgbClr w14:val="000000">
                      <w14:alpha w14:val="100000"/>
                    </w14:srgbClr>
                  </w14:solidFill>
                </w14:textFill>
              </w:rPr>
              <w:t>|</w:t>
            </w:r>
          </w:p>
        </w:tc>
        <w:tc>
          <w:tcPr>
            <w:tcW w:w="1179" w:type="pct"/>
          </w:tcPr>
          <w:p w14:paraId="52F6D154" w14:textId="77777777" w:rsidR="0092254A" w:rsidRPr="00576299" w:rsidRDefault="0092254A" w:rsidP="00C068F2">
            <w:pPr>
              <w:pStyle w:val="TableText0"/>
              <w:jc w:val="center"/>
            </w:pPr>
            <w:r w:rsidRPr="00576299">
              <w:t>N</w:t>
            </w:r>
          </w:p>
        </w:tc>
      </w:tr>
      <w:tr w:rsidR="0092254A" w:rsidRPr="00576299" w14:paraId="42368D89" w14:textId="77777777" w:rsidTr="00C068F2">
        <w:tc>
          <w:tcPr>
            <w:tcW w:w="363" w:type="pct"/>
          </w:tcPr>
          <w:p w14:paraId="04C760F8" w14:textId="77777777" w:rsidR="0092254A" w:rsidRPr="00576299" w:rsidRDefault="0092254A" w:rsidP="00C068F2">
            <w:pPr>
              <w:pStyle w:val="TableText0"/>
            </w:pPr>
            <w:r w:rsidRPr="00576299">
              <w:t>P</w:t>
            </w:r>
          </w:p>
        </w:tc>
        <w:tc>
          <w:tcPr>
            <w:tcW w:w="2279" w:type="pct"/>
          </w:tcPr>
          <w:p w14:paraId="6FDFB10E" w14:textId="77777777" w:rsidR="0092254A" w:rsidRPr="00576299" w:rsidRDefault="0092254A" w:rsidP="00C068F2">
            <w:pPr>
              <w:pStyle w:val="TableText0"/>
            </w:pPr>
            <w:r w:rsidRPr="00576299">
              <w:t>Administration costs</w:t>
            </w:r>
          </w:p>
        </w:tc>
        <w:tc>
          <w:tcPr>
            <w:tcW w:w="1179" w:type="pct"/>
          </w:tcPr>
          <w:p w14:paraId="7398514E" w14:textId="7D565816" w:rsidR="0092254A" w:rsidRPr="00833009" w:rsidRDefault="0092254A" w:rsidP="00C068F2">
            <w:pPr>
              <w:pStyle w:val="TableText0"/>
              <w:jc w:val="center"/>
            </w:pPr>
            <w:r w:rsidRPr="00833009">
              <w:t>$1,14</w:t>
            </w:r>
            <w:r w:rsidR="00895726" w:rsidRPr="00833009">
              <w:t>1</w:t>
            </w:r>
          </w:p>
        </w:tc>
        <w:tc>
          <w:tcPr>
            <w:tcW w:w="1179" w:type="pct"/>
            <w:vAlign w:val="center"/>
          </w:tcPr>
          <w:p w14:paraId="35741AD8" w14:textId="77777777" w:rsidR="0092254A" w:rsidRPr="00576299" w:rsidRDefault="0092254A" w:rsidP="00C068F2">
            <w:pPr>
              <w:pStyle w:val="TableText0"/>
              <w:jc w:val="center"/>
            </w:pPr>
            <w:r w:rsidRPr="00576299">
              <w:rPr>
                <w:rFonts w:cs="Calibri"/>
                <w:color w:val="000000"/>
                <w:szCs w:val="20"/>
              </w:rPr>
              <w:t>Table 3B.3.1</w:t>
            </w:r>
          </w:p>
        </w:tc>
      </w:tr>
      <w:tr w:rsidR="0092254A" w:rsidRPr="00576299" w14:paraId="06574826" w14:textId="77777777" w:rsidTr="00C068F2">
        <w:tc>
          <w:tcPr>
            <w:tcW w:w="363" w:type="pct"/>
          </w:tcPr>
          <w:p w14:paraId="41E09C08" w14:textId="77777777" w:rsidR="0092254A" w:rsidRPr="00576299" w:rsidRDefault="0092254A" w:rsidP="00C068F2">
            <w:pPr>
              <w:pStyle w:val="TableText0"/>
            </w:pPr>
            <w:r w:rsidRPr="00576299">
              <w:t>Q</w:t>
            </w:r>
          </w:p>
        </w:tc>
        <w:tc>
          <w:tcPr>
            <w:tcW w:w="2279" w:type="pct"/>
          </w:tcPr>
          <w:p w14:paraId="60CEC1E3" w14:textId="77777777" w:rsidR="0092254A" w:rsidRPr="00576299" w:rsidRDefault="0092254A" w:rsidP="00C068F2">
            <w:pPr>
              <w:pStyle w:val="TableText0"/>
            </w:pPr>
            <w:r w:rsidRPr="00576299">
              <w:t>Safety costs</w:t>
            </w:r>
          </w:p>
        </w:tc>
        <w:tc>
          <w:tcPr>
            <w:tcW w:w="1179" w:type="pct"/>
          </w:tcPr>
          <w:p w14:paraId="76F0F947" w14:textId="747E30C9" w:rsidR="0092254A" w:rsidRPr="00833009" w:rsidRDefault="0092254A" w:rsidP="00C068F2">
            <w:pPr>
              <w:pStyle w:val="TableText0"/>
              <w:jc w:val="center"/>
            </w:pPr>
            <w:r w:rsidRPr="00833009">
              <w:t>$171</w:t>
            </w:r>
          </w:p>
        </w:tc>
        <w:tc>
          <w:tcPr>
            <w:tcW w:w="1179" w:type="pct"/>
            <w:vAlign w:val="center"/>
          </w:tcPr>
          <w:p w14:paraId="15981481" w14:textId="77777777" w:rsidR="0092254A" w:rsidRPr="00576299" w:rsidRDefault="0092254A" w:rsidP="00C068F2">
            <w:pPr>
              <w:pStyle w:val="TableText0"/>
              <w:jc w:val="center"/>
            </w:pPr>
            <w:r w:rsidRPr="00576299">
              <w:rPr>
                <w:rFonts w:cs="Calibri"/>
                <w:color w:val="000000"/>
                <w:szCs w:val="20"/>
              </w:rPr>
              <w:t>Table 132</w:t>
            </w:r>
          </w:p>
        </w:tc>
      </w:tr>
      <w:tr w:rsidR="0092254A" w:rsidRPr="00576299" w14:paraId="7C00E2DC" w14:textId="77777777" w:rsidTr="00C068F2">
        <w:tc>
          <w:tcPr>
            <w:tcW w:w="363" w:type="pct"/>
          </w:tcPr>
          <w:p w14:paraId="5D777E85" w14:textId="77777777" w:rsidR="0092254A" w:rsidRPr="00576299" w:rsidRDefault="0092254A" w:rsidP="00C068F2">
            <w:pPr>
              <w:pStyle w:val="TableText0"/>
            </w:pPr>
            <w:r w:rsidRPr="00576299">
              <w:t>R</w:t>
            </w:r>
          </w:p>
        </w:tc>
        <w:tc>
          <w:tcPr>
            <w:tcW w:w="2279" w:type="pct"/>
          </w:tcPr>
          <w:p w14:paraId="4C3D8E4E" w14:textId="77777777" w:rsidR="0092254A" w:rsidRPr="00576299" w:rsidRDefault="0092254A" w:rsidP="00C068F2">
            <w:pPr>
              <w:pStyle w:val="TableText0"/>
            </w:pPr>
            <w:r w:rsidRPr="00576299">
              <w:t>Total drug costs per course of treatment</w:t>
            </w:r>
          </w:p>
        </w:tc>
        <w:tc>
          <w:tcPr>
            <w:tcW w:w="1179" w:type="pct"/>
          </w:tcPr>
          <w:p w14:paraId="708925F1" w14:textId="6A0B13C0" w:rsidR="0092254A" w:rsidRPr="00576299" w:rsidRDefault="0092254A" w:rsidP="00C068F2">
            <w:pPr>
              <w:pStyle w:val="TableText0"/>
              <w:jc w:val="center"/>
            </w:pPr>
            <w:r w:rsidRPr="00576299">
              <w:t>$</w:t>
            </w:r>
            <w:r w:rsidR="00833009" w:rsidRPr="00833009">
              <w:rPr>
                <w:color w:val="000000"/>
                <w:shd w:val="solid" w:color="000000" w:fill="000000"/>
                <w14:textFill>
                  <w14:solidFill>
                    <w14:srgbClr w14:val="000000">
                      <w14:alpha w14:val="100000"/>
                    </w14:srgbClr>
                  </w14:solidFill>
                </w14:textFill>
              </w:rPr>
              <w:t>|</w:t>
            </w:r>
          </w:p>
        </w:tc>
        <w:tc>
          <w:tcPr>
            <w:tcW w:w="1179" w:type="pct"/>
          </w:tcPr>
          <w:p w14:paraId="5881860F" w14:textId="77777777" w:rsidR="0092254A" w:rsidRPr="00576299" w:rsidRDefault="0092254A" w:rsidP="00C068F2">
            <w:pPr>
              <w:pStyle w:val="TableText0"/>
              <w:jc w:val="center"/>
            </w:pPr>
            <w:r w:rsidRPr="00576299">
              <w:t>O-P-Q</w:t>
            </w:r>
          </w:p>
        </w:tc>
      </w:tr>
      <w:tr w:rsidR="0092254A" w:rsidRPr="00576299" w14:paraId="14595A3C" w14:textId="77777777" w:rsidTr="00C068F2">
        <w:tc>
          <w:tcPr>
            <w:tcW w:w="363" w:type="pct"/>
          </w:tcPr>
          <w:p w14:paraId="490C03F6" w14:textId="77777777" w:rsidR="0092254A" w:rsidRPr="00576299" w:rsidRDefault="0092254A" w:rsidP="00C068F2">
            <w:pPr>
              <w:pStyle w:val="TableText0"/>
            </w:pPr>
            <w:r w:rsidRPr="00576299">
              <w:t>S</w:t>
            </w:r>
          </w:p>
        </w:tc>
        <w:tc>
          <w:tcPr>
            <w:tcW w:w="2279" w:type="pct"/>
          </w:tcPr>
          <w:p w14:paraId="6D00DFE3" w14:textId="77777777" w:rsidR="0092254A" w:rsidRPr="00576299" w:rsidRDefault="0092254A" w:rsidP="00C068F2">
            <w:pPr>
              <w:pStyle w:val="TableText0"/>
            </w:pPr>
            <w:r w:rsidRPr="00576299">
              <w:t>Volume (mg) per course of treatment</w:t>
            </w:r>
          </w:p>
        </w:tc>
        <w:tc>
          <w:tcPr>
            <w:tcW w:w="1179" w:type="pct"/>
          </w:tcPr>
          <w:p w14:paraId="5599FA67" w14:textId="77777777" w:rsidR="0092254A" w:rsidRPr="00576299" w:rsidRDefault="0092254A" w:rsidP="00C068F2">
            <w:pPr>
              <w:pStyle w:val="TableText0"/>
              <w:jc w:val="center"/>
            </w:pPr>
            <w:r w:rsidRPr="00576299">
              <w:t>7,988</w:t>
            </w:r>
          </w:p>
        </w:tc>
        <w:tc>
          <w:tcPr>
            <w:tcW w:w="1179" w:type="pct"/>
          </w:tcPr>
          <w:p w14:paraId="0F2833D6" w14:textId="77777777" w:rsidR="0092254A" w:rsidRPr="00576299" w:rsidRDefault="0092254A" w:rsidP="00C068F2">
            <w:pPr>
              <w:jc w:val="center"/>
              <w:rPr>
                <w:rFonts w:ascii="Arial Narrow" w:hAnsi="Arial Narrow" w:cs="Calibri"/>
                <w:color w:val="000000"/>
                <w:sz w:val="20"/>
                <w:szCs w:val="20"/>
              </w:rPr>
            </w:pPr>
            <w:r w:rsidRPr="00576299">
              <w:rPr>
                <w:rFonts w:ascii="Arial Narrow" w:hAnsi="Arial Narrow" w:cs="Calibri"/>
                <w:color w:val="000000"/>
                <w:sz w:val="20"/>
                <w:szCs w:val="20"/>
              </w:rPr>
              <w:t>Table 3B.2.5</w:t>
            </w:r>
          </w:p>
        </w:tc>
      </w:tr>
      <w:tr w:rsidR="0092254A" w:rsidRPr="00576299" w14:paraId="30C3845B" w14:textId="77777777" w:rsidTr="00C068F2">
        <w:tc>
          <w:tcPr>
            <w:tcW w:w="363" w:type="pct"/>
          </w:tcPr>
          <w:p w14:paraId="42E759D5" w14:textId="77777777" w:rsidR="0092254A" w:rsidRPr="00576299" w:rsidRDefault="0092254A" w:rsidP="00C068F2">
            <w:pPr>
              <w:pStyle w:val="TableText0"/>
            </w:pPr>
            <w:r w:rsidRPr="00576299">
              <w:t>T</w:t>
            </w:r>
          </w:p>
        </w:tc>
        <w:tc>
          <w:tcPr>
            <w:tcW w:w="2279" w:type="pct"/>
          </w:tcPr>
          <w:p w14:paraId="406E1666" w14:textId="77777777" w:rsidR="0092254A" w:rsidRPr="00576299" w:rsidRDefault="0092254A" w:rsidP="00C068F2">
            <w:pPr>
              <w:pStyle w:val="TableText0"/>
            </w:pPr>
            <w:r w:rsidRPr="00576299">
              <w:t>Cost per mg</w:t>
            </w:r>
          </w:p>
        </w:tc>
        <w:tc>
          <w:tcPr>
            <w:tcW w:w="1179" w:type="pct"/>
          </w:tcPr>
          <w:p w14:paraId="5A5E0E9C" w14:textId="00657292" w:rsidR="0092254A" w:rsidRPr="00576299" w:rsidRDefault="0092254A" w:rsidP="00C068F2">
            <w:pPr>
              <w:pStyle w:val="TableText0"/>
              <w:jc w:val="center"/>
            </w:pPr>
            <w:r w:rsidRPr="00576299">
              <w:t>$</w:t>
            </w:r>
            <w:r w:rsidR="00833009" w:rsidRPr="00833009">
              <w:rPr>
                <w:color w:val="000000"/>
                <w:shd w:val="solid" w:color="000000" w:fill="000000"/>
                <w14:textFill>
                  <w14:solidFill>
                    <w14:srgbClr w14:val="000000">
                      <w14:alpha w14:val="100000"/>
                    </w14:srgbClr>
                  </w14:solidFill>
                </w14:textFill>
              </w:rPr>
              <w:t>|</w:t>
            </w:r>
          </w:p>
        </w:tc>
        <w:tc>
          <w:tcPr>
            <w:tcW w:w="1179" w:type="pct"/>
          </w:tcPr>
          <w:p w14:paraId="6563626B" w14:textId="77777777" w:rsidR="0092254A" w:rsidRPr="00576299" w:rsidRDefault="0092254A" w:rsidP="00C068F2">
            <w:pPr>
              <w:pStyle w:val="TableText0"/>
              <w:jc w:val="center"/>
            </w:pPr>
            <w:r w:rsidRPr="00576299">
              <w:t>R/S</w:t>
            </w:r>
          </w:p>
        </w:tc>
      </w:tr>
      <w:tr w:rsidR="0092254A" w:rsidRPr="00576299" w14:paraId="646479B1" w14:textId="77777777" w:rsidTr="00C068F2">
        <w:tc>
          <w:tcPr>
            <w:tcW w:w="363" w:type="pct"/>
          </w:tcPr>
          <w:p w14:paraId="57B95699" w14:textId="77777777" w:rsidR="0092254A" w:rsidRPr="00576299" w:rsidRDefault="0092254A" w:rsidP="00C068F2">
            <w:pPr>
              <w:pStyle w:val="TableText0"/>
            </w:pPr>
            <w:r w:rsidRPr="00576299">
              <w:t>U</w:t>
            </w:r>
          </w:p>
        </w:tc>
        <w:tc>
          <w:tcPr>
            <w:tcW w:w="2279" w:type="pct"/>
          </w:tcPr>
          <w:p w14:paraId="7C3C069E" w14:textId="6856C4C5" w:rsidR="0092254A" w:rsidRPr="00576299" w:rsidRDefault="00982E76" w:rsidP="00C068F2">
            <w:pPr>
              <w:pStyle w:val="TableText0"/>
            </w:pPr>
            <w:r w:rsidRPr="00576299">
              <w:t>Ex-manufacturer price</w:t>
            </w:r>
            <w:r w:rsidR="0092254A" w:rsidRPr="00576299">
              <w:t xml:space="preserve"> per unit</w:t>
            </w:r>
            <w:r w:rsidRPr="00576299">
              <w:t xml:space="preserve"> (500mg vial)</w:t>
            </w:r>
          </w:p>
        </w:tc>
        <w:tc>
          <w:tcPr>
            <w:tcW w:w="1179" w:type="pct"/>
          </w:tcPr>
          <w:p w14:paraId="25D6CFD7" w14:textId="5777ACEA" w:rsidR="0092254A" w:rsidRPr="00576299" w:rsidRDefault="0092254A" w:rsidP="00C068F2">
            <w:pPr>
              <w:pStyle w:val="TableText0"/>
              <w:jc w:val="center"/>
            </w:pPr>
            <w:r w:rsidRPr="00576299">
              <w:t>$</w:t>
            </w:r>
            <w:r w:rsidR="00833009" w:rsidRPr="00833009">
              <w:rPr>
                <w:color w:val="000000"/>
                <w:shd w:val="solid" w:color="000000" w:fill="000000"/>
                <w14:textFill>
                  <w14:solidFill>
                    <w14:srgbClr w14:val="000000">
                      <w14:alpha w14:val="100000"/>
                    </w14:srgbClr>
                  </w14:solidFill>
                </w14:textFill>
              </w:rPr>
              <w:t>|</w:t>
            </w:r>
          </w:p>
        </w:tc>
        <w:tc>
          <w:tcPr>
            <w:tcW w:w="1179" w:type="pct"/>
          </w:tcPr>
          <w:p w14:paraId="3CF02912" w14:textId="77777777" w:rsidR="0092254A" w:rsidRPr="00576299" w:rsidRDefault="0092254A" w:rsidP="00C068F2">
            <w:pPr>
              <w:pStyle w:val="TableText0"/>
              <w:jc w:val="center"/>
            </w:pPr>
            <w:r w:rsidRPr="00576299">
              <w:t>T * 500 mg</w:t>
            </w:r>
          </w:p>
        </w:tc>
      </w:tr>
    </w:tbl>
    <w:p w14:paraId="7D9D798D" w14:textId="799909FB" w:rsidR="0092254A" w:rsidRPr="007747EB" w:rsidRDefault="0092254A" w:rsidP="0092254A">
      <w:pPr>
        <w:pStyle w:val="TableFooter"/>
        <w:rPr>
          <w:szCs w:val="18"/>
        </w:rPr>
      </w:pPr>
      <w:r w:rsidRPr="00576299">
        <w:rPr>
          <w:szCs w:val="18"/>
        </w:rPr>
        <w:t xml:space="preserve">Source: Table 134, p263 of the </w:t>
      </w:r>
      <w:r w:rsidRPr="007747EB">
        <w:rPr>
          <w:szCs w:val="18"/>
        </w:rPr>
        <w:t>resubmission.</w:t>
      </w:r>
    </w:p>
    <w:p w14:paraId="7F20E0E2" w14:textId="56167FD6" w:rsidR="00972E5A" w:rsidRPr="007747EB" w:rsidRDefault="00972E5A" w:rsidP="0092254A">
      <w:pPr>
        <w:pStyle w:val="TableFooter"/>
        <w:rPr>
          <w:szCs w:val="18"/>
        </w:rPr>
      </w:pPr>
      <w:r w:rsidRPr="007747EB">
        <w:rPr>
          <w:szCs w:val="18"/>
          <w:vertAlign w:val="superscript"/>
        </w:rPr>
        <w:t>a</w:t>
      </w:r>
      <w:r w:rsidRPr="007747EB">
        <w:rPr>
          <w:szCs w:val="18"/>
        </w:rPr>
        <w:t xml:space="preserve"> Administration costs were updated in evaluation to reflect the current fee of $114.20 (MBS item 13950).</w:t>
      </w:r>
    </w:p>
    <w:p w14:paraId="31C10101" w14:textId="77777777" w:rsidR="0092254A" w:rsidRPr="00576299" w:rsidRDefault="0092254A" w:rsidP="0092254A">
      <w:pPr>
        <w:pStyle w:val="4-SubsectionHeading"/>
      </w:pPr>
      <w:bookmarkStart w:id="70" w:name="_Toc22897646"/>
      <w:bookmarkStart w:id="71" w:name="_Toc114052529"/>
      <w:r w:rsidRPr="00576299">
        <w:t>Drug cost/patient/course</w:t>
      </w:r>
      <w:bookmarkEnd w:id="70"/>
      <w:bookmarkEnd w:id="71"/>
    </w:p>
    <w:p w14:paraId="545047D9" w14:textId="0C8B6D0E" w:rsidR="0092254A" w:rsidRPr="00576299" w:rsidRDefault="0092254A" w:rsidP="0092254A">
      <w:pPr>
        <w:pStyle w:val="ListParagraph"/>
        <w:numPr>
          <w:ilvl w:val="1"/>
          <w:numId w:val="1"/>
        </w:numPr>
      </w:pPr>
      <w:bookmarkStart w:id="72" w:name="_Ref104805102"/>
      <w:r w:rsidRPr="00576299">
        <w:t xml:space="preserve">Drug acquisition costs of dostarlimab </w:t>
      </w:r>
      <w:r w:rsidR="001D23D4">
        <w:t xml:space="preserve">(based on the price proposed in the resubmission) </w:t>
      </w:r>
      <w:r w:rsidRPr="00576299">
        <w:t xml:space="preserve">and SoC are summarised in </w:t>
      </w:r>
      <w:r w:rsidRPr="00576299">
        <w:fldChar w:fldCharType="begin"/>
      </w:r>
      <w:r w:rsidRPr="00576299">
        <w:instrText xml:space="preserve"> REF _Ref111458338 \h </w:instrText>
      </w:r>
      <w:r w:rsidRPr="00576299">
        <w:fldChar w:fldCharType="separate"/>
      </w:r>
      <w:r w:rsidR="00CD09E9" w:rsidRPr="00576299">
        <w:t xml:space="preserve">Table </w:t>
      </w:r>
      <w:r w:rsidR="00CD09E9">
        <w:rPr>
          <w:noProof/>
        </w:rPr>
        <w:t>22</w:t>
      </w:r>
      <w:r w:rsidRPr="00576299">
        <w:fldChar w:fldCharType="end"/>
      </w:r>
      <w:r w:rsidRPr="00576299">
        <w:t xml:space="preserve">. </w:t>
      </w:r>
    </w:p>
    <w:p w14:paraId="26E12A6C" w14:textId="788CB858" w:rsidR="0092254A" w:rsidRPr="00576299" w:rsidRDefault="0092254A" w:rsidP="007E1B0A">
      <w:pPr>
        <w:pStyle w:val="Caption"/>
      </w:pPr>
      <w:bookmarkStart w:id="73" w:name="_Ref111458338"/>
      <w:r w:rsidRPr="00576299">
        <w:t xml:space="preserve">Table </w:t>
      </w:r>
      <w:fldSimple w:instr=" SEQ Table \* ARABIC ">
        <w:r w:rsidR="00CD09E9">
          <w:rPr>
            <w:noProof/>
          </w:rPr>
          <w:t>22</w:t>
        </w:r>
      </w:fldSimple>
      <w:bookmarkEnd w:id="73"/>
      <w:r w:rsidRPr="00576299">
        <w:t>: Drug cost per patient for dostarlimab and SoC drugs</w:t>
      </w:r>
      <w:r w:rsidR="00715340" w:rsidRPr="00576299">
        <w:t xml:space="preserve"> (CUA)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71"/>
        <w:gridCol w:w="1208"/>
        <w:gridCol w:w="1208"/>
        <w:gridCol w:w="1212"/>
        <w:gridCol w:w="1134"/>
        <w:gridCol w:w="1417"/>
        <w:gridCol w:w="1367"/>
      </w:tblGrid>
      <w:tr w:rsidR="0092254A" w:rsidRPr="00576299" w14:paraId="63B3F1CF" w14:textId="77777777" w:rsidTr="00C068F2">
        <w:trPr>
          <w:jc w:val="center"/>
        </w:trPr>
        <w:tc>
          <w:tcPr>
            <w:tcW w:w="815" w:type="pct"/>
            <w:vMerge w:val="restart"/>
            <w:shd w:val="clear" w:color="auto" w:fill="auto"/>
            <w:vAlign w:val="center"/>
          </w:tcPr>
          <w:p w14:paraId="27253BDD" w14:textId="77777777" w:rsidR="0092254A" w:rsidRPr="00576299" w:rsidRDefault="0092254A" w:rsidP="007E1B0A">
            <w:pPr>
              <w:keepNext/>
              <w:keepLines/>
              <w:jc w:val="left"/>
              <w:rPr>
                <w:rFonts w:ascii="Arial Narrow" w:hAnsi="Arial Narrow"/>
                <w:b/>
                <w:sz w:val="20"/>
              </w:rPr>
            </w:pPr>
          </w:p>
        </w:tc>
        <w:tc>
          <w:tcPr>
            <w:tcW w:w="2012" w:type="pct"/>
            <w:gridSpan w:val="3"/>
            <w:shd w:val="clear" w:color="auto" w:fill="auto"/>
            <w:vAlign w:val="center"/>
          </w:tcPr>
          <w:p w14:paraId="5A7663D3" w14:textId="77777777" w:rsidR="0092254A" w:rsidRPr="00576299" w:rsidRDefault="0092254A" w:rsidP="007E1B0A">
            <w:pPr>
              <w:keepNext/>
              <w:keepLines/>
              <w:jc w:val="center"/>
              <w:rPr>
                <w:rFonts w:ascii="Arial Narrow" w:hAnsi="Arial Narrow"/>
                <w:b/>
                <w:sz w:val="20"/>
              </w:rPr>
            </w:pPr>
            <w:r w:rsidRPr="00576299">
              <w:rPr>
                <w:rFonts w:ascii="Arial Narrow" w:hAnsi="Arial Narrow"/>
                <w:b/>
                <w:sz w:val="20"/>
              </w:rPr>
              <w:t>Dostarlimab</w:t>
            </w:r>
          </w:p>
        </w:tc>
        <w:tc>
          <w:tcPr>
            <w:tcW w:w="2173" w:type="pct"/>
            <w:gridSpan w:val="3"/>
          </w:tcPr>
          <w:p w14:paraId="0AE08DFE" w14:textId="77777777" w:rsidR="0092254A" w:rsidRPr="00576299" w:rsidRDefault="0092254A" w:rsidP="007E1B0A">
            <w:pPr>
              <w:keepNext/>
              <w:keepLines/>
              <w:jc w:val="center"/>
              <w:rPr>
                <w:rFonts w:ascii="Arial Narrow" w:hAnsi="Arial Narrow"/>
                <w:b/>
                <w:sz w:val="20"/>
              </w:rPr>
            </w:pPr>
            <w:r w:rsidRPr="00576299">
              <w:rPr>
                <w:rFonts w:ascii="Arial Narrow" w:hAnsi="Arial Narrow"/>
                <w:b/>
                <w:sz w:val="20"/>
              </w:rPr>
              <w:t>SoC</w:t>
            </w:r>
          </w:p>
        </w:tc>
      </w:tr>
      <w:tr w:rsidR="0092254A" w:rsidRPr="00576299" w14:paraId="4685596E" w14:textId="77777777" w:rsidTr="00C068F2">
        <w:trPr>
          <w:jc w:val="center"/>
        </w:trPr>
        <w:tc>
          <w:tcPr>
            <w:tcW w:w="815" w:type="pct"/>
            <w:vMerge/>
            <w:shd w:val="clear" w:color="auto" w:fill="auto"/>
            <w:vAlign w:val="center"/>
          </w:tcPr>
          <w:p w14:paraId="0950764F" w14:textId="77777777" w:rsidR="0092254A" w:rsidRPr="00576299" w:rsidRDefault="0092254A" w:rsidP="007E1B0A">
            <w:pPr>
              <w:keepNext/>
              <w:keepLines/>
              <w:jc w:val="left"/>
              <w:rPr>
                <w:rFonts w:ascii="Arial Narrow" w:hAnsi="Arial Narrow"/>
                <w:b/>
                <w:sz w:val="20"/>
              </w:rPr>
            </w:pPr>
          </w:p>
        </w:tc>
        <w:tc>
          <w:tcPr>
            <w:tcW w:w="670" w:type="pct"/>
            <w:shd w:val="clear" w:color="auto" w:fill="auto"/>
            <w:vAlign w:val="center"/>
          </w:tcPr>
          <w:p w14:paraId="6ED75B96" w14:textId="77777777" w:rsidR="0092254A" w:rsidRPr="00576299" w:rsidRDefault="0092254A" w:rsidP="007E1B0A">
            <w:pPr>
              <w:keepNext/>
              <w:keepLines/>
              <w:jc w:val="center"/>
              <w:rPr>
                <w:rFonts w:ascii="Arial Narrow" w:hAnsi="Arial Narrow"/>
                <w:b/>
                <w:sz w:val="20"/>
              </w:rPr>
            </w:pPr>
            <w:r w:rsidRPr="00576299">
              <w:rPr>
                <w:rFonts w:ascii="Arial Narrow" w:hAnsi="Arial Narrow"/>
                <w:b/>
                <w:sz w:val="20"/>
              </w:rPr>
              <w:t>GARNET</w:t>
            </w:r>
          </w:p>
        </w:tc>
        <w:tc>
          <w:tcPr>
            <w:tcW w:w="670" w:type="pct"/>
            <w:vAlign w:val="center"/>
          </w:tcPr>
          <w:p w14:paraId="56E16DBF" w14:textId="77777777" w:rsidR="0092254A" w:rsidRPr="00576299" w:rsidRDefault="0092254A" w:rsidP="007E1B0A">
            <w:pPr>
              <w:keepNext/>
              <w:keepLines/>
              <w:jc w:val="center"/>
              <w:rPr>
                <w:rFonts w:ascii="Arial Narrow" w:hAnsi="Arial Narrow"/>
                <w:b/>
                <w:sz w:val="20"/>
              </w:rPr>
            </w:pPr>
            <w:r w:rsidRPr="00576299">
              <w:rPr>
                <w:rFonts w:ascii="Arial Narrow" w:hAnsi="Arial Narrow"/>
                <w:b/>
                <w:sz w:val="20"/>
              </w:rPr>
              <w:t>Economic model</w:t>
            </w:r>
          </w:p>
        </w:tc>
        <w:tc>
          <w:tcPr>
            <w:tcW w:w="672" w:type="pct"/>
            <w:vAlign w:val="center"/>
          </w:tcPr>
          <w:p w14:paraId="213C13BA" w14:textId="77777777" w:rsidR="0092254A" w:rsidRPr="00576299" w:rsidRDefault="0092254A" w:rsidP="007E1B0A">
            <w:pPr>
              <w:keepNext/>
              <w:keepLines/>
              <w:jc w:val="center"/>
              <w:rPr>
                <w:rFonts w:ascii="Arial Narrow" w:hAnsi="Arial Narrow"/>
                <w:b/>
                <w:sz w:val="20"/>
              </w:rPr>
            </w:pPr>
            <w:r w:rsidRPr="00576299">
              <w:rPr>
                <w:rFonts w:ascii="Arial Narrow" w:hAnsi="Arial Narrow"/>
                <w:b/>
                <w:sz w:val="20"/>
              </w:rPr>
              <w:t>Financial estimates</w:t>
            </w:r>
          </w:p>
        </w:tc>
        <w:tc>
          <w:tcPr>
            <w:tcW w:w="629" w:type="pct"/>
            <w:vAlign w:val="center"/>
          </w:tcPr>
          <w:p w14:paraId="18CD8A29" w14:textId="77777777" w:rsidR="0092254A" w:rsidRPr="00576299" w:rsidRDefault="0092254A" w:rsidP="007E1B0A">
            <w:pPr>
              <w:keepNext/>
              <w:keepLines/>
              <w:jc w:val="center"/>
              <w:rPr>
                <w:rFonts w:ascii="Arial Narrow" w:hAnsi="Arial Narrow"/>
                <w:b/>
                <w:sz w:val="20"/>
              </w:rPr>
            </w:pPr>
            <w:r w:rsidRPr="00576299">
              <w:rPr>
                <w:rFonts w:ascii="Arial Narrow" w:hAnsi="Arial Narrow"/>
                <w:b/>
                <w:sz w:val="20"/>
              </w:rPr>
              <w:t>ZoptEC (doxorubicin)</w:t>
            </w:r>
          </w:p>
        </w:tc>
        <w:tc>
          <w:tcPr>
            <w:tcW w:w="786" w:type="pct"/>
            <w:shd w:val="clear" w:color="auto" w:fill="auto"/>
            <w:vAlign w:val="center"/>
          </w:tcPr>
          <w:p w14:paraId="2039F43A" w14:textId="77777777" w:rsidR="0092254A" w:rsidRPr="00576299" w:rsidRDefault="0092254A" w:rsidP="007E1B0A">
            <w:pPr>
              <w:keepNext/>
              <w:keepLines/>
              <w:jc w:val="center"/>
              <w:rPr>
                <w:rFonts w:ascii="Arial Narrow" w:hAnsi="Arial Narrow"/>
                <w:b/>
                <w:sz w:val="20"/>
              </w:rPr>
            </w:pPr>
            <w:r w:rsidRPr="00576299">
              <w:rPr>
                <w:rFonts w:ascii="Arial Narrow" w:hAnsi="Arial Narrow"/>
                <w:b/>
                <w:sz w:val="20"/>
              </w:rPr>
              <w:t>Economic Model (doxorubicin)</w:t>
            </w:r>
          </w:p>
        </w:tc>
        <w:tc>
          <w:tcPr>
            <w:tcW w:w="758" w:type="pct"/>
            <w:vAlign w:val="center"/>
          </w:tcPr>
          <w:p w14:paraId="6A5B2AC9" w14:textId="77777777" w:rsidR="0092254A" w:rsidRPr="00576299" w:rsidRDefault="0092254A" w:rsidP="007E1B0A">
            <w:pPr>
              <w:keepNext/>
              <w:keepLines/>
              <w:jc w:val="center"/>
              <w:rPr>
                <w:rFonts w:ascii="Arial Narrow" w:hAnsi="Arial Narrow"/>
                <w:b/>
                <w:sz w:val="20"/>
              </w:rPr>
            </w:pPr>
            <w:r w:rsidRPr="00576299">
              <w:rPr>
                <w:rFonts w:ascii="Arial Narrow" w:hAnsi="Arial Narrow"/>
                <w:b/>
                <w:sz w:val="20"/>
              </w:rPr>
              <w:t>Financial estimates (basket of comparators)</w:t>
            </w:r>
          </w:p>
        </w:tc>
      </w:tr>
      <w:tr w:rsidR="0092254A" w:rsidRPr="00576299" w14:paraId="3E6FA481" w14:textId="77777777" w:rsidTr="00C068F2">
        <w:trPr>
          <w:jc w:val="center"/>
        </w:trPr>
        <w:tc>
          <w:tcPr>
            <w:tcW w:w="815" w:type="pct"/>
            <w:shd w:val="clear" w:color="auto" w:fill="auto"/>
            <w:vAlign w:val="center"/>
          </w:tcPr>
          <w:p w14:paraId="04C4A6D5" w14:textId="2DB91332" w:rsidR="0092254A" w:rsidRPr="00576299" w:rsidRDefault="00A2654B" w:rsidP="007E1B0A">
            <w:pPr>
              <w:keepNext/>
              <w:keepLines/>
              <w:jc w:val="left"/>
              <w:rPr>
                <w:rFonts w:ascii="Arial Narrow" w:hAnsi="Arial Narrow"/>
                <w:sz w:val="20"/>
              </w:rPr>
            </w:pPr>
            <w:r w:rsidRPr="00576299">
              <w:rPr>
                <w:rFonts w:ascii="Arial Narrow" w:hAnsi="Arial Narrow"/>
                <w:sz w:val="20"/>
              </w:rPr>
              <w:t>Recommended</w:t>
            </w:r>
            <w:r w:rsidR="0092254A" w:rsidRPr="00576299">
              <w:rPr>
                <w:rFonts w:ascii="Arial Narrow" w:hAnsi="Arial Narrow"/>
                <w:sz w:val="20"/>
              </w:rPr>
              <w:t xml:space="preserve"> dose</w:t>
            </w:r>
          </w:p>
        </w:tc>
        <w:tc>
          <w:tcPr>
            <w:tcW w:w="2012" w:type="pct"/>
            <w:gridSpan w:val="3"/>
            <w:shd w:val="clear" w:color="auto" w:fill="auto"/>
            <w:vAlign w:val="center"/>
          </w:tcPr>
          <w:p w14:paraId="0740F301" w14:textId="77777777" w:rsidR="0092254A" w:rsidRPr="00576299" w:rsidRDefault="0092254A" w:rsidP="007E1B0A">
            <w:pPr>
              <w:keepNext/>
              <w:keepLines/>
              <w:jc w:val="center"/>
              <w:rPr>
                <w:rFonts w:ascii="Arial Narrow" w:hAnsi="Arial Narrow"/>
                <w:sz w:val="20"/>
              </w:rPr>
            </w:pPr>
            <w:r w:rsidRPr="00576299">
              <w:rPr>
                <w:rFonts w:ascii="Arial Narrow" w:hAnsi="Arial Narrow"/>
                <w:sz w:val="20"/>
              </w:rPr>
              <w:t>500mg Q3W for the first four doses, followed by 1,000mg Q6W thereafter</w:t>
            </w:r>
          </w:p>
        </w:tc>
        <w:tc>
          <w:tcPr>
            <w:tcW w:w="1415" w:type="pct"/>
            <w:gridSpan w:val="2"/>
            <w:shd w:val="clear" w:color="auto" w:fill="auto"/>
            <w:vAlign w:val="center"/>
          </w:tcPr>
          <w:p w14:paraId="61B714A0" w14:textId="77777777" w:rsidR="0092254A" w:rsidRPr="00576299" w:rsidRDefault="0092254A" w:rsidP="007E1B0A">
            <w:pPr>
              <w:keepNext/>
              <w:keepLines/>
              <w:jc w:val="center"/>
              <w:rPr>
                <w:rFonts w:ascii="Arial Narrow" w:hAnsi="Arial Narrow"/>
                <w:sz w:val="20"/>
              </w:rPr>
            </w:pPr>
            <w:r w:rsidRPr="00576299">
              <w:rPr>
                <w:rFonts w:ascii="Arial Narrow" w:hAnsi="Arial Narrow"/>
                <w:sz w:val="20"/>
              </w:rPr>
              <w:t>60mg/m</w:t>
            </w:r>
            <w:r w:rsidRPr="00576299">
              <w:rPr>
                <w:rFonts w:ascii="Arial Narrow" w:hAnsi="Arial Narrow"/>
                <w:sz w:val="20"/>
                <w:vertAlign w:val="superscript"/>
              </w:rPr>
              <w:t>2</w:t>
            </w:r>
            <w:r w:rsidRPr="00576299">
              <w:rPr>
                <w:rFonts w:ascii="Arial Narrow" w:hAnsi="Arial Narrow"/>
                <w:sz w:val="20"/>
              </w:rPr>
              <w:t xml:space="preserve"> Q3W</w:t>
            </w:r>
          </w:p>
        </w:tc>
        <w:tc>
          <w:tcPr>
            <w:tcW w:w="758" w:type="pct"/>
            <w:vAlign w:val="center"/>
          </w:tcPr>
          <w:p w14:paraId="479F1EDB" w14:textId="77777777" w:rsidR="0092254A" w:rsidRPr="00576299" w:rsidRDefault="0092254A" w:rsidP="007E1B0A">
            <w:pPr>
              <w:keepNext/>
              <w:keepLines/>
              <w:jc w:val="center"/>
              <w:rPr>
                <w:rFonts w:ascii="Arial Narrow" w:hAnsi="Arial Narrow"/>
                <w:sz w:val="20"/>
              </w:rPr>
            </w:pPr>
            <w:r w:rsidRPr="00576299">
              <w:rPr>
                <w:rFonts w:ascii="Arial Narrow" w:hAnsi="Arial Narrow"/>
                <w:sz w:val="20"/>
              </w:rPr>
              <w:t>Basket of comparators</w:t>
            </w:r>
          </w:p>
        </w:tc>
      </w:tr>
      <w:tr w:rsidR="0092254A" w:rsidRPr="00576299" w14:paraId="56848298" w14:textId="77777777" w:rsidTr="00C068F2">
        <w:trPr>
          <w:jc w:val="center"/>
        </w:trPr>
        <w:tc>
          <w:tcPr>
            <w:tcW w:w="815" w:type="pct"/>
            <w:shd w:val="clear" w:color="auto" w:fill="auto"/>
            <w:vAlign w:val="center"/>
          </w:tcPr>
          <w:p w14:paraId="5C06C6BF" w14:textId="77777777" w:rsidR="0092254A" w:rsidRPr="00576299" w:rsidRDefault="0092254A" w:rsidP="007E1B0A">
            <w:pPr>
              <w:keepNext/>
              <w:keepLines/>
              <w:jc w:val="left"/>
              <w:rPr>
                <w:rFonts w:ascii="Arial Narrow" w:hAnsi="Arial Narrow"/>
                <w:sz w:val="20"/>
              </w:rPr>
            </w:pPr>
            <w:r w:rsidRPr="00576299">
              <w:rPr>
                <w:rFonts w:ascii="Arial Narrow" w:hAnsi="Arial Narrow"/>
                <w:sz w:val="20"/>
              </w:rPr>
              <w:t>Mean duration</w:t>
            </w:r>
          </w:p>
        </w:tc>
        <w:tc>
          <w:tcPr>
            <w:tcW w:w="670" w:type="pct"/>
            <w:shd w:val="clear" w:color="auto" w:fill="auto"/>
            <w:vAlign w:val="center"/>
          </w:tcPr>
          <w:p w14:paraId="0B037E15" w14:textId="77777777" w:rsidR="0092254A" w:rsidRPr="00576299" w:rsidRDefault="0092254A" w:rsidP="007E1B0A">
            <w:pPr>
              <w:keepNext/>
              <w:keepLines/>
              <w:jc w:val="center"/>
              <w:rPr>
                <w:rFonts w:ascii="Arial Narrow" w:hAnsi="Arial Narrow"/>
                <w:iCs/>
                <w:sz w:val="20"/>
              </w:rPr>
            </w:pPr>
            <w:r w:rsidRPr="00576299">
              <w:rPr>
                <w:rFonts w:ascii="Arial Narrow" w:hAnsi="Arial Narrow"/>
                <w:iCs/>
                <w:sz w:val="20"/>
              </w:rPr>
              <w:t>40.8 weeks</w:t>
            </w:r>
          </w:p>
        </w:tc>
        <w:tc>
          <w:tcPr>
            <w:tcW w:w="1342" w:type="pct"/>
            <w:gridSpan w:val="2"/>
            <w:shd w:val="clear" w:color="auto" w:fill="auto"/>
            <w:vAlign w:val="center"/>
          </w:tcPr>
          <w:p w14:paraId="2008A64D" w14:textId="302228C0" w:rsidR="0092254A" w:rsidRPr="00FB6E8D" w:rsidRDefault="00C46F7A" w:rsidP="007E1B0A">
            <w:pPr>
              <w:keepNext/>
              <w:keepLines/>
              <w:jc w:val="center"/>
              <w:rPr>
                <w:rFonts w:ascii="Arial Narrow" w:hAnsi="Arial Narrow"/>
                <w:iCs/>
                <w:sz w:val="20"/>
              </w:rPr>
            </w:pPr>
            <w:r w:rsidRPr="00FB6E8D">
              <w:rPr>
                <w:rFonts w:ascii="Arial Narrow" w:hAnsi="Arial Narrow"/>
                <w:iCs/>
                <w:sz w:val="20"/>
              </w:rPr>
              <w:t>53.48</w:t>
            </w:r>
            <w:r w:rsidR="0092254A" w:rsidRPr="00FB6E8D">
              <w:rPr>
                <w:rFonts w:ascii="Arial Narrow" w:hAnsi="Arial Narrow"/>
                <w:iCs/>
                <w:sz w:val="20"/>
              </w:rPr>
              <w:t xml:space="preserve"> weeks </w:t>
            </w:r>
            <w:r w:rsidR="0092254A" w:rsidRPr="00FB6E8D">
              <w:rPr>
                <w:rFonts w:ascii="Arial Narrow" w:hAnsi="Arial Narrow"/>
                <w:iCs/>
                <w:sz w:val="20"/>
                <w:vertAlign w:val="superscript"/>
              </w:rPr>
              <w:t>b</w:t>
            </w:r>
          </w:p>
        </w:tc>
        <w:tc>
          <w:tcPr>
            <w:tcW w:w="1415" w:type="pct"/>
            <w:gridSpan w:val="2"/>
            <w:shd w:val="clear" w:color="auto" w:fill="auto"/>
          </w:tcPr>
          <w:p w14:paraId="06E09412" w14:textId="77777777" w:rsidR="0092254A" w:rsidRPr="00576299" w:rsidRDefault="0092254A" w:rsidP="007E1B0A">
            <w:pPr>
              <w:keepNext/>
              <w:keepLines/>
              <w:jc w:val="center"/>
              <w:rPr>
                <w:rFonts w:ascii="Arial Narrow" w:hAnsi="Arial Narrow"/>
                <w:sz w:val="20"/>
              </w:rPr>
            </w:pPr>
            <w:r w:rsidRPr="00576299">
              <w:rPr>
                <w:rFonts w:ascii="Arial Narrow" w:hAnsi="Arial Narrow"/>
                <w:sz w:val="20"/>
              </w:rPr>
              <w:t xml:space="preserve">12 weeks </w:t>
            </w:r>
            <w:r w:rsidRPr="00576299">
              <w:rPr>
                <w:rFonts w:ascii="Arial Narrow" w:hAnsi="Arial Narrow"/>
                <w:i/>
                <w:sz w:val="20"/>
                <w:vertAlign w:val="superscript"/>
              </w:rPr>
              <w:t>c</w:t>
            </w:r>
          </w:p>
        </w:tc>
        <w:tc>
          <w:tcPr>
            <w:tcW w:w="758" w:type="pct"/>
            <w:vAlign w:val="center"/>
          </w:tcPr>
          <w:p w14:paraId="709D1D93" w14:textId="77777777" w:rsidR="0092254A" w:rsidRPr="00576299" w:rsidRDefault="0092254A" w:rsidP="007E1B0A">
            <w:pPr>
              <w:keepNext/>
              <w:keepLines/>
              <w:jc w:val="center"/>
              <w:rPr>
                <w:rFonts w:ascii="Arial Narrow" w:hAnsi="Arial Narrow"/>
                <w:sz w:val="20"/>
              </w:rPr>
            </w:pPr>
            <w:r w:rsidRPr="00576299">
              <w:rPr>
                <w:rFonts w:ascii="Arial Narrow" w:hAnsi="Arial Narrow"/>
                <w:sz w:val="20"/>
              </w:rPr>
              <w:t xml:space="preserve">12.75 weeks </w:t>
            </w:r>
            <w:r w:rsidRPr="00576299">
              <w:rPr>
                <w:rFonts w:ascii="Arial Narrow" w:hAnsi="Arial Narrow"/>
                <w:i/>
                <w:sz w:val="20"/>
                <w:vertAlign w:val="superscript"/>
              </w:rPr>
              <w:t>e</w:t>
            </w:r>
          </w:p>
        </w:tc>
      </w:tr>
      <w:tr w:rsidR="0092254A" w:rsidRPr="00576299" w14:paraId="7EE82463" w14:textId="77777777" w:rsidTr="00C068F2">
        <w:trPr>
          <w:jc w:val="center"/>
        </w:trPr>
        <w:tc>
          <w:tcPr>
            <w:tcW w:w="815" w:type="pct"/>
            <w:shd w:val="clear" w:color="auto" w:fill="auto"/>
            <w:vAlign w:val="center"/>
          </w:tcPr>
          <w:p w14:paraId="3492D42A" w14:textId="77777777" w:rsidR="0092254A" w:rsidRPr="00576299" w:rsidRDefault="0092254A" w:rsidP="007E1B0A">
            <w:pPr>
              <w:keepNext/>
              <w:keepLines/>
              <w:jc w:val="left"/>
              <w:rPr>
                <w:rFonts w:ascii="Arial Narrow" w:hAnsi="Arial Narrow"/>
                <w:sz w:val="20"/>
              </w:rPr>
            </w:pPr>
            <w:r w:rsidRPr="00576299">
              <w:rPr>
                <w:rFonts w:ascii="Arial Narrow" w:hAnsi="Arial Narrow"/>
                <w:sz w:val="20"/>
              </w:rPr>
              <w:t>Cost/patient/course</w:t>
            </w:r>
          </w:p>
        </w:tc>
        <w:tc>
          <w:tcPr>
            <w:tcW w:w="670" w:type="pct"/>
            <w:shd w:val="clear" w:color="auto" w:fill="auto"/>
            <w:vAlign w:val="center"/>
          </w:tcPr>
          <w:p w14:paraId="7FE22C04" w14:textId="4D5B681A" w:rsidR="0092254A" w:rsidRPr="00576299" w:rsidRDefault="0092254A" w:rsidP="007E1B0A">
            <w:pPr>
              <w:keepNext/>
              <w:keepLines/>
              <w:jc w:val="center"/>
              <w:rPr>
                <w:rFonts w:ascii="Arial Narrow" w:hAnsi="Arial Narrow"/>
                <w:sz w:val="20"/>
              </w:rPr>
            </w:pPr>
            <w:r w:rsidRPr="00576299">
              <w:rPr>
                <w:rFonts w:ascii="Arial Narrow" w:hAnsi="Arial Narrow"/>
                <w:sz w:val="20"/>
              </w:rPr>
              <w:t>$</w:t>
            </w:r>
            <w:r w:rsidR="00833009" w:rsidRPr="00833009">
              <w:rPr>
                <w:rFonts w:ascii="Arial Narrow" w:hAnsi="Arial Narrow"/>
                <w:color w:val="000000"/>
                <w:spacing w:val="162"/>
                <w:sz w:val="20"/>
                <w:shd w:val="solid" w:color="000000" w:fill="000000"/>
                <w:fitText w:val="248" w:id="-1304167680"/>
                <w14:textFill>
                  <w14:solidFill>
                    <w14:srgbClr w14:val="000000">
                      <w14:alpha w14:val="100000"/>
                    </w14:srgbClr>
                  </w14:solidFill>
                </w14:textFill>
              </w:rPr>
              <w:t>|</w:t>
            </w:r>
            <w:r w:rsidR="00833009" w:rsidRPr="00833009">
              <w:rPr>
                <w:rFonts w:ascii="Arial Narrow" w:hAnsi="Arial Narrow"/>
                <w:color w:val="000000"/>
                <w:spacing w:val="1"/>
                <w:sz w:val="20"/>
                <w:shd w:val="solid" w:color="000000" w:fill="000000"/>
                <w:fitText w:val="248" w:id="-1304167680"/>
                <w14:textFill>
                  <w14:solidFill>
                    <w14:srgbClr w14:val="000000">
                      <w14:alpha w14:val="100000"/>
                    </w14:srgbClr>
                  </w14:solidFill>
                </w14:textFill>
              </w:rPr>
              <w:t>|</w:t>
            </w:r>
            <w:r w:rsidRPr="00576299">
              <w:rPr>
                <w:rFonts w:ascii="Arial Narrow" w:hAnsi="Arial Narrow"/>
                <w:sz w:val="20"/>
              </w:rPr>
              <w:t xml:space="preserve"> </w:t>
            </w:r>
            <w:r w:rsidRPr="00576299">
              <w:rPr>
                <w:rFonts w:ascii="Arial Narrow" w:hAnsi="Arial Narrow"/>
                <w:sz w:val="20"/>
                <w:vertAlign w:val="superscript"/>
              </w:rPr>
              <w:t>a</w:t>
            </w:r>
          </w:p>
        </w:tc>
        <w:tc>
          <w:tcPr>
            <w:tcW w:w="1342" w:type="pct"/>
            <w:gridSpan w:val="2"/>
            <w:shd w:val="clear" w:color="auto" w:fill="auto"/>
            <w:vAlign w:val="center"/>
          </w:tcPr>
          <w:p w14:paraId="22BF90B6" w14:textId="4676C931" w:rsidR="0092254A" w:rsidRPr="00576299" w:rsidRDefault="0092254A" w:rsidP="007E1B0A">
            <w:pPr>
              <w:keepNext/>
              <w:keepLines/>
              <w:jc w:val="center"/>
              <w:rPr>
                <w:rFonts w:ascii="Arial Narrow" w:hAnsi="Arial Narrow"/>
                <w:sz w:val="20"/>
              </w:rPr>
            </w:pPr>
            <w:r w:rsidRPr="00576299">
              <w:rPr>
                <w:rFonts w:ascii="Arial Narrow" w:hAnsi="Arial Narrow"/>
                <w:sz w:val="20"/>
              </w:rPr>
              <w:t>$</w:t>
            </w:r>
            <w:r w:rsidR="00833009" w:rsidRPr="00833009">
              <w:rPr>
                <w:rFonts w:ascii="Arial Narrow" w:hAnsi="Arial Narrow"/>
                <w:color w:val="000000"/>
                <w:sz w:val="20"/>
                <w:shd w:val="solid" w:color="000000" w:fill="000000"/>
                <w14:textFill>
                  <w14:solidFill>
                    <w14:srgbClr w14:val="000000">
                      <w14:alpha w14:val="100000"/>
                    </w14:srgbClr>
                  </w14:solidFill>
                </w14:textFill>
              </w:rPr>
              <w:t>|</w:t>
            </w:r>
            <w:r w:rsidRPr="00576299">
              <w:rPr>
                <w:rFonts w:ascii="Arial Narrow" w:hAnsi="Arial Narrow"/>
                <w:sz w:val="20"/>
              </w:rPr>
              <w:t xml:space="preserve"> </w:t>
            </w:r>
            <w:r w:rsidRPr="00576299">
              <w:rPr>
                <w:rFonts w:ascii="Arial Narrow" w:hAnsi="Arial Narrow"/>
                <w:sz w:val="20"/>
                <w:vertAlign w:val="superscript"/>
              </w:rPr>
              <w:t>b</w:t>
            </w:r>
          </w:p>
        </w:tc>
        <w:tc>
          <w:tcPr>
            <w:tcW w:w="1415" w:type="pct"/>
            <w:gridSpan w:val="2"/>
            <w:shd w:val="clear" w:color="auto" w:fill="auto"/>
          </w:tcPr>
          <w:p w14:paraId="2A1F6851" w14:textId="020364F6" w:rsidR="0092254A" w:rsidRPr="00576299" w:rsidRDefault="0092254A" w:rsidP="007E1B0A">
            <w:pPr>
              <w:keepNext/>
              <w:keepLines/>
              <w:jc w:val="center"/>
              <w:rPr>
                <w:rFonts w:ascii="Arial Narrow" w:hAnsi="Arial Narrow"/>
                <w:sz w:val="20"/>
              </w:rPr>
            </w:pPr>
            <w:r w:rsidRPr="00576299">
              <w:rPr>
                <w:rFonts w:ascii="Arial Narrow" w:hAnsi="Arial Narrow"/>
                <w:sz w:val="20"/>
              </w:rPr>
              <w:t>$</w:t>
            </w:r>
            <w:r w:rsidR="00833009" w:rsidRPr="00833009">
              <w:rPr>
                <w:rFonts w:ascii="Arial Narrow" w:hAnsi="Arial Narrow"/>
                <w:color w:val="000000"/>
                <w:sz w:val="20"/>
                <w:shd w:val="solid" w:color="000000" w:fill="000000"/>
                <w14:textFill>
                  <w14:solidFill>
                    <w14:srgbClr w14:val="000000">
                      <w14:alpha w14:val="100000"/>
                    </w14:srgbClr>
                  </w14:solidFill>
                </w14:textFill>
              </w:rPr>
              <w:t>|</w:t>
            </w:r>
            <w:r w:rsidRPr="00576299">
              <w:rPr>
                <w:rFonts w:ascii="Arial Narrow" w:hAnsi="Arial Narrow"/>
                <w:sz w:val="20"/>
              </w:rPr>
              <w:t xml:space="preserve"> </w:t>
            </w:r>
            <w:r w:rsidRPr="00576299">
              <w:rPr>
                <w:rFonts w:ascii="Arial Narrow" w:hAnsi="Arial Narrow"/>
                <w:sz w:val="20"/>
                <w:vertAlign w:val="superscript"/>
              </w:rPr>
              <w:t>d</w:t>
            </w:r>
          </w:p>
        </w:tc>
        <w:tc>
          <w:tcPr>
            <w:tcW w:w="758" w:type="pct"/>
            <w:vAlign w:val="center"/>
          </w:tcPr>
          <w:p w14:paraId="11F1A8DF" w14:textId="1A5AC542" w:rsidR="0092254A" w:rsidRPr="00576299" w:rsidRDefault="0092254A" w:rsidP="007E1B0A">
            <w:pPr>
              <w:keepNext/>
              <w:keepLines/>
              <w:jc w:val="center"/>
              <w:rPr>
                <w:rFonts w:ascii="Arial Narrow" w:hAnsi="Arial Narrow"/>
                <w:sz w:val="20"/>
              </w:rPr>
            </w:pPr>
            <w:r w:rsidRPr="00576299">
              <w:rPr>
                <w:rFonts w:ascii="Arial Narrow" w:hAnsi="Arial Narrow"/>
                <w:sz w:val="20"/>
              </w:rPr>
              <w:t>$</w:t>
            </w:r>
            <w:r w:rsidR="00833009" w:rsidRPr="00833009">
              <w:rPr>
                <w:rFonts w:ascii="Arial Narrow" w:hAnsi="Arial Narrow"/>
                <w:color w:val="000000"/>
                <w:spacing w:val="65"/>
                <w:sz w:val="20"/>
                <w:shd w:val="solid" w:color="000000" w:fill="000000"/>
                <w:fitText w:val="151" w:id="-1304167679"/>
                <w14:textFill>
                  <w14:solidFill>
                    <w14:srgbClr w14:val="000000">
                      <w14:alpha w14:val="100000"/>
                    </w14:srgbClr>
                  </w14:solidFill>
                </w14:textFill>
              </w:rPr>
              <w:t>|</w:t>
            </w:r>
            <w:r w:rsidR="00833009" w:rsidRPr="00833009">
              <w:rPr>
                <w:rFonts w:ascii="Arial Narrow" w:hAnsi="Arial Narrow"/>
                <w:color w:val="000000"/>
                <w:spacing w:val="1"/>
                <w:sz w:val="20"/>
                <w:shd w:val="solid" w:color="000000" w:fill="000000"/>
                <w:fitText w:val="151" w:id="-1304167679"/>
                <w14:textFill>
                  <w14:solidFill>
                    <w14:srgbClr w14:val="000000">
                      <w14:alpha w14:val="100000"/>
                    </w14:srgbClr>
                  </w14:solidFill>
                </w14:textFill>
              </w:rPr>
              <w:t>|</w:t>
            </w:r>
            <w:r w:rsidR="000E1DA3">
              <w:rPr>
                <w:rFonts w:ascii="Arial Narrow" w:hAnsi="Arial Narrow"/>
                <w:sz w:val="20"/>
              </w:rPr>
              <w:t xml:space="preserve"> </w:t>
            </w:r>
            <w:r w:rsidRPr="00576299">
              <w:rPr>
                <w:rFonts w:ascii="Arial Narrow" w:hAnsi="Arial Narrow"/>
                <w:sz w:val="20"/>
                <w:vertAlign w:val="superscript"/>
              </w:rPr>
              <w:t>f</w:t>
            </w:r>
          </w:p>
        </w:tc>
      </w:tr>
    </w:tbl>
    <w:p w14:paraId="2AC8DEB4" w14:textId="77777777" w:rsidR="0092254A" w:rsidRPr="00576299" w:rsidRDefault="0092254A" w:rsidP="007E1B0A">
      <w:pPr>
        <w:pStyle w:val="TableFooter"/>
        <w:keepNext/>
        <w:keepLines/>
      </w:pPr>
      <w:r w:rsidRPr="00576299">
        <w:t>Source: sheets “Costs” and “Dostarlimab” of the economic model titled “Jemperli (dostarlimab) 2L dMMR EC CUA_July 2022” and sheets “4a Scripts – affected” and “4b Impact – affected (pub)” of the financial model titled “Jemperli (dostarlimab) 2L dMMR EC BIM_July 2022”.</w:t>
      </w:r>
    </w:p>
    <w:p w14:paraId="7714793A" w14:textId="77777777" w:rsidR="0092254A" w:rsidRPr="00576299" w:rsidRDefault="0092254A" w:rsidP="007E1B0A">
      <w:pPr>
        <w:pStyle w:val="TableFooter"/>
        <w:keepNext/>
        <w:keepLines/>
      </w:pPr>
      <w:r w:rsidRPr="00576299">
        <w:t xml:space="preserve">Q3W = every 3 weeks; Q6W = every 6 weeks. </w:t>
      </w:r>
    </w:p>
    <w:p w14:paraId="677B9E1A" w14:textId="2228C943" w:rsidR="0092254A" w:rsidRPr="00576299" w:rsidRDefault="009C4D95" w:rsidP="007E1B0A">
      <w:pPr>
        <w:pStyle w:val="TableFooter"/>
        <w:keepNext/>
        <w:keepLines/>
      </w:pPr>
      <w:r w:rsidRPr="00576299">
        <w:t xml:space="preserve">a </w:t>
      </w:r>
      <w:r w:rsidR="0092254A" w:rsidRPr="00576299">
        <w:t>Price based on 9.63 administrations required for a period of 40.8 weeks ($</w:t>
      </w:r>
      <w:r w:rsidR="00833009" w:rsidRPr="00833009">
        <w:rPr>
          <w:color w:val="000000"/>
          <w:spacing w:val="30"/>
          <w:shd w:val="solid" w:color="000000" w:fill="000000"/>
          <w:fitText w:val="388" w:id="-1304167678"/>
          <w14:textFill>
            <w14:solidFill>
              <w14:srgbClr w14:val="000000">
                <w14:alpha w14:val="100000"/>
              </w14:srgbClr>
            </w14:solidFill>
          </w14:textFill>
        </w:rPr>
        <w:t>||  |</w:t>
      </w:r>
      <w:r w:rsidR="00833009" w:rsidRPr="00833009">
        <w:rPr>
          <w:color w:val="000000"/>
          <w:spacing w:val="3"/>
          <w:shd w:val="solid" w:color="000000" w:fill="000000"/>
          <w:fitText w:val="388" w:id="-1304167678"/>
          <w14:textFill>
            <w14:solidFill>
              <w14:srgbClr w14:val="000000">
                <w14:alpha w14:val="100000"/>
              </w14:srgbClr>
            </w14:solidFill>
          </w14:textFill>
        </w:rPr>
        <w:t>|</w:t>
      </w:r>
      <w:r w:rsidR="0092254A" w:rsidRPr="00576299">
        <w:t>*first 4 doses + $</w:t>
      </w:r>
      <w:r w:rsidR="00833009" w:rsidRPr="00833009">
        <w:rPr>
          <w:color w:val="000000"/>
          <w:spacing w:val="30"/>
          <w:shd w:val="solid" w:color="000000" w:fill="000000"/>
          <w:fitText w:val="388" w:id="-1304167677"/>
          <w14:textFill>
            <w14:solidFill>
              <w14:srgbClr w14:val="000000">
                <w14:alpha w14:val="100000"/>
              </w14:srgbClr>
            </w14:solidFill>
          </w14:textFill>
        </w:rPr>
        <w:t>||  |</w:t>
      </w:r>
      <w:r w:rsidR="00833009" w:rsidRPr="00833009">
        <w:rPr>
          <w:color w:val="000000"/>
          <w:spacing w:val="3"/>
          <w:shd w:val="solid" w:color="000000" w:fill="000000"/>
          <w:fitText w:val="388" w:id="-1304167677"/>
          <w14:textFill>
            <w14:solidFill>
              <w14:srgbClr w14:val="000000">
                <w14:alpha w14:val="100000"/>
              </w14:srgbClr>
            </w14:solidFill>
          </w14:textFill>
        </w:rPr>
        <w:t>|</w:t>
      </w:r>
      <w:r w:rsidR="0092254A" w:rsidRPr="00576299">
        <w:t>*5.63 subsequent doses). Weighted 35% public and 65% private, as used in the model and financial estimates.</w:t>
      </w:r>
    </w:p>
    <w:p w14:paraId="0C6D4B5A" w14:textId="21D93DE6" w:rsidR="0092254A" w:rsidRPr="00FB6E8D" w:rsidRDefault="009C4D95" w:rsidP="007E1B0A">
      <w:pPr>
        <w:pStyle w:val="TableFooter"/>
        <w:keepNext/>
        <w:keepLines/>
      </w:pPr>
      <w:r w:rsidRPr="00576299">
        <w:t xml:space="preserve">b </w:t>
      </w:r>
      <w:r w:rsidR="0092254A" w:rsidRPr="00576299">
        <w:t>Based on economic model.</w:t>
      </w:r>
      <w:r w:rsidR="000A78E8" w:rsidRPr="00576299">
        <w:t xml:space="preserve"> </w:t>
      </w:r>
      <w:r w:rsidR="000A78E8" w:rsidRPr="00FB6E8D">
        <w:t>The resubmission’ s</w:t>
      </w:r>
      <w:r w:rsidR="00A2654B" w:rsidRPr="00FB6E8D">
        <w:t xml:space="preserve"> </w:t>
      </w:r>
      <w:r w:rsidR="000A78E8" w:rsidRPr="00FB6E8D">
        <w:t>CMA used 4</w:t>
      </w:r>
      <w:r w:rsidR="007747EB">
        <w:t>8</w:t>
      </w:r>
      <w:r w:rsidR="000A78E8" w:rsidRPr="00FB6E8D">
        <w:t xml:space="preserve"> weeks (336 days).</w:t>
      </w:r>
      <w:r w:rsidR="0092254A" w:rsidRPr="00FB6E8D">
        <w:t xml:space="preserve"> </w:t>
      </w:r>
    </w:p>
    <w:p w14:paraId="57F0717E" w14:textId="10B35114" w:rsidR="0092254A" w:rsidRPr="00576299" w:rsidRDefault="009C4D95" w:rsidP="007E1B0A">
      <w:pPr>
        <w:pStyle w:val="TableFooter"/>
        <w:keepNext/>
        <w:keepLines/>
      </w:pPr>
      <w:r w:rsidRPr="00576299">
        <w:t xml:space="preserve">c </w:t>
      </w:r>
      <w:r w:rsidR="0092254A" w:rsidRPr="00576299">
        <w:t>Based on a median treatment duration of 4 cycles, in line with the ZoptEC trial.</w:t>
      </w:r>
    </w:p>
    <w:p w14:paraId="3E3ED8A6" w14:textId="61FE82F5" w:rsidR="0092254A" w:rsidRPr="00576299" w:rsidRDefault="009C4D95" w:rsidP="007E1B0A">
      <w:pPr>
        <w:pStyle w:val="TableFooter"/>
        <w:keepNext/>
        <w:keepLines/>
      </w:pPr>
      <w:r w:rsidRPr="00576299">
        <w:t xml:space="preserve">d </w:t>
      </w:r>
      <w:r w:rsidR="0092254A" w:rsidRPr="00576299">
        <w:t>Price per total drug costs per course of doxorubicin ($</w:t>
      </w:r>
      <w:r w:rsidR="00833009" w:rsidRPr="00833009">
        <w:rPr>
          <w:color w:val="000000"/>
          <w:spacing w:val="30"/>
          <w:shd w:val="solid" w:color="000000" w:fill="000000"/>
          <w:fitText w:val="389" w:id="-1304167676"/>
          <w14:textFill>
            <w14:solidFill>
              <w14:srgbClr w14:val="000000">
                <w14:alpha w14:val="100000"/>
              </w14:srgbClr>
            </w14:solidFill>
          </w14:textFill>
        </w:rPr>
        <w:t>||  |</w:t>
      </w:r>
      <w:r w:rsidR="00833009" w:rsidRPr="00833009">
        <w:rPr>
          <w:color w:val="000000"/>
          <w:spacing w:val="4"/>
          <w:shd w:val="solid" w:color="000000" w:fill="000000"/>
          <w:fitText w:val="389" w:id="-1304167676"/>
          <w14:textFill>
            <w14:solidFill>
              <w14:srgbClr w14:val="000000">
                <w14:alpha w14:val="100000"/>
              </w14:srgbClr>
            </w14:solidFill>
          </w14:textFill>
        </w:rPr>
        <w:t>|</w:t>
      </w:r>
      <w:r w:rsidR="0092254A" w:rsidRPr="00576299">
        <w:t xml:space="preserve"> per cycle*median of 4 cycles per course). Weighted 35% public and 65% private, as used in the model and financial estimates. </w:t>
      </w:r>
    </w:p>
    <w:p w14:paraId="0C0A2509" w14:textId="09C44F25" w:rsidR="0092254A" w:rsidRPr="00576299" w:rsidRDefault="009C4D95" w:rsidP="007E1B0A">
      <w:pPr>
        <w:pStyle w:val="TableFooter"/>
        <w:keepNext/>
        <w:keepLines/>
      </w:pPr>
      <w:r w:rsidRPr="00576299">
        <w:t xml:space="preserve">e </w:t>
      </w:r>
      <w:r w:rsidR="0092254A" w:rsidRPr="00576299">
        <w:t xml:space="preserve">Based on a median treatment duration of 4.25 cycles, in line the UK RWE study. </w:t>
      </w:r>
    </w:p>
    <w:p w14:paraId="58E14AFD" w14:textId="11105E05" w:rsidR="0092254A" w:rsidRPr="00576299" w:rsidRDefault="009C4D95" w:rsidP="000E1DA3">
      <w:pPr>
        <w:pStyle w:val="TableFooter"/>
        <w:keepNext/>
        <w:keepLines/>
      </w:pPr>
      <w:r w:rsidRPr="00576299">
        <w:t xml:space="preserve">f </w:t>
      </w:r>
      <w:r w:rsidR="0092254A" w:rsidRPr="00576299">
        <w:t>Price per total drug costs per course of carboplatin and/or doxorubicin and/or paclitaxel (either as single agent or as part of combination) considering the proportional utilisation based on the UK RWE study ($</w:t>
      </w:r>
      <w:r w:rsidR="00833009" w:rsidRPr="00833009">
        <w:rPr>
          <w:color w:val="000000"/>
          <w:spacing w:val="30"/>
          <w:shd w:val="solid" w:color="000000" w:fill="000000"/>
          <w:fitText w:val="388" w:id="-1304167675"/>
          <w14:textFill>
            <w14:solidFill>
              <w14:srgbClr w14:val="000000">
                <w14:alpha w14:val="100000"/>
              </w14:srgbClr>
            </w14:solidFill>
          </w14:textFill>
        </w:rPr>
        <w:t>||  |</w:t>
      </w:r>
      <w:r w:rsidR="00833009" w:rsidRPr="00833009">
        <w:rPr>
          <w:color w:val="000000"/>
          <w:spacing w:val="3"/>
          <w:shd w:val="solid" w:color="000000" w:fill="000000"/>
          <w:fitText w:val="388" w:id="-1304167675"/>
          <w14:textFill>
            <w14:solidFill>
              <w14:srgbClr w14:val="000000">
                <w14:alpha w14:val="100000"/>
              </w14:srgbClr>
            </w14:solidFill>
          </w14:textFill>
        </w:rPr>
        <w:t>|</w:t>
      </w:r>
      <w:r w:rsidR="0092254A" w:rsidRPr="00576299">
        <w:t>*68% + $</w:t>
      </w:r>
      <w:r w:rsidR="00833009" w:rsidRPr="00833009">
        <w:rPr>
          <w:color w:val="000000"/>
          <w:spacing w:val="30"/>
          <w:shd w:val="solid" w:color="000000" w:fill="000000"/>
          <w:fitText w:val="388" w:id="-1304167674"/>
          <w14:textFill>
            <w14:solidFill>
              <w14:srgbClr w14:val="000000">
                <w14:alpha w14:val="100000"/>
              </w14:srgbClr>
            </w14:solidFill>
          </w14:textFill>
        </w:rPr>
        <w:t>||  |</w:t>
      </w:r>
      <w:r w:rsidR="00833009" w:rsidRPr="00833009">
        <w:rPr>
          <w:color w:val="000000"/>
          <w:spacing w:val="3"/>
          <w:shd w:val="solid" w:color="000000" w:fill="000000"/>
          <w:fitText w:val="388" w:id="-1304167674"/>
          <w14:textFill>
            <w14:solidFill>
              <w14:srgbClr w14:val="000000">
                <w14:alpha w14:val="100000"/>
              </w14:srgbClr>
            </w14:solidFill>
          </w14:textFill>
        </w:rPr>
        <w:t>|</w:t>
      </w:r>
      <w:r w:rsidR="0092254A" w:rsidRPr="00576299">
        <w:t xml:space="preserve">*36% + </w:t>
      </w:r>
      <w:r w:rsidR="001F194F">
        <w:t>$</w:t>
      </w:r>
      <w:r w:rsidR="00833009" w:rsidRPr="00833009">
        <w:rPr>
          <w:color w:val="000000"/>
          <w:spacing w:val="30"/>
          <w:shd w:val="solid" w:color="000000" w:fill="000000"/>
          <w:fitText w:val="388" w:id="-1304167673"/>
          <w14:textFill>
            <w14:solidFill>
              <w14:srgbClr w14:val="000000">
                <w14:alpha w14:val="100000"/>
              </w14:srgbClr>
            </w14:solidFill>
          </w14:textFill>
        </w:rPr>
        <w:t>||  |</w:t>
      </w:r>
      <w:r w:rsidR="00833009" w:rsidRPr="00833009">
        <w:rPr>
          <w:color w:val="000000"/>
          <w:spacing w:val="3"/>
          <w:shd w:val="solid" w:color="000000" w:fill="000000"/>
          <w:fitText w:val="388" w:id="-1304167673"/>
          <w14:textFill>
            <w14:solidFill>
              <w14:srgbClr w14:val="000000">
                <w14:alpha w14:val="100000"/>
              </w14:srgbClr>
            </w14:solidFill>
          </w14:textFill>
        </w:rPr>
        <w:t>|</w:t>
      </w:r>
      <w:r w:rsidR="0092254A" w:rsidRPr="00576299">
        <w:t>*52% respectively per cycle*median of 4.25 cycles per course). Weighted 35% public and 65% private, as used in the model and financial estimates.</w:t>
      </w:r>
    </w:p>
    <w:p w14:paraId="586AA469" w14:textId="77777777" w:rsidR="0092254A" w:rsidRPr="00576299" w:rsidRDefault="0092254A" w:rsidP="0092254A">
      <w:pPr>
        <w:pStyle w:val="4-SubsectionHeading"/>
      </w:pPr>
      <w:bookmarkStart w:id="74" w:name="_Toc22897647"/>
      <w:bookmarkStart w:id="75" w:name="_Toc114052530"/>
      <w:bookmarkEnd w:id="72"/>
      <w:r w:rsidRPr="00576299">
        <w:t>Estimated PBS usage &amp; financial implications</w:t>
      </w:r>
      <w:bookmarkEnd w:id="74"/>
      <w:bookmarkEnd w:id="75"/>
    </w:p>
    <w:p w14:paraId="0E32433D" w14:textId="09D10C48" w:rsidR="0092254A" w:rsidRPr="00576299" w:rsidRDefault="0092254A" w:rsidP="0092254A">
      <w:pPr>
        <w:pStyle w:val="3-BodyText"/>
      </w:pPr>
      <w:r w:rsidRPr="00576299">
        <w:t>The previous dostarlimab submission was considered by DUSC.</w:t>
      </w:r>
    </w:p>
    <w:p w14:paraId="394A2EA3" w14:textId="14375BB3" w:rsidR="0092254A" w:rsidRPr="00576299" w:rsidRDefault="0092254A" w:rsidP="0092254A">
      <w:pPr>
        <w:pStyle w:val="3-BodyText"/>
      </w:pPr>
      <w:r w:rsidRPr="00576299">
        <w:t xml:space="preserve">The resubmission used an epidemiological approach to estimate the utilisation and financial impact of listing dostarlimab on the PBS for 2L dMMR A/R EC. A summary of the key assumptions used to calculate the financial estimates is presented in </w:t>
      </w:r>
      <w:r w:rsidRPr="00576299">
        <w:fldChar w:fldCharType="begin"/>
      </w:r>
      <w:r w:rsidRPr="00576299">
        <w:instrText xml:space="preserve"> REF _Ref111460288 \h </w:instrText>
      </w:r>
      <w:r w:rsidRPr="00576299">
        <w:fldChar w:fldCharType="separate"/>
      </w:r>
      <w:r w:rsidR="00CD09E9" w:rsidRPr="00576299">
        <w:t xml:space="preserve">Table </w:t>
      </w:r>
      <w:r w:rsidR="00CD09E9">
        <w:rPr>
          <w:noProof/>
        </w:rPr>
        <w:t>23</w:t>
      </w:r>
      <w:r w:rsidRPr="00576299">
        <w:fldChar w:fldCharType="end"/>
      </w:r>
      <w:r w:rsidRPr="00576299">
        <w:t>.</w:t>
      </w:r>
      <w:r w:rsidR="001F5B49" w:rsidRPr="00576299">
        <w:t xml:space="preserve"> A substantial number of changes were made compared to the previous submission</w:t>
      </w:r>
      <w:r w:rsidR="00E117DE">
        <w:t>,</w:t>
      </w:r>
      <w:r w:rsidR="001F5B49" w:rsidRPr="00576299">
        <w:t xml:space="preserve"> in accordance </w:t>
      </w:r>
      <w:r w:rsidR="00500959" w:rsidRPr="00576299">
        <w:t>with</w:t>
      </w:r>
      <w:r w:rsidR="001F5B49" w:rsidRPr="00576299">
        <w:t xml:space="preserve"> DUSC advice.</w:t>
      </w:r>
    </w:p>
    <w:p w14:paraId="6DEBF4E2" w14:textId="65DB46A2" w:rsidR="0092254A" w:rsidRPr="00576299" w:rsidRDefault="0092254A" w:rsidP="0092254A">
      <w:pPr>
        <w:pStyle w:val="TableHeading"/>
      </w:pPr>
      <w:bookmarkStart w:id="76" w:name="_Ref111460288"/>
      <w:r w:rsidRPr="00576299">
        <w:t xml:space="preserve">Table </w:t>
      </w:r>
      <w:fldSimple w:instr=" SEQ Table \* ARABIC ">
        <w:r w:rsidR="00CD09E9">
          <w:rPr>
            <w:noProof/>
          </w:rPr>
          <w:t>23</w:t>
        </w:r>
      </w:fldSimple>
      <w:bookmarkEnd w:id="76"/>
      <w:r w:rsidRPr="00576299">
        <w:t xml:space="preserve">: </w:t>
      </w:r>
      <w:r w:rsidR="00A77B19" w:rsidRPr="00576299">
        <w:t>Summary of d</w:t>
      </w:r>
      <w:r w:rsidRPr="00576299">
        <w:t>ata sources and parameter values applied in the utilisation and financial estimates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3774"/>
        <w:gridCol w:w="3860"/>
      </w:tblGrid>
      <w:tr w:rsidR="0092254A" w:rsidRPr="00576299" w14:paraId="65593FCC" w14:textId="77777777" w:rsidTr="00A56E46">
        <w:trPr>
          <w:cantSplit/>
          <w:tblHeader/>
        </w:trPr>
        <w:tc>
          <w:tcPr>
            <w:tcW w:w="0" w:type="auto"/>
            <w:vAlign w:val="center"/>
          </w:tcPr>
          <w:p w14:paraId="101E81DC" w14:textId="77777777" w:rsidR="0092254A" w:rsidRPr="00576299" w:rsidRDefault="0092254A" w:rsidP="00C068F2">
            <w:pPr>
              <w:pStyle w:val="Tabletext"/>
              <w:rPr>
                <w:b/>
              </w:rPr>
            </w:pPr>
            <w:r w:rsidRPr="00576299">
              <w:rPr>
                <w:b/>
              </w:rPr>
              <w:t>Data</w:t>
            </w:r>
          </w:p>
        </w:tc>
        <w:tc>
          <w:tcPr>
            <w:tcW w:w="3715" w:type="dxa"/>
            <w:vAlign w:val="center"/>
          </w:tcPr>
          <w:p w14:paraId="7D687CDB" w14:textId="77777777" w:rsidR="0092254A" w:rsidRPr="00576299" w:rsidRDefault="0092254A" w:rsidP="00C068F2">
            <w:pPr>
              <w:pStyle w:val="Tabletext"/>
              <w:jc w:val="center"/>
              <w:rPr>
                <w:b/>
              </w:rPr>
            </w:pPr>
            <w:r w:rsidRPr="00576299">
              <w:rPr>
                <w:b/>
              </w:rPr>
              <w:t>Value and Source</w:t>
            </w:r>
          </w:p>
        </w:tc>
        <w:tc>
          <w:tcPr>
            <w:tcW w:w="3919" w:type="dxa"/>
            <w:vAlign w:val="center"/>
          </w:tcPr>
          <w:p w14:paraId="2C8AD6A5" w14:textId="77777777" w:rsidR="0092254A" w:rsidRPr="00576299" w:rsidRDefault="0092254A" w:rsidP="00C068F2">
            <w:pPr>
              <w:pStyle w:val="Tabletext"/>
              <w:jc w:val="center"/>
              <w:rPr>
                <w:b/>
              </w:rPr>
            </w:pPr>
            <w:r w:rsidRPr="00576299">
              <w:rPr>
                <w:b/>
              </w:rPr>
              <w:t>Comment</w:t>
            </w:r>
          </w:p>
        </w:tc>
      </w:tr>
      <w:tr w:rsidR="0092254A" w:rsidRPr="00576299" w14:paraId="648B2525" w14:textId="77777777" w:rsidTr="00C068F2">
        <w:trPr>
          <w:cantSplit/>
        </w:trPr>
        <w:tc>
          <w:tcPr>
            <w:tcW w:w="0" w:type="auto"/>
            <w:gridSpan w:val="3"/>
            <w:vAlign w:val="center"/>
          </w:tcPr>
          <w:p w14:paraId="2BF1565E" w14:textId="77777777" w:rsidR="0092254A" w:rsidRPr="00576299" w:rsidRDefault="0092254A" w:rsidP="00C068F2">
            <w:pPr>
              <w:pStyle w:val="Tabletext"/>
              <w:rPr>
                <w:b/>
              </w:rPr>
            </w:pPr>
            <w:r w:rsidRPr="00576299">
              <w:rPr>
                <w:b/>
              </w:rPr>
              <w:t>Eligible population</w:t>
            </w:r>
          </w:p>
        </w:tc>
      </w:tr>
      <w:tr w:rsidR="0092254A" w:rsidRPr="00576299" w14:paraId="4419A810" w14:textId="77777777" w:rsidTr="00A56E46">
        <w:trPr>
          <w:cantSplit/>
        </w:trPr>
        <w:tc>
          <w:tcPr>
            <w:tcW w:w="0" w:type="auto"/>
            <w:vAlign w:val="center"/>
          </w:tcPr>
          <w:p w14:paraId="491CE3D8" w14:textId="77777777" w:rsidR="0092254A" w:rsidRPr="00576299" w:rsidRDefault="0092254A" w:rsidP="00C068F2">
            <w:pPr>
              <w:pStyle w:val="Tabletext"/>
            </w:pPr>
            <w:r w:rsidRPr="00576299">
              <w:t>Incident patients</w:t>
            </w:r>
          </w:p>
        </w:tc>
        <w:tc>
          <w:tcPr>
            <w:tcW w:w="3715" w:type="dxa"/>
            <w:vAlign w:val="center"/>
          </w:tcPr>
          <w:p w14:paraId="7D6AF1A3" w14:textId="7A213DA9" w:rsidR="0092254A" w:rsidRPr="00576299" w:rsidRDefault="0092254A" w:rsidP="00C068F2">
            <w:pPr>
              <w:pStyle w:val="Tabletext"/>
            </w:pPr>
            <w:r w:rsidRPr="00576299">
              <w:t>Y</w:t>
            </w:r>
            <w:r w:rsidR="00356E9B" w:rsidRPr="00576299">
              <w:t>ea</w:t>
            </w:r>
            <w:r w:rsidRPr="00576299">
              <w:t>r 1: 3,528</w:t>
            </w:r>
            <w:r w:rsidR="00356E9B" w:rsidRPr="00576299">
              <w:t xml:space="preserve"> </w:t>
            </w:r>
            <w:r w:rsidR="00500959" w:rsidRPr="00576299">
              <w:t>increasing</w:t>
            </w:r>
            <w:r w:rsidR="00356E9B" w:rsidRPr="00576299">
              <w:t xml:space="preserve"> to year 6:</w:t>
            </w:r>
            <w:r w:rsidRPr="00576299">
              <w:t xml:space="preserve"> 4,276</w:t>
            </w:r>
            <w:r w:rsidR="00D0226D" w:rsidRPr="00576299">
              <w:t>. No prevalent patients considered</w:t>
            </w:r>
          </w:p>
          <w:p w14:paraId="0AC4EB23" w14:textId="77777777" w:rsidR="0092254A" w:rsidRPr="00576299" w:rsidRDefault="0092254A" w:rsidP="00C068F2">
            <w:pPr>
              <w:pStyle w:val="Tabletext"/>
            </w:pPr>
            <w:r w:rsidRPr="00576299">
              <w:t>Source: Calculated by applying the average growth rate (3.9%) based on AIHW uterine cancer incidence projections for 2018-2021 to the incidence of uterine cancer in 2021 (AIHW ICD-10: C54 and C55).</w:t>
            </w:r>
          </w:p>
        </w:tc>
        <w:tc>
          <w:tcPr>
            <w:tcW w:w="3919" w:type="dxa"/>
            <w:vAlign w:val="center"/>
          </w:tcPr>
          <w:p w14:paraId="4DD550A5" w14:textId="77777777" w:rsidR="00323C4A" w:rsidRPr="00576299" w:rsidRDefault="0092254A" w:rsidP="00C068F2">
            <w:pPr>
              <w:pStyle w:val="Tabletext"/>
            </w:pPr>
            <w:r w:rsidRPr="00576299">
              <w:t>Same method as previous submission. DUSC previously stated that prevalent patients should be added to the financial estimates (5.07.DUS ADV.2, March 2022). As such, the resubmission’s number of eligible patients was likely underestimated.</w:t>
            </w:r>
          </w:p>
          <w:p w14:paraId="3F7D4700" w14:textId="05CB3B49" w:rsidR="0092254A" w:rsidRPr="004654C2" w:rsidRDefault="00A56E46" w:rsidP="00C068F2">
            <w:pPr>
              <w:pStyle w:val="Tabletext"/>
            </w:pPr>
            <w:r w:rsidRPr="004654C2">
              <w:t xml:space="preserve">The </w:t>
            </w:r>
            <w:r w:rsidR="00323C4A" w:rsidRPr="004654C2">
              <w:t xml:space="preserve">PSCR updated estimates </w:t>
            </w:r>
            <w:r w:rsidR="00323C4A" w:rsidRPr="007D374F">
              <w:t xml:space="preserve">included </w:t>
            </w:r>
            <w:r w:rsidR="007D374F" w:rsidRPr="007D374F">
              <w:t>&lt; 500</w:t>
            </w:r>
            <w:r w:rsidR="00323C4A" w:rsidRPr="004654C2">
              <w:t>prevalent patients.</w:t>
            </w:r>
            <w:r w:rsidR="0092254A" w:rsidRPr="004654C2">
              <w:t xml:space="preserve"> </w:t>
            </w:r>
          </w:p>
        </w:tc>
      </w:tr>
      <w:tr w:rsidR="0092254A" w:rsidRPr="00576299" w14:paraId="4FE340FD" w14:textId="77777777" w:rsidTr="00A56E46">
        <w:trPr>
          <w:cantSplit/>
        </w:trPr>
        <w:tc>
          <w:tcPr>
            <w:tcW w:w="0" w:type="auto"/>
            <w:vAlign w:val="center"/>
          </w:tcPr>
          <w:p w14:paraId="3AB881C6" w14:textId="77777777" w:rsidR="0092254A" w:rsidRPr="00576299" w:rsidRDefault="0092254A" w:rsidP="00C068F2">
            <w:pPr>
              <w:pStyle w:val="Tabletext"/>
            </w:pPr>
            <w:r w:rsidRPr="00576299">
              <w:t>Proportion with each staging of disease</w:t>
            </w:r>
          </w:p>
        </w:tc>
        <w:tc>
          <w:tcPr>
            <w:tcW w:w="3715" w:type="dxa"/>
            <w:vAlign w:val="center"/>
          </w:tcPr>
          <w:p w14:paraId="535767F0" w14:textId="0ED12CB2" w:rsidR="0092254A" w:rsidRPr="00576299" w:rsidRDefault="0092254A" w:rsidP="00C068F2">
            <w:pPr>
              <w:pStyle w:val="Tabletext"/>
            </w:pPr>
            <w:r w:rsidRPr="00576299">
              <w:t xml:space="preserve">Stages I-II: </w:t>
            </w:r>
            <w:r w:rsidR="0033123E">
              <w:t>79</w:t>
            </w:r>
            <w:r w:rsidRPr="00576299">
              <w:t>.0% (</w:t>
            </w:r>
            <w:r w:rsidR="0033123E">
              <w:t>638</w:t>
            </w:r>
            <w:r w:rsidRPr="00576299">
              <w:t>/808)</w:t>
            </w:r>
          </w:p>
          <w:p w14:paraId="5B3B4850" w14:textId="33C7E938" w:rsidR="0092254A" w:rsidRPr="00576299" w:rsidRDefault="0092254A" w:rsidP="00C068F2">
            <w:pPr>
              <w:pStyle w:val="Tabletext"/>
            </w:pPr>
            <w:r w:rsidRPr="00576299">
              <w:t xml:space="preserve">Stages III-IV: </w:t>
            </w:r>
            <w:r w:rsidR="0033123E">
              <w:t>21</w:t>
            </w:r>
            <w:r w:rsidRPr="00576299">
              <w:t>.0% (</w:t>
            </w:r>
            <w:r w:rsidR="0033123E">
              <w:t>170</w:t>
            </w:r>
            <w:r w:rsidRPr="00576299">
              <w:t>/808)</w:t>
            </w:r>
          </w:p>
          <w:p w14:paraId="0C521502" w14:textId="47AFA24C" w:rsidR="0092254A" w:rsidRPr="00576299" w:rsidRDefault="0092254A" w:rsidP="00C068F2">
            <w:pPr>
              <w:pStyle w:val="Tabletext"/>
            </w:pPr>
            <w:r w:rsidRPr="00576299">
              <w:t>Source: Gupta 2021</w:t>
            </w:r>
          </w:p>
        </w:tc>
        <w:tc>
          <w:tcPr>
            <w:tcW w:w="3919" w:type="dxa"/>
            <w:vAlign w:val="center"/>
          </w:tcPr>
          <w:p w14:paraId="43FCAF70" w14:textId="3FE8E1B9" w:rsidR="0092254A" w:rsidRPr="00576299" w:rsidRDefault="0097066F" w:rsidP="00C068F2">
            <w:pPr>
              <w:pStyle w:val="Tabletext"/>
            </w:pPr>
            <w:r w:rsidRPr="00576299">
              <w:t xml:space="preserve">This remained unchanged despite </w:t>
            </w:r>
            <w:r w:rsidR="0092254A" w:rsidRPr="00576299">
              <w:t>DUSC</w:t>
            </w:r>
            <w:r w:rsidRPr="00576299">
              <w:t>’s</w:t>
            </w:r>
            <w:r w:rsidR="0092254A" w:rsidRPr="00576299">
              <w:t xml:space="preserve"> previous</w:t>
            </w:r>
            <w:r w:rsidRPr="00576299">
              <w:t xml:space="preserve"> advice</w:t>
            </w:r>
            <w:r w:rsidR="0092254A" w:rsidRPr="00576299">
              <w:t xml:space="preserve"> that a proportion of Stage III patients would be treated with curative intent and should be added to the estimate of the number of Stage I and II patients, instead of being grouped with Stage IV patients (5.07.DUSC ADV.5, March 2022). </w:t>
            </w:r>
            <w:r w:rsidR="0001434A" w:rsidRPr="00576299">
              <w:t>T</w:t>
            </w:r>
            <w:r w:rsidR="00982E76" w:rsidRPr="00576299">
              <w:t xml:space="preserve">hese patients remained grouped with Stage </w:t>
            </w:r>
            <w:r w:rsidR="00475157" w:rsidRPr="00576299">
              <w:t xml:space="preserve">IV </w:t>
            </w:r>
            <w:r w:rsidR="00982E76" w:rsidRPr="00576299">
              <w:t>patients</w:t>
            </w:r>
            <w:r w:rsidR="0001434A" w:rsidRPr="00576299">
              <w:t xml:space="preserve">, but </w:t>
            </w:r>
            <w:bookmarkStart w:id="77" w:name="_Hlk113898921"/>
            <w:r w:rsidR="0001434A" w:rsidRPr="00576299">
              <w:t xml:space="preserve">are now </w:t>
            </w:r>
            <w:r w:rsidR="00475157" w:rsidRPr="00576299">
              <w:t>assumed to include a higher proportion of patients receiving 1L PBC</w:t>
            </w:r>
            <w:r w:rsidR="003B79BE" w:rsidRPr="00576299">
              <w:t>, with</w:t>
            </w:r>
            <w:r w:rsidR="008C3B20" w:rsidRPr="00576299">
              <w:t xml:space="preserve"> </w:t>
            </w:r>
            <w:r w:rsidR="00475157" w:rsidRPr="00576299">
              <w:t xml:space="preserve">a higher rate of disease progression following 1L PBC </w:t>
            </w:r>
            <w:bookmarkEnd w:id="77"/>
            <w:r w:rsidR="00475157" w:rsidRPr="00576299">
              <w:t>(as discussed below)</w:t>
            </w:r>
            <w:r w:rsidR="0092254A" w:rsidRPr="00576299">
              <w:t xml:space="preserve">. </w:t>
            </w:r>
          </w:p>
        </w:tc>
      </w:tr>
      <w:tr w:rsidR="0092254A" w:rsidRPr="00576299" w14:paraId="1BE3A3AC" w14:textId="77777777" w:rsidTr="00A56E46">
        <w:trPr>
          <w:cantSplit/>
        </w:trPr>
        <w:tc>
          <w:tcPr>
            <w:tcW w:w="0" w:type="auto"/>
            <w:vAlign w:val="center"/>
          </w:tcPr>
          <w:p w14:paraId="5C4119ED" w14:textId="64286B0A" w:rsidR="0092254A" w:rsidRPr="00576299" w:rsidRDefault="0092254A" w:rsidP="00C068F2">
            <w:pPr>
              <w:pStyle w:val="Tabletext"/>
            </w:pPr>
            <w:r w:rsidRPr="00576299">
              <w:t xml:space="preserve">Proportion with Stage I-II first recurrence </w:t>
            </w:r>
          </w:p>
        </w:tc>
        <w:tc>
          <w:tcPr>
            <w:tcW w:w="3715" w:type="dxa"/>
            <w:vAlign w:val="center"/>
          </w:tcPr>
          <w:p w14:paraId="488C8824" w14:textId="77777777" w:rsidR="0092254A" w:rsidRPr="00576299" w:rsidRDefault="0092254A" w:rsidP="00C068F2">
            <w:pPr>
              <w:pStyle w:val="Tabletext"/>
            </w:pPr>
            <w:r w:rsidRPr="00576299">
              <w:t>Recurrence rate: 13%</w:t>
            </w:r>
          </w:p>
          <w:p w14:paraId="524FAE42" w14:textId="77777777" w:rsidR="0092254A" w:rsidRPr="00576299" w:rsidRDefault="0092254A" w:rsidP="00C068F2">
            <w:pPr>
              <w:pStyle w:val="Tabletext"/>
            </w:pPr>
            <w:r w:rsidRPr="00576299">
              <w:t>Source: Fung-Kee-Fung 2006</w:t>
            </w:r>
          </w:p>
        </w:tc>
        <w:tc>
          <w:tcPr>
            <w:tcW w:w="3919" w:type="dxa"/>
            <w:vAlign w:val="center"/>
          </w:tcPr>
          <w:p w14:paraId="55DD0A5E" w14:textId="5D521A61" w:rsidR="0092254A" w:rsidRPr="00576299" w:rsidRDefault="0092254A" w:rsidP="00C068F2">
            <w:pPr>
              <w:pStyle w:val="Tabletext"/>
            </w:pPr>
            <w:r w:rsidRPr="00576299">
              <w:t xml:space="preserve">Reasonable, consistent with previous DUSC advice (paragraph 6.72, dostarlimab </w:t>
            </w:r>
            <w:r w:rsidR="00E117DE">
              <w:t>PSD</w:t>
            </w:r>
            <w:r w:rsidRPr="00576299">
              <w:t>, March 2022</w:t>
            </w:r>
            <w:r w:rsidR="003A0FA8" w:rsidRPr="00576299">
              <w:t xml:space="preserve"> PBAC meeting</w:t>
            </w:r>
            <w:r w:rsidRPr="00576299">
              <w:t>).</w:t>
            </w:r>
          </w:p>
        </w:tc>
      </w:tr>
      <w:tr w:rsidR="0092254A" w:rsidRPr="00576299" w14:paraId="4EFCB0EB" w14:textId="77777777" w:rsidTr="00A56E46">
        <w:trPr>
          <w:cantSplit/>
        </w:trPr>
        <w:tc>
          <w:tcPr>
            <w:tcW w:w="0" w:type="auto"/>
            <w:vAlign w:val="center"/>
          </w:tcPr>
          <w:p w14:paraId="1E40DACB" w14:textId="77777777" w:rsidR="0092254A" w:rsidRPr="00576299" w:rsidRDefault="0092254A" w:rsidP="00C068F2">
            <w:pPr>
              <w:pStyle w:val="Tabletext"/>
            </w:pPr>
            <w:r w:rsidRPr="00576299">
              <w:t>Proportion receiving 1L PBC (pre and post -introduction of dostarlimab)</w:t>
            </w:r>
          </w:p>
        </w:tc>
        <w:tc>
          <w:tcPr>
            <w:tcW w:w="3715" w:type="dxa"/>
            <w:vAlign w:val="center"/>
          </w:tcPr>
          <w:p w14:paraId="39167231" w14:textId="77777777" w:rsidR="0092254A" w:rsidRPr="00576299" w:rsidRDefault="0092254A" w:rsidP="00C068F2">
            <w:pPr>
              <w:pStyle w:val="Tabletext"/>
            </w:pPr>
            <w:r w:rsidRPr="00576299">
              <w:rPr>
                <w:szCs w:val="20"/>
              </w:rPr>
              <w:t xml:space="preserve">Proportion of Stage I-II first recurrent patients receiving 1L PBC </w:t>
            </w:r>
            <w:r w:rsidRPr="00576299">
              <w:t>(1L treatment patterns: 72% (90% eligible for 1L treatment; 80% of whom treated with PBC)</w:t>
            </w:r>
          </w:p>
          <w:p w14:paraId="2D27907A" w14:textId="77777777" w:rsidR="0092254A" w:rsidRPr="00576299" w:rsidRDefault="0092254A" w:rsidP="00C068F2">
            <w:pPr>
              <w:pStyle w:val="Tabletext"/>
            </w:pPr>
            <w:r w:rsidRPr="00576299">
              <w:t>Source: Australian clinical expert opinion (n=5) provided during the Advisory Board in 2021.</w:t>
            </w:r>
          </w:p>
          <w:p w14:paraId="61DE6785" w14:textId="77777777" w:rsidR="0092254A" w:rsidRPr="00576299" w:rsidRDefault="0092254A" w:rsidP="00C068F2">
            <w:pPr>
              <w:pStyle w:val="Tabletext"/>
            </w:pPr>
          </w:p>
          <w:p w14:paraId="2C3632EF" w14:textId="77777777" w:rsidR="0092254A" w:rsidRPr="00576299" w:rsidRDefault="0092254A" w:rsidP="00C068F2">
            <w:pPr>
              <w:pStyle w:val="Tabletext"/>
              <w:rPr>
                <w:szCs w:val="20"/>
              </w:rPr>
            </w:pPr>
            <w:r w:rsidRPr="00576299">
              <w:rPr>
                <w:szCs w:val="20"/>
              </w:rPr>
              <w:t xml:space="preserve">Proportion of Stage III/IV patients receiving 1L PBC </w:t>
            </w:r>
            <w:r w:rsidRPr="00576299">
              <w:t xml:space="preserve">(1L treatment patterns): 81% </w:t>
            </w:r>
            <w:r w:rsidRPr="00576299">
              <w:rPr>
                <w:szCs w:val="20"/>
              </w:rPr>
              <w:t>(90% eligible for 1L treatment; 90% of whom treated with PBC)</w:t>
            </w:r>
          </w:p>
          <w:p w14:paraId="364CB798" w14:textId="77777777" w:rsidR="0092254A" w:rsidRPr="00576299" w:rsidRDefault="0092254A" w:rsidP="00C068F2">
            <w:pPr>
              <w:pStyle w:val="Tabletext"/>
            </w:pPr>
            <w:r w:rsidRPr="00576299">
              <w:t>Source: Assumption</w:t>
            </w:r>
          </w:p>
        </w:tc>
        <w:tc>
          <w:tcPr>
            <w:tcW w:w="3919" w:type="dxa"/>
            <w:vAlign w:val="center"/>
          </w:tcPr>
          <w:p w14:paraId="093846B1" w14:textId="764FA2D0" w:rsidR="0092254A" w:rsidRPr="004654C2" w:rsidRDefault="0092254A" w:rsidP="00303180">
            <w:pPr>
              <w:pStyle w:val="Tabletext"/>
            </w:pPr>
            <w:r w:rsidRPr="00576299">
              <w:t xml:space="preserve">Figure for Stage I-II patients was the same as for the previous submission, where results were based on </w:t>
            </w:r>
            <w:r w:rsidR="003A05BA" w:rsidRPr="00576299">
              <w:t xml:space="preserve">a small survey </w:t>
            </w:r>
            <w:r w:rsidRPr="00576299">
              <w:t xml:space="preserve">and may therefore be uncertain </w:t>
            </w:r>
            <w:r w:rsidRPr="00576299">
              <w:rPr>
                <w:snapToGrid/>
              </w:rPr>
              <w:t xml:space="preserve">(paragraph 6.72, dostarlimab </w:t>
            </w:r>
            <w:r w:rsidR="00E117DE">
              <w:rPr>
                <w:snapToGrid/>
              </w:rPr>
              <w:t>PSD</w:t>
            </w:r>
            <w:r w:rsidRPr="00576299">
              <w:rPr>
                <w:snapToGrid/>
              </w:rPr>
              <w:t>, March 2022</w:t>
            </w:r>
            <w:r w:rsidR="003A0FA8" w:rsidRPr="00576299">
              <w:rPr>
                <w:snapToGrid/>
              </w:rPr>
              <w:t xml:space="preserve"> </w:t>
            </w:r>
            <w:r w:rsidR="003A0FA8" w:rsidRPr="00576299">
              <w:t>PBAC meeting</w:t>
            </w:r>
            <w:r w:rsidRPr="00576299">
              <w:rPr>
                <w:snapToGrid/>
              </w:rPr>
              <w:t xml:space="preserve">). </w:t>
            </w:r>
            <w:r w:rsidR="00715340" w:rsidRPr="004654C2">
              <w:rPr>
                <w:snapToGrid/>
              </w:rPr>
              <w:t>The PSCR revised estimates assumed 81% of stage I-II patients receive 1L PBC (in line with Stage III-IV patients).</w:t>
            </w:r>
          </w:p>
        </w:tc>
      </w:tr>
      <w:tr w:rsidR="0092254A" w:rsidRPr="00576299" w14:paraId="6AE11674" w14:textId="77777777" w:rsidTr="00A56E46">
        <w:trPr>
          <w:cantSplit/>
        </w:trPr>
        <w:tc>
          <w:tcPr>
            <w:tcW w:w="0" w:type="auto"/>
            <w:vAlign w:val="center"/>
          </w:tcPr>
          <w:p w14:paraId="4F1BFF30" w14:textId="4F9E3806" w:rsidR="0092254A" w:rsidRPr="00576299" w:rsidRDefault="0092254A" w:rsidP="00C068F2">
            <w:pPr>
              <w:pStyle w:val="Tabletext"/>
            </w:pPr>
            <w:r w:rsidRPr="00576299">
              <w:t xml:space="preserve">Proportion who </w:t>
            </w:r>
            <w:r w:rsidR="00500959" w:rsidRPr="00576299">
              <w:t>progress</w:t>
            </w:r>
            <w:r w:rsidRPr="00576299">
              <w:t xml:space="preserve"> following 1L PBC</w:t>
            </w:r>
          </w:p>
        </w:tc>
        <w:tc>
          <w:tcPr>
            <w:tcW w:w="3715" w:type="dxa"/>
            <w:vAlign w:val="center"/>
          </w:tcPr>
          <w:p w14:paraId="0019A9C9" w14:textId="77777777" w:rsidR="0092254A" w:rsidRPr="00576299" w:rsidRDefault="0092254A" w:rsidP="00C068F2">
            <w:pPr>
              <w:pStyle w:val="Tabletext"/>
            </w:pPr>
            <w:r w:rsidRPr="00576299">
              <w:t>Stage I-II first recurrent patients: Derived from survival function for OS and PFS of carboplatin and paclitaxel combination treatment.</w:t>
            </w:r>
          </w:p>
          <w:p w14:paraId="73933339" w14:textId="77777777" w:rsidR="0092254A" w:rsidRPr="00576299" w:rsidRDefault="0092254A" w:rsidP="00C068F2">
            <w:pPr>
              <w:pStyle w:val="Tabletext"/>
            </w:pPr>
            <w:r w:rsidRPr="00576299">
              <w:t>Source: Miller 2020.</w:t>
            </w:r>
          </w:p>
          <w:p w14:paraId="7120FC2E" w14:textId="77777777" w:rsidR="0092254A" w:rsidRPr="00576299" w:rsidRDefault="0092254A" w:rsidP="00C068F2">
            <w:pPr>
              <w:pStyle w:val="Tabletext"/>
            </w:pPr>
          </w:p>
          <w:p w14:paraId="19775C89" w14:textId="77777777" w:rsidR="0092254A" w:rsidRPr="00576299" w:rsidRDefault="0092254A" w:rsidP="00C068F2">
            <w:pPr>
              <w:pStyle w:val="Tabletext"/>
            </w:pPr>
            <w:r w:rsidRPr="00576299">
              <w:t xml:space="preserve">Proportion of Stage III/I/V patients: 95% </w:t>
            </w:r>
          </w:p>
          <w:p w14:paraId="1325B5EF" w14:textId="77777777" w:rsidR="0092254A" w:rsidRPr="00576299" w:rsidRDefault="0092254A" w:rsidP="00C068F2">
            <w:pPr>
              <w:pStyle w:val="Tabletext"/>
            </w:pPr>
            <w:r w:rsidRPr="00576299">
              <w:t>Source: Based on DUSC advice.</w:t>
            </w:r>
          </w:p>
        </w:tc>
        <w:tc>
          <w:tcPr>
            <w:tcW w:w="3919" w:type="dxa"/>
            <w:vAlign w:val="center"/>
          </w:tcPr>
          <w:p w14:paraId="28C15436" w14:textId="602E4950" w:rsidR="0092254A" w:rsidRPr="00576299" w:rsidRDefault="0092254A" w:rsidP="00C068F2">
            <w:pPr>
              <w:pStyle w:val="Tabletext"/>
            </w:pPr>
            <w:r w:rsidRPr="00576299">
              <w:t>In the previous submission, the proportion of patients who progress following 1L PBC was derived from Miller 2020 for all patients.</w:t>
            </w:r>
          </w:p>
          <w:p w14:paraId="1BC872E9" w14:textId="15450720" w:rsidR="0092254A" w:rsidRPr="00576299" w:rsidRDefault="0092254A" w:rsidP="00C068F2">
            <w:pPr>
              <w:pStyle w:val="Tabletext"/>
            </w:pPr>
            <w:r w:rsidRPr="00576299">
              <w:t>Th</w:t>
            </w:r>
            <w:r w:rsidR="00AD4395" w:rsidRPr="00576299">
              <w:t>is</w:t>
            </w:r>
            <w:r w:rsidRPr="00576299">
              <w:t xml:space="preserve"> proportion </w:t>
            </w:r>
            <w:r w:rsidR="00AD4395" w:rsidRPr="00576299">
              <w:t>was</w:t>
            </w:r>
            <w:r w:rsidRPr="00576299">
              <w:t xml:space="preserve"> likely underestimated</w:t>
            </w:r>
            <w:r w:rsidR="00A86C49" w:rsidRPr="00576299">
              <w:t xml:space="preserve"> </w:t>
            </w:r>
            <w:r w:rsidRPr="00576299">
              <w:rPr>
                <w:snapToGrid/>
              </w:rPr>
              <w:t xml:space="preserve">(paragraph 6.72, dostarlimab </w:t>
            </w:r>
            <w:r w:rsidR="002C4087">
              <w:rPr>
                <w:snapToGrid/>
              </w:rPr>
              <w:t>PSD</w:t>
            </w:r>
            <w:r w:rsidRPr="00576299">
              <w:rPr>
                <w:snapToGrid/>
              </w:rPr>
              <w:t>, March 2022</w:t>
            </w:r>
            <w:r w:rsidR="003A0FA8" w:rsidRPr="00576299">
              <w:rPr>
                <w:snapToGrid/>
              </w:rPr>
              <w:t xml:space="preserve"> PBAC meeting</w:t>
            </w:r>
            <w:r w:rsidRPr="00576299">
              <w:rPr>
                <w:snapToGrid/>
              </w:rPr>
              <w:t>)</w:t>
            </w:r>
            <w:r w:rsidRPr="00576299">
              <w:t>. The same data set and methodology was used in the resubmission for Stage I-II patients</w:t>
            </w:r>
            <w:r w:rsidR="007C7511" w:rsidRPr="00576299">
              <w:t xml:space="preserve"> only</w:t>
            </w:r>
            <w:r w:rsidRPr="00576299">
              <w:t>.</w:t>
            </w:r>
          </w:p>
          <w:p w14:paraId="73ED1F92" w14:textId="53B30E73" w:rsidR="0092254A" w:rsidRPr="00576299" w:rsidRDefault="0092254A" w:rsidP="00C068F2">
            <w:pPr>
              <w:pStyle w:val="Tabletext"/>
            </w:pPr>
            <w:r w:rsidRPr="00576299">
              <w:t xml:space="preserve">The </w:t>
            </w:r>
            <w:r w:rsidR="0092398F" w:rsidRPr="00576299">
              <w:t>progression rate</w:t>
            </w:r>
            <w:r w:rsidRPr="00576299">
              <w:t xml:space="preserve"> for stage III-IV patients was based on </w:t>
            </w:r>
            <w:r w:rsidR="0092398F" w:rsidRPr="00576299">
              <w:t xml:space="preserve">DUSC </w:t>
            </w:r>
            <w:r w:rsidRPr="00576299">
              <w:t xml:space="preserve">comments </w:t>
            </w:r>
            <w:r w:rsidR="00A86C49" w:rsidRPr="00576299">
              <w:t xml:space="preserve">that </w:t>
            </w:r>
            <w:r w:rsidR="0092398F" w:rsidRPr="00576299">
              <w:t>‘</w:t>
            </w:r>
            <w:r w:rsidRPr="00576299">
              <w:t>almost all</w:t>
            </w:r>
            <w:r w:rsidR="0092398F" w:rsidRPr="00576299">
              <w:t>’</w:t>
            </w:r>
            <w:r w:rsidRPr="00576299">
              <w:t xml:space="preserve"> patients treated in the palliative setting will progress. Use of the survival function would be a crude measure of assessing number of patients progressing (5.07.DUSC ADV.6, March 2022). </w:t>
            </w:r>
          </w:p>
        </w:tc>
      </w:tr>
      <w:tr w:rsidR="0092254A" w:rsidRPr="00576299" w14:paraId="7A21C3EF" w14:textId="77777777" w:rsidTr="00A56E46">
        <w:trPr>
          <w:cantSplit/>
        </w:trPr>
        <w:tc>
          <w:tcPr>
            <w:tcW w:w="0" w:type="auto"/>
            <w:vAlign w:val="center"/>
          </w:tcPr>
          <w:p w14:paraId="58274811" w14:textId="77777777" w:rsidR="0092254A" w:rsidRPr="00576299" w:rsidRDefault="0092254A" w:rsidP="00C068F2">
            <w:pPr>
              <w:pStyle w:val="Tabletext"/>
            </w:pPr>
            <w:r w:rsidRPr="00576299">
              <w:t>Proportion with ECOG 0-1</w:t>
            </w:r>
          </w:p>
        </w:tc>
        <w:tc>
          <w:tcPr>
            <w:tcW w:w="3715" w:type="dxa"/>
            <w:vAlign w:val="center"/>
          </w:tcPr>
          <w:p w14:paraId="76048B9D" w14:textId="77777777" w:rsidR="0092254A" w:rsidRPr="00576299" w:rsidRDefault="0092254A" w:rsidP="00C068F2">
            <w:pPr>
              <w:pStyle w:val="Tabletext"/>
            </w:pPr>
            <w:r w:rsidRPr="00576299">
              <w:t>70%</w:t>
            </w:r>
          </w:p>
          <w:p w14:paraId="276D0544" w14:textId="77777777" w:rsidR="0092254A" w:rsidRPr="00576299" w:rsidRDefault="0092254A" w:rsidP="00C068F2">
            <w:pPr>
              <w:pStyle w:val="Tabletext"/>
            </w:pPr>
            <w:r w:rsidRPr="00576299">
              <w:t>Source: Based on DUSC advice.</w:t>
            </w:r>
          </w:p>
        </w:tc>
        <w:tc>
          <w:tcPr>
            <w:tcW w:w="3919" w:type="dxa"/>
            <w:vAlign w:val="center"/>
          </w:tcPr>
          <w:p w14:paraId="06FEDAEF" w14:textId="508F5808" w:rsidR="0092254A" w:rsidRPr="00576299" w:rsidRDefault="0092254A" w:rsidP="00C068F2">
            <w:pPr>
              <w:pStyle w:val="Tabletext"/>
            </w:pPr>
            <w:r w:rsidRPr="00576299">
              <w:t xml:space="preserve">Reasonable. </w:t>
            </w:r>
            <w:r w:rsidR="003A05BA" w:rsidRPr="00576299">
              <w:t>Based on DUSC advice</w:t>
            </w:r>
            <w:r w:rsidRPr="00576299">
              <w:t xml:space="preserve"> </w:t>
            </w:r>
            <w:r w:rsidRPr="00576299">
              <w:rPr>
                <w:snapToGrid/>
              </w:rPr>
              <w:t xml:space="preserve">(paragraph 6.72, dostarlimab </w:t>
            </w:r>
            <w:r w:rsidR="002C4087">
              <w:rPr>
                <w:snapToGrid/>
              </w:rPr>
              <w:t>PSD</w:t>
            </w:r>
            <w:r w:rsidRPr="00576299">
              <w:rPr>
                <w:snapToGrid/>
              </w:rPr>
              <w:t>, March 2022</w:t>
            </w:r>
            <w:r w:rsidR="003A0FA8" w:rsidRPr="00576299">
              <w:rPr>
                <w:snapToGrid/>
              </w:rPr>
              <w:t xml:space="preserve"> PBAC meeting</w:t>
            </w:r>
            <w:r w:rsidRPr="00576299">
              <w:rPr>
                <w:snapToGrid/>
              </w:rPr>
              <w:t>)</w:t>
            </w:r>
            <w:r w:rsidRPr="00576299">
              <w:t>.</w:t>
            </w:r>
            <w:r w:rsidR="00E1481B" w:rsidRPr="00576299">
              <w:t xml:space="preserve"> </w:t>
            </w:r>
          </w:p>
        </w:tc>
      </w:tr>
      <w:tr w:rsidR="0092254A" w:rsidRPr="00576299" w14:paraId="0CC24128" w14:textId="77777777" w:rsidTr="00A56E46">
        <w:trPr>
          <w:cantSplit/>
        </w:trPr>
        <w:tc>
          <w:tcPr>
            <w:tcW w:w="0" w:type="auto"/>
            <w:vAlign w:val="center"/>
          </w:tcPr>
          <w:p w14:paraId="7C66A21B" w14:textId="77777777" w:rsidR="0092254A" w:rsidRPr="00576299" w:rsidRDefault="0092254A" w:rsidP="00C068F2">
            <w:pPr>
              <w:pStyle w:val="Tabletext"/>
            </w:pPr>
            <w:r w:rsidRPr="00576299">
              <w:t>Proportion with dMMR</w:t>
            </w:r>
          </w:p>
        </w:tc>
        <w:tc>
          <w:tcPr>
            <w:tcW w:w="3715" w:type="dxa"/>
            <w:vAlign w:val="center"/>
          </w:tcPr>
          <w:p w14:paraId="0865D06F" w14:textId="77777777" w:rsidR="0092254A" w:rsidRPr="00576299" w:rsidRDefault="0092254A" w:rsidP="00C068F2">
            <w:pPr>
              <w:pStyle w:val="Tabletext"/>
            </w:pPr>
            <w:r w:rsidRPr="00576299">
              <w:t>27%</w:t>
            </w:r>
          </w:p>
          <w:p w14:paraId="44F9F815" w14:textId="77777777" w:rsidR="0092254A" w:rsidRPr="00576299" w:rsidRDefault="0092254A" w:rsidP="00C068F2">
            <w:pPr>
              <w:pStyle w:val="Tabletext"/>
            </w:pPr>
            <w:r w:rsidRPr="00576299">
              <w:t>Source: Gupta 2021.</w:t>
            </w:r>
          </w:p>
        </w:tc>
        <w:tc>
          <w:tcPr>
            <w:tcW w:w="3919" w:type="dxa"/>
            <w:vAlign w:val="center"/>
          </w:tcPr>
          <w:p w14:paraId="44AF1B97" w14:textId="4133E932" w:rsidR="0092254A" w:rsidRPr="00576299" w:rsidRDefault="0092254A" w:rsidP="00C068F2">
            <w:pPr>
              <w:pStyle w:val="Tabletext"/>
            </w:pPr>
            <w:r w:rsidRPr="00576299">
              <w:t xml:space="preserve">Reasonable. </w:t>
            </w:r>
            <w:r w:rsidR="00AD1F1F" w:rsidRPr="00576299">
              <w:t>B</w:t>
            </w:r>
            <w:r w:rsidR="00D2648F" w:rsidRPr="00576299">
              <w:t>ased on DUSC advice</w:t>
            </w:r>
            <w:r w:rsidRPr="00576299">
              <w:t xml:space="preserve"> </w:t>
            </w:r>
            <w:r w:rsidRPr="00576299">
              <w:rPr>
                <w:snapToGrid/>
              </w:rPr>
              <w:t>(</w:t>
            </w:r>
            <w:r w:rsidR="00D01F33" w:rsidRPr="00576299">
              <w:rPr>
                <w:snapToGrid/>
              </w:rPr>
              <w:t>Table 14</w:t>
            </w:r>
            <w:r w:rsidRPr="00576299">
              <w:rPr>
                <w:snapToGrid/>
              </w:rPr>
              <w:t xml:space="preserve">, dostarlimab </w:t>
            </w:r>
            <w:r w:rsidR="002C4087">
              <w:rPr>
                <w:snapToGrid/>
              </w:rPr>
              <w:t>PSD</w:t>
            </w:r>
            <w:r w:rsidRPr="00576299">
              <w:rPr>
                <w:snapToGrid/>
              </w:rPr>
              <w:t>, March 202</w:t>
            </w:r>
            <w:r w:rsidR="003A0FA8" w:rsidRPr="00576299">
              <w:rPr>
                <w:snapToGrid/>
              </w:rPr>
              <w:t xml:space="preserve"> PBAC meeting</w:t>
            </w:r>
            <w:r w:rsidRPr="00576299">
              <w:rPr>
                <w:snapToGrid/>
              </w:rPr>
              <w:t>)</w:t>
            </w:r>
            <w:r w:rsidRPr="00576299">
              <w:t xml:space="preserve">. </w:t>
            </w:r>
          </w:p>
        </w:tc>
      </w:tr>
      <w:tr w:rsidR="0092254A" w:rsidRPr="00576299" w14:paraId="253BAC19" w14:textId="77777777" w:rsidTr="00C068F2">
        <w:trPr>
          <w:cantSplit/>
        </w:trPr>
        <w:tc>
          <w:tcPr>
            <w:tcW w:w="0" w:type="auto"/>
            <w:gridSpan w:val="3"/>
            <w:vAlign w:val="center"/>
          </w:tcPr>
          <w:p w14:paraId="134A5215" w14:textId="77777777" w:rsidR="0092254A" w:rsidRPr="00576299" w:rsidRDefault="0092254A" w:rsidP="00C068F2">
            <w:pPr>
              <w:pStyle w:val="Tabletext"/>
              <w:rPr>
                <w:b/>
              </w:rPr>
            </w:pPr>
            <w:r w:rsidRPr="00576299">
              <w:rPr>
                <w:b/>
              </w:rPr>
              <w:t>Treatment utilisation</w:t>
            </w:r>
          </w:p>
        </w:tc>
      </w:tr>
      <w:tr w:rsidR="0092254A" w:rsidRPr="00576299" w14:paraId="36E9A6AB" w14:textId="77777777" w:rsidTr="00A56E46">
        <w:trPr>
          <w:cantSplit/>
        </w:trPr>
        <w:tc>
          <w:tcPr>
            <w:tcW w:w="0" w:type="auto"/>
            <w:vAlign w:val="center"/>
          </w:tcPr>
          <w:p w14:paraId="7D4604F5" w14:textId="77777777" w:rsidR="0092254A" w:rsidRPr="00576299" w:rsidRDefault="0092254A" w:rsidP="00C068F2">
            <w:pPr>
              <w:pStyle w:val="Tabletext"/>
            </w:pPr>
            <w:r w:rsidRPr="00576299">
              <w:t>Grandfathered patients</w:t>
            </w:r>
          </w:p>
        </w:tc>
        <w:tc>
          <w:tcPr>
            <w:tcW w:w="3715" w:type="dxa"/>
            <w:vAlign w:val="center"/>
          </w:tcPr>
          <w:p w14:paraId="02392EF5" w14:textId="3017A24B" w:rsidR="0092254A" w:rsidRPr="00576299" w:rsidRDefault="00833009" w:rsidP="00C068F2">
            <w:pPr>
              <w:pStyle w:val="Tabletext"/>
            </w:pPr>
            <w:r w:rsidRPr="00833009">
              <w:rPr>
                <w:color w:val="000000"/>
                <w:spacing w:val="41"/>
                <w:shd w:val="solid" w:color="000000" w:fill="000000"/>
                <w:fitText w:val="462" w:id="-1304167672"/>
                <w14:textFill>
                  <w14:solidFill>
                    <w14:srgbClr w14:val="000000">
                      <w14:alpha w14:val="100000"/>
                    </w14:srgbClr>
                  </w14:solidFill>
                </w14:textFill>
              </w:rPr>
              <w:t>|||||</w:t>
            </w:r>
            <w:r w:rsidRPr="00833009">
              <w:rPr>
                <w:color w:val="000000"/>
                <w:spacing w:val="2"/>
                <w:shd w:val="solid" w:color="000000" w:fill="000000"/>
                <w:fitText w:val="462" w:id="-1304167672"/>
                <w14:textFill>
                  <w14:solidFill>
                    <w14:srgbClr w14:val="000000">
                      <w14:alpha w14:val="100000"/>
                    </w14:srgbClr>
                  </w14:solidFill>
                </w14:textFill>
              </w:rPr>
              <w:t>|</w:t>
            </w:r>
            <w:r w:rsidR="00BE1F1C">
              <w:rPr>
                <w:vertAlign w:val="superscript"/>
              </w:rPr>
              <w:t>1</w:t>
            </w:r>
            <w:r w:rsidR="0092254A" w:rsidRPr="00576299">
              <w:t xml:space="preserve"> patients in year 1, no patients in subsequent years</w:t>
            </w:r>
          </w:p>
          <w:p w14:paraId="66CB1B88" w14:textId="77777777" w:rsidR="0092254A" w:rsidRPr="00576299" w:rsidRDefault="0092254A" w:rsidP="00C068F2">
            <w:pPr>
              <w:pStyle w:val="Tabletext"/>
            </w:pPr>
            <w:r w:rsidRPr="00576299">
              <w:t>Source: Sponsor internal estimate</w:t>
            </w:r>
          </w:p>
        </w:tc>
        <w:tc>
          <w:tcPr>
            <w:tcW w:w="3919" w:type="dxa"/>
            <w:vAlign w:val="center"/>
          </w:tcPr>
          <w:p w14:paraId="18EC28E5" w14:textId="340791B0" w:rsidR="0092254A" w:rsidRPr="00576299" w:rsidRDefault="0092254A" w:rsidP="00C068F2">
            <w:pPr>
              <w:pStyle w:val="Tabletext"/>
            </w:pPr>
          </w:p>
        </w:tc>
      </w:tr>
      <w:tr w:rsidR="0092254A" w:rsidRPr="00576299" w14:paraId="154EEC97" w14:textId="77777777" w:rsidTr="00A56E46">
        <w:trPr>
          <w:cantSplit/>
        </w:trPr>
        <w:tc>
          <w:tcPr>
            <w:tcW w:w="0" w:type="auto"/>
            <w:vAlign w:val="center"/>
          </w:tcPr>
          <w:p w14:paraId="41F81774" w14:textId="055E0E60" w:rsidR="0092254A" w:rsidRPr="00576299" w:rsidRDefault="00FD152D" w:rsidP="00C068F2">
            <w:pPr>
              <w:pStyle w:val="Tabletext"/>
            </w:pPr>
            <w:r w:rsidRPr="00576299">
              <w:t>D</w:t>
            </w:r>
            <w:r w:rsidR="0092254A" w:rsidRPr="00576299">
              <w:t>ostarlimab-treated population otherwise treated with chemotherapy</w:t>
            </w:r>
          </w:p>
        </w:tc>
        <w:tc>
          <w:tcPr>
            <w:tcW w:w="3715" w:type="dxa"/>
            <w:vAlign w:val="center"/>
          </w:tcPr>
          <w:p w14:paraId="65A8836C" w14:textId="79088932" w:rsidR="0092254A" w:rsidRPr="00576299" w:rsidRDefault="00833009" w:rsidP="00C068F2">
            <w:pPr>
              <w:pStyle w:val="Tabletext"/>
            </w:pPr>
            <w:r w:rsidRPr="00833009">
              <w:rPr>
                <w:color w:val="000000"/>
                <w:spacing w:val="41"/>
                <w:shd w:val="solid" w:color="000000" w:fill="000000"/>
                <w:fitText w:val="462" w:id="-1304167671"/>
                <w14:textFill>
                  <w14:solidFill>
                    <w14:srgbClr w14:val="000000">
                      <w14:alpha w14:val="100000"/>
                    </w14:srgbClr>
                  </w14:solidFill>
                </w14:textFill>
              </w:rPr>
              <w:t>|||||</w:t>
            </w:r>
            <w:r w:rsidRPr="00833009">
              <w:rPr>
                <w:color w:val="000000"/>
                <w:spacing w:val="2"/>
                <w:shd w:val="solid" w:color="000000" w:fill="000000"/>
                <w:fitText w:val="462" w:id="-1304167671"/>
                <w14:textFill>
                  <w14:solidFill>
                    <w14:srgbClr w14:val="000000">
                      <w14:alpha w14:val="100000"/>
                    </w14:srgbClr>
                  </w14:solidFill>
                </w14:textFill>
              </w:rPr>
              <w:t>|</w:t>
            </w:r>
            <w:r w:rsidR="0092254A" w:rsidRPr="00576299">
              <w:t>%</w:t>
            </w:r>
          </w:p>
          <w:p w14:paraId="0CC6BD00" w14:textId="77777777" w:rsidR="0092254A" w:rsidRPr="00576299" w:rsidRDefault="0092254A" w:rsidP="00C068F2">
            <w:pPr>
              <w:pStyle w:val="Tabletext"/>
            </w:pPr>
            <w:r w:rsidRPr="00576299">
              <w:t>Source: Australian clinical expert opinion (n=5) provided during the Advisory Board in 2021.</w:t>
            </w:r>
          </w:p>
        </w:tc>
        <w:tc>
          <w:tcPr>
            <w:tcW w:w="3919" w:type="dxa"/>
            <w:vAlign w:val="center"/>
          </w:tcPr>
          <w:p w14:paraId="3F4D58A8" w14:textId="77777777" w:rsidR="0092254A" w:rsidRPr="00576299" w:rsidRDefault="0092254A" w:rsidP="00C068F2">
            <w:pPr>
              <w:pStyle w:val="Tabletext"/>
            </w:pPr>
            <w:r w:rsidRPr="00576299">
              <w:t>Appeared to be reasonable. This was tested by the resubmission (±5%) in their sensitivity analyses.</w:t>
            </w:r>
          </w:p>
        </w:tc>
      </w:tr>
      <w:tr w:rsidR="0092254A" w:rsidRPr="00576299" w14:paraId="15A1158A" w14:textId="77777777" w:rsidTr="00A56E46">
        <w:trPr>
          <w:cantSplit/>
        </w:trPr>
        <w:tc>
          <w:tcPr>
            <w:tcW w:w="0" w:type="auto"/>
            <w:vAlign w:val="center"/>
          </w:tcPr>
          <w:p w14:paraId="0FD7223E" w14:textId="26C50F9F" w:rsidR="0092254A" w:rsidRPr="00576299" w:rsidRDefault="006B33AF" w:rsidP="00C068F2">
            <w:pPr>
              <w:pStyle w:val="Tabletext"/>
            </w:pPr>
            <w:r w:rsidRPr="00576299">
              <w:t>U</w:t>
            </w:r>
            <w:r w:rsidR="0092254A" w:rsidRPr="00576299">
              <w:t>tilisation among nominated basket of chemotherapies</w:t>
            </w:r>
            <w:r w:rsidR="003B4380" w:rsidRPr="00576299">
              <w:t xml:space="preserve"> and usage for costing</w:t>
            </w:r>
          </w:p>
        </w:tc>
        <w:tc>
          <w:tcPr>
            <w:tcW w:w="3715" w:type="dxa"/>
            <w:vAlign w:val="center"/>
          </w:tcPr>
          <w:p w14:paraId="4B495FA4" w14:textId="37186D8B" w:rsidR="0092254A" w:rsidRPr="00576299" w:rsidRDefault="0092254A" w:rsidP="00C068F2">
            <w:pPr>
              <w:pStyle w:val="Tabletext"/>
            </w:pPr>
            <w:r w:rsidRPr="00576299">
              <w:t xml:space="preserve">Doxorubicin </w:t>
            </w:r>
            <w:r w:rsidR="003B4380" w:rsidRPr="00576299">
              <w:t>107mg (150mg used)</w:t>
            </w:r>
            <w:r w:rsidRPr="00576299">
              <w:rPr>
                <w:vertAlign w:val="superscript"/>
              </w:rPr>
              <w:t>a</w:t>
            </w:r>
            <w:r w:rsidRPr="00576299">
              <w:t>: 36%</w:t>
            </w:r>
          </w:p>
          <w:p w14:paraId="58E6FC7B" w14:textId="55ADA5A3" w:rsidR="0092254A" w:rsidRPr="00576299" w:rsidRDefault="0092254A" w:rsidP="00C068F2">
            <w:pPr>
              <w:pStyle w:val="Tabletext"/>
            </w:pPr>
            <w:r w:rsidRPr="00576299">
              <w:t>Paclitaxel</w:t>
            </w:r>
            <w:r w:rsidR="003B4380" w:rsidRPr="00576299">
              <w:t>313mg (330mg used)</w:t>
            </w:r>
            <w:r w:rsidRPr="00576299">
              <w:t xml:space="preserve"> </w:t>
            </w:r>
            <w:r w:rsidRPr="00576299">
              <w:rPr>
                <w:vertAlign w:val="superscript"/>
              </w:rPr>
              <w:t>a</w:t>
            </w:r>
            <w:r w:rsidRPr="00576299">
              <w:t>: 52%</w:t>
            </w:r>
          </w:p>
          <w:p w14:paraId="3070D5B9" w14:textId="28C54F9A" w:rsidR="0092254A" w:rsidRPr="00576299" w:rsidRDefault="0092254A" w:rsidP="00C068F2">
            <w:pPr>
              <w:pStyle w:val="Tabletext"/>
            </w:pPr>
            <w:r w:rsidRPr="00576299">
              <w:t>Carboplatin</w:t>
            </w:r>
            <w:r w:rsidRPr="00576299">
              <w:rPr>
                <w:vertAlign w:val="superscript"/>
              </w:rPr>
              <w:t xml:space="preserve"> </w:t>
            </w:r>
            <w:r w:rsidR="003B4380" w:rsidRPr="00576299">
              <w:t>630mg (900mg used)</w:t>
            </w:r>
            <w:r w:rsidRPr="00576299">
              <w:rPr>
                <w:vertAlign w:val="superscript"/>
              </w:rPr>
              <w:t>a</w:t>
            </w:r>
            <w:r w:rsidRPr="00576299">
              <w:t>: 68%</w:t>
            </w:r>
          </w:p>
          <w:p w14:paraId="348B8134" w14:textId="479FFC0A" w:rsidR="001F5B49" w:rsidRPr="00576299" w:rsidRDefault="001F5B49" w:rsidP="00C068F2">
            <w:pPr>
              <w:pStyle w:val="Tabletext"/>
            </w:pPr>
            <w:r w:rsidRPr="00576299">
              <w:rPr>
                <w:szCs w:val="20"/>
              </w:rPr>
              <w:t xml:space="preserve">All assumed 12.75 weeks </w:t>
            </w:r>
            <w:r w:rsidR="00873F83" w:rsidRPr="00576299">
              <w:rPr>
                <w:szCs w:val="20"/>
              </w:rPr>
              <w:t xml:space="preserve">duration </w:t>
            </w:r>
            <w:r w:rsidRPr="00576299">
              <w:rPr>
                <w:szCs w:val="20"/>
              </w:rPr>
              <w:t>– Estimated to be 4.25 infusions per patient per year assuming three weekly cycles</w:t>
            </w:r>
          </w:p>
          <w:p w14:paraId="73C3E848" w14:textId="77777777" w:rsidR="0092254A" w:rsidRPr="00576299" w:rsidRDefault="0092254A" w:rsidP="00C068F2">
            <w:pPr>
              <w:pStyle w:val="Tabletext"/>
            </w:pPr>
            <w:r w:rsidRPr="00576299">
              <w:t>Source: UK RWE study and clinical expert opinion.</w:t>
            </w:r>
          </w:p>
        </w:tc>
        <w:tc>
          <w:tcPr>
            <w:tcW w:w="3919" w:type="dxa"/>
            <w:vAlign w:val="center"/>
          </w:tcPr>
          <w:p w14:paraId="3DB2F656" w14:textId="3DDA95BA" w:rsidR="0092254A" w:rsidRPr="00576299" w:rsidRDefault="0092254A" w:rsidP="00C068F2">
            <w:pPr>
              <w:pStyle w:val="Tabletext"/>
            </w:pPr>
            <w:r w:rsidRPr="00576299">
              <w:t xml:space="preserve">Same values as in previous submission. DUSC considered this input could be reasonable </w:t>
            </w:r>
            <w:r w:rsidRPr="00576299">
              <w:rPr>
                <w:snapToGrid/>
              </w:rPr>
              <w:t xml:space="preserve">(paragraph 6.72, dostarlimab </w:t>
            </w:r>
            <w:r w:rsidR="000C6CB8" w:rsidRPr="00576299">
              <w:rPr>
                <w:snapToGrid/>
              </w:rPr>
              <w:t>P</w:t>
            </w:r>
            <w:r w:rsidR="002C4087">
              <w:rPr>
                <w:snapToGrid/>
              </w:rPr>
              <w:t>SD</w:t>
            </w:r>
            <w:r w:rsidRPr="00576299">
              <w:rPr>
                <w:snapToGrid/>
              </w:rPr>
              <w:t>, March 2022</w:t>
            </w:r>
            <w:r w:rsidR="003A0FA8" w:rsidRPr="00576299">
              <w:rPr>
                <w:snapToGrid/>
              </w:rPr>
              <w:t xml:space="preserve"> PBAC meeting</w:t>
            </w:r>
            <w:r w:rsidRPr="00576299">
              <w:rPr>
                <w:snapToGrid/>
              </w:rPr>
              <w:t>)</w:t>
            </w:r>
            <w:r w:rsidRPr="00576299">
              <w:t>.</w:t>
            </w:r>
            <w:r w:rsidR="003B4380" w:rsidRPr="00576299">
              <w:t xml:space="preserve"> </w:t>
            </w:r>
            <w:r w:rsidR="00873F83" w:rsidRPr="00576299">
              <w:t>Duration not entirely consistent with economic model which assumed 12 weeks.</w:t>
            </w:r>
          </w:p>
        </w:tc>
      </w:tr>
      <w:tr w:rsidR="0092254A" w:rsidRPr="00576299" w14:paraId="0321DC31" w14:textId="77777777" w:rsidTr="00A56E46">
        <w:trPr>
          <w:cantSplit/>
        </w:trPr>
        <w:tc>
          <w:tcPr>
            <w:tcW w:w="0" w:type="auto"/>
            <w:vAlign w:val="center"/>
          </w:tcPr>
          <w:p w14:paraId="5FC40FDF" w14:textId="55C62C86" w:rsidR="0092254A" w:rsidRPr="00576299" w:rsidRDefault="0092254A" w:rsidP="00C068F2">
            <w:pPr>
              <w:pStyle w:val="Tabletext"/>
            </w:pPr>
            <w:r w:rsidRPr="00576299">
              <w:rPr>
                <w:szCs w:val="20"/>
              </w:rPr>
              <w:t>Mean duration of dostarlimab treatment</w:t>
            </w:r>
            <w:r w:rsidR="007D374F">
              <w:rPr>
                <w:szCs w:val="20"/>
              </w:rPr>
              <w:t>*</w:t>
            </w:r>
          </w:p>
        </w:tc>
        <w:tc>
          <w:tcPr>
            <w:tcW w:w="3715" w:type="dxa"/>
            <w:vAlign w:val="center"/>
          </w:tcPr>
          <w:p w14:paraId="7FA1B573" w14:textId="77777777" w:rsidR="0092254A" w:rsidRPr="00576299" w:rsidRDefault="0092254A" w:rsidP="00C068F2">
            <w:pPr>
              <w:pStyle w:val="Tabletext"/>
              <w:rPr>
                <w:szCs w:val="20"/>
              </w:rPr>
            </w:pPr>
            <w:r w:rsidRPr="00576299">
              <w:rPr>
                <w:szCs w:val="20"/>
              </w:rPr>
              <w:t>53.48 weeks</w:t>
            </w:r>
          </w:p>
          <w:p w14:paraId="79BAFC01" w14:textId="77777777" w:rsidR="0092254A" w:rsidRPr="00576299" w:rsidRDefault="0092254A" w:rsidP="00C068F2">
            <w:pPr>
              <w:pStyle w:val="Tabletext"/>
              <w:rPr>
                <w:szCs w:val="20"/>
              </w:rPr>
            </w:pPr>
            <w:r w:rsidRPr="00576299">
              <w:rPr>
                <w:szCs w:val="20"/>
              </w:rPr>
              <w:t>Source:</w:t>
            </w:r>
            <w:r w:rsidRPr="00576299">
              <w:t xml:space="preserve"> </w:t>
            </w:r>
            <w:r w:rsidRPr="00576299">
              <w:rPr>
                <w:szCs w:val="20"/>
              </w:rPr>
              <w:t>Economic model – GARNET Cohort A1 study.</w:t>
            </w:r>
          </w:p>
        </w:tc>
        <w:tc>
          <w:tcPr>
            <w:tcW w:w="3919" w:type="dxa"/>
            <w:vAlign w:val="center"/>
          </w:tcPr>
          <w:p w14:paraId="15629CB1" w14:textId="77777777" w:rsidR="0092254A" w:rsidRPr="00576299" w:rsidRDefault="0092254A" w:rsidP="00C068F2">
            <w:pPr>
              <w:pStyle w:val="Tabletext"/>
            </w:pPr>
            <w:r w:rsidRPr="00576299">
              <w:t>Reasonable. Figure revised from 54.37 weeks to 53.48 weeks based on revised economic model (GARNET IA3 data-cut).</w:t>
            </w:r>
          </w:p>
        </w:tc>
      </w:tr>
      <w:tr w:rsidR="0092254A" w:rsidRPr="00576299" w14:paraId="7F25AFAA" w14:textId="77777777" w:rsidTr="00C068F2">
        <w:trPr>
          <w:cantSplit/>
        </w:trPr>
        <w:tc>
          <w:tcPr>
            <w:tcW w:w="0" w:type="auto"/>
            <w:gridSpan w:val="3"/>
            <w:vAlign w:val="center"/>
          </w:tcPr>
          <w:p w14:paraId="7CEF3087" w14:textId="77777777" w:rsidR="0092254A" w:rsidRPr="00576299" w:rsidRDefault="0092254A" w:rsidP="00C068F2">
            <w:pPr>
              <w:pStyle w:val="Tabletext"/>
              <w:rPr>
                <w:b/>
              </w:rPr>
            </w:pPr>
            <w:r w:rsidRPr="00576299">
              <w:rPr>
                <w:b/>
              </w:rPr>
              <w:t>Costs</w:t>
            </w:r>
          </w:p>
        </w:tc>
      </w:tr>
      <w:tr w:rsidR="0092254A" w:rsidRPr="00576299" w14:paraId="6F7F9738" w14:textId="77777777" w:rsidTr="00A56E46">
        <w:trPr>
          <w:cantSplit/>
        </w:trPr>
        <w:tc>
          <w:tcPr>
            <w:tcW w:w="0" w:type="auto"/>
            <w:vAlign w:val="center"/>
          </w:tcPr>
          <w:p w14:paraId="63D0FA14" w14:textId="77777777" w:rsidR="0092254A" w:rsidRPr="00576299" w:rsidRDefault="0092254A" w:rsidP="00C068F2">
            <w:pPr>
              <w:pStyle w:val="Tabletext"/>
            </w:pPr>
            <w:r w:rsidRPr="00576299">
              <w:t>Proposed medicine</w:t>
            </w:r>
          </w:p>
        </w:tc>
        <w:tc>
          <w:tcPr>
            <w:tcW w:w="3715" w:type="dxa"/>
            <w:vAlign w:val="center"/>
          </w:tcPr>
          <w:p w14:paraId="6316ABB4" w14:textId="3D43603D" w:rsidR="0092254A" w:rsidRPr="00576299" w:rsidRDefault="0092254A" w:rsidP="00C068F2">
            <w:pPr>
              <w:pStyle w:val="Tabletext"/>
              <w:rPr>
                <w:b/>
              </w:rPr>
            </w:pPr>
            <w:r w:rsidRPr="00576299">
              <w:rPr>
                <w:b/>
              </w:rPr>
              <w:t>Dispensed price</w:t>
            </w:r>
            <w:r w:rsidR="00FE5BA4" w:rsidRPr="00576299">
              <w:rPr>
                <w:b/>
              </w:rPr>
              <w:t xml:space="preserve"> (effective)</w:t>
            </w:r>
            <w:r w:rsidRPr="00576299">
              <w:rPr>
                <w:b/>
              </w:rPr>
              <w:t>:</w:t>
            </w:r>
          </w:p>
          <w:tbl>
            <w:tblPr>
              <w:tblStyle w:val="TableGrid"/>
              <w:tblW w:w="0" w:type="auto"/>
              <w:tblLook w:val="04A0" w:firstRow="1" w:lastRow="0" w:firstColumn="1" w:lastColumn="0" w:noHBand="0" w:noVBand="1"/>
            </w:tblPr>
            <w:tblGrid>
              <w:gridCol w:w="810"/>
              <w:gridCol w:w="874"/>
              <w:gridCol w:w="876"/>
              <w:gridCol w:w="988"/>
            </w:tblGrid>
            <w:tr w:rsidR="0092254A" w:rsidRPr="00576299" w14:paraId="17D2BD9C" w14:textId="77777777" w:rsidTr="00C068F2">
              <w:tc>
                <w:tcPr>
                  <w:tcW w:w="809" w:type="dxa"/>
                  <w:shd w:val="clear" w:color="auto" w:fill="auto"/>
                </w:tcPr>
                <w:p w14:paraId="77C5FB71" w14:textId="77777777" w:rsidR="0092254A" w:rsidRPr="00576299" w:rsidRDefault="0092254A" w:rsidP="00C068F2">
                  <w:pPr>
                    <w:pStyle w:val="Tabletext"/>
                  </w:pPr>
                </w:p>
              </w:tc>
              <w:tc>
                <w:tcPr>
                  <w:tcW w:w="1037" w:type="dxa"/>
                  <w:shd w:val="clear" w:color="auto" w:fill="auto"/>
                </w:tcPr>
                <w:p w14:paraId="014C2334" w14:textId="77777777" w:rsidR="0092254A" w:rsidRPr="00576299" w:rsidRDefault="0092254A" w:rsidP="00C068F2">
                  <w:pPr>
                    <w:pStyle w:val="Tabletext"/>
                    <w:rPr>
                      <w:b/>
                    </w:rPr>
                  </w:pPr>
                  <w:r w:rsidRPr="00576299">
                    <w:rPr>
                      <w:b/>
                    </w:rPr>
                    <w:t>Public</w:t>
                  </w:r>
                </w:p>
              </w:tc>
              <w:tc>
                <w:tcPr>
                  <w:tcW w:w="1037" w:type="dxa"/>
                  <w:shd w:val="clear" w:color="auto" w:fill="auto"/>
                </w:tcPr>
                <w:p w14:paraId="60EF2CD3" w14:textId="77777777" w:rsidR="0092254A" w:rsidRPr="00576299" w:rsidRDefault="0092254A" w:rsidP="00C068F2">
                  <w:pPr>
                    <w:pStyle w:val="Tabletext"/>
                    <w:rPr>
                      <w:b/>
                    </w:rPr>
                  </w:pPr>
                  <w:r w:rsidRPr="00576299">
                    <w:rPr>
                      <w:b/>
                    </w:rPr>
                    <w:t>Private</w:t>
                  </w:r>
                </w:p>
              </w:tc>
              <w:tc>
                <w:tcPr>
                  <w:tcW w:w="1037" w:type="dxa"/>
                  <w:shd w:val="clear" w:color="auto" w:fill="auto"/>
                </w:tcPr>
                <w:p w14:paraId="52977790" w14:textId="77777777" w:rsidR="0092254A" w:rsidRPr="00576299" w:rsidRDefault="0092254A" w:rsidP="00C068F2">
                  <w:pPr>
                    <w:pStyle w:val="Tabletext"/>
                    <w:rPr>
                      <w:b/>
                    </w:rPr>
                  </w:pPr>
                  <w:r w:rsidRPr="00576299">
                    <w:rPr>
                      <w:b/>
                    </w:rPr>
                    <w:t>Weighted</w:t>
                  </w:r>
                </w:p>
              </w:tc>
            </w:tr>
            <w:tr w:rsidR="0092254A" w:rsidRPr="00576299" w14:paraId="51F73B7D" w14:textId="77777777" w:rsidTr="00C068F2">
              <w:tc>
                <w:tcPr>
                  <w:tcW w:w="809" w:type="dxa"/>
                  <w:shd w:val="clear" w:color="auto" w:fill="auto"/>
                </w:tcPr>
                <w:p w14:paraId="524FFBE6" w14:textId="77777777" w:rsidR="0092254A" w:rsidRPr="00576299" w:rsidRDefault="0092254A" w:rsidP="00C068F2">
                  <w:pPr>
                    <w:pStyle w:val="Tabletext"/>
                  </w:pPr>
                  <w:r w:rsidRPr="00576299">
                    <w:t>500mg</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617F8E67" w14:textId="39EC437D" w:rsidR="0092254A" w:rsidRPr="00576299" w:rsidRDefault="0092254A" w:rsidP="00C068F2">
                  <w:pPr>
                    <w:pStyle w:val="Tabletext"/>
                  </w:pPr>
                  <w:r w:rsidRPr="00576299">
                    <w:t>$</w:t>
                  </w:r>
                  <w:r w:rsidR="00833009" w:rsidRPr="00833009">
                    <w:rPr>
                      <w:color w:val="000000"/>
                      <w:spacing w:val="39"/>
                      <w:shd w:val="solid" w:color="000000" w:fill="000000"/>
                      <w:fitText w:val="451" w:id="-1304167670"/>
                      <w14:textFill>
                        <w14:solidFill>
                          <w14:srgbClr w14:val="000000">
                            <w14:alpha w14:val="100000"/>
                          </w14:srgbClr>
                        </w14:solidFill>
                      </w14:textFill>
                    </w:rPr>
                    <w:t>|||||</w:t>
                  </w:r>
                  <w:r w:rsidR="00833009" w:rsidRPr="00833009">
                    <w:rPr>
                      <w:color w:val="000000"/>
                      <w:spacing w:val="1"/>
                      <w:shd w:val="solid" w:color="000000" w:fill="000000"/>
                      <w:fitText w:val="451" w:id="-1304167670"/>
                      <w14:textFill>
                        <w14:solidFill>
                          <w14:srgbClr w14:val="000000">
                            <w14:alpha w14:val="100000"/>
                          </w14:srgbClr>
                        </w14:solidFill>
                      </w14:textFill>
                    </w:rPr>
                    <w:t>|</w:t>
                  </w:r>
                </w:p>
              </w:tc>
              <w:tc>
                <w:tcPr>
                  <w:tcW w:w="1037" w:type="dxa"/>
                  <w:tcBorders>
                    <w:top w:val="single" w:sz="4" w:space="0" w:color="auto"/>
                    <w:left w:val="nil"/>
                    <w:bottom w:val="single" w:sz="4" w:space="0" w:color="auto"/>
                    <w:right w:val="single" w:sz="4" w:space="0" w:color="auto"/>
                  </w:tcBorders>
                  <w:shd w:val="clear" w:color="auto" w:fill="auto"/>
                  <w:vAlign w:val="center"/>
                </w:tcPr>
                <w:p w14:paraId="7586FC2D" w14:textId="346258BA" w:rsidR="0092254A" w:rsidRPr="00576299" w:rsidRDefault="0092254A" w:rsidP="00C068F2">
                  <w:pPr>
                    <w:pStyle w:val="Tabletext"/>
                  </w:pPr>
                  <w:r w:rsidRPr="00576299">
                    <w:t>$</w:t>
                  </w:r>
                  <w:r w:rsidR="00833009" w:rsidRPr="00833009">
                    <w:rPr>
                      <w:color w:val="000000"/>
                      <w:spacing w:val="39"/>
                      <w:shd w:val="solid" w:color="000000" w:fill="000000"/>
                      <w:fitText w:val="451" w:id="-1304167669"/>
                      <w14:textFill>
                        <w14:solidFill>
                          <w14:srgbClr w14:val="000000">
                            <w14:alpha w14:val="100000"/>
                          </w14:srgbClr>
                        </w14:solidFill>
                      </w14:textFill>
                    </w:rPr>
                    <w:t>|||||</w:t>
                  </w:r>
                  <w:r w:rsidR="00833009" w:rsidRPr="00833009">
                    <w:rPr>
                      <w:color w:val="000000"/>
                      <w:spacing w:val="1"/>
                      <w:shd w:val="solid" w:color="000000" w:fill="000000"/>
                      <w:fitText w:val="451" w:id="-1304167669"/>
                      <w14:textFill>
                        <w14:solidFill>
                          <w14:srgbClr w14:val="000000">
                            <w14:alpha w14:val="100000"/>
                          </w14:srgbClr>
                        </w14:solidFill>
                      </w14:textFill>
                    </w:rPr>
                    <w:t>|</w:t>
                  </w:r>
                </w:p>
              </w:tc>
              <w:tc>
                <w:tcPr>
                  <w:tcW w:w="1037" w:type="dxa"/>
                  <w:tcBorders>
                    <w:top w:val="single" w:sz="4" w:space="0" w:color="auto"/>
                    <w:left w:val="nil"/>
                    <w:bottom w:val="single" w:sz="4" w:space="0" w:color="auto"/>
                    <w:right w:val="single" w:sz="4" w:space="0" w:color="auto"/>
                  </w:tcBorders>
                  <w:shd w:val="clear" w:color="auto" w:fill="auto"/>
                  <w:vAlign w:val="center"/>
                </w:tcPr>
                <w:p w14:paraId="568546BA" w14:textId="455BC99B" w:rsidR="0092254A" w:rsidRPr="00576299" w:rsidRDefault="0092254A" w:rsidP="00C068F2">
                  <w:pPr>
                    <w:pStyle w:val="Tabletext"/>
                  </w:pPr>
                  <w:r w:rsidRPr="00576299">
                    <w:t>$</w:t>
                  </w:r>
                  <w:r w:rsidR="00833009" w:rsidRPr="00833009">
                    <w:rPr>
                      <w:color w:val="000000"/>
                      <w:spacing w:val="39"/>
                      <w:shd w:val="solid" w:color="000000" w:fill="000000"/>
                      <w:fitText w:val="451" w:id="-1304167668"/>
                      <w14:textFill>
                        <w14:solidFill>
                          <w14:srgbClr w14:val="000000">
                            <w14:alpha w14:val="100000"/>
                          </w14:srgbClr>
                        </w14:solidFill>
                      </w14:textFill>
                    </w:rPr>
                    <w:t>|||||</w:t>
                  </w:r>
                  <w:r w:rsidR="00833009" w:rsidRPr="00833009">
                    <w:rPr>
                      <w:color w:val="000000"/>
                      <w:spacing w:val="1"/>
                      <w:shd w:val="solid" w:color="000000" w:fill="000000"/>
                      <w:fitText w:val="451" w:id="-1304167668"/>
                      <w14:textFill>
                        <w14:solidFill>
                          <w14:srgbClr w14:val="000000">
                            <w14:alpha w14:val="100000"/>
                          </w14:srgbClr>
                        </w14:solidFill>
                      </w14:textFill>
                    </w:rPr>
                    <w:t>|</w:t>
                  </w:r>
                </w:p>
              </w:tc>
            </w:tr>
            <w:tr w:rsidR="0092254A" w:rsidRPr="00576299" w14:paraId="7D889822" w14:textId="77777777" w:rsidTr="00C068F2">
              <w:tc>
                <w:tcPr>
                  <w:tcW w:w="809" w:type="dxa"/>
                  <w:shd w:val="clear" w:color="auto" w:fill="auto"/>
                </w:tcPr>
                <w:p w14:paraId="14B21629" w14:textId="77777777" w:rsidR="0092254A" w:rsidRPr="00576299" w:rsidRDefault="0092254A" w:rsidP="00C068F2">
                  <w:pPr>
                    <w:pStyle w:val="Tabletext"/>
                  </w:pPr>
                  <w:r w:rsidRPr="00576299">
                    <w:t>1000mg</w:t>
                  </w:r>
                </w:p>
              </w:tc>
              <w:tc>
                <w:tcPr>
                  <w:tcW w:w="1037" w:type="dxa"/>
                  <w:tcBorders>
                    <w:top w:val="nil"/>
                    <w:left w:val="single" w:sz="4" w:space="0" w:color="auto"/>
                    <w:bottom w:val="single" w:sz="4" w:space="0" w:color="auto"/>
                    <w:right w:val="single" w:sz="4" w:space="0" w:color="auto"/>
                  </w:tcBorders>
                  <w:shd w:val="clear" w:color="auto" w:fill="auto"/>
                  <w:vAlign w:val="center"/>
                </w:tcPr>
                <w:p w14:paraId="0F08DE04" w14:textId="58AB1AC3" w:rsidR="0092254A" w:rsidRPr="00576299" w:rsidRDefault="0092254A" w:rsidP="00C068F2">
                  <w:pPr>
                    <w:pStyle w:val="Tabletext"/>
                  </w:pPr>
                  <w:r w:rsidRPr="00576299">
                    <w:t>$</w:t>
                  </w:r>
                  <w:r w:rsidR="00833009" w:rsidRPr="00833009">
                    <w:rPr>
                      <w:color w:val="000000"/>
                      <w:spacing w:val="39"/>
                      <w:shd w:val="solid" w:color="000000" w:fill="000000"/>
                      <w:fitText w:val="451" w:id="-1304167667"/>
                      <w14:textFill>
                        <w14:solidFill>
                          <w14:srgbClr w14:val="000000">
                            <w14:alpha w14:val="100000"/>
                          </w14:srgbClr>
                        </w14:solidFill>
                      </w14:textFill>
                    </w:rPr>
                    <w:t>|||||</w:t>
                  </w:r>
                  <w:r w:rsidR="00833009" w:rsidRPr="00833009">
                    <w:rPr>
                      <w:color w:val="000000"/>
                      <w:spacing w:val="1"/>
                      <w:shd w:val="solid" w:color="000000" w:fill="000000"/>
                      <w:fitText w:val="451" w:id="-1304167667"/>
                      <w14:textFill>
                        <w14:solidFill>
                          <w14:srgbClr w14:val="000000">
                            <w14:alpha w14:val="100000"/>
                          </w14:srgbClr>
                        </w14:solidFill>
                      </w14:textFill>
                    </w:rPr>
                    <w:t>|</w:t>
                  </w:r>
                </w:p>
              </w:tc>
              <w:tc>
                <w:tcPr>
                  <w:tcW w:w="1037" w:type="dxa"/>
                  <w:tcBorders>
                    <w:top w:val="nil"/>
                    <w:left w:val="nil"/>
                    <w:bottom w:val="single" w:sz="4" w:space="0" w:color="auto"/>
                    <w:right w:val="single" w:sz="4" w:space="0" w:color="auto"/>
                  </w:tcBorders>
                  <w:shd w:val="clear" w:color="auto" w:fill="auto"/>
                  <w:vAlign w:val="center"/>
                </w:tcPr>
                <w:p w14:paraId="6239FEFE" w14:textId="2C420631" w:rsidR="0092254A" w:rsidRPr="00576299" w:rsidRDefault="0092254A" w:rsidP="00C068F2">
                  <w:pPr>
                    <w:pStyle w:val="Tabletext"/>
                  </w:pPr>
                  <w:r w:rsidRPr="00576299">
                    <w:t>$</w:t>
                  </w:r>
                  <w:r w:rsidR="00833009" w:rsidRPr="00833009">
                    <w:rPr>
                      <w:color w:val="000000"/>
                      <w:spacing w:val="39"/>
                      <w:shd w:val="solid" w:color="000000" w:fill="000000"/>
                      <w:fitText w:val="452" w:id="-1304167666"/>
                      <w14:textFill>
                        <w14:solidFill>
                          <w14:srgbClr w14:val="000000">
                            <w14:alpha w14:val="100000"/>
                          </w14:srgbClr>
                        </w14:solidFill>
                      </w14:textFill>
                    </w:rPr>
                    <w:t>|||||</w:t>
                  </w:r>
                  <w:r w:rsidR="00833009" w:rsidRPr="00833009">
                    <w:rPr>
                      <w:color w:val="000000"/>
                      <w:spacing w:val="2"/>
                      <w:shd w:val="solid" w:color="000000" w:fill="000000"/>
                      <w:fitText w:val="452" w:id="-1304167666"/>
                      <w14:textFill>
                        <w14:solidFill>
                          <w14:srgbClr w14:val="000000">
                            <w14:alpha w14:val="100000"/>
                          </w14:srgbClr>
                        </w14:solidFill>
                      </w14:textFill>
                    </w:rPr>
                    <w:t>|</w:t>
                  </w:r>
                </w:p>
              </w:tc>
              <w:tc>
                <w:tcPr>
                  <w:tcW w:w="1037" w:type="dxa"/>
                  <w:tcBorders>
                    <w:top w:val="nil"/>
                    <w:left w:val="nil"/>
                    <w:bottom w:val="single" w:sz="4" w:space="0" w:color="auto"/>
                    <w:right w:val="single" w:sz="4" w:space="0" w:color="auto"/>
                  </w:tcBorders>
                  <w:shd w:val="clear" w:color="auto" w:fill="auto"/>
                  <w:vAlign w:val="center"/>
                </w:tcPr>
                <w:p w14:paraId="65F8314F" w14:textId="529A5693" w:rsidR="0092254A" w:rsidRPr="00576299" w:rsidRDefault="0092254A" w:rsidP="00C068F2">
                  <w:pPr>
                    <w:pStyle w:val="Tabletext"/>
                  </w:pPr>
                  <w:r w:rsidRPr="00576299">
                    <w:t>$</w:t>
                  </w:r>
                  <w:r w:rsidR="00833009" w:rsidRPr="00833009">
                    <w:rPr>
                      <w:color w:val="000000"/>
                      <w:spacing w:val="39"/>
                      <w:shd w:val="solid" w:color="000000" w:fill="000000"/>
                      <w:fitText w:val="452" w:id="-1304167665"/>
                      <w14:textFill>
                        <w14:solidFill>
                          <w14:srgbClr w14:val="000000">
                            <w14:alpha w14:val="100000"/>
                          </w14:srgbClr>
                        </w14:solidFill>
                      </w14:textFill>
                    </w:rPr>
                    <w:t>|||||</w:t>
                  </w:r>
                  <w:r w:rsidR="00833009" w:rsidRPr="00833009">
                    <w:rPr>
                      <w:color w:val="000000"/>
                      <w:spacing w:val="2"/>
                      <w:shd w:val="solid" w:color="000000" w:fill="000000"/>
                      <w:fitText w:val="452" w:id="-1304167665"/>
                      <w14:textFill>
                        <w14:solidFill>
                          <w14:srgbClr w14:val="000000">
                            <w14:alpha w14:val="100000"/>
                          </w14:srgbClr>
                        </w14:solidFill>
                      </w14:textFill>
                    </w:rPr>
                    <w:t>|</w:t>
                  </w:r>
                </w:p>
              </w:tc>
            </w:tr>
          </w:tbl>
          <w:p w14:paraId="7C415AE4" w14:textId="4D07E8D2" w:rsidR="0092254A" w:rsidRPr="00576299" w:rsidRDefault="0092254A" w:rsidP="00C068F2">
            <w:pPr>
              <w:pStyle w:val="Tabletext"/>
            </w:pPr>
            <w:r w:rsidRPr="00576299">
              <w:t>Source: Requested price, based on effective AEMP of $</w:t>
            </w:r>
            <w:r w:rsidR="00833009" w:rsidRPr="00833009">
              <w:rPr>
                <w:color w:val="000000"/>
                <w:spacing w:val="39"/>
                <w:shd w:val="solid" w:color="000000" w:fill="000000"/>
                <w:fitText w:val="451" w:id="-1304167664"/>
                <w14:textFill>
                  <w14:solidFill>
                    <w14:srgbClr w14:val="000000">
                      <w14:alpha w14:val="100000"/>
                    </w14:srgbClr>
                  </w14:solidFill>
                </w14:textFill>
              </w:rPr>
              <w:t>|||||</w:t>
            </w:r>
            <w:r w:rsidR="00833009" w:rsidRPr="00833009">
              <w:rPr>
                <w:color w:val="000000"/>
                <w:spacing w:val="1"/>
                <w:shd w:val="solid" w:color="000000" w:fill="000000"/>
                <w:fitText w:val="451" w:id="-1304167664"/>
                <w14:textFill>
                  <w14:solidFill>
                    <w14:srgbClr w14:val="000000">
                      <w14:alpha w14:val="100000"/>
                    </w14:srgbClr>
                  </w14:solidFill>
                </w14:textFill>
              </w:rPr>
              <w:t>|</w:t>
            </w:r>
            <w:r w:rsidRPr="00576299">
              <w:t xml:space="preserve"> (per 500mg vial).</w:t>
            </w:r>
          </w:p>
        </w:tc>
        <w:tc>
          <w:tcPr>
            <w:tcW w:w="3919" w:type="dxa"/>
            <w:vAlign w:val="center"/>
          </w:tcPr>
          <w:p w14:paraId="7248D77C" w14:textId="5391D0DC" w:rsidR="0092254A" w:rsidRPr="00576299" w:rsidRDefault="0092254A" w:rsidP="00C068F2">
            <w:pPr>
              <w:pStyle w:val="Tabletext"/>
            </w:pPr>
            <w:r w:rsidRPr="00576299">
              <w:t xml:space="preserve">Reasonable. Effective price was consistent with the resubmission’s economic model. </w:t>
            </w:r>
            <w:r w:rsidR="002C4087">
              <w:t>The effective price (500 mg vial) was reduced to $</w:t>
            </w:r>
            <w:r w:rsidR="00833009" w:rsidRPr="00833009">
              <w:rPr>
                <w:color w:val="000000"/>
                <w:spacing w:val="39"/>
                <w:shd w:val="solid" w:color="000000" w:fill="000000"/>
                <w:fitText w:val="451" w:id="-1304167680"/>
                <w14:textFill>
                  <w14:solidFill>
                    <w14:srgbClr w14:val="000000">
                      <w14:alpha w14:val="100000"/>
                    </w14:srgbClr>
                  </w14:solidFill>
                </w14:textFill>
              </w:rPr>
              <w:t>|||||</w:t>
            </w:r>
            <w:r w:rsidR="00833009" w:rsidRPr="00833009">
              <w:rPr>
                <w:color w:val="000000"/>
                <w:spacing w:val="1"/>
                <w:shd w:val="solid" w:color="000000" w:fill="000000"/>
                <w:fitText w:val="451" w:id="-1304167680"/>
                <w14:textFill>
                  <w14:solidFill>
                    <w14:srgbClr w14:val="000000">
                      <w14:alpha w14:val="100000"/>
                    </w14:srgbClr>
                  </w14:solidFill>
                </w14:textFill>
              </w:rPr>
              <w:t>|</w:t>
            </w:r>
            <w:r w:rsidR="002C4087">
              <w:t xml:space="preserve"> AEMP ($</w:t>
            </w:r>
            <w:r w:rsidR="00833009" w:rsidRPr="00833009">
              <w:rPr>
                <w:color w:val="000000"/>
                <w:spacing w:val="41"/>
                <w:shd w:val="solid" w:color="000000" w:fill="000000"/>
                <w:fitText w:val="462" w:id="-1304167679"/>
                <w14:textFill>
                  <w14:solidFill>
                    <w14:srgbClr w14:val="000000">
                      <w14:alpha w14:val="100000"/>
                    </w14:srgbClr>
                  </w14:solidFill>
                </w14:textFill>
              </w:rPr>
              <w:t>|||||</w:t>
            </w:r>
            <w:r w:rsidR="00833009" w:rsidRPr="00833009">
              <w:rPr>
                <w:color w:val="000000"/>
                <w:spacing w:val="2"/>
                <w:shd w:val="solid" w:color="000000" w:fill="000000"/>
                <w:fitText w:val="462" w:id="-1304167679"/>
                <w14:textFill>
                  <w14:solidFill>
                    <w14:srgbClr w14:val="000000">
                      <w14:alpha w14:val="100000"/>
                    </w14:srgbClr>
                  </w14:solidFill>
                </w14:textFill>
              </w:rPr>
              <w:t>|</w:t>
            </w:r>
            <w:r w:rsidR="002C4087">
              <w:t xml:space="preserve"> weighted DPMA) in the pre-PBAC response and updated estimates were provided.</w:t>
            </w:r>
          </w:p>
        </w:tc>
      </w:tr>
      <w:tr w:rsidR="0092254A" w:rsidRPr="00576299" w14:paraId="4E792247" w14:textId="77777777" w:rsidTr="00A56E46">
        <w:trPr>
          <w:cantSplit/>
        </w:trPr>
        <w:tc>
          <w:tcPr>
            <w:tcW w:w="0" w:type="auto"/>
            <w:vAlign w:val="center"/>
          </w:tcPr>
          <w:p w14:paraId="0CD94432" w14:textId="77777777" w:rsidR="0092254A" w:rsidRPr="00576299" w:rsidRDefault="0092254A" w:rsidP="00C068F2">
            <w:pPr>
              <w:pStyle w:val="Tabletext"/>
            </w:pPr>
            <w:r w:rsidRPr="00576299">
              <w:t>Chemotherapy</w:t>
            </w:r>
          </w:p>
        </w:tc>
        <w:tc>
          <w:tcPr>
            <w:tcW w:w="3715" w:type="dxa"/>
            <w:vAlign w:val="center"/>
          </w:tcPr>
          <w:p w14:paraId="0619E798" w14:textId="77777777" w:rsidR="0092254A" w:rsidRPr="00576299" w:rsidRDefault="0092254A" w:rsidP="00C068F2">
            <w:pPr>
              <w:pStyle w:val="Tabletext"/>
              <w:rPr>
                <w:b/>
              </w:rPr>
            </w:pPr>
            <w:r w:rsidRPr="00576299">
              <w:rPr>
                <w:b/>
              </w:rPr>
              <w:t xml:space="preserve">Dispensed price: </w:t>
            </w:r>
          </w:p>
          <w:tbl>
            <w:tblPr>
              <w:tblStyle w:val="TableGrid"/>
              <w:tblW w:w="0" w:type="auto"/>
              <w:tblLook w:val="04A0" w:firstRow="1" w:lastRow="0" w:firstColumn="1" w:lastColumn="0" w:noHBand="0" w:noVBand="1"/>
            </w:tblPr>
            <w:tblGrid>
              <w:gridCol w:w="1082"/>
              <w:gridCol w:w="749"/>
              <w:gridCol w:w="763"/>
              <w:gridCol w:w="954"/>
            </w:tblGrid>
            <w:tr w:rsidR="0092254A" w:rsidRPr="00576299" w14:paraId="1BDA8938" w14:textId="77777777" w:rsidTr="00C068F2">
              <w:tc>
                <w:tcPr>
                  <w:tcW w:w="1082" w:type="dxa"/>
                  <w:tcBorders>
                    <w:bottom w:val="single" w:sz="4" w:space="0" w:color="auto"/>
                  </w:tcBorders>
                  <w:shd w:val="clear" w:color="auto" w:fill="auto"/>
                </w:tcPr>
                <w:p w14:paraId="2AD652E4" w14:textId="77777777" w:rsidR="0092254A" w:rsidRPr="00576299" w:rsidRDefault="0092254A" w:rsidP="00C068F2">
                  <w:pPr>
                    <w:pStyle w:val="Tabletext"/>
                  </w:pPr>
                </w:p>
              </w:tc>
              <w:tc>
                <w:tcPr>
                  <w:tcW w:w="968" w:type="dxa"/>
                  <w:tcBorders>
                    <w:bottom w:val="single" w:sz="4" w:space="0" w:color="auto"/>
                  </w:tcBorders>
                  <w:shd w:val="clear" w:color="auto" w:fill="auto"/>
                </w:tcPr>
                <w:p w14:paraId="7B36AFCB" w14:textId="77777777" w:rsidR="0092254A" w:rsidRPr="00576299" w:rsidRDefault="0092254A" w:rsidP="00C068F2">
                  <w:pPr>
                    <w:pStyle w:val="Tabletext"/>
                    <w:jc w:val="center"/>
                    <w:rPr>
                      <w:b/>
                    </w:rPr>
                  </w:pPr>
                  <w:r w:rsidRPr="00576299">
                    <w:rPr>
                      <w:b/>
                    </w:rPr>
                    <w:t>Public</w:t>
                  </w:r>
                </w:p>
              </w:tc>
              <w:tc>
                <w:tcPr>
                  <w:tcW w:w="976" w:type="dxa"/>
                  <w:tcBorders>
                    <w:bottom w:val="single" w:sz="4" w:space="0" w:color="auto"/>
                  </w:tcBorders>
                  <w:shd w:val="clear" w:color="auto" w:fill="auto"/>
                </w:tcPr>
                <w:p w14:paraId="7C02FD12" w14:textId="77777777" w:rsidR="0092254A" w:rsidRPr="00576299" w:rsidRDefault="0092254A" w:rsidP="00C068F2">
                  <w:pPr>
                    <w:pStyle w:val="Tabletext"/>
                    <w:jc w:val="center"/>
                    <w:rPr>
                      <w:b/>
                    </w:rPr>
                  </w:pPr>
                  <w:r w:rsidRPr="00576299">
                    <w:rPr>
                      <w:b/>
                    </w:rPr>
                    <w:t>Private</w:t>
                  </w:r>
                </w:p>
              </w:tc>
              <w:tc>
                <w:tcPr>
                  <w:tcW w:w="1000" w:type="dxa"/>
                  <w:tcBorders>
                    <w:bottom w:val="single" w:sz="4" w:space="0" w:color="auto"/>
                  </w:tcBorders>
                  <w:shd w:val="clear" w:color="auto" w:fill="auto"/>
                </w:tcPr>
                <w:p w14:paraId="19B3A556" w14:textId="77777777" w:rsidR="0092254A" w:rsidRPr="00576299" w:rsidRDefault="0092254A" w:rsidP="00C068F2">
                  <w:pPr>
                    <w:pStyle w:val="Tabletext"/>
                    <w:jc w:val="center"/>
                    <w:rPr>
                      <w:b/>
                    </w:rPr>
                  </w:pPr>
                  <w:r w:rsidRPr="00576299">
                    <w:rPr>
                      <w:b/>
                    </w:rPr>
                    <w:t>Weighted</w:t>
                  </w:r>
                </w:p>
              </w:tc>
            </w:tr>
            <w:tr w:rsidR="0092254A" w:rsidRPr="00576299" w14:paraId="41640B7B" w14:textId="77777777" w:rsidTr="00C068F2">
              <w:tc>
                <w:tcPr>
                  <w:tcW w:w="1082" w:type="dxa"/>
                  <w:tcBorders>
                    <w:top w:val="single" w:sz="4" w:space="0" w:color="auto"/>
                  </w:tcBorders>
                  <w:shd w:val="clear" w:color="auto" w:fill="auto"/>
                </w:tcPr>
                <w:p w14:paraId="29CEECEE" w14:textId="77777777" w:rsidR="0092254A" w:rsidRPr="00576299" w:rsidRDefault="0092254A" w:rsidP="00C068F2">
                  <w:pPr>
                    <w:pStyle w:val="Tabletext"/>
                  </w:pPr>
                  <w:r w:rsidRPr="00576299">
                    <w:t>Doxorubicin</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02643A29" w14:textId="16065839" w:rsidR="0092254A" w:rsidRPr="00576299" w:rsidRDefault="0092254A" w:rsidP="00C068F2">
                  <w:pPr>
                    <w:pStyle w:val="Tabletext"/>
                    <w:jc w:val="center"/>
                  </w:pPr>
                  <w:r w:rsidRPr="00576299">
                    <w:t>$</w:t>
                  </w:r>
                  <w:r w:rsidR="00833009" w:rsidRPr="00833009">
                    <w:rPr>
                      <w:color w:val="000000"/>
                      <w:spacing w:val="37"/>
                      <w:shd w:val="solid" w:color="000000" w:fill="000000"/>
                      <w:fitText w:val="441" w:id="-1304167678"/>
                      <w14:textFill>
                        <w14:solidFill>
                          <w14:srgbClr w14:val="000000">
                            <w14:alpha w14:val="100000"/>
                          </w14:srgbClr>
                        </w14:solidFill>
                      </w14:textFill>
                    </w:rPr>
                    <w:t>|||||</w:t>
                  </w:r>
                  <w:r w:rsidR="00833009" w:rsidRPr="00833009">
                    <w:rPr>
                      <w:color w:val="000000"/>
                      <w:spacing w:val="1"/>
                      <w:shd w:val="solid" w:color="000000" w:fill="000000"/>
                      <w:fitText w:val="441" w:id="-1304167678"/>
                      <w14:textFill>
                        <w14:solidFill>
                          <w14:srgbClr w14:val="000000">
                            <w14:alpha w14:val="100000"/>
                          </w14:srgbClr>
                        </w14:solidFill>
                      </w14:textFill>
                    </w:rPr>
                    <w:t>|</w:t>
                  </w:r>
                </w:p>
              </w:tc>
              <w:tc>
                <w:tcPr>
                  <w:tcW w:w="976" w:type="dxa"/>
                  <w:tcBorders>
                    <w:top w:val="single" w:sz="4" w:space="0" w:color="auto"/>
                    <w:left w:val="nil"/>
                    <w:bottom w:val="single" w:sz="4" w:space="0" w:color="auto"/>
                    <w:right w:val="single" w:sz="4" w:space="0" w:color="auto"/>
                  </w:tcBorders>
                  <w:shd w:val="clear" w:color="auto" w:fill="auto"/>
                  <w:vAlign w:val="center"/>
                </w:tcPr>
                <w:p w14:paraId="5A17E63F" w14:textId="538E2867" w:rsidR="0092254A" w:rsidRPr="00576299" w:rsidRDefault="0092254A" w:rsidP="00C068F2">
                  <w:pPr>
                    <w:pStyle w:val="Tabletext"/>
                    <w:jc w:val="center"/>
                  </w:pPr>
                  <w:r w:rsidRPr="00576299">
                    <w:t>$</w:t>
                  </w:r>
                  <w:r w:rsidR="00833009" w:rsidRPr="00833009">
                    <w:rPr>
                      <w:color w:val="000000"/>
                      <w:spacing w:val="37"/>
                      <w:shd w:val="solid" w:color="000000" w:fill="000000"/>
                      <w:fitText w:val="441" w:id="-1304167677"/>
                      <w14:textFill>
                        <w14:solidFill>
                          <w14:srgbClr w14:val="000000">
                            <w14:alpha w14:val="100000"/>
                          </w14:srgbClr>
                        </w14:solidFill>
                      </w14:textFill>
                    </w:rPr>
                    <w:t>|||||</w:t>
                  </w:r>
                  <w:r w:rsidR="00833009" w:rsidRPr="00833009">
                    <w:rPr>
                      <w:color w:val="000000"/>
                      <w:spacing w:val="1"/>
                      <w:shd w:val="solid" w:color="000000" w:fill="000000"/>
                      <w:fitText w:val="441" w:id="-1304167677"/>
                      <w14:textFill>
                        <w14:solidFill>
                          <w14:srgbClr w14:val="000000">
                            <w14:alpha w14:val="100000"/>
                          </w14:srgbClr>
                        </w14:solidFill>
                      </w14:textFill>
                    </w:rPr>
                    <w:t>|</w:t>
                  </w:r>
                </w:p>
              </w:tc>
              <w:tc>
                <w:tcPr>
                  <w:tcW w:w="1000" w:type="dxa"/>
                  <w:tcBorders>
                    <w:top w:val="single" w:sz="4" w:space="0" w:color="auto"/>
                    <w:left w:val="nil"/>
                    <w:bottom w:val="single" w:sz="4" w:space="0" w:color="auto"/>
                    <w:right w:val="single" w:sz="4" w:space="0" w:color="auto"/>
                  </w:tcBorders>
                  <w:shd w:val="clear" w:color="auto" w:fill="auto"/>
                  <w:vAlign w:val="center"/>
                </w:tcPr>
                <w:p w14:paraId="61E8F74C" w14:textId="09A85AD8" w:rsidR="0092254A" w:rsidRPr="00576299" w:rsidRDefault="0092254A" w:rsidP="00C068F2">
                  <w:pPr>
                    <w:pStyle w:val="Tabletext"/>
                    <w:jc w:val="center"/>
                  </w:pPr>
                  <w:r w:rsidRPr="00576299">
                    <w:t>$</w:t>
                  </w:r>
                  <w:r w:rsidR="00833009" w:rsidRPr="00833009">
                    <w:rPr>
                      <w:color w:val="000000"/>
                      <w:spacing w:val="75"/>
                      <w:shd w:val="solid" w:color="000000" w:fill="000000"/>
                      <w:fitText w:val="398" w:id="-1304167676"/>
                      <w14:textFill>
                        <w14:solidFill>
                          <w14:srgbClr w14:val="000000">
                            <w14:alpha w14:val="100000"/>
                          </w14:srgbClr>
                        </w14:solidFill>
                      </w14:textFill>
                    </w:rPr>
                    <w:t>|||</w:t>
                  </w:r>
                  <w:r w:rsidR="00833009" w:rsidRPr="00833009">
                    <w:rPr>
                      <w:color w:val="000000"/>
                      <w:spacing w:val="3"/>
                      <w:shd w:val="solid" w:color="000000" w:fill="000000"/>
                      <w:fitText w:val="398" w:id="-1304167676"/>
                      <w14:textFill>
                        <w14:solidFill>
                          <w14:srgbClr w14:val="000000">
                            <w14:alpha w14:val="100000"/>
                          </w14:srgbClr>
                        </w14:solidFill>
                      </w14:textFill>
                    </w:rPr>
                    <w:t>|</w:t>
                  </w:r>
                </w:p>
              </w:tc>
            </w:tr>
            <w:tr w:rsidR="0092254A" w:rsidRPr="00576299" w14:paraId="37FDE4B6" w14:textId="77777777" w:rsidTr="00C068F2">
              <w:tc>
                <w:tcPr>
                  <w:tcW w:w="1082" w:type="dxa"/>
                  <w:tcBorders>
                    <w:top w:val="single" w:sz="4" w:space="0" w:color="auto"/>
                    <w:bottom w:val="single" w:sz="4" w:space="0" w:color="auto"/>
                  </w:tcBorders>
                  <w:shd w:val="clear" w:color="auto" w:fill="auto"/>
                </w:tcPr>
                <w:p w14:paraId="3619449A" w14:textId="77777777" w:rsidR="0092254A" w:rsidRPr="00576299" w:rsidRDefault="0092254A" w:rsidP="00C068F2">
                  <w:pPr>
                    <w:pStyle w:val="Tabletext"/>
                  </w:pPr>
                  <w:r w:rsidRPr="00576299">
                    <w:t>Paclitaxel</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02699666" w14:textId="785DF166" w:rsidR="0092254A" w:rsidRPr="00576299" w:rsidRDefault="0092254A" w:rsidP="00C068F2">
                  <w:pPr>
                    <w:pStyle w:val="Tabletext"/>
                    <w:jc w:val="center"/>
                  </w:pPr>
                  <w:r w:rsidRPr="00576299">
                    <w:t>$</w:t>
                  </w:r>
                  <w:r w:rsidR="00833009" w:rsidRPr="00833009">
                    <w:rPr>
                      <w:color w:val="000000"/>
                      <w:spacing w:val="37"/>
                      <w:shd w:val="solid" w:color="000000" w:fill="000000"/>
                      <w:fitText w:val="441" w:id="-1304167675"/>
                      <w14:textFill>
                        <w14:solidFill>
                          <w14:srgbClr w14:val="000000">
                            <w14:alpha w14:val="100000"/>
                          </w14:srgbClr>
                        </w14:solidFill>
                      </w14:textFill>
                    </w:rPr>
                    <w:t>|||||</w:t>
                  </w:r>
                  <w:r w:rsidR="00833009" w:rsidRPr="00833009">
                    <w:rPr>
                      <w:color w:val="000000"/>
                      <w:spacing w:val="1"/>
                      <w:shd w:val="solid" w:color="000000" w:fill="000000"/>
                      <w:fitText w:val="441" w:id="-1304167675"/>
                      <w14:textFill>
                        <w14:solidFill>
                          <w14:srgbClr w14:val="000000">
                            <w14:alpha w14:val="100000"/>
                          </w14:srgbClr>
                        </w14:solidFill>
                      </w14:textFill>
                    </w:rPr>
                    <w:t>|</w:t>
                  </w:r>
                </w:p>
              </w:tc>
              <w:tc>
                <w:tcPr>
                  <w:tcW w:w="976" w:type="dxa"/>
                  <w:tcBorders>
                    <w:top w:val="single" w:sz="4" w:space="0" w:color="auto"/>
                    <w:left w:val="nil"/>
                    <w:bottom w:val="single" w:sz="4" w:space="0" w:color="auto"/>
                    <w:right w:val="single" w:sz="4" w:space="0" w:color="auto"/>
                  </w:tcBorders>
                  <w:shd w:val="clear" w:color="auto" w:fill="auto"/>
                  <w:vAlign w:val="center"/>
                </w:tcPr>
                <w:p w14:paraId="27BB815A" w14:textId="47117DE2" w:rsidR="0092254A" w:rsidRPr="00576299" w:rsidRDefault="0092254A" w:rsidP="00C068F2">
                  <w:pPr>
                    <w:pStyle w:val="Tabletext"/>
                    <w:jc w:val="center"/>
                  </w:pPr>
                  <w:r w:rsidRPr="00576299">
                    <w:t>$</w:t>
                  </w:r>
                  <w:r w:rsidR="00833009" w:rsidRPr="00833009">
                    <w:rPr>
                      <w:color w:val="000000"/>
                      <w:spacing w:val="37"/>
                      <w:shd w:val="solid" w:color="000000" w:fill="000000"/>
                      <w:fitText w:val="441" w:id="-1304167674"/>
                      <w14:textFill>
                        <w14:solidFill>
                          <w14:srgbClr w14:val="000000">
                            <w14:alpha w14:val="100000"/>
                          </w14:srgbClr>
                        </w14:solidFill>
                      </w14:textFill>
                    </w:rPr>
                    <w:t>|||||</w:t>
                  </w:r>
                  <w:r w:rsidR="00833009" w:rsidRPr="00833009">
                    <w:rPr>
                      <w:color w:val="000000"/>
                      <w:spacing w:val="1"/>
                      <w:shd w:val="solid" w:color="000000" w:fill="000000"/>
                      <w:fitText w:val="441" w:id="-1304167674"/>
                      <w14:textFill>
                        <w14:solidFill>
                          <w14:srgbClr w14:val="000000">
                            <w14:alpha w14:val="100000"/>
                          </w14:srgbClr>
                        </w14:solidFill>
                      </w14:textFill>
                    </w:rPr>
                    <w:t>|</w:t>
                  </w:r>
                </w:p>
              </w:tc>
              <w:tc>
                <w:tcPr>
                  <w:tcW w:w="1000" w:type="dxa"/>
                  <w:tcBorders>
                    <w:top w:val="single" w:sz="4" w:space="0" w:color="auto"/>
                    <w:left w:val="nil"/>
                    <w:bottom w:val="single" w:sz="4" w:space="0" w:color="auto"/>
                    <w:right w:val="single" w:sz="4" w:space="0" w:color="auto"/>
                  </w:tcBorders>
                  <w:shd w:val="clear" w:color="auto" w:fill="auto"/>
                  <w:vAlign w:val="center"/>
                </w:tcPr>
                <w:p w14:paraId="5F5E194F" w14:textId="36051632" w:rsidR="0092254A" w:rsidRPr="00576299" w:rsidRDefault="0092254A" w:rsidP="00C068F2">
                  <w:pPr>
                    <w:pStyle w:val="Tabletext"/>
                    <w:jc w:val="center"/>
                  </w:pPr>
                  <w:r w:rsidRPr="00576299">
                    <w:t>$</w:t>
                  </w:r>
                  <w:r w:rsidR="00833009" w:rsidRPr="00833009">
                    <w:rPr>
                      <w:color w:val="000000"/>
                      <w:spacing w:val="75"/>
                      <w:shd w:val="solid" w:color="000000" w:fill="000000"/>
                      <w:fitText w:val="398" w:id="-1304167673"/>
                      <w14:textFill>
                        <w14:solidFill>
                          <w14:srgbClr w14:val="000000">
                            <w14:alpha w14:val="100000"/>
                          </w14:srgbClr>
                        </w14:solidFill>
                      </w14:textFill>
                    </w:rPr>
                    <w:t>|||</w:t>
                  </w:r>
                  <w:r w:rsidR="00833009" w:rsidRPr="00833009">
                    <w:rPr>
                      <w:color w:val="000000"/>
                      <w:spacing w:val="3"/>
                      <w:shd w:val="solid" w:color="000000" w:fill="000000"/>
                      <w:fitText w:val="398" w:id="-1304167673"/>
                      <w14:textFill>
                        <w14:solidFill>
                          <w14:srgbClr w14:val="000000">
                            <w14:alpha w14:val="100000"/>
                          </w14:srgbClr>
                        </w14:solidFill>
                      </w14:textFill>
                    </w:rPr>
                    <w:t>|</w:t>
                  </w:r>
                </w:p>
              </w:tc>
            </w:tr>
            <w:tr w:rsidR="0092254A" w:rsidRPr="00576299" w14:paraId="0455E6D9" w14:textId="77777777" w:rsidTr="00C068F2">
              <w:tc>
                <w:tcPr>
                  <w:tcW w:w="1082" w:type="dxa"/>
                  <w:tcBorders>
                    <w:top w:val="single" w:sz="4" w:space="0" w:color="auto"/>
                  </w:tcBorders>
                  <w:shd w:val="clear" w:color="auto" w:fill="auto"/>
                </w:tcPr>
                <w:p w14:paraId="223BDB02" w14:textId="77777777" w:rsidR="0092254A" w:rsidRPr="00576299" w:rsidRDefault="0092254A" w:rsidP="00C068F2">
                  <w:pPr>
                    <w:pStyle w:val="Tabletext"/>
                  </w:pPr>
                  <w:r w:rsidRPr="00576299">
                    <w:t>Carboplatin</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14:paraId="6D4D9ABD" w14:textId="421FA99C" w:rsidR="0092254A" w:rsidRPr="00576299" w:rsidRDefault="0092254A" w:rsidP="00C068F2">
                  <w:pPr>
                    <w:pStyle w:val="Tabletext"/>
                    <w:jc w:val="center"/>
                  </w:pPr>
                  <w:r w:rsidRPr="00576299">
                    <w:t>$</w:t>
                  </w:r>
                  <w:r w:rsidR="00833009" w:rsidRPr="00833009">
                    <w:rPr>
                      <w:color w:val="000000"/>
                      <w:spacing w:val="37"/>
                      <w:shd w:val="solid" w:color="000000" w:fill="000000"/>
                      <w:fitText w:val="441" w:id="-1304167672"/>
                      <w14:textFill>
                        <w14:solidFill>
                          <w14:srgbClr w14:val="000000">
                            <w14:alpha w14:val="100000"/>
                          </w14:srgbClr>
                        </w14:solidFill>
                      </w14:textFill>
                    </w:rPr>
                    <w:t>|||||</w:t>
                  </w:r>
                  <w:r w:rsidR="00833009" w:rsidRPr="00833009">
                    <w:rPr>
                      <w:color w:val="000000"/>
                      <w:spacing w:val="1"/>
                      <w:shd w:val="solid" w:color="000000" w:fill="000000"/>
                      <w:fitText w:val="441" w:id="-1304167672"/>
                      <w14:textFill>
                        <w14:solidFill>
                          <w14:srgbClr w14:val="000000">
                            <w14:alpha w14:val="100000"/>
                          </w14:srgbClr>
                        </w14:solidFill>
                      </w14:textFill>
                    </w:rPr>
                    <w:t>|</w:t>
                  </w:r>
                </w:p>
              </w:tc>
              <w:tc>
                <w:tcPr>
                  <w:tcW w:w="976" w:type="dxa"/>
                  <w:tcBorders>
                    <w:top w:val="single" w:sz="4" w:space="0" w:color="auto"/>
                    <w:left w:val="nil"/>
                    <w:bottom w:val="single" w:sz="4" w:space="0" w:color="auto"/>
                    <w:right w:val="single" w:sz="4" w:space="0" w:color="auto"/>
                  </w:tcBorders>
                  <w:shd w:val="clear" w:color="auto" w:fill="auto"/>
                  <w:vAlign w:val="center"/>
                </w:tcPr>
                <w:p w14:paraId="55363BA5" w14:textId="343C6C2F" w:rsidR="0092254A" w:rsidRPr="00576299" w:rsidRDefault="0092254A" w:rsidP="00C068F2">
                  <w:pPr>
                    <w:pStyle w:val="Tabletext"/>
                    <w:jc w:val="center"/>
                  </w:pPr>
                  <w:r w:rsidRPr="00576299">
                    <w:t>$</w:t>
                  </w:r>
                  <w:r w:rsidR="00833009" w:rsidRPr="00833009">
                    <w:rPr>
                      <w:color w:val="000000"/>
                      <w:spacing w:val="37"/>
                      <w:shd w:val="solid" w:color="000000" w:fill="000000"/>
                      <w:fitText w:val="441" w:id="-1304167671"/>
                      <w14:textFill>
                        <w14:solidFill>
                          <w14:srgbClr w14:val="000000">
                            <w14:alpha w14:val="100000"/>
                          </w14:srgbClr>
                        </w14:solidFill>
                      </w14:textFill>
                    </w:rPr>
                    <w:t>|||||</w:t>
                  </w:r>
                  <w:r w:rsidR="00833009" w:rsidRPr="00833009">
                    <w:rPr>
                      <w:color w:val="000000"/>
                      <w:spacing w:val="1"/>
                      <w:shd w:val="solid" w:color="000000" w:fill="000000"/>
                      <w:fitText w:val="441" w:id="-1304167671"/>
                      <w14:textFill>
                        <w14:solidFill>
                          <w14:srgbClr w14:val="000000">
                            <w14:alpha w14:val="100000"/>
                          </w14:srgbClr>
                        </w14:solidFill>
                      </w14:textFill>
                    </w:rPr>
                    <w:t>|</w:t>
                  </w:r>
                </w:p>
              </w:tc>
              <w:tc>
                <w:tcPr>
                  <w:tcW w:w="1000" w:type="dxa"/>
                  <w:tcBorders>
                    <w:top w:val="single" w:sz="4" w:space="0" w:color="auto"/>
                    <w:left w:val="nil"/>
                    <w:bottom w:val="single" w:sz="4" w:space="0" w:color="auto"/>
                    <w:right w:val="single" w:sz="4" w:space="0" w:color="auto"/>
                  </w:tcBorders>
                  <w:shd w:val="clear" w:color="auto" w:fill="auto"/>
                  <w:vAlign w:val="center"/>
                </w:tcPr>
                <w:p w14:paraId="1C9B13DE" w14:textId="2D93E2B4" w:rsidR="0092254A" w:rsidRPr="00576299" w:rsidRDefault="0092254A" w:rsidP="00C068F2">
                  <w:pPr>
                    <w:pStyle w:val="Tabletext"/>
                    <w:jc w:val="center"/>
                  </w:pPr>
                  <w:r w:rsidRPr="00576299">
                    <w:t>$</w:t>
                  </w:r>
                  <w:r w:rsidR="00833009" w:rsidRPr="00833009">
                    <w:rPr>
                      <w:color w:val="000000"/>
                      <w:spacing w:val="75"/>
                      <w:shd w:val="solid" w:color="000000" w:fill="000000"/>
                      <w:fitText w:val="398" w:id="-1304167670"/>
                      <w14:textFill>
                        <w14:solidFill>
                          <w14:srgbClr w14:val="000000">
                            <w14:alpha w14:val="100000"/>
                          </w14:srgbClr>
                        </w14:solidFill>
                      </w14:textFill>
                    </w:rPr>
                    <w:t>|||</w:t>
                  </w:r>
                  <w:r w:rsidR="00833009" w:rsidRPr="00833009">
                    <w:rPr>
                      <w:color w:val="000000"/>
                      <w:spacing w:val="3"/>
                      <w:shd w:val="solid" w:color="000000" w:fill="000000"/>
                      <w:fitText w:val="398" w:id="-1304167670"/>
                      <w14:textFill>
                        <w14:solidFill>
                          <w14:srgbClr w14:val="000000">
                            <w14:alpha w14:val="100000"/>
                          </w14:srgbClr>
                        </w14:solidFill>
                      </w14:textFill>
                    </w:rPr>
                    <w:t>|</w:t>
                  </w:r>
                </w:p>
              </w:tc>
            </w:tr>
          </w:tbl>
          <w:p w14:paraId="55EBFED4" w14:textId="77FF4279" w:rsidR="0092254A" w:rsidRPr="00576299" w:rsidRDefault="0092254A" w:rsidP="00C068F2">
            <w:pPr>
              <w:pStyle w:val="Tabletext"/>
            </w:pPr>
            <w:r w:rsidRPr="00576299">
              <w:t xml:space="preserve">Source: PBS items 7222D and 4309T; 4361M and 7229L; 4567J and 7254T. </w:t>
            </w:r>
          </w:p>
        </w:tc>
        <w:tc>
          <w:tcPr>
            <w:tcW w:w="3919" w:type="dxa"/>
            <w:vAlign w:val="center"/>
          </w:tcPr>
          <w:p w14:paraId="599BF0FE" w14:textId="5427D18A" w:rsidR="0092254A" w:rsidRPr="00576299" w:rsidRDefault="0092254A" w:rsidP="00C068F2">
            <w:pPr>
              <w:pStyle w:val="Tabletext"/>
            </w:pPr>
            <w:r w:rsidRPr="00576299">
              <w:t>Reasonable. This was consistent with the prices and dosing used in the resubmission’s economic model</w:t>
            </w:r>
            <w:r w:rsidR="00AE5AB8" w:rsidRPr="00576299">
              <w:t>.</w:t>
            </w:r>
          </w:p>
        </w:tc>
      </w:tr>
      <w:tr w:rsidR="0092254A" w:rsidRPr="00576299" w14:paraId="2E2AE31A" w14:textId="77777777" w:rsidTr="00A56E46">
        <w:trPr>
          <w:cantSplit/>
        </w:trPr>
        <w:tc>
          <w:tcPr>
            <w:tcW w:w="0" w:type="auto"/>
            <w:vAlign w:val="center"/>
          </w:tcPr>
          <w:p w14:paraId="55565CA8" w14:textId="77777777" w:rsidR="0092254A" w:rsidRPr="00576299" w:rsidRDefault="0092254A" w:rsidP="00C068F2">
            <w:pPr>
              <w:pStyle w:val="Tabletext"/>
            </w:pPr>
            <w:r w:rsidRPr="00576299">
              <w:t xml:space="preserve">Infusion costs </w:t>
            </w:r>
          </w:p>
        </w:tc>
        <w:tc>
          <w:tcPr>
            <w:tcW w:w="3715" w:type="dxa"/>
            <w:vAlign w:val="center"/>
          </w:tcPr>
          <w:p w14:paraId="6D2D6D79" w14:textId="169E6EAE" w:rsidR="0092254A" w:rsidRPr="00576299" w:rsidRDefault="0092254A" w:rsidP="00C068F2">
            <w:pPr>
              <w:pStyle w:val="Tabletext"/>
            </w:pPr>
            <w:r w:rsidRPr="00576299">
              <w:t>$</w:t>
            </w:r>
            <w:r w:rsidR="00A46FA2" w:rsidRPr="00576299">
              <w:t>114.20</w:t>
            </w:r>
            <w:r w:rsidRPr="00576299">
              <w:t xml:space="preserve"> (MBS rebate rate of 80% used) was applied per script per patient. </w:t>
            </w:r>
          </w:p>
          <w:p w14:paraId="02CDB000" w14:textId="5708D0FE" w:rsidR="0092254A" w:rsidRPr="00576299" w:rsidRDefault="0092254A" w:rsidP="00C068F2">
            <w:pPr>
              <w:pStyle w:val="Tabletext"/>
            </w:pPr>
            <w:r w:rsidRPr="00576299">
              <w:t>Source: MBS item 13950</w:t>
            </w:r>
          </w:p>
        </w:tc>
        <w:tc>
          <w:tcPr>
            <w:tcW w:w="3919" w:type="dxa"/>
            <w:vAlign w:val="center"/>
          </w:tcPr>
          <w:p w14:paraId="27E598FD" w14:textId="5763DF4A" w:rsidR="0092254A" w:rsidRPr="00576299" w:rsidRDefault="0092254A" w:rsidP="00C068F2">
            <w:pPr>
              <w:pStyle w:val="Tabletext"/>
            </w:pPr>
            <w:r w:rsidRPr="00576299">
              <w:t>Appropriate</w:t>
            </w:r>
            <w:r w:rsidR="006B33AF" w:rsidRPr="00576299">
              <w:t>.</w:t>
            </w:r>
            <w:r w:rsidRPr="00576299">
              <w:t xml:space="preserve"> </w:t>
            </w:r>
          </w:p>
        </w:tc>
      </w:tr>
    </w:tbl>
    <w:p w14:paraId="6FFE4FD1" w14:textId="77777777" w:rsidR="0092254A" w:rsidRPr="00576299" w:rsidRDefault="0092254A" w:rsidP="0092254A">
      <w:pPr>
        <w:pStyle w:val="TableFooter"/>
      </w:pPr>
      <w:r w:rsidRPr="00576299">
        <w:t xml:space="preserve">Source: Table 135 and 136, p264-268 the resubmission. </w:t>
      </w:r>
    </w:p>
    <w:p w14:paraId="0A48E776" w14:textId="170BCD1E" w:rsidR="0092254A" w:rsidRPr="00576299" w:rsidRDefault="0092254A" w:rsidP="0092254A">
      <w:pPr>
        <w:pStyle w:val="TableFooter"/>
      </w:pPr>
      <w:r w:rsidRPr="00576299">
        <w:t>1L = first-line; AEMP = approved ex-manufacturer price; AIHW = Australian Institute of Health and Welfare; CUA = cost utility analysis; dMMR = mismatch repair deficient; DUSC = drug utilisation subcommittee; ECOG = Eastern Cooperative Oncology Group; GF = grandfathered; IHC = immunohistochemistry mismatch repair; MBS = Medicare Benefits Schedule; NZ = New Zealand; OS = overall survival; PBC = platinum-based chemotherapy; PBS = Pharmaceutical Benefits Scheme; PD = progressed disease; PFS = progression-free survival; RPBS = Repatriation Pharmaceutical Benefits Scheme; RWE = real-world evidence</w:t>
      </w:r>
      <w:r w:rsidR="00A847B2" w:rsidRPr="00576299">
        <w:t>.</w:t>
      </w:r>
    </w:p>
    <w:p w14:paraId="35A903F4" w14:textId="1861A8F0" w:rsidR="0092254A" w:rsidRDefault="0092254A" w:rsidP="00BE1F1C">
      <w:pPr>
        <w:pStyle w:val="TableFooter"/>
      </w:pPr>
      <w:r w:rsidRPr="00576299">
        <w:t>a Either as single agent or as part of combination</w:t>
      </w:r>
    </w:p>
    <w:p w14:paraId="6A7652FC" w14:textId="77777777" w:rsidR="00BE1F1C" w:rsidRPr="009A6D58" w:rsidRDefault="00BE1F1C" w:rsidP="00BE1F1C">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759AC82A" w14:textId="58093940" w:rsidR="00BE1F1C" w:rsidRPr="007D374F" w:rsidRDefault="00BE1F1C" w:rsidP="007D374F">
      <w:pPr>
        <w:pStyle w:val="TableFooter"/>
        <w:rPr>
          <w:i/>
          <w:iCs/>
        </w:rPr>
      </w:pPr>
      <w:r w:rsidRPr="007D374F">
        <w:rPr>
          <w:i/>
          <w:iCs/>
          <w:vertAlign w:val="superscript"/>
        </w:rPr>
        <w:t>1</w:t>
      </w:r>
      <w:r w:rsidRPr="007D374F">
        <w:rPr>
          <w:i/>
          <w:iCs/>
        </w:rPr>
        <w:t xml:space="preserve"> &lt; 500</w:t>
      </w:r>
    </w:p>
    <w:p w14:paraId="74E62BDB" w14:textId="6359F188" w:rsidR="007D374F" w:rsidRPr="007D374F" w:rsidRDefault="007D374F" w:rsidP="007D374F">
      <w:pPr>
        <w:pStyle w:val="TableFooter"/>
        <w:rPr>
          <w:i/>
          <w:iCs/>
        </w:rPr>
      </w:pPr>
      <w:r w:rsidRPr="007D374F">
        <w:rPr>
          <w:i/>
          <w:iCs/>
        </w:rPr>
        <w:t>* Note that the assumed mean duration of treatment was provided for the purposes of informing the PBAC consideration. Interpretation of the results and their application should therefore be limited to seeking to understand the basis for the PBAC outcome and should not be used for any other purpose.</w:t>
      </w:r>
    </w:p>
    <w:p w14:paraId="300976D7" w14:textId="5D8CA7B7" w:rsidR="0092254A" w:rsidRPr="00576299" w:rsidRDefault="0092254A" w:rsidP="0092254A">
      <w:pPr>
        <w:pStyle w:val="3-BodyText"/>
      </w:pPr>
      <w:r w:rsidRPr="00576299">
        <w:t xml:space="preserve">The estimated financial impact of PBS listing dostarlimab is summarised in </w:t>
      </w:r>
      <w:r w:rsidRPr="00576299">
        <w:fldChar w:fldCharType="begin"/>
      </w:r>
      <w:r w:rsidRPr="00576299">
        <w:instrText xml:space="preserve"> REF _Ref111460495 \h </w:instrText>
      </w:r>
      <w:r w:rsidRPr="00576299">
        <w:fldChar w:fldCharType="separate"/>
      </w:r>
      <w:r w:rsidR="00CD09E9" w:rsidRPr="00576299">
        <w:t xml:space="preserve">Table </w:t>
      </w:r>
      <w:r w:rsidR="00CD09E9">
        <w:rPr>
          <w:noProof/>
        </w:rPr>
        <w:t>24</w:t>
      </w:r>
      <w:r w:rsidRPr="00576299">
        <w:fldChar w:fldCharType="end"/>
      </w:r>
      <w:r w:rsidRPr="00576299">
        <w:t>.</w:t>
      </w:r>
    </w:p>
    <w:p w14:paraId="7620EFB7" w14:textId="4C3123E8" w:rsidR="0092254A" w:rsidRPr="00576299" w:rsidRDefault="0092254A" w:rsidP="0092254A">
      <w:pPr>
        <w:pStyle w:val="Caption"/>
        <w:rPr>
          <w:rStyle w:val="CommentReference"/>
          <w:b/>
          <w:szCs w:val="18"/>
        </w:rPr>
      </w:pPr>
      <w:bookmarkStart w:id="78" w:name="_Ref111460495"/>
      <w:r w:rsidRPr="00576299">
        <w:t xml:space="preserve">Table </w:t>
      </w:r>
      <w:fldSimple w:instr=" SEQ Table \* ARABIC ">
        <w:r w:rsidR="00CD09E9">
          <w:rPr>
            <w:noProof/>
          </w:rPr>
          <w:t>24</w:t>
        </w:r>
      </w:fldSimple>
      <w:bookmarkEnd w:id="78"/>
      <w:r w:rsidRPr="00576299">
        <w:rPr>
          <w:rStyle w:val="CommentReference"/>
          <w:b/>
          <w:szCs w:val="18"/>
        </w:rPr>
        <w:t>: Estimated net financial implications of the proposed dostarlimab listing</w:t>
      </w:r>
    </w:p>
    <w:tbl>
      <w:tblPr>
        <w:tblW w:w="908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85"/>
        <w:gridCol w:w="1134"/>
        <w:gridCol w:w="992"/>
        <w:gridCol w:w="992"/>
        <w:gridCol w:w="992"/>
        <w:gridCol w:w="992"/>
        <w:gridCol w:w="993"/>
      </w:tblGrid>
      <w:tr w:rsidR="0092254A" w:rsidRPr="00576299" w14:paraId="71A23A95" w14:textId="77777777" w:rsidTr="00B765C2">
        <w:trPr>
          <w:tblHeader/>
        </w:trPr>
        <w:tc>
          <w:tcPr>
            <w:tcW w:w="2985" w:type="dxa"/>
            <w:shd w:val="clear" w:color="auto" w:fill="auto"/>
            <w:vAlign w:val="center"/>
          </w:tcPr>
          <w:p w14:paraId="689948F9" w14:textId="77777777" w:rsidR="0092254A" w:rsidRPr="00576299" w:rsidRDefault="0092254A" w:rsidP="00C068F2">
            <w:pPr>
              <w:pStyle w:val="Tabletext"/>
              <w:keepNext/>
              <w:keepLines/>
              <w:rPr>
                <w:rStyle w:val="CommentReference"/>
              </w:rPr>
            </w:pPr>
          </w:p>
        </w:tc>
        <w:tc>
          <w:tcPr>
            <w:tcW w:w="1134" w:type="dxa"/>
            <w:shd w:val="clear" w:color="auto" w:fill="auto"/>
            <w:vAlign w:val="center"/>
          </w:tcPr>
          <w:p w14:paraId="5B915E49" w14:textId="77777777" w:rsidR="0092254A" w:rsidRPr="00576299" w:rsidRDefault="0092254A" w:rsidP="00C068F2">
            <w:pPr>
              <w:pStyle w:val="Tabletext"/>
              <w:keepNext/>
              <w:keepLines/>
              <w:jc w:val="center"/>
              <w:rPr>
                <w:rStyle w:val="CommentReference"/>
              </w:rPr>
            </w:pPr>
            <w:r w:rsidRPr="00576299">
              <w:rPr>
                <w:rStyle w:val="CommentReference"/>
              </w:rPr>
              <w:t>Year 1</w:t>
            </w:r>
          </w:p>
        </w:tc>
        <w:tc>
          <w:tcPr>
            <w:tcW w:w="992" w:type="dxa"/>
            <w:shd w:val="clear" w:color="auto" w:fill="auto"/>
            <w:vAlign w:val="center"/>
          </w:tcPr>
          <w:p w14:paraId="72DAEA96" w14:textId="77777777" w:rsidR="0092254A" w:rsidRPr="00576299" w:rsidRDefault="0092254A" w:rsidP="00C068F2">
            <w:pPr>
              <w:pStyle w:val="Tabletext"/>
              <w:keepNext/>
              <w:keepLines/>
              <w:jc w:val="center"/>
              <w:rPr>
                <w:rStyle w:val="CommentReference"/>
              </w:rPr>
            </w:pPr>
            <w:r w:rsidRPr="00576299">
              <w:rPr>
                <w:rStyle w:val="CommentReference"/>
              </w:rPr>
              <w:t>Year 2</w:t>
            </w:r>
          </w:p>
        </w:tc>
        <w:tc>
          <w:tcPr>
            <w:tcW w:w="992" w:type="dxa"/>
            <w:shd w:val="clear" w:color="auto" w:fill="auto"/>
            <w:vAlign w:val="center"/>
          </w:tcPr>
          <w:p w14:paraId="5366750D" w14:textId="77777777" w:rsidR="0092254A" w:rsidRPr="00576299" w:rsidRDefault="0092254A" w:rsidP="00C068F2">
            <w:pPr>
              <w:pStyle w:val="Tabletext"/>
              <w:keepNext/>
              <w:keepLines/>
              <w:jc w:val="center"/>
              <w:rPr>
                <w:rStyle w:val="CommentReference"/>
              </w:rPr>
            </w:pPr>
            <w:r w:rsidRPr="00576299">
              <w:rPr>
                <w:rStyle w:val="CommentReference"/>
              </w:rPr>
              <w:t>Year 3</w:t>
            </w:r>
          </w:p>
        </w:tc>
        <w:tc>
          <w:tcPr>
            <w:tcW w:w="992" w:type="dxa"/>
            <w:shd w:val="clear" w:color="auto" w:fill="auto"/>
            <w:vAlign w:val="center"/>
          </w:tcPr>
          <w:p w14:paraId="1CA5579B" w14:textId="77777777" w:rsidR="0092254A" w:rsidRPr="00576299" w:rsidRDefault="0092254A" w:rsidP="00C068F2">
            <w:pPr>
              <w:pStyle w:val="Tabletext"/>
              <w:keepNext/>
              <w:keepLines/>
              <w:jc w:val="center"/>
              <w:rPr>
                <w:rStyle w:val="CommentReference"/>
              </w:rPr>
            </w:pPr>
            <w:r w:rsidRPr="00576299">
              <w:rPr>
                <w:rStyle w:val="CommentReference"/>
              </w:rPr>
              <w:t>Year 4</w:t>
            </w:r>
          </w:p>
        </w:tc>
        <w:tc>
          <w:tcPr>
            <w:tcW w:w="992" w:type="dxa"/>
            <w:shd w:val="clear" w:color="auto" w:fill="auto"/>
            <w:vAlign w:val="center"/>
          </w:tcPr>
          <w:p w14:paraId="0E1E8DA8" w14:textId="77777777" w:rsidR="0092254A" w:rsidRPr="00576299" w:rsidRDefault="0092254A" w:rsidP="00C068F2">
            <w:pPr>
              <w:pStyle w:val="Tabletext"/>
              <w:keepNext/>
              <w:keepLines/>
              <w:jc w:val="center"/>
              <w:rPr>
                <w:rStyle w:val="CommentReference"/>
              </w:rPr>
            </w:pPr>
            <w:r w:rsidRPr="00576299">
              <w:rPr>
                <w:rStyle w:val="CommentReference"/>
              </w:rPr>
              <w:t>Year 5</w:t>
            </w:r>
          </w:p>
        </w:tc>
        <w:tc>
          <w:tcPr>
            <w:tcW w:w="993" w:type="dxa"/>
            <w:shd w:val="clear" w:color="auto" w:fill="auto"/>
            <w:vAlign w:val="center"/>
          </w:tcPr>
          <w:p w14:paraId="452D3049" w14:textId="77777777" w:rsidR="0092254A" w:rsidRPr="00576299" w:rsidRDefault="0092254A" w:rsidP="00C068F2">
            <w:pPr>
              <w:pStyle w:val="Tabletext"/>
              <w:keepNext/>
              <w:keepLines/>
              <w:jc w:val="center"/>
              <w:rPr>
                <w:rStyle w:val="CommentReference"/>
              </w:rPr>
            </w:pPr>
            <w:r w:rsidRPr="00576299">
              <w:rPr>
                <w:rStyle w:val="CommentReference"/>
              </w:rPr>
              <w:t>Year 6</w:t>
            </w:r>
          </w:p>
        </w:tc>
      </w:tr>
      <w:tr w:rsidR="0092254A" w:rsidRPr="00576299" w14:paraId="74C188DA" w14:textId="77777777" w:rsidTr="00C068F2">
        <w:tc>
          <w:tcPr>
            <w:tcW w:w="9080" w:type="dxa"/>
            <w:gridSpan w:val="7"/>
            <w:shd w:val="clear" w:color="auto" w:fill="auto"/>
            <w:vAlign w:val="center"/>
          </w:tcPr>
          <w:p w14:paraId="77AE4CB4" w14:textId="77777777" w:rsidR="0092254A" w:rsidRPr="00576299" w:rsidRDefault="0092254A" w:rsidP="00C068F2">
            <w:pPr>
              <w:pStyle w:val="Tabletext"/>
              <w:keepNext/>
              <w:keepLines/>
              <w:rPr>
                <w:rStyle w:val="CommentReference"/>
              </w:rPr>
            </w:pPr>
            <w:r w:rsidRPr="00576299">
              <w:rPr>
                <w:rStyle w:val="CommentReference"/>
              </w:rPr>
              <w:t>Estimation of use and financial impact of the proposed medicine (PBS and RPBS)</w:t>
            </w:r>
          </w:p>
        </w:tc>
      </w:tr>
      <w:tr w:rsidR="0092254A" w:rsidRPr="00576299" w14:paraId="344DEC77" w14:textId="77777777" w:rsidTr="00B765C2">
        <w:tc>
          <w:tcPr>
            <w:tcW w:w="2985" w:type="dxa"/>
            <w:shd w:val="clear" w:color="auto" w:fill="auto"/>
            <w:vAlign w:val="center"/>
          </w:tcPr>
          <w:p w14:paraId="3FAC0FF4" w14:textId="3DAF6A3C" w:rsidR="0092254A" w:rsidRPr="00576299" w:rsidRDefault="0092254A" w:rsidP="00C068F2">
            <w:pPr>
              <w:pStyle w:val="Tabletext"/>
              <w:keepNext/>
              <w:keepLines/>
            </w:pPr>
            <w:r w:rsidRPr="00576299">
              <w:t>Incident patients initiating dostarlimab (</w:t>
            </w:r>
            <w:r w:rsidR="00833009" w:rsidRPr="00833009">
              <w:rPr>
                <w:color w:val="000000"/>
                <w:spacing w:val="39"/>
                <w:shd w:val="solid" w:color="000000" w:fill="000000"/>
                <w:fitText w:val="451" w:id="-1304167669"/>
                <w14:textFill>
                  <w14:solidFill>
                    <w14:srgbClr w14:val="000000">
                      <w14:alpha w14:val="100000"/>
                    </w14:srgbClr>
                  </w14:solidFill>
                </w14:textFill>
              </w:rPr>
              <w:t>|||||</w:t>
            </w:r>
            <w:r w:rsidR="00833009" w:rsidRPr="00833009">
              <w:rPr>
                <w:color w:val="000000"/>
                <w:spacing w:val="1"/>
                <w:shd w:val="solid" w:color="000000" w:fill="000000"/>
                <w:fitText w:val="451" w:id="-1304167669"/>
                <w14:textFill>
                  <w14:solidFill>
                    <w14:srgbClr w14:val="000000">
                      <w14:alpha w14:val="100000"/>
                    </w14:srgbClr>
                  </w14:solidFill>
                </w14:textFill>
              </w:rPr>
              <w:t>|</w:t>
            </w:r>
            <w:r w:rsidRPr="00576299">
              <w:t>%)</w:t>
            </w:r>
          </w:p>
        </w:tc>
        <w:tc>
          <w:tcPr>
            <w:tcW w:w="1134" w:type="dxa"/>
            <w:shd w:val="clear" w:color="auto" w:fill="auto"/>
            <w:vAlign w:val="center"/>
          </w:tcPr>
          <w:p w14:paraId="46ECC7C0" w14:textId="6B62995B" w:rsidR="0092254A" w:rsidRPr="001F194F" w:rsidRDefault="00833009" w:rsidP="00C068F2">
            <w:pPr>
              <w:pStyle w:val="Tabletext"/>
              <w:keepNext/>
              <w:keepLines/>
              <w:jc w:val="center"/>
              <w:rPr>
                <w:highlight w:val="darkGray"/>
                <w:vertAlign w:val="superscript"/>
              </w:rPr>
            </w:pPr>
            <w:r w:rsidRPr="00833009">
              <w:rPr>
                <w:rFonts w:cs="Calibri"/>
                <w:color w:val="000000"/>
                <w:spacing w:val="49"/>
                <w:szCs w:val="20"/>
                <w:shd w:val="solid" w:color="000000" w:fill="000000"/>
                <w:fitText w:val="226" w:id="-1304167668"/>
                <w14:textFill>
                  <w14:solidFill>
                    <w14:srgbClr w14:val="000000">
                      <w14:alpha w14:val="100000"/>
                    </w14:srgbClr>
                  </w14:solidFill>
                </w14:textFill>
              </w:rPr>
              <w:t>||</w:t>
            </w:r>
            <w:r w:rsidRPr="00833009">
              <w:rPr>
                <w:rFonts w:cs="Calibri"/>
                <w:color w:val="000000"/>
                <w:spacing w:val="1"/>
                <w:szCs w:val="20"/>
                <w:shd w:val="solid" w:color="000000" w:fill="000000"/>
                <w:fitText w:val="226" w:id="-1304167668"/>
                <w14:textFill>
                  <w14:solidFill>
                    <w14:srgbClr w14:val="000000">
                      <w14:alpha w14:val="100000"/>
                    </w14:srgbClr>
                  </w14:solidFill>
                </w14:textFill>
              </w:rPr>
              <w:t>|</w:t>
            </w:r>
            <w:r w:rsidR="001F194F" w:rsidRPr="001F194F">
              <w:rPr>
                <w:rFonts w:cs="Calibri"/>
                <w:color w:val="000000"/>
                <w:szCs w:val="20"/>
                <w:vertAlign w:val="superscript"/>
              </w:rPr>
              <w:t>1</w:t>
            </w:r>
          </w:p>
        </w:tc>
        <w:tc>
          <w:tcPr>
            <w:tcW w:w="992" w:type="dxa"/>
            <w:shd w:val="clear" w:color="auto" w:fill="auto"/>
            <w:vAlign w:val="center"/>
          </w:tcPr>
          <w:p w14:paraId="04B7EEDD" w14:textId="32AA25F1" w:rsidR="0092254A" w:rsidRPr="001F194F" w:rsidRDefault="00833009" w:rsidP="00C068F2">
            <w:pPr>
              <w:pStyle w:val="Tabletext"/>
              <w:keepNext/>
              <w:keepLines/>
              <w:jc w:val="center"/>
              <w:rPr>
                <w:highlight w:val="darkGray"/>
              </w:rPr>
            </w:pPr>
            <w:r w:rsidRPr="00833009">
              <w:rPr>
                <w:rFonts w:cs="Calibri"/>
                <w:color w:val="000000"/>
                <w:spacing w:val="204"/>
                <w:szCs w:val="20"/>
                <w:shd w:val="solid" w:color="000000" w:fill="000000"/>
                <w:fitText w:val="290" w:id="-1304167667"/>
                <w14:textFill>
                  <w14:solidFill>
                    <w14:srgbClr w14:val="000000">
                      <w14:alpha w14:val="100000"/>
                    </w14:srgbClr>
                  </w14:solidFill>
                </w14:textFill>
              </w:rPr>
              <w:t>|</w:t>
            </w:r>
            <w:r w:rsidRPr="00833009">
              <w:rPr>
                <w:rFonts w:cs="Calibri"/>
                <w:color w:val="000000"/>
                <w:spacing w:val="1"/>
                <w:szCs w:val="20"/>
                <w:shd w:val="solid" w:color="000000" w:fill="000000"/>
                <w:fitText w:val="290" w:id="-1304167667"/>
                <w14:textFill>
                  <w14:solidFill>
                    <w14:srgbClr w14:val="000000">
                      <w14:alpha w14:val="100000"/>
                    </w14:srgbClr>
                  </w14:solidFill>
                </w14:textFill>
              </w:rPr>
              <w:t>|</w:t>
            </w:r>
            <w:r w:rsidR="001F194F" w:rsidRPr="001F194F">
              <w:rPr>
                <w:rFonts w:cs="Calibri"/>
                <w:color w:val="000000"/>
                <w:szCs w:val="20"/>
                <w:vertAlign w:val="superscript"/>
              </w:rPr>
              <w:t>1</w:t>
            </w:r>
          </w:p>
        </w:tc>
        <w:tc>
          <w:tcPr>
            <w:tcW w:w="992" w:type="dxa"/>
            <w:shd w:val="clear" w:color="auto" w:fill="auto"/>
            <w:vAlign w:val="center"/>
          </w:tcPr>
          <w:p w14:paraId="1F534D28" w14:textId="31761571" w:rsidR="0092254A" w:rsidRPr="001F194F" w:rsidRDefault="00833009" w:rsidP="00C068F2">
            <w:pPr>
              <w:pStyle w:val="Tabletext"/>
              <w:keepNext/>
              <w:keepLines/>
              <w:jc w:val="center"/>
              <w:rPr>
                <w:highlight w:val="darkGray"/>
              </w:rPr>
            </w:pPr>
            <w:r w:rsidRPr="00833009">
              <w:rPr>
                <w:rFonts w:cs="Calibri"/>
                <w:color w:val="000000"/>
                <w:spacing w:val="204"/>
                <w:szCs w:val="20"/>
                <w:shd w:val="solid" w:color="000000" w:fill="000000"/>
                <w:fitText w:val="290" w:id="-1304167666"/>
                <w14:textFill>
                  <w14:solidFill>
                    <w14:srgbClr w14:val="000000">
                      <w14:alpha w14:val="100000"/>
                    </w14:srgbClr>
                  </w14:solidFill>
                </w14:textFill>
              </w:rPr>
              <w:t>|</w:t>
            </w:r>
            <w:r w:rsidRPr="00833009">
              <w:rPr>
                <w:rFonts w:cs="Calibri"/>
                <w:color w:val="000000"/>
                <w:spacing w:val="1"/>
                <w:szCs w:val="20"/>
                <w:shd w:val="solid" w:color="000000" w:fill="000000"/>
                <w:fitText w:val="290" w:id="-1304167666"/>
                <w14:textFill>
                  <w14:solidFill>
                    <w14:srgbClr w14:val="000000">
                      <w14:alpha w14:val="100000"/>
                    </w14:srgbClr>
                  </w14:solidFill>
                </w14:textFill>
              </w:rPr>
              <w:t>|</w:t>
            </w:r>
            <w:r w:rsidR="001F194F" w:rsidRPr="001F194F">
              <w:rPr>
                <w:rFonts w:cs="Calibri"/>
                <w:color w:val="000000"/>
                <w:szCs w:val="20"/>
                <w:vertAlign w:val="superscript"/>
              </w:rPr>
              <w:t>1</w:t>
            </w:r>
          </w:p>
        </w:tc>
        <w:tc>
          <w:tcPr>
            <w:tcW w:w="992" w:type="dxa"/>
            <w:shd w:val="clear" w:color="auto" w:fill="auto"/>
            <w:vAlign w:val="center"/>
          </w:tcPr>
          <w:p w14:paraId="59C3CC33" w14:textId="55CD673A" w:rsidR="0092254A" w:rsidRPr="001F194F" w:rsidRDefault="00833009" w:rsidP="00C068F2">
            <w:pPr>
              <w:pStyle w:val="Tabletext"/>
              <w:keepNext/>
              <w:keepLines/>
              <w:jc w:val="center"/>
              <w:rPr>
                <w:highlight w:val="darkGray"/>
              </w:rPr>
            </w:pPr>
            <w:r w:rsidRPr="00833009">
              <w:rPr>
                <w:rFonts w:cs="Calibri"/>
                <w:color w:val="000000"/>
                <w:spacing w:val="204"/>
                <w:szCs w:val="20"/>
                <w:shd w:val="solid" w:color="000000" w:fill="000000"/>
                <w:fitText w:val="290" w:id="-1304167665"/>
                <w14:textFill>
                  <w14:solidFill>
                    <w14:srgbClr w14:val="000000">
                      <w14:alpha w14:val="100000"/>
                    </w14:srgbClr>
                  </w14:solidFill>
                </w14:textFill>
              </w:rPr>
              <w:t>|</w:t>
            </w:r>
            <w:r w:rsidRPr="00833009">
              <w:rPr>
                <w:rFonts w:cs="Calibri"/>
                <w:color w:val="000000"/>
                <w:spacing w:val="1"/>
                <w:szCs w:val="20"/>
                <w:shd w:val="solid" w:color="000000" w:fill="000000"/>
                <w:fitText w:val="290" w:id="-1304167665"/>
                <w14:textFill>
                  <w14:solidFill>
                    <w14:srgbClr w14:val="000000">
                      <w14:alpha w14:val="100000"/>
                    </w14:srgbClr>
                  </w14:solidFill>
                </w14:textFill>
              </w:rPr>
              <w:t>|</w:t>
            </w:r>
            <w:r w:rsidR="001F194F" w:rsidRPr="001F194F">
              <w:rPr>
                <w:rFonts w:cs="Calibri"/>
                <w:color w:val="000000"/>
                <w:szCs w:val="20"/>
                <w:vertAlign w:val="superscript"/>
              </w:rPr>
              <w:t>1</w:t>
            </w:r>
          </w:p>
        </w:tc>
        <w:tc>
          <w:tcPr>
            <w:tcW w:w="992" w:type="dxa"/>
            <w:shd w:val="clear" w:color="auto" w:fill="auto"/>
            <w:vAlign w:val="center"/>
          </w:tcPr>
          <w:p w14:paraId="477DA41B" w14:textId="5DF5DD27" w:rsidR="0092254A" w:rsidRPr="001F194F" w:rsidRDefault="00833009" w:rsidP="00C068F2">
            <w:pPr>
              <w:pStyle w:val="Tabletext"/>
              <w:keepNext/>
              <w:keepLines/>
              <w:jc w:val="center"/>
              <w:rPr>
                <w:highlight w:val="darkGray"/>
              </w:rPr>
            </w:pPr>
            <w:r w:rsidRPr="00833009">
              <w:rPr>
                <w:rFonts w:cs="Calibri"/>
                <w:color w:val="000000"/>
                <w:spacing w:val="204"/>
                <w:szCs w:val="20"/>
                <w:shd w:val="solid" w:color="000000" w:fill="000000"/>
                <w:fitText w:val="290" w:id="-1304167664"/>
                <w14:textFill>
                  <w14:solidFill>
                    <w14:srgbClr w14:val="000000">
                      <w14:alpha w14:val="100000"/>
                    </w14:srgbClr>
                  </w14:solidFill>
                </w14:textFill>
              </w:rPr>
              <w:t>|</w:t>
            </w:r>
            <w:r w:rsidRPr="00833009">
              <w:rPr>
                <w:rFonts w:cs="Calibri"/>
                <w:color w:val="000000"/>
                <w:spacing w:val="1"/>
                <w:szCs w:val="20"/>
                <w:shd w:val="solid" w:color="000000" w:fill="000000"/>
                <w:fitText w:val="290" w:id="-1304167664"/>
                <w14:textFill>
                  <w14:solidFill>
                    <w14:srgbClr w14:val="000000">
                      <w14:alpha w14:val="100000"/>
                    </w14:srgbClr>
                  </w14:solidFill>
                </w14:textFill>
              </w:rPr>
              <w:t>|</w:t>
            </w:r>
            <w:r w:rsidR="001F194F" w:rsidRPr="001F194F">
              <w:rPr>
                <w:rFonts w:cs="Calibri"/>
                <w:color w:val="000000"/>
                <w:szCs w:val="20"/>
                <w:vertAlign w:val="superscript"/>
              </w:rPr>
              <w:t>1</w:t>
            </w:r>
          </w:p>
        </w:tc>
        <w:tc>
          <w:tcPr>
            <w:tcW w:w="993" w:type="dxa"/>
            <w:shd w:val="clear" w:color="auto" w:fill="auto"/>
            <w:vAlign w:val="center"/>
          </w:tcPr>
          <w:p w14:paraId="3A0D8902" w14:textId="624E2126" w:rsidR="0092254A" w:rsidRPr="001F194F" w:rsidRDefault="00833009" w:rsidP="00C068F2">
            <w:pPr>
              <w:pStyle w:val="Tabletext"/>
              <w:keepNext/>
              <w:keepLines/>
              <w:jc w:val="center"/>
              <w:rPr>
                <w:highlight w:val="darkGray"/>
              </w:rPr>
            </w:pPr>
            <w:r w:rsidRPr="00833009">
              <w:rPr>
                <w:rFonts w:cs="Calibri"/>
                <w:color w:val="000000"/>
                <w:spacing w:val="204"/>
                <w:szCs w:val="20"/>
                <w:shd w:val="solid" w:color="000000" w:fill="000000"/>
                <w:fitText w:val="290" w:id="-1304167680"/>
                <w14:textFill>
                  <w14:solidFill>
                    <w14:srgbClr w14:val="000000">
                      <w14:alpha w14:val="100000"/>
                    </w14:srgbClr>
                  </w14:solidFill>
                </w14:textFill>
              </w:rPr>
              <w:t>|</w:t>
            </w:r>
            <w:r w:rsidRPr="00833009">
              <w:rPr>
                <w:rFonts w:cs="Calibri"/>
                <w:color w:val="000000"/>
                <w:spacing w:val="1"/>
                <w:szCs w:val="20"/>
                <w:shd w:val="solid" w:color="000000" w:fill="000000"/>
                <w:fitText w:val="290" w:id="-1304167680"/>
                <w14:textFill>
                  <w14:solidFill>
                    <w14:srgbClr w14:val="000000">
                      <w14:alpha w14:val="100000"/>
                    </w14:srgbClr>
                  </w14:solidFill>
                </w14:textFill>
              </w:rPr>
              <w:t>|</w:t>
            </w:r>
            <w:r w:rsidR="001F194F" w:rsidRPr="001F194F">
              <w:rPr>
                <w:rFonts w:cs="Calibri"/>
                <w:color w:val="000000"/>
                <w:szCs w:val="20"/>
                <w:vertAlign w:val="superscript"/>
              </w:rPr>
              <w:t>1</w:t>
            </w:r>
          </w:p>
        </w:tc>
      </w:tr>
      <w:tr w:rsidR="0092254A" w:rsidRPr="00576299" w14:paraId="2A920831" w14:textId="77777777" w:rsidTr="00B765C2">
        <w:tc>
          <w:tcPr>
            <w:tcW w:w="2985" w:type="dxa"/>
            <w:shd w:val="clear" w:color="auto" w:fill="auto"/>
          </w:tcPr>
          <w:p w14:paraId="2C7569CC" w14:textId="7F851605" w:rsidR="0092254A" w:rsidRPr="00576299" w:rsidRDefault="0092254A" w:rsidP="00C068F2">
            <w:pPr>
              <w:pStyle w:val="Tabletext"/>
              <w:keepNext/>
              <w:keepLines/>
            </w:pPr>
            <w:r w:rsidRPr="00576299">
              <w:rPr>
                <w:szCs w:val="20"/>
              </w:rPr>
              <w:t xml:space="preserve">Grandfathered patients </w:t>
            </w:r>
            <w:r w:rsidR="008341D0" w:rsidRPr="00576299">
              <w:rPr>
                <w:szCs w:val="20"/>
              </w:rPr>
              <w:t>moving to</w:t>
            </w:r>
            <w:r w:rsidR="001023A7" w:rsidRPr="00576299">
              <w:rPr>
                <w:szCs w:val="20"/>
              </w:rPr>
              <w:t xml:space="preserve"> PBS treatment</w:t>
            </w:r>
          </w:p>
        </w:tc>
        <w:tc>
          <w:tcPr>
            <w:tcW w:w="1134" w:type="dxa"/>
            <w:shd w:val="clear" w:color="auto" w:fill="auto"/>
            <w:vAlign w:val="center"/>
          </w:tcPr>
          <w:p w14:paraId="2F688569" w14:textId="4CD4E380" w:rsidR="0092254A" w:rsidRPr="001F194F" w:rsidRDefault="00833009" w:rsidP="00C068F2">
            <w:pPr>
              <w:pStyle w:val="Tabletext"/>
              <w:keepNext/>
              <w:keepLines/>
              <w:jc w:val="center"/>
              <w:rPr>
                <w:rFonts w:cs="Calibri"/>
                <w:color w:val="000000"/>
                <w:szCs w:val="20"/>
                <w:highlight w:val="darkGray"/>
              </w:rPr>
            </w:pPr>
            <w:r w:rsidRPr="00833009">
              <w:rPr>
                <w:rFonts w:cs="Calibri"/>
                <w:color w:val="000000"/>
                <w:spacing w:val="49"/>
                <w:szCs w:val="20"/>
                <w:shd w:val="solid" w:color="000000" w:fill="000000"/>
                <w:fitText w:val="226" w:id="-1304167679"/>
                <w14:textFill>
                  <w14:solidFill>
                    <w14:srgbClr w14:val="000000">
                      <w14:alpha w14:val="100000"/>
                    </w14:srgbClr>
                  </w14:solidFill>
                </w14:textFill>
              </w:rPr>
              <w:t>||</w:t>
            </w:r>
            <w:r w:rsidRPr="00833009">
              <w:rPr>
                <w:rFonts w:cs="Calibri"/>
                <w:color w:val="000000"/>
                <w:spacing w:val="1"/>
                <w:szCs w:val="20"/>
                <w:shd w:val="solid" w:color="000000" w:fill="000000"/>
                <w:fitText w:val="226" w:id="-1304167679"/>
                <w14:textFill>
                  <w14:solidFill>
                    <w14:srgbClr w14:val="000000">
                      <w14:alpha w14:val="100000"/>
                    </w14:srgbClr>
                  </w14:solidFill>
                </w14:textFill>
              </w:rPr>
              <w:t>|</w:t>
            </w:r>
            <w:r w:rsidR="001F194F" w:rsidRPr="001F194F">
              <w:rPr>
                <w:rFonts w:cs="Calibri"/>
                <w:color w:val="000000"/>
                <w:szCs w:val="20"/>
                <w:vertAlign w:val="superscript"/>
              </w:rPr>
              <w:t>1</w:t>
            </w:r>
          </w:p>
        </w:tc>
        <w:tc>
          <w:tcPr>
            <w:tcW w:w="992" w:type="dxa"/>
            <w:shd w:val="clear" w:color="auto" w:fill="auto"/>
            <w:vAlign w:val="center"/>
          </w:tcPr>
          <w:p w14:paraId="57D2DFDD" w14:textId="6D032506" w:rsidR="0092254A" w:rsidRPr="001F194F" w:rsidRDefault="001F194F" w:rsidP="00C068F2">
            <w:pPr>
              <w:pStyle w:val="Tabletext"/>
              <w:keepNext/>
              <w:keepLines/>
              <w:jc w:val="center"/>
              <w:rPr>
                <w:rFonts w:cs="Calibri"/>
                <w:color w:val="000000"/>
                <w:szCs w:val="20"/>
              </w:rPr>
            </w:pPr>
            <w:r w:rsidRPr="001F194F">
              <w:rPr>
                <w:rFonts w:cs="Calibri"/>
                <w:color w:val="000000"/>
                <w:szCs w:val="20"/>
              </w:rPr>
              <w:t>-</w:t>
            </w:r>
          </w:p>
        </w:tc>
        <w:tc>
          <w:tcPr>
            <w:tcW w:w="992" w:type="dxa"/>
            <w:shd w:val="clear" w:color="auto" w:fill="auto"/>
            <w:vAlign w:val="center"/>
          </w:tcPr>
          <w:p w14:paraId="4FE30F81" w14:textId="2CB04EB1" w:rsidR="0092254A" w:rsidRPr="001F194F" w:rsidRDefault="001F194F" w:rsidP="00C068F2">
            <w:pPr>
              <w:pStyle w:val="Tabletext"/>
              <w:keepNext/>
              <w:keepLines/>
              <w:jc w:val="center"/>
              <w:rPr>
                <w:rFonts w:cs="Calibri"/>
                <w:color w:val="000000"/>
                <w:szCs w:val="20"/>
              </w:rPr>
            </w:pPr>
            <w:r>
              <w:rPr>
                <w:rFonts w:cs="Calibri"/>
                <w:color w:val="000000"/>
                <w:szCs w:val="20"/>
              </w:rPr>
              <w:t>-</w:t>
            </w:r>
          </w:p>
        </w:tc>
        <w:tc>
          <w:tcPr>
            <w:tcW w:w="992" w:type="dxa"/>
            <w:shd w:val="clear" w:color="auto" w:fill="auto"/>
            <w:vAlign w:val="center"/>
          </w:tcPr>
          <w:p w14:paraId="54D6A91F" w14:textId="02C7AB5B" w:rsidR="0092254A" w:rsidRPr="001F194F" w:rsidRDefault="001F194F" w:rsidP="00C068F2">
            <w:pPr>
              <w:pStyle w:val="Tabletext"/>
              <w:keepNext/>
              <w:keepLines/>
              <w:jc w:val="center"/>
              <w:rPr>
                <w:rFonts w:cs="Calibri"/>
                <w:color w:val="000000"/>
                <w:szCs w:val="20"/>
              </w:rPr>
            </w:pPr>
            <w:r>
              <w:rPr>
                <w:rFonts w:cs="Calibri"/>
                <w:color w:val="000000"/>
                <w:szCs w:val="20"/>
              </w:rPr>
              <w:t>-</w:t>
            </w:r>
          </w:p>
        </w:tc>
        <w:tc>
          <w:tcPr>
            <w:tcW w:w="992" w:type="dxa"/>
            <w:shd w:val="clear" w:color="auto" w:fill="auto"/>
            <w:vAlign w:val="center"/>
          </w:tcPr>
          <w:p w14:paraId="4A22DB42" w14:textId="41056760" w:rsidR="0092254A" w:rsidRPr="001F194F" w:rsidRDefault="001F194F" w:rsidP="00C068F2">
            <w:pPr>
              <w:pStyle w:val="Tabletext"/>
              <w:keepNext/>
              <w:keepLines/>
              <w:jc w:val="center"/>
              <w:rPr>
                <w:rFonts w:cs="Calibri"/>
                <w:color w:val="000000"/>
                <w:szCs w:val="20"/>
              </w:rPr>
            </w:pPr>
            <w:r>
              <w:rPr>
                <w:rFonts w:cs="Calibri"/>
                <w:color w:val="000000"/>
                <w:szCs w:val="20"/>
              </w:rPr>
              <w:t>-</w:t>
            </w:r>
          </w:p>
        </w:tc>
        <w:tc>
          <w:tcPr>
            <w:tcW w:w="993" w:type="dxa"/>
            <w:shd w:val="clear" w:color="auto" w:fill="auto"/>
            <w:vAlign w:val="center"/>
          </w:tcPr>
          <w:p w14:paraId="36425A61" w14:textId="075B92E4" w:rsidR="0092254A" w:rsidRPr="001F194F" w:rsidRDefault="001F194F" w:rsidP="00C068F2">
            <w:pPr>
              <w:pStyle w:val="Tabletext"/>
              <w:keepNext/>
              <w:keepLines/>
              <w:jc w:val="center"/>
              <w:rPr>
                <w:rFonts w:cs="Calibri"/>
                <w:color w:val="000000"/>
                <w:szCs w:val="20"/>
              </w:rPr>
            </w:pPr>
            <w:r>
              <w:rPr>
                <w:rFonts w:cs="Calibri"/>
                <w:color w:val="000000"/>
                <w:szCs w:val="20"/>
              </w:rPr>
              <w:t>-</w:t>
            </w:r>
          </w:p>
        </w:tc>
      </w:tr>
      <w:tr w:rsidR="0092254A" w:rsidRPr="00576299" w14:paraId="573C80C6" w14:textId="77777777" w:rsidTr="00B765C2">
        <w:tc>
          <w:tcPr>
            <w:tcW w:w="2985" w:type="dxa"/>
            <w:tcBorders>
              <w:bottom w:val="single" w:sz="4" w:space="0" w:color="auto"/>
            </w:tcBorders>
            <w:shd w:val="clear" w:color="auto" w:fill="auto"/>
          </w:tcPr>
          <w:p w14:paraId="3F51082F" w14:textId="77777777" w:rsidR="0092254A" w:rsidRPr="00576299" w:rsidRDefault="0092254A" w:rsidP="00C068F2">
            <w:pPr>
              <w:pStyle w:val="Tabletext"/>
              <w:keepNext/>
              <w:keepLines/>
              <w:rPr>
                <w:szCs w:val="20"/>
              </w:rPr>
            </w:pPr>
            <w:r w:rsidRPr="00576299">
              <w:rPr>
                <w:szCs w:val="20"/>
              </w:rPr>
              <w:t>Total patients initiating</w:t>
            </w:r>
          </w:p>
        </w:tc>
        <w:tc>
          <w:tcPr>
            <w:tcW w:w="1134" w:type="dxa"/>
            <w:tcBorders>
              <w:bottom w:val="single" w:sz="4" w:space="0" w:color="auto"/>
            </w:tcBorders>
            <w:shd w:val="clear" w:color="auto" w:fill="auto"/>
            <w:vAlign w:val="center"/>
          </w:tcPr>
          <w:p w14:paraId="22B3B863" w14:textId="2893D71E" w:rsidR="0092254A" w:rsidRPr="001F194F" w:rsidRDefault="00833009" w:rsidP="00C068F2">
            <w:pPr>
              <w:pStyle w:val="Tabletext"/>
              <w:keepNext/>
              <w:keepLines/>
              <w:jc w:val="center"/>
              <w:rPr>
                <w:rFonts w:cs="Calibri"/>
                <w:color w:val="000000"/>
                <w:szCs w:val="20"/>
                <w:highlight w:val="darkGray"/>
              </w:rPr>
            </w:pPr>
            <w:r w:rsidRPr="00833009">
              <w:rPr>
                <w:color w:val="000000"/>
                <w:spacing w:val="49"/>
                <w:szCs w:val="20"/>
                <w:shd w:val="solid" w:color="000000" w:fill="000000"/>
                <w:fitText w:val="226" w:id="-1304167678"/>
                <w14:textFill>
                  <w14:solidFill>
                    <w14:srgbClr w14:val="000000">
                      <w14:alpha w14:val="100000"/>
                    </w14:srgbClr>
                  </w14:solidFill>
                </w14:textFill>
              </w:rPr>
              <w:t>||</w:t>
            </w:r>
            <w:r w:rsidRPr="00833009">
              <w:rPr>
                <w:color w:val="000000"/>
                <w:spacing w:val="1"/>
                <w:szCs w:val="20"/>
                <w:shd w:val="solid" w:color="000000" w:fill="000000"/>
                <w:fitText w:val="226" w:id="-1304167678"/>
                <w14:textFill>
                  <w14:solidFill>
                    <w14:srgbClr w14:val="000000">
                      <w14:alpha w14:val="100000"/>
                    </w14:srgbClr>
                  </w14:solidFill>
                </w14:textFill>
              </w:rPr>
              <w:t>|</w:t>
            </w:r>
            <w:r w:rsidR="001F194F" w:rsidRPr="001F194F">
              <w:rPr>
                <w:rFonts w:cs="Calibri"/>
                <w:color w:val="000000"/>
                <w:szCs w:val="20"/>
                <w:vertAlign w:val="superscript"/>
              </w:rPr>
              <w:t>1</w:t>
            </w:r>
          </w:p>
        </w:tc>
        <w:tc>
          <w:tcPr>
            <w:tcW w:w="992" w:type="dxa"/>
            <w:tcBorders>
              <w:bottom w:val="single" w:sz="4" w:space="0" w:color="auto"/>
            </w:tcBorders>
            <w:shd w:val="clear" w:color="auto" w:fill="auto"/>
            <w:vAlign w:val="center"/>
          </w:tcPr>
          <w:p w14:paraId="63B5621D" w14:textId="6FD1F0EB" w:rsidR="0092254A" w:rsidRPr="001F194F" w:rsidRDefault="00833009" w:rsidP="00C068F2">
            <w:pPr>
              <w:pStyle w:val="Tabletext"/>
              <w:keepNext/>
              <w:keepLines/>
              <w:jc w:val="center"/>
              <w:rPr>
                <w:rFonts w:cs="Calibri"/>
                <w:color w:val="000000"/>
                <w:szCs w:val="20"/>
                <w:highlight w:val="darkGray"/>
              </w:rPr>
            </w:pPr>
            <w:r w:rsidRPr="00833009">
              <w:rPr>
                <w:color w:val="000000"/>
                <w:spacing w:val="204"/>
                <w:szCs w:val="20"/>
                <w:shd w:val="solid" w:color="000000" w:fill="000000"/>
                <w:fitText w:val="290" w:id="-1304167677"/>
                <w14:textFill>
                  <w14:solidFill>
                    <w14:srgbClr w14:val="000000">
                      <w14:alpha w14:val="100000"/>
                    </w14:srgbClr>
                  </w14:solidFill>
                </w14:textFill>
              </w:rPr>
              <w:t>|</w:t>
            </w:r>
            <w:r w:rsidRPr="00833009">
              <w:rPr>
                <w:color w:val="000000"/>
                <w:spacing w:val="1"/>
                <w:szCs w:val="20"/>
                <w:shd w:val="solid" w:color="000000" w:fill="000000"/>
                <w:fitText w:val="290" w:id="-1304167677"/>
                <w14:textFill>
                  <w14:solidFill>
                    <w14:srgbClr w14:val="000000">
                      <w14:alpha w14:val="100000"/>
                    </w14:srgbClr>
                  </w14:solidFill>
                </w14:textFill>
              </w:rPr>
              <w:t>|</w:t>
            </w:r>
            <w:r w:rsidR="001F194F" w:rsidRPr="001F194F">
              <w:rPr>
                <w:rFonts w:cs="Calibri"/>
                <w:color w:val="000000"/>
                <w:szCs w:val="20"/>
                <w:vertAlign w:val="superscript"/>
              </w:rPr>
              <w:t>1</w:t>
            </w:r>
          </w:p>
        </w:tc>
        <w:tc>
          <w:tcPr>
            <w:tcW w:w="992" w:type="dxa"/>
            <w:tcBorders>
              <w:bottom w:val="single" w:sz="4" w:space="0" w:color="auto"/>
            </w:tcBorders>
            <w:shd w:val="clear" w:color="auto" w:fill="auto"/>
            <w:vAlign w:val="center"/>
          </w:tcPr>
          <w:p w14:paraId="4081DC8F" w14:textId="0C4BBA90" w:rsidR="0092254A" w:rsidRPr="001F194F" w:rsidRDefault="00833009" w:rsidP="00C068F2">
            <w:pPr>
              <w:pStyle w:val="Tabletext"/>
              <w:keepNext/>
              <w:keepLines/>
              <w:jc w:val="center"/>
              <w:rPr>
                <w:rFonts w:cs="Calibri"/>
                <w:color w:val="000000"/>
                <w:szCs w:val="20"/>
                <w:highlight w:val="darkGray"/>
              </w:rPr>
            </w:pPr>
            <w:r w:rsidRPr="00833009">
              <w:rPr>
                <w:color w:val="000000"/>
                <w:spacing w:val="204"/>
                <w:szCs w:val="20"/>
                <w:shd w:val="solid" w:color="000000" w:fill="000000"/>
                <w:fitText w:val="290" w:id="-1304167676"/>
                <w14:textFill>
                  <w14:solidFill>
                    <w14:srgbClr w14:val="000000">
                      <w14:alpha w14:val="100000"/>
                    </w14:srgbClr>
                  </w14:solidFill>
                </w14:textFill>
              </w:rPr>
              <w:t>|</w:t>
            </w:r>
            <w:r w:rsidRPr="00833009">
              <w:rPr>
                <w:color w:val="000000"/>
                <w:spacing w:val="1"/>
                <w:szCs w:val="20"/>
                <w:shd w:val="solid" w:color="000000" w:fill="000000"/>
                <w:fitText w:val="290" w:id="-1304167676"/>
                <w14:textFill>
                  <w14:solidFill>
                    <w14:srgbClr w14:val="000000">
                      <w14:alpha w14:val="100000"/>
                    </w14:srgbClr>
                  </w14:solidFill>
                </w14:textFill>
              </w:rPr>
              <w:t>|</w:t>
            </w:r>
            <w:r w:rsidR="001F194F" w:rsidRPr="001F194F">
              <w:rPr>
                <w:rFonts w:cs="Calibri"/>
                <w:color w:val="000000"/>
                <w:szCs w:val="20"/>
                <w:vertAlign w:val="superscript"/>
              </w:rPr>
              <w:t>1</w:t>
            </w:r>
          </w:p>
        </w:tc>
        <w:tc>
          <w:tcPr>
            <w:tcW w:w="992" w:type="dxa"/>
            <w:tcBorders>
              <w:bottom w:val="single" w:sz="4" w:space="0" w:color="auto"/>
            </w:tcBorders>
            <w:shd w:val="clear" w:color="auto" w:fill="auto"/>
            <w:vAlign w:val="center"/>
          </w:tcPr>
          <w:p w14:paraId="50F7349D" w14:textId="57B79815" w:rsidR="0092254A" w:rsidRPr="001F194F" w:rsidRDefault="00833009" w:rsidP="00C068F2">
            <w:pPr>
              <w:pStyle w:val="Tabletext"/>
              <w:keepNext/>
              <w:keepLines/>
              <w:jc w:val="center"/>
              <w:rPr>
                <w:rFonts w:cs="Calibri"/>
                <w:color w:val="000000"/>
                <w:szCs w:val="20"/>
                <w:highlight w:val="darkGray"/>
              </w:rPr>
            </w:pPr>
            <w:r w:rsidRPr="00833009">
              <w:rPr>
                <w:color w:val="000000"/>
                <w:spacing w:val="204"/>
                <w:szCs w:val="20"/>
                <w:shd w:val="solid" w:color="000000" w:fill="000000"/>
                <w:fitText w:val="290" w:id="-1304167675"/>
                <w14:textFill>
                  <w14:solidFill>
                    <w14:srgbClr w14:val="000000">
                      <w14:alpha w14:val="100000"/>
                    </w14:srgbClr>
                  </w14:solidFill>
                </w14:textFill>
              </w:rPr>
              <w:t>|</w:t>
            </w:r>
            <w:r w:rsidRPr="00833009">
              <w:rPr>
                <w:color w:val="000000"/>
                <w:spacing w:val="1"/>
                <w:szCs w:val="20"/>
                <w:shd w:val="solid" w:color="000000" w:fill="000000"/>
                <w:fitText w:val="290" w:id="-1304167675"/>
                <w14:textFill>
                  <w14:solidFill>
                    <w14:srgbClr w14:val="000000">
                      <w14:alpha w14:val="100000"/>
                    </w14:srgbClr>
                  </w14:solidFill>
                </w14:textFill>
              </w:rPr>
              <w:t>|</w:t>
            </w:r>
            <w:r w:rsidR="001F194F" w:rsidRPr="001F194F">
              <w:rPr>
                <w:rFonts w:cs="Calibri"/>
                <w:color w:val="000000"/>
                <w:szCs w:val="20"/>
                <w:vertAlign w:val="superscript"/>
              </w:rPr>
              <w:t>1</w:t>
            </w:r>
          </w:p>
        </w:tc>
        <w:tc>
          <w:tcPr>
            <w:tcW w:w="992" w:type="dxa"/>
            <w:tcBorders>
              <w:bottom w:val="single" w:sz="4" w:space="0" w:color="auto"/>
            </w:tcBorders>
            <w:shd w:val="clear" w:color="auto" w:fill="auto"/>
            <w:vAlign w:val="center"/>
          </w:tcPr>
          <w:p w14:paraId="36AA3CA2" w14:textId="0A359421" w:rsidR="0092254A" w:rsidRPr="001F194F" w:rsidRDefault="00833009" w:rsidP="00C068F2">
            <w:pPr>
              <w:pStyle w:val="Tabletext"/>
              <w:keepNext/>
              <w:keepLines/>
              <w:jc w:val="center"/>
              <w:rPr>
                <w:rFonts w:cs="Calibri"/>
                <w:color w:val="000000"/>
                <w:szCs w:val="20"/>
                <w:highlight w:val="darkGray"/>
              </w:rPr>
            </w:pPr>
            <w:r w:rsidRPr="00833009">
              <w:rPr>
                <w:color w:val="000000"/>
                <w:spacing w:val="204"/>
                <w:szCs w:val="20"/>
                <w:shd w:val="solid" w:color="000000" w:fill="000000"/>
                <w:fitText w:val="290" w:id="-1304167674"/>
                <w14:textFill>
                  <w14:solidFill>
                    <w14:srgbClr w14:val="000000">
                      <w14:alpha w14:val="100000"/>
                    </w14:srgbClr>
                  </w14:solidFill>
                </w14:textFill>
              </w:rPr>
              <w:t>|</w:t>
            </w:r>
            <w:r w:rsidRPr="00833009">
              <w:rPr>
                <w:color w:val="000000"/>
                <w:spacing w:val="1"/>
                <w:szCs w:val="20"/>
                <w:shd w:val="solid" w:color="000000" w:fill="000000"/>
                <w:fitText w:val="290" w:id="-1304167674"/>
                <w14:textFill>
                  <w14:solidFill>
                    <w14:srgbClr w14:val="000000">
                      <w14:alpha w14:val="100000"/>
                    </w14:srgbClr>
                  </w14:solidFill>
                </w14:textFill>
              </w:rPr>
              <w:t>|</w:t>
            </w:r>
            <w:r w:rsidR="001F194F" w:rsidRPr="001F194F">
              <w:rPr>
                <w:rFonts w:cs="Calibri"/>
                <w:color w:val="000000"/>
                <w:szCs w:val="20"/>
                <w:vertAlign w:val="superscript"/>
              </w:rPr>
              <w:t>1</w:t>
            </w:r>
          </w:p>
        </w:tc>
        <w:tc>
          <w:tcPr>
            <w:tcW w:w="993" w:type="dxa"/>
            <w:tcBorders>
              <w:bottom w:val="single" w:sz="4" w:space="0" w:color="auto"/>
            </w:tcBorders>
            <w:shd w:val="clear" w:color="auto" w:fill="auto"/>
            <w:vAlign w:val="center"/>
          </w:tcPr>
          <w:p w14:paraId="3BE4E546" w14:textId="173BF98F" w:rsidR="0092254A" w:rsidRPr="001F194F" w:rsidRDefault="00833009" w:rsidP="00C068F2">
            <w:pPr>
              <w:pStyle w:val="Tabletext"/>
              <w:keepNext/>
              <w:keepLines/>
              <w:jc w:val="center"/>
              <w:rPr>
                <w:rFonts w:cs="Calibri"/>
                <w:color w:val="000000"/>
                <w:szCs w:val="20"/>
                <w:highlight w:val="darkGray"/>
              </w:rPr>
            </w:pPr>
            <w:r w:rsidRPr="00833009">
              <w:rPr>
                <w:color w:val="000000"/>
                <w:spacing w:val="204"/>
                <w:szCs w:val="20"/>
                <w:shd w:val="solid" w:color="000000" w:fill="000000"/>
                <w:fitText w:val="290" w:id="-1304167673"/>
                <w14:textFill>
                  <w14:solidFill>
                    <w14:srgbClr w14:val="000000">
                      <w14:alpha w14:val="100000"/>
                    </w14:srgbClr>
                  </w14:solidFill>
                </w14:textFill>
              </w:rPr>
              <w:t>|</w:t>
            </w:r>
            <w:r w:rsidRPr="00833009">
              <w:rPr>
                <w:color w:val="000000"/>
                <w:spacing w:val="1"/>
                <w:szCs w:val="20"/>
                <w:shd w:val="solid" w:color="000000" w:fill="000000"/>
                <w:fitText w:val="290" w:id="-1304167673"/>
                <w14:textFill>
                  <w14:solidFill>
                    <w14:srgbClr w14:val="000000">
                      <w14:alpha w14:val="100000"/>
                    </w14:srgbClr>
                  </w14:solidFill>
                </w14:textFill>
              </w:rPr>
              <w:t>|</w:t>
            </w:r>
            <w:r w:rsidR="001F194F" w:rsidRPr="001F194F">
              <w:rPr>
                <w:rFonts w:cs="Calibri"/>
                <w:color w:val="000000"/>
                <w:szCs w:val="20"/>
                <w:vertAlign w:val="superscript"/>
              </w:rPr>
              <w:t>1</w:t>
            </w:r>
          </w:p>
        </w:tc>
      </w:tr>
      <w:tr w:rsidR="0092254A" w:rsidRPr="00576299" w14:paraId="14CCCBE9" w14:textId="77777777" w:rsidTr="00B765C2">
        <w:tc>
          <w:tcPr>
            <w:tcW w:w="2985" w:type="dxa"/>
            <w:tcBorders>
              <w:bottom w:val="single" w:sz="12" w:space="0" w:color="auto"/>
            </w:tcBorders>
            <w:shd w:val="clear" w:color="auto" w:fill="auto"/>
          </w:tcPr>
          <w:p w14:paraId="47251DAC" w14:textId="77777777" w:rsidR="0092254A" w:rsidRPr="00576299" w:rsidRDefault="0092254A" w:rsidP="00C068F2">
            <w:pPr>
              <w:pStyle w:val="Tabletext"/>
              <w:keepNext/>
              <w:keepLines/>
            </w:pPr>
            <w:r w:rsidRPr="00576299">
              <w:rPr>
                <w:szCs w:val="20"/>
              </w:rPr>
              <w:t>Total patients continuing</w:t>
            </w:r>
          </w:p>
        </w:tc>
        <w:tc>
          <w:tcPr>
            <w:tcW w:w="1134" w:type="dxa"/>
            <w:tcBorders>
              <w:bottom w:val="single" w:sz="12" w:space="0" w:color="auto"/>
            </w:tcBorders>
            <w:shd w:val="clear" w:color="auto" w:fill="auto"/>
            <w:vAlign w:val="center"/>
          </w:tcPr>
          <w:p w14:paraId="75F01EFB" w14:textId="653EC49C" w:rsidR="0092254A" w:rsidRPr="001F194F" w:rsidRDefault="00833009" w:rsidP="00C068F2">
            <w:pPr>
              <w:pStyle w:val="Tabletext"/>
              <w:keepNext/>
              <w:keepLines/>
              <w:jc w:val="center"/>
              <w:rPr>
                <w:rFonts w:cs="Calibri"/>
                <w:color w:val="000000"/>
                <w:szCs w:val="20"/>
                <w:highlight w:val="darkGray"/>
              </w:rPr>
            </w:pPr>
            <w:r w:rsidRPr="00833009">
              <w:rPr>
                <w:color w:val="000000"/>
                <w:spacing w:val="49"/>
                <w:szCs w:val="20"/>
                <w:shd w:val="solid" w:color="000000" w:fill="000000"/>
                <w:fitText w:val="226" w:id="-1304167672"/>
                <w14:textFill>
                  <w14:solidFill>
                    <w14:srgbClr w14:val="000000">
                      <w14:alpha w14:val="100000"/>
                    </w14:srgbClr>
                  </w14:solidFill>
                </w14:textFill>
              </w:rPr>
              <w:t>||</w:t>
            </w:r>
            <w:r w:rsidRPr="00833009">
              <w:rPr>
                <w:color w:val="000000"/>
                <w:spacing w:val="1"/>
                <w:szCs w:val="20"/>
                <w:shd w:val="solid" w:color="000000" w:fill="000000"/>
                <w:fitText w:val="226" w:id="-1304167672"/>
                <w14:textFill>
                  <w14:solidFill>
                    <w14:srgbClr w14:val="000000">
                      <w14:alpha w14:val="100000"/>
                    </w14:srgbClr>
                  </w14:solidFill>
                </w14:textFill>
              </w:rPr>
              <w:t>|</w:t>
            </w:r>
            <w:r w:rsidR="001F194F" w:rsidRPr="001F194F">
              <w:rPr>
                <w:rFonts w:cs="Calibri"/>
                <w:color w:val="000000"/>
                <w:szCs w:val="20"/>
                <w:vertAlign w:val="superscript"/>
              </w:rPr>
              <w:t>1</w:t>
            </w:r>
          </w:p>
        </w:tc>
        <w:tc>
          <w:tcPr>
            <w:tcW w:w="992" w:type="dxa"/>
            <w:tcBorders>
              <w:bottom w:val="single" w:sz="12" w:space="0" w:color="auto"/>
            </w:tcBorders>
            <w:shd w:val="clear" w:color="auto" w:fill="auto"/>
            <w:vAlign w:val="center"/>
          </w:tcPr>
          <w:p w14:paraId="17E178AD" w14:textId="70A90495" w:rsidR="0092254A" w:rsidRPr="001F194F" w:rsidRDefault="00833009" w:rsidP="00C068F2">
            <w:pPr>
              <w:pStyle w:val="Tabletext"/>
              <w:keepNext/>
              <w:keepLines/>
              <w:jc w:val="center"/>
              <w:rPr>
                <w:rFonts w:cs="Calibri"/>
                <w:color w:val="000000"/>
                <w:szCs w:val="20"/>
                <w:highlight w:val="darkGray"/>
              </w:rPr>
            </w:pPr>
            <w:r w:rsidRPr="00833009">
              <w:rPr>
                <w:color w:val="000000"/>
                <w:spacing w:val="204"/>
                <w:szCs w:val="20"/>
                <w:shd w:val="solid" w:color="000000" w:fill="000000"/>
                <w:fitText w:val="290" w:id="-1304167671"/>
                <w14:textFill>
                  <w14:solidFill>
                    <w14:srgbClr w14:val="000000">
                      <w14:alpha w14:val="100000"/>
                    </w14:srgbClr>
                  </w14:solidFill>
                </w14:textFill>
              </w:rPr>
              <w:t>|</w:t>
            </w:r>
            <w:r w:rsidRPr="00833009">
              <w:rPr>
                <w:color w:val="000000"/>
                <w:spacing w:val="1"/>
                <w:szCs w:val="20"/>
                <w:shd w:val="solid" w:color="000000" w:fill="000000"/>
                <w:fitText w:val="290" w:id="-1304167671"/>
                <w14:textFill>
                  <w14:solidFill>
                    <w14:srgbClr w14:val="000000">
                      <w14:alpha w14:val="100000"/>
                    </w14:srgbClr>
                  </w14:solidFill>
                </w14:textFill>
              </w:rPr>
              <w:t>|</w:t>
            </w:r>
            <w:r w:rsidR="001F194F" w:rsidRPr="001F194F">
              <w:rPr>
                <w:rFonts w:cs="Calibri"/>
                <w:color w:val="000000"/>
                <w:szCs w:val="20"/>
                <w:vertAlign w:val="superscript"/>
              </w:rPr>
              <w:t>1</w:t>
            </w:r>
          </w:p>
        </w:tc>
        <w:tc>
          <w:tcPr>
            <w:tcW w:w="992" w:type="dxa"/>
            <w:tcBorders>
              <w:bottom w:val="single" w:sz="12" w:space="0" w:color="auto"/>
            </w:tcBorders>
            <w:shd w:val="clear" w:color="auto" w:fill="auto"/>
            <w:vAlign w:val="center"/>
          </w:tcPr>
          <w:p w14:paraId="3FDF3121" w14:textId="028EA178" w:rsidR="0092254A" w:rsidRPr="001F194F" w:rsidRDefault="00833009" w:rsidP="00C068F2">
            <w:pPr>
              <w:pStyle w:val="Tabletext"/>
              <w:keepNext/>
              <w:keepLines/>
              <w:jc w:val="center"/>
              <w:rPr>
                <w:rFonts w:cs="Calibri"/>
                <w:color w:val="000000"/>
                <w:szCs w:val="20"/>
                <w:highlight w:val="darkGray"/>
              </w:rPr>
            </w:pPr>
            <w:r w:rsidRPr="00833009">
              <w:rPr>
                <w:color w:val="000000"/>
                <w:spacing w:val="204"/>
                <w:szCs w:val="20"/>
                <w:shd w:val="solid" w:color="000000" w:fill="000000"/>
                <w:fitText w:val="290" w:id="-1304167670"/>
                <w14:textFill>
                  <w14:solidFill>
                    <w14:srgbClr w14:val="000000">
                      <w14:alpha w14:val="100000"/>
                    </w14:srgbClr>
                  </w14:solidFill>
                </w14:textFill>
              </w:rPr>
              <w:t>|</w:t>
            </w:r>
            <w:r w:rsidRPr="00833009">
              <w:rPr>
                <w:color w:val="000000"/>
                <w:spacing w:val="1"/>
                <w:szCs w:val="20"/>
                <w:shd w:val="solid" w:color="000000" w:fill="000000"/>
                <w:fitText w:val="290" w:id="-1304167670"/>
                <w14:textFill>
                  <w14:solidFill>
                    <w14:srgbClr w14:val="000000">
                      <w14:alpha w14:val="100000"/>
                    </w14:srgbClr>
                  </w14:solidFill>
                </w14:textFill>
              </w:rPr>
              <w:t>|</w:t>
            </w:r>
            <w:r w:rsidR="001F194F" w:rsidRPr="001F194F">
              <w:rPr>
                <w:rFonts w:cs="Calibri"/>
                <w:color w:val="000000"/>
                <w:szCs w:val="20"/>
                <w:vertAlign w:val="superscript"/>
              </w:rPr>
              <w:t>1</w:t>
            </w:r>
          </w:p>
        </w:tc>
        <w:tc>
          <w:tcPr>
            <w:tcW w:w="992" w:type="dxa"/>
            <w:tcBorders>
              <w:bottom w:val="single" w:sz="12" w:space="0" w:color="auto"/>
            </w:tcBorders>
            <w:shd w:val="clear" w:color="auto" w:fill="auto"/>
            <w:vAlign w:val="center"/>
          </w:tcPr>
          <w:p w14:paraId="706CA63D" w14:textId="4D30B9E4" w:rsidR="0092254A" w:rsidRPr="001F194F" w:rsidRDefault="00833009" w:rsidP="00C068F2">
            <w:pPr>
              <w:pStyle w:val="Tabletext"/>
              <w:keepNext/>
              <w:keepLines/>
              <w:jc w:val="center"/>
              <w:rPr>
                <w:rFonts w:cs="Calibri"/>
                <w:color w:val="000000"/>
                <w:szCs w:val="20"/>
                <w:highlight w:val="darkGray"/>
              </w:rPr>
            </w:pPr>
            <w:r w:rsidRPr="00833009">
              <w:rPr>
                <w:color w:val="000000"/>
                <w:spacing w:val="204"/>
                <w:szCs w:val="20"/>
                <w:shd w:val="solid" w:color="000000" w:fill="000000"/>
                <w:fitText w:val="290" w:id="-1304167669"/>
                <w14:textFill>
                  <w14:solidFill>
                    <w14:srgbClr w14:val="000000">
                      <w14:alpha w14:val="100000"/>
                    </w14:srgbClr>
                  </w14:solidFill>
                </w14:textFill>
              </w:rPr>
              <w:t>|</w:t>
            </w:r>
            <w:r w:rsidRPr="00833009">
              <w:rPr>
                <w:color w:val="000000"/>
                <w:spacing w:val="1"/>
                <w:szCs w:val="20"/>
                <w:shd w:val="solid" w:color="000000" w:fill="000000"/>
                <w:fitText w:val="290" w:id="-1304167669"/>
                <w14:textFill>
                  <w14:solidFill>
                    <w14:srgbClr w14:val="000000">
                      <w14:alpha w14:val="100000"/>
                    </w14:srgbClr>
                  </w14:solidFill>
                </w14:textFill>
              </w:rPr>
              <w:t>|</w:t>
            </w:r>
            <w:r w:rsidR="001F194F" w:rsidRPr="001F194F">
              <w:rPr>
                <w:rFonts w:cs="Calibri"/>
                <w:color w:val="000000"/>
                <w:szCs w:val="20"/>
                <w:vertAlign w:val="superscript"/>
              </w:rPr>
              <w:t>1</w:t>
            </w:r>
          </w:p>
        </w:tc>
        <w:tc>
          <w:tcPr>
            <w:tcW w:w="992" w:type="dxa"/>
            <w:tcBorders>
              <w:bottom w:val="single" w:sz="12" w:space="0" w:color="auto"/>
            </w:tcBorders>
            <w:shd w:val="clear" w:color="auto" w:fill="auto"/>
            <w:vAlign w:val="center"/>
          </w:tcPr>
          <w:p w14:paraId="1332578B" w14:textId="366B8688" w:rsidR="0092254A" w:rsidRPr="001F194F" w:rsidRDefault="00833009" w:rsidP="00C068F2">
            <w:pPr>
              <w:pStyle w:val="Tabletext"/>
              <w:keepNext/>
              <w:keepLines/>
              <w:jc w:val="center"/>
              <w:rPr>
                <w:rFonts w:cs="Calibri"/>
                <w:color w:val="000000"/>
                <w:szCs w:val="20"/>
                <w:highlight w:val="darkGray"/>
              </w:rPr>
            </w:pPr>
            <w:r w:rsidRPr="00833009">
              <w:rPr>
                <w:color w:val="000000"/>
                <w:spacing w:val="204"/>
                <w:szCs w:val="20"/>
                <w:shd w:val="solid" w:color="000000" w:fill="000000"/>
                <w:fitText w:val="290" w:id="-1304167668"/>
                <w14:textFill>
                  <w14:solidFill>
                    <w14:srgbClr w14:val="000000">
                      <w14:alpha w14:val="100000"/>
                    </w14:srgbClr>
                  </w14:solidFill>
                </w14:textFill>
              </w:rPr>
              <w:t>|</w:t>
            </w:r>
            <w:r w:rsidRPr="00833009">
              <w:rPr>
                <w:color w:val="000000"/>
                <w:spacing w:val="1"/>
                <w:szCs w:val="20"/>
                <w:shd w:val="solid" w:color="000000" w:fill="000000"/>
                <w:fitText w:val="290" w:id="-1304167668"/>
                <w14:textFill>
                  <w14:solidFill>
                    <w14:srgbClr w14:val="000000">
                      <w14:alpha w14:val="100000"/>
                    </w14:srgbClr>
                  </w14:solidFill>
                </w14:textFill>
              </w:rPr>
              <w:t>|</w:t>
            </w:r>
            <w:r w:rsidR="001F194F" w:rsidRPr="001F194F">
              <w:rPr>
                <w:rFonts w:cs="Calibri"/>
                <w:color w:val="000000"/>
                <w:szCs w:val="20"/>
                <w:vertAlign w:val="superscript"/>
              </w:rPr>
              <w:t>1</w:t>
            </w:r>
          </w:p>
        </w:tc>
        <w:tc>
          <w:tcPr>
            <w:tcW w:w="993" w:type="dxa"/>
            <w:tcBorders>
              <w:bottom w:val="single" w:sz="12" w:space="0" w:color="auto"/>
            </w:tcBorders>
            <w:shd w:val="clear" w:color="auto" w:fill="auto"/>
            <w:vAlign w:val="center"/>
          </w:tcPr>
          <w:p w14:paraId="0D5519D6" w14:textId="7A1A9CB8" w:rsidR="0092254A" w:rsidRPr="001F194F" w:rsidRDefault="00833009" w:rsidP="00C068F2">
            <w:pPr>
              <w:pStyle w:val="Tabletext"/>
              <w:keepNext/>
              <w:keepLines/>
              <w:jc w:val="center"/>
              <w:rPr>
                <w:rFonts w:cs="Calibri"/>
                <w:color w:val="000000"/>
                <w:szCs w:val="20"/>
                <w:highlight w:val="darkGray"/>
              </w:rPr>
            </w:pPr>
            <w:r w:rsidRPr="00833009">
              <w:rPr>
                <w:color w:val="000000"/>
                <w:spacing w:val="204"/>
                <w:szCs w:val="20"/>
                <w:shd w:val="solid" w:color="000000" w:fill="000000"/>
                <w:fitText w:val="290" w:id="-1304167667"/>
                <w14:textFill>
                  <w14:solidFill>
                    <w14:srgbClr w14:val="000000">
                      <w14:alpha w14:val="100000"/>
                    </w14:srgbClr>
                  </w14:solidFill>
                </w14:textFill>
              </w:rPr>
              <w:t>|</w:t>
            </w:r>
            <w:r w:rsidRPr="00833009">
              <w:rPr>
                <w:color w:val="000000"/>
                <w:spacing w:val="1"/>
                <w:szCs w:val="20"/>
                <w:shd w:val="solid" w:color="000000" w:fill="000000"/>
                <w:fitText w:val="290" w:id="-1304167667"/>
                <w14:textFill>
                  <w14:solidFill>
                    <w14:srgbClr w14:val="000000">
                      <w14:alpha w14:val="100000"/>
                    </w14:srgbClr>
                  </w14:solidFill>
                </w14:textFill>
              </w:rPr>
              <w:t>|</w:t>
            </w:r>
            <w:r w:rsidR="001F194F" w:rsidRPr="001F194F">
              <w:rPr>
                <w:rFonts w:cs="Calibri"/>
                <w:color w:val="000000"/>
                <w:szCs w:val="20"/>
                <w:vertAlign w:val="superscript"/>
              </w:rPr>
              <w:t>1</w:t>
            </w:r>
          </w:p>
        </w:tc>
      </w:tr>
      <w:tr w:rsidR="0092254A" w:rsidRPr="00576299" w14:paraId="090639BB" w14:textId="77777777" w:rsidTr="00C068F2">
        <w:tc>
          <w:tcPr>
            <w:tcW w:w="9080" w:type="dxa"/>
            <w:gridSpan w:val="7"/>
            <w:tcBorders>
              <w:top w:val="single" w:sz="12" w:space="0" w:color="auto"/>
            </w:tcBorders>
            <w:shd w:val="clear" w:color="auto" w:fill="auto"/>
            <w:vAlign w:val="center"/>
          </w:tcPr>
          <w:p w14:paraId="0FB760B8" w14:textId="77777777" w:rsidR="0092254A" w:rsidRPr="00576299" w:rsidRDefault="0092254A" w:rsidP="00C068F2">
            <w:pPr>
              <w:pStyle w:val="Tabletext"/>
              <w:keepNext/>
              <w:keepLines/>
            </w:pPr>
            <w:r w:rsidRPr="00576299">
              <w:t>Number of scripts</w:t>
            </w:r>
          </w:p>
        </w:tc>
      </w:tr>
      <w:tr w:rsidR="0092254A" w:rsidRPr="00576299" w14:paraId="31BC8BA2" w14:textId="77777777" w:rsidTr="00B765C2">
        <w:tc>
          <w:tcPr>
            <w:tcW w:w="2985" w:type="dxa"/>
            <w:shd w:val="clear" w:color="auto" w:fill="auto"/>
            <w:vAlign w:val="center"/>
          </w:tcPr>
          <w:p w14:paraId="4EE167F7" w14:textId="77777777" w:rsidR="0092254A" w:rsidRPr="00576299" w:rsidRDefault="0092254A" w:rsidP="00C068F2">
            <w:pPr>
              <w:pStyle w:val="Tabletext"/>
              <w:keepNext/>
              <w:keepLines/>
              <w:rPr>
                <w:vertAlign w:val="superscript"/>
              </w:rPr>
            </w:pPr>
            <w:r w:rsidRPr="00576299">
              <w:t xml:space="preserve">Initiating scripts (excluding GF) </w:t>
            </w:r>
            <w:r w:rsidRPr="00576299">
              <w:rPr>
                <w:vertAlign w:val="superscript"/>
              </w:rPr>
              <w:t>a, b</w:t>
            </w:r>
          </w:p>
        </w:tc>
        <w:tc>
          <w:tcPr>
            <w:tcW w:w="1134" w:type="dxa"/>
            <w:shd w:val="clear" w:color="auto" w:fill="auto"/>
          </w:tcPr>
          <w:p w14:paraId="385E4EF0" w14:textId="5BD608C4" w:rsidR="0092254A" w:rsidRPr="001F194F" w:rsidRDefault="00833009" w:rsidP="00C068F2">
            <w:pPr>
              <w:pStyle w:val="Tabletext"/>
              <w:keepNext/>
              <w:keepLines/>
              <w:jc w:val="center"/>
              <w:rPr>
                <w:highlight w:val="darkGray"/>
              </w:rPr>
            </w:pPr>
            <w:r w:rsidRPr="00833009">
              <w:rPr>
                <w:color w:val="000000"/>
                <w:spacing w:val="49"/>
                <w:shd w:val="solid" w:color="000000" w:fill="000000"/>
                <w:fitText w:val="226" w:id="-1304167666"/>
                <w14:textFill>
                  <w14:solidFill>
                    <w14:srgbClr w14:val="000000">
                      <w14:alpha w14:val="100000"/>
                    </w14:srgbClr>
                  </w14:solidFill>
                </w14:textFill>
              </w:rPr>
              <w:t>||</w:t>
            </w:r>
            <w:r w:rsidRPr="00833009">
              <w:rPr>
                <w:color w:val="000000"/>
                <w:spacing w:val="1"/>
                <w:shd w:val="solid" w:color="000000" w:fill="000000"/>
                <w:fitText w:val="226" w:id="-1304167666"/>
                <w14:textFill>
                  <w14:solidFill>
                    <w14:srgbClr w14:val="000000">
                      <w14:alpha w14:val="100000"/>
                    </w14:srgbClr>
                  </w14:solidFill>
                </w14:textFill>
              </w:rPr>
              <w:t>|</w:t>
            </w:r>
            <w:r w:rsidR="001F194F" w:rsidRPr="001F194F">
              <w:rPr>
                <w:rFonts w:cs="Calibri"/>
                <w:color w:val="000000"/>
                <w:szCs w:val="20"/>
                <w:vertAlign w:val="superscript"/>
              </w:rPr>
              <w:t>1</w:t>
            </w:r>
          </w:p>
        </w:tc>
        <w:tc>
          <w:tcPr>
            <w:tcW w:w="992" w:type="dxa"/>
            <w:shd w:val="clear" w:color="auto" w:fill="auto"/>
          </w:tcPr>
          <w:p w14:paraId="15072FB9" w14:textId="55016021" w:rsidR="0092254A" w:rsidRPr="001F194F" w:rsidRDefault="00833009" w:rsidP="00C068F2">
            <w:pPr>
              <w:pStyle w:val="Tabletext"/>
              <w:keepNext/>
              <w:keepLines/>
              <w:jc w:val="center"/>
              <w:rPr>
                <w:highlight w:val="darkGray"/>
              </w:rPr>
            </w:pPr>
            <w:r w:rsidRPr="00833009">
              <w:rPr>
                <w:color w:val="000000"/>
                <w:spacing w:val="204"/>
                <w:shd w:val="solid" w:color="000000" w:fill="000000"/>
                <w:fitText w:val="290" w:id="-1304167665"/>
                <w14:textFill>
                  <w14:solidFill>
                    <w14:srgbClr w14:val="000000">
                      <w14:alpha w14:val="100000"/>
                    </w14:srgbClr>
                  </w14:solidFill>
                </w14:textFill>
              </w:rPr>
              <w:t>|</w:t>
            </w:r>
            <w:r w:rsidRPr="00833009">
              <w:rPr>
                <w:color w:val="000000"/>
                <w:spacing w:val="1"/>
                <w:shd w:val="solid" w:color="000000" w:fill="000000"/>
                <w:fitText w:val="290" w:id="-1304167665"/>
                <w14:textFill>
                  <w14:solidFill>
                    <w14:srgbClr w14:val="000000">
                      <w14:alpha w14:val="100000"/>
                    </w14:srgbClr>
                  </w14:solidFill>
                </w14:textFill>
              </w:rPr>
              <w:t>|</w:t>
            </w:r>
            <w:r w:rsidR="001F194F" w:rsidRPr="001F194F">
              <w:rPr>
                <w:rFonts w:cs="Calibri"/>
                <w:color w:val="000000"/>
                <w:szCs w:val="20"/>
                <w:vertAlign w:val="superscript"/>
              </w:rPr>
              <w:t>1</w:t>
            </w:r>
          </w:p>
        </w:tc>
        <w:tc>
          <w:tcPr>
            <w:tcW w:w="992" w:type="dxa"/>
            <w:shd w:val="clear" w:color="auto" w:fill="auto"/>
          </w:tcPr>
          <w:p w14:paraId="4FBE7A36" w14:textId="6AC0A1CF" w:rsidR="0092254A" w:rsidRPr="001F194F" w:rsidRDefault="00833009" w:rsidP="00C068F2">
            <w:pPr>
              <w:pStyle w:val="Tabletext"/>
              <w:keepNext/>
              <w:keepLines/>
              <w:jc w:val="center"/>
              <w:rPr>
                <w:highlight w:val="darkGray"/>
              </w:rPr>
            </w:pPr>
            <w:r w:rsidRPr="00833009">
              <w:rPr>
                <w:color w:val="000000"/>
                <w:spacing w:val="204"/>
                <w:shd w:val="solid" w:color="000000" w:fill="000000"/>
                <w:fitText w:val="290" w:id="-1304167664"/>
                <w14:textFill>
                  <w14:solidFill>
                    <w14:srgbClr w14:val="000000">
                      <w14:alpha w14:val="100000"/>
                    </w14:srgbClr>
                  </w14:solidFill>
                </w14:textFill>
              </w:rPr>
              <w:t>|</w:t>
            </w:r>
            <w:r w:rsidRPr="00833009">
              <w:rPr>
                <w:color w:val="000000"/>
                <w:spacing w:val="1"/>
                <w:shd w:val="solid" w:color="000000" w:fill="000000"/>
                <w:fitText w:val="290" w:id="-1304167664"/>
                <w14:textFill>
                  <w14:solidFill>
                    <w14:srgbClr w14:val="000000">
                      <w14:alpha w14:val="100000"/>
                    </w14:srgbClr>
                  </w14:solidFill>
                </w14:textFill>
              </w:rPr>
              <w:t>|</w:t>
            </w:r>
            <w:r w:rsidR="001F194F" w:rsidRPr="001F194F">
              <w:rPr>
                <w:rFonts w:cs="Calibri"/>
                <w:color w:val="000000"/>
                <w:szCs w:val="20"/>
                <w:vertAlign w:val="superscript"/>
              </w:rPr>
              <w:t>1</w:t>
            </w:r>
          </w:p>
        </w:tc>
        <w:tc>
          <w:tcPr>
            <w:tcW w:w="992" w:type="dxa"/>
            <w:shd w:val="clear" w:color="auto" w:fill="auto"/>
          </w:tcPr>
          <w:p w14:paraId="596357B0" w14:textId="721C48F2" w:rsidR="0092254A" w:rsidRPr="001F194F" w:rsidRDefault="00833009" w:rsidP="00C068F2">
            <w:pPr>
              <w:pStyle w:val="Tabletext"/>
              <w:keepNext/>
              <w:keepLines/>
              <w:jc w:val="center"/>
              <w:rPr>
                <w:highlight w:val="darkGray"/>
              </w:rPr>
            </w:pPr>
            <w:r w:rsidRPr="00833009">
              <w:rPr>
                <w:color w:val="000000"/>
                <w:spacing w:val="204"/>
                <w:shd w:val="solid" w:color="000000" w:fill="000000"/>
                <w:fitText w:val="290" w:id="-1304167680"/>
                <w14:textFill>
                  <w14:solidFill>
                    <w14:srgbClr w14:val="000000">
                      <w14:alpha w14:val="100000"/>
                    </w14:srgbClr>
                  </w14:solidFill>
                </w14:textFill>
              </w:rPr>
              <w:t>|</w:t>
            </w:r>
            <w:r w:rsidRPr="00833009">
              <w:rPr>
                <w:color w:val="000000"/>
                <w:spacing w:val="1"/>
                <w:shd w:val="solid" w:color="000000" w:fill="000000"/>
                <w:fitText w:val="290" w:id="-1304167680"/>
                <w14:textFill>
                  <w14:solidFill>
                    <w14:srgbClr w14:val="000000">
                      <w14:alpha w14:val="100000"/>
                    </w14:srgbClr>
                  </w14:solidFill>
                </w14:textFill>
              </w:rPr>
              <w:t>|</w:t>
            </w:r>
            <w:r w:rsidR="00B765C2">
              <w:rPr>
                <w:rFonts w:cs="Calibri"/>
                <w:color w:val="000000"/>
                <w:szCs w:val="20"/>
                <w:vertAlign w:val="superscript"/>
              </w:rPr>
              <w:t>2</w:t>
            </w:r>
          </w:p>
        </w:tc>
        <w:tc>
          <w:tcPr>
            <w:tcW w:w="992" w:type="dxa"/>
            <w:shd w:val="clear" w:color="auto" w:fill="auto"/>
          </w:tcPr>
          <w:p w14:paraId="5327CE42" w14:textId="100FECB2" w:rsidR="0092254A" w:rsidRPr="001F194F" w:rsidRDefault="00833009" w:rsidP="00C068F2">
            <w:pPr>
              <w:pStyle w:val="Tabletext"/>
              <w:keepNext/>
              <w:keepLines/>
              <w:jc w:val="center"/>
              <w:rPr>
                <w:highlight w:val="darkGray"/>
              </w:rPr>
            </w:pPr>
            <w:r w:rsidRPr="00833009">
              <w:rPr>
                <w:color w:val="000000"/>
                <w:spacing w:val="204"/>
                <w:shd w:val="solid" w:color="000000" w:fill="000000"/>
                <w:fitText w:val="290" w:id="-1304167679"/>
                <w14:textFill>
                  <w14:solidFill>
                    <w14:srgbClr w14:val="000000">
                      <w14:alpha w14:val="100000"/>
                    </w14:srgbClr>
                  </w14:solidFill>
                </w14:textFill>
              </w:rPr>
              <w:t>|</w:t>
            </w:r>
            <w:r w:rsidRPr="00833009">
              <w:rPr>
                <w:color w:val="000000"/>
                <w:spacing w:val="1"/>
                <w:shd w:val="solid" w:color="000000" w:fill="000000"/>
                <w:fitText w:val="290" w:id="-1304167679"/>
                <w14:textFill>
                  <w14:solidFill>
                    <w14:srgbClr w14:val="000000">
                      <w14:alpha w14:val="100000"/>
                    </w14:srgbClr>
                  </w14:solidFill>
                </w14:textFill>
              </w:rPr>
              <w:t>|</w:t>
            </w:r>
            <w:r w:rsidR="00B765C2">
              <w:rPr>
                <w:rFonts w:cs="Calibri"/>
                <w:color w:val="000000"/>
                <w:szCs w:val="20"/>
                <w:vertAlign w:val="superscript"/>
              </w:rPr>
              <w:t>2</w:t>
            </w:r>
          </w:p>
        </w:tc>
        <w:tc>
          <w:tcPr>
            <w:tcW w:w="993" w:type="dxa"/>
            <w:shd w:val="clear" w:color="auto" w:fill="auto"/>
          </w:tcPr>
          <w:p w14:paraId="39209338" w14:textId="08C07AE2" w:rsidR="0092254A" w:rsidRPr="001F194F" w:rsidRDefault="00833009" w:rsidP="00C068F2">
            <w:pPr>
              <w:pStyle w:val="Tabletext"/>
              <w:keepNext/>
              <w:keepLines/>
              <w:jc w:val="center"/>
              <w:rPr>
                <w:highlight w:val="darkGray"/>
              </w:rPr>
            </w:pPr>
            <w:r w:rsidRPr="00833009">
              <w:rPr>
                <w:color w:val="000000"/>
                <w:spacing w:val="204"/>
                <w:shd w:val="solid" w:color="000000" w:fill="000000"/>
                <w:fitText w:val="290" w:id="-1304167678"/>
                <w14:textFill>
                  <w14:solidFill>
                    <w14:srgbClr w14:val="000000">
                      <w14:alpha w14:val="100000"/>
                    </w14:srgbClr>
                  </w14:solidFill>
                </w14:textFill>
              </w:rPr>
              <w:t>|</w:t>
            </w:r>
            <w:r w:rsidRPr="00833009">
              <w:rPr>
                <w:color w:val="000000"/>
                <w:spacing w:val="1"/>
                <w:shd w:val="solid" w:color="000000" w:fill="000000"/>
                <w:fitText w:val="290" w:id="-1304167678"/>
                <w14:textFill>
                  <w14:solidFill>
                    <w14:srgbClr w14:val="000000">
                      <w14:alpha w14:val="100000"/>
                    </w14:srgbClr>
                  </w14:solidFill>
                </w14:textFill>
              </w:rPr>
              <w:t>|</w:t>
            </w:r>
            <w:r w:rsidR="00B765C2">
              <w:rPr>
                <w:rFonts w:cs="Calibri"/>
                <w:color w:val="000000"/>
                <w:szCs w:val="20"/>
                <w:vertAlign w:val="superscript"/>
              </w:rPr>
              <w:t>2</w:t>
            </w:r>
          </w:p>
        </w:tc>
      </w:tr>
      <w:tr w:rsidR="0092254A" w:rsidRPr="00576299" w14:paraId="6ED4E112" w14:textId="77777777" w:rsidTr="00B765C2">
        <w:tc>
          <w:tcPr>
            <w:tcW w:w="2985" w:type="dxa"/>
            <w:shd w:val="clear" w:color="auto" w:fill="auto"/>
            <w:vAlign w:val="center"/>
          </w:tcPr>
          <w:p w14:paraId="294599D9" w14:textId="77777777" w:rsidR="0092254A" w:rsidRPr="00576299" w:rsidRDefault="0092254A" w:rsidP="00C068F2">
            <w:pPr>
              <w:pStyle w:val="Tabletext"/>
              <w:keepNext/>
              <w:keepLines/>
              <w:rPr>
                <w:vertAlign w:val="superscript"/>
              </w:rPr>
            </w:pPr>
            <w:r w:rsidRPr="00576299">
              <w:t xml:space="preserve">Continuing scripts (excluding GF) </w:t>
            </w:r>
            <w:r w:rsidRPr="00576299">
              <w:rPr>
                <w:vertAlign w:val="superscript"/>
              </w:rPr>
              <w:t>a,</w:t>
            </w:r>
            <w:r w:rsidRPr="00576299">
              <w:t xml:space="preserve"> </w:t>
            </w:r>
            <w:r w:rsidRPr="00576299">
              <w:rPr>
                <w:vertAlign w:val="superscript"/>
              </w:rPr>
              <w:t>c</w:t>
            </w:r>
          </w:p>
        </w:tc>
        <w:tc>
          <w:tcPr>
            <w:tcW w:w="1134" w:type="dxa"/>
            <w:shd w:val="clear" w:color="auto" w:fill="auto"/>
            <w:vAlign w:val="center"/>
          </w:tcPr>
          <w:p w14:paraId="6E2BE50F" w14:textId="1D6B7B73" w:rsidR="0092254A" w:rsidRPr="001F194F" w:rsidRDefault="00833009" w:rsidP="00C068F2">
            <w:pPr>
              <w:pStyle w:val="Tabletext"/>
              <w:keepNext/>
              <w:keepLines/>
              <w:jc w:val="center"/>
              <w:rPr>
                <w:highlight w:val="darkGray"/>
                <w:vertAlign w:val="superscript"/>
              </w:rPr>
            </w:pPr>
            <w:r w:rsidRPr="00833009">
              <w:rPr>
                <w:rFonts w:cs="Calibri"/>
                <w:color w:val="000000"/>
                <w:spacing w:val="49"/>
                <w:szCs w:val="20"/>
                <w:shd w:val="solid" w:color="000000" w:fill="000000"/>
                <w:fitText w:val="226" w:id="-1304167677"/>
                <w14:textFill>
                  <w14:solidFill>
                    <w14:srgbClr w14:val="000000">
                      <w14:alpha w14:val="100000"/>
                    </w14:srgbClr>
                  </w14:solidFill>
                </w14:textFill>
              </w:rPr>
              <w:t>||</w:t>
            </w:r>
            <w:r w:rsidRPr="00833009">
              <w:rPr>
                <w:rFonts w:cs="Calibri"/>
                <w:color w:val="000000"/>
                <w:spacing w:val="1"/>
                <w:szCs w:val="20"/>
                <w:shd w:val="solid" w:color="000000" w:fill="000000"/>
                <w:fitText w:val="226" w:id="-1304167677"/>
                <w14:textFill>
                  <w14:solidFill>
                    <w14:srgbClr w14:val="000000">
                      <w14:alpha w14:val="100000"/>
                    </w14:srgbClr>
                  </w14:solidFill>
                </w14:textFill>
              </w:rPr>
              <w:t>|</w:t>
            </w:r>
            <w:r w:rsidR="001F194F">
              <w:rPr>
                <w:rFonts w:cs="Calibri"/>
                <w:color w:val="000000"/>
                <w:szCs w:val="20"/>
                <w:vertAlign w:val="superscript"/>
              </w:rPr>
              <w:t>2</w:t>
            </w:r>
          </w:p>
        </w:tc>
        <w:tc>
          <w:tcPr>
            <w:tcW w:w="992" w:type="dxa"/>
            <w:shd w:val="clear" w:color="auto" w:fill="auto"/>
            <w:vAlign w:val="center"/>
          </w:tcPr>
          <w:p w14:paraId="24FF5860" w14:textId="75C97615" w:rsidR="0092254A" w:rsidRPr="001F194F" w:rsidRDefault="00833009" w:rsidP="00C068F2">
            <w:pPr>
              <w:pStyle w:val="Tabletext"/>
              <w:keepNext/>
              <w:keepLines/>
              <w:jc w:val="center"/>
              <w:rPr>
                <w:highlight w:val="darkGray"/>
              </w:rPr>
            </w:pPr>
            <w:r w:rsidRPr="00833009">
              <w:rPr>
                <w:rFonts w:cs="Calibri"/>
                <w:color w:val="000000"/>
                <w:spacing w:val="204"/>
                <w:szCs w:val="20"/>
                <w:shd w:val="solid" w:color="000000" w:fill="000000"/>
                <w:fitText w:val="290" w:id="-1304167676"/>
                <w14:textFill>
                  <w14:solidFill>
                    <w14:srgbClr w14:val="000000">
                      <w14:alpha w14:val="100000"/>
                    </w14:srgbClr>
                  </w14:solidFill>
                </w14:textFill>
              </w:rPr>
              <w:t>|</w:t>
            </w:r>
            <w:r w:rsidRPr="00833009">
              <w:rPr>
                <w:rFonts w:cs="Calibri"/>
                <w:color w:val="000000"/>
                <w:spacing w:val="1"/>
                <w:szCs w:val="20"/>
                <w:shd w:val="solid" w:color="000000" w:fill="000000"/>
                <w:fitText w:val="290" w:id="-1304167676"/>
                <w14:textFill>
                  <w14:solidFill>
                    <w14:srgbClr w14:val="000000">
                      <w14:alpha w14:val="100000"/>
                    </w14:srgbClr>
                  </w14:solidFill>
                </w14:textFill>
              </w:rPr>
              <w:t>|</w:t>
            </w:r>
            <w:r w:rsidR="001F194F">
              <w:rPr>
                <w:rFonts w:cs="Calibri"/>
                <w:color w:val="000000"/>
                <w:szCs w:val="20"/>
                <w:vertAlign w:val="superscript"/>
              </w:rPr>
              <w:t>2</w:t>
            </w:r>
          </w:p>
        </w:tc>
        <w:tc>
          <w:tcPr>
            <w:tcW w:w="992" w:type="dxa"/>
            <w:shd w:val="clear" w:color="auto" w:fill="auto"/>
            <w:vAlign w:val="center"/>
          </w:tcPr>
          <w:p w14:paraId="72EE3250" w14:textId="4634B5CE" w:rsidR="0092254A" w:rsidRPr="001F194F" w:rsidRDefault="00833009" w:rsidP="00C068F2">
            <w:pPr>
              <w:pStyle w:val="Tabletext"/>
              <w:keepNext/>
              <w:keepLines/>
              <w:jc w:val="center"/>
              <w:rPr>
                <w:highlight w:val="darkGray"/>
              </w:rPr>
            </w:pPr>
            <w:r w:rsidRPr="00833009">
              <w:rPr>
                <w:rFonts w:cs="Calibri"/>
                <w:color w:val="000000"/>
                <w:spacing w:val="204"/>
                <w:szCs w:val="20"/>
                <w:shd w:val="solid" w:color="000000" w:fill="000000"/>
                <w:fitText w:val="290" w:id="-1304167675"/>
                <w14:textFill>
                  <w14:solidFill>
                    <w14:srgbClr w14:val="000000">
                      <w14:alpha w14:val="100000"/>
                    </w14:srgbClr>
                  </w14:solidFill>
                </w14:textFill>
              </w:rPr>
              <w:t>|</w:t>
            </w:r>
            <w:r w:rsidRPr="00833009">
              <w:rPr>
                <w:rFonts w:cs="Calibri"/>
                <w:color w:val="000000"/>
                <w:spacing w:val="1"/>
                <w:szCs w:val="20"/>
                <w:shd w:val="solid" w:color="000000" w:fill="000000"/>
                <w:fitText w:val="290" w:id="-1304167675"/>
                <w14:textFill>
                  <w14:solidFill>
                    <w14:srgbClr w14:val="000000">
                      <w14:alpha w14:val="100000"/>
                    </w14:srgbClr>
                  </w14:solidFill>
                </w14:textFill>
              </w:rPr>
              <w:t>|</w:t>
            </w:r>
            <w:r w:rsidR="001F194F">
              <w:rPr>
                <w:rFonts w:cs="Calibri"/>
                <w:color w:val="000000"/>
                <w:szCs w:val="20"/>
                <w:vertAlign w:val="superscript"/>
              </w:rPr>
              <w:t>2</w:t>
            </w:r>
          </w:p>
        </w:tc>
        <w:tc>
          <w:tcPr>
            <w:tcW w:w="992" w:type="dxa"/>
            <w:shd w:val="clear" w:color="auto" w:fill="auto"/>
            <w:vAlign w:val="center"/>
          </w:tcPr>
          <w:p w14:paraId="370D264B" w14:textId="37FC5B2E" w:rsidR="0092254A" w:rsidRPr="001F194F" w:rsidRDefault="00833009" w:rsidP="00C068F2">
            <w:pPr>
              <w:pStyle w:val="Tabletext"/>
              <w:keepNext/>
              <w:keepLines/>
              <w:jc w:val="center"/>
              <w:rPr>
                <w:highlight w:val="darkGray"/>
              </w:rPr>
            </w:pPr>
            <w:r w:rsidRPr="00833009">
              <w:rPr>
                <w:rFonts w:cs="Calibri"/>
                <w:color w:val="000000"/>
                <w:spacing w:val="204"/>
                <w:szCs w:val="20"/>
                <w:shd w:val="solid" w:color="000000" w:fill="000000"/>
                <w:fitText w:val="290" w:id="-1304167674"/>
                <w14:textFill>
                  <w14:solidFill>
                    <w14:srgbClr w14:val="000000">
                      <w14:alpha w14:val="100000"/>
                    </w14:srgbClr>
                  </w14:solidFill>
                </w14:textFill>
              </w:rPr>
              <w:t>|</w:t>
            </w:r>
            <w:r w:rsidRPr="00833009">
              <w:rPr>
                <w:rFonts w:cs="Calibri"/>
                <w:color w:val="000000"/>
                <w:spacing w:val="1"/>
                <w:szCs w:val="20"/>
                <w:shd w:val="solid" w:color="000000" w:fill="000000"/>
                <w:fitText w:val="290" w:id="-1304167674"/>
                <w14:textFill>
                  <w14:solidFill>
                    <w14:srgbClr w14:val="000000">
                      <w14:alpha w14:val="100000"/>
                    </w14:srgbClr>
                  </w14:solidFill>
                </w14:textFill>
              </w:rPr>
              <w:t>|</w:t>
            </w:r>
            <w:r w:rsidR="001F194F">
              <w:rPr>
                <w:rFonts w:cs="Calibri"/>
                <w:color w:val="000000"/>
                <w:szCs w:val="20"/>
                <w:vertAlign w:val="superscript"/>
              </w:rPr>
              <w:t>2</w:t>
            </w:r>
          </w:p>
        </w:tc>
        <w:tc>
          <w:tcPr>
            <w:tcW w:w="992" w:type="dxa"/>
            <w:shd w:val="clear" w:color="auto" w:fill="auto"/>
            <w:vAlign w:val="center"/>
          </w:tcPr>
          <w:p w14:paraId="0E82CF36" w14:textId="6B24CC4E" w:rsidR="0092254A" w:rsidRPr="001F194F" w:rsidRDefault="00833009" w:rsidP="00C068F2">
            <w:pPr>
              <w:pStyle w:val="Tabletext"/>
              <w:keepNext/>
              <w:keepLines/>
              <w:jc w:val="center"/>
              <w:rPr>
                <w:highlight w:val="darkGray"/>
              </w:rPr>
            </w:pPr>
            <w:r w:rsidRPr="00833009">
              <w:rPr>
                <w:rFonts w:cs="Calibri"/>
                <w:color w:val="000000"/>
                <w:spacing w:val="204"/>
                <w:szCs w:val="20"/>
                <w:shd w:val="solid" w:color="000000" w:fill="000000"/>
                <w:fitText w:val="290" w:id="-1304167673"/>
                <w14:textFill>
                  <w14:solidFill>
                    <w14:srgbClr w14:val="000000">
                      <w14:alpha w14:val="100000"/>
                    </w14:srgbClr>
                  </w14:solidFill>
                </w14:textFill>
              </w:rPr>
              <w:t>|</w:t>
            </w:r>
            <w:r w:rsidRPr="00833009">
              <w:rPr>
                <w:rFonts w:cs="Calibri"/>
                <w:color w:val="000000"/>
                <w:spacing w:val="1"/>
                <w:szCs w:val="20"/>
                <w:shd w:val="solid" w:color="000000" w:fill="000000"/>
                <w:fitText w:val="290" w:id="-1304167673"/>
                <w14:textFill>
                  <w14:solidFill>
                    <w14:srgbClr w14:val="000000">
                      <w14:alpha w14:val="100000"/>
                    </w14:srgbClr>
                  </w14:solidFill>
                </w14:textFill>
              </w:rPr>
              <w:t>|</w:t>
            </w:r>
            <w:r w:rsidR="001F194F">
              <w:rPr>
                <w:rFonts w:cs="Calibri"/>
                <w:color w:val="000000"/>
                <w:szCs w:val="20"/>
                <w:vertAlign w:val="superscript"/>
              </w:rPr>
              <w:t>2</w:t>
            </w:r>
          </w:p>
        </w:tc>
        <w:tc>
          <w:tcPr>
            <w:tcW w:w="993" w:type="dxa"/>
            <w:shd w:val="clear" w:color="auto" w:fill="auto"/>
            <w:vAlign w:val="center"/>
          </w:tcPr>
          <w:p w14:paraId="4B53F46D" w14:textId="44AC4B39" w:rsidR="0092254A" w:rsidRPr="001F194F" w:rsidRDefault="00833009" w:rsidP="00C068F2">
            <w:pPr>
              <w:pStyle w:val="Tabletext"/>
              <w:keepNext/>
              <w:keepLines/>
              <w:jc w:val="center"/>
              <w:rPr>
                <w:highlight w:val="darkGray"/>
              </w:rPr>
            </w:pPr>
            <w:r w:rsidRPr="00833009">
              <w:rPr>
                <w:rFonts w:cs="Calibri"/>
                <w:color w:val="000000"/>
                <w:spacing w:val="204"/>
                <w:szCs w:val="20"/>
                <w:shd w:val="solid" w:color="000000" w:fill="000000"/>
                <w:fitText w:val="290" w:id="-1304167672"/>
                <w14:textFill>
                  <w14:solidFill>
                    <w14:srgbClr w14:val="000000">
                      <w14:alpha w14:val="100000"/>
                    </w14:srgbClr>
                  </w14:solidFill>
                </w14:textFill>
              </w:rPr>
              <w:t>|</w:t>
            </w:r>
            <w:r w:rsidRPr="00833009">
              <w:rPr>
                <w:rFonts w:cs="Calibri"/>
                <w:color w:val="000000"/>
                <w:spacing w:val="1"/>
                <w:szCs w:val="20"/>
                <w:shd w:val="solid" w:color="000000" w:fill="000000"/>
                <w:fitText w:val="290" w:id="-1304167672"/>
                <w14:textFill>
                  <w14:solidFill>
                    <w14:srgbClr w14:val="000000">
                      <w14:alpha w14:val="100000"/>
                    </w14:srgbClr>
                  </w14:solidFill>
                </w14:textFill>
              </w:rPr>
              <w:t>|</w:t>
            </w:r>
            <w:r w:rsidR="001F194F">
              <w:rPr>
                <w:rFonts w:cs="Calibri"/>
                <w:color w:val="000000"/>
                <w:szCs w:val="20"/>
                <w:vertAlign w:val="superscript"/>
              </w:rPr>
              <w:t>2</w:t>
            </w:r>
          </w:p>
        </w:tc>
      </w:tr>
      <w:tr w:rsidR="0092254A" w:rsidRPr="00576299" w14:paraId="60ABDFF9" w14:textId="77777777" w:rsidTr="00B765C2">
        <w:tc>
          <w:tcPr>
            <w:tcW w:w="2985" w:type="dxa"/>
            <w:shd w:val="clear" w:color="auto" w:fill="auto"/>
            <w:vAlign w:val="center"/>
          </w:tcPr>
          <w:p w14:paraId="77CB69D2" w14:textId="77777777" w:rsidR="0092254A" w:rsidRPr="00576299" w:rsidRDefault="0092254A" w:rsidP="00C068F2">
            <w:pPr>
              <w:pStyle w:val="Tabletext"/>
              <w:keepNext/>
              <w:keepLines/>
            </w:pPr>
            <w:r w:rsidRPr="00576299">
              <w:t xml:space="preserve">GF initiating scripts </w:t>
            </w:r>
            <w:r w:rsidRPr="00576299">
              <w:rPr>
                <w:vertAlign w:val="superscript"/>
              </w:rPr>
              <w:t>d</w:t>
            </w:r>
          </w:p>
        </w:tc>
        <w:tc>
          <w:tcPr>
            <w:tcW w:w="1134" w:type="dxa"/>
            <w:shd w:val="clear" w:color="auto" w:fill="auto"/>
            <w:vAlign w:val="center"/>
          </w:tcPr>
          <w:p w14:paraId="51A787E9" w14:textId="693E2862" w:rsidR="0092254A" w:rsidRPr="001F194F" w:rsidRDefault="00833009" w:rsidP="00C068F2">
            <w:pPr>
              <w:pStyle w:val="Tabletext"/>
              <w:keepNext/>
              <w:keepLines/>
              <w:jc w:val="center"/>
              <w:rPr>
                <w:highlight w:val="darkGray"/>
              </w:rPr>
            </w:pPr>
            <w:r w:rsidRPr="00833009">
              <w:rPr>
                <w:rFonts w:cs="Calibri"/>
                <w:color w:val="000000"/>
                <w:spacing w:val="49"/>
                <w:szCs w:val="20"/>
                <w:shd w:val="solid" w:color="000000" w:fill="000000"/>
                <w:fitText w:val="226" w:id="-1304167671"/>
                <w14:textFill>
                  <w14:solidFill>
                    <w14:srgbClr w14:val="000000">
                      <w14:alpha w14:val="100000"/>
                    </w14:srgbClr>
                  </w14:solidFill>
                </w14:textFill>
              </w:rPr>
              <w:t>||</w:t>
            </w:r>
            <w:r w:rsidRPr="00833009">
              <w:rPr>
                <w:rFonts w:cs="Calibri"/>
                <w:color w:val="000000"/>
                <w:spacing w:val="1"/>
                <w:szCs w:val="20"/>
                <w:shd w:val="solid" w:color="000000" w:fill="000000"/>
                <w:fitText w:val="226" w:id="-1304167671"/>
                <w14:textFill>
                  <w14:solidFill>
                    <w14:srgbClr w14:val="000000">
                      <w14:alpha w14:val="100000"/>
                    </w14:srgbClr>
                  </w14:solidFill>
                </w14:textFill>
              </w:rPr>
              <w:t>|</w:t>
            </w:r>
            <w:r w:rsidR="001F194F" w:rsidRPr="001F194F">
              <w:rPr>
                <w:rFonts w:cs="Calibri"/>
                <w:color w:val="000000"/>
                <w:szCs w:val="20"/>
                <w:vertAlign w:val="superscript"/>
              </w:rPr>
              <w:t>1</w:t>
            </w:r>
          </w:p>
        </w:tc>
        <w:tc>
          <w:tcPr>
            <w:tcW w:w="992" w:type="dxa"/>
            <w:shd w:val="clear" w:color="auto" w:fill="auto"/>
            <w:vAlign w:val="center"/>
          </w:tcPr>
          <w:p w14:paraId="2315E1C5" w14:textId="4F660B58" w:rsidR="0092254A" w:rsidRPr="001F194F" w:rsidRDefault="001F194F" w:rsidP="00C068F2">
            <w:pPr>
              <w:pStyle w:val="Tabletext"/>
              <w:keepNext/>
              <w:keepLines/>
              <w:jc w:val="center"/>
            </w:pPr>
            <w:r>
              <w:t>-</w:t>
            </w:r>
          </w:p>
        </w:tc>
        <w:tc>
          <w:tcPr>
            <w:tcW w:w="992" w:type="dxa"/>
            <w:shd w:val="clear" w:color="auto" w:fill="auto"/>
            <w:vAlign w:val="center"/>
          </w:tcPr>
          <w:p w14:paraId="1982FA2A" w14:textId="18CE152C" w:rsidR="0092254A" w:rsidRPr="001F194F" w:rsidRDefault="001F194F" w:rsidP="00C068F2">
            <w:pPr>
              <w:pStyle w:val="Tabletext"/>
              <w:keepNext/>
              <w:keepLines/>
              <w:jc w:val="center"/>
            </w:pPr>
            <w:r>
              <w:t>-</w:t>
            </w:r>
          </w:p>
        </w:tc>
        <w:tc>
          <w:tcPr>
            <w:tcW w:w="992" w:type="dxa"/>
            <w:shd w:val="clear" w:color="auto" w:fill="auto"/>
            <w:vAlign w:val="center"/>
          </w:tcPr>
          <w:p w14:paraId="50C3EE8E" w14:textId="350F0989" w:rsidR="0092254A" w:rsidRPr="001F194F" w:rsidRDefault="001F194F" w:rsidP="00C068F2">
            <w:pPr>
              <w:pStyle w:val="Tabletext"/>
              <w:keepNext/>
              <w:keepLines/>
              <w:jc w:val="center"/>
            </w:pPr>
            <w:r>
              <w:t>-</w:t>
            </w:r>
          </w:p>
        </w:tc>
        <w:tc>
          <w:tcPr>
            <w:tcW w:w="992" w:type="dxa"/>
            <w:shd w:val="clear" w:color="auto" w:fill="auto"/>
            <w:vAlign w:val="center"/>
          </w:tcPr>
          <w:p w14:paraId="07A39A80" w14:textId="1CED8A5D" w:rsidR="0092254A" w:rsidRPr="001F194F" w:rsidRDefault="001F194F" w:rsidP="00C068F2">
            <w:pPr>
              <w:pStyle w:val="Tabletext"/>
              <w:keepNext/>
              <w:keepLines/>
              <w:jc w:val="center"/>
            </w:pPr>
            <w:r>
              <w:t>-</w:t>
            </w:r>
          </w:p>
        </w:tc>
        <w:tc>
          <w:tcPr>
            <w:tcW w:w="993" w:type="dxa"/>
            <w:shd w:val="clear" w:color="auto" w:fill="auto"/>
            <w:vAlign w:val="center"/>
          </w:tcPr>
          <w:p w14:paraId="2A6ADCF8" w14:textId="5FE1D119" w:rsidR="0092254A" w:rsidRPr="001F194F" w:rsidRDefault="001F194F" w:rsidP="00C068F2">
            <w:pPr>
              <w:pStyle w:val="Tabletext"/>
              <w:keepNext/>
              <w:keepLines/>
              <w:jc w:val="center"/>
            </w:pPr>
            <w:r>
              <w:t>-</w:t>
            </w:r>
          </w:p>
        </w:tc>
      </w:tr>
      <w:tr w:rsidR="0092254A" w:rsidRPr="00576299" w14:paraId="626A1ECC" w14:textId="77777777" w:rsidTr="00B765C2">
        <w:tc>
          <w:tcPr>
            <w:tcW w:w="2985" w:type="dxa"/>
            <w:tcBorders>
              <w:bottom w:val="single" w:sz="4" w:space="0" w:color="auto"/>
            </w:tcBorders>
            <w:shd w:val="clear" w:color="auto" w:fill="auto"/>
            <w:vAlign w:val="center"/>
          </w:tcPr>
          <w:p w14:paraId="3CBC310B" w14:textId="77777777" w:rsidR="0092254A" w:rsidRPr="00576299" w:rsidRDefault="0092254A" w:rsidP="00C068F2">
            <w:pPr>
              <w:pStyle w:val="Tabletext"/>
              <w:keepNext/>
              <w:keepLines/>
            </w:pPr>
            <w:r w:rsidRPr="00576299">
              <w:t xml:space="preserve">GF continuing scripts </w:t>
            </w:r>
            <w:r w:rsidRPr="00576299">
              <w:rPr>
                <w:vertAlign w:val="superscript"/>
              </w:rPr>
              <w:t>d</w:t>
            </w:r>
          </w:p>
        </w:tc>
        <w:tc>
          <w:tcPr>
            <w:tcW w:w="1134" w:type="dxa"/>
            <w:tcBorders>
              <w:bottom w:val="single" w:sz="4" w:space="0" w:color="auto"/>
            </w:tcBorders>
            <w:shd w:val="clear" w:color="auto" w:fill="auto"/>
            <w:vAlign w:val="center"/>
          </w:tcPr>
          <w:p w14:paraId="1AB247D1" w14:textId="20771627" w:rsidR="0092254A" w:rsidRPr="001F194F" w:rsidRDefault="00833009" w:rsidP="00C068F2">
            <w:pPr>
              <w:pStyle w:val="Tabletext"/>
              <w:keepNext/>
              <w:keepLines/>
              <w:jc w:val="center"/>
              <w:rPr>
                <w:rFonts w:cs="Calibri"/>
                <w:color w:val="000000"/>
                <w:szCs w:val="20"/>
                <w:highlight w:val="darkGray"/>
              </w:rPr>
            </w:pPr>
            <w:r w:rsidRPr="00833009">
              <w:rPr>
                <w:rFonts w:cs="Calibri"/>
                <w:color w:val="000000"/>
                <w:spacing w:val="49"/>
                <w:szCs w:val="20"/>
                <w:shd w:val="solid" w:color="000000" w:fill="000000"/>
                <w:fitText w:val="226" w:id="-1304167670"/>
                <w14:textFill>
                  <w14:solidFill>
                    <w14:srgbClr w14:val="000000">
                      <w14:alpha w14:val="100000"/>
                    </w14:srgbClr>
                  </w14:solidFill>
                </w14:textFill>
              </w:rPr>
              <w:t>||</w:t>
            </w:r>
            <w:r w:rsidRPr="00833009">
              <w:rPr>
                <w:rFonts w:cs="Calibri"/>
                <w:color w:val="000000"/>
                <w:spacing w:val="1"/>
                <w:szCs w:val="20"/>
                <w:shd w:val="solid" w:color="000000" w:fill="000000"/>
                <w:fitText w:val="226" w:id="-1304167670"/>
                <w14:textFill>
                  <w14:solidFill>
                    <w14:srgbClr w14:val="000000">
                      <w14:alpha w14:val="100000"/>
                    </w14:srgbClr>
                  </w14:solidFill>
                </w14:textFill>
              </w:rPr>
              <w:t>|</w:t>
            </w:r>
            <w:r w:rsidR="001F194F" w:rsidRPr="001F194F">
              <w:rPr>
                <w:rFonts w:cs="Calibri"/>
                <w:color w:val="000000"/>
                <w:szCs w:val="20"/>
                <w:vertAlign w:val="superscript"/>
              </w:rPr>
              <w:t>1</w:t>
            </w:r>
          </w:p>
        </w:tc>
        <w:tc>
          <w:tcPr>
            <w:tcW w:w="992" w:type="dxa"/>
            <w:tcBorders>
              <w:bottom w:val="single" w:sz="4" w:space="0" w:color="auto"/>
            </w:tcBorders>
            <w:shd w:val="clear" w:color="auto" w:fill="auto"/>
            <w:vAlign w:val="center"/>
          </w:tcPr>
          <w:p w14:paraId="4479E814" w14:textId="222A7D24" w:rsidR="0092254A" w:rsidRPr="001F194F" w:rsidRDefault="001F194F" w:rsidP="00C068F2">
            <w:pPr>
              <w:pStyle w:val="Tabletext"/>
              <w:keepNext/>
              <w:keepLines/>
              <w:jc w:val="center"/>
            </w:pPr>
            <w:r>
              <w:t>-</w:t>
            </w:r>
          </w:p>
        </w:tc>
        <w:tc>
          <w:tcPr>
            <w:tcW w:w="992" w:type="dxa"/>
            <w:tcBorders>
              <w:bottom w:val="single" w:sz="4" w:space="0" w:color="auto"/>
            </w:tcBorders>
            <w:shd w:val="clear" w:color="auto" w:fill="auto"/>
            <w:vAlign w:val="center"/>
          </w:tcPr>
          <w:p w14:paraId="13C9283A" w14:textId="530FA465" w:rsidR="0092254A" w:rsidRPr="001F194F" w:rsidRDefault="001F194F" w:rsidP="00C068F2">
            <w:pPr>
              <w:pStyle w:val="Tabletext"/>
              <w:keepNext/>
              <w:keepLines/>
              <w:jc w:val="center"/>
            </w:pPr>
            <w:r>
              <w:t>-</w:t>
            </w:r>
          </w:p>
        </w:tc>
        <w:tc>
          <w:tcPr>
            <w:tcW w:w="992" w:type="dxa"/>
            <w:tcBorders>
              <w:bottom w:val="single" w:sz="4" w:space="0" w:color="auto"/>
            </w:tcBorders>
            <w:shd w:val="clear" w:color="auto" w:fill="auto"/>
            <w:vAlign w:val="center"/>
          </w:tcPr>
          <w:p w14:paraId="2718EE32" w14:textId="1A229A20" w:rsidR="0092254A" w:rsidRPr="001F194F" w:rsidRDefault="001F194F" w:rsidP="00C068F2">
            <w:pPr>
              <w:pStyle w:val="Tabletext"/>
              <w:keepNext/>
              <w:keepLines/>
              <w:jc w:val="center"/>
            </w:pPr>
            <w:r>
              <w:t>-</w:t>
            </w:r>
          </w:p>
        </w:tc>
        <w:tc>
          <w:tcPr>
            <w:tcW w:w="992" w:type="dxa"/>
            <w:tcBorders>
              <w:bottom w:val="single" w:sz="4" w:space="0" w:color="auto"/>
            </w:tcBorders>
            <w:shd w:val="clear" w:color="auto" w:fill="auto"/>
            <w:vAlign w:val="center"/>
          </w:tcPr>
          <w:p w14:paraId="0276C5B1" w14:textId="5B04EE05" w:rsidR="0092254A" w:rsidRPr="001F194F" w:rsidRDefault="001F194F" w:rsidP="00C068F2">
            <w:pPr>
              <w:pStyle w:val="Tabletext"/>
              <w:keepNext/>
              <w:keepLines/>
              <w:jc w:val="center"/>
            </w:pPr>
            <w:r>
              <w:t>-</w:t>
            </w:r>
          </w:p>
        </w:tc>
        <w:tc>
          <w:tcPr>
            <w:tcW w:w="993" w:type="dxa"/>
            <w:tcBorders>
              <w:bottom w:val="single" w:sz="4" w:space="0" w:color="auto"/>
            </w:tcBorders>
            <w:shd w:val="clear" w:color="auto" w:fill="auto"/>
            <w:vAlign w:val="center"/>
          </w:tcPr>
          <w:p w14:paraId="218ABC64" w14:textId="672C1B91" w:rsidR="0092254A" w:rsidRPr="001F194F" w:rsidRDefault="001F194F" w:rsidP="00C068F2">
            <w:pPr>
              <w:pStyle w:val="Tabletext"/>
              <w:keepNext/>
              <w:keepLines/>
              <w:jc w:val="center"/>
            </w:pPr>
            <w:r>
              <w:t>-</w:t>
            </w:r>
          </w:p>
        </w:tc>
      </w:tr>
      <w:tr w:rsidR="0092254A" w:rsidRPr="00576299" w14:paraId="3E4B32B2" w14:textId="77777777" w:rsidTr="00B765C2">
        <w:tc>
          <w:tcPr>
            <w:tcW w:w="2985" w:type="dxa"/>
            <w:tcBorders>
              <w:bottom w:val="single" w:sz="12" w:space="0" w:color="auto"/>
            </w:tcBorders>
            <w:shd w:val="clear" w:color="auto" w:fill="auto"/>
            <w:vAlign w:val="center"/>
          </w:tcPr>
          <w:p w14:paraId="1C2C5A1E" w14:textId="77777777" w:rsidR="0092254A" w:rsidRPr="00576299" w:rsidRDefault="0092254A" w:rsidP="00C068F2">
            <w:pPr>
              <w:pStyle w:val="Tabletext"/>
              <w:keepNext/>
              <w:keepLines/>
              <w:rPr>
                <w:vertAlign w:val="superscript"/>
              </w:rPr>
            </w:pPr>
            <w:r w:rsidRPr="00576299">
              <w:t>Total</w:t>
            </w:r>
          </w:p>
        </w:tc>
        <w:tc>
          <w:tcPr>
            <w:tcW w:w="1134" w:type="dxa"/>
            <w:tcBorders>
              <w:bottom w:val="single" w:sz="12" w:space="0" w:color="auto"/>
            </w:tcBorders>
            <w:shd w:val="clear" w:color="auto" w:fill="auto"/>
            <w:vAlign w:val="center"/>
          </w:tcPr>
          <w:p w14:paraId="6C89FADA" w14:textId="45BD5357" w:rsidR="0092254A" w:rsidRPr="001F194F" w:rsidRDefault="00833009" w:rsidP="00C068F2">
            <w:pPr>
              <w:pStyle w:val="Tabletext"/>
              <w:keepNext/>
              <w:keepLines/>
              <w:jc w:val="center"/>
              <w:rPr>
                <w:highlight w:val="darkGray"/>
              </w:rPr>
            </w:pPr>
            <w:r w:rsidRPr="00833009">
              <w:rPr>
                <w:rFonts w:cs="Calibri"/>
                <w:color w:val="000000"/>
                <w:spacing w:val="49"/>
                <w:szCs w:val="20"/>
                <w:shd w:val="solid" w:color="000000" w:fill="000000"/>
                <w:fitText w:val="226" w:id="-1304167669"/>
                <w14:textFill>
                  <w14:solidFill>
                    <w14:srgbClr w14:val="000000">
                      <w14:alpha w14:val="100000"/>
                    </w14:srgbClr>
                  </w14:solidFill>
                </w14:textFill>
              </w:rPr>
              <w:t>||</w:t>
            </w:r>
            <w:r w:rsidRPr="00833009">
              <w:rPr>
                <w:rFonts w:cs="Calibri"/>
                <w:color w:val="000000"/>
                <w:spacing w:val="1"/>
                <w:szCs w:val="20"/>
                <w:shd w:val="solid" w:color="000000" w:fill="000000"/>
                <w:fitText w:val="226" w:id="-1304167669"/>
                <w14:textFill>
                  <w14:solidFill>
                    <w14:srgbClr w14:val="000000">
                      <w14:alpha w14:val="100000"/>
                    </w14:srgbClr>
                  </w14:solidFill>
                </w14:textFill>
              </w:rPr>
              <w:t>|</w:t>
            </w:r>
            <w:r w:rsidR="001F194F">
              <w:rPr>
                <w:rFonts w:cs="Calibri"/>
                <w:color w:val="000000"/>
                <w:szCs w:val="20"/>
                <w:vertAlign w:val="superscript"/>
              </w:rPr>
              <w:t>2</w:t>
            </w:r>
          </w:p>
        </w:tc>
        <w:tc>
          <w:tcPr>
            <w:tcW w:w="992" w:type="dxa"/>
            <w:tcBorders>
              <w:bottom w:val="single" w:sz="12" w:space="0" w:color="auto"/>
            </w:tcBorders>
            <w:shd w:val="clear" w:color="auto" w:fill="auto"/>
            <w:vAlign w:val="center"/>
          </w:tcPr>
          <w:p w14:paraId="046961C1" w14:textId="05AEAD7A" w:rsidR="0092254A" w:rsidRPr="001F194F" w:rsidRDefault="00833009" w:rsidP="00C068F2">
            <w:pPr>
              <w:pStyle w:val="Tabletext"/>
              <w:keepNext/>
              <w:keepLines/>
              <w:jc w:val="center"/>
              <w:rPr>
                <w:highlight w:val="darkGray"/>
              </w:rPr>
            </w:pPr>
            <w:r w:rsidRPr="00833009">
              <w:rPr>
                <w:rFonts w:cs="Calibri"/>
                <w:color w:val="000000"/>
                <w:spacing w:val="204"/>
                <w:szCs w:val="20"/>
                <w:shd w:val="solid" w:color="000000" w:fill="000000"/>
                <w:fitText w:val="290" w:id="-1304167668"/>
                <w14:textFill>
                  <w14:solidFill>
                    <w14:srgbClr w14:val="000000">
                      <w14:alpha w14:val="100000"/>
                    </w14:srgbClr>
                  </w14:solidFill>
                </w14:textFill>
              </w:rPr>
              <w:t>|</w:t>
            </w:r>
            <w:r w:rsidRPr="00833009">
              <w:rPr>
                <w:rFonts w:cs="Calibri"/>
                <w:color w:val="000000"/>
                <w:spacing w:val="1"/>
                <w:szCs w:val="20"/>
                <w:shd w:val="solid" w:color="000000" w:fill="000000"/>
                <w:fitText w:val="290" w:id="-1304167668"/>
                <w14:textFill>
                  <w14:solidFill>
                    <w14:srgbClr w14:val="000000">
                      <w14:alpha w14:val="100000"/>
                    </w14:srgbClr>
                  </w14:solidFill>
                </w14:textFill>
              </w:rPr>
              <w:t>|</w:t>
            </w:r>
            <w:r w:rsidR="001F194F">
              <w:rPr>
                <w:rFonts w:cs="Calibri"/>
                <w:color w:val="000000"/>
                <w:szCs w:val="20"/>
                <w:vertAlign w:val="superscript"/>
              </w:rPr>
              <w:t>2</w:t>
            </w:r>
          </w:p>
        </w:tc>
        <w:tc>
          <w:tcPr>
            <w:tcW w:w="992" w:type="dxa"/>
            <w:tcBorders>
              <w:bottom w:val="single" w:sz="12" w:space="0" w:color="auto"/>
            </w:tcBorders>
            <w:shd w:val="clear" w:color="auto" w:fill="auto"/>
            <w:vAlign w:val="center"/>
          </w:tcPr>
          <w:p w14:paraId="59D7D399" w14:textId="532155E9" w:rsidR="0092254A" w:rsidRPr="001F194F" w:rsidRDefault="00833009" w:rsidP="00C068F2">
            <w:pPr>
              <w:pStyle w:val="Tabletext"/>
              <w:keepNext/>
              <w:keepLines/>
              <w:jc w:val="center"/>
              <w:rPr>
                <w:highlight w:val="darkGray"/>
              </w:rPr>
            </w:pPr>
            <w:r w:rsidRPr="00833009">
              <w:rPr>
                <w:rFonts w:cs="Calibri"/>
                <w:color w:val="000000"/>
                <w:spacing w:val="204"/>
                <w:szCs w:val="20"/>
                <w:shd w:val="solid" w:color="000000" w:fill="000000"/>
                <w:fitText w:val="290" w:id="-1304167667"/>
                <w14:textFill>
                  <w14:solidFill>
                    <w14:srgbClr w14:val="000000">
                      <w14:alpha w14:val="100000"/>
                    </w14:srgbClr>
                  </w14:solidFill>
                </w14:textFill>
              </w:rPr>
              <w:t>|</w:t>
            </w:r>
            <w:r w:rsidRPr="00833009">
              <w:rPr>
                <w:rFonts w:cs="Calibri"/>
                <w:color w:val="000000"/>
                <w:spacing w:val="1"/>
                <w:szCs w:val="20"/>
                <w:shd w:val="solid" w:color="000000" w:fill="000000"/>
                <w:fitText w:val="290" w:id="-1304167667"/>
                <w14:textFill>
                  <w14:solidFill>
                    <w14:srgbClr w14:val="000000">
                      <w14:alpha w14:val="100000"/>
                    </w14:srgbClr>
                  </w14:solidFill>
                </w14:textFill>
              </w:rPr>
              <w:t>|</w:t>
            </w:r>
            <w:r w:rsidR="001F194F">
              <w:rPr>
                <w:rFonts w:cs="Calibri"/>
                <w:color w:val="000000"/>
                <w:szCs w:val="20"/>
                <w:vertAlign w:val="superscript"/>
              </w:rPr>
              <w:t>2</w:t>
            </w:r>
          </w:p>
        </w:tc>
        <w:tc>
          <w:tcPr>
            <w:tcW w:w="992" w:type="dxa"/>
            <w:tcBorders>
              <w:bottom w:val="single" w:sz="12" w:space="0" w:color="auto"/>
            </w:tcBorders>
            <w:shd w:val="clear" w:color="auto" w:fill="auto"/>
            <w:vAlign w:val="center"/>
          </w:tcPr>
          <w:p w14:paraId="47DD6E0C" w14:textId="411B4782" w:rsidR="0092254A" w:rsidRPr="001F194F" w:rsidRDefault="00833009" w:rsidP="00C068F2">
            <w:pPr>
              <w:pStyle w:val="Tabletext"/>
              <w:keepNext/>
              <w:keepLines/>
              <w:jc w:val="center"/>
              <w:rPr>
                <w:highlight w:val="darkGray"/>
              </w:rPr>
            </w:pPr>
            <w:r w:rsidRPr="00833009">
              <w:rPr>
                <w:rFonts w:cs="Calibri"/>
                <w:color w:val="000000"/>
                <w:spacing w:val="204"/>
                <w:szCs w:val="20"/>
                <w:shd w:val="solid" w:color="000000" w:fill="000000"/>
                <w:fitText w:val="290" w:id="-1304167666"/>
                <w14:textFill>
                  <w14:solidFill>
                    <w14:srgbClr w14:val="000000">
                      <w14:alpha w14:val="100000"/>
                    </w14:srgbClr>
                  </w14:solidFill>
                </w14:textFill>
              </w:rPr>
              <w:t>|</w:t>
            </w:r>
            <w:r w:rsidRPr="00833009">
              <w:rPr>
                <w:rFonts w:cs="Calibri"/>
                <w:color w:val="000000"/>
                <w:spacing w:val="1"/>
                <w:szCs w:val="20"/>
                <w:shd w:val="solid" w:color="000000" w:fill="000000"/>
                <w:fitText w:val="290" w:id="-1304167666"/>
                <w14:textFill>
                  <w14:solidFill>
                    <w14:srgbClr w14:val="000000">
                      <w14:alpha w14:val="100000"/>
                    </w14:srgbClr>
                  </w14:solidFill>
                </w14:textFill>
              </w:rPr>
              <w:t>|</w:t>
            </w:r>
            <w:r w:rsidR="001F194F">
              <w:rPr>
                <w:rFonts w:cs="Calibri"/>
                <w:color w:val="000000"/>
                <w:szCs w:val="20"/>
                <w:vertAlign w:val="superscript"/>
              </w:rPr>
              <w:t>2</w:t>
            </w:r>
          </w:p>
        </w:tc>
        <w:tc>
          <w:tcPr>
            <w:tcW w:w="992" w:type="dxa"/>
            <w:tcBorders>
              <w:bottom w:val="single" w:sz="12" w:space="0" w:color="auto"/>
            </w:tcBorders>
            <w:shd w:val="clear" w:color="auto" w:fill="auto"/>
            <w:vAlign w:val="center"/>
          </w:tcPr>
          <w:p w14:paraId="14D3978E" w14:textId="522965B3" w:rsidR="0092254A" w:rsidRPr="001F194F" w:rsidRDefault="00833009" w:rsidP="00C068F2">
            <w:pPr>
              <w:pStyle w:val="Tabletext"/>
              <w:keepNext/>
              <w:keepLines/>
              <w:jc w:val="center"/>
              <w:rPr>
                <w:highlight w:val="darkGray"/>
              </w:rPr>
            </w:pPr>
            <w:r w:rsidRPr="00833009">
              <w:rPr>
                <w:rFonts w:cs="Calibri"/>
                <w:color w:val="000000"/>
                <w:spacing w:val="204"/>
                <w:szCs w:val="20"/>
                <w:shd w:val="solid" w:color="000000" w:fill="000000"/>
                <w:fitText w:val="290" w:id="-1304167665"/>
                <w14:textFill>
                  <w14:solidFill>
                    <w14:srgbClr w14:val="000000">
                      <w14:alpha w14:val="100000"/>
                    </w14:srgbClr>
                  </w14:solidFill>
                </w14:textFill>
              </w:rPr>
              <w:t>|</w:t>
            </w:r>
            <w:r w:rsidRPr="00833009">
              <w:rPr>
                <w:rFonts w:cs="Calibri"/>
                <w:color w:val="000000"/>
                <w:spacing w:val="1"/>
                <w:szCs w:val="20"/>
                <w:shd w:val="solid" w:color="000000" w:fill="000000"/>
                <w:fitText w:val="290" w:id="-1304167665"/>
                <w14:textFill>
                  <w14:solidFill>
                    <w14:srgbClr w14:val="000000">
                      <w14:alpha w14:val="100000"/>
                    </w14:srgbClr>
                  </w14:solidFill>
                </w14:textFill>
              </w:rPr>
              <w:t>|</w:t>
            </w:r>
            <w:r w:rsidR="001F194F">
              <w:rPr>
                <w:rFonts w:cs="Calibri"/>
                <w:color w:val="000000"/>
                <w:szCs w:val="20"/>
                <w:vertAlign w:val="superscript"/>
              </w:rPr>
              <w:t>2</w:t>
            </w:r>
          </w:p>
        </w:tc>
        <w:tc>
          <w:tcPr>
            <w:tcW w:w="993" w:type="dxa"/>
            <w:tcBorders>
              <w:bottom w:val="single" w:sz="12" w:space="0" w:color="auto"/>
            </w:tcBorders>
            <w:shd w:val="clear" w:color="auto" w:fill="auto"/>
            <w:vAlign w:val="center"/>
          </w:tcPr>
          <w:p w14:paraId="1469EA38" w14:textId="6D8B0EB7" w:rsidR="0092254A" w:rsidRPr="001F194F" w:rsidRDefault="00833009" w:rsidP="00C068F2">
            <w:pPr>
              <w:pStyle w:val="Tabletext"/>
              <w:keepNext/>
              <w:keepLines/>
              <w:jc w:val="center"/>
              <w:rPr>
                <w:highlight w:val="darkGray"/>
              </w:rPr>
            </w:pPr>
            <w:r w:rsidRPr="00833009">
              <w:rPr>
                <w:rFonts w:cs="Calibri"/>
                <w:color w:val="000000"/>
                <w:spacing w:val="204"/>
                <w:szCs w:val="20"/>
                <w:shd w:val="solid" w:color="000000" w:fill="000000"/>
                <w:fitText w:val="290" w:id="-1304167664"/>
                <w14:textFill>
                  <w14:solidFill>
                    <w14:srgbClr w14:val="000000">
                      <w14:alpha w14:val="100000"/>
                    </w14:srgbClr>
                  </w14:solidFill>
                </w14:textFill>
              </w:rPr>
              <w:t>|</w:t>
            </w:r>
            <w:r w:rsidRPr="00833009">
              <w:rPr>
                <w:rFonts w:cs="Calibri"/>
                <w:color w:val="000000"/>
                <w:spacing w:val="1"/>
                <w:szCs w:val="20"/>
                <w:shd w:val="solid" w:color="000000" w:fill="000000"/>
                <w:fitText w:val="290" w:id="-1304167664"/>
                <w14:textFill>
                  <w14:solidFill>
                    <w14:srgbClr w14:val="000000">
                      <w14:alpha w14:val="100000"/>
                    </w14:srgbClr>
                  </w14:solidFill>
                </w14:textFill>
              </w:rPr>
              <w:t>|</w:t>
            </w:r>
            <w:r w:rsidR="001F194F">
              <w:rPr>
                <w:rFonts w:cs="Calibri"/>
                <w:color w:val="000000"/>
                <w:szCs w:val="20"/>
                <w:vertAlign w:val="superscript"/>
              </w:rPr>
              <w:t>2</w:t>
            </w:r>
          </w:p>
        </w:tc>
      </w:tr>
      <w:tr w:rsidR="0092254A" w:rsidRPr="00576299" w14:paraId="11DB3076" w14:textId="77777777" w:rsidTr="00C068F2">
        <w:tc>
          <w:tcPr>
            <w:tcW w:w="9080" w:type="dxa"/>
            <w:gridSpan w:val="7"/>
            <w:tcBorders>
              <w:top w:val="single" w:sz="12" w:space="0" w:color="auto"/>
            </w:tcBorders>
            <w:shd w:val="clear" w:color="auto" w:fill="auto"/>
            <w:vAlign w:val="center"/>
          </w:tcPr>
          <w:p w14:paraId="65E4B406" w14:textId="77777777" w:rsidR="0092254A" w:rsidRPr="00576299" w:rsidRDefault="0092254A" w:rsidP="00C068F2">
            <w:pPr>
              <w:pStyle w:val="Tabletext"/>
              <w:keepNext/>
              <w:keepLines/>
            </w:pPr>
            <w:r w:rsidRPr="00576299">
              <w:t>PBS/RPBS cost less co-pay</w:t>
            </w:r>
          </w:p>
        </w:tc>
      </w:tr>
      <w:tr w:rsidR="0092254A" w:rsidRPr="00576299" w14:paraId="10A00618" w14:textId="77777777" w:rsidTr="00B765C2">
        <w:tc>
          <w:tcPr>
            <w:tcW w:w="2985" w:type="dxa"/>
            <w:tcBorders>
              <w:bottom w:val="single" w:sz="12" w:space="0" w:color="auto"/>
            </w:tcBorders>
            <w:shd w:val="clear" w:color="auto" w:fill="auto"/>
            <w:vAlign w:val="center"/>
          </w:tcPr>
          <w:p w14:paraId="77A33146" w14:textId="6DDFE9EA" w:rsidR="0092254A" w:rsidRPr="001F194F" w:rsidRDefault="0092254A" w:rsidP="00C068F2">
            <w:pPr>
              <w:pStyle w:val="Tabletext"/>
              <w:keepNext/>
              <w:keepLines/>
            </w:pPr>
            <w:r w:rsidRPr="00576299">
              <w:t>Total (eff)</w:t>
            </w:r>
            <w:r w:rsidR="001F194F">
              <w:t xml:space="preserve"> ($)</w:t>
            </w:r>
          </w:p>
        </w:tc>
        <w:tc>
          <w:tcPr>
            <w:tcW w:w="1134" w:type="dxa"/>
            <w:tcBorders>
              <w:bottom w:val="single" w:sz="12" w:space="0" w:color="auto"/>
            </w:tcBorders>
            <w:shd w:val="clear" w:color="auto" w:fill="auto"/>
            <w:vAlign w:val="center"/>
          </w:tcPr>
          <w:p w14:paraId="4AA633DA" w14:textId="454F9BCB" w:rsidR="0092254A" w:rsidRPr="001F194F" w:rsidRDefault="00833009" w:rsidP="00C068F2">
            <w:pPr>
              <w:pStyle w:val="TableTextCA"/>
              <w:spacing w:before="0" w:after="0"/>
              <w:rPr>
                <w:highlight w:val="darkGray"/>
              </w:rPr>
            </w:pPr>
            <w:r w:rsidRPr="00833009">
              <w:rPr>
                <w:rFonts w:cs="Calibri"/>
                <w:color w:val="000000"/>
                <w:spacing w:val="49"/>
                <w:szCs w:val="20"/>
                <w:shd w:val="solid" w:color="000000" w:fill="000000"/>
                <w:fitText w:val="226" w:id="-1304167680"/>
                <w14:textFill>
                  <w14:solidFill>
                    <w14:srgbClr w14:val="000000">
                      <w14:alpha w14:val="100000"/>
                    </w14:srgbClr>
                  </w14:solidFill>
                </w14:textFill>
              </w:rPr>
              <w:t>||</w:t>
            </w:r>
            <w:r w:rsidRPr="00833009">
              <w:rPr>
                <w:rFonts w:cs="Calibri"/>
                <w:color w:val="000000"/>
                <w:spacing w:val="1"/>
                <w:szCs w:val="20"/>
                <w:shd w:val="solid" w:color="000000" w:fill="000000"/>
                <w:fitText w:val="226" w:id="-1304167680"/>
                <w14:textFill>
                  <w14:solidFill>
                    <w14:srgbClr w14:val="000000">
                      <w14:alpha w14:val="100000"/>
                    </w14:srgbClr>
                  </w14:solidFill>
                </w14:textFill>
              </w:rPr>
              <w:t>|</w:t>
            </w:r>
            <w:r w:rsidR="00B765C2">
              <w:rPr>
                <w:rFonts w:cs="Calibri"/>
                <w:color w:val="000000"/>
                <w:szCs w:val="20"/>
                <w:vertAlign w:val="superscript"/>
              </w:rPr>
              <w:t>3</w:t>
            </w:r>
          </w:p>
        </w:tc>
        <w:tc>
          <w:tcPr>
            <w:tcW w:w="992" w:type="dxa"/>
            <w:tcBorders>
              <w:bottom w:val="single" w:sz="12" w:space="0" w:color="auto"/>
            </w:tcBorders>
            <w:shd w:val="clear" w:color="auto" w:fill="auto"/>
            <w:vAlign w:val="center"/>
          </w:tcPr>
          <w:p w14:paraId="652021E9" w14:textId="272FABE0" w:rsidR="0092254A" w:rsidRPr="001F194F" w:rsidRDefault="00833009" w:rsidP="00C068F2">
            <w:pPr>
              <w:pStyle w:val="TableTextCA"/>
              <w:spacing w:before="0" w:after="0"/>
              <w:rPr>
                <w:highlight w:val="darkGray"/>
              </w:rPr>
            </w:pPr>
            <w:r w:rsidRPr="00833009">
              <w:rPr>
                <w:rFonts w:cs="Calibri"/>
                <w:color w:val="000000"/>
                <w:spacing w:val="204"/>
                <w:szCs w:val="20"/>
                <w:shd w:val="solid" w:color="000000" w:fill="000000"/>
                <w:fitText w:val="290" w:id="-1304167679"/>
                <w14:textFill>
                  <w14:solidFill>
                    <w14:srgbClr w14:val="000000">
                      <w14:alpha w14:val="100000"/>
                    </w14:srgbClr>
                  </w14:solidFill>
                </w14:textFill>
              </w:rPr>
              <w:t>|</w:t>
            </w:r>
            <w:r w:rsidRPr="00833009">
              <w:rPr>
                <w:rFonts w:cs="Calibri"/>
                <w:color w:val="000000"/>
                <w:spacing w:val="1"/>
                <w:szCs w:val="20"/>
                <w:shd w:val="solid" w:color="000000" w:fill="000000"/>
                <w:fitText w:val="290" w:id="-1304167679"/>
                <w14:textFill>
                  <w14:solidFill>
                    <w14:srgbClr w14:val="000000">
                      <w14:alpha w14:val="100000"/>
                    </w14:srgbClr>
                  </w14:solidFill>
                </w14:textFill>
              </w:rPr>
              <w:t>|</w:t>
            </w:r>
            <w:r w:rsidR="00B765C2">
              <w:rPr>
                <w:rFonts w:cs="Calibri"/>
                <w:color w:val="000000"/>
                <w:szCs w:val="20"/>
                <w:vertAlign w:val="superscript"/>
              </w:rPr>
              <w:t>3</w:t>
            </w:r>
          </w:p>
        </w:tc>
        <w:tc>
          <w:tcPr>
            <w:tcW w:w="992" w:type="dxa"/>
            <w:tcBorders>
              <w:bottom w:val="single" w:sz="12" w:space="0" w:color="auto"/>
            </w:tcBorders>
            <w:shd w:val="clear" w:color="auto" w:fill="auto"/>
            <w:vAlign w:val="center"/>
          </w:tcPr>
          <w:p w14:paraId="1CC1E12E" w14:textId="23120F08" w:rsidR="0092254A" w:rsidRPr="001F194F" w:rsidRDefault="00833009" w:rsidP="00C068F2">
            <w:pPr>
              <w:pStyle w:val="TableTextCA"/>
              <w:spacing w:before="0" w:after="0"/>
              <w:rPr>
                <w:highlight w:val="darkGray"/>
              </w:rPr>
            </w:pPr>
            <w:r w:rsidRPr="00833009">
              <w:rPr>
                <w:rFonts w:cs="Calibri"/>
                <w:color w:val="000000"/>
                <w:spacing w:val="204"/>
                <w:szCs w:val="20"/>
                <w:shd w:val="solid" w:color="000000" w:fill="000000"/>
                <w:fitText w:val="290" w:id="-1304167678"/>
                <w14:textFill>
                  <w14:solidFill>
                    <w14:srgbClr w14:val="000000">
                      <w14:alpha w14:val="100000"/>
                    </w14:srgbClr>
                  </w14:solidFill>
                </w14:textFill>
              </w:rPr>
              <w:t>|</w:t>
            </w:r>
            <w:r w:rsidRPr="00833009">
              <w:rPr>
                <w:rFonts w:cs="Calibri"/>
                <w:color w:val="000000"/>
                <w:spacing w:val="1"/>
                <w:szCs w:val="20"/>
                <w:shd w:val="solid" w:color="000000" w:fill="000000"/>
                <w:fitText w:val="290" w:id="-1304167678"/>
                <w14:textFill>
                  <w14:solidFill>
                    <w14:srgbClr w14:val="000000">
                      <w14:alpha w14:val="100000"/>
                    </w14:srgbClr>
                  </w14:solidFill>
                </w14:textFill>
              </w:rPr>
              <w:t>|</w:t>
            </w:r>
            <w:r w:rsidR="00B765C2">
              <w:rPr>
                <w:rFonts w:cs="Calibri"/>
                <w:color w:val="000000"/>
                <w:szCs w:val="20"/>
                <w:vertAlign w:val="superscript"/>
              </w:rPr>
              <w:t>3</w:t>
            </w:r>
          </w:p>
        </w:tc>
        <w:tc>
          <w:tcPr>
            <w:tcW w:w="992" w:type="dxa"/>
            <w:tcBorders>
              <w:bottom w:val="single" w:sz="12" w:space="0" w:color="auto"/>
            </w:tcBorders>
            <w:shd w:val="clear" w:color="auto" w:fill="auto"/>
            <w:vAlign w:val="center"/>
          </w:tcPr>
          <w:p w14:paraId="54E86D03" w14:textId="79292BAE" w:rsidR="0092254A" w:rsidRPr="001F194F" w:rsidRDefault="00833009" w:rsidP="00C068F2">
            <w:pPr>
              <w:pStyle w:val="TableTextCA"/>
              <w:spacing w:before="0" w:after="0"/>
              <w:rPr>
                <w:highlight w:val="darkGray"/>
              </w:rPr>
            </w:pPr>
            <w:r w:rsidRPr="00833009">
              <w:rPr>
                <w:rFonts w:cs="Calibri"/>
                <w:color w:val="000000"/>
                <w:spacing w:val="204"/>
                <w:szCs w:val="20"/>
                <w:shd w:val="solid" w:color="000000" w:fill="000000"/>
                <w:fitText w:val="290" w:id="-1304167677"/>
                <w14:textFill>
                  <w14:solidFill>
                    <w14:srgbClr w14:val="000000">
                      <w14:alpha w14:val="100000"/>
                    </w14:srgbClr>
                  </w14:solidFill>
                </w14:textFill>
              </w:rPr>
              <w:t>|</w:t>
            </w:r>
            <w:r w:rsidRPr="00833009">
              <w:rPr>
                <w:rFonts w:cs="Calibri"/>
                <w:color w:val="000000"/>
                <w:spacing w:val="1"/>
                <w:szCs w:val="20"/>
                <w:shd w:val="solid" w:color="000000" w:fill="000000"/>
                <w:fitText w:val="290" w:id="-1304167677"/>
                <w14:textFill>
                  <w14:solidFill>
                    <w14:srgbClr w14:val="000000">
                      <w14:alpha w14:val="100000"/>
                    </w14:srgbClr>
                  </w14:solidFill>
                </w14:textFill>
              </w:rPr>
              <w:t>|</w:t>
            </w:r>
            <w:r w:rsidR="00B765C2">
              <w:rPr>
                <w:rFonts w:cs="Calibri"/>
                <w:color w:val="000000"/>
                <w:szCs w:val="20"/>
                <w:vertAlign w:val="superscript"/>
              </w:rPr>
              <w:t>3</w:t>
            </w:r>
          </w:p>
        </w:tc>
        <w:tc>
          <w:tcPr>
            <w:tcW w:w="992" w:type="dxa"/>
            <w:tcBorders>
              <w:bottom w:val="single" w:sz="12" w:space="0" w:color="auto"/>
            </w:tcBorders>
            <w:shd w:val="clear" w:color="auto" w:fill="auto"/>
            <w:vAlign w:val="center"/>
          </w:tcPr>
          <w:p w14:paraId="73AAFAFB" w14:textId="622885AC" w:rsidR="0092254A" w:rsidRPr="001F194F" w:rsidRDefault="00833009" w:rsidP="00C068F2">
            <w:pPr>
              <w:pStyle w:val="TableTextCA"/>
              <w:spacing w:before="0" w:after="0"/>
              <w:rPr>
                <w:highlight w:val="darkGray"/>
              </w:rPr>
            </w:pPr>
            <w:r w:rsidRPr="00833009">
              <w:rPr>
                <w:rFonts w:cs="Calibri"/>
                <w:color w:val="000000"/>
                <w:spacing w:val="204"/>
                <w:szCs w:val="20"/>
                <w:shd w:val="solid" w:color="000000" w:fill="000000"/>
                <w:fitText w:val="290" w:id="-1304167676"/>
                <w14:textFill>
                  <w14:solidFill>
                    <w14:srgbClr w14:val="000000">
                      <w14:alpha w14:val="100000"/>
                    </w14:srgbClr>
                  </w14:solidFill>
                </w14:textFill>
              </w:rPr>
              <w:t>|</w:t>
            </w:r>
            <w:r w:rsidRPr="00833009">
              <w:rPr>
                <w:rFonts w:cs="Calibri"/>
                <w:color w:val="000000"/>
                <w:spacing w:val="1"/>
                <w:szCs w:val="20"/>
                <w:shd w:val="solid" w:color="000000" w:fill="000000"/>
                <w:fitText w:val="290" w:id="-1304167676"/>
                <w14:textFill>
                  <w14:solidFill>
                    <w14:srgbClr w14:val="000000">
                      <w14:alpha w14:val="100000"/>
                    </w14:srgbClr>
                  </w14:solidFill>
                </w14:textFill>
              </w:rPr>
              <w:t>|</w:t>
            </w:r>
            <w:r w:rsidR="00B765C2">
              <w:rPr>
                <w:rFonts w:cs="Calibri"/>
                <w:color w:val="000000"/>
                <w:szCs w:val="20"/>
                <w:vertAlign w:val="superscript"/>
              </w:rPr>
              <w:t>3</w:t>
            </w:r>
          </w:p>
        </w:tc>
        <w:tc>
          <w:tcPr>
            <w:tcW w:w="993" w:type="dxa"/>
            <w:tcBorders>
              <w:bottom w:val="single" w:sz="12" w:space="0" w:color="auto"/>
            </w:tcBorders>
            <w:shd w:val="clear" w:color="auto" w:fill="auto"/>
            <w:vAlign w:val="center"/>
          </w:tcPr>
          <w:p w14:paraId="016B68CC" w14:textId="3BE40FF0" w:rsidR="0092254A" w:rsidRPr="001F194F" w:rsidRDefault="00833009" w:rsidP="00C068F2">
            <w:pPr>
              <w:pStyle w:val="TableTextCA"/>
              <w:spacing w:before="0" w:after="0"/>
              <w:rPr>
                <w:highlight w:val="darkGray"/>
              </w:rPr>
            </w:pPr>
            <w:r w:rsidRPr="00833009">
              <w:rPr>
                <w:rFonts w:cs="Calibri"/>
                <w:color w:val="000000"/>
                <w:spacing w:val="204"/>
                <w:szCs w:val="20"/>
                <w:shd w:val="solid" w:color="000000" w:fill="000000"/>
                <w:fitText w:val="290" w:id="-1304167675"/>
                <w14:textFill>
                  <w14:solidFill>
                    <w14:srgbClr w14:val="000000">
                      <w14:alpha w14:val="100000"/>
                    </w14:srgbClr>
                  </w14:solidFill>
                </w14:textFill>
              </w:rPr>
              <w:t>|</w:t>
            </w:r>
            <w:r w:rsidRPr="00833009">
              <w:rPr>
                <w:rFonts w:cs="Calibri"/>
                <w:color w:val="000000"/>
                <w:spacing w:val="1"/>
                <w:szCs w:val="20"/>
                <w:shd w:val="solid" w:color="000000" w:fill="000000"/>
                <w:fitText w:val="290" w:id="-1304167675"/>
                <w14:textFill>
                  <w14:solidFill>
                    <w14:srgbClr w14:val="000000">
                      <w14:alpha w14:val="100000"/>
                    </w14:srgbClr>
                  </w14:solidFill>
                </w14:textFill>
              </w:rPr>
              <w:t>|</w:t>
            </w:r>
            <w:r w:rsidR="00B765C2">
              <w:rPr>
                <w:rFonts w:cs="Calibri"/>
                <w:color w:val="000000"/>
                <w:szCs w:val="20"/>
                <w:vertAlign w:val="superscript"/>
              </w:rPr>
              <w:t>3</w:t>
            </w:r>
          </w:p>
        </w:tc>
      </w:tr>
      <w:tr w:rsidR="0092254A" w:rsidRPr="00576299" w14:paraId="0AEFA416" w14:textId="77777777" w:rsidTr="00C068F2">
        <w:tc>
          <w:tcPr>
            <w:tcW w:w="9080" w:type="dxa"/>
            <w:gridSpan w:val="7"/>
            <w:tcBorders>
              <w:top w:val="single" w:sz="12" w:space="0" w:color="auto"/>
            </w:tcBorders>
            <w:shd w:val="clear" w:color="auto" w:fill="auto"/>
            <w:vAlign w:val="center"/>
          </w:tcPr>
          <w:p w14:paraId="66169219" w14:textId="77777777" w:rsidR="0092254A" w:rsidRPr="00576299" w:rsidRDefault="0092254A" w:rsidP="00C068F2">
            <w:pPr>
              <w:pStyle w:val="Tabletext"/>
              <w:keepNext/>
              <w:keepLines/>
            </w:pPr>
            <w:r w:rsidRPr="00576299">
              <w:rPr>
                <w:rStyle w:val="CommentReference"/>
              </w:rPr>
              <w:t>Estimation of changes in use and financial impact of other medicines (PBS and RPBS)</w:t>
            </w:r>
          </w:p>
        </w:tc>
      </w:tr>
      <w:tr w:rsidR="0092254A" w:rsidRPr="00576299" w14:paraId="2E9C8D6A" w14:textId="77777777" w:rsidTr="00C068F2">
        <w:tc>
          <w:tcPr>
            <w:tcW w:w="9080" w:type="dxa"/>
            <w:gridSpan w:val="7"/>
            <w:shd w:val="clear" w:color="auto" w:fill="auto"/>
          </w:tcPr>
          <w:p w14:paraId="26769771" w14:textId="77777777" w:rsidR="0092254A" w:rsidRPr="00576299" w:rsidRDefault="0092254A" w:rsidP="00C068F2">
            <w:pPr>
              <w:pStyle w:val="Tabletext"/>
              <w:keepNext/>
              <w:keepLines/>
              <w:rPr>
                <w:rStyle w:val="CommentReference"/>
              </w:rPr>
            </w:pPr>
            <w:r w:rsidRPr="00576299">
              <w:t xml:space="preserve">Changes in number of scripts (carboplatin, doxorubicin, paclitaxel) </w:t>
            </w:r>
            <w:r w:rsidRPr="00576299">
              <w:rPr>
                <w:vertAlign w:val="superscript"/>
              </w:rPr>
              <w:t>e</w:t>
            </w:r>
          </w:p>
        </w:tc>
      </w:tr>
      <w:tr w:rsidR="0092254A" w:rsidRPr="00576299" w14:paraId="723FCB56" w14:textId="77777777" w:rsidTr="00B765C2">
        <w:tc>
          <w:tcPr>
            <w:tcW w:w="2985" w:type="dxa"/>
            <w:shd w:val="clear" w:color="auto" w:fill="auto"/>
          </w:tcPr>
          <w:p w14:paraId="46E9DA4C" w14:textId="77777777" w:rsidR="0092254A" w:rsidRPr="00576299" w:rsidRDefault="0092254A" w:rsidP="00C068F2">
            <w:pPr>
              <w:pStyle w:val="Tabletext"/>
              <w:keepNext/>
              <w:keepLines/>
              <w:ind w:left="113"/>
            </w:pPr>
            <w:r w:rsidRPr="00576299">
              <w:t xml:space="preserve">Total </w:t>
            </w:r>
          </w:p>
        </w:tc>
        <w:tc>
          <w:tcPr>
            <w:tcW w:w="1134" w:type="dxa"/>
            <w:shd w:val="clear" w:color="auto" w:fill="auto"/>
            <w:vAlign w:val="center"/>
          </w:tcPr>
          <w:p w14:paraId="146877B2" w14:textId="30D61C08" w:rsidR="0092254A" w:rsidRPr="00576299" w:rsidRDefault="0092254A" w:rsidP="00C068F2">
            <w:pPr>
              <w:pStyle w:val="Tabletext"/>
              <w:keepNext/>
              <w:keepLines/>
              <w:jc w:val="center"/>
            </w:pPr>
            <w:r w:rsidRPr="00576299">
              <w:rPr>
                <w:rFonts w:cs="Calibri"/>
                <w:color w:val="000000"/>
                <w:szCs w:val="20"/>
              </w:rPr>
              <w:t>-</w:t>
            </w:r>
            <w:r w:rsidR="00833009" w:rsidRPr="00833009">
              <w:rPr>
                <w:rFonts w:cs="Calibri"/>
                <w:color w:val="000000"/>
                <w:spacing w:val="161"/>
                <w:szCs w:val="20"/>
                <w:shd w:val="solid" w:color="000000" w:fill="000000"/>
                <w:fitText w:val="247" w:id="-1304167674"/>
                <w14:textFill>
                  <w14:solidFill>
                    <w14:srgbClr w14:val="000000">
                      <w14:alpha w14:val="100000"/>
                    </w14:srgbClr>
                  </w14:solidFill>
                </w14:textFill>
              </w:rPr>
              <w:t>|</w:t>
            </w:r>
            <w:r w:rsidR="00833009" w:rsidRPr="00833009">
              <w:rPr>
                <w:rFonts w:cs="Calibri"/>
                <w:color w:val="000000"/>
                <w:spacing w:val="1"/>
                <w:szCs w:val="20"/>
                <w:shd w:val="solid" w:color="000000" w:fill="000000"/>
                <w:fitText w:val="247" w:id="-1304167674"/>
                <w14:textFill>
                  <w14:solidFill>
                    <w14:srgbClr w14:val="000000">
                      <w14:alpha w14:val="100000"/>
                    </w14:srgbClr>
                  </w14:solidFill>
                </w14:textFill>
              </w:rPr>
              <w:t>|</w:t>
            </w:r>
            <w:r w:rsidR="001F194F">
              <w:rPr>
                <w:rFonts w:cs="Calibri"/>
                <w:color w:val="000000"/>
                <w:szCs w:val="20"/>
                <w:vertAlign w:val="superscript"/>
              </w:rPr>
              <w:t>2</w:t>
            </w:r>
          </w:p>
        </w:tc>
        <w:tc>
          <w:tcPr>
            <w:tcW w:w="992" w:type="dxa"/>
            <w:shd w:val="clear" w:color="auto" w:fill="auto"/>
            <w:vAlign w:val="center"/>
          </w:tcPr>
          <w:p w14:paraId="06C4923A" w14:textId="67BAE840" w:rsidR="0092254A" w:rsidRPr="00576299" w:rsidRDefault="0092254A" w:rsidP="00C068F2">
            <w:pPr>
              <w:pStyle w:val="Tabletext"/>
              <w:keepNext/>
              <w:keepLines/>
              <w:jc w:val="center"/>
            </w:pPr>
            <w:r w:rsidRPr="00576299">
              <w:rPr>
                <w:rFonts w:cs="Calibri"/>
                <w:color w:val="000000"/>
                <w:szCs w:val="20"/>
              </w:rPr>
              <w:t>-</w:t>
            </w:r>
            <w:r w:rsidR="00833009" w:rsidRPr="00833009">
              <w:rPr>
                <w:rFonts w:cs="Calibri"/>
                <w:color w:val="000000"/>
                <w:spacing w:val="50"/>
                <w:szCs w:val="20"/>
                <w:shd w:val="solid" w:color="000000" w:fill="000000"/>
                <w:fitText w:val="322" w:id="-1304167673"/>
                <w14:textFill>
                  <w14:solidFill>
                    <w14:srgbClr w14:val="000000">
                      <w14:alpha w14:val="100000"/>
                    </w14:srgbClr>
                  </w14:solidFill>
                </w14:textFill>
              </w:rPr>
              <w:t>|||</w:t>
            </w:r>
            <w:r w:rsidR="00833009" w:rsidRPr="00833009">
              <w:rPr>
                <w:rFonts w:cs="Calibri"/>
                <w:color w:val="000000"/>
                <w:spacing w:val="2"/>
                <w:szCs w:val="20"/>
                <w:shd w:val="solid" w:color="000000" w:fill="000000"/>
                <w:fitText w:val="322" w:id="-1304167673"/>
                <w14:textFill>
                  <w14:solidFill>
                    <w14:srgbClr w14:val="000000">
                      <w14:alpha w14:val="100000"/>
                    </w14:srgbClr>
                  </w14:solidFill>
                </w14:textFill>
              </w:rPr>
              <w:t>|</w:t>
            </w:r>
            <w:r w:rsidR="001F194F">
              <w:rPr>
                <w:rFonts w:cs="Calibri"/>
                <w:color w:val="000000"/>
                <w:szCs w:val="20"/>
                <w:vertAlign w:val="superscript"/>
              </w:rPr>
              <w:t>2</w:t>
            </w:r>
          </w:p>
        </w:tc>
        <w:tc>
          <w:tcPr>
            <w:tcW w:w="992" w:type="dxa"/>
            <w:shd w:val="clear" w:color="auto" w:fill="auto"/>
            <w:vAlign w:val="center"/>
          </w:tcPr>
          <w:p w14:paraId="3E2A7524" w14:textId="3B7E464D" w:rsidR="0092254A" w:rsidRPr="00576299" w:rsidRDefault="0092254A" w:rsidP="00C068F2">
            <w:pPr>
              <w:pStyle w:val="Tabletext"/>
              <w:keepNext/>
              <w:keepLines/>
              <w:jc w:val="center"/>
            </w:pPr>
            <w:r w:rsidRPr="00576299">
              <w:rPr>
                <w:rFonts w:cs="Calibri"/>
                <w:color w:val="000000"/>
                <w:szCs w:val="20"/>
              </w:rPr>
              <w:t>-</w:t>
            </w:r>
            <w:r w:rsidR="00833009" w:rsidRPr="00833009">
              <w:rPr>
                <w:rFonts w:cs="Calibri"/>
                <w:color w:val="000000"/>
                <w:spacing w:val="50"/>
                <w:szCs w:val="20"/>
                <w:shd w:val="solid" w:color="000000" w:fill="000000"/>
                <w:fitText w:val="323" w:id="-1304167672"/>
                <w14:textFill>
                  <w14:solidFill>
                    <w14:srgbClr w14:val="000000">
                      <w14:alpha w14:val="100000"/>
                    </w14:srgbClr>
                  </w14:solidFill>
                </w14:textFill>
              </w:rPr>
              <w:t>|||</w:t>
            </w:r>
            <w:r w:rsidR="00833009" w:rsidRPr="00833009">
              <w:rPr>
                <w:rFonts w:cs="Calibri"/>
                <w:color w:val="000000"/>
                <w:spacing w:val="3"/>
                <w:szCs w:val="20"/>
                <w:shd w:val="solid" w:color="000000" w:fill="000000"/>
                <w:fitText w:val="323" w:id="-1304167672"/>
                <w14:textFill>
                  <w14:solidFill>
                    <w14:srgbClr w14:val="000000">
                      <w14:alpha w14:val="100000"/>
                    </w14:srgbClr>
                  </w14:solidFill>
                </w14:textFill>
              </w:rPr>
              <w:t>|</w:t>
            </w:r>
            <w:r w:rsidR="001F194F">
              <w:rPr>
                <w:rFonts w:cs="Calibri"/>
                <w:color w:val="000000"/>
                <w:szCs w:val="20"/>
                <w:vertAlign w:val="superscript"/>
              </w:rPr>
              <w:t>2</w:t>
            </w:r>
          </w:p>
        </w:tc>
        <w:tc>
          <w:tcPr>
            <w:tcW w:w="992" w:type="dxa"/>
            <w:shd w:val="clear" w:color="auto" w:fill="auto"/>
            <w:vAlign w:val="center"/>
          </w:tcPr>
          <w:p w14:paraId="7DDCB726" w14:textId="74A75CA2" w:rsidR="0092254A" w:rsidRPr="00576299" w:rsidRDefault="0092254A" w:rsidP="00C068F2">
            <w:pPr>
              <w:pStyle w:val="Tabletext"/>
              <w:keepNext/>
              <w:keepLines/>
              <w:jc w:val="center"/>
            </w:pPr>
            <w:r w:rsidRPr="00576299">
              <w:rPr>
                <w:rFonts w:cs="Calibri"/>
                <w:color w:val="000000"/>
                <w:szCs w:val="20"/>
              </w:rPr>
              <w:t>-</w:t>
            </w:r>
            <w:r w:rsidR="00833009" w:rsidRPr="00833009">
              <w:rPr>
                <w:rFonts w:cs="Calibri"/>
                <w:color w:val="000000"/>
                <w:spacing w:val="50"/>
                <w:szCs w:val="20"/>
                <w:shd w:val="solid" w:color="000000" w:fill="000000"/>
                <w:fitText w:val="322" w:id="-1304167671"/>
                <w14:textFill>
                  <w14:solidFill>
                    <w14:srgbClr w14:val="000000">
                      <w14:alpha w14:val="100000"/>
                    </w14:srgbClr>
                  </w14:solidFill>
                </w14:textFill>
              </w:rPr>
              <w:t>|||</w:t>
            </w:r>
            <w:r w:rsidR="00833009" w:rsidRPr="00833009">
              <w:rPr>
                <w:rFonts w:cs="Calibri"/>
                <w:color w:val="000000"/>
                <w:spacing w:val="2"/>
                <w:szCs w:val="20"/>
                <w:shd w:val="solid" w:color="000000" w:fill="000000"/>
                <w:fitText w:val="322" w:id="-1304167671"/>
                <w14:textFill>
                  <w14:solidFill>
                    <w14:srgbClr w14:val="000000">
                      <w14:alpha w14:val="100000"/>
                    </w14:srgbClr>
                  </w14:solidFill>
                </w14:textFill>
              </w:rPr>
              <w:t>|</w:t>
            </w:r>
            <w:r w:rsidR="001F194F">
              <w:rPr>
                <w:rFonts w:cs="Calibri"/>
                <w:color w:val="000000"/>
                <w:szCs w:val="20"/>
                <w:vertAlign w:val="superscript"/>
              </w:rPr>
              <w:t>2</w:t>
            </w:r>
          </w:p>
        </w:tc>
        <w:tc>
          <w:tcPr>
            <w:tcW w:w="992" w:type="dxa"/>
            <w:shd w:val="clear" w:color="auto" w:fill="auto"/>
            <w:vAlign w:val="center"/>
          </w:tcPr>
          <w:p w14:paraId="176B1B2D" w14:textId="4650C703" w:rsidR="0092254A" w:rsidRPr="00576299" w:rsidRDefault="0092254A" w:rsidP="00C068F2">
            <w:pPr>
              <w:pStyle w:val="Tabletext"/>
              <w:keepNext/>
              <w:keepLines/>
              <w:jc w:val="center"/>
            </w:pPr>
            <w:r w:rsidRPr="00576299">
              <w:rPr>
                <w:rFonts w:cs="Calibri"/>
                <w:color w:val="000000"/>
                <w:szCs w:val="20"/>
              </w:rPr>
              <w:t>-</w:t>
            </w:r>
            <w:r w:rsidR="00833009" w:rsidRPr="00833009">
              <w:rPr>
                <w:rFonts w:cs="Calibri"/>
                <w:color w:val="000000"/>
                <w:spacing w:val="50"/>
                <w:szCs w:val="20"/>
                <w:shd w:val="solid" w:color="000000" w:fill="000000"/>
                <w:fitText w:val="323" w:id="-1304167670"/>
                <w14:textFill>
                  <w14:solidFill>
                    <w14:srgbClr w14:val="000000">
                      <w14:alpha w14:val="100000"/>
                    </w14:srgbClr>
                  </w14:solidFill>
                </w14:textFill>
              </w:rPr>
              <w:t>|||</w:t>
            </w:r>
            <w:r w:rsidR="00833009" w:rsidRPr="00833009">
              <w:rPr>
                <w:rFonts w:cs="Calibri"/>
                <w:color w:val="000000"/>
                <w:spacing w:val="3"/>
                <w:szCs w:val="20"/>
                <w:shd w:val="solid" w:color="000000" w:fill="000000"/>
                <w:fitText w:val="323" w:id="-1304167670"/>
                <w14:textFill>
                  <w14:solidFill>
                    <w14:srgbClr w14:val="000000">
                      <w14:alpha w14:val="100000"/>
                    </w14:srgbClr>
                  </w14:solidFill>
                </w14:textFill>
              </w:rPr>
              <w:t>|</w:t>
            </w:r>
            <w:r w:rsidR="001F194F">
              <w:rPr>
                <w:rFonts w:cs="Calibri"/>
                <w:color w:val="000000"/>
                <w:szCs w:val="20"/>
                <w:vertAlign w:val="superscript"/>
              </w:rPr>
              <w:t>2</w:t>
            </w:r>
          </w:p>
        </w:tc>
        <w:tc>
          <w:tcPr>
            <w:tcW w:w="993" w:type="dxa"/>
            <w:shd w:val="clear" w:color="auto" w:fill="auto"/>
            <w:vAlign w:val="center"/>
          </w:tcPr>
          <w:p w14:paraId="02FE5642" w14:textId="7973D583" w:rsidR="0092254A" w:rsidRPr="00576299" w:rsidRDefault="0092254A" w:rsidP="00C068F2">
            <w:pPr>
              <w:pStyle w:val="Tabletext"/>
              <w:keepNext/>
              <w:keepLines/>
              <w:jc w:val="center"/>
            </w:pPr>
            <w:r w:rsidRPr="00576299">
              <w:rPr>
                <w:rFonts w:cs="Calibri"/>
                <w:color w:val="000000"/>
                <w:szCs w:val="20"/>
              </w:rPr>
              <w:t>-</w:t>
            </w:r>
            <w:r w:rsidR="00833009" w:rsidRPr="00833009">
              <w:rPr>
                <w:rFonts w:cs="Calibri"/>
                <w:color w:val="000000"/>
                <w:spacing w:val="50"/>
                <w:szCs w:val="20"/>
                <w:shd w:val="solid" w:color="000000" w:fill="000000"/>
                <w:fitText w:val="322" w:id="-1304167669"/>
                <w14:textFill>
                  <w14:solidFill>
                    <w14:srgbClr w14:val="000000">
                      <w14:alpha w14:val="100000"/>
                    </w14:srgbClr>
                  </w14:solidFill>
                </w14:textFill>
              </w:rPr>
              <w:t>|||</w:t>
            </w:r>
            <w:r w:rsidR="00833009" w:rsidRPr="00833009">
              <w:rPr>
                <w:rFonts w:cs="Calibri"/>
                <w:color w:val="000000"/>
                <w:spacing w:val="2"/>
                <w:szCs w:val="20"/>
                <w:shd w:val="solid" w:color="000000" w:fill="000000"/>
                <w:fitText w:val="322" w:id="-1304167669"/>
                <w14:textFill>
                  <w14:solidFill>
                    <w14:srgbClr w14:val="000000">
                      <w14:alpha w14:val="100000"/>
                    </w14:srgbClr>
                  </w14:solidFill>
                </w14:textFill>
              </w:rPr>
              <w:t>|</w:t>
            </w:r>
            <w:r w:rsidR="001F194F">
              <w:rPr>
                <w:rFonts w:cs="Calibri"/>
                <w:color w:val="000000"/>
                <w:szCs w:val="20"/>
                <w:vertAlign w:val="superscript"/>
              </w:rPr>
              <w:t>2</w:t>
            </w:r>
          </w:p>
        </w:tc>
      </w:tr>
      <w:tr w:rsidR="0092254A" w:rsidRPr="00576299" w14:paraId="08F408B8" w14:textId="77777777" w:rsidTr="00C068F2">
        <w:tc>
          <w:tcPr>
            <w:tcW w:w="9080" w:type="dxa"/>
            <w:gridSpan w:val="7"/>
            <w:tcBorders>
              <w:bottom w:val="single" w:sz="4" w:space="0" w:color="auto"/>
            </w:tcBorders>
            <w:shd w:val="clear" w:color="auto" w:fill="auto"/>
          </w:tcPr>
          <w:p w14:paraId="14688647" w14:textId="77777777" w:rsidR="0092254A" w:rsidRPr="00576299" w:rsidRDefault="0092254A" w:rsidP="00C068F2">
            <w:pPr>
              <w:pStyle w:val="Tabletext"/>
              <w:keepNext/>
              <w:keepLines/>
            </w:pPr>
            <w:r w:rsidRPr="00576299">
              <w:t xml:space="preserve">PBS/RPBS cost less co-pay (DPMA) (carboplatin, doxorubicin, paclitaxel) </w:t>
            </w:r>
            <w:r w:rsidRPr="00576299">
              <w:rPr>
                <w:vertAlign w:val="superscript"/>
              </w:rPr>
              <w:t>f</w:t>
            </w:r>
          </w:p>
        </w:tc>
      </w:tr>
      <w:tr w:rsidR="0092254A" w:rsidRPr="00576299" w14:paraId="04A57765" w14:textId="77777777" w:rsidTr="00B765C2">
        <w:tc>
          <w:tcPr>
            <w:tcW w:w="2985" w:type="dxa"/>
            <w:tcBorders>
              <w:bottom w:val="single" w:sz="12" w:space="0" w:color="auto"/>
            </w:tcBorders>
            <w:shd w:val="clear" w:color="auto" w:fill="auto"/>
            <w:vAlign w:val="center"/>
          </w:tcPr>
          <w:p w14:paraId="14FF33CB" w14:textId="6FEECD2C" w:rsidR="0092254A" w:rsidRPr="00576299" w:rsidRDefault="0092254A" w:rsidP="00C068F2">
            <w:pPr>
              <w:pStyle w:val="Tabletext"/>
              <w:keepNext/>
              <w:keepLines/>
              <w:ind w:left="113"/>
            </w:pPr>
            <w:r w:rsidRPr="00576299">
              <w:t>Total (pub/eff)</w:t>
            </w:r>
            <w:r w:rsidR="001F194F">
              <w:t xml:space="preserve"> ($)</w:t>
            </w:r>
          </w:p>
        </w:tc>
        <w:tc>
          <w:tcPr>
            <w:tcW w:w="1134" w:type="dxa"/>
            <w:tcBorders>
              <w:bottom w:val="single" w:sz="12" w:space="0" w:color="auto"/>
            </w:tcBorders>
            <w:shd w:val="clear" w:color="auto" w:fill="auto"/>
            <w:vAlign w:val="center"/>
          </w:tcPr>
          <w:p w14:paraId="1D72A806" w14:textId="1ECE2C01" w:rsidR="0092254A" w:rsidRPr="001F194F" w:rsidRDefault="00833009" w:rsidP="00C068F2">
            <w:pPr>
              <w:pStyle w:val="Tabletext"/>
              <w:jc w:val="center"/>
              <w:rPr>
                <w:highlight w:val="darkGray"/>
              </w:rPr>
            </w:pPr>
            <w:r w:rsidRPr="00833009">
              <w:rPr>
                <w:color w:val="000000"/>
                <w:spacing w:val="49"/>
                <w:shd w:val="solid" w:color="000000" w:fill="000000"/>
                <w:fitText w:val="226" w:id="-1304167668"/>
                <w14:textFill>
                  <w14:solidFill>
                    <w14:srgbClr w14:val="000000">
                      <w14:alpha w14:val="100000"/>
                    </w14:srgbClr>
                  </w14:solidFill>
                </w14:textFill>
              </w:rPr>
              <w:t>||</w:t>
            </w:r>
            <w:r w:rsidRPr="00833009">
              <w:rPr>
                <w:color w:val="000000"/>
                <w:spacing w:val="1"/>
                <w:shd w:val="solid" w:color="000000" w:fill="000000"/>
                <w:fitText w:val="226" w:id="-1304167668"/>
                <w14:textFill>
                  <w14:solidFill>
                    <w14:srgbClr w14:val="000000">
                      <w14:alpha w14:val="100000"/>
                    </w14:srgbClr>
                  </w14:solidFill>
                </w14:textFill>
              </w:rPr>
              <w:t>|</w:t>
            </w:r>
            <w:r w:rsidR="00B765C2">
              <w:rPr>
                <w:rFonts w:cs="Calibri"/>
                <w:color w:val="000000"/>
                <w:szCs w:val="20"/>
                <w:vertAlign w:val="superscript"/>
              </w:rPr>
              <w:t>3</w:t>
            </w:r>
          </w:p>
        </w:tc>
        <w:tc>
          <w:tcPr>
            <w:tcW w:w="992" w:type="dxa"/>
            <w:tcBorders>
              <w:bottom w:val="single" w:sz="12" w:space="0" w:color="auto"/>
            </w:tcBorders>
            <w:shd w:val="clear" w:color="auto" w:fill="auto"/>
            <w:vAlign w:val="center"/>
          </w:tcPr>
          <w:p w14:paraId="52A4A746" w14:textId="01085BA1" w:rsidR="0092254A" w:rsidRPr="001F194F" w:rsidRDefault="00833009" w:rsidP="00C068F2">
            <w:pPr>
              <w:pStyle w:val="Tabletext"/>
              <w:jc w:val="center"/>
              <w:rPr>
                <w:highlight w:val="darkGray"/>
              </w:rPr>
            </w:pPr>
            <w:r w:rsidRPr="00833009">
              <w:rPr>
                <w:color w:val="000000"/>
                <w:spacing w:val="204"/>
                <w:shd w:val="solid" w:color="000000" w:fill="000000"/>
                <w:fitText w:val="290" w:id="-1304167667"/>
                <w14:textFill>
                  <w14:solidFill>
                    <w14:srgbClr w14:val="000000">
                      <w14:alpha w14:val="100000"/>
                    </w14:srgbClr>
                  </w14:solidFill>
                </w14:textFill>
              </w:rPr>
              <w:t>|</w:t>
            </w:r>
            <w:r w:rsidRPr="00833009">
              <w:rPr>
                <w:color w:val="000000"/>
                <w:spacing w:val="1"/>
                <w:shd w:val="solid" w:color="000000" w:fill="000000"/>
                <w:fitText w:val="290" w:id="-1304167667"/>
                <w14:textFill>
                  <w14:solidFill>
                    <w14:srgbClr w14:val="000000">
                      <w14:alpha w14:val="100000"/>
                    </w14:srgbClr>
                  </w14:solidFill>
                </w14:textFill>
              </w:rPr>
              <w:t>|</w:t>
            </w:r>
            <w:r w:rsidR="00B765C2">
              <w:rPr>
                <w:rFonts w:cs="Calibri"/>
                <w:color w:val="000000"/>
                <w:szCs w:val="20"/>
                <w:vertAlign w:val="superscript"/>
              </w:rPr>
              <w:t>3</w:t>
            </w:r>
          </w:p>
        </w:tc>
        <w:tc>
          <w:tcPr>
            <w:tcW w:w="992" w:type="dxa"/>
            <w:tcBorders>
              <w:bottom w:val="single" w:sz="12" w:space="0" w:color="auto"/>
            </w:tcBorders>
            <w:shd w:val="clear" w:color="auto" w:fill="auto"/>
            <w:vAlign w:val="center"/>
          </w:tcPr>
          <w:p w14:paraId="11B21202" w14:textId="2C0D1E3A" w:rsidR="0092254A" w:rsidRPr="001F194F" w:rsidRDefault="00833009" w:rsidP="00C068F2">
            <w:pPr>
              <w:pStyle w:val="Tabletext"/>
              <w:jc w:val="center"/>
              <w:rPr>
                <w:highlight w:val="darkGray"/>
              </w:rPr>
            </w:pPr>
            <w:r w:rsidRPr="00833009">
              <w:rPr>
                <w:color w:val="000000"/>
                <w:spacing w:val="204"/>
                <w:shd w:val="solid" w:color="000000" w:fill="000000"/>
                <w:fitText w:val="290" w:id="-1304167666"/>
                <w14:textFill>
                  <w14:solidFill>
                    <w14:srgbClr w14:val="000000">
                      <w14:alpha w14:val="100000"/>
                    </w14:srgbClr>
                  </w14:solidFill>
                </w14:textFill>
              </w:rPr>
              <w:t>|</w:t>
            </w:r>
            <w:r w:rsidRPr="00833009">
              <w:rPr>
                <w:color w:val="000000"/>
                <w:spacing w:val="1"/>
                <w:shd w:val="solid" w:color="000000" w:fill="000000"/>
                <w:fitText w:val="290" w:id="-1304167666"/>
                <w14:textFill>
                  <w14:solidFill>
                    <w14:srgbClr w14:val="000000">
                      <w14:alpha w14:val="100000"/>
                    </w14:srgbClr>
                  </w14:solidFill>
                </w14:textFill>
              </w:rPr>
              <w:t>|</w:t>
            </w:r>
            <w:r w:rsidR="00B765C2">
              <w:rPr>
                <w:rFonts w:cs="Calibri"/>
                <w:color w:val="000000"/>
                <w:szCs w:val="20"/>
                <w:vertAlign w:val="superscript"/>
              </w:rPr>
              <w:t>3</w:t>
            </w:r>
          </w:p>
        </w:tc>
        <w:tc>
          <w:tcPr>
            <w:tcW w:w="992" w:type="dxa"/>
            <w:tcBorders>
              <w:bottom w:val="single" w:sz="12" w:space="0" w:color="auto"/>
            </w:tcBorders>
            <w:shd w:val="clear" w:color="auto" w:fill="auto"/>
            <w:vAlign w:val="center"/>
          </w:tcPr>
          <w:p w14:paraId="77698794" w14:textId="3D634735" w:rsidR="0092254A" w:rsidRPr="001F194F" w:rsidRDefault="00833009" w:rsidP="00C068F2">
            <w:pPr>
              <w:pStyle w:val="Tabletext"/>
              <w:jc w:val="center"/>
              <w:rPr>
                <w:highlight w:val="darkGray"/>
              </w:rPr>
            </w:pPr>
            <w:r w:rsidRPr="00833009">
              <w:rPr>
                <w:color w:val="000000"/>
                <w:spacing w:val="204"/>
                <w:shd w:val="solid" w:color="000000" w:fill="000000"/>
                <w:fitText w:val="290" w:id="-1304167665"/>
                <w14:textFill>
                  <w14:solidFill>
                    <w14:srgbClr w14:val="000000">
                      <w14:alpha w14:val="100000"/>
                    </w14:srgbClr>
                  </w14:solidFill>
                </w14:textFill>
              </w:rPr>
              <w:t>|</w:t>
            </w:r>
            <w:r w:rsidRPr="00833009">
              <w:rPr>
                <w:color w:val="000000"/>
                <w:spacing w:val="1"/>
                <w:shd w:val="solid" w:color="000000" w:fill="000000"/>
                <w:fitText w:val="290" w:id="-1304167665"/>
                <w14:textFill>
                  <w14:solidFill>
                    <w14:srgbClr w14:val="000000">
                      <w14:alpha w14:val="100000"/>
                    </w14:srgbClr>
                  </w14:solidFill>
                </w14:textFill>
              </w:rPr>
              <w:t>|</w:t>
            </w:r>
            <w:r w:rsidR="00B765C2">
              <w:rPr>
                <w:rFonts w:cs="Calibri"/>
                <w:color w:val="000000"/>
                <w:szCs w:val="20"/>
                <w:vertAlign w:val="superscript"/>
              </w:rPr>
              <w:t>3</w:t>
            </w:r>
          </w:p>
        </w:tc>
        <w:tc>
          <w:tcPr>
            <w:tcW w:w="992" w:type="dxa"/>
            <w:tcBorders>
              <w:bottom w:val="single" w:sz="12" w:space="0" w:color="auto"/>
            </w:tcBorders>
            <w:shd w:val="clear" w:color="auto" w:fill="auto"/>
            <w:vAlign w:val="center"/>
          </w:tcPr>
          <w:p w14:paraId="26832317" w14:textId="3EEE982A" w:rsidR="0092254A" w:rsidRPr="001F194F" w:rsidRDefault="00833009" w:rsidP="00C068F2">
            <w:pPr>
              <w:pStyle w:val="Tabletext"/>
              <w:jc w:val="center"/>
              <w:rPr>
                <w:highlight w:val="darkGray"/>
              </w:rPr>
            </w:pPr>
            <w:r w:rsidRPr="00833009">
              <w:rPr>
                <w:color w:val="000000"/>
                <w:spacing w:val="204"/>
                <w:shd w:val="solid" w:color="000000" w:fill="000000"/>
                <w:fitText w:val="290" w:id="-1304167664"/>
                <w14:textFill>
                  <w14:solidFill>
                    <w14:srgbClr w14:val="000000">
                      <w14:alpha w14:val="100000"/>
                    </w14:srgbClr>
                  </w14:solidFill>
                </w14:textFill>
              </w:rPr>
              <w:t>|</w:t>
            </w:r>
            <w:r w:rsidRPr="00833009">
              <w:rPr>
                <w:color w:val="000000"/>
                <w:spacing w:val="1"/>
                <w:shd w:val="solid" w:color="000000" w:fill="000000"/>
                <w:fitText w:val="290" w:id="-1304167664"/>
                <w14:textFill>
                  <w14:solidFill>
                    <w14:srgbClr w14:val="000000">
                      <w14:alpha w14:val="100000"/>
                    </w14:srgbClr>
                  </w14:solidFill>
                </w14:textFill>
              </w:rPr>
              <w:t>|</w:t>
            </w:r>
            <w:r w:rsidR="00B765C2">
              <w:rPr>
                <w:rFonts w:cs="Calibri"/>
                <w:color w:val="000000"/>
                <w:szCs w:val="20"/>
                <w:vertAlign w:val="superscript"/>
              </w:rPr>
              <w:t>3</w:t>
            </w:r>
          </w:p>
        </w:tc>
        <w:tc>
          <w:tcPr>
            <w:tcW w:w="993" w:type="dxa"/>
            <w:tcBorders>
              <w:bottom w:val="single" w:sz="12" w:space="0" w:color="auto"/>
            </w:tcBorders>
            <w:shd w:val="clear" w:color="auto" w:fill="auto"/>
            <w:vAlign w:val="center"/>
          </w:tcPr>
          <w:p w14:paraId="0FE5F99B" w14:textId="03C43B33" w:rsidR="0092254A" w:rsidRPr="001F194F" w:rsidRDefault="00833009" w:rsidP="00C068F2">
            <w:pPr>
              <w:pStyle w:val="Tabletext"/>
              <w:jc w:val="center"/>
              <w:rPr>
                <w:highlight w:val="darkGray"/>
              </w:rPr>
            </w:pPr>
            <w:r w:rsidRPr="00833009">
              <w:rPr>
                <w:color w:val="000000"/>
                <w:spacing w:val="204"/>
                <w:shd w:val="solid" w:color="000000" w:fill="000000"/>
                <w:fitText w:val="290" w:id="-1304167680"/>
                <w14:textFill>
                  <w14:solidFill>
                    <w14:srgbClr w14:val="000000">
                      <w14:alpha w14:val="100000"/>
                    </w14:srgbClr>
                  </w14:solidFill>
                </w14:textFill>
              </w:rPr>
              <w:t>|</w:t>
            </w:r>
            <w:r w:rsidRPr="00833009">
              <w:rPr>
                <w:color w:val="000000"/>
                <w:spacing w:val="1"/>
                <w:shd w:val="solid" w:color="000000" w:fill="000000"/>
                <w:fitText w:val="290" w:id="-1304167680"/>
                <w14:textFill>
                  <w14:solidFill>
                    <w14:srgbClr w14:val="000000">
                      <w14:alpha w14:val="100000"/>
                    </w14:srgbClr>
                  </w14:solidFill>
                </w14:textFill>
              </w:rPr>
              <w:t>|</w:t>
            </w:r>
            <w:r w:rsidR="00B765C2">
              <w:rPr>
                <w:rFonts w:cs="Calibri"/>
                <w:color w:val="000000"/>
                <w:szCs w:val="20"/>
                <w:vertAlign w:val="superscript"/>
              </w:rPr>
              <w:t>3</w:t>
            </w:r>
          </w:p>
        </w:tc>
      </w:tr>
      <w:tr w:rsidR="0092254A" w:rsidRPr="00576299" w14:paraId="4013573D" w14:textId="77777777" w:rsidTr="00B765C2">
        <w:tc>
          <w:tcPr>
            <w:tcW w:w="2985" w:type="dxa"/>
            <w:shd w:val="clear" w:color="auto" w:fill="auto"/>
            <w:vAlign w:val="center"/>
          </w:tcPr>
          <w:p w14:paraId="5AE20720" w14:textId="7B413FB3" w:rsidR="0092254A" w:rsidRPr="00576299" w:rsidRDefault="0092254A" w:rsidP="00C068F2">
            <w:pPr>
              <w:pStyle w:val="Tabletext"/>
              <w:keepNext/>
              <w:keepLines/>
            </w:pPr>
            <w:r w:rsidRPr="00576299">
              <w:t>Net cost to PBS/RPBS (eff)</w:t>
            </w:r>
            <w:r w:rsidR="001F194F">
              <w:t xml:space="preserve"> ($)</w:t>
            </w:r>
          </w:p>
        </w:tc>
        <w:tc>
          <w:tcPr>
            <w:tcW w:w="1134" w:type="dxa"/>
            <w:shd w:val="clear" w:color="auto" w:fill="auto"/>
            <w:vAlign w:val="center"/>
          </w:tcPr>
          <w:p w14:paraId="2C3841A0" w14:textId="3DE0D037" w:rsidR="0092254A" w:rsidRPr="001F194F" w:rsidRDefault="00833009" w:rsidP="00C068F2">
            <w:pPr>
              <w:pStyle w:val="Tabletext"/>
              <w:jc w:val="center"/>
              <w:rPr>
                <w:highlight w:val="darkGray"/>
              </w:rPr>
            </w:pPr>
            <w:r w:rsidRPr="00833009">
              <w:rPr>
                <w:rFonts w:cs="Calibri"/>
                <w:color w:val="000000"/>
                <w:spacing w:val="49"/>
                <w:szCs w:val="20"/>
                <w:shd w:val="solid" w:color="000000" w:fill="000000"/>
                <w:fitText w:val="226" w:id="-1304167679"/>
                <w14:textFill>
                  <w14:solidFill>
                    <w14:srgbClr w14:val="000000">
                      <w14:alpha w14:val="100000"/>
                    </w14:srgbClr>
                  </w14:solidFill>
                </w14:textFill>
              </w:rPr>
              <w:t>||</w:t>
            </w:r>
            <w:r w:rsidRPr="00833009">
              <w:rPr>
                <w:rFonts w:cs="Calibri"/>
                <w:color w:val="000000"/>
                <w:spacing w:val="1"/>
                <w:szCs w:val="20"/>
                <w:shd w:val="solid" w:color="000000" w:fill="000000"/>
                <w:fitText w:val="226" w:id="-1304167679"/>
                <w14:textFill>
                  <w14:solidFill>
                    <w14:srgbClr w14:val="000000">
                      <w14:alpha w14:val="100000"/>
                    </w14:srgbClr>
                  </w14:solidFill>
                </w14:textFill>
              </w:rPr>
              <w:t>|</w:t>
            </w:r>
            <w:r w:rsidR="00B765C2">
              <w:rPr>
                <w:rFonts w:cs="Calibri"/>
                <w:color w:val="000000"/>
                <w:szCs w:val="20"/>
                <w:vertAlign w:val="superscript"/>
              </w:rPr>
              <w:t>3</w:t>
            </w:r>
          </w:p>
        </w:tc>
        <w:tc>
          <w:tcPr>
            <w:tcW w:w="992" w:type="dxa"/>
            <w:shd w:val="clear" w:color="auto" w:fill="auto"/>
            <w:vAlign w:val="center"/>
          </w:tcPr>
          <w:p w14:paraId="053A594A" w14:textId="6DD15EAA" w:rsidR="0092254A" w:rsidRPr="001F194F" w:rsidRDefault="00833009" w:rsidP="00C068F2">
            <w:pPr>
              <w:pStyle w:val="Tabletext"/>
              <w:jc w:val="center"/>
              <w:rPr>
                <w:highlight w:val="darkGray"/>
              </w:rPr>
            </w:pPr>
            <w:r w:rsidRPr="00833009">
              <w:rPr>
                <w:rFonts w:cs="Calibri"/>
                <w:color w:val="000000"/>
                <w:spacing w:val="204"/>
                <w:szCs w:val="20"/>
                <w:shd w:val="solid" w:color="000000" w:fill="000000"/>
                <w:fitText w:val="290" w:id="-1304167678"/>
                <w14:textFill>
                  <w14:solidFill>
                    <w14:srgbClr w14:val="000000">
                      <w14:alpha w14:val="100000"/>
                    </w14:srgbClr>
                  </w14:solidFill>
                </w14:textFill>
              </w:rPr>
              <w:t>|</w:t>
            </w:r>
            <w:r w:rsidRPr="00833009">
              <w:rPr>
                <w:rFonts w:cs="Calibri"/>
                <w:color w:val="000000"/>
                <w:spacing w:val="1"/>
                <w:szCs w:val="20"/>
                <w:shd w:val="solid" w:color="000000" w:fill="000000"/>
                <w:fitText w:val="290" w:id="-1304167678"/>
                <w14:textFill>
                  <w14:solidFill>
                    <w14:srgbClr w14:val="000000">
                      <w14:alpha w14:val="100000"/>
                    </w14:srgbClr>
                  </w14:solidFill>
                </w14:textFill>
              </w:rPr>
              <w:t>|</w:t>
            </w:r>
            <w:r w:rsidR="00B765C2">
              <w:rPr>
                <w:rFonts w:cs="Calibri"/>
                <w:color w:val="000000"/>
                <w:szCs w:val="20"/>
                <w:vertAlign w:val="superscript"/>
              </w:rPr>
              <w:t>3</w:t>
            </w:r>
          </w:p>
        </w:tc>
        <w:tc>
          <w:tcPr>
            <w:tcW w:w="992" w:type="dxa"/>
            <w:shd w:val="clear" w:color="auto" w:fill="auto"/>
            <w:vAlign w:val="center"/>
          </w:tcPr>
          <w:p w14:paraId="2A802E45" w14:textId="6DA49500" w:rsidR="0092254A" w:rsidRPr="001F194F" w:rsidRDefault="00833009" w:rsidP="00C068F2">
            <w:pPr>
              <w:pStyle w:val="Tabletext"/>
              <w:jc w:val="center"/>
              <w:rPr>
                <w:highlight w:val="darkGray"/>
              </w:rPr>
            </w:pPr>
            <w:r w:rsidRPr="00833009">
              <w:rPr>
                <w:rFonts w:cs="Calibri"/>
                <w:color w:val="000000"/>
                <w:spacing w:val="204"/>
                <w:szCs w:val="20"/>
                <w:shd w:val="solid" w:color="000000" w:fill="000000"/>
                <w:fitText w:val="290" w:id="-1304167677"/>
                <w14:textFill>
                  <w14:solidFill>
                    <w14:srgbClr w14:val="000000">
                      <w14:alpha w14:val="100000"/>
                    </w14:srgbClr>
                  </w14:solidFill>
                </w14:textFill>
              </w:rPr>
              <w:t>|</w:t>
            </w:r>
            <w:r w:rsidRPr="00833009">
              <w:rPr>
                <w:rFonts w:cs="Calibri"/>
                <w:color w:val="000000"/>
                <w:spacing w:val="1"/>
                <w:szCs w:val="20"/>
                <w:shd w:val="solid" w:color="000000" w:fill="000000"/>
                <w:fitText w:val="290" w:id="-1304167677"/>
                <w14:textFill>
                  <w14:solidFill>
                    <w14:srgbClr w14:val="000000">
                      <w14:alpha w14:val="100000"/>
                    </w14:srgbClr>
                  </w14:solidFill>
                </w14:textFill>
              </w:rPr>
              <w:t>|</w:t>
            </w:r>
            <w:r w:rsidR="00B765C2">
              <w:rPr>
                <w:rFonts w:cs="Calibri"/>
                <w:color w:val="000000"/>
                <w:szCs w:val="20"/>
                <w:vertAlign w:val="superscript"/>
              </w:rPr>
              <w:t>3</w:t>
            </w:r>
          </w:p>
        </w:tc>
        <w:tc>
          <w:tcPr>
            <w:tcW w:w="992" w:type="dxa"/>
            <w:shd w:val="clear" w:color="auto" w:fill="auto"/>
            <w:vAlign w:val="center"/>
          </w:tcPr>
          <w:p w14:paraId="127BE45C" w14:textId="0802946F" w:rsidR="0092254A" w:rsidRPr="001F194F" w:rsidRDefault="00833009" w:rsidP="00C068F2">
            <w:pPr>
              <w:pStyle w:val="Tabletext"/>
              <w:jc w:val="center"/>
              <w:rPr>
                <w:highlight w:val="darkGray"/>
              </w:rPr>
            </w:pPr>
            <w:r w:rsidRPr="00833009">
              <w:rPr>
                <w:rFonts w:cs="Calibri"/>
                <w:color w:val="000000"/>
                <w:spacing w:val="204"/>
                <w:szCs w:val="20"/>
                <w:shd w:val="solid" w:color="000000" w:fill="000000"/>
                <w:fitText w:val="290" w:id="-1304167676"/>
                <w14:textFill>
                  <w14:solidFill>
                    <w14:srgbClr w14:val="000000">
                      <w14:alpha w14:val="100000"/>
                    </w14:srgbClr>
                  </w14:solidFill>
                </w14:textFill>
              </w:rPr>
              <w:t>|</w:t>
            </w:r>
            <w:r w:rsidRPr="00833009">
              <w:rPr>
                <w:rFonts w:cs="Calibri"/>
                <w:color w:val="000000"/>
                <w:spacing w:val="1"/>
                <w:szCs w:val="20"/>
                <w:shd w:val="solid" w:color="000000" w:fill="000000"/>
                <w:fitText w:val="290" w:id="-1304167676"/>
                <w14:textFill>
                  <w14:solidFill>
                    <w14:srgbClr w14:val="000000">
                      <w14:alpha w14:val="100000"/>
                    </w14:srgbClr>
                  </w14:solidFill>
                </w14:textFill>
              </w:rPr>
              <w:t>|</w:t>
            </w:r>
            <w:r w:rsidR="00B765C2">
              <w:rPr>
                <w:rFonts w:cs="Calibri"/>
                <w:color w:val="000000"/>
                <w:szCs w:val="20"/>
                <w:vertAlign w:val="superscript"/>
              </w:rPr>
              <w:t>3</w:t>
            </w:r>
          </w:p>
        </w:tc>
        <w:tc>
          <w:tcPr>
            <w:tcW w:w="992" w:type="dxa"/>
            <w:shd w:val="clear" w:color="auto" w:fill="auto"/>
            <w:vAlign w:val="center"/>
          </w:tcPr>
          <w:p w14:paraId="35F4685A" w14:textId="23452092" w:rsidR="0092254A" w:rsidRPr="001F194F" w:rsidRDefault="00833009" w:rsidP="00C068F2">
            <w:pPr>
              <w:pStyle w:val="Tabletext"/>
              <w:jc w:val="center"/>
              <w:rPr>
                <w:highlight w:val="darkGray"/>
              </w:rPr>
            </w:pPr>
            <w:r w:rsidRPr="00833009">
              <w:rPr>
                <w:rFonts w:cs="Calibri"/>
                <w:color w:val="000000"/>
                <w:spacing w:val="204"/>
                <w:szCs w:val="20"/>
                <w:shd w:val="solid" w:color="000000" w:fill="000000"/>
                <w:fitText w:val="290" w:id="-1304167675"/>
                <w14:textFill>
                  <w14:solidFill>
                    <w14:srgbClr w14:val="000000">
                      <w14:alpha w14:val="100000"/>
                    </w14:srgbClr>
                  </w14:solidFill>
                </w14:textFill>
              </w:rPr>
              <w:t>|</w:t>
            </w:r>
            <w:r w:rsidRPr="00833009">
              <w:rPr>
                <w:rFonts w:cs="Calibri"/>
                <w:color w:val="000000"/>
                <w:spacing w:val="1"/>
                <w:szCs w:val="20"/>
                <w:shd w:val="solid" w:color="000000" w:fill="000000"/>
                <w:fitText w:val="290" w:id="-1304167675"/>
                <w14:textFill>
                  <w14:solidFill>
                    <w14:srgbClr w14:val="000000">
                      <w14:alpha w14:val="100000"/>
                    </w14:srgbClr>
                  </w14:solidFill>
                </w14:textFill>
              </w:rPr>
              <w:t>|</w:t>
            </w:r>
            <w:r w:rsidR="00B765C2">
              <w:rPr>
                <w:rFonts w:cs="Calibri"/>
                <w:color w:val="000000"/>
                <w:szCs w:val="20"/>
                <w:vertAlign w:val="superscript"/>
              </w:rPr>
              <w:t>3</w:t>
            </w:r>
          </w:p>
        </w:tc>
        <w:tc>
          <w:tcPr>
            <w:tcW w:w="993" w:type="dxa"/>
            <w:shd w:val="clear" w:color="auto" w:fill="auto"/>
            <w:vAlign w:val="center"/>
          </w:tcPr>
          <w:p w14:paraId="7C5410BF" w14:textId="5DAECBCF" w:rsidR="0092254A" w:rsidRPr="001F194F" w:rsidRDefault="00833009" w:rsidP="00C068F2">
            <w:pPr>
              <w:pStyle w:val="Tabletext"/>
              <w:jc w:val="center"/>
              <w:rPr>
                <w:highlight w:val="darkGray"/>
              </w:rPr>
            </w:pPr>
            <w:r w:rsidRPr="00833009">
              <w:rPr>
                <w:rFonts w:cs="Calibri"/>
                <w:color w:val="000000"/>
                <w:spacing w:val="204"/>
                <w:szCs w:val="20"/>
                <w:shd w:val="solid" w:color="000000" w:fill="000000"/>
                <w:fitText w:val="290" w:id="-1304167674"/>
                <w14:textFill>
                  <w14:solidFill>
                    <w14:srgbClr w14:val="000000">
                      <w14:alpha w14:val="100000"/>
                    </w14:srgbClr>
                  </w14:solidFill>
                </w14:textFill>
              </w:rPr>
              <w:t>|</w:t>
            </w:r>
            <w:r w:rsidRPr="00833009">
              <w:rPr>
                <w:rFonts w:cs="Calibri"/>
                <w:color w:val="000000"/>
                <w:spacing w:val="1"/>
                <w:szCs w:val="20"/>
                <w:shd w:val="solid" w:color="000000" w:fill="000000"/>
                <w:fitText w:val="290" w:id="-1304167674"/>
                <w14:textFill>
                  <w14:solidFill>
                    <w14:srgbClr w14:val="000000">
                      <w14:alpha w14:val="100000"/>
                    </w14:srgbClr>
                  </w14:solidFill>
                </w14:textFill>
              </w:rPr>
              <w:t>|</w:t>
            </w:r>
            <w:r w:rsidR="00B765C2">
              <w:rPr>
                <w:rFonts w:cs="Calibri"/>
                <w:color w:val="000000"/>
                <w:szCs w:val="20"/>
                <w:vertAlign w:val="superscript"/>
              </w:rPr>
              <w:t>3</w:t>
            </w:r>
          </w:p>
        </w:tc>
      </w:tr>
      <w:tr w:rsidR="0092254A" w:rsidRPr="00576299" w14:paraId="5D19F7F1" w14:textId="77777777" w:rsidTr="00B765C2">
        <w:tc>
          <w:tcPr>
            <w:tcW w:w="2985" w:type="dxa"/>
            <w:tcBorders>
              <w:bottom w:val="single" w:sz="4" w:space="0" w:color="auto"/>
            </w:tcBorders>
            <w:shd w:val="clear" w:color="auto" w:fill="auto"/>
            <w:vAlign w:val="center"/>
          </w:tcPr>
          <w:p w14:paraId="41068FB5" w14:textId="54F5E33F" w:rsidR="0092254A" w:rsidRPr="00576299" w:rsidRDefault="0092254A" w:rsidP="00C068F2">
            <w:pPr>
              <w:pStyle w:val="Tabletext"/>
              <w:keepNext/>
              <w:keepLines/>
              <w:rPr>
                <w:vertAlign w:val="superscript"/>
              </w:rPr>
            </w:pPr>
            <w:r w:rsidRPr="00576299">
              <w:t xml:space="preserve">Net MBS costs </w:t>
            </w:r>
            <w:r w:rsidRPr="00576299">
              <w:rPr>
                <w:vertAlign w:val="superscript"/>
              </w:rPr>
              <w:t>g</w:t>
            </w:r>
            <w:r w:rsidR="001F194F">
              <w:rPr>
                <w:vertAlign w:val="superscript"/>
              </w:rPr>
              <w:t xml:space="preserve"> </w:t>
            </w:r>
            <w:r w:rsidR="001F194F">
              <w:t xml:space="preserve"> ($)</w:t>
            </w:r>
          </w:p>
        </w:tc>
        <w:tc>
          <w:tcPr>
            <w:tcW w:w="1134" w:type="dxa"/>
            <w:tcBorders>
              <w:bottom w:val="single" w:sz="4" w:space="0" w:color="auto"/>
            </w:tcBorders>
            <w:shd w:val="clear" w:color="auto" w:fill="auto"/>
            <w:vAlign w:val="center"/>
          </w:tcPr>
          <w:p w14:paraId="33C3F6B6" w14:textId="4B70A457" w:rsidR="0092254A" w:rsidRPr="001F194F" w:rsidRDefault="00833009" w:rsidP="00C068F2">
            <w:pPr>
              <w:pStyle w:val="Tabletext"/>
              <w:jc w:val="center"/>
              <w:rPr>
                <w:highlight w:val="darkGray"/>
              </w:rPr>
            </w:pPr>
            <w:r w:rsidRPr="00833009">
              <w:rPr>
                <w:rFonts w:cstheme="minorBidi"/>
                <w:color w:val="000000"/>
                <w:spacing w:val="49"/>
                <w:szCs w:val="22"/>
                <w:shd w:val="solid" w:color="000000" w:fill="000000"/>
                <w:fitText w:val="226" w:id="-1304167673"/>
                <w14:textFill>
                  <w14:solidFill>
                    <w14:srgbClr w14:val="000000">
                      <w14:alpha w14:val="100000"/>
                    </w14:srgbClr>
                  </w14:solidFill>
                </w14:textFill>
              </w:rPr>
              <w:t>||</w:t>
            </w:r>
            <w:r w:rsidRPr="00833009">
              <w:rPr>
                <w:rFonts w:cstheme="minorBidi"/>
                <w:color w:val="000000"/>
                <w:spacing w:val="1"/>
                <w:szCs w:val="22"/>
                <w:shd w:val="solid" w:color="000000" w:fill="000000"/>
                <w:fitText w:val="226" w:id="-1304167673"/>
                <w14:textFill>
                  <w14:solidFill>
                    <w14:srgbClr w14:val="000000">
                      <w14:alpha w14:val="100000"/>
                    </w14:srgbClr>
                  </w14:solidFill>
                </w14:textFill>
              </w:rPr>
              <w:t>|</w:t>
            </w:r>
            <w:r w:rsidR="00B765C2">
              <w:rPr>
                <w:rFonts w:cs="Calibri"/>
                <w:color w:val="000000"/>
                <w:szCs w:val="20"/>
                <w:vertAlign w:val="superscript"/>
              </w:rPr>
              <w:t>3</w:t>
            </w:r>
          </w:p>
        </w:tc>
        <w:tc>
          <w:tcPr>
            <w:tcW w:w="992" w:type="dxa"/>
            <w:tcBorders>
              <w:bottom w:val="single" w:sz="4" w:space="0" w:color="auto"/>
            </w:tcBorders>
            <w:shd w:val="clear" w:color="auto" w:fill="auto"/>
            <w:vAlign w:val="center"/>
          </w:tcPr>
          <w:p w14:paraId="7FDC636E" w14:textId="4E0CDB87" w:rsidR="0092254A" w:rsidRPr="001F194F" w:rsidRDefault="00833009" w:rsidP="00C068F2">
            <w:pPr>
              <w:pStyle w:val="Tabletext"/>
              <w:jc w:val="center"/>
              <w:rPr>
                <w:highlight w:val="darkGray"/>
              </w:rPr>
            </w:pPr>
            <w:r w:rsidRPr="00833009">
              <w:rPr>
                <w:rFonts w:cstheme="minorBidi"/>
                <w:color w:val="000000"/>
                <w:spacing w:val="204"/>
                <w:szCs w:val="22"/>
                <w:shd w:val="solid" w:color="000000" w:fill="000000"/>
                <w:fitText w:val="290" w:id="-1304167672"/>
                <w14:textFill>
                  <w14:solidFill>
                    <w14:srgbClr w14:val="000000">
                      <w14:alpha w14:val="100000"/>
                    </w14:srgbClr>
                  </w14:solidFill>
                </w14:textFill>
              </w:rPr>
              <w:t>|</w:t>
            </w:r>
            <w:r w:rsidRPr="00833009">
              <w:rPr>
                <w:rFonts w:cstheme="minorBidi"/>
                <w:color w:val="000000"/>
                <w:spacing w:val="1"/>
                <w:szCs w:val="22"/>
                <w:shd w:val="solid" w:color="000000" w:fill="000000"/>
                <w:fitText w:val="290" w:id="-1304167672"/>
                <w14:textFill>
                  <w14:solidFill>
                    <w14:srgbClr w14:val="000000">
                      <w14:alpha w14:val="100000"/>
                    </w14:srgbClr>
                  </w14:solidFill>
                </w14:textFill>
              </w:rPr>
              <w:t>|</w:t>
            </w:r>
            <w:r w:rsidR="00B765C2">
              <w:rPr>
                <w:rFonts w:cs="Calibri"/>
                <w:color w:val="000000"/>
                <w:szCs w:val="20"/>
                <w:vertAlign w:val="superscript"/>
              </w:rPr>
              <w:t>3</w:t>
            </w:r>
          </w:p>
        </w:tc>
        <w:tc>
          <w:tcPr>
            <w:tcW w:w="992" w:type="dxa"/>
            <w:tcBorders>
              <w:bottom w:val="single" w:sz="4" w:space="0" w:color="auto"/>
            </w:tcBorders>
            <w:shd w:val="clear" w:color="auto" w:fill="auto"/>
            <w:vAlign w:val="center"/>
          </w:tcPr>
          <w:p w14:paraId="44DF5F75" w14:textId="22F74288" w:rsidR="0092254A" w:rsidRPr="001F194F" w:rsidRDefault="00833009" w:rsidP="00C068F2">
            <w:pPr>
              <w:pStyle w:val="Tabletext"/>
              <w:jc w:val="center"/>
              <w:rPr>
                <w:highlight w:val="darkGray"/>
              </w:rPr>
            </w:pPr>
            <w:r w:rsidRPr="00833009">
              <w:rPr>
                <w:rFonts w:cstheme="minorBidi"/>
                <w:color w:val="000000"/>
                <w:spacing w:val="204"/>
                <w:szCs w:val="22"/>
                <w:shd w:val="solid" w:color="000000" w:fill="000000"/>
                <w:fitText w:val="290" w:id="-1304167671"/>
                <w14:textFill>
                  <w14:solidFill>
                    <w14:srgbClr w14:val="000000">
                      <w14:alpha w14:val="100000"/>
                    </w14:srgbClr>
                  </w14:solidFill>
                </w14:textFill>
              </w:rPr>
              <w:t>|</w:t>
            </w:r>
            <w:r w:rsidRPr="00833009">
              <w:rPr>
                <w:rFonts w:cstheme="minorBidi"/>
                <w:color w:val="000000"/>
                <w:spacing w:val="1"/>
                <w:szCs w:val="22"/>
                <w:shd w:val="solid" w:color="000000" w:fill="000000"/>
                <w:fitText w:val="290" w:id="-1304167671"/>
                <w14:textFill>
                  <w14:solidFill>
                    <w14:srgbClr w14:val="000000">
                      <w14:alpha w14:val="100000"/>
                    </w14:srgbClr>
                  </w14:solidFill>
                </w14:textFill>
              </w:rPr>
              <w:t>|</w:t>
            </w:r>
            <w:r w:rsidR="00B765C2">
              <w:rPr>
                <w:rFonts w:cs="Calibri"/>
                <w:color w:val="000000"/>
                <w:szCs w:val="20"/>
                <w:vertAlign w:val="superscript"/>
              </w:rPr>
              <w:t>3</w:t>
            </w:r>
          </w:p>
        </w:tc>
        <w:tc>
          <w:tcPr>
            <w:tcW w:w="992" w:type="dxa"/>
            <w:tcBorders>
              <w:bottom w:val="single" w:sz="4" w:space="0" w:color="auto"/>
            </w:tcBorders>
            <w:shd w:val="clear" w:color="auto" w:fill="auto"/>
            <w:vAlign w:val="center"/>
          </w:tcPr>
          <w:p w14:paraId="485DE5F1" w14:textId="7ED6F5B3" w:rsidR="0092254A" w:rsidRPr="001F194F" w:rsidRDefault="00833009" w:rsidP="00C068F2">
            <w:pPr>
              <w:pStyle w:val="Tabletext"/>
              <w:jc w:val="center"/>
              <w:rPr>
                <w:highlight w:val="darkGray"/>
              </w:rPr>
            </w:pPr>
            <w:r w:rsidRPr="00833009">
              <w:rPr>
                <w:rFonts w:cstheme="minorBidi"/>
                <w:color w:val="000000"/>
                <w:spacing w:val="204"/>
                <w:szCs w:val="22"/>
                <w:shd w:val="solid" w:color="000000" w:fill="000000"/>
                <w:fitText w:val="290" w:id="-1304167670"/>
                <w14:textFill>
                  <w14:solidFill>
                    <w14:srgbClr w14:val="000000">
                      <w14:alpha w14:val="100000"/>
                    </w14:srgbClr>
                  </w14:solidFill>
                </w14:textFill>
              </w:rPr>
              <w:t>|</w:t>
            </w:r>
            <w:r w:rsidRPr="00833009">
              <w:rPr>
                <w:rFonts w:cstheme="minorBidi"/>
                <w:color w:val="000000"/>
                <w:spacing w:val="1"/>
                <w:szCs w:val="22"/>
                <w:shd w:val="solid" w:color="000000" w:fill="000000"/>
                <w:fitText w:val="290" w:id="-1304167670"/>
                <w14:textFill>
                  <w14:solidFill>
                    <w14:srgbClr w14:val="000000">
                      <w14:alpha w14:val="100000"/>
                    </w14:srgbClr>
                  </w14:solidFill>
                </w14:textFill>
              </w:rPr>
              <w:t>|</w:t>
            </w:r>
            <w:r w:rsidR="00B765C2">
              <w:rPr>
                <w:rFonts w:cs="Calibri"/>
                <w:color w:val="000000"/>
                <w:szCs w:val="20"/>
                <w:vertAlign w:val="superscript"/>
              </w:rPr>
              <w:t>3</w:t>
            </w:r>
          </w:p>
        </w:tc>
        <w:tc>
          <w:tcPr>
            <w:tcW w:w="992" w:type="dxa"/>
            <w:tcBorders>
              <w:bottom w:val="single" w:sz="4" w:space="0" w:color="auto"/>
            </w:tcBorders>
            <w:shd w:val="clear" w:color="auto" w:fill="auto"/>
            <w:vAlign w:val="center"/>
          </w:tcPr>
          <w:p w14:paraId="554B319B" w14:textId="65324B6E" w:rsidR="0092254A" w:rsidRPr="001F194F" w:rsidRDefault="00833009" w:rsidP="00C068F2">
            <w:pPr>
              <w:pStyle w:val="Tabletext"/>
              <w:jc w:val="center"/>
              <w:rPr>
                <w:highlight w:val="darkGray"/>
              </w:rPr>
            </w:pPr>
            <w:r w:rsidRPr="00833009">
              <w:rPr>
                <w:rFonts w:cstheme="minorBidi"/>
                <w:color w:val="000000"/>
                <w:spacing w:val="204"/>
                <w:szCs w:val="22"/>
                <w:shd w:val="solid" w:color="000000" w:fill="000000"/>
                <w:fitText w:val="290" w:id="-1304167669"/>
                <w14:textFill>
                  <w14:solidFill>
                    <w14:srgbClr w14:val="000000">
                      <w14:alpha w14:val="100000"/>
                    </w14:srgbClr>
                  </w14:solidFill>
                </w14:textFill>
              </w:rPr>
              <w:t>|</w:t>
            </w:r>
            <w:r w:rsidRPr="00833009">
              <w:rPr>
                <w:rFonts w:cstheme="minorBidi"/>
                <w:color w:val="000000"/>
                <w:spacing w:val="1"/>
                <w:szCs w:val="22"/>
                <w:shd w:val="solid" w:color="000000" w:fill="000000"/>
                <w:fitText w:val="290" w:id="-1304167669"/>
                <w14:textFill>
                  <w14:solidFill>
                    <w14:srgbClr w14:val="000000">
                      <w14:alpha w14:val="100000"/>
                    </w14:srgbClr>
                  </w14:solidFill>
                </w14:textFill>
              </w:rPr>
              <w:t>|</w:t>
            </w:r>
            <w:r w:rsidR="00B765C2">
              <w:rPr>
                <w:rFonts w:cs="Calibri"/>
                <w:color w:val="000000"/>
                <w:szCs w:val="20"/>
                <w:vertAlign w:val="superscript"/>
              </w:rPr>
              <w:t>3</w:t>
            </w:r>
          </w:p>
        </w:tc>
        <w:tc>
          <w:tcPr>
            <w:tcW w:w="993" w:type="dxa"/>
            <w:tcBorders>
              <w:bottom w:val="single" w:sz="4" w:space="0" w:color="auto"/>
            </w:tcBorders>
            <w:shd w:val="clear" w:color="auto" w:fill="auto"/>
            <w:vAlign w:val="center"/>
          </w:tcPr>
          <w:p w14:paraId="40BAE618" w14:textId="70F27028" w:rsidR="0092254A" w:rsidRPr="001F194F" w:rsidRDefault="00833009" w:rsidP="00C068F2">
            <w:pPr>
              <w:pStyle w:val="Tabletext"/>
              <w:jc w:val="center"/>
              <w:rPr>
                <w:highlight w:val="darkGray"/>
              </w:rPr>
            </w:pPr>
            <w:r w:rsidRPr="00833009">
              <w:rPr>
                <w:rFonts w:cstheme="minorBidi"/>
                <w:color w:val="000000"/>
                <w:spacing w:val="204"/>
                <w:szCs w:val="22"/>
                <w:shd w:val="solid" w:color="000000" w:fill="000000"/>
                <w:fitText w:val="290" w:id="-1304167668"/>
                <w14:textFill>
                  <w14:solidFill>
                    <w14:srgbClr w14:val="000000">
                      <w14:alpha w14:val="100000"/>
                    </w14:srgbClr>
                  </w14:solidFill>
                </w14:textFill>
              </w:rPr>
              <w:t>|</w:t>
            </w:r>
            <w:r w:rsidRPr="00833009">
              <w:rPr>
                <w:rFonts w:cstheme="minorBidi"/>
                <w:color w:val="000000"/>
                <w:spacing w:val="1"/>
                <w:szCs w:val="22"/>
                <w:shd w:val="solid" w:color="000000" w:fill="000000"/>
                <w:fitText w:val="290" w:id="-1304167668"/>
                <w14:textFill>
                  <w14:solidFill>
                    <w14:srgbClr w14:val="000000">
                      <w14:alpha w14:val="100000"/>
                    </w14:srgbClr>
                  </w14:solidFill>
                </w14:textFill>
              </w:rPr>
              <w:t>|</w:t>
            </w:r>
            <w:r w:rsidR="00B765C2">
              <w:rPr>
                <w:rFonts w:cs="Calibri"/>
                <w:color w:val="000000"/>
                <w:szCs w:val="20"/>
                <w:vertAlign w:val="superscript"/>
              </w:rPr>
              <w:t>3</w:t>
            </w:r>
          </w:p>
        </w:tc>
      </w:tr>
      <w:tr w:rsidR="0092254A" w:rsidRPr="00576299" w14:paraId="7CD98B9B" w14:textId="77777777" w:rsidTr="00B765C2">
        <w:tc>
          <w:tcPr>
            <w:tcW w:w="2985" w:type="dxa"/>
            <w:tcBorders>
              <w:bottom w:val="single" w:sz="12" w:space="0" w:color="auto"/>
            </w:tcBorders>
            <w:shd w:val="clear" w:color="auto" w:fill="auto"/>
            <w:vAlign w:val="center"/>
          </w:tcPr>
          <w:p w14:paraId="4849AE7E" w14:textId="5C036CD1" w:rsidR="0092254A" w:rsidRPr="00576299" w:rsidRDefault="0092254A" w:rsidP="00C068F2">
            <w:pPr>
              <w:pStyle w:val="Tabletext"/>
              <w:keepNext/>
              <w:keepLines/>
            </w:pPr>
            <w:r w:rsidRPr="00576299">
              <w:t>Net cost to PBS/RPBS/MBS</w:t>
            </w:r>
            <w:r w:rsidR="001F194F">
              <w:t xml:space="preserve">  ($)</w:t>
            </w:r>
          </w:p>
        </w:tc>
        <w:tc>
          <w:tcPr>
            <w:tcW w:w="1134" w:type="dxa"/>
            <w:tcBorders>
              <w:bottom w:val="single" w:sz="12" w:space="0" w:color="auto"/>
            </w:tcBorders>
            <w:shd w:val="clear" w:color="auto" w:fill="auto"/>
            <w:vAlign w:val="center"/>
          </w:tcPr>
          <w:p w14:paraId="4DB7FEB9" w14:textId="1B7F8E70" w:rsidR="0092254A" w:rsidRPr="001F194F" w:rsidRDefault="00833009" w:rsidP="00C068F2">
            <w:pPr>
              <w:pStyle w:val="Tabletext"/>
              <w:jc w:val="center"/>
              <w:rPr>
                <w:highlight w:val="darkGray"/>
              </w:rPr>
            </w:pPr>
            <w:r w:rsidRPr="00833009">
              <w:rPr>
                <w:rFonts w:cs="Calibri"/>
                <w:color w:val="000000"/>
                <w:spacing w:val="49"/>
                <w:szCs w:val="20"/>
                <w:shd w:val="solid" w:color="000000" w:fill="000000"/>
                <w:fitText w:val="226" w:id="-1304167667"/>
                <w14:textFill>
                  <w14:solidFill>
                    <w14:srgbClr w14:val="000000">
                      <w14:alpha w14:val="100000"/>
                    </w14:srgbClr>
                  </w14:solidFill>
                </w14:textFill>
              </w:rPr>
              <w:t>||</w:t>
            </w:r>
            <w:r w:rsidRPr="00833009">
              <w:rPr>
                <w:rFonts w:cs="Calibri"/>
                <w:color w:val="000000"/>
                <w:spacing w:val="1"/>
                <w:szCs w:val="20"/>
                <w:shd w:val="solid" w:color="000000" w:fill="000000"/>
                <w:fitText w:val="226" w:id="-1304167667"/>
                <w14:textFill>
                  <w14:solidFill>
                    <w14:srgbClr w14:val="000000">
                      <w14:alpha w14:val="100000"/>
                    </w14:srgbClr>
                  </w14:solidFill>
                </w14:textFill>
              </w:rPr>
              <w:t>|</w:t>
            </w:r>
            <w:r w:rsidR="00B765C2">
              <w:rPr>
                <w:rFonts w:cs="Calibri"/>
                <w:color w:val="000000"/>
                <w:szCs w:val="20"/>
                <w:vertAlign w:val="superscript"/>
              </w:rPr>
              <w:t>3</w:t>
            </w:r>
          </w:p>
        </w:tc>
        <w:tc>
          <w:tcPr>
            <w:tcW w:w="992" w:type="dxa"/>
            <w:tcBorders>
              <w:bottom w:val="single" w:sz="12" w:space="0" w:color="auto"/>
            </w:tcBorders>
            <w:shd w:val="clear" w:color="auto" w:fill="auto"/>
            <w:vAlign w:val="center"/>
          </w:tcPr>
          <w:p w14:paraId="26B3EF14" w14:textId="46F38079" w:rsidR="0092254A" w:rsidRPr="001F194F" w:rsidRDefault="00833009" w:rsidP="00C068F2">
            <w:pPr>
              <w:pStyle w:val="Tabletext"/>
              <w:jc w:val="center"/>
              <w:rPr>
                <w:highlight w:val="darkGray"/>
              </w:rPr>
            </w:pPr>
            <w:r w:rsidRPr="00833009">
              <w:rPr>
                <w:rFonts w:cs="Calibri"/>
                <w:color w:val="000000"/>
                <w:spacing w:val="204"/>
                <w:szCs w:val="20"/>
                <w:shd w:val="solid" w:color="000000" w:fill="000000"/>
                <w:fitText w:val="290" w:id="-1304167666"/>
                <w14:textFill>
                  <w14:solidFill>
                    <w14:srgbClr w14:val="000000">
                      <w14:alpha w14:val="100000"/>
                    </w14:srgbClr>
                  </w14:solidFill>
                </w14:textFill>
              </w:rPr>
              <w:t>|</w:t>
            </w:r>
            <w:r w:rsidRPr="00833009">
              <w:rPr>
                <w:rFonts w:cs="Calibri"/>
                <w:color w:val="000000"/>
                <w:spacing w:val="1"/>
                <w:szCs w:val="20"/>
                <w:shd w:val="solid" w:color="000000" w:fill="000000"/>
                <w:fitText w:val="290" w:id="-1304167666"/>
                <w14:textFill>
                  <w14:solidFill>
                    <w14:srgbClr w14:val="000000">
                      <w14:alpha w14:val="100000"/>
                    </w14:srgbClr>
                  </w14:solidFill>
                </w14:textFill>
              </w:rPr>
              <w:t>|</w:t>
            </w:r>
            <w:r w:rsidR="00B765C2">
              <w:rPr>
                <w:rFonts w:cs="Calibri"/>
                <w:color w:val="000000"/>
                <w:szCs w:val="20"/>
                <w:vertAlign w:val="superscript"/>
              </w:rPr>
              <w:t>3</w:t>
            </w:r>
          </w:p>
        </w:tc>
        <w:tc>
          <w:tcPr>
            <w:tcW w:w="992" w:type="dxa"/>
            <w:tcBorders>
              <w:bottom w:val="single" w:sz="12" w:space="0" w:color="auto"/>
            </w:tcBorders>
            <w:shd w:val="clear" w:color="auto" w:fill="auto"/>
            <w:vAlign w:val="center"/>
          </w:tcPr>
          <w:p w14:paraId="5FE78D02" w14:textId="4D273234" w:rsidR="0092254A" w:rsidRPr="001F194F" w:rsidRDefault="00833009" w:rsidP="00C068F2">
            <w:pPr>
              <w:pStyle w:val="Tabletext"/>
              <w:jc w:val="center"/>
              <w:rPr>
                <w:highlight w:val="darkGray"/>
              </w:rPr>
            </w:pPr>
            <w:r w:rsidRPr="00833009">
              <w:rPr>
                <w:rFonts w:cs="Calibri"/>
                <w:color w:val="000000"/>
                <w:spacing w:val="204"/>
                <w:szCs w:val="20"/>
                <w:shd w:val="solid" w:color="000000" w:fill="000000"/>
                <w:fitText w:val="290" w:id="-1304167665"/>
                <w14:textFill>
                  <w14:solidFill>
                    <w14:srgbClr w14:val="000000">
                      <w14:alpha w14:val="100000"/>
                    </w14:srgbClr>
                  </w14:solidFill>
                </w14:textFill>
              </w:rPr>
              <w:t>|</w:t>
            </w:r>
            <w:r w:rsidRPr="00833009">
              <w:rPr>
                <w:rFonts w:cs="Calibri"/>
                <w:color w:val="000000"/>
                <w:spacing w:val="1"/>
                <w:szCs w:val="20"/>
                <w:shd w:val="solid" w:color="000000" w:fill="000000"/>
                <w:fitText w:val="290" w:id="-1304167665"/>
                <w14:textFill>
                  <w14:solidFill>
                    <w14:srgbClr w14:val="000000">
                      <w14:alpha w14:val="100000"/>
                    </w14:srgbClr>
                  </w14:solidFill>
                </w14:textFill>
              </w:rPr>
              <w:t>|</w:t>
            </w:r>
            <w:r w:rsidR="00B765C2">
              <w:rPr>
                <w:rFonts w:cs="Calibri"/>
                <w:color w:val="000000"/>
                <w:szCs w:val="20"/>
                <w:vertAlign w:val="superscript"/>
              </w:rPr>
              <w:t>3</w:t>
            </w:r>
          </w:p>
        </w:tc>
        <w:tc>
          <w:tcPr>
            <w:tcW w:w="992" w:type="dxa"/>
            <w:tcBorders>
              <w:bottom w:val="single" w:sz="12" w:space="0" w:color="auto"/>
            </w:tcBorders>
            <w:shd w:val="clear" w:color="auto" w:fill="auto"/>
            <w:vAlign w:val="center"/>
          </w:tcPr>
          <w:p w14:paraId="51196F26" w14:textId="28EE0B0A" w:rsidR="0092254A" w:rsidRPr="001F194F" w:rsidRDefault="00833009" w:rsidP="00C068F2">
            <w:pPr>
              <w:pStyle w:val="Tabletext"/>
              <w:jc w:val="center"/>
              <w:rPr>
                <w:highlight w:val="darkGray"/>
              </w:rPr>
            </w:pPr>
            <w:r w:rsidRPr="00833009">
              <w:rPr>
                <w:rFonts w:cs="Calibri"/>
                <w:color w:val="000000"/>
                <w:spacing w:val="204"/>
                <w:szCs w:val="20"/>
                <w:shd w:val="solid" w:color="000000" w:fill="000000"/>
                <w:fitText w:val="290" w:id="-1304167664"/>
                <w14:textFill>
                  <w14:solidFill>
                    <w14:srgbClr w14:val="000000">
                      <w14:alpha w14:val="100000"/>
                    </w14:srgbClr>
                  </w14:solidFill>
                </w14:textFill>
              </w:rPr>
              <w:t>|</w:t>
            </w:r>
            <w:r w:rsidRPr="00833009">
              <w:rPr>
                <w:rFonts w:cs="Calibri"/>
                <w:color w:val="000000"/>
                <w:spacing w:val="1"/>
                <w:szCs w:val="20"/>
                <w:shd w:val="solid" w:color="000000" w:fill="000000"/>
                <w:fitText w:val="290" w:id="-1304167664"/>
                <w14:textFill>
                  <w14:solidFill>
                    <w14:srgbClr w14:val="000000">
                      <w14:alpha w14:val="100000"/>
                    </w14:srgbClr>
                  </w14:solidFill>
                </w14:textFill>
              </w:rPr>
              <w:t>|</w:t>
            </w:r>
            <w:r w:rsidR="00B765C2">
              <w:rPr>
                <w:rFonts w:cs="Calibri"/>
                <w:color w:val="000000"/>
                <w:szCs w:val="20"/>
                <w:vertAlign w:val="superscript"/>
              </w:rPr>
              <w:t>3</w:t>
            </w:r>
          </w:p>
        </w:tc>
        <w:tc>
          <w:tcPr>
            <w:tcW w:w="992" w:type="dxa"/>
            <w:tcBorders>
              <w:bottom w:val="single" w:sz="12" w:space="0" w:color="auto"/>
            </w:tcBorders>
            <w:shd w:val="clear" w:color="auto" w:fill="auto"/>
            <w:vAlign w:val="center"/>
          </w:tcPr>
          <w:p w14:paraId="57C9F472" w14:textId="366C1180" w:rsidR="0092254A" w:rsidRPr="001F194F" w:rsidRDefault="00833009" w:rsidP="00C068F2">
            <w:pPr>
              <w:pStyle w:val="Tabletext"/>
              <w:jc w:val="center"/>
              <w:rPr>
                <w:highlight w:val="darkGray"/>
              </w:rPr>
            </w:pPr>
            <w:r w:rsidRPr="00833009">
              <w:rPr>
                <w:rFonts w:cs="Calibri"/>
                <w:color w:val="000000"/>
                <w:spacing w:val="204"/>
                <w:szCs w:val="20"/>
                <w:shd w:val="solid" w:color="000000" w:fill="000000"/>
                <w:fitText w:val="290" w:id="-1304167680"/>
                <w14:textFill>
                  <w14:solidFill>
                    <w14:srgbClr w14:val="000000">
                      <w14:alpha w14:val="100000"/>
                    </w14:srgbClr>
                  </w14:solidFill>
                </w14:textFill>
              </w:rPr>
              <w:t>|</w:t>
            </w:r>
            <w:r w:rsidRPr="00833009">
              <w:rPr>
                <w:rFonts w:cs="Calibri"/>
                <w:color w:val="000000"/>
                <w:spacing w:val="1"/>
                <w:szCs w:val="20"/>
                <w:shd w:val="solid" w:color="000000" w:fill="000000"/>
                <w:fitText w:val="290" w:id="-1304167680"/>
                <w14:textFill>
                  <w14:solidFill>
                    <w14:srgbClr w14:val="000000">
                      <w14:alpha w14:val="100000"/>
                    </w14:srgbClr>
                  </w14:solidFill>
                </w14:textFill>
              </w:rPr>
              <w:t>|</w:t>
            </w:r>
            <w:r w:rsidR="00B765C2">
              <w:rPr>
                <w:rFonts w:cs="Calibri"/>
                <w:color w:val="000000"/>
                <w:szCs w:val="20"/>
                <w:vertAlign w:val="superscript"/>
              </w:rPr>
              <w:t>3</w:t>
            </w:r>
          </w:p>
        </w:tc>
        <w:tc>
          <w:tcPr>
            <w:tcW w:w="993" w:type="dxa"/>
            <w:tcBorders>
              <w:bottom w:val="single" w:sz="12" w:space="0" w:color="auto"/>
            </w:tcBorders>
            <w:shd w:val="clear" w:color="auto" w:fill="auto"/>
            <w:vAlign w:val="center"/>
          </w:tcPr>
          <w:p w14:paraId="79B3ABFA" w14:textId="7F6DF247" w:rsidR="0092254A" w:rsidRPr="001F194F" w:rsidRDefault="00833009" w:rsidP="00C068F2">
            <w:pPr>
              <w:pStyle w:val="Tabletext"/>
              <w:jc w:val="center"/>
              <w:rPr>
                <w:highlight w:val="darkGray"/>
              </w:rPr>
            </w:pPr>
            <w:r w:rsidRPr="00833009">
              <w:rPr>
                <w:rFonts w:cs="Calibri"/>
                <w:color w:val="000000"/>
                <w:spacing w:val="204"/>
                <w:szCs w:val="20"/>
                <w:shd w:val="solid" w:color="000000" w:fill="000000"/>
                <w:fitText w:val="290" w:id="-1304167679"/>
                <w14:textFill>
                  <w14:solidFill>
                    <w14:srgbClr w14:val="000000">
                      <w14:alpha w14:val="100000"/>
                    </w14:srgbClr>
                  </w14:solidFill>
                </w14:textFill>
              </w:rPr>
              <w:t>|</w:t>
            </w:r>
            <w:r w:rsidRPr="00833009">
              <w:rPr>
                <w:rFonts w:cs="Calibri"/>
                <w:color w:val="000000"/>
                <w:spacing w:val="1"/>
                <w:szCs w:val="20"/>
                <w:shd w:val="solid" w:color="000000" w:fill="000000"/>
                <w:fitText w:val="290" w:id="-1304167679"/>
                <w14:textFill>
                  <w14:solidFill>
                    <w14:srgbClr w14:val="000000">
                      <w14:alpha w14:val="100000"/>
                    </w14:srgbClr>
                  </w14:solidFill>
                </w14:textFill>
              </w:rPr>
              <w:t>|</w:t>
            </w:r>
            <w:r w:rsidR="00B765C2">
              <w:rPr>
                <w:rFonts w:cs="Calibri"/>
                <w:color w:val="000000"/>
                <w:szCs w:val="20"/>
                <w:vertAlign w:val="superscript"/>
              </w:rPr>
              <w:t>3</w:t>
            </w:r>
          </w:p>
        </w:tc>
      </w:tr>
      <w:tr w:rsidR="0092254A" w:rsidRPr="00576299" w14:paraId="2CAC46DC" w14:textId="77777777" w:rsidTr="00873F83">
        <w:tc>
          <w:tcPr>
            <w:tcW w:w="9080" w:type="dxa"/>
            <w:gridSpan w:val="7"/>
            <w:tcBorders>
              <w:top w:val="single" w:sz="12" w:space="0" w:color="auto"/>
            </w:tcBorders>
            <w:shd w:val="clear" w:color="auto" w:fill="C6D9F1" w:themeFill="text2" w:themeFillTint="33"/>
            <w:vAlign w:val="center"/>
          </w:tcPr>
          <w:p w14:paraId="40CDA7D4" w14:textId="374909B0" w:rsidR="0092254A" w:rsidRPr="00576299" w:rsidRDefault="0092254A" w:rsidP="00C068F2">
            <w:pPr>
              <w:pStyle w:val="Tabletext"/>
              <w:rPr>
                <w:rFonts w:cstheme="minorBidi"/>
                <w:b/>
                <w:bCs/>
                <w:szCs w:val="22"/>
              </w:rPr>
            </w:pPr>
            <w:r w:rsidRPr="00576299">
              <w:rPr>
                <w:rFonts w:cstheme="minorBidi"/>
                <w:b/>
                <w:bCs/>
                <w:szCs w:val="22"/>
              </w:rPr>
              <w:t>Previous submission (March 2022)</w:t>
            </w:r>
            <w:r w:rsidR="00591810" w:rsidRPr="00576299">
              <w:rPr>
                <w:rFonts w:cstheme="minorBidi"/>
                <w:b/>
                <w:bCs/>
                <w:szCs w:val="22"/>
              </w:rPr>
              <w:t xml:space="preserve"> effective price</w:t>
            </w:r>
          </w:p>
        </w:tc>
      </w:tr>
      <w:tr w:rsidR="0092254A" w:rsidRPr="00576299" w14:paraId="4BA16772" w14:textId="77777777" w:rsidTr="00B765C2">
        <w:tc>
          <w:tcPr>
            <w:tcW w:w="2985" w:type="dxa"/>
            <w:shd w:val="clear" w:color="auto" w:fill="C6D9F1" w:themeFill="text2" w:themeFillTint="33"/>
            <w:vAlign w:val="center"/>
          </w:tcPr>
          <w:p w14:paraId="68272D67" w14:textId="77777777" w:rsidR="0092254A" w:rsidRPr="00576299" w:rsidRDefault="0092254A" w:rsidP="00C068F2">
            <w:pPr>
              <w:pStyle w:val="Tabletext"/>
              <w:keepNext/>
              <w:keepLines/>
            </w:pPr>
            <w:r w:rsidRPr="00576299">
              <w:t>Number of patients treated</w:t>
            </w:r>
          </w:p>
        </w:tc>
        <w:tc>
          <w:tcPr>
            <w:tcW w:w="1134" w:type="dxa"/>
            <w:shd w:val="clear" w:color="auto" w:fill="C6D9F1" w:themeFill="text2" w:themeFillTint="33"/>
            <w:vAlign w:val="center"/>
          </w:tcPr>
          <w:p w14:paraId="4205AD32" w14:textId="15E17192" w:rsidR="0092254A" w:rsidRPr="001F194F" w:rsidRDefault="00833009" w:rsidP="00C068F2">
            <w:pPr>
              <w:pStyle w:val="Tabletext"/>
              <w:jc w:val="center"/>
              <w:rPr>
                <w:rFonts w:cstheme="minorBidi"/>
                <w:szCs w:val="22"/>
                <w:highlight w:val="darkGray"/>
              </w:rPr>
            </w:pPr>
            <w:r w:rsidRPr="00833009">
              <w:rPr>
                <w:color w:val="000000"/>
                <w:spacing w:val="49"/>
                <w:shd w:val="solid" w:color="000000" w:fill="000000"/>
                <w:fitText w:val="226" w:id="-1304167678"/>
                <w14:textFill>
                  <w14:solidFill>
                    <w14:srgbClr w14:val="000000">
                      <w14:alpha w14:val="100000"/>
                    </w14:srgbClr>
                  </w14:solidFill>
                </w14:textFill>
              </w:rPr>
              <w:t>||</w:t>
            </w:r>
            <w:r w:rsidRPr="00833009">
              <w:rPr>
                <w:color w:val="000000"/>
                <w:spacing w:val="1"/>
                <w:shd w:val="solid" w:color="000000" w:fill="000000"/>
                <w:fitText w:val="226" w:id="-1304167678"/>
                <w14:textFill>
                  <w14:solidFill>
                    <w14:srgbClr w14:val="000000">
                      <w14:alpha w14:val="100000"/>
                    </w14:srgbClr>
                  </w14:solidFill>
                </w14:textFill>
              </w:rPr>
              <w:t>|</w:t>
            </w:r>
            <w:r w:rsidR="001F194F" w:rsidRPr="001F194F">
              <w:rPr>
                <w:rFonts w:cs="Calibri"/>
                <w:color w:val="000000"/>
                <w:szCs w:val="20"/>
                <w:vertAlign w:val="superscript"/>
              </w:rPr>
              <w:t>1</w:t>
            </w:r>
          </w:p>
        </w:tc>
        <w:tc>
          <w:tcPr>
            <w:tcW w:w="992" w:type="dxa"/>
            <w:shd w:val="clear" w:color="auto" w:fill="C6D9F1" w:themeFill="text2" w:themeFillTint="33"/>
            <w:vAlign w:val="center"/>
          </w:tcPr>
          <w:p w14:paraId="6ED23CC4" w14:textId="574005B9" w:rsidR="0092254A" w:rsidRPr="001F194F" w:rsidRDefault="00833009" w:rsidP="00C068F2">
            <w:pPr>
              <w:pStyle w:val="Tabletext"/>
              <w:jc w:val="center"/>
              <w:rPr>
                <w:rFonts w:cstheme="minorBidi"/>
                <w:szCs w:val="22"/>
                <w:highlight w:val="darkGray"/>
              </w:rPr>
            </w:pPr>
            <w:r w:rsidRPr="00833009">
              <w:rPr>
                <w:color w:val="000000"/>
                <w:spacing w:val="204"/>
                <w:shd w:val="solid" w:color="000000" w:fill="000000"/>
                <w:fitText w:val="290" w:id="-1304167677"/>
                <w14:textFill>
                  <w14:solidFill>
                    <w14:srgbClr w14:val="000000">
                      <w14:alpha w14:val="100000"/>
                    </w14:srgbClr>
                  </w14:solidFill>
                </w14:textFill>
              </w:rPr>
              <w:t>|</w:t>
            </w:r>
            <w:r w:rsidRPr="00833009">
              <w:rPr>
                <w:color w:val="000000"/>
                <w:spacing w:val="1"/>
                <w:shd w:val="solid" w:color="000000" w:fill="000000"/>
                <w:fitText w:val="290" w:id="-1304167677"/>
                <w14:textFill>
                  <w14:solidFill>
                    <w14:srgbClr w14:val="000000">
                      <w14:alpha w14:val="100000"/>
                    </w14:srgbClr>
                  </w14:solidFill>
                </w14:textFill>
              </w:rPr>
              <w:t>|</w:t>
            </w:r>
            <w:r w:rsidR="001F194F" w:rsidRPr="001F194F">
              <w:rPr>
                <w:rFonts w:cs="Calibri"/>
                <w:color w:val="000000"/>
                <w:szCs w:val="20"/>
                <w:vertAlign w:val="superscript"/>
              </w:rPr>
              <w:t>1</w:t>
            </w:r>
          </w:p>
        </w:tc>
        <w:tc>
          <w:tcPr>
            <w:tcW w:w="992" w:type="dxa"/>
            <w:shd w:val="clear" w:color="auto" w:fill="C6D9F1" w:themeFill="text2" w:themeFillTint="33"/>
            <w:vAlign w:val="center"/>
          </w:tcPr>
          <w:p w14:paraId="127210BC" w14:textId="04DC4490" w:rsidR="0092254A" w:rsidRPr="001F194F" w:rsidRDefault="00833009" w:rsidP="00C068F2">
            <w:pPr>
              <w:pStyle w:val="Tabletext"/>
              <w:jc w:val="center"/>
              <w:rPr>
                <w:rFonts w:cstheme="minorBidi"/>
                <w:szCs w:val="22"/>
                <w:highlight w:val="darkGray"/>
              </w:rPr>
            </w:pPr>
            <w:r w:rsidRPr="00833009">
              <w:rPr>
                <w:color w:val="000000"/>
                <w:spacing w:val="204"/>
                <w:shd w:val="solid" w:color="000000" w:fill="000000"/>
                <w:fitText w:val="290" w:id="-1304166400"/>
                <w14:textFill>
                  <w14:solidFill>
                    <w14:srgbClr w14:val="000000">
                      <w14:alpha w14:val="100000"/>
                    </w14:srgbClr>
                  </w14:solidFill>
                </w14:textFill>
              </w:rPr>
              <w:t>|</w:t>
            </w:r>
            <w:r w:rsidRPr="00833009">
              <w:rPr>
                <w:color w:val="000000"/>
                <w:spacing w:val="1"/>
                <w:shd w:val="solid" w:color="000000" w:fill="000000"/>
                <w:fitText w:val="290" w:id="-1304166400"/>
                <w14:textFill>
                  <w14:solidFill>
                    <w14:srgbClr w14:val="000000">
                      <w14:alpha w14:val="100000"/>
                    </w14:srgbClr>
                  </w14:solidFill>
                </w14:textFill>
              </w:rPr>
              <w:t>|</w:t>
            </w:r>
            <w:r w:rsidR="001F194F" w:rsidRPr="001F194F">
              <w:rPr>
                <w:rFonts w:cs="Calibri"/>
                <w:color w:val="000000"/>
                <w:szCs w:val="20"/>
                <w:vertAlign w:val="superscript"/>
              </w:rPr>
              <w:t>1</w:t>
            </w:r>
          </w:p>
        </w:tc>
        <w:tc>
          <w:tcPr>
            <w:tcW w:w="992" w:type="dxa"/>
            <w:shd w:val="clear" w:color="auto" w:fill="C6D9F1" w:themeFill="text2" w:themeFillTint="33"/>
            <w:vAlign w:val="center"/>
          </w:tcPr>
          <w:p w14:paraId="3CF8B492" w14:textId="1A843B98" w:rsidR="0092254A" w:rsidRPr="001F194F" w:rsidRDefault="00833009" w:rsidP="00C068F2">
            <w:pPr>
              <w:pStyle w:val="Tabletext"/>
              <w:jc w:val="center"/>
              <w:rPr>
                <w:rFonts w:cstheme="minorBidi"/>
                <w:szCs w:val="22"/>
                <w:highlight w:val="darkGray"/>
              </w:rPr>
            </w:pPr>
            <w:r w:rsidRPr="00833009">
              <w:rPr>
                <w:color w:val="000000"/>
                <w:spacing w:val="204"/>
                <w:shd w:val="solid" w:color="000000" w:fill="000000"/>
                <w:fitText w:val="290" w:id="-1304166399"/>
                <w14:textFill>
                  <w14:solidFill>
                    <w14:srgbClr w14:val="000000">
                      <w14:alpha w14:val="100000"/>
                    </w14:srgbClr>
                  </w14:solidFill>
                </w14:textFill>
              </w:rPr>
              <w:t>|</w:t>
            </w:r>
            <w:r w:rsidRPr="00833009">
              <w:rPr>
                <w:color w:val="000000"/>
                <w:spacing w:val="1"/>
                <w:shd w:val="solid" w:color="000000" w:fill="000000"/>
                <w:fitText w:val="290" w:id="-1304166399"/>
                <w14:textFill>
                  <w14:solidFill>
                    <w14:srgbClr w14:val="000000">
                      <w14:alpha w14:val="100000"/>
                    </w14:srgbClr>
                  </w14:solidFill>
                </w14:textFill>
              </w:rPr>
              <w:t>|</w:t>
            </w:r>
            <w:r w:rsidR="001F194F" w:rsidRPr="001F194F">
              <w:rPr>
                <w:rFonts w:cs="Calibri"/>
                <w:color w:val="000000"/>
                <w:szCs w:val="20"/>
                <w:vertAlign w:val="superscript"/>
              </w:rPr>
              <w:t>1</w:t>
            </w:r>
          </w:p>
        </w:tc>
        <w:tc>
          <w:tcPr>
            <w:tcW w:w="992" w:type="dxa"/>
            <w:shd w:val="clear" w:color="auto" w:fill="C6D9F1" w:themeFill="text2" w:themeFillTint="33"/>
            <w:vAlign w:val="center"/>
          </w:tcPr>
          <w:p w14:paraId="2C340854" w14:textId="66E19AD8" w:rsidR="0092254A" w:rsidRPr="001F194F" w:rsidRDefault="00833009" w:rsidP="00C068F2">
            <w:pPr>
              <w:pStyle w:val="Tabletext"/>
              <w:jc w:val="center"/>
              <w:rPr>
                <w:rFonts w:cstheme="minorBidi"/>
                <w:szCs w:val="22"/>
                <w:highlight w:val="darkGray"/>
              </w:rPr>
            </w:pPr>
            <w:r w:rsidRPr="00833009">
              <w:rPr>
                <w:color w:val="000000"/>
                <w:spacing w:val="204"/>
                <w:shd w:val="solid" w:color="000000" w:fill="000000"/>
                <w:fitText w:val="290" w:id="-1304166398"/>
                <w14:textFill>
                  <w14:solidFill>
                    <w14:srgbClr w14:val="000000">
                      <w14:alpha w14:val="100000"/>
                    </w14:srgbClr>
                  </w14:solidFill>
                </w14:textFill>
              </w:rPr>
              <w:t>|</w:t>
            </w:r>
            <w:r w:rsidRPr="00833009">
              <w:rPr>
                <w:color w:val="000000"/>
                <w:spacing w:val="1"/>
                <w:shd w:val="solid" w:color="000000" w:fill="000000"/>
                <w:fitText w:val="290" w:id="-1304166398"/>
                <w14:textFill>
                  <w14:solidFill>
                    <w14:srgbClr w14:val="000000">
                      <w14:alpha w14:val="100000"/>
                    </w14:srgbClr>
                  </w14:solidFill>
                </w14:textFill>
              </w:rPr>
              <w:t>|</w:t>
            </w:r>
            <w:r w:rsidR="001F194F" w:rsidRPr="001F194F">
              <w:rPr>
                <w:rFonts w:cs="Calibri"/>
                <w:color w:val="000000"/>
                <w:szCs w:val="20"/>
                <w:vertAlign w:val="superscript"/>
              </w:rPr>
              <w:t>1</w:t>
            </w:r>
          </w:p>
        </w:tc>
        <w:tc>
          <w:tcPr>
            <w:tcW w:w="993" w:type="dxa"/>
            <w:shd w:val="clear" w:color="auto" w:fill="C6D9F1" w:themeFill="text2" w:themeFillTint="33"/>
            <w:vAlign w:val="center"/>
          </w:tcPr>
          <w:p w14:paraId="63303656" w14:textId="2C59D44B" w:rsidR="0092254A" w:rsidRPr="001F194F" w:rsidRDefault="00833009" w:rsidP="00C068F2">
            <w:pPr>
              <w:pStyle w:val="Tabletext"/>
              <w:jc w:val="center"/>
              <w:rPr>
                <w:rFonts w:cstheme="minorBidi"/>
                <w:szCs w:val="22"/>
                <w:highlight w:val="darkGray"/>
              </w:rPr>
            </w:pPr>
            <w:r w:rsidRPr="00833009">
              <w:rPr>
                <w:color w:val="000000"/>
                <w:spacing w:val="204"/>
                <w:shd w:val="solid" w:color="000000" w:fill="000000"/>
                <w:fitText w:val="290" w:id="-1304166397"/>
                <w14:textFill>
                  <w14:solidFill>
                    <w14:srgbClr w14:val="000000">
                      <w14:alpha w14:val="100000"/>
                    </w14:srgbClr>
                  </w14:solidFill>
                </w14:textFill>
              </w:rPr>
              <w:t>|</w:t>
            </w:r>
            <w:r w:rsidRPr="00833009">
              <w:rPr>
                <w:color w:val="000000"/>
                <w:spacing w:val="1"/>
                <w:shd w:val="solid" w:color="000000" w:fill="000000"/>
                <w:fitText w:val="290" w:id="-1304166397"/>
                <w14:textFill>
                  <w14:solidFill>
                    <w14:srgbClr w14:val="000000">
                      <w14:alpha w14:val="100000"/>
                    </w14:srgbClr>
                  </w14:solidFill>
                </w14:textFill>
              </w:rPr>
              <w:t>|</w:t>
            </w:r>
            <w:r w:rsidR="001F194F" w:rsidRPr="001F194F">
              <w:rPr>
                <w:rFonts w:cs="Calibri"/>
                <w:color w:val="000000"/>
                <w:szCs w:val="20"/>
                <w:vertAlign w:val="superscript"/>
              </w:rPr>
              <w:t>1</w:t>
            </w:r>
          </w:p>
        </w:tc>
      </w:tr>
      <w:tr w:rsidR="0092254A" w:rsidRPr="00576299" w14:paraId="7AD24B29" w14:textId="77777777" w:rsidTr="00B765C2">
        <w:tc>
          <w:tcPr>
            <w:tcW w:w="2985" w:type="dxa"/>
            <w:shd w:val="clear" w:color="auto" w:fill="C6D9F1" w:themeFill="text2" w:themeFillTint="33"/>
            <w:vAlign w:val="center"/>
          </w:tcPr>
          <w:p w14:paraId="0A0A50F7" w14:textId="66A9A655" w:rsidR="0092254A" w:rsidRPr="00576299" w:rsidRDefault="0092254A" w:rsidP="00C068F2">
            <w:pPr>
              <w:pStyle w:val="Tabletext"/>
              <w:keepNext/>
              <w:keepLines/>
            </w:pPr>
            <w:r w:rsidRPr="00576299">
              <w:t xml:space="preserve">Net cost to PBS/RPBS/MBS </w:t>
            </w:r>
            <w:r w:rsidR="002C4087">
              <w:t xml:space="preserve">– </w:t>
            </w:r>
            <w:r w:rsidRPr="00576299">
              <w:t>submission</w:t>
            </w:r>
            <w:r w:rsidR="001F194F">
              <w:t xml:space="preserve">  ($)</w:t>
            </w:r>
          </w:p>
        </w:tc>
        <w:tc>
          <w:tcPr>
            <w:tcW w:w="1134" w:type="dxa"/>
            <w:shd w:val="clear" w:color="auto" w:fill="C6D9F1" w:themeFill="text2" w:themeFillTint="33"/>
            <w:vAlign w:val="center"/>
          </w:tcPr>
          <w:p w14:paraId="48D0D152" w14:textId="74201CAA" w:rsidR="0092254A" w:rsidRPr="001F194F" w:rsidRDefault="00833009" w:rsidP="00C068F2">
            <w:pPr>
              <w:pStyle w:val="Tabletext"/>
              <w:jc w:val="center"/>
              <w:rPr>
                <w:highlight w:val="darkGray"/>
              </w:rPr>
            </w:pPr>
            <w:r w:rsidRPr="00833009">
              <w:rPr>
                <w:color w:val="000000"/>
                <w:spacing w:val="49"/>
                <w:shd w:val="solid" w:color="000000" w:fill="000000"/>
                <w:fitText w:val="226" w:id="-1304166396"/>
                <w14:textFill>
                  <w14:solidFill>
                    <w14:srgbClr w14:val="000000">
                      <w14:alpha w14:val="100000"/>
                    </w14:srgbClr>
                  </w14:solidFill>
                </w14:textFill>
              </w:rPr>
              <w:t>||</w:t>
            </w:r>
            <w:r w:rsidRPr="00833009">
              <w:rPr>
                <w:color w:val="000000"/>
                <w:spacing w:val="1"/>
                <w:shd w:val="solid" w:color="000000" w:fill="000000"/>
                <w:fitText w:val="226" w:id="-1304166396"/>
                <w14:textFill>
                  <w14:solidFill>
                    <w14:srgbClr w14:val="000000">
                      <w14:alpha w14:val="100000"/>
                    </w14:srgbClr>
                  </w14:solidFill>
                </w14:textFill>
              </w:rPr>
              <w:t>|</w:t>
            </w:r>
            <w:r w:rsidR="00B765C2">
              <w:rPr>
                <w:rFonts w:cs="Calibri"/>
                <w:color w:val="000000"/>
                <w:szCs w:val="20"/>
                <w:vertAlign w:val="superscript"/>
              </w:rPr>
              <w:t>3</w:t>
            </w:r>
          </w:p>
        </w:tc>
        <w:tc>
          <w:tcPr>
            <w:tcW w:w="992" w:type="dxa"/>
            <w:shd w:val="clear" w:color="auto" w:fill="C6D9F1" w:themeFill="text2" w:themeFillTint="33"/>
            <w:vAlign w:val="center"/>
          </w:tcPr>
          <w:p w14:paraId="0DFB1C78" w14:textId="20607B50" w:rsidR="0092254A" w:rsidRPr="001F194F" w:rsidRDefault="00833009" w:rsidP="00C068F2">
            <w:pPr>
              <w:pStyle w:val="Tabletext"/>
              <w:jc w:val="center"/>
              <w:rPr>
                <w:highlight w:val="darkGray"/>
              </w:rPr>
            </w:pPr>
            <w:r w:rsidRPr="00833009">
              <w:rPr>
                <w:color w:val="000000"/>
                <w:spacing w:val="204"/>
                <w:shd w:val="solid" w:color="000000" w:fill="000000"/>
                <w:fitText w:val="290" w:id="-1304166395"/>
                <w14:textFill>
                  <w14:solidFill>
                    <w14:srgbClr w14:val="000000">
                      <w14:alpha w14:val="100000"/>
                    </w14:srgbClr>
                  </w14:solidFill>
                </w14:textFill>
              </w:rPr>
              <w:t>|</w:t>
            </w:r>
            <w:r w:rsidRPr="00833009">
              <w:rPr>
                <w:color w:val="000000"/>
                <w:spacing w:val="1"/>
                <w:shd w:val="solid" w:color="000000" w:fill="000000"/>
                <w:fitText w:val="290" w:id="-1304166395"/>
                <w14:textFill>
                  <w14:solidFill>
                    <w14:srgbClr w14:val="000000">
                      <w14:alpha w14:val="100000"/>
                    </w14:srgbClr>
                  </w14:solidFill>
                </w14:textFill>
              </w:rPr>
              <w:t>|</w:t>
            </w:r>
            <w:r w:rsidR="00B765C2">
              <w:rPr>
                <w:rFonts w:cs="Calibri"/>
                <w:color w:val="000000"/>
                <w:szCs w:val="20"/>
                <w:vertAlign w:val="superscript"/>
              </w:rPr>
              <w:t>3</w:t>
            </w:r>
          </w:p>
        </w:tc>
        <w:tc>
          <w:tcPr>
            <w:tcW w:w="992" w:type="dxa"/>
            <w:shd w:val="clear" w:color="auto" w:fill="C6D9F1" w:themeFill="text2" w:themeFillTint="33"/>
            <w:vAlign w:val="center"/>
          </w:tcPr>
          <w:p w14:paraId="757FEDB9" w14:textId="6465BE7F" w:rsidR="0092254A" w:rsidRPr="001F194F" w:rsidRDefault="00833009" w:rsidP="00C068F2">
            <w:pPr>
              <w:pStyle w:val="Tabletext"/>
              <w:jc w:val="center"/>
              <w:rPr>
                <w:highlight w:val="darkGray"/>
              </w:rPr>
            </w:pPr>
            <w:r w:rsidRPr="00833009">
              <w:rPr>
                <w:color w:val="000000"/>
                <w:spacing w:val="204"/>
                <w:shd w:val="solid" w:color="000000" w:fill="000000"/>
                <w:fitText w:val="290" w:id="-1304166394"/>
                <w14:textFill>
                  <w14:solidFill>
                    <w14:srgbClr w14:val="000000">
                      <w14:alpha w14:val="100000"/>
                    </w14:srgbClr>
                  </w14:solidFill>
                </w14:textFill>
              </w:rPr>
              <w:t>|</w:t>
            </w:r>
            <w:r w:rsidRPr="00833009">
              <w:rPr>
                <w:color w:val="000000"/>
                <w:spacing w:val="1"/>
                <w:shd w:val="solid" w:color="000000" w:fill="000000"/>
                <w:fitText w:val="290" w:id="-1304166394"/>
                <w14:textFill>
                  <w14:solidFill>
                    <w14:srgbClr w14:val="000000">
                      <w14:alpha w14:val="100000"/>
                    </w14:srgbClr>
                  </w14:solidFill>
                </w14:textFill>
              </w:rPr>
              <w:t>|</w:t>
            </w:r>
            <w:r w:rsidR="00B765C2">
              <w:rPr>
                <w:rFonts w:cs="Calibri"/>
                <w:color w:val="000000"/>
                <w:szCs w:val="20"/>
                <w:vertAlign w:val="superscript"/>
              </w:rPr>
              <w:t>3</w:t>
            </w:r>
          </w:p>
        </w:tc>
        <w:tc>
          <w:tcPr>
            <w:tcW w:w="992" w:type="dxa"/>
            <w:shd w:val="clear" w:color="auto" w:fill="C6D9F1" w:themeFill="text2" w:themeFillTint="33"/>
            <w:vAlign w:val="center"/>
          </w:tcPr>
          <w:p w14:paraId="47CFD302" w14:textId="08DA7255" w:rsidR="0092254A" w:rsidRPr="001F194F" w:rsidRDefault="00833009" w:rsidP="00C068F2">
            <w:pPr>
              <w:pStyle w:val="Tabletext"/>
              <w:jc w:val="center"/>
              <w:rPr>
                <w:highlight w:val="darkGray"/>
              </w:rPr>
            </w:pPr>
            <w:r w:rsidRPr="00833009">
              <w:rPr>
                <w:color w:val="000000"/>
                <w:spacing w:val="204"/>
                <w:shd w:val="solid" w:color="000000" w:fill="000000"/>
                <w:fitText w:val="290" w:id="-1304166393"/>
                <w14:textFill>
                  <w14:solidFill>
                    <w14:srgbClr w14:val="000000">
                      <w14:alpha w14:val="100000"/>
                    </w14:srgbClr>
                  </w14:solidFill>
                </w14:textFill>
              </w:rPr>
              <w:t>|</w:t>
            </w:r>
            <w:r w:rsidRPr="00833009">
              <w:rPr>
                <w:color w:val="000000"/>
                <w:spacing w:val="1"/>
                <w:shd w:val="solid" w:color="000000" w:fill="000000"/>
                <w:fitText w:val="290" w:id="-1304166393"/>
                <w14:textFill>
                  <w14:solidFill>
                    <w14:srgbClr w14:val="000000">
                      <w14:alpha w14:val="100000"/>
                    </w14:srgbClr>
                  </w14:solidFill>
                </w14:textFill>
              </w:rPr>
              <w:t>|</w:t>
            </w:r>
            <w:r w:rsidR="00B765C2">
              <w:rPr>
                <w:rFonts w:cs="Calibri"/>
                <w:color w:val="000000"/>
                <w:szCs w:val="20"/>
                <w:vertAlign w:val="superscript"/>
              </w:rPr>
              <w:t>3</w:t>
            </w:r>
          </w:p>
        </w:tc>
        <w:tc>
          <w:tcPr>
            <w:tcW w:w="992" w:type="dxa"/>
            <w:shd w:val="clear" w:color="auto" w:fill="C6D9F1" w:themeFill="text2" w:themeFillTint="33"/>
            <w:vAlign w:val="center"/>
          </w:tcPr>
          <w:p w14:paraId="0ADED6DC" w14:textId="523FFF89" w:rsidR="0092254A" w:rsidRPr="001F194F" w:rsidRDefault="00833009" w:rsidP="00C068F2">
            <w:pPr>
              <w:pStyle w:val="Tabletext"/>
              <w:jc w:val="center"/>
              <w:rPr>
                <w:highlight w:val="darkGray"/>
              </w:rPr>
            </w:pPr>
            <w:r w:rsidRPr="00833009">
              <w:rPr>
                <w:color w:val="000000"/>
                <w:spacing w:val="204"/>
                <w:shd w:val="solid" w:color="000000" w:fill="000000"/>
                <w:fitText w:val="290" w:id="-1304166392"/>
                <w14:textFill>
                  <w14:solidFill>
                    <w14:srgbClr w14:val="000000">
                      <w14:alpha w14:val="100000"/>
                    </w14:srgbClr>
                  </w14:solidFill>
                </w14:textFill>
              </w:rPr>
              <w:t>|</w:t>
            </w:r>
            <w:r w:rsidRPr="00833009">
              <w:rPr>
                <w:color w:val="000000"/>
                <w:spacing w:val="1"/>
                <w:shd w:val="solid" w:color="000000" w:fill="000000"/>
                <w:fitText w:val="290" w:id="-1304166392"/>
                <w14:textFill>
                  <w14:solidFill>
                    <w14:srgbClr w14:val="000000">
                      <w14:alpha w14:val="100000"/>
                    </w14:srgbClr>
                  </w14:solidFill>
                </w14:textFill>
              </w:rPr>
              <w:t>|</w:t>
            </w:r>
            <w:r w:rsidR="00B765C2">
              <w:rPr>
                <w:rFonts w:cs="Calibri"/>
                <w:color w:val="000000"/>
                <w:szCs w:val="20"/>
                <w:vertAlign w:val="superscript"/>
              </w:rPr>
              <w:t>4</w:t>
            </w:r>
          </w:p>
        </w:tc>
        <w:tc>
          <w:tcPr>
            <w:tcW w:w="993" w:type="dxa"/>
            <w:shd w:val="clear" w:color="auto" w:fill="C6D9F1" w:themeFill="text2" w:themeFillTint="33"/>
            <w:vAlign w:val="center"/>
          </w:tcPr>
          <w:p w14:paraId="21E57550" w14:textId="4A97A38C" w:rsidR="0092254A" w:rsidRPr="001F194F" w:rsidRDefault="00833009" w:rsidP="00C068F2">
            <w:pPr>
              <w:pStyle w:val="Tabletext"/>
              <w:jc w:val="center"/>
              <w:rPr>
                <w:highlight w:val="darkGray"/>
              </w:rPr>
            </w:pPr>
            <w:r w:rsidRPr="00833009">
              <w:rPr>
                <w:color w:val="000000"/>
                <w:spacing w:val="204"/>
                <w:shd w:val="solid" w:color="000000" w:fill="000000"/>
                <w:fitText w:val="290" w:id="-1304166391"/>
                <w14:textFill>
                  <w14:solidFill>
                    <w14:srgbClr w14:val="000000">
                      <w14:alpha w14:val="100000"/>
                    </w14:srgbClr>
                  </w14:solidFill>
                </w14:textFill>
              </w:rPr>
              <w:t>|</w:t>
            </w:r>
            <w:r w:rsidRPr="00833009">
              <w:rPr>
                <w:color w:val="000000"/>
                <w:spacing w:val="1"/>
                <w:shd w:val="solid" w:color="000000" w:fill="000000"/>
                <w:fitText w:val="290" w:id="-1304166391"/>
                <w14:textFill>
                  <w14:solidFill>
                    <w14:srgbClr w14:val="000000">
                      <w14:alpha w14:val="100000"/>
                    </w14:srgbClr>
                  </w14:solidFill>
                </w14:textFill>
              </w:rPr>
              <w:t>|</w:t>
            </w:r>
            <w:r w:rsidR="00B765C2">
              <w:rPr>
                <w:rFonts w:cs="Calibri"/>
                <w:color w:val="000000"/>
                <w:szCs w:val="20"/>
                <w:vertAlign w:val="superscript"/>
              </w:rPr>
              <w:t>4</w:t>
            </w:r>
          </w:p>
        </w:tc>
      </w:tr>
      <w:tr w:rsidR="0092254A" w:rsidRPr="00576299" w14:paraId="50247558" w14:textId="77777777" w:rsidTr="00B765C2">
        <w:tc>
          <w:tcPr>
            <w:tcW w:w="2985" w:type="dxa"/>
            <w:shd w:val="clear" w:color="auto" w:fill="C6D9F1" w:themeFill="text2" w:themeFillTint="33"/>
            <w:vAlign w:val="center"/>
          </w:tcPr>
          <w:p w14:paraId="709A6093" w14:textId="7770165F" w:rsidR="0092254A" w:rsidRPr="00576299" w:rsidRDefault="0092254A" w:rsidP="00C068F2">
            <w:pPr>
              <w:pStyle w:val="Tabletext"/>
              <w:keepNext/>
              <w:keepLines/>
            </w:pPr>
            <w:r w:rsidRPr="00576299">
              <w:rPr>
                <w:snapToGrid/>
              </w:rPr>
              <w:t>Net cost to PBS/RPBS/MBS</w:t>
            </w:r>
            <w:r w:rsidRPr="00576299">
              <w:rPr>
                <w:snapToGrid/>
                <w:vertAlign w:val="superscript"/>
              </w:rPr>
              <w:t xml:space="preserve"> </w:t>
            </w:r>
            <w:r w:rsidRPr="00576299">
              <w:rPr>
                <w:snapToGrid/>
              </w:rPr>
              <w:t>– PSCR</w:t>
            </w:r>
            <w:r w:rsidR="001F194F">
              <w:rPr>
                <w:snapToGrid/>
              </w:rPr>
              <w:t xml:space="preserve"> </w:t>
            </w:r>
            <w:r w:rsidR="001F194F">
              <w:t xml:space="preserve"> ($)</w:t>
            </w:r>
          </w:p>
        </w:tc>
        <w:tc>
          <w:tcPr>
            <w:tcW w:w="1134" w:type="dxa"/>
            <w:shd w:val="clear" w:color="auto" w:fill="C6D9F1" w:themeFill="text2" w:themeFillTint="33"/>
            <w:vAlign w:val="center"/>
          </w:tcPr>
          <w:p w14:paraId="6D77CAD4" w14:textId="08A7C855" w:rsidR="0092254A" w:rsidRPr="001F194F" w:rsidRDefault="00833009" w:rsidP="00C068F2">
            <w:pPr>
              <w:pStyle w:val="Tabletext"/>
              <w:jc w:val="center"/>
              <w:rPr>
                <w:rFonts w:cstheme="minorBidi"/>
                <w:szCs w:val="22"/>
                <w:highlight w:val="darkGray"/>
              </w:rPr>
            </w:pPr>
            <w:r w:rsidRPr="00833009">
              <w:rPr>
                <w:color w:val="000000"/>
                <w:spacing w:val="49"/>
                <w:szCs w:val="20"/>
                <w:shd w:val="solid" w:color="000000" w:fill="000000"/>
                <w:fitText w:val="226" w:id="-1304166390"/>
                <w14:textFill>
                  <w14:solidFill>
                    <w14:srgbClr w14:val="000000">
                      <w14:alpha w14:val="100000"/>
                    </w14:srgbClr>
                  </w14:solidFill>
                </w14:textFill>
              </w:rPr>
              <w:t>||</w:t>
            </w:r>
            <w:r w:rsidRPr="00833009">
              <w:rPr>
                <w:color w:val="000000"/>
                <w:spacing w:val="1"/>
                <w:szCs w:val="20"/>
                <w:shd w:val="solid" w:color="000000" w:fill="000000"/>
                <w:fitText w:val="226" w:id="-1304166390"/>
                <w14:textFill>
                  <w14:solidFill>
                    <w14:srgbClr w14:val="000000">
                      <w14:alpha w14:val="100000"/>
                    </w14:srgbClr>
                  </w14:solidFill>
                </w14:textFill>
              </w:rPr>
              <w:t>|</w:t>
            </w:r>
            <w:r w:rsidR="00B765C2">
              <w:rPr>
                <w:rFonts w:cs="Calibri"/>
                <w:color w:val="000000"/>
                <w:szCs w:val="20"/>
                <w:vertAlign w:val="superscript"/>
              </w:rPr>
              <w:t>3</w:t>
            </w:r>
          </w:p>
        </w:tc>
        <w:tc>
          <w:tcPr>
            <w:tcW w:w="992" w:type="dxa"/>
            <w:shd w:val="clear" w:color="auto" w:fill="C6D9F1" w:themeFill="text2" w:themeFillTint="33"/>
            <w:vAlign w:val="center"/>
          </w:tcPr>
          <w:p w14:paraId="27AD28B8" w14:textId="58859513" w:rsidR="0092254A" w:rsidRPr="001F194F" w:rsidRDefault="00833009" w:rsidP="00C068F2">
            <w:pPr>
              <w:pStyle w:val="Tabletext"/>
              <w:jc w:val="center"/>
              <w:rPr>
                <w:rFonts w:cstheme="minorBidi"/>
                <w:szCs w:val="22"/>
                <w:highlight w:val="darkGray"/>
              </w:rPr>
            </w:pPr>
            <w:r w:rsidRPr="00833009">
              <w:rPr>
                <w:color w:val="000000"/>
                <w:spacing w:val="204"/>
                <w:szCs w:val="20"/>
                <w:shd w:val="solid" w:color="000000" w:fill="000000"/>
                <w:fitText w:val="290" w:id="-1304166389"/>
                <w14:textFill>
                  <w14:solidFill>
                    <w14:srgbClr w14:val="000000">
                      <w14:alpha w14:val="100000"/>
                    </w14:srgbClr>
                  </w14:solidFill>
                </w14:textFill>
              </w:rPr>
              <w:t>|</w:t>
            </w:r>
            <w:r w:rsidRPr="00833009">
              <w:rPr>
                <w:color w:val="000000"/>
                <w:spacing w:val="1"/>
                <w:szCs w:val="20"/>
                <w:shd w:val="solid" w:color="000000" w:fill="000000"/>
                <w:fitText w:val="290" w:id="-1304166389"/>
                <w14:textFill>
                  <w14:solidFill>
                    <w14:srgbClr w14:val="000000">
                      <w14:alpha w14:val="100000"/>
                    </w14:srgbClr>
                  </w14:solidFill>
                </w14:textFill>
              </w:rPr>
              <w:t>|</w:t>
            </w:r>
            <w:r w:rsidR="00B765C2">
              <w:rPr>
                <w:rFonts w:cs="Calibri"/>
                <w:color w:val="000000"/>
                <w:szCs w:val="20"/>
                <w:vertAlign w:val="superscript"/>
              </w:rPr>
              <w:t>3</w:t>
            </w:r>
          </w:p>
        </w:tc>
        <w:tc>
          <w:tcPr>
            <w:tcW w:w="992" w:type="dxa"/>
            <w:shd w:val="clear" w:color="auto" w:fill="C6D9F1" w:themeFill="text2" w:themeFillTint="33"/>
            <w:vAlign w:val="center"/>
          </w:tcPr>
          <w:p w14:paraId="38FFDE81" w14:textId="177DE072" w:rsidR="0092254A" w:rsidRPr="001F194F" w:rsidRDefault="00833009" w:rsidP="00C068F2">
            <w:pPr>
              <w:pStyle w:val="Tabletext"/>
              <w:jc w:val="center"/>
              <w:rPr>
                <w:rFonts w:cstheme="minorBidi"/>
                <w:szCs w:val="22"/>
                <w:highlight w:val="darkGray"/>
              </w:rPr>
            </w:pPr>
            <w:r w:rsidRPr="00833009">
              <w:rPr>
                <w:color w:val="000000"/>
                <w:spacing w:val="204"/>
                <w:szCs w:val="20"/>
                <w:shd w:val="solid" w:color="000000" w:fill="000000"/>
                <w:fitText w:val="290" w:id="-1304166388"/>
                <w14:textFill>
                  <w14:solidFill>
                    <w14:srgbClr w14:val="000000">
                      <w14:alpha w14:val="100000"/>
                    </w14:srgbClr>
                  </w14:solidFill>
                </w14:textFill>
              </w:rPr>
              <w:t>|</w:t>
            </w:r>
            <w:r w:rsidRPr="00833009">
              <w:rPr>
                <w:color w:val="000000"/>
                <w:spacing w:val="1"/>
                <w:szCs w:val="20"/>
                <w:shd w:val="solid" w:color="000000" w:fill="000000"/>
                <w:fitText w:val="290" w:id="-1304166388"/>
                <w14:textFill>
                  <w14:solidFill>
                    <w14:srgbClr w14:val="000000">
                      <w14:alpha w14:val="100000"/>
                    </w14:srgbClr>
                  </w14:solidFill>
                </w14:textFill>
              </w:rPr>
              <w:t>|</w:t>
            </w:r>
            <w:r w:rsidR="00B765C2">
              <w:rPr>
                <w:rFonts w:cs="Calibri"/>
                <w:color w:val="000000"/>
                <w:szCs w:val="20"/>
                <w:vertAlign w:val="superscript"/>
              </w:rPr>
              <w:t>3</w:t>
            </w:r>
          </w:p>
        </w:tc>
        <w:tc>
          <w:tcPr>
            <w:tcW w:w="992" w:type="dxa"/>
            <w:shd w:val="clear" w:color="auto" w:fill="C6D9F1" w:themeFill="text2" w:themeFillTint="33"/>
            <w:vAlign w:val="center"/>
          </w:tcPr>
          <w:p w14:paraId="4B07D587" w14:textId="6D3AB9E0" w:rsidR="0092254A" w:rsidRPr="001F194F" w:rsidRDefault="00833009" w:rsidP="00C068F2">
            <w:pPr>
              <w:pStyle w:val="Tabletext"/>
              <w:jc w:val="center"/>
              <w:rPr>
                <w:rFonts w:cstheme="minorBidi"/>
                <w:szCs w:val="22"/>
                <w:highlight w:val="darkGray"/>
              </w:rPr>
            </w:pPr>
            <w:r w:rsidRPr="00833009">
              <w:rPr>
                <w:color w:val="000000"/>
                <w:spacing w:val="204"/>
                <w:szCs w:val="20"/>
                <w:shd w:val="solid" w:color="000000" w:fill="000000"/>
                <w:fitText w:val="290" w:id="-1304166387"/>
                <w14:textFill>
                  <w14:solidFill>
                    <w14:srgbClr w14:val="000000">
                      <w14:alpha w14:val="100000"/>
                    </w14:srgbClr>
                  </w14:solidFill>
                </w14:textFill>
              </w:rPr>
              <w:t>|</w:t>
            </w:r>
            <w:r w:rsidRPr="00833009">
              <w:rPr>
                <w:color w:val="000000"/>
                <w:spacing w:val="1"/>
                <w:szCs w:val="20"/>
                <w:shd w:val="solid" w:color="000000" w:fill="000000"/>
                <w:fitText w:val="290" w:id="-1304166387"/>
                <w14:textFill>
                  <w14:solidFill>
                    <w14:srgbClr w14:val="000000">
                      <w14:alpha w14:val="100000"/>
                    </w14:srgbClr>
                  </w14:solidFill>
                </w14:textFill>
              </w:rPr>
              <w:t>|</w:t>
            </w:r>
            <w:r w:rsidR="00B765C2">
              <w:rPr>
                <w:rFonts w:cs="Calibri"/>
                <w:color w:val="000000"/>
                <w:szCs w:val="20"/>
                <w:vertAlign w:val="superscript"/>
              </w:rPr>
              <w:t>3</w:t>
            </w:r>
          </w:p>
        </w:tc>
        <w:tc>
          <w:tcPr>
            <w:tcW w:w="992" w:type="dxa"/>
            <w:shd w:val="clear" w:color="auto" w:fill="C6D9F1" w:themeFill="text2" w:themeFillTint="33"/>
            <w:vAlign w:val="center"/>
          </w:tcPr>
          <w:p w14:paraId="06976DA5" w14:textId="49E5BBAF" w:rsidR="0092254A" w:rsidRPr="001F194F" w:rsidRDefault="00833009" w:rsidP="00C068F2">
            <w:pPr>
              <w:pStyle w:val="Tabletext"/>
              <w:jc w:val="center"/>
              <w:rPr>
                <w:rFonts w:cstheme="minorBidi"/>
                <w:szCs w:val="22"/>
                <w:highlight w:val="darkGray"/>
              </w:rPr>
            </w:pPr>
            <w:r w:rsidRPr="00833009">
              <w:rPr>
                <w:color w:val="000000"/>
                <w:spacing w:val="204"/>
                <w:szCs w:val="20"/>
                <w:shd w:val="solid" w:color="000000" w:fill="000000"/>
                <w:fitText w:val="290" w:id="-1304166386"/>
                <w14:textFill>
                  <w14:solidFill>
                    <w14:srgbClr w14:val="000000">
                      <w14:alpha w14:val="100000"/>
                    </w14:srgbClr>
                  </w14:solidFill>
                </w14:textFill>
              </w:rPr>
              <w:t>|</w:t>
            </w:r>
            <w:r w:rsidRPr="00833009">
              <w:rPr>
                <w:color w:val="000000"/>
                <w:spacing w:val="1"/>
                <w:szCs w:val="20"/>
                <w:shd w:val="solid" w:color="000000" w:fill="000000"/>
                <w:fitText w:val="290" w:id="-1304166386"/>
                <w14:textFill>
                  <w14:solidFill>
                    <w14:srgbClr w14:val="000000">
                      <w14:alpha w14:val="100000"/>
                    </w14:srgbClr>
                  </w14:solidFill>
                </w14:textFill>
              </w:rPr>
              <w:t>|</w:t>
            </w:r>
            <w:r w:rsidR="00B765C2">
              <w:rPr>
                <w:rFonts w:cs="Calibri"/>
                <w:color w:val="000000"/>
                <w:szCs w:val="20"/>
                <w:vertAlign w:val="superscript"/>
              </w:rPr>
              <w:t>3</w:t>
            </w:r>
          </w:p>
        </w:tc>
        <w:tc>
          <w:tcPr>
            <w:tcW w:w="993" w:type="dxa"/>
            <w:shd w:val="clear" w:color="auto" w:fill="C6D9F1" w:themeFill="text2" w:themeFillTint="33"/>
            <w:vAlign w:val="center"/>
          </w:tcPr>
          <w:p w14:paraId="7A55FEFF" w14:textId="14F18C55" w:rsidR="0092254A" w:rsidRPr="001F194F" w:rsidRDefault="00833009" w:rsidP="00C068F2">
            <w:pPr>
              <w:pStyle w:val="Tabletext"/>
              <w:jc w:val="center"/>
              <w:rPr>
                <w:rFonts w:cstheme="minorBidi"/>
                <w:szCs w:val="22"/>
                <w:highlight w:val="darkGray"/>
              </w:rPr>
            </w:pPr>
            <w:r w:rsidRPr="00833009">
              <w:rPr>
                <w:color w:val="000000"/>
                <w:spacing w:val="204"/>
                <w:szCs w:val="20"/>
                <w:shd w:val="solid" w:color="000000" w:fill="000000"/>
                <w:fitText w:val="290" w:id="-1304166385"/>
                <w14:textFill>
                  <w14:solidFill>
                    <w14:srgbClr w14:val="000000">
                      <w14:alpha w14:val="100000"/>
                    </w14:srgbClr>
                  </w14:solidFill>
                </w14:textFill>
              </w:rPr>
              <w:t>|</w:t>
            </w:r>
            <w:r w:rsidRPr="00833009">
              <w:rPr>
                <w:color w:val="000000"/>
                <w:spacing w:val="1"/>
                <w:szCs w:val="20"/>
                <w:shd w:val="solid" w:color="000000" w:fill="000000"/>
                <w:fitText w:val="290" w:id="-1304166385"/>
                <w14:textFill>
                  <w14:solidFill>
                    <w14:srgbClr w14:val="000000">
                      <w14:alpha w14:val="100000"/>
                    </w14:srgbClr>
                  </w14:solidFill>
                </w14:textFill>
              </w:rPr>
              <w:t>|</w:t>
            </w:r>
            <w:r w:rsidR="00B765C2">
              <w:rPr>
                <w:rFonts w:cs="Calibri"/>
                <w:color w:val="000000"/>
                <w:szCs w:val="20"/>
                <w:vertAlign w:val="superscript"/>
              </w:rPr>
              <w:t>3</w:t>
            </w:r>
          </w:p>
        </w:tc>
      </w:tr>
      <w:tr w:rsidR="0092254A" w:rsidRPr="00576299" w14:paraId="5B78704C" w14:textId="77777777" w:rsidTr="00B765C2">
        <w:tc>
          <w:tcPr>
            <w:tcW w:w="2985" w:type="dxa"/>
            <w:tcBorders>
              <w:bottom w:val="single" w:sz="4" w:space="0" w:color="auto"/>
            </w:tcBorders>
            <w:shd w:val="clear" w:color="auto" w:fill="C6D9F1" w:themeFill="text2" w:themeFillTint="33"/>
            <w:vAlign w:val="center"/>
          </w:tcPr>
          <w:p w14:paraId="21B6A2C9" w14:textId="6E1228CC" w:rsidR="0092254A" w:rsidRPr="00576299" w:rsidRDefault="0092254A" w:rsidP="00C068F2">
            <w:pPr>
              <w:pStyle w:val="Tabletext"/>
              <w:keepNext/>
              <w:keepLines/>
            </w:pPr>
            <w:r w:rsidRPr="00576299">
              <w:t>Net cost to PBS/RPBS/MBS</w:t>
            </w:r>
            <w:r w:rsidRPr="00576299">
              <w:rPr>
                <w:vertAlign w:val="superscript"/>
              </w:rPr>
              <w:t xml:space="preserve"> </w:t>
            </w:r>
            <w:r w:rsidRPr="00576299">
              <w:t>pre-PBAC response</w:t>
            </w:r>
            <w:r w:rsidR="001F194F">
              <w:t xml:space="preserve">  ($)</w:t>
            </w:r>
          </w:p>
        </w:tc>
        <w:tc>
          <w:tcPr>
            <w:tcW w:w="1134" w:type="dxa"/>
            <w:tcBorders>
              <w:bottom w:val="single" w:sz="4" w:space="0" w:color="auto"/>
            </w:tcBorders>
            <w:shd w:val="clear" w:color="auto" w:fill="C6D9F1" w:themeFill="text2" w:themeFillTint="33"/>
            <w:vAlign w:val="center"/>
          </w:tcPr>
          <w:p w14:paraId="768FCF7C" w14:textId="494C9D63" w:rsidR="0092254A" w:rsidRPr="001F194F" w:rsidRDefault="00833009" w:rsidP="00C068F2">
            <w:pPr>
              <w:pStyle w:val="Tabletext"/>
              <w:jc w:val="center"/>
              <w:rPr>
                <w:rFonts w:cstheme="minorBidi"/>
                <w:szCs w:val="22"/>
                <w:highlight w:val="darkGray"/>
              </w:rPr>
            </w:pPr>
            <w:r w:rsidRPr="00833009">
              <w:rPr>
                <w:color w:val="000000"/>
                <w:spacing w:val="49"/>
                <w:shd w:val="solid" w:color="000000" w:fill="000000"/>
                <w:fitText w:val="226" w:id="-1304166384"/>
                <w14:textFill>
                  <w14:solidFill>
                    <w14:srgbClr w14:val="000000">
                      <w14:alpha w14:val="100000"/>
                    </w14:srgbClr>
                  </w14:solidFill>
                </w14:textFill>
              </w:rPr>
              <w:t>||</w:t>
            </w:r>
            <w:r w:rsidRPr="00833009">
              <w:rPr>
                <w:color w:val="000000"/>
                <w:spacing w:val="1"/>
                <w:shd w:val="solid" w:color="000000" w:fill="000000"/>
                <w:fitText w:val="226" w:id="-1304166384"/>
                <w14:textFill>
                  <w14:solidFill>
                    <w14:srgbClr w14:val="000000">
                      <w14:alpha w14:val="100000"/>
                    </w14:srgbClr>
                  </w14:solidFill>
                </w14:textFill>
              </w:rPr>
              <w:t>|</w:t>
            </w:r>
            <w:r w:rsidR="00B765C2">
              <w:rPr>
                <w:rFonts w:cs="Calibri"/>
                <w:color w:val="000000"/>
                <w:szCs w:val="20"/>
                <w:vertAlign w:val="superscript"/>
              </w:rPr>
              <w:t>3</w:t>
            </w:r>
          </w:p>
        </w:tc>
        <w:tc>
          <w:tcPr>
            <w:tcW w:w="992" w:type="dxa"/>
            <w:tcBorders>
              <w:bottom w:val="single" w:sz="4" w:space="0" w:color="auto"/>
            </w:tcBorders>
            <w:shd w:val="clear" w:color="auto" w:fill="C6D9F1" w:themeFill="text2" w:themeFillTint="33"/>
            <w:vAlign w:val="center"/>
          </w:tcPr>
          <w:p w14:paraId="0617B96B" w14:textId="2C8D33D6" w:rsidR="0092254A" w:rsidRPr="001F194F" w:rsidRDefault="00833009" w:rsidP="00C068F2">
            <w:pPr>
              <w:pStyle w:val="Tabletext"/>
              <w:jc w:val="center"/>
              <w:rPr>
                <w:rFonts w:cstheme="minorBidi"/>
                <w:szCs w:val="22"/>
                <w:highlight w:val="darkGray"/>
              </w:rPr>
            </w:pPr>
            <w:r w:rsidRPr="00833009">
              <w:rPr>
                <w:color w:val="000000"/>
                <w:spacing w:val="204"/>
                <w:shd w:val="solid" w:color="000000" w:fill="000000"/>
                <w:fitText w:val="290" w:id="-1304166400"/>
                <w14:textFill>
                  <w14:solidFill>
                    <w14:srgbClr w14:val="000000">
                      <w14:alpha w14:val="100000"/>
                    </w14:srgbClr>
                  </w14:solidFill>
                </w14:textFill>
              </w:rPr>
              <w:t>|</w:t>
            </w:r>
            <w:r w:rsidRPr="00833009">
              <w:rPr>
                <w:color w:val="000000"/>
                <w:spacing w:val="1"/>
                <w:shd w:val="solid" w:color="000000" w:fill="000000"/>
                <w:fitText w:val="290" w:id="-1304166400"/>
                <w14:textFill>
                  <w14:solidFill>
                    <w14:srgbClr w14:val="000000">
                      <w14:alpha w14:val="100000"/>
                    </w14:srgbClr>
                  </w14:solidFill>
                </w14:textFill>
              </w:rPr>
              <w:t>|</w:t>
            </w:r>
            <w:r w:rsidR="00B765C2">
              <w:rPr>
                <w:rFonts w:cs="Calibri"/>
                <w:color w:val="000000"/>
                <w:szCs w:val="20"/>
                <w:vertAlign w:val="superscript"/>
              </w:rPr>
              <w:t>3</w:t>
            </w:r>
          </w:p>
        </w:tc>
        <w:tc>
          <w:tcPr>
            <w:tcW w:w="992" w:type="dxa"/>
            <w:tcBorders>
              <w:bottom w:val="single" w:sz="4" w:space="0" w:color="auto"/>
            </w:tcBorders>
            <w:shd w:val="clear" w:color="auto" w:fill="C6D9F1" w:themeFill="text2" w:themeFillTint="33"/>
            <w:vAlign w:val="center"/>
          </w:tcPr>
          <w:p w14:paraId="5730EA9A" w14:textId="32A0B1ED" w:rsidR="0092254A" w:rsidRPr="001F194F" w:rsidRDefault="00833009" w:rsidP="00C068F2">
            <w:pPr>
              <w:pStyle w:val="Tabletext"/>
              <w:jc w:val="center"/>
              <w:rPr>
                <w:rFonts w:cstheme="minorBidi"/>
                <w:szCs w:val="22"/>
                <w:highlight w:val="darkGray"/>
              </w:rPr>
            </w:pPr>
            <w:r w:rsidRPr="00833009">
              <w:rPr>
                <w:color w:val="000000"/>
                <w:spacing w:val="204"/>
                <w:shd w:val="solid" w:color="000000" w:fill="000000"/>
                <w:fitText w:val="290" w:id="-1304166399"/>
                <w14:textFill>
                  <w14:solidFill>
                    <w14:srgbClr w14:val="000000">
                      <w14:alpha w14:val="100000"/>
                    </w14:srgbClr>
                  </w14:solidFill>
                </w14:textFill>
              </w:rPr>
              <w:t>|</w:t>
            </w:r>
            <w:r w:rsidRPr="00833009">
              <w:rPr>
                <w:color w:val="000000"/>
                <w:spacing w:val="1"/>
                <w:shd w:val="solid" w:color="000000" w:fill="000000"/>
                <w:fitText w:val="290" w:id="-1304166399"/>
                <w14:textFill>
                  <w14:solidFill>
                    <w14:srgbClr w14:val="000000">
                      <w14:alpha w14:val="100000"/>
                    </w14:srgbClr>
                  </w14:solidFill>
                </w14:textFill>
              </w:rPr>
              <w:t>|</w:t>
            </w:r>
            <w:r w:rsidR="00B765C2">
              <w:rPr>
                <w:rFonts w:cs="Calibri"/>
                <w:color w:val="000000"/>
                <w:szCs w:val="20"/>
                <w:vertAlign w:val="superscript"/>
              </w:rPr>
              <w:t>3</w:t>
            </w:r>
          </w:p>
        </w:tc>
        <w:tc>
          <w:tcPr>
            <w:tcW w:w="992" w:type="dxa"/>
            <w:tcBorders>
              <w:bottom w:val="single" w:sz="4" w:space="0" w:color="auto"/>
            </w:tcBorders>
            <w:shd w:val="clear" w:color="auto" w:fill="C6D9F1" w:themeFill="text2" w:themeFillTint="33"/>
            <w:vAlign w:val="center"/>
          </w:tcPr>
          <w:p w14:paraId="0AA500A6" w14:textId="03296A67" w:rsidR="0092254A" w:rsidRPr="001F194F" w:rsidRDefault="00833009" w:rsidP="00C068F2">
            <w:pPr>
              <w:pStyle w:val="Tabletext"/>
              <w:jc w:val="center"/>
              <w:rPr>
                <w:rFonts w:cstheme="minorBidi"/>
                <w:szCs w:val="22"/>
                <w:highlight w:val="darkGray"/>
              </w:rPr>
            </w:pPr>
            <w:r w:rsidRPr="00833009">
              <w:rPr>
                <w:color w:val="000000"/>
                <w:spacing w:val="204"/>
                <w:shd w:val="solid" w:color="000000" w:fill="000000"/>
                <w:fitText w:val="290" w:id="-1304166398"/>
                <w14:textFill>
                  <w14:solidFill>
                    <w14:srgbClr w14:val="000000">
                      <w14:alpha w14:val="100000"/>
                    </w14:srgbClr>
                  </w14:solidFill>
                </w14:textFill>
              </w:rPr>
              <w:t>|</w:t>
            </w:r>
            <w:r w:rsidRPr="00833009">
              <w:rPr>
                <w:color w:val="000000"/>
                <w:spacing w:val="1"/>
                <w:shd w:val="solid" w:color="000000" w:fill="000000"/>
                <w:fitText w:val="290" w:id="-1304166398"/>
                <w14:textFill>
                  <w14:solidFill>
                    <w14:srgbClr w14:val="000000">
                      <w14:alpha w14:val="100000"/>
                    </w14:srgbClr>
                  </w14:solidFill>
                </w14:textFill>
              </w:rPr>
              <w:t>|</w:t>
            </w:r>
            <w:r w:rsidR="00B765C2">
              <w:rPr>
                <w:rFonts w:cs="Calibri"/>
                <w:color w:val="000000"/>
                <w:szCs w:val="20"/>
                <w:vertAlign w:val="superscript"/>
              </w:rPr>
              <w:t>3</w:t>
            </w:r>
          </w:p>
        </w:tc>
        <w:tc>
          <w:tcPr>
            <w:tcW w:w="992" w:type="dxa"/>
            <w:tcBorders>
              <w:bottom w:val="single" w:sz="4" w:space="0" w:color="auto"/>
            </w:tcBorders>
            <w:shd w:val="clear" w:color="auto" w:fill="C6D9F1" w:themeFill="text2" w:themeFillTint="33"/>
            <w:vAlign w:val="center"/>
          </w:tcPr>
          <w:p w14:paraId="77168697" w14:textId="1852DFC7" w:rsidR="0092254A" w:rsidRPr="001F194F" w:rsidRDefault="00833009" w:rsidP="00C068F2">
            <w:pPr>
              <w:pStyle w:val="Tabletext"/>
              <w:jc w:val="center"/>
              <w:rPr>
                <w:rFonts w:cstheme="minorBidi"/>
                <w:szCs w:val="22"/>
                <w:highlight w:val="darkGray"/>
              </w:rPr>
            </w:pPr>
            <w:r w:rsidRPr="00833009">
              <w:rPr>
                <w:color w:val="000000"/>
                <w:spacing w:val="204"/>
                <w:shd w:val="solid" w:color="000000" w:fill="000000"/>
                <w:fitText w:val="290" w:id="-1304166397"/>
                <w14:textFill>
                  <w14:solidFill>
                    <w14:srgbClr w14:val="000000">
                      <w14:alpha w14:val="100000"/>
                    </w14:srgbClr>
                  </w14:solidFill>
                </w14:textFill>
              </w:rPr>
              <w:t>|</w:t>
            </w:r>
            <w:r w:rsidRPr="00833009">
              <w:rPr>
                <w:color w:val="000000"/>
                <w:spacing w:val="1"/>
                <w:shd w:val="solid" w:color="000000" w:fill="000000"/>
                <w:fitText w:val="290" w:id="-1304166397"/>
                <w14:textFill>
                  <w14:solidFill>
                    <w14:srgbClr w14:val="000000">
                      <w14:alpha w14:val="100000"/>
                    </w14:srgbClr>
                  </w14:solidFill>
                </w14:textFill>
              </w:rPr>
              <w:t>|</w:t>
            </w:r>
            <w:r w:rsidR="00B765C2">
              <w:rPr>
                <w:rFonts w:cs="Calibri"/>
                <w:color w:val="000000"/>
                <w:szCs w:val="20"/>
                <w:vertAlign w:val="superscript"/>
              </w:rPr>
              <w:t>3</w:t>
            </w:r>
          </w:p>
        </w:tc>
        <w:tc>
          <w:tcPr>
            <w:tcW w:w="993" w:type="dxa"/>
            <w:tcBorders>
              <w:bottom w:val="single" w:sz="4" w:space="0" w:color="auto"/>
            </w:tcBorders>
            <w:shd w:val="clear" w:color="auto" w:fill="C6D9F1" w:themeFill="text2" w:themeFillTint="33"/>
            <w:vAlign w:val="center"/>
          </w:tcPr>
          <w:p w14:paraId="36364817" w14:textId="50EDAA6F" w:rsidR="0092254A" w:rsidRPr="001F194F" w:rsidRDefault="00833009" w:rsidP="00C068F2">
            <w:pPr>
              <w:pStyle w:val="Tabletext"/>
              <w:jc w:val="center"/>
              <w:rPr>
                <w:rFonts w:cstheme="minorBidi"/>
                <w:szCs w:val="22"/>
                <w:highlight w:val="darkGray"/>
              </w:rPr>
            </w:pPr>
            <w:r w:rsidRPr="00833009">
              <w:rPr>
                <w:color w:val="000000"/>
                <w:spacing w:val="204"/>
                <w:shd w:val="solid" w:color="000000" w:fill="000000"/>
                <w:fitText w:val="290" w:id="-1304166396"/>
                <w14:textFill>
                  <w14:solidFill>
                    <w14:srgbClr w14:val="000000">
                      <w14:alpha w14:val="100000"/>
                    </w14:srgbClr>
                  </w14:solidFill>
                </w14:textFill>
              </w:rPr>
              <w:t>|</w:t>
            </w:r>
            <w:r w:rsidRPr="00833009">
              <w:rPr>
                <w:color w:val="000000"/>
                <w:spacing w:val="1"/>
                <w:shd w:val="solid" w:color="000000" w:fill="000000"/>
                <w:fitText w:val="290" w:id="-1304166396"/>
                <w14:textFill>
                  <w14:solidFill>
                    <w14:srgbClr w14:val="000000">
                      <w14:alpha w14:val="100000"/>
                    </w14:srgbClr>
                  </w14:solidFill>
                </w14:textFill>
              </w:rPr>
              <w:t>|</w:t>
            </w:r>
            <w:r w:rsidR="00B765C2">
              <w:rPr>
                <w:rFonts w:cs="Calibri"/>
                <w:color w:val="000000"/>
                <w:szCs w:val="20"/>
                <w:vertAlign w:val="superscript"/>
              </w:rPr>
              <w:t>3</w:t>
            </w:r>
          </w:p>
        </w:tc>
      </w:tr>
      <w:tr w:rsidR="00027D7F" w:rsidRPr="004654C2" w14:paraId="051A253E" w14:textId="77777777" w:rsidTr="00B765C2">
        <w:tc>
          <w:tcPr>
            <w:tcW w:w="2985" w:type="dxa"/>
            <w:tcBorders>
              <w:right w:val="nil"/>
            </w:tcBorders>
            <w:shd w:val="clear" w:color="auto" w:fill="auto"/>
            <w:vAlign w:val="center"/>
          </w:tcPr>
          <w:p w14:paraId="7117A230" w14:textId="0C5134D6" w:rsidR="00027D7F" w:rsidRPr="004654C2" w:rsidRDefault="00027D7F" w:rsidP="00027D7F">
            <w:pPr>
              <w:pStyle w:val="Tabletext"/>
              <w:keepNext/>
              <w:keepLines/>
              <w:rPr>
                <w:rFonts w:eastAsia="Calibri"/>
                <w:b/>
                <w:bCs/>
              </w:rPr>
            </w:pPr>
            <w:r w:rsidRPr="004654C2">
              <w:rPr>
                <w:rFonts w:eastAsia="Calibri"/>
                <w:b/>
                <w:bCs/>
              </w:rPr>
              <w:t>PSCR revised estimates</w:t>
            </w:r>
          </w:p>
        </w:tc>
        <w:tc>
          <w:tcPr>
            <w:tcW w:w="1134" w:type="dxa"/>
            <w:tcBorders>
              <w:left w:val="nil"/>
              <w:right w:val="nil"/>
            </w:tcBorders>
            <w:shd w:val="clear" w:color="auto" w:fill="auto"/>
            <w:vAlign w:val="center"/>
          </w:tcPr>
          <w:p w14:paraId="32B608B8" w14:textId="77777777" w:rsidR="00027D7F" w:rsidRPr="004654C2" w:rsidRDefault="00027D7F" w:rsidP="00027D7F">
            <w:pPr>
              <w:pStyle w:val="Tabletext"/>
              <w:jc w:val="center"/>
              <w:rPr>
                <w:rFonts w:eastAsia="MS Gothic"/>
                <w:b/>
                <w:bCs/>
                <w:szCs w:val="20"/>
              </w:rPr>
            </w:pPr>
          </w:p>
        </w:tc>
        <w:tc>
          <w:tcPr>
            <w:tcW w:w="992" w:type="dxa"/>
            <w:tcBorders>
              <w:left w:val="nil"/>
              <w:right w:val="nil"/>
            </w:tcBorders>
            <w:shd w:val="clear" w:color="auto" w:fill="auto"/>
            <w:vAlign w:val="center"/>
          </w:tcPr>
          <w:p w14:paraId="0C79494C" w14:textId="77777777" w:rsidR="00027D7F" w:rsidRPr="004654C2" w:rsidRDefault="00027D7F" w:rsidP="00027D7F">
            <w:pPr>
              <w:pStyle w:val="Tabletext"/>
              <w:jc w:val="center"/>
              <w:rPr>
                <w:rFonts w:eastAsia="MS Gothic"/>
                <w:b/>
                <w:bCs/>
                <w:szCs w:val="20"/>
              </w:rPr>
            </w:pPr>
          </w:p>
        </w:tc>
        <w:tc>
          <w:tcPr>
            <w:tcW w:w="992" w:type="dxa"/>
            <w:tcBorders>
              <w:left w:val="nil"/>
              <w:right w:val="nil"/>
            </w:tcBorders>
            <w:shd w:val="clear" w:color="auto" w:fill="auto"/>
            <w:vAlign w:val="center"/>
          </w:tcPr>
          <w:p w14:paraId="23FDA2E8" w14:textId="77777777" w:rsidR="00027D7F" w:rsidRPr="004654C2" w:rsidRDefault="00027D7F" w:rsidP="00027D7F">
            <w:pPr>
              <w:pStyle w:val="Tabletext"/>
              <w:jc w:val="center"/>
              <w:rPr>
                <w:rFonts w:eastAsia="MS Gothic"/>
                <w:b/>
                <w:bCs/>
                <w:szCs w:val="20"/>
              </w:rPr>
            </w:pPr>
          </w:p>
        </w:tc>
        <w:tc>
          <w:tcPr>
            <w:tcW w:w="992" w:type="dxa"/>
            <w:tcBorders>
              <w:left w:val="nil"/>
              <w:right w:val="nil"/>
            </w:tcBorders>
            <w:shd w:val="clear" w:color="auto" w:fill="auto"/>
            <w:vAlign w:val="center"/>
          </w:tcPr>
          <w:p w14:paraId="545F5DE5" w14:textId="77777777" w:rsidR="00027D7F" w:rsidRPr="004654C2" w:rsidRDefault="00027D7F" w:rsidP="00027D7F">
            <w:pPr>
              <w:pStyle w:val="Tabletext"/>
              <w:jc w:val="center"/>
              <w:rPr>
                <w:rFonts w:eastAsia="MS Gothic"/>
                <w:b/>
                <w:bCs/>
                <w:szCs w:val="20"/>
              </w:rPr>
            </w:pPr>
          </w:p>
        </w:tc>
        <w:tc>
          <w:tcPr>
            <w:tcW w:w="992" w:type="dxa"/>
            <w:tcBorders>
              <w:left w:val="nil"/>
              <w:right w:val="nil"/>
            </w:tcBorders>
            <w:shd w:val="clear" w:color="auto" w:fill="auto"/>
            <w:vAlign w:val="center"/>
          </w:tcPr>
          <w:p w14:paraId="69A1FC32" w14:textId="77777777" w:rsidR="00027D7F" w:rsidRPr="004654C2" w:rsidRDefault="00027D7F" w:rsidP="00027D7F">
            <w:pPr>
              <w:pStyle w:val="Tabletext"/>
              <w:jc w:val="center"/>
              <w:rPr>
                <w:rFonts w:eastAsia="MS Gothic"/>
                <w:b/>
                <w:bCs/>
                <w:szCs w:val="20"/>
              </w:rPr>
            </w:pPr>
          </w:p>
        </w:tc>
        <w:tc>
          <w:tcPr>
            <w:tcW w:w="993" w:type="dxa"/>
            <w:tcBorders>
              <w:left w:val="nil"/>
            </w:tcBorders>
            <w:shd w:val="clear" w:color="auto" w:fill="auto"/>
            <w:vAlign w:val="center"/>
          </w:tcPr>
          <w:p w14:paraId="0654FA7C" w14:textId="77777777" w:rsidR="00027D7F" w:rsidRPr="004654C2" w:rsidRDefault="00027D7F" w:rsidP="00027D7F">
            <w:pPr>
              <w:pStyle w:val="Tabletext"/>
              <w:jc w:val="center"/>
              <w:rPr>
                <w:rFonts w:eastAsia="MS Gothic"/>
                <w:b/>
                <w:bCs/>
                <w:szCs w:val="20"/>
              </w:rPr>
            </w:pPr>
          </w:p>
        </w:tc>
      </w:tr>
      <w:tr w:rsidR="00027D7F" w:rsidRPr="004654C2" w14:paraId="51CC8BCC" w14:textId="77777777" w:rsidTr="00B765C2">
        <w:tc>
          <w:tcPr>
            <w:tcW w:w="2985" w:type="dxa"/>
            <w:shd w:val="clear" w:color="auto" w:fill="auto"/>
            <w:vAlign w:val="center"/>
          </w:tcPr>
          <w:p w14:paraId="71A9BD8B" w14:textId="6D1BEF74" w:rsidR="00027D7F" w:rsidRPr="004654C2" w:rsidRDefault="00027D7F" w:rsidP="00027D7F">
            <w:pPr>
              <w:pStyle w:val="Tabletext"/>
              <w:keepNext/>
              <w:keepLines/>
            </w:pPr>
            <w:r w:rsidRPr="004654C2">
              <w:rPr>
                <w:rFonts w:eastAsia="Calibri"/>
              </w:rPr>
              <w:t>Incident patients</w:t>
            </w:r>
          </w:p>
        </w:tc>
        <w:tc>
          <w:tcPr>
            <w:tcW w:w="1134" w:type="dxa"/>
            <w:shd w:val="clear" w:color="auto" w:fill="auto"/>
            <w:vAlign w:val="center"/>
          </w:tcPr>
          <w:p w14:paraId="17D98139" w14:textId="27F9B16F" w:rsidR="00027D7F" w:rsidRPr="001F194F" w:rsidRDefault="00833009" w:rsidP="00027D7F">
            <w:pPr>
              <w:pStyle w:val="Tabletext"/>
              <w:jc w:val="center"/>
              <w:rPr>
                <w:highlight w:val="darkGray"/>
              </w:rPr>
            </w:pPr>
            <w:r w:rsidRPr="00833009">
              <w:rPr>
                <w:rFonts w:eastAsia="MS Gothic"/>
                <w:color w:val="000000"/>
                <w:spacing w:val="49"/>
                <w:szCs w:val="20"/>
                <w:shd w:val="solid" w:color="000000" w:fill="000000"/>
                <w:fitText w:val="226" w:id="-1304166395"/>
                <w14:textFill>
                  <w14:solidFill>
                    <w14:srgbClr w14:val="000000">
                      <w14:alpha w14:val="100000"/>
                    </w14:srgbClr>
                  </w14:solidFill>
                </w14:textFill>
              </w:rPr>
              <w:t>||</w:t>
            </w:r>
            <w:r w:rsidRPr="00833009">
              <w:rPr>
                <w:rFonts w:eastAsia="MS Gothic"/>
                <w:color w:val="000000"/>
                <w:spacing w:val="1"/>
                <w:szCs w:val="20"/>
                <w:shd w:val="solid" w:color="000000" w:fill="000000"/>
                <w:fitText w:val="226" w:id="-1304166395"/>
                <w14:textFill>
                  <w14:solidFill>
                    <w14:srgbClr w14:val="000000">
                      <w14:alpha w14:val="100000"/>
                    </w14:srgbClr>
                  </w14:solidFill>
                </w14:textFill>
              </w:rPr>
              <w:t>|</w:t>
            </w:r>
            <w:r w:rsidR="001F194F" w:rsidRPr="001F194F">
              <w:rPr>
                <w:rFonts w:cs="Calibri"/>
                <w:color w:val="000000"/>
                <w:szCs w:val="20"/>
                <w:vertAlign w:val="superscript"/>
              </w:rPr>
              <w:t>1</w:t>
            </w:r>
          </w:p>
        </w:tc>
        <w:tc>
          <w:tcPr>
            <w:tcW w:w="992" w:type="dxa"/>
            <w:shd w:val="clear" w:color="auto" w:fill="auto"/>
            <w:vAlign w:val="center"/>
          </w:tcPr>
          <w:p w14:paraId="0E3F27C6" w14:textId="069A6710" w:rsidR="00027D7F" w:rsidRPr="001F194F" w:rsidRDefault="00833009" w:rsidP="00027D7F">
            <w:pPr>
              <w:pStyle w:val="Tabletext"/>
              <w:jc w:val="center"/>
              <w:rPr>
                <w:highlight w:val="darkGray"/>
              </w:rPr>
            </w:pPr>
            <w:r w:rsidRPr="00833009">
              <w:rPr>
                <w:rFonts w:eastAsia="MS Gothic"/>
                <w:color w:val="000000"/>
                <w:spacing w:val="204"/>
                <w:szCs w:val="20"/>
                <w:shd w:val="solid" w:color="000000" w:fill="000000"/>
                <w:fitText w:val="290" w:id="-1304166394"/>
                <w14:textFill>
                  <w14:solidFill>
                    <w14:srgbClr w14:val="000000">
                      <w14:alpha w14:val="100000"/>
                    </w14:srgbClr>
                  </w14:solidFill>
                </w14:textFill>
              </w:rPr>
              <w:t>|</w:t>
            </w:r>
            <w:r w:rsidRPr="00833009">
              <w:rPr>
                <w:rFonts w:eastAsia="MS Gothic"/>
                <w:color w:val="000000"/>
                <w:spacing w:val="1"/>
                <w:szCs w:val="20"/>
                <w:shd w:val="solid" w:color="000000" w:fill="000000"/>
                <w:fitText w:val="290" w:id="-1304166394"/>
                <w14:textFill>
                  <w14:solidFill>
                    <w14:srgbClr w14:val="000000">
                      <w14:alpha w14:val="100000"/>
                    </w14:srgbClr>
                  </w14:solidFill>
                </w14:textFill>
              </w:rPr>
              <w:t>|</w:t>
            </w:r>
            <w:r w:rsidR="001F194F" w:rsidRPr="001F194F">
              <w:rPr>
                <w:rFonts w:cs="Calibri"/>
                <w:color w:val="000000"/>
                <w:szCs w:val="20"/>
                <w:vertAlign w:val="superscript"/>
              </w:rPr>
              <w:t>1</w:t>
            </w:r>
          </w:p>
        </w:tc>
        <w:tc>
          <w:tcPr>
            <w:tcW w:w="992" w:type="dxa"/>
            <w:shd w:val="clear" w:color="auto" w:fill="auto"/>
            <w:vAlign w:val="center"/>
          </w:tcPr>
          <w:p w14:paraId="27E59605" w14:textId="7C7FCAF9" w:rsidR="00027D7F" w:rsidRPr="001F194F" w:rsidRDefault="00833009" w:rsidP="00027D7F">
            <w:pPr>
              <w:pStyle w:val="Tabletext"/>
              <w:jc w:val="center"/>
              <w:rPr>
                <w:highlight w:val="darkGray"/>
              </w:rPr>
            </w:pPr>
            <w:r w:rsidRPr="00833009">
              <w:rPr>
                <w:rFonts w:eastAsia="MS Gothic"/>
                <w:color w:val="000000"/>
                <w:spacing w:val="204"/>
                <w:szCs w:val="20"/>
                <w:shd w:val="solid" w:color="000000" w:fill="000000"/>
                <w:fitText w:val="290" w:id="-1304166393"/>
                <w14:textFill>
                  <w14:solidFill>
                    <w14:srgbClr w14:val="000000">
                      <w14:alpha w14:val="100000"/>
                    </w14:srgbClr>
                  </w14:solidFill>
                </w14:textFill>
              </w:rPr>
              <w:t>|</w:t>
            </w:r>
            <w:r w:rsidRPr="00833009">
              <w:rPr>
                <w:rFonts w:eastAsia="MS Gothic"/>
                <w:color w:val="000000"/>
                <w:spacing w:val="1"/>
                <w:szCs w:val="20"/>
                <w:shd w:val="solid" w:color="000000" w:fill="000000"/>
                <w:fitText w:val="290" w:id="-1304166393"/>
                <w14:textFill>
                  <w14:solidFill>
                    <w14:srgbClr w14:val="000000">
                      <w14:alpha w14:val="100000"/>
                    </w14:srgbClr>
                  </w14:solidFill>
                </w14:textFill>
              </w:rPr>
              <w:t>|</w:t>
            </w:r>
            <w:r w:rsidR="001F194F" w:rsidRPr="001F194F">
              <w:rPr>
                <w:rFonts w:cs="Calibri"/>
                <w:color w:val="000000"/>
                <w:szCs w:val="20"/>
                <w:vertAlign w:val="superscript"/>
              </w:rPr>
              <w:t>1</w:t>
            </w:r>
          </w:p>
        </w:tc>
        <w:tc>
          <w:tcPr>
            <w:tcW w:w="992" w:type="dxa"/>
            <w:shd w:val="clear" w:color="auto" w:fill="auto"/>
            <w:vAlign w:val="center"/>
          </w:tcPr>
          <w:p w14:paraId="2DB91569" w14:textId="1759B7EF" w:rsidR="00027D7F" w:rsidRPr="001F194F" w:rsidRDefault="00833009" w:rsidP="00027D7F">
            <w:pPr>
              <w:pStyle w:val="Tabletext"/>
              <w:jc w:val="center"/>
              <w:rPr>
                <w:highlight w:val="darkGray"/>
              </w:rPr>
            </w:pPr>
            <w:r w:rsidRPr="00833009">
              <w:rPr>
                <w:rFonts w:eastAsia="MS Gothic"/>
                <w:color w:val="000000"/>
                <w:spacing w:val="204"/>
                <w:szCs w:val="20"/>
                <w:shd w:val="solid" w:color="000000" w:fill="000000"/>
                <w:fitText w:val="290" w:id="-1304166392"/>
                <w14:textFill>
                  <w14:solidFill>
                    <w14:srgbClr w14:val="000000">
                      <w14:alpha w14:val="100000"/>
                    </w14:srgbClr>
                  </w14:solidFill>
                </w14:textFill>
              </w:rPr>
              <w:t>|</w:t>
            </w:r>
            <w:r w:rsidRPr="00833009">
              <w:rPr>
                <w:rFonts w:eastAsia="MS Gothic"/>
                <w:color w:val="000000"/>
                <w:spacing w:val="1"/>
                <w:szCs w:val="20"/>
                <w:shd w:val="solid" w:color="000000" w:fill="000000"/>
                <w:fitText w:val="290" w:id="-1304166392"/>
                <w14:textFill>
                  <w14:solidFill>
                    <w14:srgbClr w14:val="000000">
                      <w14:alpha w14:val="100000"/>
                    </w14:srgbClr>
                  </w14:solidFill>
                </w14:textFill>
              </w:rPr>
              <w:t>|</w:t>
            </w:r>
            <w:r w:rsidR="001F194F" w:rsidRPr="001F194F">
              <w:rPr>
                <w:rFonts w:cs="Calibri"/>
                <w:color w:val="000000"/>
                <w:szCs w:val="20"/>
                <w:vertAlign w:val="superscript"/>
              </w:rPr>
              <w:t>1</w:t>
            </w:r>
          </w:p>
        </w:tc>
        <w:tc>
          <w:tcPr>
            <w:tcW w:w="992" w:type="dxa"/>
            <w:shd w:val="clear" w:color="auto" w:fill="auto"/>
            <w:vAlign w:val="center"/>
          </w:tcPr>
          <w:p w14:paraId="30771D96" w14:textId="7478815D" w:rsidR="00027D7F" w:rsidRPr="001F194F" w:rsidRDefault="00833009" w:rsidP="00027D7F">
            <w:pPr>
              <w:pStyle w:val="Tabletext"/>
              <w:jc w:val="center"/>
              <w:rPr>
                <w:highlight w:val="darkGray"/>
              </w:rPr>
            </w:pPr>
            <w:r w:rsidRPr="00833009">
              <w:rPr>
                <w:rFonts w:eastAsia="MS Gothic"/>
                <w:color w:val="000000"/>
                <w:spacing w:val="204"/>
                <w:szCs w:val="20"/>
                <w:shd w:val="solid" w:color="000000" w:fill="000000"/>
                <w:fitText w:val="290" w:id="-1304166391"/>
                <w14:textFill>
                  <w14:solidFill>
                    <w14:srgbClr w14:val="000000">
                      <w14:alpha w14:val="100000"/>
                    </w14:srgbClr>
                  </w14:solidFill>
                </w14:textFill>
              </w:rPr>
              <w:t>|</w:t>
            </w:r>
            <w:r w:rsidRPr="00833009">
              <w:rPr>
                <w:rFonts w:eastAsia="MS Gothic"/>
                <w:color w:val="000000"/>
                <w:spacing w:val="1"/>
                <w:szCs w:val="20"/>
                <w:shd w:val="solid" w:color="000000" w:fill="000000"/>
                <w:fitText w:val="290" w:id="-1304166391"/>
                <w14:textFill>
                  <w14:solidFill>
                    <w14:srgbClr w14:val="000000">
                      <w14:alpha w14:val="100000"/>
                    </w14:srgbClr>
                  </w14:solidFill>
                </w14:textFill>
              </w:rPr>
              <w:t>|</w:t>
            </w:r>
            <w:r w:rsidR="001F194F" w:rsidRPr="001F194F">
              <w:rPr>
                <w:rFonts w:cs="Calibri"/>
                <w:color w:val="000000"/>
                <w:szCs w:val="20"/>
                <w:vertAlign w:val="superscript"/>
              </w:rPr>
              <w:t>1</w:t>
            </w:r>
          </w:p>
        </w:tc>
        <w:tc>
          <w:tcPr>
            <w:tcW w:w="993" w:type="dxa"/>
            <w:shd w:val="clear" w:color="auto" w:fill="auto"/>
            <w:vAlign w:val="center"/>
          </w:tcPr>
          <w:p w14:paraId="64B6BF0F" w14:textId="5D0890B4" w:rsidR="00027D7F" w:rsidRPr="001F194F" w:rsidRDefault="00833009" w:rsidP="00027D7F">
            <w:pPr>
              <w:pStyle w:val="Tabletext"/>
              <w:jc w:val="center"/>
              <w:rPr>
                <w:highlight w:val="darkGray"/>
              </w:rPr>
            </w:pPr>
            <w:r w:rsidRPr="00833009">
              <w:rPr>
                <w:rFonts w:eastAsia="MS Gothic"/>
                <w:color w:val="000000"/>
                <w:spacing w:val="204"/>
                <w:szCs w:val="20"/>
                <w:shd w:val="solid" w:color="000000" w:fill="000000"/>
                <w:fitText w:val="290" w:id="-1304166390"/>
                <w14:textFill>
                  <w14:solidFill>
                    <w14:srgbClr w14:val="000000">
                      <w14:alpha w14:val="100000"/>
                    </w14:srgbClr>
                  </w14:solidFill>
                </w14:textFill>
              </w:rPr>
              <w:t>|</w:t>
            </w:r>
            <w:r w:rsidRPr="00833009">
              <w:rPr>
                <w:rFonts w:eastAsia="MS Gothic"/>
                <w:color w:val="000000"/>
                <w:spacing w:val="1"/>
                <w:szCs w:val="20"/>
                <w:shd w:val="solid" w:color="000000" w:fill="000000"/>
                <w:fitText w:val="290" w:id="-1304166390"/>
                <w14:textFill>
                  <w14:solidFill>
                    <w14:srgbClr w14:val="000000">
                      <w14:alpha w14:val="100000"/>
                    </w14:srgbClr>
                  </w14:solidFill>
                </w14:textFill>
              </w:rPr>
              <w:t>|</w:t>
            </w:r>
            <w:r w:rsidR="001F194F" w:rsidRPr="001F194F">
              <w:rPr>
                <w:rFonts w:cs="Calibri"/>
                <w:color w:val="000000"/>
                <w:szCs w:val="20"/>
                <w:vertAlign w:val="superscript"/>
              </w:rPr>
              <w:t>1</w:t>
            </w:r>
          </w:p>
        </w:tc>
      </w:tr>
      <w:tr w:rsidR="00027D7F" w:rsidRPr="004654C2" w14:paraId="7C24B8C0" w14:textId="77777777" w:rsidTr="00B765C2">
        <w:tc>
          <w:tcPr>
            <w:tcW w:w="2985" w:type="dxa"/>
            <w:shd w:val="clear" w:color="auto" w:fill="auto"/>
            <w:vAlign w:val="center"/>
          </w:tcPr>
          <w:p w14:paraId="4334C8A3" w14:textId="399C7CB4" w:rsidR="00027D7F" w:rsidRPr="004654C2" w:rsidRDefault="00027D7F" w:rsidP="00027D7F">
            <w:pPr>
              <w:pStyle w:val="Tabletext"/>
              <w:keepNext/>
              <w:keepLines/>
            </w:pPr>
            <w:r w:rsidRPr="004654C2">
              <w:rPr>
                <w:rFonts w:eastAsia="Calibri"/>
              </w:rPr>
              <w:t>Prevalent patients</w:t>
            </w:r>
          </w:p>
        </w:tc>
        <w:tc>
          <w:tcPr>
            <w:tcW w:w="1134" w:type="dxa"/>
            <w:shd w:val="clear" w:color="auto" w:fill="auto"/>
            <w:vAlign w:val="center"/>
          </w:tcPr>
          <w:p w14:paraId="5B01DBA5" w14:textId="53630909" w:rsidR="00027D7F" w:rsidRPr="001F194F" w:rsidRDefault="00833009" w:rsidP="00027D7F">
            <w:pPr>
              <w:pStyle w:val="Tabletext"/>
              <w:jc w:val="center"/>
              <w:rPr>
                <w:highlight w:val="darkGray"/>
              </w:rPr>
            </w:pPr>
            <w:r w:rsidRPr="00833009">
              <w:rPr>
                <w:rFonts w:eastAsia="MS Gothic"/>
                <w:color w:val="000000"/>
                <w:spacing w:val="49"/>
                <w:szCs w:val="20"/>
                <w:shd w:val="solid" w:color="000000" w:fill="000000"/>
                <w:fitText w:val="226" w:id="-1304166389"/>
                <w14:textFill>
                  <w14:solidFill>
                    <w14:srgbClr w14:val="000000">
                      <w14:alpha w14:val="100000"/>
                    </w14:srgbClr>
                  </w14:solidFill>
                </w14:textFill>
              </w:rPr>
              <w:t>||</w:t>
            </w:r>
            <w:r w:rsidRPr="00833009">
              <w:rPr>
                <w:rFonts w:eastAsia="MS Gothic"/>
                <w:color w:val="000000"/>
                <w:spacing w:val="1"/>
                <w:szCs w:val="20"/>
                <w:shd w:val="solid" w:color="000000" w:fill="000000"/>
                <w:fitText w:val="226" w:id="-1304166389"/>
                <w14:textFill>
                  <w14:solidFill>
                    <w14:srgbClr w14:val="000000">
                      <w14:alpha w14:val="100000"/>
                    </w14:srgbClr>
                  </w14:solidFill>
                </w14:textFill>
              </w:rPr>
              <w:t>|</w:t>
            </w:r>
            <w:r w:rsidR="001F194F" w:rsidRPr="001F194F">
              <w:rPr>
                <w:rFonts w:cs="Calibri"/>
                <w:color w:val="000000"/>
                <w:szCs w:val="20"/>
                <w:vertAlign w:val="superscript"/>
              </w:rPr>
              <w:t>1</w:t>
            </w:r>
          </w:p>
        </w:tc>
        <w:tc>
          <w:tcPr>
            <w:tcW w:w="992" w:type="dxa"/>
            <w:shd w:val="clear" w:color="auto" w:fill="auto"/>
            <w:vAlign w:val="center"/>
          </w:tcPr>
          <w:p w14:paraId="71543F40" w14:textId="270F85B7" w:rsidR="00027D7F" w:rsidRPr="004654C2" w:rsidRDefault="00027D7F" w:rsidP="00027D7F">
            <w:pPr>
              <w:pStyle w:val="Tabletext"/>
              <w:jc w:val="center"/>
            </w:pPr>
            <w:r w:rsidRPr="004654C2">
              <w:rPr>
                <w:rFonts w:eastAsia="MS Gothic"/>
                <w:szCs w:val="20"/>
              </w:rPr>
              <w:t>-</w:t>
            </w:r>
          </w:p>
        </w:tc>
        <w:tc>
          <w:tcPr>
            <w:tcW w:w="992" w:type="dxa"/>
            <w:shd w:val="clear" w:color="auto" w:fill="auto"/>
            <w:vAlign w:val="center"/>
          </w:tcPr>
          <w:p w14:paraId="480B732F" w14:textId="19897AD9" w:rsidR="00027D7F" w:rsidRPr="004654C2" w:rsidRDefault="00027D7F" w:rsidP="00027D7F">
            <w:pPr>
              <w:pStyle w:val="Tabletext"/>
              <w:jc w:val="center"/>
            </w:pPr>
            <w:r w:rsidRPr="004654C2">
              <w:rPr>
                <w:rFonts w:eastAsia="MS Gothic"/>
                <w:szCs w:val="20"/>
              </w:rPr>
              <w:t>-</w:t>
            </w:r>
          </w:p>
        </w:tc>
        <w:tc>
          <w:tcPr>
            <w:tcW w:w="992" w:type="dxa"/>
            <w:shd w:val="clear" w:color="auto" w:fill="auto"/>
            <w:vAlign w:val="center"/>
          </w:tcPr>
          <w:p w14:paraId="7A4EB281" w14:textId="4A3AA79B" w:rsidR="00027D7F" w:rsidRPr="004654C2" w:rsidRDefault="00027D7F" w:rsidP="00027D7F">
            <w:pPr>
              <w:pStyle w:val="Tabletext"/>
              <w:jc w:val="center"/>
            </w:pPr>
            <w:r w:rsidRPr="004654C2">
              <w:rPr>
                <w:rFonts w:eastAsia="MS Gothic"/>
                <w:szCs w:val="20"/>
              </w:rPr>
              <w:t>-</w:t>
            </w:r>
          </w:p>
        </w:tc>
        <w:tc>
          <w:tcPr>
            <w:tcW w:w="992" w:type="dxa"/>
            <w:shd w:val="clear" w:color="auto" w:fill="auto"/>
            <w:vAlign w:val="center"/>
          </w:tcPr>
          <w:p w14:paraId="3822F64D" w14:textId="473CB7CE" w:rsidR="00027D7F" w:rsidRPr="004654C2" w:rsidRDefault="00027D7F" w:rsidP="00027D7F">
            <w:pPr>
              <w:pStyle w:val="Tabletext"/>
              <w:jc w:val="center"/>
            </w:pPr>
            <w:r w:rsidRPr="004654C2">
              <w:rPr>
                <w:rFonts w:eastAsia="MS Gothic"/>
                <w:szCs w:val="20"/>
              </w:rPr>
              <w:t>-</w:t>
            </w:r>
          </w:p>
        </w:tc>
        <w:tc>
          <w:tcPr>
            <w:tcW w:w="993" w:type="dxa"/>
            <w:shd w:val="clear" w:color="auto" w:fill="auto"/>
            <w:vAlign w:val="center"/>
          </w:tcPr>
          <w:p w14:paraId="304FB021" w14:textId="7F643326" w:rsidR="00027D7F" w:rsidRPr="004654C2" w:rsidRDefault="00027D7F" w:rsidP="00027D7F">
            <w:pPr>
              <w:pStyle w:val="Tabletext"/>
              <w:jc w:val="center"/>
            </w:pPr>
            <w:r w:rsidRPr="004654C2">
              <w:rPr>
                <w:rFonts w:eastAsia="MS Gothic"/>
                <w:szCs w:val="20"/>
              </w:rPr>
              <w:t>-</w:t>
            </w:r>
          </w:p>
        </w:tc>
      </w:tr>
      <w:tr w:rsidR="00027D7F" w:rsidRPr="004654C2" w14:paraId="5AA40F15" w14:textId="77777777" w:rsidTr="00B765C2">
        <w:tc>
          <w:tcPr>
            <w:tcW w:w="2985" w:type="dxa"/>
            <w:shd w:val="clear" w:color="auto" w:fill="auto"/>
            <w:vAlign w:val="center"/>
          </w:tcPr>
          <w:p w14:paraId="3BC02FB6" w14:textId="420B266D" w:rsidR="00027D7F" w:rsidRPr="004654C2" w:rsidRDefault="00027D7F" w:rsidP="00027D7F">
            <w:pPr>
              <w:pStyle w:val="Tabletext"/>
              <w:keepNext/>
              <w:keepLines/>
            </w:pPr>
            <w:r w:rsidRPr="004654C2">
              <w:rPr>
                <w:rFonts w:eastAsia="Calibri"/>
              </w:rPr>
              <w:t>Grandfathered patients</w:t>
            </w:r>
            <w:r w:rsidRPr="004654C2">
              <w:rPr>
                <w:rFonts w:eastAsia="Calibri"/>
                <w:vertAlign w:val="superscript"/>
              </w:rPr>
              <w:t>1</w:t>
            </w:r>
          </w:p>
        </w:tc>
        <w:tc>
          <w:tcPr>
            <w:tcW w:w="1134" w:type="dxa"/>
            <w:shd w:val="clear" w:color="auto" w:fill="auto"/>
            <w:vAlign w:val="center"/>
          </w:tcPr>
          <w:p w14:paraId="56F33175" w14:textId="135A5387" w:rsidR="00027D7F" w:rsidRPr="001F194F" w:rsidRDefault="00833009" w:rsidP="00027D7F">
            <w:pPr>
              <w:pStyle w:val="Tabletext"/>
              <w:jc w:val="center"/>
              <w:rPr>
                <w:highlight w:val="darkGray"/>
              </w:rPr>
            </w:pPr>
            <w:r w:rsidRPr="00833009">
              <w:rPr>
                <w:rFonts w:eastAsia="MS Gothic"/>
                <w:color w:val="000000"/>
                <w:spacing w:val="49"/>
                <w:szCs w:val="20"/>
                <w:shd w:val="solid" w:color="000000" w:fill="000000"/>
                <w:fitText w:val="226" w:id="-1304166388"/>
                <w14:textFill>
                  <w14:solidFill>
                    <w14:srgbClr w14:val="000000">
                      <w14:alpha w14:val="100000"/>
                    </w14:srgbClr>
                  </w14:solidFill>
                </w14:textFill>
              </w:rPr>
              <w:t>||</w:t>
            </w:r>
            <w:r w:rsidRPr="00833009">
              <w:rPr>
                <w:rFonts w:eastAsia="MS Gothic"/>
                <w:color w:val="000000"/>
                <w:spacing w:val="1"/>
                <w:szCs w:val="20"/>
                <w:shd w:val="solid" w:color="000000" w:fill="000000"/>
                <w:fitText w:val="226" w:id="-1304166388"/>
                <w14:textFill>
                  <w14:solidFill>
                    <w14:srgbClr w14:val="000000">
                      <w14:alpha w14:val="100000"/>
                    </w14:srgbClr>
                  </w14:solidFill>
                </w14:textFill>
              </w:rPr>
              <w:t>|</w:t>
            </w:r>
            <w:r w:rsidR="001F194F" w:rsidRPr="001F194F">
              <w:rPr>
                <w:rFonts w:cs="Calibri"/>
                <w:color w:val="000000"/>
                <w:szCs w:val="20"/>
                <w:vertAlign w:val="superscript"/>
              </w:rPr>
              <w:t>1</w:t>
            </w:r>
          </w:p>
        </w:tc>
        <w:tc>
          <w:tcPr>
            <w:tcW w:w="992" w:type="dxa"/>
            <w:shd w:val="clear" w:color="auto" w:fill="auto"/>
            <w:vAlign w:val="center"/>
          </w:tcPr>
          <w:p w14:paraId="4ABD3543" w14:textId="3805146E" w:rsidR="00027D7F" w:rsidRPr="004654C2" w:rsidRDefault="00027D7F" w:rsidP="00027D7F">
            <w:pPr>
              <w:pStyle w:val="Tabletext"/>
              <w:jc w:val="center"/>
            </w:pPr>
            <w:r w:rsidRPr="004654C2">
              <w:rPr>
                <w:rFonts w:eastAsia="MS Gothic"/>
                <w:szCs w:val="20"/>
              </w:rPr>
              <w:t>-</w:t>
            </w:r>
          </w:p>
        </w:tc>
        <w:tc>
          <w:tcPr>
            <w:tcW w:w="992" w:type="dxa"/>
            <w:shd w:val="clear" w:color="auto" w:fill="auto"/>
            <w:vAlign w:val="center"/>
          </w:tcPr>
          <w:p w14:paraId="57B12A6C" w14:textId="35EDA03F" w:rsidR="00027D7F" w:rsidRPr="004654C2" w:rsidRDefault="00027D7F" w:rsidP="00027D7F">
            <w:pPr>
              <w:pStyle w:val="Tabletext"/>
              <w:jc w:val="center"/>
            </w:pPr>
            <w:r w:rsidRPr="004654C2">
              <w:rPr>
                <w:rFonts w:eastAsia="MS Gothic"/>
                <w:szCs w:val="20"/>
              </w:rPr>
              <w:t>-</w:t>
            </w:r>
          </w:p>
        </w:tc>
        <w:tc>
          <w:tcPr>
            <w:tcW w:w="992" w:type="dxa"/>
            <w:shd w:val="clear" w:color="auto" w:fill="auto"/>
            <w:vAlign w:val="center"/>
          </w:tcPr>
          <w:p w14:paraId="42B55E55" w14:textId="78295405" w:rsidR="00027D7F" w:rsidRPr="004654C2" w:rsidRDefault="00027D7F" w:rsidP="00027D7F">
            <w:pPr>
              <w:pStyle w:val="Tabletext"/>
              <w:jc w:val="center"/>
            </w:pPr>
            <w:r w:rsidRPr="004654C2">
              <w:rPr>
                <w:rFonts w:eastAsia="MS Gothic"/>
                <w:szCs w:val="20"/>
              </w:rPr>
              <w:t>-</w:t>
            </w:r>
          </w:p>
        </w:tc>
        <w:tc>
          <w:tcPr>
            <w:tcW w:w="992" w:type="dxa"/>
            <w:shd w:val="clear" w:color="auto" w:fill="auto"/>
            <w:vAlign w:val="center"/>
          </w:tcPr>
          <w:p w14:paraId="42F0A856" w14:textId="64893A6D" w:rsidR="00027D7F" w:rsidRPr="004654C2" w:rsidRDefault="00027D7F" w:rsidP="00027D7F">
            <w:pPr>
              <w:pStyle w:val="Tabletext"/>
              <w:jc w:val="center"/>
            </w:pPr>
            <w:r w:rsidRPr="004654C2">
              <w:rPr>
                <w:rFonts w:eastAsia="MS Gothic"/>
                <w:szCs w:val="20"/>
              </w:rPr>
              <w:t>-</w:t>
            </w:r>
          </w:p>
        </w:tc>
        <w:tc>
          <w:tcPr>
            <w:tcW w:w="993" w:type="dxa"/>
            <w:shd w:val="clear" w:color="auto" w:fill="auto"/>
            <w:vAlign w:val="center"/>
          </w:tcPr>
          <w:p w14:paraId="2576D3B2" w14:textId="7F93561D" w:rsidR="00027D7F" w:rsidRPr="004654C2" w:rsidRDefault="00027D7F" w:rsidP="00027D7F">
            <w:pPr>
              <w:pStyle w:val="Tabletext"/>
              <w:jc w:val="center"/>
            </w:pPr>
            <w:r w:rsidRPr="004654C2">
              <w:rPr>
                <w:rFonts w:eastAsia="MS Gothic"/>
                <w:szCs w:val="20"/>
              </w:rPr>
              <w:t>-</w:t>
            </w:r>
          </w:p>
        </w:tc>
      </w:tr>
      <w:tr w:rsidR="00027D7F" w:rsidRPr="004654C2" w14:paraId="03029784" w14:textId="77777777" w:rsidTr="00B765C2">
        <w:tc>
          <w:tcPr>
            <w:tcW w:w="2985" w:type="dxa"/>
            <w:shd w:val="clear" w:color="auto" w:fill="auto"/>
            <w:vAlign w:val="center"/>
          </w:tcPr>
          <w:p w14:paraId="7FC66366" w14:textId="525B93AA" w:rsidR="00027D7F" w:rsidRPr="004654C2" w:rsidRDefault="00027D7F" w:rsidP="00027D7F">
            <w:pPr>
              <w:pStyle w:val="Tabletext"/>
              <w:keepNext/>
              <w:keepLines/>
            </w:pPr>
            <w:r w:rsidRPr="004654C2">
              <w:rPr>
                <w:rFonts w:eastAsia="Calibri"/>
              </w:rPr>
              <w:t>Total treated patients</w:t>
            </w:r>
          </w:p>
        </w:tc>
        <w:tc>
          <w:tcPr>
            <w:tcW w:w="1134" w:type="dxa"/>
            <w:shd w:val="clear" w:color="auto" w:fill="auto"/>
            <w:vAlign w:val="center"/>
          </w:tcPr>
          <w:p w14:paraId="78E048B9" w14:textId="69FE1868" w:rsidR="00027D7F" w:rsidRPr="001F194F" w:rsidRDefault="00833009" w:rsidP="00027D7F">
            <w:pPr>
              <w:pStyle w:val="Tabletext"/>
              <w:jc w:val="center"/>
              <w:rPr>
                <w:highlight w:val="darkGray"/>
              </w:rPr>
            </w:pPr>
            <w:r w:rsidRPr="00833009">
              <w:rPr>
                <w:rFonts w:eastAsia="MS Gothic"/>
                <w:color w:val="000000"/>
                <w:spacing w:val="49"/>
                <w:szCs w:val="20"/>
                <w:shd w:val="solid" w:color="000000" w:fill="000000"/>
                <w:fitText w:val="226" w:id="-1304166387"/>
                <w14:textFill>
                  <w14:solidFill>
                    <w14:srgbClr w14:val="000000">
                      <w14:alpha w14:val="100000"/>
                    </w14:srgbClr>
                  </w14:solidFill>
                </w14:textFill>
              </w:rPr>
              <w:t>||</w:t>
            </w:r>
            <w:r w:rsidRPr="00833009">
              <w:rPr>
                <w:rFonts w:eastAsia="MS Gothic"/>
                <w:color w:val="000000"/>
                <w:spacing w:val="1"/>
                <w:szCs w:val="20"/>
                <w:shd w:val="solid" w:color="000000" w:fill="000000"/>
                <w:fitText w:val="226" w:id="-1304166387"/>
                <w14:textFill>
                  <w14:solidFill>
                    <w14:srgbClr w14:val="000000">
                      <w14:alpha w14:val="100000"/>
                    </w14:srgbClr>
                  </w14:solidFill>
                </w14:textFill>
              </w:rPr>
              <w:t>|</w:t>
            </w:r>
            <w:r w:rsidR="001F194F" w:rsidRPr="001F194F">
              <w:rPr>
                <w:rFonts w:cs="Calibri"/>
                <w:color w:val="000000"/>
                <w:szCs w:val="20"/>
                <w:vertAlign w:val="superscript"/>
              </w:rPr>
              <w:t>1</w:t>
            </w:r>
          </w:p>
        </w:tc>
        <w:tc>
          <w:tcPr>
            <w:tcW w:w="992" w:type="dxa"/>
            <w:shd w:val="clear" w:color="auto" w:fill="auto"/>
            <w:vAlign w:val="center"/>
          </w:tcPr>
          <w:p w14:paraId="4F52C709" w14:textId="339CB1B9" w:rsidR="00027D7F" w:rsidRPr="001F194F" w:rsidRDefault="00833009" w:rsidP="00027D7F">
            <w:pPr>
              <w:pStyle w:val="Tabletext"/>
              <w:jc w:val="center"/>
              <w:rPr>
                <w:highlight w:val="darkGray"/>
              </w:rPr>
            </w:pPr>
            <w:r w:rsidRPr="00833009">
              <w:rPr>
                <w:rFonts w:eastAsia="MS Gothic"/>
                <w:color w:val="000000"/>
                <w:spacing w:val="204"/>
                <w:szCs w:val="20"/>
                <w:shd w:val="solid" w:color="000000" w:fill="000000"/>
                <w:fitText w:val="290" w:id="-1304166386"/>
                <w14:textFill>
                  <w14:solidFill>
                    <w14:srgbClr w14:val="000000">
                      <w14:alpha w14:val="100000"/>
                    </w14:srgbClr>
                  </w14:solidFill>
                </w14:textFill>
              </w:rPr>
              <w:t>|</w:t>
            </w:r>
            <w:r w:rsidRPr="00833009">
              <w:rPr>
                <w:rFonts w:eastAsia="MS Gothic"/>
                <w:color w:val="000000"/>
                <w:spacing w:val="1"/>
                <w:szCs w:val="20"/>
                <w:shd w:val="solid" w:color="000000" w:fill="000000"/>
                <w:fitText w:val="290" w:id="-1304166386"/>
                <w14:textFill>
                  <w14:solidFill>
                    <w14:srgbClr w14:val="000000">
                      <w14:alpha w14:val="100000"/>
                    </w14:srgbClr>
                  </w14:solidFill>
                </w14:textFill>
              </w:rPr>
              <w:t>|</w:t>
            </w:r>
            <w:r w:rsidR="001F194F" w:rsidRPr="001F194F">
              <w:rPr>
                <w:rFonts w:cs="Calibri"/>
                <w:color w:val="000000"/>
                <w:szCs w:val="20"/>
                <w:vertAlign w:val="superscript"/>
              </w:rPr>
              <w:t>1</w:t>
            </w:r>
          </w:p>
        </w:tc>
        <w:tc>
          <w:tcPr>
            <w:tcW w:w="992" w:type="dxa"/>
            <w:shd w:val="clear" w:color="auto" w:fill="auto"/>
            <w:vAlign w:val="center"/>
          </w:tcPr>
          <w:p w14:paraId="35AA786A" w14:textId="1009F639" w:rsidR="00027D7F" w:rsidRPr="001F194F" w:rsidRDefault="00833009" w:rsidP="00027D7F">
            <w:pPr>
              <w:pStyle w:val="Tabletext"/>
              <w:jc w:val="center"/>
              <w:rPr>
                <w:highlight w:val="darkGray"/>
              </w:rPr>
            </w:pPr>
            <w:r w:rsidRPr="00833009">
              <w:rPr>
                <w:rFonts w:eastAsia="MS Gothic"/>
                <w:color w:val="000000"/>
                <w:spacing w:val="204"/>
                <w:szCs w:val="20"/>
                <w:shd w:val="solid" w:color="000000" w:fill="000000"/>
                <w:fitText w:val="290" w:id="-1304166385"/>
                <w14:textFill>
                  <w14:solidFill>
                    <w14:srgbClr w14:val="000000">
                      <w14:alpha w14:val="100000"/>
                    </w14:srgbClr>
                  </w14:solidFill>
                </w14:textFill>
              </w:rPr>
              <w:t>|</w:t>
            </w:r>
            <w:r w:rsidRPr="00833009">
              <w:rPr>
                <w:rFonts w:eastAsia="MS Gothic"/>
                <w:color w:val="000000"/>
                <w:spacing w:val="1"/>
                <w:szCs w:val="20"/>
                <w:shd w:val="solid" w:color="000000" w:fill="000000"/>
                <w:fitText w:val="290" w:id="-1304166385"/>
                <w14:textFill>
                  <w14:solidFill>
                    <w14:srgbClr w14:val="000000">
                      <w14:alpha w14:val="100000"/>
                    </w14:srgbClr>
                  </w14:solidFill>
                </w14:textFill>
              </w:rPr>
              <w:t>|</w:t>
            </w:r>
            <w:r w:rsidR="001F194F" w:rsidRPr="001F194F">
              <w:rPr>
                <w:rFonts w:cs="Calibri"/>
                <w:color w:val="000000"/>
                <w:szCs w:val="20"/>
                <w:vertAlign w:val="superscript"/>
              </w:rPr>
              <w:t>1</w:t>
            </w:r>
          </w:p>
        </w:tc>
        <w:tc>
          <w:tcPr>
            <w:tcW w:w="992" w:type="dxa"/>
            <w:shd w:val="clear" w:color="auto" w:fill="auto"/>
            <w:vAlign w:val="center"/>
          </w:tcPr>
          <w:p w14:paraId="67DA53AC" w14:textId="23FE511B" w:rsidR="00027D7F" w:rsidRPr="001F194F" w:rsidRDefault="00833009" w:rsidP="00027D7F">
            <w:pPr>
              <w:pStyle w:val="Tabletext"/>
              <w:jc w:val="center"/>
              <w:rPr>
                <w:highlight w:val="darkGray"/>
              </w:rPr>
            </w:pPr>
            <w:r w:rsidRPr="00833009">
              <w:rPr>
                <w:rFonts w:eastAsia="MS Gothic"/>
                <w:color w:val="000000"/>
                <w:spacing w:val="204"/>
                <w:szCs w:val="20"/>
                <w:shd w:val="solid" w:color="000000" w:fill="000000"/>
                <w:fitText w:val="290" w:id="-1304166384"/>
                <w14:textFill>
                  <w14:solidFill>
                    <w14:srgbClr w14:val="000000">
                      <w14:alpha w14:val="100000"/>
                    </w14:srgbClr>
                  </w14:solidFill>
                </w14:textFill>
              </w:rPr>
              <w:t>|</w:t>
            </w:r>
            <w:r w:rsidRPr="00833009">
              <w:rPr>
                <w:rFonts w:eastAsia="MS Gothic"/>
                <w:color w:val="000000"/>
                <w:spacing w:val="1"/>
                <w:szCs w:val="20"/>
                <w:shd w:val="solid" w:color="000000" w:fill="000000"/>
                <w:fitText w:val="290" w:id="-1304166384"/>
                <w14:textFill>
                  <w14:solidFill>
                    <w14:srgbClr w14:val="000000">
                      <w14:alpha w14:val="100000"/>
                    </w14:srgbClr>
                  </w14:solidFill>
                </w14:textFill>
              </w:rPr>
              <w:t>|</w:t>
            </w:r>
            <w:r w:rsidR="001F194F" w:rsidRPr="001F194F">
              <w:rPr>
                <w:rFonts w:cs="Calibri"/>
                <w:color w:val="000000"/>
                <w:szCs w:val="20"/>
                <w:vertAlign w:val="superscript"/>
              </w:rPr>
              <w:t>1</w:t>
            </w:r>
          </w:p>
        </w:tc>
        <w:tc>
          <w:tcPr>
            <w:tcW w:w="992" w:type="dxa"/>
            <w:shd w:val="clear" w:color="auto" w:fill="auto"/>
            <w:vAlign w:val="center"/>
          </w:tcPr>
          <w:p w14:paraId="3DC8CD2B" w14:textId="0416E3A4" w:rsidR="00027D7F" w:rsidRPr="001F194F" w:rsidRDefault="00833009" w:rsidP="00027D7F">
            <w:pPr>
              <w:pStyle w:val="Tabletext"/>
              <w:jc w:val="center"/>
              <w:rPr>
                <w:highlight w:val="darkGray"/>
              </w:rPr>
            </w:pPr>
            <w:r w:rsidRPr="00833009">
              <w:rPr>
                <w:rFonts w:eastAsia="MS Gothic"/>
                <w:color w:val="000000"/>
                <w:spacing w:val="204"/>
                <w:szCs w:val="20"/>
                <w:shd w:val="solid" w:color="000000" w:fill="000000"/>
                <w:fitText w:val="290" w:id="-1304166400"/>
                <w14:textFill>
                  <w14:solidFill>
                    <w14:srgbClr w14:val="000000">
                      <w14:alpha w14:val="100000"/>
                    </w14:srgbClr>
                  </w14:solidFill>
                </w14:textFill>
              </w:rPr>
              <w:t>|</w:t>
            </w:r>
            <w:r w:rsidRPr="00833009">
              <w:rPr>
                <w:rFonts w:eastAsia="MS Gothic"/>
                <w:color w:val="000000"/>
                <w:spacing w:val="1"/>
                <w:szCs w:val="20"/>
                <w:shd w:val="solid" w:color="000000" w:fill="000000"/>
                <w:fitText w:val="290" w:id="-1304166400"/>
                <w14:textFill>
                  <w14:solidFill>
                    <w14:srgbClr w14:val="000000">
                      <w14:alpha w14:val="100000"/>
                    </w14:srgbClr>
                  </w14:solidFill>
                </w14:textFill>
              </w:rPr>
              <w:t>|</w:t>
            </w:r>
            <w:r w:rsidR="001F194F" w:rsidRPr="001F194F">
              <w:rPr>
                <w:rFonts w:cs="Calibri"/>
                <w:color w:val="000000"/>
                <w:szCs w:val="20"/>
                <w:vertAlign w:val="superscript"/>
              </w:rPr>
              <w:t>1</w:t>
            </w:r>
          </w:p>
        </w:tc>
        <w:tc>
          <w:tcPr>
            <w:tcW w:w="993" w:type="dxa"/>
            <w:shd w:val="clear" w:color="auto" w:fill="auto"/>
            <w:vAlign w:val="center"/>
          </w:tcPr>
          <w:p w14:paraId="5B73C2BC" w14:textId="30745991" w:rsidR="00027D7F" w:rsidRPr="001F194F" w:rsidRDefault="00833009" w:rsidP="00027D7F">
            <w:pPr>
              <w:pStyle w:val="Tabletext"/>
              <w:jc w:val="center"/>
              <w:rPr>
                <w:highlight w:val="darkGray"/>
              </w:rPr>
            </w:pPr>
            <w:r w:rsidRPr="00833009">
              <w:rPr>
                <w:rFonts w:eastAsia="MS Gothic"/>
                <w:color w:val="000000"/>
                <w:spacing w:val="204"/>
                <w:szCs w:val="20"/>
                <w:shd w:val="solid" w:color="000000" w:fill="000000"/>
                <w:fitText w:val="290" w:id="-1304166399"/>
                <w14:textFill>
                  <w14:solidFill>
                    <w14:srgbClr w14:val="000000">
                      <w14:alpha w14:val="100000"/>
                    </w14:srgbClr>
                  </w14:solidFill>
                </w14:textFill>
              </w:rPr>
              <w:t>|</w:t>
            </w:r>
            <w:r w:rsidRPr="00833009">
              <w:rPr>
                <w:rFonts w:eastAsia="MS Gothic"/>
                <w:color w:val="000000"/>
                <w:spacing w:val="1"/>
                <w:szCs w:val="20"/>
                <w:shd w:val="solid" w:color="000000" w:fill="000000"/>
                <w:fitText w:val="290" w:id="-1304166399"/>
                <w14:textFill>
                  <w14:solidFill>
                    <w14:srgbClr w14:val="000000">
                      <w14:alpha w14:val="100000"/>
                    </w14:srgbClr>
                  </w14:solidFill>
                </w14:textFill>
              </w:rPr>
              <w:t>|</w:t>
            </w:r>
            <w:r w:rsidR="001F194F" w:rsidRPr="001F194F">
              <w:rPr>
                <w:rFonts w:cs="Calibri"/>
                <w:color w:val="000000"/>
                <w:szCs w:val="20"/>
                <w:vertAlign w:val="superscript"/>
              </w:rPr>
              <w:t>1</w:t>
            </w:r>
          </w:p>
        </w:tc>
      </w:tr>
      <w:tr w:rsidR="00027D7F" w:rsidRPr="004654C2" w14:paraId="144DA99D" w14:textId="77777777" w:rsidTr="00B765C2">
        <w:tc>
          <w:tcPr>
            <w:tcW w:w="2985" w:type="dxa"/>
            <w:shd w:val="clear" w:color="auto" w:fill="auto"/>
            <w:vAlign w:val="center"/>
          </w:tcPr>
          <w:p w14:paraId="3D2B00C8" w14:textId="1AF83C8B" w:rsidR="00027D7F" w:rsidRPr="004654C2" w:rsidRDefault="00027D7F" w:rsidP="00027D7F">
            <w:pPr>
              <w:pStyle w:val="Tabletext"/>
              <w:keepNext/>
              <w:keepLines/>
            </w:pPr>
            <w:r w:rsidRPr="004654C2">
              <w:rPr>
                <w:rFonts w:eastAsia="Calibri"/>
              </w:rPr>
              <w:t>Cost of dostarlimab (effective)</w:t>
            </w:r>
            <w:r w:rsidR="001F194F">
              <w:rPr>
                <w:rFonts w:eastAsia="Calibri"/>
              </w:rPr>
              <w:t xml:space="preserve"> </w:t>
            </w:r>
            <w:r w:rsidR="001F194F">
              <w:t>($)</w:t>
            </w:r>
          </w:p>
        </w:tc>
        <w:tc>
          <w:tcPr>
            <w:tcW w:w="1134" w:type="dxa"/>
            <w:shd w:val="clear" w:color="auto" w:fill="auto"/>
          </w:tcPr>
          <w:p w14:paraId="35C9C469" w14:textId="3853862A" w:rsidR="00027D7F" w:rsidRPr="001F194F" w:rsidRDefault="00833009" w:rsidP="00027D7F">
            <w:pPr>
              <w:pStyle w:val="Tabletext"/>
              <w:jc w:val="center"/>
              <w:rPr>
                <w:highlight w:val="darkGray"/>
              </w:rPr>
            </w:pPr>
            <w:r w:rsidRPr="00833009">
              <w:rPr>
                <w:color w:val="000000"/>
                <w:spacing w:val="49"/>
                <w:szCs w:val="20"/>
                <w:shd w:val="solid" w:color="000000" w:fill="000000"/>
                <w:fitText w:val="226" w:id="-1304166398"/>
                <w14:textFill>
                  <w14:solidFill>
                    <w14:srgbClr w14:val="000000">
                      <w14:alpha w14:val="100000"/>
                    </w14:srgbClr>
                  </w14:solidFill>
                </w14:textFill>
              </w:rPr>
              <w:t>||</w:t>
            </w:r>
            <w:r w:rsidRPr="00833009">
              <w:rPr>
                <w:color w:val="000000"/>
                <w:spacing w:val="1"/>
                <w:szCs w:val="20"/>
                <w:shd w:val="solid" w:color="000000" w:fill="000000"/>
                <w:fitText w:val="226" w:id="-1304166398"/>
                <w14:textFill>
                  <w14:solidFill>
                    <w14:srgbClr w14:val="000000">
                      <w14:alpha w14:val="100000"/>
                    </w14:srgbClr>
                  </w14:solidFill>
                </w14:textFill>
              </w:rPr>
              <w:t>|</w:t>
            </w:r>
            <w:r w:rsidR="00B765C2">
              <w:rPr>
                <w:rFonts w:cs="Calibri"/>
                <w:color w:val="000000"/>
                <w:szCs w:val="20"/>
                <w:vertAlign w:val="superscript"/>
              </w:rPr>
              <w:t>4</w:t>
            </w:r>
          </w:p>
        </w:tc>
        <w:tc>
          <w:tcPr>
            <w:tcW w:w="992" w:type="dxa"/>
            <w:shd w:val="clear" w:color="auto" w:fill="auto"/>
          </w:tcPr>
          <w:p w14:paraId="1880BC20" w14:textId="5F308C27" w:rsidR="00027D7F" w:rsidRPr="001F194F" w:rsidRDefault="00833009" w:rsidP="00027D7F">
            <w:pPr>
              <w:pStyle w:val="Tabletext"/>
              <w:jc w:val="center"/>
              <w:rPr>
                <w:highlight w:val="darkGray"/>
              </w:rPr>
            </w:pPr>
            <w:r w:rsidRPr="00833009">
              <w:rPr>
                <w:color w:val="000000"/>
                <w:spacing w:val="204"/>
                <w:szCs w:val="20"/>
                <w:shd w:val="solid" w:color="000000" w:fill="000000"/>
                <w:fitText w:val="290" w:id="-1304166397"/>
                <w14:textFill>
                  <w14:solidFill>
                    <w14:srgbClr w14:val="000000">
                      <w14:alpha w14:val="100000"/>
                    </w14:srgbClr>
                  </w14:solidFill>
                </w14:textFill>
              </w:rPr>
              <w:t>|</w:t>
            </w:r>
            <w:r w:rsidRPr="00833009">
              <w:rPr>
                <w:color w:val="000000"/>
                <w:spacing w:val="1"/>
                <w:szCs w:val="20"/>
                <w:shd w:val="solid" w:color="000000" w:fill="000000"/>
                <w:fitText w:val="290" w:id="-1304166397"/>
                <w14:textFill>
                  <w14:solidFill>
                    <w14:srgbClr w14:val="000000">
                      <w14:alpha w14:val="100000"/>
                    </w14:srgbClr>
                  </w14:solidFill>
                </w14:textFill>
              </w:rPr>
              <w:t>|</w:t>
            </w:r>
            <w:r w:rsidR="00B765C2">
              <w:rPr>
                <w:rFonts w:cs="Calibri"/>
                <w:color w:val="000000"/>
                <w:szCs w:val="20"/>
                <w:vertAlign w:val="superscript"/>
              </w:rPr>
              <w:t>3</w:t>
            </w:r>
          </w:p>
        </w:tc>
        <w:tc>
          <w:tcPr>
            <w:tcW w:w="992" w:type="dxa"/>
            <w:shd w:val="clear" w:color="auto" w:fill="auto"/>
          </w:tcPr>
          <w:p w14:paraId="1DBDD225" w14:textId="15ED4D06" w:rsidR="00027D7F" w:rsidRPr="001F194F" w:rsidRDefault="00833009" w:rsidP="00027D7F">
            <w:pPr>
              <w:pStyle w:val="Tabletext"/>
              <w:jc w:val="center"/>
              <w:rPr>
                <w:highlight w:val="darkGray"/>
              </w:rPr>
            </w:pPr>
            <w:r w:rsidRPr="00833009">
              <w:rPr>
                <w:color w:val="000000"/>
                <w:spacing w:val="204"/>
                <w:szCs w:val="20"/>
                <w:shd w:val="solid" w:color="000000" w:fill="000000"/>
                <w:fitText w:val="290" w:id="-1304166396"/>
                <w14:textFill>
                  <w14:solidFill>
                    <w14:srgbClr w14:val="000000">
                      <w14:alpha w14:val="100000"/>
                    </w14:srgbClr>
                  </w14:solidFill>
                </w14:textFill>
              </w:rPr>
              <w:t>|</w:t>
            </w:r>
            <w:r w:rsidRPr="00833009">
              <w:rPr>
                <w:color w:val="000000"/>
                <w:spacing w:val="1"/>
                <w:szCs w:val="20"/>
                <w:shd w:val="solid" w:color="000000" w:fill="000000"/>
                <w:fitText w:val="290" w:id="-1304166396"/>
                <w14:textFill>
                  <w14:solidFill>
                    <w14:srgbClr w14:val="000000">
                      <w14:alpha w14:val="100000"/>
                    </w14:srgbClr>
                  </w14:solidFill>
                </w14:textFill>
              </w:rPr>
              <w:t>|</w:t>
            </w:r>
            <w:r w:rsidR="00B765C2">
              <w:rPr>
                <w:rFonts w:cs="Calibri"/>
                <w:color w:val="000000"/>
                <w:szCs w:val="20"/>
                <w:vertAlign w:val="superscript"/>
              </w:rPr>
              <w:t>3</w:t>
            </w:r>
          </w:p>
        </w:tc>
        <w:tc>
          <w:tcPr>
            <w:tcW w:w="992" w:type="dxa"/>
            <w:shd w:val="clear" w:color="auto" w:fill="auto"/>
          </w:tcPr>
          <w:p w14:paraId="1633A9F7" w14:textId="6F2AB6E6" w:rsidR="00027D7F" w:rsidRPr="001F194F" w:rsidRDefault="00833009" w:rsidP="00027D7F">
            <w:pPr>
              <w:pStyle w:val="Tabletext"/>
              <w:jc w:val="center"/>
              <w:rPr>
                <w:highlight w:val="darkGray"/>
              </w:rPr>
            </w:pPr>
            <w:r w:rsidRPr="00833009">
              <w:rPr>
                <w:color w:val="000000"/>
                <w:spacing w:val="204"/>
                <w:szCs w:val="20"/>
                <w:shd w:val="solid" w:color="000000" w:fill="000000"/>
                <w:fitText w:val="290" w:id="-1304166395"/>
                <w14:textFill>
                  <w14:solidFill>
                    <w14:srgbClr w14:val="000000">
                      <w14:alpha w14:val="100000"/>
                    </w14:srgbClr>
                  </w14:solidFill>
                </w14:textFill>
              </w:rPr>
              <w:t>|</w:t>
            </w:r>
            <w:r w:rsidRPr="00833009">
              <w:rPr>
                <w:color w:val="000000"/>
                <w:spacing w:val="1"/>
                <w:szCs w:val="20"/>
                <w:shd w:val="solid" w:color="000000" w:fill="000000"/>
                <w:fitText w:val="290" w:id="-1304166395"/>
                <w14:textFill>
                  <w14:solidFill>
                    <w14:srgbClr w14:val="000000">
                      <w14:alpha w14:val="100000"/>
                    </w14:srgbClr>
                  </w14:solidFill>
                </w14:textFill>
              </w:rPr>
              <w:t>|</w:t>
            </w:r>
            <w:r w:rsidR="00B765C2">
              <w:rPr>
                <w:rFonts w:cs="Calibri"/>
                <w:color w:val="000000"/>
                <w:szCs w:val="20"/>
                <w:vertAlign w:val="superscript"/>
              </w:rPr>
              <w:t>3</w:t>
            </w:r>
          </w:p>
        </w:tc>
        <w:tc>
          <w:tcPr>
            <w:tcW w:w="992" w:type="dxa"/>
            <w:shd w:val="clear" w:color="auto" w:fill="auto"/>
          </w:tcPr>
          <w:p w14:paraId="570C1802" w14:textId="56513DE1" w:rsidR="00027D7F" w:rsidRPr="001F194F" w:rsidRDefault="00833009" w:rsidP="00027D7F">
            <w:pPr>
              <w:pStyle w:val="Tabletext"/>
              <w:jc w:val="center"/>
              <w:rPr>
                <w:highlight w:val="darkGray"/>
              </w:rPr>
            </w:pPr>
            <w:r w:rsidRPr="00833009">
              <w:rPr>
                <w:color w:val="000000"/>
                <w:spacing w:val="204"/>
                <w:szCs w:val="20"/>
                <w:shd w:val="solid" w:color="000000" w:fill="000000"/>
                <w:fitText w:val="290" w:id="-1304166394"/>
                <w14:textFill>
                  <w14:solidFill>
                    <w14:srgbClr w14:val="000000">
                      <w14:alpha w14:val="100000"/>
                    </w14:srgbClr>
                  </w14:solidFill>
                </w14:textFill>
              </w:rPr>
              <w:t>|</w:t>
            </w:r>
            <w:r w:rsidRPr="00833009">
              <w:rPr>
                <w:color w:val="000000"/>
                <w:spacing w:val="1"/>
                <w:szCs w:val="20"/>
                <w:shd w:val="solid" w:color="000000" w:fill="000000"/>
                <w:fitText w:val="290" w:id="-1304166394"/>
                <w14:textFill>
                  <w14:solidFill>
                    <w14:srgbClr w14:val="000000">
                      <w14:alpha w14:val="100000"/>
                    </w14:srgbClr>
                  </w14:solidFill>
                </w14:textFill>
              </w:rPr>
              <w:t>|</w:t>
            </w:r>
            <w:r w:rsidR="00B765C2">
              <w:rPr>
                <w:rFonts w:cs="Calibri"/>
                <w:color w:val="000000"/>
                <w:szCs w:val="20"/>
                <w:vertAlign w:val="superscript"/>
              </w:rPr>
              <w:t>3</w:t>
            </w:r>
          </w:p>
        </w:tc>
        <w:tc>
          <w:tcPr>
            <w:tcW w:w="993" w:type="dxa"/>
            <w:shd w:val="clear" w:color="auto" w:fill="auto"/>
          </w:tcPr>
          <w:p w14:paraId="0601F62C" w14:textId="7D215D67" w:rsidR="00027D7F" w:rsidRPr="001F194F" w:rsidRDefault="00833009" w:rsidP="00027D7F">
            <w:pPr>
              <w:pStyle w:val="Tabletext"/>
              <w:jc w:val="center"/>
              <w:rPr>
                <w:highlight w:val="darkGray"/>
              </w:rPr>
            </w:pPr>
            <w:r w:rsidRPr="00833009">
              <w:rPr>
                <w:color w:val="000000"/>
                <w:spacing w:val="204"/>
                <w:szCs w:val="20"/>
                <w:shd w:val="solid" w:color="000000" w:fill="000000"/>
                <w:fitText w:val="290" w:id="-1304166393"/>
                <w14:textFill>
                  <w14:solidFill>
                    <w14:srgbClr w14:val="000000">
                      <w14:alpha w14:val="100000"/>
                    </w14:srgbClr>
                  </w14:solidFill>
                </w14:textFill>
              </w:rPr>
              <w:t>|</w:t>
            </w:r>
            <w:r w:rsidRPr="00833009">
              <w:rPr>
                <w:color w:val="000000"/>
                <w:spacing w:val="1"/>
                <w:szCs w:val="20"/>
                <w:shd w:val="solid" w:color="000000" w:fill="000000"/>
                <w:fitText w:val="290" w:id="-1304166393"/>
                <w14:textFill>
                  <w14:solidFill>
                    <w14:srgbClr w14:val="000000">
                      <w14:alpha w14:val="100000"/>
                    </w14:srgbClr>
                  </w14:solidFill>
                </w14:textFill>
              </w:rPr>
              <w:t>|</w:t>
            </w:r>
            <w:r w:rsidR="00B765C2">
              <w:rPr>
                <w:rFonts w:cs="Calibri"/>
                <w:color w:val="000000"/>
                <w:szCs w:val="20"/>
                <w:vertAlign w:val="superscript"/>
              </w:rPr>
              <w:t>3</w:t>
            </w:r>
          </w:p>
        </w:tc>
      </w:tr>
      <w:tr w:rsidR="00027D7F" w:rsidRPr="004654C2" w14:paraId="4ACDD2AE" w14:textId="77777777" w:rsidTr="00B765C2">
        <w:tc>
          <w:tcPr>
            <w:tcW w:w="2985" w:type="dxa"/>
            <w:shd w:val="clear" w:color="auto" w:fill="auto"/>
            <w:vAlign w:val="center"/>
          </w:tcPr>
          <w:p w14:paraId="2A24FFFA" w14:textId="2618E392" w:rsidR="00027D7F" w:rsidRPr="004654C2" w:rsidRDefault="00027D7F" w:rsidP="00027D7F">
            <w:pPr>
              <w:pStyle w:val="Tabletext"/>
              <w:keepNext/>
              <w:keepLines/>
            </w:pPr>
            <w:r w:rsidRPr="004654C2">
              <w:rPr>
                <w:rFonts w:eastAsia="Calibri"/>
              </w:rPr>
              <w:t>Cost of chemotherapy offset</w:t>
            </w:r>
            <w:r w:rsidR="001F194F">
              <w:rPr>
                <w:rFonts w:eastAsia="Calibri"/>
              </w:rPr>
              <w:t xml:space="preserve"> </w:t>
            </w:r>
            <w:r w:rsidR="001F194F">
              <w:t xml:space="preserve"> ($)</w:t>
            </w:r>
          </w:p>
        </w:tc>
        <w:tc>
          <w:tcPr>
            <w:tcW w:w="1134" w:type="dxa"/>
            <w:shd w:val="clear" w:color="auto" w:fill="auto"/>
          </w:tcPr>
          <w:p w14:paraId="687CEB57" w14:textId="6C05070B" w:rsidR="00027D7F" w:rsidRPr="001F194F" w:rsidRDefault="00833009" w:rsidP="00027D7F">
            <w:pPr>
              <w:pStyle w:val="Tabletext"/>
              <w:jc w:val="center"/>
              <w:rPr>
                <w:highlight w:val="darkGray"/>
              </w:rPr>
            </w:pPr>
            <w:r w:rsidRPr="00833009">
              <w:rPr>
                <w:color w:val="000000"/>
                <w:spacing w:val="49"/>
                <w:szCs w:val="20"/>
                <w:shd w:val="solid" w:color="000000" w:fill="000000"/>
                <w:fitText w:val="226" w:id="-1304166392"/>
                <w14:textFill>
                  <w14:solidFill>
                    <w14:srgbClr w14:val="000000">
                      <w14:alpha w14:val="100000"/>
                    </w14:srgbClr>
                  </w14:solidFill>
                </w14:textFill>
              </w:rPr>
              <w:t>||</w:t>
            </w:r>
            <w:r w:rsidRPr="00833009">
              <w:rPr>
                <w:color w:val="000000"/>
                <w:spacing w:val="1"/>
                <w:szCs w:val="20"/>
                <w:shd w:val="solid" w:color="000000" w:fill="000000"/>
                <w:fitText w:val="226" w:id="-1304166392"/>
                <w14:textFill>
                  <w14:solidFill>
                    <w14:srgbClr w14:val="000000">
                      <w14:alpha w14:val="100000"/>
                    </w14:srgbClr>
                  </w14:solidFill>
                </w14:textFill>
              </w:rPr>
              <w:t>|</w:t>
            </w:r>
            <w:r w:rsidR="00B765C2">
              <w:rPr>
                <w:rFonts w:cs="Calibri"/>
                <w:color w:val="000000"/>
                <w:szCs w:val="20"/>
                <w:vertAlign w:val="superscript"/>
              </w:rPr>
              <w:t>5</w:t>
            </w:r>
          </w:p>
        </w:tc>
        <w:tc>
          <w:tcPr>
            <w:tcW w:w="992" w:type="dxa"/>
            <w:shd w:val="clear" w:color="auto" w:fill="auto"/>
          </w:tcPr>
          <w:p w14:paraId="1B5D5A6D" w14:textId="036EAD8E" w:rsidR="00027D7F" w:rsidRPr="001F194F" w:rsidRDefault="00833009" w:rsidP="00027D7F">
            <w:pPr>
              <w:pStyle w:val="Tabletext"/>
              <w:jc w:val="center"/>
              <w:rPr>
                <w:highlight w:val="darkGray"/>
              </w:rPr>
            </w:pPr>
            <w:r w:rsidRPr="00833009">
              <w:rPr>
                <w:color w:val="000000"/>
                <w:spacing w:val="204"/>
                <w:szCs w:val="20"/>
                <w:shd w:val="solid" w:color="000000" w:fill="000000"/>
                <w:fitText w:val="290" w:id="-1304166391"/>
                <w14:textFill>
                  <w14:solidFill>
                    <w14:srgbClr w14:val="000000">
                      <w14:alpha w14:val="100000"/>
                    </w14:srgbClr>
                  </w14:solidFill>
                </w14:textFill>
              </w:rPr>
              <w:t>|</w:t>
            </w:r>
            <w:r w:rsidRPr="00833009">
              <w:rPr>
                <w:color w:val="000000"/>
                <w:spacing w:val="1"/>
                <w:szCs w:val="20"/>
                <w:shd w:val="solid" w:color="000000" w:fill="000000"/>
                <w:fitText w:val="290" w:id="-1304166391"/>
                <w14:textFill>
                  <w14:solidFill>
                    <w14:srgbClr w14:val="000000">
                      <w14:alpha w14:val="100000"/>
                    </w14:srgbClr>
                  </w14:solidFill>
                </w14:textFill>
              </w:rPr>
              <w:t>|</w:t>
            </w:r>
            <w:r w:rsidR="00B765C2">
              <w:rPr>
                <w:rFonts w:cs="Calibri"/>
                <w:color w:val="000000"/>
                <w:szCs w:val="20"/>
                <w:vertAlign w:val="superscript"/>
              </w:rPr>
              <w:t>5</w:t>
            </w:r>
          </w:p>
        </w:tc>
        <w:tc>
          <w:tcPr>
            <w:tcW w:w="992" w:type="dxa"/>
            <w:shd w:val="clear" w:color="auto" w:fill="auto"/>
          </w:tcPr>
          <w:p w14:paraId="6762B7B3" w14:textId="03520B23" w:rsidR="00027D7F" w:rsidRPr="001F194F" w:rsidRDefault="00833009" w:rsidP="00027D7F">
            <w:pPr>
              <w:pStyle w:val="Tabletext"/>
              <w:jc w:val="center"/>
              <w:rPr>
                <w:highlight w:val="darkGray"/>
              </w:rPr>
            </w:pPr>
            <w:r w:rsidRPr="00833009">
              <w:rPr>
                <w:color w:val="000000"/>
                <w:spacing w:val="204"/>
                <w:szCs w:val="20"/>
                <w:shd w:val="solid" w:color="000000" w:fill="000000"/>
                <w:fitText w:val="290" w:id="-1304166390"/>
                <w14:textFill>
                  <w14:solidFill>
                    <w14:srgbClr w14:val="000000">
                      <w14:alpha w14:val="100000"/>
                    </w14:srgbClr>
                  </w14:solidFill>
                </w14:textFill>
              </w:rPr>
              <w:t>|</w:t>
            </w:r>
            <w:r w:rsidRPr="00833009">
              <w:rPr>
                <w:color w:val="000000"/>
                <w:spacing w:val="1"/>
                <w:szCs w:val="20"/>
                <w:shd w:val="solid" w:color="000000" w:fill="000000"/>
                <w:fitText w:val="290" w:id="-1304166390"/>
                <w14:textFill>
                  <w14:solidFill>
                    <w14:srgbClr w14:val="000000">
                      <w14:alpha w14:val="100000"/>
                    </w14:srgbClr>
                  </w14:solidFill>
                </w14:textFill>
              </w:rPr>
              <w:t>|</w:t>
            </w:r>
            <w:r w:rsidR="00B765C2">
              <w:rPr>
                <w:rFonts w:cs="Calibri"/>
                <w:color w:val="000000"/>
                <w:szCs w:val="20"/>
                <w:vertAlign w:val="superscript"/>
              </w:rPr>
              <w:t>5</w:t>
            </w:r>
          </w:p>
        </w:tc>
        <w:tc>
          <w:tcPr>
            <w:tcW w:w="992" w:type="dxa"/>
            <w:shd w:val="clear" w:color="auto" w:fill="auto"/>
          </w:tcPr>
          <w:p w14:paraId="512E3F65" w14:textId="77DAFB5E" w:rsidR="00027D7F" w:rsidRPr="001F194F" w:rsidRDefault="00833009" w:rsidP="00027D7F">
            <w:pPr>
              <w:pStyle w:val="Tabletext"/>
              <w:jc w:val="center"/>
              <w:rPr>
                <w:highlight w:val="darkGray"/>
              </w:rPr>
            </w:pPr>
            <w:r w:rsidRPr="00833009">
              <w:rPr>
                <w:color w:val="000000"/>
                <w:spacing w:val="204"/>
                <w:szCs w:val="20"/>
                <w:shd w:val="solid" w:color="000000" w:fill="000000"/>
                <w:fitText w:val="290" w:id="-1304166389"/>
                <w14:textFill>
                  <w14:solidFill>
                    <w14:srgbClr w14:val="000000">
                      <w14:alpha w14:val="100000"/>
                    </w14:srgbClr>
                  </w14:solidFill>
                </w14:textFill>
              </w:rPr>
              <w:t>|</w:t>
            </w:r>
            <w:r w:rsidRPr="00833009">
              <w:rPr>
                <w:color w:val="000000"/>
                <w:spacing w:val="1"/>
                <w:szCs w:val="20"/>
                <w:shd w:val="solid" w:color="000000" w:fill="000000"/>
                <w:fitText w:val="290" w:id="-1304166389"/>
                <w14:textFill>
                  <w14:solidFill>
                    <w14:srgbClr w14:val="000000">
                      <w14:alpha w14:val="100000"/>
                    </w14:srgbClr>
                  </w14:solidFill>
                </w14:textFill>
              </w:rPr>
              <w:t>|</w:t>
            </w:r>
            <w:r w:rsidR="00B765C2">
              <w:rPr>
                <w:rFonts w:cs="Calibri"/>
                <w:color w:val="000000"/>
                <w:szCs w:val="20"/>
                <w:vertAlign w:val="superscript"/>
              </w:rPr>
              <w:t>5</w:t>
            </w:r>
          </w:p>
        </w:tc>
        <w:tc>
          <w:tcPr>
            <w:tcW w:w="992" w:type="dxa"/>
            <w:shd w:val="clear" w:color="auto" w:fill="auto"/>
          </w:tcPr>
          <w:p w14:paraId="7642D8B5" w14:textId="2D0CC2A2" w:rsidR="00027D7F" w:rsidRPr="001F194F" w:rsidRDefault="00833009" w:rsidP="00027D7F">
            <w:pPr>
              <w:pStyle w:val="Tabletext"/>
              <w:jc w:val="center"/>
              <w:rPr>
                <w:highlight w:val="darkGray"/>
              </w:rPr>
            </w:pPr>
            <w:r w:rsidRPr="00833009">
              <w:rPr>
                <w:color w:val="000000"/>
                <w:spacing w:val="204"/>
                <w:szCs w:val="20"/>
                <w:shd w:val="solid" w:color="000000" w:fill="000000"/>
                <w:fitText w:val="290" w:id="-1304166388"/>
                <w14:textFill>
                  <w14:solidFill>
                    <w14:srgbClr w14:val="000000">
                      <w14:alpha w14:val="100000"/>
                    </w14:srgbClr>
                  </w14:solidFill>
                </w14:textFill>
              </w:rPr>
              <w:t>|</w:t>
            </w:r>
            <w:r w:rsidRPr="00833009">
              <w:rPr>
                <w:color w:val="000000"/>
                <w:spacing w:val="1"/>
                <w:szCs w:val="20"/>
                <w:shd w:val="solid" w:color="000000" w:fill="000000"/>
                <w:fitText w:val="290" w:id="-1304166388"/>
                <w14:textFill>
                  <w14:solidFill>
                    <w14:srgbClr w14:val="000000">
                      <w14:alpha w14:val="100000"/>
                    </w14:srgbClr>
                  </w14:solidFill>
                </w14:textFill>
              </w:rPr>
              <w:t>|</w:t>
            </w:r>
            <w:r w:rsidR="00B765C2">
              <w:rPr>
                <w:rFonts w:cs="Calibri"/>
                <w:color w:val="000000"/>
                <w:szCs w:val="20"/>
                <w:vertAlign w:val="superscript"/>
              </w:rPr>
              <w:t>5</w:t>
            </w:r>
          </w:p>
        </w:tc>
        <w:tc>
          <w:tcPr>
            <w:tcW w:w="993" w:type="dxa"/>
            <w:shd w:val="clear" w:color="auto" w:fill="auto"/>
          </w:tcPr>
          <w:p w14:paraId="7D80A1D8" w14:textId="295E021A" w:rsidR="00027D7F" w:rsidRPr="001F194F" w:rsidRDefault="00833009" w:rsidP="00027D7F">
            <w:pPr>
              <w:pStyle w:val="Tabletext"/>
              <w:jc w:val="center"/>
              <w:rPr>
                <w:highlight w:val="darkGray"/>
              </w:rPr>
            </w:pPr>
            <w:r w:rsidRPr="00833009">
              <w:rPr>
                <w:color w:val="000000"/>
                <w:spacing w:val="204"/>
                <w:szCs w:val="20"/>
                <w:shd w:val="solid" w:color="000000" w:fill="000000"/>
                <w:fitText w:val="290" w:id="-1304166387"/>
                <w14:textFill>
                  <w14:solidFill>
                    <w14:srgbClr w14:val="000000">
                      <w14:alpha w14:val="100000"/>
                    </w14:srgbClr>
                  </w14:solidFill>
                </w14:textFill>
              </w:rPr>
              <w:t>|</w:t>
            </w:r>
            <w:r w:rsidRPr="00833009">
              <w:rPr>
                <w:color w:val="000000"/>
                <w:spacing w:val="1"/>
                <w:szCs w:val="20"/>
                <w:shd w:val="solid" w:color="000000" w:fill="000000"/>
                <w:fitText w:val="290" w:id="-1304166387"/>
                <w14:textFill>
                  <w14:solidFill>
                    <w14:srgbClr w14:val="000000">
                      <w14:alpha w14:val="100000"/>
                    </w14:srgbClr>
                  </w14:solidFill>
                </w14:textFill>
              </w:rPr>
              <w:t>|</w:t>
            </w:r>
            <w:r w:rsidR="00B765C2">
              <w:rPr>
                <w:rFonts w:cs="Calibri"/>
                <w:color w:val="000000"/>
                <w:szCs w:val="20"/>
                <w:vertAlign w:val="superscript"/>
              </w:rPr>
              <w:t>5</w:t>
            </w:r>
          </w:p>
        </w:tc>
      </w:tr>
      <w:tr w:rsidR="00027D7F" w:rsidRPr="004654C2" w14:paraId="133F9EC2" w14:textId="77777777" w:rsidTr="00B765C2">
        <w:tc>
          <w:tcPr>
            <w:tcW w:w="2985" w:type="dxa"/>
            <w:shd w:val="clear" w:color="auto" w:fill="auto"/>
            <w:vAlign w:val="center"/>
          </w:tcPr>
          <w:p w14:paraId="28389A72" w14:textId="40E8E02F" w:rsidR="00027D7F" w:rsidRPr="004654C2" w:rsidRDefault="00027D7F" w:rsidP="00027D7F">
            <w:pPr>
              <w:pStyle w:val="Tabletext"/>
              <w:keepNext/>
              <w:keepLines/>
            </w:pPr>
            <w:r w:rsidRPr="004654C2">
              <w:rPr>
                <w:rFonts w:eastAsia="Calibri"/>
              </w:rPr>
              <w:t>Net cost to PBS/RPBS</w:t>
            </w:r>
            <w:r w:rsidR="001F194F">
              <w:rPr>
                <w:rFonts w:eastAsia="Calibri"/>
              </w:rPr>
              <w:t xml:space="preserve"> </w:t>
            </w:r>
            <w:r w:rsidR="001F194F">
              <w:t xml:space="preserve"> ($)</w:t>
            </w:r>
          </w:p>
        </w:tc>
        <w:tc>
          <w:tcPr>
            <w:tcW w:w="1134" w:type="dxa"/>
            <w:shd w:val="clear" w:color="auto" w:fill="auto"/>
          </w:tcPr>
          <w:p w14:paraId="1E89C5AF" w14:textId="013D3710" w:rsidR="00027D7F" w:rsidRPr="001F194F" w:rsidRDefault="00833009" w:rsidP="00027D7F">
            <w:pPr>
              <w:pStyle w:val="Tabletext"/>
              <w:jc w:val="center"/>
              <w:rPr>
                <w:highlight w:val="darkGray"/>
              </w:rPr>
            </w:pPr>
            <w:r w:rsidRPr="00833009">
              <w:rPr>
                <w:color w:val="000000"/>
                <w:spacing w:val="49"/>
                <w:szCs w:val="20"/>
                <w:shd w:val="solid" w:color="000000" w:fill="000000"/>
                <w:fitText w:val="226" w:id="-1304166386"/>
                <w14:textFill>
                  <w14:solidFill>
                    <w14:srgbClr w14:val="000000">
                      <w14:alpha w14:val="100000"/>
                    </w14:srgbClr>
                  </w14:solidFill>
                </w14:textFill>
              </w:rPr>
              <w:t>||</w:t>
            </w:r>
            <w:r w:rsidRPr="00833009">
              <w:rPr>
                <w:color w:val="000000"/>
                <w:spacing w:val="1"/>
                <w:szCs w:val="20"/>
                <w:shd w:val="solid" w:color="000000" w:fill="000000"/>
                <w:fitText w:val="226" w:id="-1304166386"/>
                <w14:textFill>
                  <w14:solidFill>
                    <w14:srgbClr w14:val="000000">
                      <w14:alpha w14:val="100000"/>
                    </w14:srgbClr>
                  </w14:solidFill>
                </w14:textFill>
              </w:rPr>
              <w:t>|</w:t>
            </w:r>
            <w:r w:rsidR="00B765C2">
              <w:rPr>
                <w:rFonts w:cs="Calibri"/>
                <w:color w:val="000000"/>
                <w:szCs w:val="20"/>
                <w:vertAlign w:val="superscript"/>
              </w:rPr>
              <w:t>4</w:t>
            </w:r>
          </w:p>
        </w:tc>
        <w:tc>
          <w:tcPr>
            <w:tcW w:w="992" w:type="dxa"/>
            <w:shd w:val="clear" w:color="auto" w:fill="auto"/>
          </w:tcPr>
          <w:p w14:paraId="26717BE1" w14:textId="6A6CC449" w:rsidR="00027D7F" w:rsidRPr="001F194F" w:rsidRDefault="00833009" w:rsidP="00027D7F">
            <w:pPr>
              <w:pStyle w:val="Tabletext"/>
              <w:jc w:val="center"/>
              <w:rPr>
                <w:highlight w:val="darkGray"/>
              </w:rPr>
            </w:pPr>
            <w:r w:rsidRPr="00833009">
              <w:rPr>
                <w:color w:val="000000"/>
                <w:spacing w:val="204"/>
                <w:szCs w:val="20"/>
                <w:shd w:val="solid" w:color="000000" w:fill="000000"/>
                <w:fitText w:val="290" w:id="-1304166385"/>
                <w14:textFill>
                  <w14:solidFill>
                    <w14:srgbClr w14:val="000000">
                      <w14:alpha w14:val="100000"/>
                    </w14:srgbClr>
                  </w14:solidFill>
                </w14:textFill>
              </w:rPr>
              <w:t>|</w:t>
            </w:r>
            <w:r w:rsidRPr="00833009">
              <w:rPr>
                <w:color w:val="000000"/>
                <w:spacing w:val="1"/>
                <w:szCs w:val="20"/>
                <w:shd w:val="solid" w:color="000000" w:fill="000000"/>
                <w:fitText w:val="290" w:id="-1304166385"/>
                <w14:textFill>
                  <w14:solidFill>
                    <w14:srgbClr w14:val="000000">
                      <w14:alpha w14:val="100000"/>
                    </w14:srgbClr>
                  </w14:solidFill>
                </w14:textFill>
              </w:rPr>
              <w:t>|</w:t>
            </w:r>
            <w:r w:rsidR="00B765C2">
              <w:rPr>
                <w:rFonts w:cs="Calibri"/>
                <w:color w:val="000000"/>
                <w:szCs w:val="20"/>
                <w:vertAlign w:val="superscript"/>
              </w:rPr>
              <w:t>3</w:t>
            </w:r>
          </w:p>
        </w:tc>
        <w:tc>
          <w:tcPr>
            <w:tcW w:w="992" w:type="dxa"/>
            <w:shd w:val="clear" w:color="auto" w:fill="auto"/>
          </w:tcPr>
          <w:p w14:paraId="6AAA2E25" w14:textId="22EAA2B5" w:rsidR="00027D7F" w:rsidRPr="001F194F" w:rsidRDefault="00833009" w:rsidP="00027D7F">
            <w:pPr>
              <w:pStyle w:val="Tabletext"/>
              <w:jc w:val="center"/>
              <w:rPr>
                <w:highlight w:val="darkGray"/>
              </w:rPr>
            </w:pPr>
            <w:r w:rsidRPr="00833009">
              <w:rPr>
                <w:color w:val="000000"/>
                <w:spacing w:val="204"/>
                <w:szCs w:val="20"/>
                <w:shd w:val="solid" w:color="000000" w:fill="000000"/>
                <w:fitText w:val="290" w:id="-1304166384"/>
                <w14:textFill>
                  <w14:solidFill>
                    <w14:srgbClr w14:val="000000">
                      <w14:alpha w14:val="100000"/>
                    </w14:srgbClr>
                  </w14:solidFill>
                </w14:textFill>
              </w:rPr>
              <w:t>|</w:t>
            </w:r>
            <w:r w:rsidRPr="00833009">
              <w:rPr>
                <w:color w:val="000000"/>
                <w:spacing w:val="1"/>
                <w:szCs w:val="20"/>
                <w:shd w:val="solid" w:color="000000" w:fill="000000"/>
                <w:fitText w:val="290" w:id="-1304166384"/>
                <w14:textFill>
                  <w14:solidFill>
                    <w14:srgbClr w14:val="000000">
                      <w14:alpha w14:val="100000"/>
                    </w14:srgbClr>
                  </w14:solidFill>
                </w14:textFill>
              </w:rPr>
              <w:t>|</w:t>
            </w:r>
            <w:r w:rsidR="00B765C2">
              <w:rPr>
                <w:rFonts w:cs="Calibri"/>
                <w:color w:val="000000"/>
                <w:szCs w:val="20"/>
                <w:vertAlign w:val="superscript"/>
              </w:rPr>
              <w:t>3</w:t>
            </w:r>
          </w:p>
        </w:tc>
        <w:tc>
          <w:tcPr>
            <w:tcW w:w="992" w:type="dxa"/>
            <w:shd w:val="clear" w:color="auto" w:fill="auto"/>
          </w:tcPr>
          <w:p w14:paraId="1DB91F41" w14:textId="1FEE6869" w:rsidR="00027D7F" w:rsidRPr="001F194F" w:rsidRDefault="00833009" w:rsidP="00027D7F">
            <w:pPr>
              <w:pStyle w:val="Tabletext"/>
              <w:jc w:val="center"/>
              <w:rPr>
                <w:highlight w:val="darkGray"/>
              </w:rPr>
            </w:pPr>
            <w:r w:rsidRPr="00833009">
              <w:rPr>
                <w:color w:val="000000"/>
                <w:spacing w:val="204"/>
                <w:szCs w:val="20"/>
                <w:shd w:val="solid" w:color="000000" w:fill="000000"/>
                <w:fitText w:val="290" w:id="-1304166400"/>
                <w14:textFill>
                  <w14:solidFill>
                    <w14:srgbClr w14:val="000000">
                      <w14:alpha w14:val="100000"/>
                    </w14:srgbClr>
                  </w14:solidFill>
                </w14:textFill>
              </w:rPr>
              <w:t>|</w:t>
            </w:r>
            <w:r w:rsidRPr="00833009">
              <w:rPr>
                <w:color w:val="000000"/>
                <w:spacing w:val="1"/>
                <w:szCs w:val="20"/>
                <w:shd w:val="solid" w:color="000000" w:fill="000000"/>
                <w:fitText w:val="290" w:id="-1304166400"/>
                <w14:textFill>
                  <w14:solidFill>
                    <w14:srgbClr w14:val="000000">
                      <w14:alpha w14:val="100000"/>
                    </w14:srgbClr>
                  </w14:solidFill>
                </w14:textFill>
              </w:rPr>
              <w:t>|</w:t>
            </w:r>
            <w:r w:rsidR="00B765C2">
              <w:rPr>
                <w:rFonts w:cs="Calibri"/>
                <w:color w:val="000000"/>
                <w:szCs w:val="20"/>
                <w:vertAlign w:val="superscript"/>
              </w:rPr>
              <w:t>3</w:t>
            </w:r>
          </w:p>
        </w:tc>
        <w:tc>
          <w:tcPr>
            <w:tcW w:w="992" w:type="dxa"/>
            <w:shd w:val="clear" w:color="auto" w:fill="auto"/>
          </w:tcPr>
          <w:p w14:paraId="61F0C3F9" w14:textId="5786C194" w:rsidR="00027D7F" w:rsidRPr="001F194F" w:rsidRDefault="00833009" w:rsidP="00027D7F">
            <w:pPr>
              <w:pStyle w:val="Tabletext"/>
              <w:jc w:val="center"/>
              <w:rPr>
                <w:highlight w:val="darkGray"/>
              </w:rPr>
            </w:pPr>
            <w:r w:rsidRPr="00833009">
              <w:rPr>
                <w:color w:val="000000"/>
                <w:spacing w:val="204"/>
                <w:szCs w:val="20"/>
                <w:shd w:val="solid" w:color="000000" w:fill="000000"/>
                <w:fitText w:val="290" w:id="-1304166399"/>
                <w14:textFill>
                  <w14:solidFill>
                    <w14:srgbClr w14:val="000000">
                      <w14:alpha w14:val="100000"/>
                    </w14:srgbClr>
                  </w14:solidFill>
                </w14:textFill>
              </w:rPr>
              <w:t>|</w:t>
            </w:r>
            <w:r w:rsidRPr="00833009">
              <w:rPr>
                <w:color w:val="000000"/>
                <w:spacing w:val="1"/>
                <w:szCs w:val="20"/>
                <w:shd w:val="solid" w:color="000000" w:fill="000000"/>
                <w:fitText w:val="290" w:id="-1304166399"/>
                <w14:textFill>
                  <w14:solidFill>
                    <w14:srgbClr w14:val="000000">
                      <w14:alpha w14:val="100000"/>
                    </w14:srgbClr>
                  </w14:solidFill>
                </w14:textFill>
              </w:rPr>
              <w:t>|</w:t>
            </w:r>
            <w:r w:rsidR="00B765C2">
              <w:rPr>
                <w:rFonts w:cs="Calibri"/>
                <w:color w:val="000000"/>
                <w:szCs w:val="20"/>
                <w:vertAlign w:val="superscript"/>
              </w:rPr>
              <w:t>3</w:t>
            </w:r>
          </w:p>
        </w:tc>
        <w:tc>
          <w:tcPr>
            <w:tcW w:w="993" w:type="dxa"/>
            <w:shd w:val="clear" w:color="auto" w:fill="auto"/>
          </w:tcPr>
          <w:p w14:paraId="6C9B0C9C" w14:textId="42942BEB" w:rsidR="00027D7F" w:rsidRPr="001F194F" w:rsidRDefault="00833009" w:rsidP="00027D7F">
            <w:pPr>
              <w:pStyle w:val="Tabletext"/>
              <w:jc w:val="center"/>
              <w:rPr>
                <w:highlight w:val="darkGray"/>
              </w:rPr>
            </w:pPr>
            <w:r w:rsidRPr="00833009">
              <w:rPr>
                <w:color w:val="000000"/>
                <w:spacing w:val="204"/>
                <w:szCs w:val="20"/>
                <w:shd w:val="solid" w:color="000000" w:fill="000000"/>
                <w:fitText w:val="290" w:id="-1304166398"/>
                <w14:textFill>
                  <w14:solidFill>
                    <w14:srgbClr w14:val="000000">
                      <w14:alpha w14:val="100000"/>
                    </w14:srgbClr>
                  </w14:solidFill>
                </w14:textFill>
              </w:rPr>
              <w:t>|</w:t>
            </w:r>
            <w:r w:rsidRPr="00833009">
              <w:rPr>
                <w:color w:val="000000"/>
                <w:spacing w:val="1"/>
                <w:szCs w:val="20"/>
                <w:shd w:val="solid" w:color="000000" w:fill="000000"/>
                <w:fitText w:val="290" w:id="-1304166398"/>
                <w14:textFill>
                  <w14:solidFill>
                    <w14:srgbClr w14:val="000000">
                      <w14:alpha w14:val="100000"/>
                    </w14:srgbClr>
                  </w14:solidFill>
                </w14:textFill>
              </w:rPr>
              <w:t>|</w:t>
            </w:r>
            <w:r w:rsidR="00B765C2">
              <w:rPr>
                <w:rFonts w:cs="Calibri"/>
                <w:color w:val="000000"/>
                <w:szCs w:val="20"/>
                <w:vertAlign w:val="superscript"/>
              </w:rPr>
              <w:t>3</w:t>
            </w:r>
          </w:p>
        </w:tc>
      </w:tr>
      <w:tr w:rsidR="002C4087" w:rsidRPr="004654C2" w14:paraId="2FE0307C" w14:textId="77777777" w:rsidTr="00B765C2">
        <w:tc>
          <w:tcPr>
            <w:tcW w:w="2985" w:type="dxa"/>
            <w:tcBorders>
              <w:right w:val="nil"/>
            </w:tcBorders>
            <w:shd w:val="clear" w:color="auto" w:fill="auto"/>
            <w:vAlign w:val="center"/>
          </w:tcPr>
          <w:p w14:paraId="25E91B1B" w14:textId="2CAAA0FC" w:rsidR="002C4087" w:rsidRPr="004654C2" w:rsidRDefault="002C4087" w:rsidP="00B515E3">
            <w:pPr>
              <w:pStyle w:val="Tabletext"/>
              <w:keepNext/>
              <w:keepLines/>
              <w:rPr>
                <w:rFonts w:eastAsia="Calibri"/>
                <w:b/>
                <w:bCs/>
              </w:rPr>
            </w:pPr>
            <w:r w:rsidRPr="004654C2">
              <w:rPr>
                <w:rFonts w:eastAsia="Calibri"/>
                <w:b/>
                <w:bCs/>
              </w:rPr>
              <w:t>P</w:t>
            </w:r>
            <w:r>
              <w:rPr>
                <w:rFonts w:eastAsia="Calibri"/>
                <w:b/>
                <w:bCs/>
              </w:rPr>
              <w:t>re-PBAC</w:t>
            </w:r>
            <w:r w:rsidRPr="004654C2">
              <w:rPr>
                <w:rFonts w:eastAsia="Calibri"/>
                <w:b/>
                <w:bCs/>
              </w:rPr>
              <w:t xml:space="preserve"> revised estimates</w:t>
            </w:r>
          </w:p>
        </w:tc>
        <w:tc>
          <w:tcPr>
            <w:tcW w:w="1134" w:type="dxa"/>
            <w:tcBorders>
              <w:left w:val="nil"/>
              <w:right w:val="nil"/>
            </w:tcBorders>
            <w:shd w:val="clear" w:color="auto" w:fill="auto"/>
            <w:vAlign w:val="center"/>
          </w:tcPr>
          <w:p w14:paraId="7AC19F37" w14:textId="77777777" w:rsidR="002C4087" w:rsidRPr="004654C2" w:rsidRDefault="002C4087" w:rsidP="00B515E3">
            <w:pPr>
              <w:pStyle w:val="Tabletext"/>
              <w:jc w:val="center"/>
              <w:rPr>
                <w:rFonts w:eastAsia="MS Gothic"/>
                <w:b/>
                <w:bCs/>
                <w:szCs w:val="20"/>
              </w:rPr>
            </w:pPr>
          </w:p>
        </w:tc>
        <w:tc>
          <w:tcPr>
            <w:tcW w:w="992" w:type="dxa"/>
            <w:tcBorders>
              <w:left w:val="nil"/>
              <w:right w:val="nil"/>
            </w:tcBorders>
            <w:shd w:val="clear" w:color="auto" w:fill="auto"/>
            <w:vAlign w:val="center"/>
          </w:tcPr>
          <w:p w14:paraId="7105FAF6" w14:textId="77777777" w:rsidR="002C4087" w:rsidRPr="004654C2" w:rsidRDefault="002C4087" w:rsidP="00B515E3">
            <w:pPr>
              <w:pStyle w:val="Tabletext"/>
              <w:jc w:val="center"/>
              <w:rPr>
                <w:rFonts w:eastAsia="MS Gothic"/>
                <w:b/>
                <w:bCs/>
                <w:szCs w:val="20"/>
              </w:rPr>
            </w:pPr>
          </w:p>
        </w:tc>
        <w:tc>
          <w:tcPr>
            <w:tcW w:w="992" w:type="dxa"/>
            <w:tcBorders>
              <w:left w:val="nil"/>
              <w:right w:val="nil"/>
            </w:tcBorders>
            <w:shd w:val="clear" w:color="auto" w:fill="auto"/>
            <w:vAlign w:val="center"/>
          </w:tcPr>
          <w:p w14:paraId="0D79A47C" w14:textId="77777777" w:rsidR="002C4087" w:rsidRPr="004654C2" w:rsidRDefault="002C4087" w:rsidP="00B515E3">
            <w:pPr>
              <w:pStyle w:val="Tabletext"/>
              <w:jc w:val="center"/>
              <w:rPr>
                <w:rFonts w:eastAsia="MS Gothic"/>
                <w:b/>
                <w:bCs/>
                <w:szCs w:val="20"/>
              </w:rPr>
            </w:pPr>
          </w:p>
        </w:tc>
        <w:tc>
          <w:tcPr>
            <w:tcW w:w="992" w:type="dxa"/>
            <w:tcBorders>
              <w:left w:val="nil"/>
              <w:right w:val="nil"/>
            </w:tcBorders>
            <w:shd w:val="clear" w:color="auto" w:fill="auto"/>
            <w:vAlign w:val="center"/>
          </w:tcPr>
          <w:p w14:paraId="0EA7D8EE" w14:textId="77777777" w:rsidR="002C4087" w:rsidRPr="004654C2" w:rsidRDefault="002C4087" w:rsidP="00B515E3">
            <w:pPr>
              <w:pStyle w:val="Tabletext"/>
              <w:jc w:val="center"/>
              <w:rPr>
                <w:rFonts w:eastAsia="MS Gothic"/>
                <w:b/>
                <w:bCs/>
                <w:szCs w:val="20"/>
              </w:rPr>
            </w:pPr>
          </w:p>
        </w:tc>
        <w:tc>
          <w:tcPr>
            <w:tcW w:w="992" w:type="dxa"/>
            <w:tcBorders>
              <w:left w:val="nil"/>
              <w:right w:val="nil"/>
            </w:tcBorders>
            <w:shd w:val="clear" w:color="auto" w:fill="auto"/>
            <w:vAlign w:val="center"/>
          </w:tcPr>
          <w:p w14:paraId="5839D88F" w14:textId="77777777" w:rsidR="002C4087" w:rsidRPr="004654C2" w:rsidRDefault="002C4087" w:rsidP="00B515E3">
            <w:pPr>
              <w:pStyle w:val="Tabletext"/>
              <w:jc w:val="center"/>
              <w:rPr>
                <w:rFonts w:eastAsia="MS Gothic"/>
                <w:b/>
                <w:bCs/>
                <w:szCs w:val="20"/>
              </w:rPr>
            </w:pPr>
          </w:p>
        </w:tc>
        <w:tc>
          <w:tcPr>
            <w:tcW w:w="993" w:type="dxa"/>
            <w:tcBorders>
              <w:left w:val="nil"/>
            </w:tcBorders>
            <w:shd w:val="clear" w:color="auto" w:fill="auto"/>
            <w:vAlign w:val="center"/>
          </w:tcPr>
          <w:p w14:paraId="3E35C555" w14:textId="77777777" w:rsidR="002C4087" w:rsidRPr="004654C2" w:rsidRDefault="002C4087" w:rsidP="00B515E3">
            <w:pPr>
              <w:pStyle w:val="Tabletext"/>
              <w:jc w:val="center"/>
              <w:rPr>
                <w:rFonts w:eastAsia="MS Gothic"/>
                <w:b/>
                <w:bCs/>
                <w:szCs w:val="20"/>
              </w:rPr>
            </w:pPr>
          </w:p>
        </w:tc>
      </w:tr>
      <w:tr w:rsidR="002C4087" w:rsidRPr="004654C2" w14:paraId="67E5DF5C" w14:textId="77777777" w:rsidTr="00B765C2">
        <w:tc>
          <w:tcPr>
            <w:tcW w:w="2985" w:type="dxa"/>
            <w:shd w:val="clear" w:color="auto" w:fill="auto"/>
            <w:vAlign w:val="center"/>
          </w:tcPr>
          <w:p w14:paraId="4958DB3F" w14:textId="67AACB80" w:rsidR="002C4087" w:rsidRPr="004654C2" w:rsidRDefault="002C4087" w:rsidP="002C4087">
            <w:pPr>
              <w:pStyle w:val="Tabletext"/>
              <w:keepNext/>
              <w:keepLines/>
              <w:rPr>
                <w:rFonts w:eastAsia="Calibri"/>
              </w:rPr>
            </w:pPr>
            <w:r w:rsidRPr="004654C2">
              <w:rPr>
                <w:rFonts w:eastAsia="Calibri"/>
              </w:rPr>
              <w:t>Cost of dostarlimab (effective)</w:t>
            </w:r>
            <w:r w:rsidR="001F194F">
              <w:rPr>
                <w:rFonts w:eastAsia="Calibri"/>
              </w:rPr>
              <w:t xml:space="preserve"> </w:t>
            </w:r>
            <w:r w:rsidR="001F194F">
              <w:t>($)</w:t>
            </w:r>
          </w:p>
        </w:tc>
        <w:tc>
          <w:tcPr>
            <w:tcW w:w="1134" w:type="dxa"/>
            <w:shd w:val="clear" w:color="auto" w:fill="auto"/>
            <w:vAlign w:val="center"/>
          </w:tcPr>
          <w:p w14:paraId="70DFD3E1" w14:textId="396DD0A1" w:rsidR="002C4087" w:rsidRPr="001F194F" w:rsidRDefault="00833009" w:rsidP="002C4087">
            <w:pPr>
              <w:pStyle w:val="Tabletext"/>
              <w:jc w:val="center"/>
              <w:rPr>
                <w:szCs w:val="20"/>
                <w:highlight w:val="darkGray"/>
              </w:rPr>
            </w:pPr>
            <w:r w:rsidRPr="00833009">
              <w:rPr>
                <w:color w:val="000000"/>
                <w:spacing w:val="49"/>
                <w:szCs w:val="20"/>
                <w:shd w:val="solid" w:color="000000" w:fill="000000"/>
                <w:fitText w:val="226" w:id="-1304166397"/>
                <w14:textFill>
                  <w14:solidFill>
                    <w14:srgbClr w14:val="000000">
                      <w14:alpha w14:val="100000"/>
                    </w14:srgbClr>
                  </w14:solidFill>
                </w14:textFill>
              </w:rPr>
              <w:t>||</w:t>
            </w:r>
            <w:r w:rsidRPr="00833009">
              <w:rPr>
                <w:color w:val="000000"/>
                <w:spacing w:val="1"/>
                <w:szCs w:val="20"/>
                <w:shd w:val="solid" w:color="000000" w:fill="000000"/>
                <w:fitText w:val="226" w:id="-1304166397"/>
                <w14:textFill>
                  <w14:solidFill>
                    <w14:srgbClr w14:val="000000">
                      <w14:alpha w14:val="100000"/>
                    </w14:srgbClr>
                  </w14:solidFill>
                </w14:textFill>
              </w:rPr>
              <w:t>|</w:t>
            </w:r>
            <w:r w:rsidR="00B765C2">
              <w:rPr>
                <w:rFonts w:cs="Calibri"/>
                <w:color w:val="000000"/>
                <w:szCs w:val="20"/>
                <w:vertAlign w:val="superscript"/>
              </w:rPr>
              <w:t>4</w:t>
            </w:r>
          </w:p>
        </w:tc>
        <w:tc>
          <w:tcPr>
            <w:tcW w:w="992" w:type="dxa"/>
            <w:shd w:val="clear" w:color="auto" w:fill="auto"/>
            <w:vAlign w:val="center"/>
          </w:tcPr>
          <w:p w14:paraId="55D05054" w14:textId="07FB1B42" w:rsidR="002C4087" w:rsidRPr="001F194F" w:rsidRDefault="00833009" w:rsidP="002C4087">
            <w:pPr>
              <w:pStyle w:val="Tabletext"/>
              <w:jc w:val="center"/>
              <w:rPr>
                <w:szCs w:val="20"/>
                <w:highlight w:val="darkGray"/>
              </w:rPr>
            </w:pPr>
            <w:r w:rsidRPr="00833009">
              <w:rPr>
                <w:color w:val="000000"/>
                <w:spacing w:val="204"/>
                <w:szCs w:val="20"/>
                <w:shd w:val="solid" w:color="000000" w:fill="000000"/>
                <w:fitText w:val="290" w:id="-1304166396"/>
                <w14:textFill>
                  <w14:solidFill>
                    <w14:srgbClr w14:val="000000">
                      <w14:alpha w14:val="100000"/>
                    </w14:srgbClr>
                  </w14:solidFill>
                </w14:textFill>
              </w:rPr>
              <w:t>|</w:t>
            </w:r>
            <w:r w:rsidRPr="00833009">
              <w:rPr>
                <w:color w:val="000000"/>
                <w:spacing w:val="1"/>
                <w:szCs w:val="20"/>
                <w:shd w:val="solid" w:color="000000" w:fill="000000"/>
                <w:fitText w:val="290" w:id="-1304166396"/>
                <w14:textFill>
                  <w14:solidFill>
                    <w14:srgbClr w14:val="000000">
                      <w14:alpha w14:val="100000"/>
                    </w14:srgbClr>
                  </w14:solidFill>
                </w14:textFill>
              </w:rPr>
              <w:t>|</w:t>
            </w:r>
            <w:r w:rsidR="00B765C2">
              <w:rPr>
                <w:rFonts w:cs="Calibri"/>
                <w:color w:val="000000"/>
                <w:szCs w:val="20"/>
                <w:vertAlign w:val="superscript"/>
              </w:rPr>
              <w:t>3</w:t>
            </w:r>
          </w:p>
        </w:tc>
        <w:tc>
          <w:tcPr>
            <w:tcW w:w="992" w:type="dxa"/>
            <w:shd w:val="clear" w:color="auto" w:fill="auto"/>
            <w:vAlign w:val="center"/>
          </w:tcPr>
          <w:p w14:paraId="33A68E71" w14:textId="4B0552DB" w:rsidR="002C4087" w:rsidRPr="001F194F" w:rsidRDefault="00833009" w:rsidP="002C4087">
            <w:pPr>
              <w:pStyle w:val="Tabletext"/>
              <w:jc w:val="center"/>
              <w:rPr>
                <w:szCs w:val="20"/>
                <w:highlight w:val="darkGray"/>
              </w:rPr>
            </w:pPr>
            <w:r w:rsidRPr="00833009">
              <w:rPr>
                <w:color w:val="000000"/>
                <w:spacing w:val="204"/>
                <w:szCs w:val="20"/>
                <w:shd w:val="solid" w:color="000000" w:fill="000000"/>
                <w:fitText w:val="290" w:id="-1304166395"/>
                <w14:textFill>
                  <w14:solidFill>
                    <w14:srgbClr w14:val="000000">
                      <w14:alpha w14:val="100000"/>
                    </w14:srgbClr>
                  </w14:solidFill>
                </w14:textFill>
              </w:rPr>
              <w:t>|</w:t>
            </w:r>
            <w:r w:rsidRPr="00833009">
              <w:rPr>
                <w:color w:val="000000"/>
                <w:spacing w:val="1"/>
                <w:szCs w:val="20"/>
                <w:shd w:val="solid" w:color="000000" w:fill="000000"/>
                <w:fitText w:val="290" w:id="-1304166395"/>
                <w14:textFill>
                  <w14:solidFill>
                    <w14:srgbClr w14:val="000000">
                      <w14:alpha w14:val="100000"/>
                    </w14:srgbClr>
                  </w14:solidFill>
                </w14:textFill>
              </w:rPr>
              <w:t>|</w:t>
            </w:r>
            <w:r w:rsidR="00B765C2">
              <w:rPr>
                <w:rFonts w:cs="Calibri"/>
                <w:color w:val="000000"/>
                <w:szCs w:val="20"/>
                <w:vertAlign w:val="superscript"/>
              </w:rPr>
              <w:t>3</w:t>
            </w:r>
          </w:p>
        </w:tc>
        <w:tc>
          <w:tcPr>
            <w:tcW w:w="992" w:type="dxa"/>
            <w:shd w:val="clear" w:color="auto" w:fill="auto"/>
            <w:vAlign w:val="center"/>
          </w:tcPr>
          <w:p w14:paraId="17B35C6C" w14:textId="4B13FD61" w:rsidR="002C4087" w:rsidRPr="001F194F" w:rsidRDefault="00833009" w:rsidP="002C4087">
            <w:pPr>
              <w:pStyle w:val="Tabletext"/>
              <w:jc w:val="center"/>
              <w:rPr>
                <w:szCs w:val="20"/>
                <w:highlight w:val="darkGray"/>
              </w:rPr>
            </w:pPr>
            <w:r w:rsidRPr="00833009">
              <w:rPr>
                <w:color w:val="000000"/>
                <w:spacing w:val="204"/>
                <w:szCs w:val="20"/>
                <w:shd w:val="solid" w:color="000000" w:fill="000000"/>
                <w:fitText w:val="290" w:id="-1304166394"/>
                <w14:textFill>
                  <w14:solidFill>
                    <w14:srgbClr w14:val="000000">
                      <w14:alpha w14:val="100000"/>
                    </w14:srgbClr>
                  </w14:solidFill>
                </w14:textFill>
              </w:rPr>
              <w:t>|</w:t>
            </w:r>
            <w:r w:rsidRPr="00833009">
              <w:rPr>
                <w:color w:val="000000"/>
                <w:spacing w:val="1"/>
                <w:szCs w:val="20"/>
                <w:shd w:val="solid" w:color="000000" w:fill="000000"/>
                <w:fitText w:val="290" w:id="-1304166394"/>
                <w14:textFill>
                  <w14:solidFill>
                    <w14:srgbClr w14:val="000000">
                      <w14:alpha w14:val="100000"/>
                    </w14:srgbClr>
                  </w14:solidFill>
                </w14:textFill>
              </w:rPr>
              <w:t>|</w:t>
            </w:r>
            <w:r w:rsidR="00B765C2">
              <w:rPr>
                <w:rFonts w:cs="Calibri"/>
                <w:color w:val="000000"/>
                <w:szCs w:val="20"/>
                <w:vertAlign w:val="superscript"/>
              </w:rPr>
              <w:t>3</w:t>
            </w:r>
          </w:p>
        </w:tc>
        <w:tc>
          <w:tcPr>
            <w:tcW w:w="992" w:type="dxa"/>
            <w:shd w:val="clear" w:color="auto" w:fill="auto"/>
            <w:vAlign w:val="center"/>
          </w:tcPr>
          <w:p w14:paraId="56ED46C4" w14:textId="5FF7381F" w:rsidR="002C4087" w:rsidRPr="001F194F" w:rsidRDefault="00833009" w:rsidP="002C4087">
            <w:pPr>
              <w:pStyle w:val="Tabletext"/>
              <w:jc w:val="center"/>
              <w:rPr>
                <w:szCs w:val="20"/>
                <w:highlight w:val="darkGray"/>
              </w:rPr>
            </w:pPr>
            <w:r w:rsidRPr="00833009">
              <w:rPr>
                <w:color w:val="000000"/>
                <w:spacing w:val="204"/>
                <w:szCs w:val="20"/>
                <w:shd w:val="solid" w:color="000000" w:fill="000000"/>
                <w:fitText w:val="290" w:id="-1304166393"/>
                <w14:textFill>
                  <w14:solidFill>
                    <w14:srgbClr w14:val="000000">
                      <w14:alpha w14:val="100000"/>
                    </w14:srgbClr>
                  </w14:solidFill>
                </w14:textFill>
              </w:rPr>
              <w:t>|</w:t>
            </w:r>
            <w:r w:rsidRPr="00833009">
              <w:rPr>
                <w:color w:val="000000"/>
                <w:spacing w:val="1"/>
                <w:szCs w:val="20"/>
                <w:shd w:val="solid" w:color="000000" w:fill="000000"/>
                <w:fitText w:val="290" w:id="-1304166393"/>
                <w14:textFill>
                  <w14:solidFill>
                    <w14:srgbClr w14:val="000000">
                      <w14:alpha w14:val="100000"/>
                    </w14:srgbClr>
                  </w14:solidFill>
                </w14:textFill>
              </w:rPr>
              <w:t>|</w:t>
            </w:r>
            <w:r w:rsidR="00B765C2">
              <w:rPr>
                <w:rFonts w:cs="Calibri"/>
                <w:color w:val="000000"/>
                <w:szCs w:val="20"/>
                <w:vertAlign w:val="superscript"/>
              </w:rPr>
              <w:t>3</w:t>
            </w:r>
          </w:p>
        </w:tc>
        <w:tc>
          <w:tcPr>
            <w:tcW w:w="993" w:type="dxa"/>
            <w:shd w:val="clear" w:color="auto" w:fill="auto"/>
            <w:vAlign w:val="center"/>
          </w:tcPr>
          <w:p w14:paraId="67C0BB7F" w14:textId="07B16C97" w:rsidR="002C4087" w:rsidRPr="001F194F" w:rsidRDefault="00833009" w:rsidP="002C4087">
            <w:pPr>
              <w:pStyle w:val="Tabletext"/>
              <w:jc w:val="center"/>
              <w:rPr>
                <w:szCs w:val="20"/>
                <w:highlight w:val="darkGray"/>
              </w:rPr>
            </w:pPr>
            <w:r w:rsidRPr="00833009">
              <w:rPr>
                <w:color w:val="000000"/>
                <w:spacing w:val="204"/>
                <w:szCs w:val="20"/>
                <w:shd w:val="solid" w:color="000000" w:fill="000000"/>
                <w:fitText w:val="290" w:id="-1304166392"/>
                <w14:textFill>
                  <w14:solidFill>
                    <w14:srgbClr w14:val="000000">
                      <w14:alpha w14:val="100000"/>
                    </w14:srgbClr>
                  </w14:solidFill>
                </w14:textFill>
              </w:rPr>
              <w:t>|</w:t>
            </w:r>
            <w:r w:rsidRPr="00833009">
              <w:rPr>
                <w:color w:val="000000"/>
                <w:spacing w:val="1"/>
                <w:szCs w:val="20"/>
                <w:shd w:val="solid" w:color="000000" w:fill="000000"/>
                <w:fitText w:val="290" w:id="-1304166392"/>
                <w14:textFill>
                  <w14:solidFill>
                    <w14:srgbClr w14:val="000000">
                      <w14:alpha w14:val="100000"/>
                    </w14:srgbClr>
                  </w14:solidFill>
                </w14:textFill>
              </w:rPr>
              <w:t>|</w:t>
            </w:r>
            <w:r w:rsidR="00B765C2">
              <w:rPr>
                <w:rFonts w:cs="Calibri"/>
                <w:color w:val="000000"/>
                <w:szCs w:val="20"/>
                <w:vertAlign w:val="superscript"/>
              </w:rPr>
              <w:t>3</w:t>
            </w:r>
          </w:p>
        </w:tc>
      </w:tr>
      <w:tr w:rsidR="002C4087" w:rsidRPr="004654C2" w14:paraId="2BCD573E" w14:textId="77777777" w:rsidTr="00B765C2">
        <w:tc>
          <w:tcPr>
            <w:tcW w:w="2985" w:type="dxa"/>
            <w:shd w:val="clear" w:color="auto" w:fill="auto"/>
            <w:vAlign w:val="center"/>
          </w:tcPr>
          <w:p w14:paraId="3BC4A296" w14:textId="2A85F387" w:rsidR="002C4087" w:rsidRPr="004654C2" w:rsidRDefault="002C4087" w:rsidP="002C4087">
            <w:pPr>
              <w:pStyle w:val="Tabletext"/>
              <w:keepNext/>
              <w:keepLines/>
              <w:rPr>
                <w:rFonts w:eastAsia="Calibri"/>
              </w:rPr>
            </w:pPr>
            <w:r w:rsidRPr="004654C2">
              <w:rPr>
                <w:rFonts w:eastAsia="Calibri"/>
              </w:rPr>
              <w:t>Net cost to PBS/RPBS</w:t>
            </w:r>
            <w:r w:rsidR="001F194F">
              <w:rPr>
                <w:rFonts w:eastAsia="Calibri"/>
              </w:rPr>
              <w:t xml:space="preserve"> </w:t>
            </w:r>
            <w:r w:rsidR="001F194F">
              <w:t xml:space="preserve"> ($)</w:t>
            </w:r>
          </w:p>
        </w:tc>
        <w:tc>
          <w:tcPr>
            <w:tcW w:w="1134" w:type="dxa"/>
            <w:shd w:val="clear" w:color="auto" w:fill="auto"/>
            <w:vAlign w:val="center"/>
          </w:tcPr>
          <w:p w14:paraId="019E275E" w14:textId="08B16877" w:rsidR="002C4087" w:rsidRPr="001F194F" w:rsidRDefault="00833009" w:rsidP="002C4087">
            <w:pPr>
              <w:pStyle w:val="Tabletext"/>
              <w:jc w:val="center"/>
              <w:rPr>
                <w:szCs w:val="20"/>
                <w:highlight w:val="darkGray"/>
              </w:rPr>
            </w:pPr>
            <w:r w:rsidRPr="00833009">
              <w:rPr>
                <w:color w:val="000000"/>
                <w:spacing w:val="49"/>
                <w:szCs w:val="20"/>
                <w:shd w:val="solid" w:color="000000" w:fill="000000"/>
                <w:fitText w:val="226" w:id="-1304166391"/>
                <w14:textFill>
                  <w14:solidFill>
                    <w14:srgbClr w14:val="000000">
                      <w14:alpha w14:val="100000"/>
                    </w14:srgbClr>
                  </w14:solidFill>
                </w14:textFill>
              </w:rPr>
              <w:t>||</w:t>
            </w:r>
            <w:r w:rsidRPr="00833009">
              <w:rPr>
                <w:color w:val="000000"/>
                <w:spacing w:val="1"/>
                <w:szCs w:val="20"/>
                <w:shd w:val="solid" w:color="000000" w:fill="000000"/>
                <w:fitText w:val="226" w:id="-1304166391"/>
                <w14:textFill>
                  <w14:solidFill>
                    <w14:srgbClr w14:val="000000">
                      <w14:alpha w14:val="100000"/>
                    </w14:srgbClr>
                  </w14:solidFill>
                </w14:textFill>
              </w:rPr>
              <w:t>|</w:t>
            </w:r>
            <w:r w:rsidR="00B765C2">
              <w:rPr>
                <w:rFonts w:cs="Calibri"/>
                <w:color w:val="000000"/>
                <w:szCs w:val="20"/>
                <w:vertAlign w:val="superscript"/>
              </w:rPr>
              <w:t>4</w:t>
            </w:r>
          </w:p>
        </w:tc>
        <w:tc>
          <w:tcPr>
            <w:tcW w:w="992" w:type="dxa"/>
            <w:shd w:val="clear" w:color="auto" w:fill="auto"/>
            <w:vAlign w:val="center"/>
          </w:tcPr>
          <w:p w14:paraId="2B58F094" w14:textId="4ADE9892" w:rsidR="002C4087" w:rsidRPr="001F194F" w:rsidRDefault="00833009" w:rsidP="002C4087">
            <w:pPr>
              <w:pStyle w:val="Tabletext"/>
              <w:jc w:val="center"/>
              <w:rPr>
                <w:szCs w:val="20"/>
                <w:highlight w:val="darkGray"/>
              </w:rPr>
            </w:pPr>
            <w:r w:rsidRPr="00833009">
              <w:rPr>
                <w:color w:val="000000"/>
                <w:spacing w:val="204"/>
                <w:szCs w:val="20"/>
                <w:shd w:val="solid" w:color="000000" w:fill="000000"/>
                <w:fitText w:val="290" w:id="-1304166390"/>
                <w14:textFill>
                  <w14:solidFill>
                    <w14:srgbClr w14:val="000000">
                      <w14:alpha w14:val="100000"/>
                    </w14:srgbClr>
                  </w14:solidFill>
                </w14:textFill>
              </w:rPr>
              <w:t>|</w:t>
            </w:r>
            <w:r w:rsidRPr="00833009">
              <w:rPr>
                <w:color w:val="000000"/>
                <w:spacing w:val="1"/>
                <w:szCs w:val="20"/>
                <w:shd w:val="solid" w:color="000000" w:fill="000000"/>
                <w:fitText w:val="290" w:id="-1304166390"/>
                <w14:textFill>
                  <w14:solidFill>
                    <w14:srgbClr w14:val="000000">
                      <w14:alpha w14:val="100000"/>
                    </w14:srgbClr>
                  </w14:solidFill>
                </w14:textFill>
              </w:rPr>
              <w:t>|</w:t>
            </w:r>
            <w:r w:rsidR="00B765C2">
              <w:rPr>
                <w:rFonts w:cs="Calibri"/>
                <w:color w:val="000000"/>
                <w:szCs w:val="20"/>
                <w:vertAlign w:val="superscript"/>
              </w:rPr>
              <w:t>3</w:t>
            </w:r>
          </w:p>
        </w:tc>
        <w:tc>
          <w:tcPr>
            <w:tcW w:w="992" w:type="dxa"/>
            <w:shd w:val="clear" w:color="auto" w:fill="auto"/>
            <w:vAlign w:val="center"/>
          </w:tcPr>
          <w:p w14:paraId="0E1236C9" w14:textId="6D442265" w:rsidR="002C4087" w:rsidRPr="001F194F" w:rsidRDefault="00833009" w:rsidP="002C4087">
            <w:pPr>
              <w:pStyle w:val="Tabletext"/>
              <w:jc w:val="center"/>
              <w:rPr>
                <w:szCs w:val="20"/>
                <w:highlight w:val="darkGray"/>
              </w:rPr>
            </w:pPr>
            <w:r w:rsidRPr="00833009">
              <w:rPr>
                <w:color w:val="000000"/>
                <w:spacing w:val="204"/>
                <w:szCs w:val="20"/>
                <w:shd w:val="solid" w:color="000000" w:fill="000000"/>
                <w:fitText w:val="290" w:id="-1304166389"/>
                <w14:textFill>
                  <w14:solidFill>
                    <w14:srgbClr w14:val="000000">
                      <w14:alpha w14:val="100000"/>
                    </w14:srgbClr>
                  </w14:solidFill>
                </w14:textFill>
              </w:rPr>
              <w:t>|</w:t>
            </w:r>
            <w:r w:rsidRPr="00833009">
              <w:rPr>
                <w:color w:val="000000"/>
                <w:spacing w:val="1"/>
                <w:szCs w:val="20"/>
                <w:shd w:val="solid" w:color="000000" w:fill="000000"/>
                <w:fitText w:val="290" w:id="-1304166389"/>
                <w14:textFill>
                  <w14:solidFill>
                    <w14:srgbClr w14:val="000000">
                      <w14:alpha w14:val="100000"/>
                    </w14:srgbClr>
                  </w14:solidFill>
                </w14:textFill>
              </w:rPr>
              <w:t>|</w:t>
            </w:r>
            <w:r w:rsidR="00B765C2">
              <w:rPr>
                <w:rFonts w:cs="Calibri"/>
                <w:color w:val="000000"/>
                <w:szCs w:val="20"/>
                <w:vertAlign w:val="superscript"/>
              </w:rPr>
              <w:t>3</w:t>
            </w:r>
          </w:p>
        </w:tc>
        <w:tc>
          <w:tcPr>
            <w:tcW w:w="992" w:type="dxa"/>
            <w:shd w:val="clear" w:color="auto" w:fill="auto"/>
            <w:vAlign w:val="center"/>
          </w:tcPr>
          <w:p w14:paraId="6BCC73E7" w14:textId="5E035E2A" w:rsidR="002C4087" w:rsidRPr="001F194F" w:rsidRDefault="00833009" w:rsidP="002C4087">
            <w:pPr>
              <w:pStyle w:val="Tabletext"/>
              <w:jc w:val="center"/>
              <w:rPr>
                <w:szCs w:val="20"/>
                <w:highlight w:val="darkGray"/>
              </w:rPr>
            </w:pPr>
            <w:r w:rsidRPr="00833009">
              <w:rPr>
                <w:color w:val="000000"/>
                <w:spacing w:val="204"/>
                <w:szCs w:val="20"/>
                <w:shd w:val="solid" w:color="000000" w:fill="000000"/>
                <w:fitText w:val="290" w:id="-1304166388"/>
                <w14:textFill>
                  <w14:solidFill>
                    <w14:srgbClr w14:val="000000">
                      <w14:alpha w14:val="100000"/>
                    </w14:srgbClr>
                  </w14:solidFill>
                </w14:textFill>
              </w:rPr>
              <w:t>|</w:t>
            </w:r>
            <w:r w:rsidRPr="00833009">
              <w:rPr>
                <w:color w:val="000000"/>
                <w:spacing w:val="1"/>
                <w:szCs w:val="20"/>
                <w:shd w:val="solid" w:color="000000" w:fill="000000"/>
                <w:fitText w:val="290" w:id="-1304166388"/>
                <w14:textFill>
                  <w14:solidFill>
                    <w14:srgbClr w14:val="000000">
                      <w14:alpha w14:val="100000"/>
                    </w14:srgbClr>
                  </w14:solidFill>
                </w14:textFill>
              </w:rPr>
              <w:t>|</w:t>
            </w:r>
            <w:r w:rsidR="00B765C2">
              <w:rPr>
                <w:rFonts w:cs="Calibri"/>
                <w:color w:val="000000"/>
                <w:szCs w:val="20"/>
                <w:vertAlign w:val="superscript"/>
              </w:rPr>
              <w:t>3</w:t>
            </w:r>
          </w:p>
        </w:tc>
        <w:tc>
          <w:tcPr>
            <w:tcW w:w="992" w:type="dxa"/>
            <w:shd w:val="clear" w:color="auto" w:fill="auto"/>
            <w:vAlign w:val="center"/>
          </w:tcPr>
          <w:p w14:paraId="1D8753ED" w14:textId="7CAF021A" w:rsidR="002C4087" w:rsidRPr="001F194F" w:rsidRDefault="00833009" w:rsidP="002C4087">
            <w:pPr>
              <w:pStyle w:val="Tabletext"/>
              <w:jc w:val="center"/>
              <w:rPr>
                <w:szCs w:val="20"/>
                <w:highlight w:val="darkGray"/>
              </w:rPr>
            </w:pPr>
            <w:r w:rsidRPr="00833009">
              <w:rPr>
                <w:color w:val="000000"/>
                <w:spacing w:val="204"/>
                <w:szCs w:val="20"/>
                <w:shd w:val="solid" w:color="000000" w:fill="000000"/>
                <w:fitText w:val="290" w:id="-1304166387"/>
                <w14:textFill>
                  <w14:solidFill>
                    <w14:srgbClr w14:val="000000">
                      <w14:alpha w14:val="100000"/>
                    </w14:srgbClr>
                  </w14:solidFill>
                </w14:textFill>
              </w:rPr>
              <w:t>|</w:t>
            </w:r>
            <w:r w:rsidRPr="00833009">
              <w:rPr>
                <w:color w:val="000000"/>
                <w:spacing w:val="1"/>
                <w:szCs w:val="20"/>
                <w:shd w:val="solid" w:color="000000" w:fill="000000"/>
                <w:fitText w:val="290" w:id="-1304166387"/>
                <w14:textFill>
                  <w14:solidFill>
                    <w14:srgbClr w14:val="000000">
                      <w14:alpha w14:val="100000"/>
                    </w14:srgbClr>
                  </w14:solidFill>
                </w14:textFill>
              </w:rPr>
              <w:t>|</w:t>
            </w:r>
            <w:r w:rsidR="00B765C2">
              <w:rPr>
                <w:rFonts w:cs="Calibri"/>
                <w:color w:val="000000"/>
                <w:szCs w:val="20"/>
                <w:vertAlign w:val="superscript"/>
              </w:rPr>
              <w:t>3</w:t>
            </w:r>
          </w:p>
        </w:tc>
        <w:tc>
          <w:tcPr>
            <w:tcW w:w="993" w:type="dxa"/>
            <w:shd w:val="clear" w:color="auto" w:fill="auto"/>
            <w:vAlign w:val="center"/>
          </w:tcPr>
          <w:p w14:paraId="6BAB75A6" w14:textId="48BC6A1C" w:rsidR="002C4087" w:rsidRPr="001F194F" w:rsidRDefault="00833009" w:rsidP="002C4087">
            <w:pPr>
              <w:pStyle w:val="Tabletext"/>
              <w:jc w:val="center"/>
              <w:rPr>
                <w:szCs w:val="20"/>
                <w:highlight w:val="darkGray"/>
              </w:rPr>
            </w:pPr>
            <w:r w:rsidRPr="00833009">
              <w:rPr>
                <w:color w:val="000000"/>
                <w:spacing w:val="204"/>
                <w:szCs w:val="20"/>
                <w:shd w:val="solid" w:color="000000" w:fill="000000"/>
                <w:fitText w:val="290" w:id="-1304166386"/>
                <w14:textFill>
                  <w14:solidFill>
                    <w14:srgbClr w14:val="000000">
                      <w14:alpha w14:val="100000"/>
                    </w14:srgbClr>
                  </w14:solidFill>
                </w14:textFill>
              </w:rPr>
              <w:t>|</w:t>
            </w:r>
            <w:r w:rsidRPr="00833009">
              <w:rPr>
                <w:color w:val="000000"/>
                <w:szCs w:val="20"/>
                <w:shd w:val="solid" w:color="000000" w:fill="000000"/>
                <w:fitText w:val="290" w:id="-1304166386"/>
                <w14:textFill>
                  <w14:solidFill>
                    <w14:srgbClr w14:val="000000">
                      <w14:alpha w14:val="100000"/>
                    </w14:srgbClr>
                  </w14:solidFill>
                </w14:textFill>
              </w:rPr>
              <w:t>|</w:t>
            </w:r>
            <w:r w:rsidR="00B765C2">
              <w:rPr>
                <w:rFonts w:cs="Calibri"/>
                <w:color w:val="000000"/>
                <w:szCs w:val="20"/>
                <w:vertAlign w:val="superscript"/>
              </w:rPr>
              <w:t>3</w:t>
            </w:r>
          </w:p>
        </w:tc>
      </w:tr>
    </w:tbl>
    <w:p w14:paraId="3678FA90" w14:textId="717AF9BB" w:rsidR="0092254A" w:rsidRPr="00576299" w:rsidRDefault="0092254A" w:rsidP="0092254A">
      <w:pPr>
        <w:pStyle w:val="TableFooter"/>
      </w:pPr>
      <w:r w:rsidRPr="00576299">
        <w:t xml:space="preserve">Source: Tables 137, 138,139,140, 141, 142, 143, 144, 145, 146, 147, 148, 149, 150, 151, 152, 153, 154, 155, 156, 157, 158, pp 269-282 of the resubmission, Table 15, 5.07 dostarlimab PBAC </w:t>
      </w:r>
      <w:r w:rsidR="00875085">
        <w:t>PSD</w:t>
      </w:r>
      <w:r w:rsidRPr="00576299">
        <w:t>, March 2022</w:t>
      </w:r>
      <w:r w:rsidR="00027D7F" w:rsidRPr="00576299">
        <w:t xml:space="preserve">, </w:t>
      </w:r>
      <w:r w:rsidR="00027D7F" w:rsidRPr="002C4087">
        <w:t>Table 4 PSCR</w:t>
      </w:r>
    </w:p>
    <w:p w14:paraId="5A312FD1" w14:textId="55B1ADCF" w:rsidR="0092254A" w:rsidRPr="00576299" w:rsidRDefault="0092254A" w:rsidP="0092254A">
      <w:pPr>
        <w:pStyle w:val="TableFooter"/>
      </w:pPr>
      <w:r w:rsidRPr="00576299">
        <w:t>dMMR = mismatch repair deficient; DPMA = dispensed price maximum amount; eff = effective; MBS = Medicare Benefits Scheme; GF = grandfathered; PBS = Pharmaceutical Benefits Scheme; PSCR = pre</w:t>
      </w:r>
      <w:r w:rsidR="00875085">
        <w:t>-</w:t>
      </w:r>
      <w:r w:rsidRPr="00576299">
        <w:t>sub</w:t>
      </w:r>
      <w:r w:rsidR="00875085">
        <w:t>-</w:t>
      </w:r>
      <w:r w:rsidRPr="00576299">
        <w:t>committee response; pub = published; RPBS = Repatriation Pharmaceutical Benefits Scheme.</w:t>
      </w:r>
    </w:p>
    <w:p w14:paraId="3AFF8A55" w14:textId="53CB4831" w:rsidR="0092254A" w:rsidRPr="00833009" w:rsidRDefault="0092254A" w:rsidP="0092254A">
      <w:pPr>
        <w:pStyle w:val="TableFooter"/>
      </w:pPr>
      <w:r w:rsidRPr="00576299">
        <w:t xml:space="preserve">a </w:t>
      </w:r>
      <w:r w:rsidR="006C0DC8" w:rsidRPr="00576299">
        <w:t xml:space="preserve">Estimated using </w:t>
      </w:r>
      <w:r w:rsidRPr="00576299">
        <w:t xml:space="preserve">the modelled mean duration of treatment for dostarlimab of 53.48 weeks, applied across initiating and continuing patient estimates to derive the initial and continuing patient years of treatment. For incident patients, 12 weeks were applicable to initiating patients (representing the maximum 12 </w:t>
      </w:r>
      <w:r w:rsidRPr="00833009">
        <w:t>weeks of treatment permitted under initiation restriction; first 4 cycles) and 41.48 weeks applicable to continuing patients (all cycles thereafter).</w:t>
      </w:r>
    </w:p>
    <w:p w14:paraId="786AA828" w14:textId="08B0439A" w:rsidR="0092254A" w:rsidRPr="00833009" w:rsidRDefault="0092254A" w:rsidP="0092254A">
      <w:pPr>
        <w:pStyle w:val="TableFooter"/>
      </w:pPr>
      <w:r w:rsidRPr="00833009">
        <w:t>b Initiating scripts (excluding GF) = patient years of treatment × 52/3 (=17.33) scripts per year</w:t>
      </w:r>
    </w:p>
    <w:p w14:paraId="2EC1F919" w14:textId="3A61C5CD" w:rsidR="0092254A" w:rsidRPr="00833009" w:rsidRDefault="0092254A" w:rsidP="0092254A">
      <w:pPr>
        <w:pStyle w:val="TableFooter"/>
      </w:pPr>
      <w:r w:rsidRPr="00833009">
        <w:t>c Continuing scripts (excluding GF) = patient years of treatment × 52/6 (=8.67) scripts per year</w:t>
      </w:r>
    </w:p>
    <w:p w14:paraId="627E0394" w14:textId="6EE2275B" w:rsidR="0092254A" w:rsidRPr="00833009" w:rsidRDefault="0092254A" w:rsidP="0092254A">
      <w:pPr>
        <w:pStyle w:val="TableFooter"/>
      </w:pPr>
      <w:r w:rsidRPr="00833009">
        <w:t xml:space="preserve">d </w:t>
      </w:r>
      <w:r w:rsidR="006C0DC8" w:rsidRPr="00833009">
        <w:t>E</w:t>
      </w:r>
      <w:r w:rsidRPr="00833009">
        <w:t>stimated scripts per patient year of treatment for the initiation and continuation phase was 8.67</w:t>
      </w:r>
      <w:r w:rsidR="006C0DC8" w:rsidRPr="00833009">
        <w:t xml:space="preserve"> (</w:t>
      </w:r>
      <w:r w:rsidRPr="00833009">
        <w:t>one script every six weeks</w:t>
      </w:r>
      <w:r w:rsidR="006C0DC8" w:rsidRPr="00833009">
        <w:t>)</w:t>
      </w:r>
      <w:r w:rsidRPr="00833009">
        <w:t xml:space="preserve">. </w:t>
      </w:r>
      <w:r w:rsidR="009D67EA" w:rsidRPr="00833009">
        <w:t>The resubmission assumed that GF patients had completed their first 4 cycles of treatment before commencing PBS-listed dostarlimab.</w:t>
      </w:r>
    </w:p>
    <w:p w14:paraId="175C3A42" w14:textId="24C64EE7" w:rsidR="0092254A" w:rsidRPr="00833009" w:rsidRDefault="0092254A" w:rsidP="0092254A">
      <w:pPr>
        <w:pStyle w:val="TableFooter"/>
      </w:pPr>
      <w:r w:rsidRPr="00833009">
        <w:t xml:space="preserve">e </w:t>
      </w:r>
      <w:r w:rsidR="002E1E60" w:rsidRPr="00833009">
        <w:t>A</w:t>
      </w:r>
      <w:r w:rsidRPr="00833009">
        <w:t xml:space="preserve">ssumed </w:t>
      </w:r>
      <w:r w:rsidR="00865B4A" w:rsidRPr="00865B4A">
        <w:rPr>
          <w:color w:val="000000"/>
          <w:w w:val="37"/>
          <w:shd w:val="solid" w:color="000000" w:fill="000000"/>
          <w:fitText w:val="60" w:id="-1295850240"/>
          <w14:textFill>
            <w14:solidFill>
              <w14:srgbClr w14:val="000000">
                <w14:alpha w14:val="100000"/>
              </w14:srgbClr>
            </w14:solidFill>
          </w14:textFill>
        </w:rPr>
        <w:t>|  |</w:t>
      </w:r>
      <w:r w:rsidRPr="00833009">
        <w:t>% of patients who receive dostarlimab would have received chemotherapy instead, resulting in the final proportions of patients that would substitute their respective chemotherapy agents: doxorubicin 25%, paclitaxel 36% and carboplatin 47%. (Based on the modelled mean duration of treatment for chemotherapy of ~12.75 weeks</w:t>
      </w:r>
      <w:r w:rsidR="002E1E60" w:rsidRPr="00833009">
        <w:t xml:space="preserve"> and </w:t>
      </w:r>
      <w:r w:rsidRPr="00833009">
        <w:t>UK RWE data)</w:t>
      </w:r>
    </w:p>
    <w:p w14:paraId="4833A242" w14:textId="77777777" w:rsidR="0092254A" w:rsidRPr="00833009" w:rsidRDefault="0092254A" w:rsidP="0092254A">
      <w:pPr>
        <w:pStyle w:val="TableFooter"/>
      </w:pPr>
      <w:r w:rsidRPr="00833009">
        <w:t>f Calculated as the difference between the number of patients treated with dostarlimab × 10.91 services (~53.48 weeks) for incident patients or 6.69 services (40.11 weeks) for GF patients, and the number of patients treated with chemotherapy × 4.25 services (12.75 weeks).</w:t>
      </w:r>
    </w:p>
    <w:p w14:paraId="7FE4A539" w14:textId="2A6C8400" w:rsidR="0092254A" w:rsidRPr="00833009" w:rsidRDefault="0092254A" w:rsidP="0092254A">
      <w:pPr>
        <w:pStyle w:val="TableFooter"/>
      </w:pPr>
      <w:r w:rsidRPr="00833009">
        <w:t>g Assumes 80% rebate for MBS item 13950, fee amount updated during evaluation (100% = $114.20).</w:t>
      </w:r>
    </w:p>
    <w:p w14:paraId="69B45D59" w14:textId="4739CF38" w:rsidR="00A847B2" w:rsidRPr="00833009" w:rsidRDefault="00A847B2" w:rsidP="001F194F">
      <w:pPr>
        <w:pStyle w:val="TableFooter"/>
        <w:rPr>
          <w:rStyle w:val="CommentReference"/>
          <w:b w:val="0"/>
          <w:sz w:val="18"/>
          <w:szCs w:val="24"/>
        </w:rPr>
      </w:pPr>
      <w:r w:rsidRPr="00833009">
        <w:rPr>
          <w:rStyle w:val="CommentReference"/>
          <w:b w:val="0"/>
          <w:sz w:val="18"/>
          <w:szCs w:val="24"/>
        </w:rPr>
        <w:t>Blue shaded text indicates values previously considered by PBAC.</w:t>
      </w:r>
    </w:p>
    <w:p w14:paraId="24A8E493" w14:textId="77777777" w:rsidR="001F194F" w:rsidRPr="00833009" w:rsidRDefault="001F194F" w:rsidP="001F194F">
      <w:pPr>
        <w:rPr>
          <w:rFonts w:ascii="Arial Narrow" w:hAnsi="Arial Narrow"/>
          <w:i/>
          <w:sz w:val="18"/>
          <w:szCs w:val="18"/>
        </w:rPr>
      </w:pPr>
      <w:r w:rsidRPr="00833009">
        <w:rPr>
          <w:rFonts w:ascii="Arial Narrow" w:hAnsi="Arial Narrow"/>
          <w:i/>
          <w:sz w:val="18"/>
          <w:szCs w:val="18"/>
        </w:rPr>
        <w:t xml:space="preserve">The redacted values correspond to the following ranges: </w:t>
      </w:r>
    </w:p>
    <w:p w14:paraId="7E55A966" w14:textId="53770112" w:rsidR="001F194F" w:rsidRPr="00833009" w:rsidRDefault="001F194F" w:rsidP="001F194F">
      <w:pPr>
        <w:rPr>
          <w:rFonts w:ascii="Arial Narrow" w:hAnsi="Arial Narrow"/>
          <w:i/>
          <w:sz w:val="18"/>
          <w:szCs w:val="18"/>
        </w:rPr>
      </w:pPr>
      <w:r w:rsidRPr="00833009">
        <w:rPr>
          <w:rFonts w:ascii="Arial Narrow" w:hAnsi="Arial Narrow"/>
          <w:i/>
          <w:sz w:val="18"/>
          <w:szCs w:val="18"/>
          <w:vertAlign w:val="superscript"/>
        </w:rPr>
        <w:t>1</w:t>
      </w:r>
      <w:r w:rsidRPr="00833009">
        <w:rPr>
          <w:rFonts w:ascii="Arial Narrow" w:hAnsi="Arial Narrow"/>
          <w:i/>
          <w:sz w:val="18"/>
          <w:szCs w:val="18"/>
        </w:rPr>
        <w:t xml:space="preserve"> &lt; 500</w:t>
      </w:r>
    </w:p>
    <w:p w14:paraId="3750B1A1" w14:textId="5B10D76B" w:rsidR="001F194F" w:rsidRPr="009A6D58" w:rsidRDefault="001F194F" w:rsidP="001F194F">
      <w:pPr>
        <w:rPr>
          <w:rFonts w:ascii="Arial Narrow" w:hAnsi="Arial Narrow"/>
          <w:i/>
          <w:sz w:val="18"/>
          <w:szCs w:val="18"/>
        </w:rPr>
      </w:pPr>
      <w:r w:rsidRPr="00833009">
        <w:rPr>
          <w:rFonts w:ascii="Arial Narrow" w:hAnsi="Arial Narrow"/>
          <w:i/>
          <w:sz w:val="18"/>
          <w:szCs w:val="18"/>
          <w:vertAlign w:val="superscript"/>
        </w:rPr>
        <w:t>2</w:t>
      </w:r>
      <w:r w:rsidRPr="00833009">
        <w:rPr>
          <w:rFonts w:ascii="Arial Narrow" w:hAnsi="Arial Narrow"/>
          <w:i/>
          <w:sz w:val="18"/>
          <w:szCs w:val="18"/>
        </w:rPr>
        <w:t xml:space="preserve"> 500 to &lt; 5,000</w:t>
      </w:r>
    </w:p>
    <w:p w14:paraId="2DBB45D5" w14:textId="34AC1A4D" w:rsidR="001F194F" w:rsidRDefault="001F194F" w:rsidP="001F194F">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B765C2" w:rsidRPr="00B765C2">
        <w:rPr>
          <w:rFonts w:ascii="Arial Narrow" w:hAnsi="Arial Narrow"/>
          <w:i/>
          <w:sz w:val="18"/>
          <w:szCs w:val="18"/>
        </w:rPr>
        <w:t>$0 to &lt; $10 million</w:t>
      </w:r>
    </w:p>
    <w:p w14:paraId="25D6CF4D" w14:textId="4F5B6D5D" w:rsidR="00BE1F1C" w:rsidRDefault="001F194F" w:rsidP="001F194F">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B765C2" w:rsidRPr="00B765C2">
        <w:rPr>
          <w:rFonts w:ascii="Arial Narrow" w:hAnsi="Arial Narrow"/>
          <w:i/>
          <w:sz w:val="18"/>
          <w:szCs w:val="18"/>
        </w:rPr>
        <w:t>$10 million to &lt; $20 million</w:t>
      </w:r>
    </w:p>
    <w:p w14:paraId="4DD10B45" w14:textId="017F5943" w:rsidR="00BE1F1C" w:rsidRPr="001F194F" w:rsidRDefault="001F194F" w:rsidP="00BE1F1C">
      <w:pPr>
        <w:spacing w:after="120"/>
        <w:rPr>
          <w:rStyle w:val="CommentReference"/>
          <w:b w:val="0"/>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00B765C2" w:rsidRPr="00B765C2">
        <w:rPr>
          <w:rFonts w:ascii="Arial Narrow" w:hAnsi="Arial Narrow"/>
          <w:i/>
          <w:sz w:val="18"/>
          <w:szCs w:val="18"/>
        </w:rPr>
        <w:t>net cost saving</w:t>
      </w:r>
    </w:p>
    <w:p w14:paraId="27E16EDA" w14:textId="2B4B7E2B" w:rsidR="0092254A" w:rsidRPr="00576299" w:rsidRDefault="0092254A" w:rsidP="00BE1F1C">
      <w:pPr>
        <w:pStyle w:val="3-BodyText"/>
      </w:pPr>
      <w:r w:rsidRPr="00576299">
        <w:t>The number of patients estimated to receive dostarlimab in the resubmission was higher than in the previous submission (</w:t>
      </w:r>
      <w:r w:rsidR="004C28FD" w:rsidRPr="00576299">
        <w:t>p</w:t>
      </w:r>
      <w:r w:rsidRPr="00576299">
        <w:t xml:space="preserve">revious submission: </w:t>
      </w:r>
      <w:r w:rsidR="00B765C2" w:rsidRPr="00B765C2">
        <w:t>&lt; 500</w:t>
      </w:r>
      <w:r w:rsidRPr="00576299">
        <w:t xml:space="preserve"> to </w:t>
      </w:r>
      <w:r w:rsidR="00B765C2" w:rsidRPr="00B765C2">
        <w:t>&lt; 500</w:t>
      </w:r>
      <w:r w:rsidRPr="00576299">
        <w:t xml:space="preserve"> patients in years 1-6)</w:t>
      </w:r>
      <w:r w:rsidR="00A46FA2" w:rsidRPr="00576299">
        <w:t>.</w:t>
      </w:r>
      <w:r w:rsidRPr="00576299">
        <w:t xml:space="preserve"> In addition to the grandfathered patients, this difference was due to the updated inputs which were predominantly in line with DUSC and PBAC recommendations for the previous submission.</w:t>
      </w:r>
      <w:r w:rsidR="00A56E46" w:rsidRPr="00576299">
        <w:t xml:space="preserve"> </w:t>
      </w:r>
      <w:r w:rsidRPr="00576299">
        <w:t xml:space="preserve">While the number of patients estimated to receive dostarlimab increased substantially compared to the previous submission, the estimated cost to the PBS/RPBS </w:t>
      </w:r>
      <w:r w:rsidR="00591810" w:rsidRPr="00576299">
        <w:t xml:space="preserve">did </w:t>
      </w:r>
      <w:r w:rsidRPr="00576299">
        <w:t xml:space="preserve">not increase proportionally, predominantly due to the decrease in effective price proposed for dostarlimab. </w:t>
      </w:r>
    </w:p>
    <w:p w14:paraId="760223FF" w14:textId="0B6B6C06" w:rsidR="00A46FA2" w:rsidRPr="00576299" w:rsidRDefault="00A46FA2" w:rsidP="00A46FA2">
      <w:pPr>
        <w:pStyle w:val="3-BodyText"/>
      </w:pPr>
      <w:r w:rsidRPr="00576299">
        <w:t>The commentary considered that, overall, the number of eligible patients and therefore the financial estimates in the resubmission may be underestimated as:</w:t>
      </w:r>
    </w:p>
    <w:p w14:paraId="4B2BE931" w14:textId="77777777" w:rsidR="00A46FA2" w:rsidRPr="00576299" w:rsidRDefault="00A46FA2" w:rsidP="00A46FA2">
      <w:pPr>
        <w:pStyle w:val="Bulletpoints"/>
        <w:widowControl w:val="0"/>
        <w:ind w:left="993" w:hanging="284"/>
        <w:contextualSpacing w:val="0"/>
      </w:pPr>
      <w:r w:rsidRPr="00576299">
        <w:t>prevalent patients were not included in the financial estimates (though there were some grandfathered patients considered), which would have increased the number of treated patients in years 1 and 2 of the financial estimates (5.07.DUSC ADV.2, March 2022); and</w:t>
      </w:r>
    </w:p>
    <w:p w14:paraId="6E9DEADE" w14:textId="77777777" w:rsidR="00A46FA2" w:rsidRPr="00576299" w:rsidRDefault="00A46FA2" w:rsidP="00A46FA2">
      <w:pPr>
        <w:pStyle w:val="Bulletpoints"/>
        <w:widowControl w:val="0"/>
        <w:ind w:left="993" w:hanging="284"/>
        <w:contextualSpacing w:val="0"/>
      </w:pPr>
      <w:r w:rsidRPr="00576299">
        <w:t>The proportion of patients receiving 1L PBC after listing of dostarlimab remains likely underestimated, despite an increase from 72% to 81% for stage III/IV patients. This was because the availability of dostarlimab would likely increase the usage of 1L PBC given that prior PBC use is part of the clinical criteria in the proposed listing to determine eligibility for dostarlimab.</w:t>
      </w:r>
    </w:p>
    <w:p w14:paraId="0E6663CF" w14:textId="07A2C32C" w:rsidR="0092254A" w:rsidRPr="00576299" w:rsidRDefault="00A46FA2" w:rsidP="00B765C2">
      <w:pPr>
        <w:pStyle w:val="3-BodyText"/>
      </w:pPr>
      <w:r w:rsidRPr="004654C2">
        <w:t xml:space="preserve">The PSCR presented amended financial estimates revising the proportion of stage I-II patients receiving 1L PBC from 72% to 81% (in line with Stage III-IV patients) and including </w:t>
      </w:r>
      <w:r w:rsidR="007D374F">
        <w:t>&lt; 500</w:t>
      </w:r>
      <w:r w:rsidRPr="004654C2">
        <w:t xml:space="preserve">prevalent patients in year 1 (as shown in </w:t>
      </w:r>
      <w:r w:rsidRPr="004654C2">
        <w:fldChar w:fldCharType="begin"/>
      </w:r>
      <w:r w:rsidRPr="004654C2">
        <w:instrText xml:space="preserve"> REF _Ref111460495 \h  \* MERGEFORMAT </w:instrText>
      </w:r>
      <w:r w:rsidRPr="004654C2">
        <w:fldChar w:fldCharType="separate"/>
      </w:r>
      <w:r w:rsidR="00CD09E9" w:rsidRPr="00576299">
        <w:t xml:space="preserve">Table </w:t>
      </w:r>
      <w:r w:rsidR="00CD09E9">
        <w:t>24</w:t>
      </w:r>
      <w:r w:rsidRPr="004654C2">
        <w:fldChar w:fldCharType="end"/>
      </w:r>
      <w:r w:rsidRPr="004654C2">
        <w:t xml:space="preserve">). The ESC considered that these changes appeared appropriate and were in line with DUSC comments on the March 2022 dostarlimab submission. </w:t>
      </w:r>
      <w:r w:rsidR="0092254A" w:rsidRPr="004654C2">
        <w:t xml:space="preserve">The </w:t>
      </w:r>
      <w:r w:rsidRPr="004654C2">
        <w:t xml:space="preserve">revised </w:t>
      </w:r>
      <w:r w:rsidR="0092254A" w:rsidRPr="004654C2">
        <w:t xml:space="preserve">estimated net cost to </w:t>
      </w:r>
      <w:r w:rsidR="00027D7F" w:rsidRPr="004654C2">
        <w:t>PBS/RPBS</w:t>
      </w:r>
      <w:r w:rsidR="005350AA" w:rsidRPr="004654C2">
        <w:t xml:space="preserve"> </w:t>
      </w:r>
      <w:r w:rsidR="00A2654B" w:rsidRPr="004654C2">
        <w:t xml:space="preserve">presented in the PSCR </w:t>
      </w:r>
      <w:r w:rsidR="0092254A" w:rsidRPr="004654C2">
        <w:t xml:space="preserve">was </w:t>
      </w:r>
      <w:r w:rsidR="00B765C2" w:rsidRPr="00B765C2">
        <w:t>$10 million to &lt; $20 million</w:t>
      </w:r>
      <w:r w:rsidR="00B765C2">
        <w:t xml:space="preserve"> </w:t>
      </w:r>
      <w:r w:rsidR="0092254A" w:rsidRPr="004654C2">
        <w:t xml:space="preserve">in Year 1 and </w:t>
      </w:r>
      <w:bookmarkStart w:id="79" w:name="_Hlk113629090"/>
      <w:r w:rsidR="00B765C2" w:rsidRPr="00B765C2">
        <w:t>$0 to &lt; $10 million</w:t>
      </w:r>
      <w:bookmarkEnd w:id="79"/>
      <w:r w:rsidR="00B765C2">
        <w:t xml:space="preserve"> </w:t>
      </w:r>
      <w:r w:rsidR="0092254A" w:rsidRPr="004654C2">
        <w:t xml:space="preserve">in Year 6, with a total cost over the </w:t>
      </w:r>
      <w:r w:rsidR="00500959" w:rsidRPr="004654C2">
        <w:t>six-year</w:t>
      </w:r>
      <w:r w:rsidR="0092254A" w:rsidRPr="004654C2">
        <w:t xml:space="preserve"> period </w:t>
      </w:r>
      <w:r w:rsidR="00A2654B" w:rsidRPr="004654C2">
        <w:t>of</w:t>
      </w:r>
      <w:r w:rsidR="0092254A" w:rsidRPr="004654C2">
        <w:t xml:space="preserve"> </w:t>
      </w:r>
      <w:bookmarkStart w:id="80" w:name="_Hlk113629385"/>
      <w:r w:rsidR="00B765C2" w:rsidRPr="00B765C2">
        <w:t>$50 million to &lt; $60 million</w:t>
      </w:r>
      <w:bookmarkEnd w:id="80"/>
      <w:r w:rsidR="0092254A" w:rsidRPr="004654C2">
        <w:t xml:space="preserve">. </w:t>
      </w:r>
      <w:r w:rsidR="003B4E62">
        <w:t xml:space="preserve">With the pre-PBAC revised price </w:t>
      </w:r>
      <w:r w:rsidR="0092254A" w:rsidRPr="004654C2">
        <w:t>the</w:t>
      </w:r>
      <w:r w:rsidR="0092254A" w:rsidRPr="00576299">
        <w:t xml:space="preserve"> estimated net cost to </w:t>
      </w:r>
      <w:r w:rsidR="003B4E62">
        <w:t>PBS/RPBS</w:t>
      </w:r>
      <w:r w:rsidR="003B4E62" w:rsidRPr="00576299">
        <w:t xml:space="preserve"> </w:t>
      </w:r>
      <w:r w:rsidR="003B4E62">
        <w:t xml:space="preserve">decreased to </w:t>
      </w:r>
      <w:r w:rsidR="00B765C2" w:rsidRPr="00B765C2">
        <w:t>$10 million to &lt; $20 million</w:t>
      </w:r>
      <w:r w:rsidR="00B765C2">
        <w:t xml:space="preserve"> </w:t>
      </w:r>
      <w:r w:rsidR="0092254A" w:rsidRPr="00576299">
        <w:t xml:space="preserve">in Year 1, </w:t>
      </w:r>
      <w:r w:rsidR="003B4E62">
        <w:t>and</w:t>
      </w:r>
      <w:r w:rsidR="0092254A" w:rsidRPr="00576299">
        <w:t xml:space="preserve"> </w:t>
      </w:r>
      <w:r w:rsidR="00B765C2" w:rsidRPr="00B765C2">
        <w:t>$0 to &lt; $10 million</w:t>
      </w:r>
      <w:r w:rsidR="00B765C2">
        <w:t xml:space="preserve"> </w:t>
      </w:r>
      <w:r w:rsidR="0092254A" w:rsidRPr="00576299">
        <w:t xml:space="preserve">in Year 6, with a total cost over the </w:t>
      </w:r>
      <w:r w:rsidR="00500959" w:rsidRPr="00576299">
        <w:t>six-year</w:t>
      </w:r>
      <w:r w:rsidR="0092254A" w:rsidRPr="00576299">
        <w:t xml:space="preserve"> period estimated to be </w:t>
      </w:r>
      <w:r w:rsidR="00B765C2" w:rsidRPr="00B765C2">
        <w:t>$50 million to &lt; $60 million</w:t>
      </w:r>
      <w:r w:rsidR="0092254A" w:rsidRPr="00576299">
        <w:t xml:space="preserve">. </w:t>
      </w:r>
    </w:p>
    <w:p w14:paraId="31DF7357" w14:textId="77777777" w:rsidR="0092254A" w:rsidRPr="00576299" w:rsidRDefault="0092254A" w:rsidP="0092254A">
      <w:pPr>
        <w:pStyle w:val="4-SubsectionHeading"/>
      </w:pPr>
      <w:bookmarkStart w:id="81" w:name="_Toc22897648"/>
      <w:bookmarkStart w:id="82" w:name="_Toc114052531"/>
      <w:r w:rsidRPr="00576299">
        <w:t>Quality Use of Medicines</w:t>
      </w:r>
      <w:bookmarkEnd w:id="81"/>
      <w:bookmarkEnd w:id="82"/>
    </w:p>
    <w:p w14:paraId="6458AC3E" w14:textId="77777777" w:rsidR="0092254A" w:rsidRPr="00576299" w:rsidRDefault="0092254A" w:rsidP="0092254A">
      <w:pPr>
        <w:pStyle w:val="3-BodyText"/>
      </w:pPr>
      <w:r w:rsidRPr="00576299">
        <w:t>The resubmission stated that in addition to routine pharmacovigilance and risk minimisation activities, the sponsor intended to implement medical education activities and a Patient Card as a risk minimisation measure to promote safe and effective use of dostarlimab in clinical practice. The purpose of the Patient Card was to inform patients about signs and symptoms of the most common immune-related events with dostarlimab, and the main required actions to be taken if they experience any signs or symptoms of immune-related adverse reactions.</w:t>
      </w:r>
    </w:p>
    <w:p w14:paraId="38D4A5FC" w14:textId="77777777" w:rsidR="0092254A" w:rsidRPr="00576299" w:rsidRDefault="0092254A" w:rsidP="0092254A">
      <w:pPr>
        <w:pStyle w:val="4-SubsectionHeading"/>
      </w:pPr>
      <w:bookmarkStart w:id="83" w:name="_Toc22897649"/>
      <w:bookmarkStart w:id="84" w:name="_Toc114052532"/>
      <w:r w:rsidRPr="00576299">
        <w:t>Financial Management – Risk Sharing Arrangements</w:t>
      </w:r>
      <w:bookmarkEnd w:id="83"/>
      <w:bookmarkEnd w:id="84"/>
    </w:p>
    <w:p w14:paraId="51A6C612" w14:textId="35D0B69C" w:rsidR="004654C2" w:rsidRPr="000E1DA3" w:rsidRDefault="0092254A" w:rsidP="004654C2">
      <w:pPr>
        <w:pStyle w:val="3-BodyText"/>
      </w:pPr>
      <w:r w:rsidRPr="00576299">
        <w:t xml:space="preserve">The resubmission indicated that the sponsor is willing to consider a risk-sharing agreement according to the base case </w:t>
      </w:r>
      <w:r w:rsidR="00D03AEB" w:rsidRPr="00576299">
        <w:t xml:space="preserve">financial </w:t>
      </w:r>
      <w:r w:rsidRPr="00576299">
        <w:t>estimates.</w:t>
      </w:r>
    </w:p>
    <w:p w14:paraId="0FE46C61" w14:textId="22FA3CDD" w:rsidR="00CC3B3A" w:rsidRPr="000E1DA3" w:rsidRDefault="004654C2" w:rsidP="000E1DA3">
      <w:pPr>
        <w:rPr>
          <w:rFonts w:asciiTheme="minorHAnsi" w:hAnsiTheme="minorHAnsi"/>
          <w:i/>
        </w:rPr>
      </w:pPr>
      <w:r w:rsidRPr="00C33D30">
        <w:rPr>
          <w:rFonts w:asciiTheme="minorHAnsi" w:hAnsiTheme="minorHAnsi"/>
          <w:i/>
        </w:rPr>
        <w:t>For more detail on PBAC’s view, see section 7 PBAC outcome.</w:t>
      </w:r>
    </w:p>
    <w:p w14:paraId="18E71CA0" w14:textId="77777777" w:rsidR="00CC3B3A" w:rsidRPr="0090150D" w:rsidRDefault="00CC3B3A" w:rsidP="00F42DBE">
      <w:pPr>
        <w:pStyle w:val="2-SectionHeading"/>
        <w:numPr>
          <w:ilvl w:val="0"/>
          <w:numId w:val="1"/>
        </w:numPr>
      </w:pPr>
      <w:bookmarkStart w:id="85" w:name="_Hlk76381249"/>
      <w:bookmarkStart w:id="86" w:name="_Hlk76377955"/>
      <w:r w:rsidRPr="0090150D">
        <w:t>PBAC Outcome</w:t>
      </w:r>
    </w:p>
    <w:p w14:paraId="50CB6B1C" w14:textId="76561B05" w:rsidR="00DB661E" w:rsidRDefault="00DB661E" w:rsidP="00DB661E">
      <w:pPr>
        <w:pStyle w:val="3-BodyText"/>
        <w:rPr>
          <w:rFonts w:ascii="Calibri" w:hAnsi="Calibri"/>
          <w:snapToGrid/>
        </w:rPr>
      </w:pPr>
      <w:bookmarkStart w:id="87" w:name="_Hlk111543188"/>
      <w:r>
        <w:t xml:space="preserve">The PBAC did not recommend the listing of dostarlimab for the treatment of patients with recurrent or advanced dMMR endometrial cancer who have disease progression following prior systemic therapy. </w:t>
      </w:r>
      <w:r w:rsidRPr="00DB661E">
        <w:rPr>
          <w:rFonts w:ascii="Calibri" w:hAnsi="Calibri"/>
          <w:snapToGrid/>
        </w:rPr>
        <w:t>The PBAC noted the clinical data w</w:t>
      </w:r>
      <w:r w:rsidR="001D2123">
        <w:rPr>
          <w:rFonts w:ascii="Calibri" w:hAnsi="Calibri"/>
          <w:snapToGrid/>
        </w:rPr>
        <w:t>ere</w:t>
      </w:r>
      <w:r w:rsidRPr="00DB661E">
        <w:rPr>
          <w:rFonts w:ascii="Calibri" w:hAnsi="Calibri"/>
          <w:snapToGrid/>
        </w:rPr>
        <w:t xml:space="preserve"> unchanged </w:t>
      </w:r>
      <w:r>
        <w:rPr>
          <w:rFonts w:ascii="Calibri" w:hAnsi="Calibri"/>
          <w:snapToGrid/>
        </w:rPr>
        <w:t xml:space="preserve">from the previous submission </w:t>
      </w:r>
      <w:r w:rsidRPr="00DB661E">
        <w:rPr>
          <w:rFonts w:ascii="Calibri" w:hAnsi="Calibri"/>
          <w:snapToGrid/>
        </w:rPr>
        <w:t xml:space="preserve">and considered the </w:t>
      </w:r>
      <w:r w:rsidR="001D2123">
        <w:rPr>
          <w:rFonts w:ascii="Calibri" w:hAnsi="Calibri"/>
          <w:snapToGrid/>
        </w:rPr>
        <w:t xml:space="preserve">magnitude of the </w:t>
      </w:r>
      <w:r w:rsidRPr="00DB661E">
        <w:rPr>
          <w:rFonts w:ascii="Calibri" w:hAnsi="Calibri"/>
          <w:snapToGrid/>
        </w:rPr>
        <w:t>incremental benefit</w:t>
      </w:r>
      <w:r w:rsidR="001D2123">
        <w:rPr>
          <w:rFonts w:ascii="Calibri" w:hAnsi="Calibri"/>
          <w:snapToGrid/>
        </w:rPr>
        <w:t xml:space="preserve"> versus</w:t>
      </w:r>
      <w:r w:rsidR="001D2123" w:rsidRPr="00DB661E">
        <w:rPr>
          <w:rFonts w:ascii="Calibri" w:hAnsi="Calibri"/>
          <w:snapToGrid/>
        </w:rPr>
        <w:t xml:space="preserve"> standard</w:t>
      </w:r>
      <w:r w:rsidR="001D2123">
        <w:rPr>
          <w:rFonts w:ascii="Calibri" w:hAnsi="Calibri"/>
          <w:snapToGrid/>
        </w:rPr>
        <w:t xml:space="preserve"> of</w:t>
      </w:r>
      <w:r w:rsidR="001D2123" w:rsidRPr="00DB661E">
        <w:rPr>
          <w:rFonts w:ascii="Calibri" w:hAnsi="Calibri"/>
          <w:snapToGrid/>
        </w:rPr>
        <w:t xml:space="preserve"> care </w:t>
      </w:r>
      <w:r w:rsidR="001D2123">
        <w:rPr>
          <w:rFonts w:ascii="Calibri" w:hAnsi="Calibri"/>
          <w:snapToGrid/>
        </w:rPr>
        <w:t>(SoC)</w:t>
      </w:r>
      <w:r w:rsidRPr="00DB661E">
        <w:rPr>
          <w:rFonts w:ascii="Calibri" w:hAnsi="Calibri"/>
          <w:snapToGrid/>
        </w:rPr>
        <w:t xml:space="preserve">, which </w:t>
      </w:r>
      <w:r w:rsidR="003F52E5">
        <w:rPr>
          <w:rFonts w:ascii="Calibri" w:hAnsi="Calibri"/>
          <w:snapToGrid/>
        </w:rPr>
        <w:t>relied</w:t>
      </w:r>
      <w:r w:rsidRPr="00DB661E">
        <w:rPr>
          <w:rFonts w:ascii="Calibri" w:hAnsi="Calibri"/>
          <w:snapToGrid/>
        </w:rPr>
        <w:t xml:space="preserve"> on a relatively small single arm study with immature survival data, remained uncertain. </w:t>
      </w:r>
      <w:r w:rsidR="001D2123">
        <w:rPr>
          <w:rFonts w:ascii="Calibri" w:hAnsi="Calibri"/>
          <w:snapToGrid/>
        </w:rPr>
        <w:t>As such, t</w:t>
      </w:r>
      <w:r w:rsidRPr="00DB661E">
        <w:rPr>
          <w:rFonts w:ascii="Calibri" w:hAnsi="Calibri"/>
          <w:snapToGrid/>
        </w:rPr>
        <w:t xml:space="preserve">he PBAC considered the cost-effectiveness of dostarlimab compared with </w:t>
      </w:r>
      <w:r w:rsidR="003F52E5">
        <w:rPr>
          <w:rFonts w:ascii="Calibri" w:hAnsi="Calibri"/>
          <w:snapToGrid/>
        </w:rPr>
        <w:t xml:space="preserve">SoC </w:t>
      </w:r>
      <w:r w:rsidRPr="00DB661E">
        <w:rPr>
          <w:rFonts w:ascii="Calibri" w:hAnsi="Calibri"/>
          <w:snapToGrid/>
        </w:rPr>
        <w:t xml:space="preserve">could not be reliably assessed based on the current </w:t>
      </w:r>
      <w:r w:rsidR="003F52E5">
        <w:rPr>
          <w:rFonts w:ascii="Calibri" w:hAnsi="Calibri"/>
          <w:snapToGrid/>
        </w:rPr>
        <w:t>evidence</w:t>
      </w:r>
      <w:r w:rsidRPr="00DB661E">
        <w:rPr>
          <w:rFonts w:ascii="Calibri" w:hAnsi="Calibri"/>
          <w:snapToGrid/>
        </w:rPr>
        <w:t xml:space="preserve">. </w:t>
      </w:r>
      <w:r>
        <w:rPr>
          <w:rFonts w:ascii="Calibri" w:hAnsi="Calibri"/>
          <w:snapToGrid/>
        </w:rPr>
        <w:t>Further, t</w:t>
      </w:r>
      <w:r w:rsidRPr="00DB661E">
        <w:rPr>
          <w:rFonts w:ascii="Calibri" w:hAnsi="Calibri"/>
          <w:snapToGrid/>
        </w:rPr>
        <w:t xml:space="preserve">he PBAC considered that the clinical claim of non-inferior efficacy compared with pembrolizumab in combination with lenvatinib </w:t>
      </w:r>
      <w:r w:rsidR="001D2123">
        <w:rPr>
          <w:rFonts w:ascii="Calibri" w:hAnsi="Calibri"/>
          <w:snapToGrid/>
        </w:rPr>
        <w:t xml:space="preserve">(PEM+LEN) </w:t>
      </w:r>
      <w:r w:rsidRPr="00DB661E">
        <w:rPr>
          <w:rFonts w:ascii="Calibri" w:hAnsi="Calibri"/>
          <w:snapToGrid/>
        </w:rPr>
        <w:t xml:space="preserve">was not sufficiently supported by the clinical data. </w:t>
      </w:r>
    </w:p>
    <w:p w14:paraId="2161A556" w14:textId="065D7384" w:rsidR="00DB661E" w:rsidRPr="003F52E5" w:rsidRDefault="00DB661E" w:rsidP="00B623F2">
      <w:pPr>
        <w:pStyle w:val="3-BodyText"/>
        <w:rPr>
          <w:snapToGrid/>
        </w:rPr>
      </w:pPr>
      <w:r w:rsidRPr="003F52E5">
        <w:rPr>
          <w:snapToGrid/>
        </w:rPr>
        <w:t xml:space="preserve">The PBAC considered that there </w:t>
      </w:r>
      <w:r w:rsidR="003F52E5" w:rsidRPr="003F52E5">
        <w:rPr>
          <w:snapToGrid/>
        </w:rPr>
        <w:t>i</w:t>
      </w:r>
      <w:r w:rsidRPr="003F52E5">
        <w:rPr>
          <w:snapToGrid/>
        </w:rPr>
        <w:t xml:space="preserve">s a high clinical need in this patient population but </w:t>
      </w:r>
      <w:r w:rsidR="001D2123">
        <w:rPr>
          <w:snapToGrid/>
        </w:rPr>
        <w:t>considered that its March 2022 recommend</w:t>
      </w:r>
      <w:r w:rsidR="009000FD">
        <w:rPr>
          <w:snapToGrid/>
        </w:rPr>
        <w:t>a</w:t>
      </w:r>
      <w:r w:rsidR="001D2123">
        <w:rPr>
          <w:snapToGrid/>
        </w:rPr>
        <w:t>tion for P</w:t>
      </w:r>
      <w:r w:rsidR="00E06CEF" w:rsidRPr="003F52E5">
        <w:rPr>
          <w:snapToGrid/>
        </w:rPr>
        <w:t>EM+LEN</w:t>
      </w:r>
      <w:r w:rsidR="003F52E5">
        <w:rPr>
          <w:snapToGrid/>
        </w:rPr>
        <w:t xml:space="preserve"> </w:t>
      </w:r>
      <w:r w:rsidR="00E54426">
        <w:rPr>
          <w:snapToGrid/>
        </w:rPr>
        <w:t xml:space="preserve">(which was recommended on </w:t>
      </w:r>
      <w:r w:rsidR="00E54426" w:rsidRPr="00E54426">
        <w:rPr>
          <w:snapToGrid/>
        </w:rPr>
        <w:t>the basis of a large randomised controlled trial</w:t>
      </w:r>
      <w:r w:rsidR="00E54426">
        <w:rPr>
          <w:snapToGrid/>
        </w:rPr>
        <w:t xml:space="preserve">, </w:t>
      </w:r>
      <w:r w:rsidR="00E54426" w:rsidRPr="00E54426">
        <w:rPr>
          <w:snapToGrid/>
        </w:rPr>
        <w:t>KN775)</w:t>
      </w:r>
      <w:r w:rsidR="009000FD">
        <w:rPr>
          <w:snapToGrid/>
        </w:rPr>
        <w:t>,</w:t>
      </w:r>
      <w:r w:rsidR="00E06CEF" w:rsidRPr="003F52E5">
        <w:rPr>
          <w:snapToGrid/>
        </w:rPr>
        <w:t xml:space="preserve"> </w:t>
      </w:r>
      <w:r w:rsidR="009000FD" w:rsidRPr="003F52E5">
        <w:rPr>
          <w:snapToGrid/>
        </w:rPr>
        <w:t>when listed, would help address th</w:t>
      </w:r>
      <w:r w:rsidR="009000FD">
        <w:rPr>
          <w:snapToGrid/>
        </w:rPr>
        <w:t>is</w:t>
      </w:r>
      <w:r w:rsidR="009000FD" w:rsidRPr="003F52E5">
        <w:rPr>
          <w:snapToGrid/>
        </w:rPr>
        <w:t xml:space="preserve"> clinical need.</w:t>
      </w:r>
      <w:r w:rsidR="009000FD">
        <w:rPr>
          <w:snapToGrid/>
        </w:rPr>
        <w:t xml:space="preserve"> </w:t>
      </w:r>
      <w:r w:rsidR="003F52E5" w:rsidRPr="003F52E5">
        <w:rPr>
          <w:snapToGrid/>
        </w:rPr>
        <w:t xml:space="preserve">The PBAC also recalled that it had considered that the PBS listings for PEM+LEN should </w:t>
      </w:r>
      <w:r w:rsidR="003F52E5" w:rsidRPr="003F52E5">
        <w:rPr>
          <w:rFonts w:ascii="Calibri" w:hAnsi="Calibri"/>
          <w:snapToGrid/>
        </w:rPr>
        <w:t xml:space="preserve">allow use of either </w:t>
      </w:r>
      <w:r w:rsidR="001D2123">
        <w:rPr>
          <w:rFonts w:ascii="Calibri" w:hAnsi="Calibri"/>
          <w:snapToGrid/>
        </w:rPr>
        <w:t>component</w:t>
      </w:r>
      <w:r w:rsidR="003F52E5" w:rsidRPr="003F52E5">
        <w:rPr>
          <w:rFonts w:ascii="Calibri" w:hAnsi="Calibri"/>
          <w:snapToGrid/>
        </w:rPr>
        <w:t xml:space="preserve"> as </w:t>
      </w:r>
      <w:r w:rsidR="001D2123">
        <w:rPr>
          <w:rFonts w:ascii="Calibri" w:hAnsi="Calibri"/>
          <w:snapToGrid/>
        </w:rPr>
        <w:t xml:space="preserve">a </w:t>
      </w:r>
      <w:r w:rsidR="003F52E5" w:rsidRPr="003F52E5">
        <w:rPr>
          <w:rFonts w:ascii="Calibri" w:hAnsi="Calibri"/>
          <w:snapToGrid/>
        </w:rPr>
        <w:t xml:space="preserve">single agent </w:t>
      </w:r>
      <w:r w:rsidR="009000FD">
        <w:rPr>
          <w:rFonts w:ascii="Calibri" w:hAnsi="Calibri"/>
          <w:snapToGrid/>
        </w:rPr>
        <w:t>in</w:t>
      </w:r>
      <w:r w:rsidR="003F52E5" w:rsidRPr="003F52E5">
        <w:rPr>
          <w:rFonts w:ascii="Calibri" w:hAnsi="Calibri"/>
          <w:snapToGrid/>
        </w:rPr>
        <w:t xml:space="preserve"> patient</w:t>
      </w:r>
      <w:r w:rsidR="009000FD">
        <w:rPr>
          <w:rFonts w:ascii="Calibri" w:hAnsi="Calibri"/>
          <w:snapToGrid/>
        </w:rPr>
        <w:t>s who</w:t>
      </w:r>
      <w:r w:rsidR="003F52E5" w:rsidRPr="003F52E5">
        <w:rPr>
          <w:rFonts w:ascii="Calibri" w:hAnsi="Calibri"/>
          <w:snapToGrid/>
        </w:rPr>
        <w:t xml:space="preserve"> develop</w:t>
      </w:r>
      <w:r w:rsidR="009000FD">
        <w:rPr>
          <w:rFonts w:ascii="Calibri" w:hAnsi="Calibri"/>
          <w:snapToGrid/>
        </w:rPr>
        <w:t xml:space="preserve"> an</w:t>
      </w:r>
      <w:r w:rsidR="003F52E5" w:rsidRPr="003F52E5">
        <w:rPr>
          <w:rFonts w:ascii="Calibri" w:hAnsi="Calibri"/>
          <w:snapToGrid/>
        </w:rPr>
        <w:t xml:space="preserve"> intolerance</w:t>
      </w:r>
      <w:r w:rsidR="009000FD">
        <w:rPr>
          <w:rFonts w:ascii="Calibri" w:hAnsi="Calibri"/>
          <w:snapToGrid/>
        </w:rPr>
        <w:t>,</w:t>
      </w:r>
      <w:r w:rsidR="003F52E5" w:rsidRPr="003F52E5">
        <w:rPr>
          <w:rFonts w:ascii="Calibri" w:hAnsi="Calibri"/>
          <w:snapToGrid/>
        </w:rPr>
        <w:t xml:space="preserve"> and </w:t>
      </w:r>
      <w:r w:rsidR="009000FD">
        <w:rPr>
          <w:rFonts w:ascii="Calibri" w:hAnsi="Calibri"/>
          <w:snapToGrid/>
        </w:rPr>
        <w:t xml:space="preserve">also </w:t>
      </w:r>
      <w:r w:rsidR="003F52E5" w:rsidRPr="003F52E5">
        <w:rPr>
          <w:rFonts w:ascii="Calibri" w:hAnsi="Calibri"/>
          <w:snapToGrid/>
        </w:rPr>
        <w:t>allow use of pembrolizumab as a single agent in patients in whom lenvatinib is contraindicated</w:t>
      </w:r>
      <w:r w:rsidR="003F52E5">
        <w:rPr>
          <w:rFonts w:ascii="Calibri" w:hAnsi="Calibri"/>
          <w:snapToGrid/>
        </w:rPr>
        <w:t xml:space="preserve"> (paragraph 7.18, pembrolizumab PSD, March 2022 PBAC meeting).</w:t>
      </w:r>
    </w:p>
    <w:bookmarkEnd w:id="87"/>
    <w:p w14:paraId="16729706" w14:textId="049D902E" w:rsidR="0087782C" w:rsidRPr="00CE3B26" w:rsidRDefault="0087782C" w:rsidP="0087782C">
      <w:pPr>
        <w:pStyle w:val="ListParagraph"/>
        <w:numPr>
          <w:ilvl w:val="1"/>
          <w:numId w:val="1"/>
        </w:numPr>
        <w:spacing w:after="160"/>
        <w:rPr>
          <w:iCs/>
        </w:rPr>
      </w:pPr>
      <w:r>
        <w:t xml:space="preserve">The </w:t>
      </w:r>
      <w:r w:rsidR="00B04543">
        <w:t>re</w:t>
      </w:r>
      <w:r>
        <w:t>submission nominated SoC comprising single-agent chemotherapy and PBC as the main comparator</w:t>
      </w:r>
      <w:r w:rsidR="00B04543">
        <w:t xml:space="preserve">, which the PBAC considered to be appropriate. </w:t>
      </w:r>
      <w:r w:rsidR="00E06CEF" w:rsidRPr="00576299">
        <w:rPr>
          <w:snapToGrid/>
        </w:rPr>
        <w:t>In addition to SoC, the resubmission nominated PEM+LEN and pembrolizumab monotherapy as near market comparators.</w:t>
      </w:r>
      <w:r w:rsidR="00E06CEF">
        <w:rPr>
          <w:snapToGrid/>
        </w:rPr>
        <w:t xml:space="preserve"> The PBAC considered PEM+LEN was an appropriate near-market comparator, but noted it was not PBS-listed at the time of PBAC consideration. </w:t>
      </w:r>
    </w:p>
    <w:p w14:paraId="4E5DFD78" w14:textId="794CE9EB" w:rsidR="00D21694" w:rsidRDefault="00E06CEF" w:rsidP="00E06CEF">
      <w:pPr>
        <w:pStyle w:val="3-BodyText"/>
        <w:rPr>
          <w:rFonts w:ascii="Calibri" w:hAnsi="Calibri"/>
          <w:snapToGrid/>
          <w:lang w:val="en-GB"/>
        </w:rPr>
      </w:pPr>
      <w:r w:rsidRPr="00E06CEF">
        <w:rPr>
          <w:rFonts w:ascii="Calibri" w:hAnsi="Calibri"/>
          <w:snapToGrid/>
          <w:lang w:val="en-GB"/>
        </w:rPr>
        <w:t xml:space="preserve">The PBAC noted that the evidence for dostarlimab </w:t>
      </w:r>
      <w:r>
        <w:rPr>
          <w:rFonts w:ascii="Calibri" w:hAnsi="Calibri"/>
          <w:snapToGrid/>
          <w:lang w:val="en-GB"/>
        </w:rPr>
        <w:t xml:space="preserve">continued to be </w:t>
      </w:r>
      <w:r w:rsidRPr="00E06CEF">
        <w:rPr>
          <w:rFonts w:ascii="Calibri" w:hAnsi="Calibri"/>
          <w:snapToGrid/>
          <w:lang w:val="en-GB"/>
        </w:rPr>
        <w:t xml:space="preserve">based on a cohort of patients with dMMR/MSI H endometrial cancer from an on-going, single arm, phase I/II study of dostarlimab in patients with advanced solid tumours (the GARNET study). </w:t>
      </w:r>
      <w:r w:rsidR="00D21694">
        <w:rPr>
          <w:rFonts w:ascii="Calibri" w:hAnsi="Calibri"/>
          <w:snapToGrid/>
          <w:lang w:val="en-GB"/>
        </w:rPr>
        <w:t xml:space="preserve">While the PBAC considered that </w:t>
      </w:r>
      <w:r w:rsidR="00D21694" w:rsidRPr="0087782C">
        <w:rPr>
          <w:lang w:val="en-GB"/>
        </w:rPr>
        <w:t>dostarlimab demonstrates clinical activity in dMMR</w:t>
      </w:r>
      <w:r w:rsidR="00D21694">
        <w:rPr>
          <w:rFonts w:ascii="Calibri" w:hAnsi="Calibri"/>
          <w:snapToGrid/>
          <w:lang w:val="en-GB"/>
        </w:rPr>
        <w:t xml:space="preserve">, the Committee re-iterated its previous concern that </w:t>
      </w:r>
      <w:r w:rsidR="00D21694" w:rsidRPr="00D21694">
        <w:rPr>
          <w:rFonts w:ascii="Calibri" w:hAnsi="Calibri"/>
          <w:snapToGrid/>
          <w:lang w:val="en-GB"/>
        </w:rPr>
        <w:t xml:space="preserve">the magnitude of the incremental benefit </w:t>
      </w:r>
      <w:r w:rsidR="00D21694">
        <w:rPr>
          <w:rFonts w:ascii="Calibri" w:hAnsi="Calibri"/>
          <w:snapToGrid/>
          <w:lang w:val="en-GB"/>
        </w:rPr>
        <w:t xml:space="preserve">versus SoC </w:t>
      </w:r>
      <w:r w:rsidR="00B54CF0">
        <w:rPr>
          <w:lang w:val="en-GB"/>
        </w:rPr>
        <w:t>was unable to be reliably estimated</w:t>
      </w:r>
      <w:r w:rsidR="00B54CF0">
        <w:rPr>
          <w:rFonts w:ascii="Calibri" w:hAnsi="Calibri"/>
          <w:snapToGrid/>
          <w:lang w:val="en-GB"/>
        </w:rPr>
        <w:t xml:space="preserve"> </w:t>
      </w:r>
      <w:r w:rsidR="00D21694">
        <w:rPr>
          <w:rFonts w:ascii="Calibri" w:hAnsi="Calibri"/>
          <w:snapToGrid/>
          <w:lang w:val="en-GB"/>
        </w:rPr>
        <w:t>due to:</w:t>
      </w:r>
    </w:p>
    <w:p w14:paraId="6964CBEC" w14:textId="301C0F16" w:rsidR="00D21694" w:rsidRDefault="00B54CF0" w:rsidP="002029E5">
      <w:pPr>
        <w:pStyle w:val="ListParagraph"/>
        <w:widowControl w:val="0"/>
        <w:numPr>
          <w:ilvl w:val="0"/>
          <w:numId w:val="16"/>
        </w:numPr>
        <w:rPr>
          <w:lang w:val="en-GB"/>
        </w:rPr>
      </w:pPr>
      <w:r w:rsidRPr="00520B23">
        <w:rPr>
          <w:iCs/>
        </w:rPr>
        <w:t xml:space="preserve">the evidence </w:t>
      </w:r>
      <w:r>
        <w:rPr>
          <w:iCs/>
        </w:rPr>
        <w:t xml:space="preserve">for dostarlimab </w:t>
      </w:r>
      <w:r w:rsidRPr="00520B23">
        <w:rPr>
          <w:iCs/>
        </w:rPr>
        <w:t xml:space="preserve">was of relatively low quality, with only a small </w:t>
      </w:r>
      <w:r>
        <w:rPr>
          <w:lang w:val="en-GB"/>
        </w:rPr>
        <w:t>(</w:t>
      </w:r>
      <w:r w:rsidRPr="002029E5">
        <w:t>n</w:t>
      </w:r>
      <w:r w:rsidR="002029E5">
        <w:t xml:space="preserve"> = </w:t>
      </w:r>
      <w:r w:rsidRPr="002029E5">
        <w:t>153</w:t>
      </w:r>
      <w:r>
        <w:rPr>
          <w:lang w:val="en-GB"/>
        </w:rPr>
        <w:t xml:space="preserve">) </w:t>
      </w:r>
      <w:r w:rsidRPr="00520B23">
        <w:rPr>
          <w:iCs/>
        </w:rPr>
        <w:t>single-arm phase I/II study available</w:t>
      </w:r>
      <w:r w:rsidR="002029E5">
        <w:rPr>
          <w:lang w:val="en-GB"/>
        </w:rPr>
        <w:t xml:space="preserve">, which was relatively immature </w:t>
      </w:r>
      <w:r w:rsidR="00D21694">
        <w:rPr>
          <w:lang w:val="en-GB"/>
        </w:rPr>
        <w:t>(</w:t>
      </w:r>
      <w:r w:rsidR="00D21694" w:rsidRPr="00D21694">
        <w:rPr>
          <w:lang w:val="en-GB"/>
        </w:rPr>
        <w:t xml:space="preserve">median follow up 27.6 months; median </w:t>
      </w:r>
      <w:r w:rsidRPr="006710E4">
        <w:t>survival was not reached</w:t>
      </w:r>
      <w:r>
        <w:t xml:space="preserve">, </w:t>
      </w:r>
      <w:r w:rsidRPr="00520B23">
        <w:rPr>
          <w:iCs/>
        </w:rPr>
        <w:t>with only 37% of patients having died at IA-3</w:t>
      </w:r>
      <w:r w:rsidR="00D21694">
        <w:rPr>
          <w:lang w:val="en-GB"/>
        </w:rPr>
        <w:t>);</w:t>
      </w:r>
    </w:p>
    <w:p w14:paraId="6DA06765" w14:textId="61F5F022" w:rsidR="0087782C" w:rsidRPr="002029E5" w:rsidRDefault="002029E5" w:rsidP="002029E5">
      <w:pPr>
        <w:pStyle w:val="ListParagraph"/>
        <w:widowControl w:val="0"/>
        <w:numPr>
          <w:ilvl w:val="0"/>
          <w:numId w:val="16"/>
        </w:numPr>
        <w:rPr>
          <w:rFonts w:ascii="Calibri" w:hAnsi="Calibri"/>
          <w:snapToGrid/>
          <w:lang w:val="en-GB"/>
        </w:rPr>
      </w:pPr>
      <w:r w:rsidRPr="002029E5">
        <w:rPr>
          <w:lang w:val="en-GB"/>
        </w:rPr>
        <w:t xml:space="preserve">the comparative evidence versus SoC relied on </w:t>
      </w:r>
      <w:r w:rsidR="00D21694" w:rsidRPr="002029E5">
        <w:rPr>
          <w:lang w:val="en-GB"/>
        </w:rPr>
        <w:t xml:space="preserve">naïve indirect comparisons (between single arms of different trials) which </w:t>
      </w:r>
      <w:r>
        <w:rPr>
          <w:lang w:val="en-GB"/>
        </w:rPr>
        <w:t>had a high risk of</w:t>
      </w:r>
      <w:r w:rsidR="00D21694" w:rsidRPr="002029E5">
        <w:rPr>
          <w:lang w:val="en-GB"/>
        </w:rPr>
        <w:t xml:space="preserve"> bias due to differences in patient populations</w:t>
      </w:r>
      <w:r w:rsidRPr="002029E5">
        <w:rPr>
          <w:lang w:val="en-GB"/>
        </w:rPr>
        <w:t xml:space="preserve">, and an </w:t>
      </w:r>
      <w:r w:rsidR="00B54CF0" w:rsidRPr="002029E5">
        <w:rPr>
          <w:rFonts w:ascii="Calibri" w:hAnsi="Calibri"/>
          <w:snapToGrid/>
          <w:lang w:val="en-GB"/>
        </w:rPr>
        <w:t>IPTW analysis</w:t>
      </w:r>
      <w:r w:rsidR="00B54CF0" w:rsidRPr="002029E5">
        <w:rPr>
          <w:lang w:val="en-GB"/>
        </w:rPr>
        <w:t xml:space="preserve"> </w:t>
      </w:r>
      <w:r w:rsidRPr="002029E5">
        <w:rPr>
          <w:lang w:val="en-GB"/>
        </w:rPr>
        <w:t xml:space="preserve">which </w:t>
      </w:r>
      <w:r w:rsidR="00B54CF0" w:rsidRPr="002029E5">
        <w:rPr>
          <w:lang w:val="en-GB"/>
        </w:rPr>
        <w:t>was limited by</w:t>
      </w:r>
      <w:r w:rsidR="00D21694" w:rsidRPr="002029E5">
        <w:rPr>
          <w:lang w:val="en-GB"/>
        </w:rPr>
        <w:t xml:space="preserve"> </w:t>
      </w:r>
      <w:r w:rsidR="00D21694" w:rsidRPr="002029E5">
        <w:rPr>
          <w:rFonts w:ascii="Calibri" w:hAnsi="Calibri"/>
          <w:snapToGrid/>
          <w:lang w:val="en-GB"/>
        </w:rPr>
        <w:t>key transitivity and methodological issues</w:t>
      </w:r>
      <w:r w:rsidR="00B54CF0" w:rsidRPr="002029E5">
        <w:rPr>
          <w:iCs/>
        </w:rPr>
        <w:t xml:space="preserve"> including </w:t>
      </w:r>
      <w:r w:rsidRPr="002029E5">
        <w:rPr>
          <w:iCs/>
        </w:rPr>
        <w:t xml:space="preserve">the </w:t>
      </w:r>
      <w:r w:rsidR="00B54CF0" w:rsidRPr="002029E5">
        <w:rPr>
          <w:iCs/>
        </w:rPr>
        <w:t xml:space="preserve">potential for unmeasured confounding </w:t>
      </w:r>
      <w:r w:rsidR="00B54CF0" w:rsidRPr="002029E5">
        <w:t>(e.g. the two studies were conducted over different time period</w:t>
      </w:r>
      <w:r w:rsidR="009000FD">
        <w:t>s</w:t>
      </w:r>
      <w:r w:rsidR="00B54CF0" w:rsidRPr="002029E5">
        <w:rPr>
          <w:iCs/>
        </w:rPr>
        <w:t>)</w:t>
      </w:r>
      <w:r w:rsidR="00B54CF0" w:rsidRPr="002029E5">
        <w:rPr>
          <w:rFonts w:ascii="Calibri" w:hAnsi="Calibri"/>
          <w:snapToGrid/>
          <w:lang w:val="en-GB"/>
        </w:rPr>
        <w:t>.</w:t>
      </w:r>
      <w:r w:rsidR="00D21694" w:rsidRPr="002029E5">
        <w:rPr>
          <w:rFonts w:ascii="Calibri" w:hAnsi="Calibri"/>
          <w:snapToGrid/>
          <w:lang w:val="en-GB"/>
        </w:rPr>
        <w:t xml:space="preserve"> </w:t>
      </w:r>
    </w:p>
    <w:p w14:paraId="25A17914" w14:textId="78468249" w:rsidR="002029E5" w:rsidRPr="002029E5" w:rsidRDefault="00412FA0" w:rsidP="002029E5">
      <w:pPr>
        <w:pStyle w:val="3-BodyText"/>
        <w:numPr>
          <w:ilvl w:val="0"/>
          <w:numId w:val="16"/>
        </w:numPr>
        <w:rPr>
          <w:lang w:val="en-GB"/>
        </w:rPr>
      </w:pPr>
      <w:r>
        <w:t>o</w:t>
      </w:r>
      <w:r w:rsidR="00B54CF0" w:rsidRPr="002029E5">
        <w:t>nly a small benefit in PFS was observed in the indirect naïve comparison, which did not meet the nominated MCID of a 2.5 month absolute increase</w:t>
      </w:r>
      <w:r w:rsidR="002029E5">
        <w:t>.</w:t>
      </w:r>
    </w:p>
    <w:p w14:paraId="5FB2F18F" w14:textId="440119F0" w:rsidR="00460574" w:rsidRPr="002029E5" w:rsidRDefault="00460574" w:rsidP="002029E5">
      <w:pPr>
        <w:pStyle w:val="3-BodyText"/>
        <w:rPr>
          <w:lang w:val="en-GB"/>
        </w:rPr>
      </w:pPr>
      <w:r w:rsidRPr="002029E5">
        <w:rPr>
          <w:lang w:val="en-GB"/>
        </w:rPr>
        <w:t xml:space="preserve">The PBAC considered the </w:t>
      </w:r>
      <w:r w:rsidR="00DA33FE" w:rsidRPr="002029E5">
        <w:rPr>
          <w:lang w:val="en-GB"/>
        </w:rPr>
        <w:t>safety profile of dostarlimab appeared consistent with other PD</w:t>
      </w:r>
      <w:r w:rsidR="00412FA0">
        <w:rPr>
          <w:lang w:val="en-GB"/>
        </w:rPr>
        <w:t>-</w:t>
      </w:r>
      <w:r w:rsidR="00DA33FE" w:rsidRPr="002029E5">
        <w:rPr>
          <w:lang w:val="en-GB"/>
        </w:rPr>
        <w:t xml:space="preserve">(L)1 inhibitors, and that </w:t>
      </w:r>
      <w:r w:rsidRPr="002029E5">
        <w:rPr>
          <w:lang w:val="en-GB"/>
        </w:rPr>
        <w:t>claim of non-inferior comparative safety versus SoC was reasonable.</w:t>
      </w:r>
    </w:p>
    <w:p w14:paraId="4C87E4FF" w14:textId="3921771C" w:rsidR="00E06CEF" w:rsidRPr="00044EF6" w:rsidRDefault="00D21694" w:rsidP="00CC3B3A">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considered that the claim of </w:t>
      </w:r>
      <w:r w:rsidR="00E06CEF">
        <w:rPr>
          <w:rFonts w:asciiTheme="minorHAnsi" w:hAnsiTheme="minorHAnsi"/>
          <w:snapToGrid w:val="0"/>
          <w:lang w:val="en-GB"/>
        </w:rPr>
        <w:t>non-inferior</w:t>
      </w:r>
      <w:r w:rsidR="00B54CF0">
        <w:rPr>
          <w:rFonts w:asciiTheme="minorHAnsi" w:hAnsiTheme="minorHAnsi"/>
          <w:snapToGrid w:val="0"/>
          <w:lang w:val="en-GB"/>
        </w:rPr>
        <w:t xml:space="preserve"> efficacy</w:t>
      </w:r>
      <w:r w:rsidR="00E06CEF">
        <w:rPr>
          <w:rFonts w:asciiTheme="minorHAnsi" w:hAnsiTheme="minorHAnsi"/>
          <w:snapToGrid w:val="0"/>
          <w:lang w:val="en-GB"/>
        </w:rPr>
        <w:t xml:space="preserve"> versus PEM+LEN </w:t>
      </w:r>
      <w:r>
        <w:rPr>
          <w:rFonts w:asciiTheme="minorHAnsi" w:hAnsiTheme="minorHAnsi"/>
          <w:snapToGrid w:val="0"/>
          <w:lang w:val="en-GB"/>
        </w:rPr>
        <w:t xml:space="preserve">was </w:t>
      </w:r>
      <w:r w:rsidR="00460574">
        <w:rPr>
          <w:rFonts w:asciiTheme="minorHAnsi" w:hAnsiTheme="minorHAnsi"/>
          <w:snapToGrid w:val="0"/>
          <w:lang w:val="en-GB"/>
        </w:rPr>
        <w:t>not adequately supported by the data</w:t>
      </w:r>
      <w:r>
        <w:rPr>
          <w:rFonts w:asciiTheme="minorHAnsi" w:hAnsiTheme="minorHAnsi"/>
          <w:snapToGrid w:val="0"/>
          <w:lang w:val="en-GB"/>
        </w:rPr>
        <w:t xml:space="preserve"> </w:t>
      </w:r>
      <w:r w:rsidR="00E06CEF">
        <w:rPr>
          <w:rFonts w:asciiTheme="minorHAnsi" w:hAnsiTheme="minorHAnsi"/>
          <w:snapToGrid w:val="0"/>
          <w:lang w:val="en-GB"/>
        </w:rPr>
        <w:t>given</w:t>
      </w:r>
      <w:r w:rsidR="00A05241">
        <w:rPr>
          <w:rFonts w:asciiTheme="minorHAnsi" w:hAnsiTheme="minorHAnsi"/>
          <w:snapToGrid w:val="0"/>
          <w:lang w:val="en-GB"/>
        </w:rPr>
        <w:t>:</w:t>
      </w:r>
      <w:r w:rsidR="00460574">
        <w:rPr>
          <w:rFonts w:asciiTheme="minorHAnsi" w:hAnsiTheme="minorHAnsi"/>
          <w:snapToGrid w:val="0"/>
          <w:lang w:val="en-GB"/>
        </w:rPr>
        <w:t xml:space="preserve"> </w:t>
      </w:r>
      <w:r w:rsidR="00A05241">
        <w:rPr>
          <w:rFonts w:asciiTheme="minorHAnsi" w:hAnsiTheme="minorHAnsi"/>
          <w:snapToGrid w:val="0"/>
          <w:lang w:val="en-GB"/>
        </w:rPr>
        <w:t xml:space="preserve">the </w:t>
      </w:r>
      <w:r w:rsidR="00412FA0" w:rsidRPr="00460574">
        <w:rPr>
          <w:rFonts w:asciiTheme="minorHAnsi" w:hAnsiTheme="minorHAnsi"/>
          <w:snapToGrid w:val="0"/>
          <w:lang w:val="en-GB"/>
        </w:rPr>
        <w:t xml:space="preserve">high risk of bias </w:t>
      </w:r>
      <w:r w:rsidR="00412FA0">
        <w:rPr>
          <w:rFonts w:asciiTheme="minorHAnsi" w:hAnsiTheme="minorHAnsi"/>
          <w:snapToGrid w:val="0"/>
          <w:lang w:val="en-GB"/>
        </w:rPr>
        <w:t xml:space="preserve">of the comparison, </w:t>
      </w:r>
      <w:r w:rsidR="00A05241">
        <w:rPr>
          <w:rFonts w:asciiTheme="minorHAnsi" w:hAnsiTheme="minorHAnsi"/>
          <w:snapToGrid w:val="0"/>
          <w:lang w:val="en-GB"/>
        </w:rPr>
        <w:t>that</w:t>
      </w:r>
      <w:r w:rsidR="00412FA0">
        <w:rPr>
          <w:rFonts w:asciiTheme="minorHAnsi" w:hAnsiTheme="minorHAnsi"/>
          <w:snapToGrid w:val="0"/>
          <w:lang w:val="en-GB"/>
        </w:rPr>
        <w:t xml:space="preserve"> it was based on a </w:t>
      </w:r>
      <w:r w:rsidR="00460574" w:rsidRPr="00460574">
        <w:rPr>
          <w:rFonts w:asciiTheme="minorHAnsi" w:hAnsiTheme="minorHAnsi"/>
          <w:snapToGrid w:val="0"/>
          <w:lang w:val="en-GB"/>
        </w:rPr>
        <w:t xml:space="preserve">naïve indirect </w:t>
      </w:r>
      <w:r w:rsidR="00460574" w:rsidRPr="00044EF6">
        <w:rPr>
          <w:rFonts w:asciiTheme="minorHAnsi" w:hAnsiTheme="minorHAnsi"/>
          <w:snapToGrid w:val="0"/>
          <w:lang w:val="en-GB"/>
        </w:rPr>
        <w:t>comparison of arms from different studies</w:t>
      </w:r>
      <w:r w:rsidR="00412FA0" w:rsidRPr="00044EF6">
        <w:rPr>
          <w:rFonts w:asciiTheme="minorHAnsi" w:hAnsiTheme="minorHAnsi"/>
          <w:snapToGrid w:val="0"/>
          <w:lang w:val="en-GB"/>
        </w:rPr>
        <w:t>;</w:t>
      </w:r>
      <w:r w:rsidR="00460574" w:rsidRPr="00044EF6">
        <w:rPr>
          <w:rFonts w:asciiTheme="minorHAnsi" w:hAnsiTheme="minorHAnsi"/>
          <w:snapToGrid w:val="0"/>
          <w:lang w:val="en-GB"/>
        </w:rPr>
        <w:t xml:space="preserve"> and the immaturity of the OS data.</w:t>
      </w:r>
      <w:r w:rsidR="00E06CEF" w:rsidRPr="00044EF6">
        <w:rPr>
          <w:rFonts w:asciiTheme="minorHAnsi" w:hAnsiTheme="minorHAnsi"/>
          <w:snapToGrid w:val="0"/>
          <w:lang w:val="en-GB"/>
        </w:rPr>
        <w:t xml:space="preserve"> </w:t>
      </w:r>
    </w:p>
    <w:p w14:paraId="4A2CCF6D" w14:textId="1014131B" w:rsidR="0087782C" w:rsidRPr="00B765C2" w:rsidRDefault="002029E5" w:rsidP="00B765C2">
      <w:pPr>
        <w:pStyle w:val="3-BodyText"/>
      </w:pPr>
      <w:r w:rsidRPr="00044EF6">
        <w:rPr>
          <w:snapToGrid/>
          <w:lang w:val="en-GB"/>
        </w:rPr>
        <w:t>The PBAC considered that the c</w:t>
      </w:r>
      <w:r w:rsidR="0087782C" w:rsidRPr="00044EF6">
        <w:rPr>
          <w:snapToGrid/>
          <w:lang w:val="en-GB"/>
        </w:rPr>
        <w:t>ost</w:t>
      </w:r>
      <w:r w:rsidR="0087782C" w:rsidRPr="00044EF6">
        <w:t xml:space="preserve">-effectiveness </w:t>
      </w:r>
      <w:r w:rsidRPr="00044EF6">
        <w:t xml:space="preserve">of dostarlimab versus SoC was </w:t>
      </w:r>
      <w:r w:rsidR="0087782C" w:rsidRPr="00044EF6">
        <w:t xml:space="preserve">unable to be </w:t>
      </w:r>
      <w:r w:rsidR="00F42DBE" w:rsidRPr="00044EF6">
        <w:t xml:space="preserve">reliably </w:t>
      </w:r>
      <w:r w:rsidR="0087782C" w:rsidRPr="00044EF6">
        <w:t xml:space="preserve">assessed </w:t>
      </w:r>
      <w:r w:rsidR="00F42DBE" w:rsidRPr="00044EF6">
        <w:rPr>
          <w:snapToGrid/>
        </w:rPr>
        <w:t xml:space="preserve">due to the uncertain magnitude of benefit for dostarlimab, based on data from a relatively small single arm study. </w:t>
      </w:r>
      <w:r w:rsidR="00412FA0" w:rsidRPr="00044EF6">
        <w:rPr>
          <w:snapToGrid/>
        </w:rPr>
        <w:t xml:space="preserve">The PBAC acknowledged that the resubmission had </w:t>
      </w:r>
      <w:r w:rsidR="00044EF6" w:rsidRPr="00044EF6">
        <w:rPr>
          <w:snapToGrid/>
        </w:rPr>
        <w:t>applied</w:t>
      </w:r>
      <w:r w:rsidR="00412FA0" w:rsidRPr="00044EF6">
        <w:rPr>
          <w:snapToGrid/>
        </w:rPr>
        <w:t xml:space="preserve"> changes to the model that were more conservative</w:t>
      </w:r>
      <w:r w:rsidR="00A80457" w:rsidRPr="00044EF6">
        <w:rPr>
          <w:snapToGrid/>
        </w:rPr>
        <w:t xml:space="preserve"> than the previous submission, and that with the lower price proposed</w:t>
      </w:r>
      <w:r w:rsidR="00044EF6" w:rsidRPr="00044EF6">
        <w:rPr>
          <w:snapToGrid/>
        </w:rPr>
        <w:t>,</w:t>
      </w:r>
      <w:r w:rsidR="00A80457" w:rsidRPr="00044EF6">
        <w:rPr>
          <w:snapToGrid/>
        </w:rPr>
        <w:t xml:space="preserve"> resulted in a </w:t>
      </w:r>
      <w:r w:rsidR="00412FA0" w:rsidRPr="00044EF6">
        <w:rPr>
          <w:snapToGrid/>
        </w:rPr>
        <w:t>lower ICER than the previous submission</w:t>
      </w:r>
      <w:r w:rsidR="00044EF6" w:rsidRPr="00044EF6">
        <w:rPr>
          <w:snapToGrid/>
        </w:rPr>
        <w:t xml:space="preserve"> (the ICER in </w:t>
      </w:r>
      <w:r w:rsidR="004B209D">
        <w:rPr>
          <w:snapToGrid/>
        </w:rPr>
        <w:t xml:space="preserve">base case of the economic model submitted with the </w:t>
      </w:r>
      <w:r w:rsidR="00044EF6" w:rsidRPr="00044EF6">
        <w:rPr>
          <w:snapToGrid/>
        </w:rPr>
        <w:t xml:space="preserve">pre-PBAC response was </w:t>
      </w:r>
      <w:r w:rsidR="00B765C2" w:rsidRPr="00B765C2">
        <w:rPr>
          <w:snapToGrid/>
        </w:rPr>
        <w:t>$45,000 to &lt; $55,000</w:t>
      </w:r>
      <w:r w:rsidR="00044EF6" w:rsidRPr="00044EF6">
        <w:rPr>
          <w:snapToGrid/>
        </w:rPr>
        <w:t xml:space="preserve">/QALY versus </w:t>
      </w:r>
      <w:r w:rsidR="00B765C2" w:rsidRPr="00B765C2">
        <w:t>$55,000 to &lt; $75,000</w:t>
      </w:r>
      <w:r w:rsidR="00044EF6" w:rsidRPr="00B765C2">
        <w:rPr>
          <w:snapToGrid/>
        </w:rPr>
        <w:t>/QALY in the previous pre-PBAC response)</w:t>
      </w:r>
      <w:r w:rsidR="00412FA0" w:rsidRPr="00B765C2">
        <w:rPr>
          <w:snapToGrid/>
        </w:rPr>
        <w:t xml:space="preserve">. However, the PBAC considered that </w:t>
      </w:r>
      <w:r w:rsidR="00E54426" w:rsidRPr="00B765C2">
        <w:rPr>
          <w:snapToGrid/>
        </w:rPr>
        <w:t xml:space="preserve">the </w:t>
      </w:r>
      <w:r w:rsidR="00412FA0" w:rsidRPr="00B765C2">
        <w:rPr>
          <w:rFonts w:ascii="Calibri" w:hAnsi="Calibri"/>
          <w:snapToGrid/>
        </w:rPr>
        <w:t>ICER</w:t>
      </w:r>
      <w:r w:rsidR="00DC64AB" w:rsidRPr="00B765C2">
        <w:rPr>
          <w:rFonts w:ascii="Calibri" w:hAnsi="Calibri"/>
          <w:snapToGrid/>
        </w:rPr>
        <w:t xml:space="preserve"> still</w:t>
      </w:r>
      <w:r w:rsidR="00412FA0" w:rsidRPr="00B765C2">
        <w:rPr>
          <w:rFonts w:ascii="Calibri" w:hAnsi="Calibri"/>
          <w:snapToGrid/>
        </w:rPr>
        <w:t xml:space="preserve"> remained unacceptably high given the level of uncertainty in the magnitude of benefit and long-term OS.</w:t>
      </w:r>
    </w:p>
    <w:p w14:paraId="6FA7B251" w14:textId="651EFC5F" w:rsidR="0087782C" w:rsidRPr="0087782C" w:rsidRDefault="002029E5" w:rsidP="002029E5">
      <w:pPr>
        <w:widowControl w:val="0"/>
        <w:numPr>
          <w:ilvl w:val="1"/>
          <w:numId w:val="1"/>
        </w:numPr>
        <w:spacing w:after="120"/>
      </w:pPr>
      <w:r w:rsidRPr="00044EF6">
        <w:rPr>
          <w:rFonts w:asciiTheme="minorHAnsi" w:hAnsiTheme="minorHAnsi"/>
          <w:snapToGrid w:val="0"/>
          <w:lang w:val="en-GB"/>
        </w:rPr>
        <w:t>The</w:t>
      </w:r>
      <w:r w:rsidRPr="00044EF6">
        <w:rPr>
          <w:lang w:val="en-GB"/>
        </w:rPr>
        <w:t xml:space="preserve"> PBAC considered that the cost</w:t>
      </w:r>
      <w:r w:rsidRPr="00044EF6">
        <w:t>-minimisation approach versus PEM+LEN was not informative as n</w:t>
      </w:r>
      <w:r w:rsidR="0087782C" w:rsidRPr="00044EF6">
        <w:t xml:space="preserve">on-inferiority </w:t>
      </w:r>
      <w:r w:rsidRPr="00044EF6">
        <w:t>had not been</w:t>
      </w:r>
      <w:r>
        <w:t xml:space="preserve"> adequately established.</w:t>
      </w:r>
    </w:p>
    <w:p w14:paraId="59CF6D4D" w14:textId="5CFB5F93" w:rsidR="008365D9" w:rsidRPr="00576299" w:rsidRDefault="008365D9" w:rsidP="008365D9">
      <w:pPr>
        <w:pStyle w:val="3-BodyText"/>
      </w:pPr>
      <w:r>
        <w:t xml:space="preserve">The PBAC considered that </w:t>
      </w:r>
      <w:r w:rsidR="008946D7">
        <w:t xml:space="preserve">the PSCR revised </w:t>
      </w:r>
      <w:r w:rsidR="008C6C68">
        <w:t xml:space="preserve">estimated </w:t>
      </w:r>
      <w:r w:rsidR="0047747A">
        <w:t xml:space="preserve">patient numbers and </w:t>
      </w:r>
      <w:r w:rsidR="008C6C68">
        <w:t>utilisation</w:t>
      </w:r>
      <w:r w:rsidRPr="004654C2">
        <w:t xml:space="preserve"> appeared appropriate and </w:t>
      </w:r>
      <w:r w:rsidR="008C6C68">
        <w:t xml:space="preserve">changes made in the resubmission and PSCR </w:t>
      </w:r>
      <w:r w:rsidRPr="004654C2">
        <w:t xml:space="preserve">were in line with DUSC comments on the March 2022 dostarlimab submission. </w:t>
      </w:r>
    </w:p>
    <w:p w14:paraId="4C7FFA09" w14:textId="06178151" w:rsidR="00F42DBE" w:rsidRPr="002C785C" w:rsidRDefault="002C785C" w:rsidP="00CD686B">
      <w:pPr>
        <w:pStyle w:val="3-BodyText"/>
        <w:widowControl w:val="0"/>
        <w:rPr>
          <w:b/>
          <w:bCs/>
          <w:lang w:val="en-GB"/>
        </w:rPr>
      </w:pPr>
      <w:r w:rsidRPr="002C785C">
        <w:rPr>
          <w:rFonts w:ascii="Calibri" w:hAnsi="Calibri"/>
          <w:snapToGrid/>
        </w:rPr>
        <w:t xml:space="preserve">A </w:t>
      </w:r>
      <w:r w:rsidR="00F42DBE" w:rsidRPr="002C785C">
        <w:rPr>
          <w:rFonts w:ascii="Calibri" w:hAnsi="Calibri"/>
          <w:snapToGrid/>
        </w:rPr>
        <w:t xml:space="preserve">resubmission may be lodged at any future standard due date for PBAC submissions using the standard re-entry pathway. </w:t>
      </w:r>
      <w:r w:rsidRPr="002C785C">
        <w:rPr>
          <w:snapToGrid/>
        </w:rPr>
        <w:t xml:space="preserve">The PBAC considered that, in the absence of a listing for PEM+LEN there would be a high clinical need for treatments for patients with recurrent or advanced endometrial cancer and that in this case there may be a role for dostarlimab despite the limited evidence base. However, the modelled incremental benefit for dostarlimab versus SoC should account for the uncertain clinical benefit and long-term OS due to it being based on a small single-arm study, and the ICER would need to be reduced to reflect the level of uncertainty in its estimation. </w:t>
      </w:r>
      <w:r w:rsidR="00F42DBE" w:rsidRPr="002C785C">
        <w:rPr>
          <w:rFonts w:ascii="Calibri" w:hAnsi="Calibri"/>
          <w:snapToGrid/>
        </w:rPr>
        <w:t>Alternatively, the PBAC considered that data from the RUBY trial may support an alternative clinical place for dostarlimab in earlier line EC</w:t>
      </w:r>
      <w:r w:rsidR="00A05241">
        <w:rPr>
          <w:rFonts w:ascii="Calibri" w:hAnsi="Calibri"/>
          <w:snapToGrid/>
        </w:rPr>
        <w:t>.</w:t>
      </w:r>
    </w:p>
    <w:p w14:paraId="340D2389" w14:textId="72AC0670" w:rsidR="00F42DBE" w:rsidRPr="00F42DBE" w:rsidRDefault="00CC3B3A" w:rsidP="00875085">
      <w:pPr>
        <w:pStyle w:val="3-BodyText"/>
        <w:widowControl w:val="0"/>
        <w:spacing w:after="240"/>
        <w:rPr>
          <w:b/>
          <w:bCs/>
          <w:lang w:val="en-GB"/>
        </w:rPr>
      </w:pPr>
      <w:r w:rsidRPr="00F42DBE">
        <w:rPr>
          <w:bCs/>
          <w:lang w:val="en-GB"/>
        </w:rPr>
        <w:t xml:space="preserve">The PBAC noted that this submission is eligible for an Independent Review. </w:t>
      </w:r>
    </w:p>
    <w:p w14:paraId="139164B8" w14:textId="771919E1" w:rsidR="00CC3B3A" w:rsidRPr="00525B39" w:rsidRDefault="00CC3B3A" w:rsidP="00F42DBE">
      <w:pPr>
        <w:widowControl w:val="0"/>
        <w:spacing w:after="120"/>
        <w:rPr>
          <w:rFonts w:asciiTheme="minorHAnsi" w:hAnsiTheme="minorHAnsi"/>
          <w:b/>
          <w:bCs/>
          <w:snapToGrid w:val="0"/>
          <w:lang w:val="en-GB"/>
        </w:rPr>
      </w:pPr>
      <w:r w:rsidRPr="00525B39">
        <w:rPr>
          <w:rFonts w:asciiTheme="minorHAnsi" w:hAnsiTheme="minorHAnsi"/>
          <w:b/>
          <w:bCs/>
          <w:snapToGrid w:val="0"/>
          <w:lang w:val="en-GB"/>
        </w:rPr>
        <w:t>Outcome:</w:t>
      </w:r>
    </w:p>
    <w:p w14:paraId="5549D66B" w14:textId="0E56B064" w:rsidR="00875085" w:rsidRDefault="00CC3B3A" w:rsidP="00087D4E">
      <w:pPr>
        <w:rPr>
          <w:rFonts w:asciiTheme="minorHAnsi" w:hAnsiTheme="minorHAnsi"/>
          <w:bCs/>
          <w:snapToGrid w:val="0"/>
          <w:lang w:val="en-GB"/>
        </w:rPr>
      </w:pPr>
      <w:r>
        <w:rPr>
          <w:rFonts w:asciiTheme="minorHAnsi" w:hAnsiTheme="minorHAnsi"/>
          <w:bCs/>
          <w:snapToGrid w:val="0"/>
          <w:lang w:val="en-GB"/>
        </w:rPr>
        <w:t>Not recommended</w:t>
      </w:r>
      <w:bookmarkEnd w:id="1"/>
      <w:bookmarkEnd w:id="85"/>
      <w:bookmarkEnd w:id="86"/>
    </w:p>
    <w:p w14:paraId="05BE8758" w14:textId="74EB9C05" w:rsidR="00875085" w:rsidRDefault="00875085" w:rsidP="00875085">
      <w:pPr>
        <w:pStyle w:val="2-SectionHeading"/>
        <w:numPr>
          <w:ilvl w:val="0"/>
          <w:numId w:val="1"/>
        </w:numPr>
        <w:rPr>
          <w:bCs/>
          <w:lang w:val="en-GB"/>
        </w:rPr>
      </w:pPr>
      <w:r w:rsidRPr="00C07617">
        <w:t>Context for Decision</w:t>
      </w:r>
    </w:p>
    <w:p w14:paraId="795AFBB4" w14:textId="77777777" w:rsidR="00875085" w:rsidRPr="007129F2" w:rsidRDefault="00875085" w:rsidP="00875085">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32772632" w14:textId="3763E50B" w:rsidR="00875085" w:rsidRPr="00C07617" w:rsidRDefault="00875085" w:rsidP="00875085">
      <w:pPr>
        <w:pStyle w:val="2-SectionHeading"/>
        <w:numPr>
          <w:ilvl w:val="0"/>
          <w:numId w:val="1"/>
        </w:numPr>
        <w:rPr>
          <w:b w:val="0"/>
        </w:rPr>
      </w:pPr>
      <w:r>
        <w:t>Sponsor’s Comment</w:t>
      </w:r>
    </w:p>
    <w:p w14:paraId="66F94796" w14:textId="53A927BB" w:rsidR="00E61D7B" w:rsidRDefault="00875085" w:rsidP="00875085">
      <w:pPr>
        <w:spacing w:after="120"/>
        <w:ind w:left="426" w:firstLine="294"/>
        <w:rPr>
          <w:rFonts w:asciiTheme="minorHAnsi" w:hAnsiTheme="minorHAnsi"/>
          <w:bCs/>
        </w:rPr>
      </w:pPr>
      <w:r w:rsidRPr="00C07617">
        <w:rPr>
          <w:rFonts w:asciiTheme="minorHAnsi" w:hAnsiTheme="minorHAnsi"/>
          <w:bCs/>
        </w:rPr>
        <w:t>The sponsor had no comment.</w:t>
      </w:r>
    </w:p>
    <w:p w14:paraId="1B660F7F" w14:textId="77777777" w:rsidR="00E61D7B" w:rsidRDefault="00E61D7B">
      <w:pPr>
        <w:jc w:val="left"/>
        <w:rPr>
          <w:rFonts w:asciiTheme="minorHAnsi" w:hAnsiTheme="minorHAnsi"/>
          <w:bCs/>
        </w:rPr>
      </w:pPr>
      <w:r>
        <w:rPr>
          <w:rFonts w:asciiTheme="minorHAnsi" w:hAnsiTheme="minorHAnsi"/>
          <w:bCs/>
        </w:rPr>
        <w:br w:type="page"/>
      </w:r>
    </w:p>
    <w:p w14:paraId="6A7CF39A" w14:textId="50CED33A" w:rsidR="00E61D7B" w:rsidRPr="00F74D4C" w:rsidRDefault="00E61D7B" w:rsidP="00E61D7B">
      <w:pPr>
        <w:spacing w:before="120" w:after="160"/>
        <w:outlineLvl w:val="0"/>
        <w:rPr>
          <w:rFonts w:eastAsia="Calibri"/>
          <w:bCs/>
          <w:color w:val="FF0000"/>
          <w:szCs w:val="22"/>
        </w:rPr>
      </w:pPr>
      <w:r w:rsidRPr="00F74D4C">
        <w:rPr>
          <w:rFonts w:eastAsia="Calibri"/>
          <w:bCs/>
          <w:color w:val="FF0000"/>
          <w:szCs w:val="22"/>
        </w:rPr>
        <w:t xml:space="preserve">Addendum to the November 2022 </w:t>
      </w:r>
      <w:r w:rsidR="00F74D4C">
        <w:rPr>
          <w:rFonts w:eastAsia="Calibri"/>
          <w:bCs/>
          <w:color w:val="FF0000"/>
          <w:szCs w:val="22"/>
        </w:rPr>
        <w:t>Public Summary Document</w:t>
      </w:r>
      <w:r w:rsidRPr="00F74D4C">
        <w:rPr>
          <w:rFonts w:eastAsia="Calibri"/>
          <w:bCs/>
          <w:color w:val="FF0000"/>
          <w:szCs w:val="22"/>
        </w:rPr>
        <w:t>:</w:t>
      </w:r>
    </w:p>
    <w:p w14:paraId="535643FD" w14:textId="77777777" w:rsidR="00E61D7B" w:rsidRPr="0090150D" w:rsidRDefault="00E61D7B" w:rsidP="00E61D7B">
      <w:pPr>
        <w:pStyle w:val="2-SectionHeading"/>
        <w:numPr>
          <w:ilvl w:val="0"/>
          <w:numId w:val="1"/>
        </w:numPr>
      </w:pPr>
      <w:r w:rsidRPr="0090150D">
        <w:t>PBAC Outcome</w:t>
      </w:r>
    </w:p>
    <w:p w14:paraId="2F7B223E" w14:textId="77777777" w:rsidR="00E61D7B" w:rsidRPr="00735A33" w:rsidRDefault="00E61D7B" w:rsidP="00E61D7B">
      <w:pPr>
        <w:pStyle w:val="ListParagraph"/>
        <w:numPr>
          <w:ilvl w:val="1"/>
          <w:numId w:val="1"/>
        </w:numPr>
      </w:pPr>
      <w:r>
        <w:t xml:space="preserve">At its March 2022 meeting, the PBAC </w:t>
      </w:r>
      <w:r w:rsidRPr="00735A33">
        <w:t xml:space="preserve">recommended </w:t>
      </w:r>
      <w:r>
        <w:t xml:space="preserve">the listing of pembrolizumab + lenvatinib (PEM+LEN) for the treatment of patients with advanced endometrial cancer who have disease progression following prior systemic therapy regardless of biomarker status. </w:t>
      </w:r>
    </w:p>
    <w:p w14:paraId="21DD7C7E" w14:textId="77777777" w:rsidR="00E61D7B" w:rsidRDefault="00E61D7B" w:rsidP="00E61D7B">
      <w:pPr>
        <w:pStyle w:val="ListParagraph"/>
        <w:numPr>
          <w:ilvl w:val="1"/>
          <w:numId w:val="1"/>
        </w:numPr>
      </w:pPr>
      <w:r>
        <w:t>At its November 2022 meeting, the PBAC did not recommend the listing of dostarlimab for the treatment of patients with recurrent or advanced dMMR endometrial cancer who have disease progression following prior systemic therapy. The PBAC considered that there was a high clinical need in this patient population but considered that its March 2022 recommendation for PEM+LEN (which was recommended on the basis of a large randomised controlled trial, KN775), when listed, would help address this clinical need.</w:t>
      </w:r>
    </w:p>
    <w:p w14:paraId="48FDAAB1" w14:textId="77777777" w:rsidR="00E61D7B" w:rsidRPr="0079673D" w:rsidRDefault="00E61D7B" w:rsidP="00E61D7B">
      <w:pPr>
        <w:pStyle w:val="ListParagraph"/>
        <w:numPr>
          <w:ilvl w:val="1"/>
          <w:numId w:val="1"/>
        </w:numPr>
      </w:pPr>
      <w:r>
        <w:t>Given the high clinical need for recurrent or advanced endometrial cancer, the PBAC considered a revised pricing proposal (“letter of offer”) for dostarlimab out of session, in December 2022. At that time the PBAC deferred providing advice regarding whether this revised pricing proposal was acceptable as additional information was required regarding both the PEM+LEN submission and the dostarlimab submission. The Department</w:t>
      </w:r>
      <w:r w:rsidRPr="00C50A45">
        <w:t xml:space="preserve"> </w:t>
      </w:r>
      <w:r>
        <w:t xml:space="preserve">sought the </w:t>
      </w:r>
      <w:r w:rsidRPr="00C50A45">
        <w:t xml:space="preserve">PBAC’s advice </w:t>
      </w:r>
      <w:r>
        <w:t xml:space="preserve">at its March 2023 meeting </w:t>
      </w:r>
      <w:r w:rsidRPr="00C50A45">
        <w:t xml:space="preserve">regarding whether the cost </w:t>
      </w:r>
      <w:r>
        <w:t>of dostarlimab in the revised pricing proposal</w:t>
      </w:r>
      <w:r w:rsidRPr="00C50A45">
        <w:t xml:space="preserve"> for the treatment of endometrial cancer is acceptably cost-effective. </w:t>
      </w:r>
    </w:p>
    <w:p w14:paraId="468A15A0" w14:textId="7AF10315" w:rsidR="00E61D7B" w:rsidRDefault="00E61D7B" w:rsidP="00E61D7B">
      <w:pPr>
        <w:pStyle w:val="ListParagraph"/>
        <w:numPr>
          <w:ilvl w:val="1"/>
          <w:numId w:val="1"/>
        </w:numPr>
      </w:pPr>
      <w:r>
        <w:t xml:space="preserve">The PBAC noted the sponsors’ revised pricing proposal for dostarlimab of </w:t>
      </w:r>
      <w:r w:rsidRPr="00926D49">
        <w:t>$</w:t>
      </w:r>
      <w:r w:rsidR="00926D49" w:rsidRPr="00926D49">
        <w:rPr>
          <w:color w:val="000000"/>
          <w:w w:val="58"/>
          <w:shd w:val="solid" w:color="000000" w:fill="000000"/>
          <w:fitText w:val="704" w:id="-1233442304"/>
          <w14:textFill>
            <w14:solidFill>
              <w14:srgbClr w14:val="000000">
                <w14:alpha w14:val="100000"/>
              </w14:srgbClr>
            </w14:solidFill>
          </w14:textFill>
        </w:rPr>
        <w:t>|||||  |||||</w:t>
      </w:r>
      <w:r w:rsidR="00926D49" w:rsidRPr="00926D49">
        <w:t xml:space="preserve"> </w:t>
      </w:r>
      <w:r>
        <w:t>AEMP, resulting in ICER of $</w:t>
      </w:r>
      <w:r w:rsidR="00143DDE">
        <w:t>35,000</w:t>
      </w:r>
      <w:r w:rsidR="00811A66">
        <w:t> </w:t>
      </w:r>
      <w:r w:rsidR="00143DDE">
        <w:t>to</w:t>
      </w:r>
      <w:r w:rsidR="003A7D69">
        <w:t>&lt; </w:t>
      </w:r>
      <w:r w:rsidR="00143DDE">
        <w:t>$45,000</w:t>
      </w:r>
      <w:r>
        <w:t>/QALY. The PBAC recalled that the ICER presented in the November 2022 submission was $</w:t>
      </w:r>
      <w:r w:rsidR="00143DDE">
        <w:t>45,000</w:t>
      </w:r>
      <w:r w:rsidR="00811A66">
        <w:t> </w:t>
      </w:r>
      <w:r w:rsidR="00143DDE">
        <w:t>to</w:t>
      </w:r>
      <w:r w:rsidR="00811A66">
        <w:t> </w:t>
      </w:r>
      <w:r w:rsidR="00143DDE">
        <w:t>&lt;</w:t>
      </w:r>
      <w:r w:rsidR="003A7D69">
        <w:t> </w:t>
      </w:r>
      <w:r w:rsidR="00143DDE">
        <w:t>$55,000</w:t>
      </w:r>
      <w:r>
        <w:t>/QALY. The PBAC recalled its previous advice that the magnitude of the incremental benefit versus SoC, which relied on a relatively small single arm study with immature survival data, was uncertain and noted that no additional trial data were available. The PBAC maintained that the cost</w:t>
      </w:r>
      <w:r>
        <w:noBreakHyphen/>
        <w:t xml:space="preserve">effectiveness of dostarlimab compared with SoC could not be reliably assessed based on the current evidence. On this basis the PBAC did not change its recommendation regarding dostarlimab from the November 2022 meeting. The PBAC recalled that it had reached a similar conclusion regarding pembrolizumab monotherapy for the same indication, which also relied on a small single arm study (paragraph 7.20, pembrolizumab PSD, March 2022 PBAC meeting). </w:t>
      </w:r>
    </w:p>
    <w:p w14:paraId="3A6C8659" w14:textId="77777777" w:rsidR="00E61D7B" w:rsidRDefault="00E61D7B" w:rsidP="00E61D7B">
      <w:pPr>
        <w:pStyle w:val="3-BodyText"/>
        <w:numPr>
          <w:ilvl w:val="0"/>
          <w:numId w:val="0"/>
        </w:numPr>
        <w:rPr>
          <w:b/>
          <w:bCs/>
        </w:rPr>
      </w:pPr>
    </w:p>
    <w:p w14:paraId="706ADB65" w14:textId="77777777" w:rsidR="00E61D7B" w:rsidRPr="007E75AE" w:rsidRDefault="00E61D7B" w:rsidP="00E61D7B">
      <w:pPr>
        <w:pStyle w:val="3-BodyText"/>
        <w:numPr>
          <w:ilvl w:val="0"/>
          <w:numId w:val="0"/>
        </w:numPr>
        <w:rPr>
          <w:b/>
          <w:bCs/>
        </w:rPr>
      </w:pPr>
      <w:r w:rsidRPr="007E75AE">
        <w:rPr>
          <w:b/>
          <w:bCs/>
        </w:rPr>
        <w:t>Outcome</w:t>
      </w:r>
      <w:r>
        <w:rPr>
          <w:b/>
          <w:bCs/>
        </w:rPr>
        <w:t>:</w:t>
      </w:r>
    </w:p>
    <w:p w14:paraId="4E6FB471" w14:textId="77777777" w:rsidR="00E61D7B" w:rsidRPr="007E75AE" w:rsidRDefault="00E61D7B" w:rsidP="002D44F2">
      <w:pPr>
        <w:pStyle w:val="3-BodyText"/>
        <w:numPr>
          <w:ilvl w:val="0"/>
          <w:numId w:val="0"/>
        </w:numPr>
        <w:ind w:left="720" w:hanging="720"/>
      </w:pPr>
      <w:r w:rsidRPr="007E75AE">
        <w:t>Advice provided</w:t>
      </w:r>
    </w:p>
    <w:p w14:paraId="3A153AD4" w14:textId="77777777" w:rsidR="00E61D7B" w:rsidRPr="00087D4E" w:rsidRDefault="00E61D7B" w:rsidP="00E61D7B">
      <w:pPr>
        <w:rPr>
          <w:rFonts w:asciiTheme="minorHAnsi" w:hAnsiTheme="minorHAnsi"/>
          <w:bCs/>
          <w:snapToGrid w:val="0"/>
          <w:lang w:val="en-GB"/>
        </w:rPr>
      </w:pPr>
    </w:p>
    <w:p w14:paraId="7B74FFDE" w14:textId="05AC1331" w:rsidR="002D44F2" w:rsidRPr="002D44F2" w:rsidRDefault="002D44F2" w:rsidP="002D44F2">
      <w:pPr>
        <w:pStyle w:val="2-SectionHeading"/>
        <w:numPr>
          <w:ilvl w:val="0"/>
          <w:numId w:val="1"/>
        </w:numPr>
      </w:pPr>
      <w:r w:rsidRPr="00C07617">
        <w:t>Context for Decision</w:t>
      </w:r>
    </w:p>
    <w:p w14:paraId="5288E022" w14:textId="77777777" w:rsidR="002D44F2" w:rsidRPr="007129F2" w:rsidRDefault="002D44F2" w:rsidP="002D44F2">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80B5530" w14:textId="52CF0EC4" w:rsidR="002D44F2" w:rsidRPr="002D44F2" w:rsidRDefault="002D44F2" w:rsidP="002D44F2">
      <w:pPr>
        <w:pStyle w:val="2-SectionHeading"/>
        <w:numPr>
          <w:ilvl w:val="0"/>
          <w:numId w:val="1"/>
        </w:numPr>
      </w:pPr>
      <w:r>
        <w:t>Sponsor’s Comment</w:t>
      </w:r>
    </w:p>
    <w:p w14:paraId="050983D3" w14:textId="5B800BBD" w:rsidR="00F51CCC" w:rsidRPr="00F51CCC" w:rsidRDefault="00F51CCC" w:rsidP="00F51CCC">
      <w:pPr>
        <w:ind w:left="720"/>
        <w:rPr>
          <w:rFonts w:asciiTheme="minorHAnsi" w:hAnsiTheme="minorHAnsi"/>
          <w:bCs/>
          <w:lang w:val="en-GB"/>
        </w:rPr>
      </w:pPr>
      <w:r w:rsidRPr="00F51CCC">
        <w:rPr>
          <w:rFonts w:asciiTheme="minorHAnsi" w:hAnsiTheme="minorHAnsi"/>
          <w:bCs/>
          <w:lang w:val="en-GB"/>
        </w:rPr>
        <w:t xml:space="preserve">GSK is disappointed by the PBAC’s advice to not change its decision to not recommend dostarlimab (Jemperli®) for the treatment of patients with recurrent or advanced mismatch repair deficient (dMMR) endometrial cancer (EC) that has progressed on or following prior treatment with a platinum-containing regimen. Jemperli is currently registered by the TGA for use as monotherapy for the treatment of adult patients with recurrent or advanced mismatch repair deficient (dMMR) endometrial cancer (EC) that has progressed on or following prior treatment with a platinum-containing regimen. </w:t>
      </w:r>
    </w:p>
    <w:p w14:paraId="5912E6E1" w14:textId="77777777" w:rsidR="00F51CCC" w:rsidRPr="00F51CCC" w:rsidRDefault="00F51CCC" w:rsidP="00F51CCC">
      <w:pPr>
        <w:rPr>
          <w:rFonts w:asciiTheme="minorHAnsi" w:hAnsiTheme="minorHAnsi"/>
          <w:bCs/>
          <w:lang w:val="en-GB"/>
        </w:rPr>
      </w:pPr>
      <w:r w:rsidRPr="00F51CCC">
        <w:rPr>
          <w:rFonts w:asciiTheme="minorHAnsi" w:hAnsiTheme="minorHAnsi"/>
          <w:bCs/>
          <w:lang w:val="en-GB"/>
        </w:rPr>
        <w:t xml:space="preserve"> </w:t>
      </w:r>
    </w:p>
    <w:p w14:paraId="452DB67C" w14:textId="55E6AF62" w:rsidR="00875085" w:rsidRPr="00087D4E" w:rsidRDefault="00F51CCC" w:rsidP="00F51CCC">
      <w:pPr>
        <w:ind w:left="720"/>
        <w:rPr>
          <w:rFonts w:asciiTheme="minorHAnsi" w:hAnsiTheme="minorHAnsi"/>
          <w:bCs/>
          <w:snapToGrid w:val="0"/>
          <w:lang w:val="en-GB"/>
        </w:rPr>
      </w:pPr>
      <w:r w:rsidRPr="00F51CCC">
        <w:rPr>
          <w:rFonts w:asciiTheme="minorHAnsi" w:hAnsiTheme="minorHAnsi"/>
          <w:bCs/>
          <w:lang w:val="en-GB"/>
        </w:rPr>
        <w:t>The PBAC has considered that the claim of superior comparative effectiveness versus current standard of care was reasonable and recognised the high clinical need for new treatments and the role Jemperli® may have in addressing this need (paragraphs 6.42 and 7.10, Dostarlimab Public Summary Document, November 2022). GSK is disappointed that the PBAC has not recommended Jemperli® under the circumstances presented in this submission, including the revised pricing proposal put forward by GSK to mitigate the uncertainty in the incremental cost-effectiveness ratio (ICER) due to reliance on single-arm study data.</w:t>
      </w:r>
    </w:p>
    <w:sectPr w:rsidR="00875085" w:rsidRPr="00087D4E" w:rsidSect="00087D4E">
      <w:headerReference w:type="even" r:id="rId14"/>
      <w:headerReference w:type="default" r:id="rId15"/>
      <w:footerReference w:type="even" r:id="rId16"/>
      <w:footerReference w:type="default" r:id="rId17"/>
      <w:headerReference w:type="first" r:id="rId18"/>
      <w:footerReference w:type="first" r:id="rId19"/>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E93CC" w14:textId="77777777" w:rsidR="007E5AAD" w:rsidRDefault="007E5AAD" w:rsidP="00124A51">
      <w:r>
        <w:separator/>
      </w:r>
    </w:p>
    <w:p w14:paraId="28B8BC79" w14:textId="77777777" w:rsidR="007E5AAD" w:rsidRDefault="007E5AAD"/>
  </w:endnote>
  <w:endnote w:type="continuationSeparator" w:id="0">
    <w:p w14:paraId="2A787D78" w14:textId="77777777" w:rsidR="007E5AAD" w:rsidRDefault="007E5AAD" w:rsidP="00124A51">
      <w:r>
        <w:continuationSeparator/>
      </w:r>
    </w:p>
    <w:p w14:paraId="6B723584" w14:textId="77777777" w:rsidR="007E5AAD" w:rsidRDefault="007E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P Simplified Light">
    <w:altName w:val="Calibri"/>
    <w:charset w:val="00"/>
    <w:family w:val="swiss"/>
    <w:pitch w:val="variable"/>
    <w:sig w:usb0="A00000AF" w:usb1="5000205B" w:usb2="00000000" w:usb3="00000000" w:csb0="00000093"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BFDB6" w14:textId="77777777" w:rsidR="009C071E" w:rsidRDefault="009C07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3511" w14:textId="77777777" w:rsidR="00D843F2" w:rsidRDefault="00D843F2" w:rsidP="00753B29">
    <w:pPr>
      <w:pStyle w:val="Footer"/>
      <w:jc w:val="center"/>
    </w:pPr>
  </w:p>
  <w:p w14:paraId="37484CD3" w14:textId="31134289" w:rsidR="00D843F2" w:rsidRPr="002852DA" w:rsidRDefault="00CD09E9" w:rsidP="00753B29">
    <w:pPr>
      <w:pStyle w:val="Footer"/>
      <w:jc w:val="center"/>
      <w:rPr>
        <w:b/>
        <w:bCs/>
      </w:rPr>
    </w:pPr>
    <w:sdt>
      <w:sdtPr>
        <w:id w:val="1036156457"/>
        <w:docPartObj>
          <w:docPartGallery w:val="Page Numbers (Bottom of Page)"/>
          <w:docPartUnique/>
        </w:docPartObj>
      </w:sdtPr>
      <w:sdtEndPr>
        <w:rPr>
          <w:b/>
          <w:bCs/>
          <w:noProof/>
        </w:rPr>
      </w:sdtEndPr>
      <w:sdtContent>
        <w:r w:rsidR="00D843F2" w:rsidRPr="002852DA">
          <w:rPr>
            <w:b/>
            <w:bCs/>
          </w:rPr>
          <w:fldChar w:fldCharType="begin"/>
        </w:r>
        <w:r w:rsidR="00D843F2" w:rsidRPr="002852DA">
          <w:rPr>
            <w:b/>
            <w:bCs/>
          </w:rPr>
          <w:instrText xml:space="preserve"> PAGE   \* MERGEFORMAT </w:instrText>
        </w:r>
        <w:r w:rsidR="00D843F2" w:rsidRPr="002852DA">
          <w:rPr>
            <w:b/>
            <w:bCs/>
          </w:rPr>
          <w:fldChar w:fldCharType="separate"/>
        </w:r>
        <w:r w:rsidR="00D843F2" w:rsidRPr="002852DA">
          <w:rPr>
            <w:b/>
            <w:bCs/>
            <w:noProof/>
          </w:rPr>
          <w:t>2</w:t>
        </w:r>
        <w:r w:rsidR="00D843F2" w:rsidRPr="002852DA">
          <w:rPr>
            <w:b/>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186BF" w14:textId="77777777" w:rsidR="009C071E" w:rsidRDefault="009C0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3FCE4" w14:textId="77777777" w:rsidR="007E5AAD" w:rsidRDefault="007E5AAD" w:rsidP="00124A51">
      <w:r>
        <w:separator/>
      </w:r>
    </w:p>
    <w:p w14:paraId="3A79A1E7" w14:textId="77777777" w:rsidR="007E5AAD" w:rsidRDefault="007E5AAD"/>
  </w:footnote>
  <w:footnote w:type="continuationSeparator" w:id="0">
    <w:p w14:paraId="58ED84FD" w14:textId="77777777" w:rsidR="007E5AAD" w:rsidRDefault="007E5AAD" w:rsidP="00124A51">
      <w:r>
        <w:continuationSeparator/>
      </w:r>
    </w:p>
    <w:p w14:paraId="2B13B594" w14:textId="77777777" w:rsidR="007E5AAD" w:rsidRDefault="007E5AAD"/>
  </w:footnote>
  <w:footnote w:id="1">
    <w:p w14:paraId="61E14764" w14:textId="54220F8C" w:rsidR="00EC4987" w:rsidRDefault="00EC4987">
      <w:pPr>
        <w:pStyle w:val="FootnoteText"/>
      </w:pPr>
      <w:r>
        <w:rPr>
          <w:rStyle w:val="FootnoteReference"/>
        </w:rPr>
        <w:footnoteRef/>
      </w:r>
      <w:r>
        <w:t xml:space="preserve"> </w:t>
      </w:r>
      <w:r w:rsidRPr="00403C8C">
        <w:rPr>
          <w:rFonts w:cs="Arial"/>
          <w:bCs/>
          <w:snapToGrid w:val="0"/>
          <w:szCs w:val="18"/>
        </w:rPr>
        <w:t>Cherny NI, Dafni U, Bogaerts J, et al: ESMO-Magnitude of Clinical Benefit Scale version 1.1. Annals of Oncology 28:2340-2366, 2017]</w:t>
      </w:r>
    </w:p>
  </w:footnote>
  <w:footnote w:id="2">
    <w:p w14:paraId="1B1867BA" w14:textId="1CCB0561" w:rsidR="0073379E" w:rsidRDefault="0073379E">
      <w:pPr>
        <w:pStyle w:val="FootnoteText"/>
      </w:pPr>
      <w:r>
        <w:rPr>
          <w:rStyle w:val="FootnoteReference"/>
        </w:rPr>
        <w:footnoteRef/>
      </w:r>
      <w:r>
        <w:t xml:space="preserve"> </w:t>
      </w:r>
      <w:r w:rsidRPr="00403C8C">
        <w:rPr>
          <w:i/>
          <w:iCs/>
        </w:rPr>
        <w:t>Note that the results presented in relation to the indirect comparison are derived from ad-hoc/ post-hoc analyses conducted by the applicant specifically for the purposes of informing the PBAC consideration. These analyses were not part of the pre-specified statistical plan for GARNET (Cohort A1) and comparator trials. Interpretation of the results and their application should therefore be limited to seeking to understand the basis for the PBAC outcome and should not be used for any other purpose.</w:t>
      </w:r>
    </w:p>
  </w:footnote>
  <w:footnote w:id="3">
    <w:p w14:paraId="37777DE1" w14:textId="54DF0715" w:rsidR="0073379E" w:rsidRDefault="0073379E">
      <w:pPr>
        <w:pStyle w:val="FootnoteText"/>
      </w:pPr>
      <w:r>
        <w:rPr>
          <w:rStyle w:val="FootnoteReference"/>
        </w:rPr>
        <w:footnoteRef/>
      </w:r>
      <w:r>
        <w:t xml:space="preserve"> </w:t>
      </w:r>
      <w:r w:rsidRPr="0073379E">
        <w:rPr>
          <w:i/>
          <w:iCs/>
        </w:rPr>
        <w:t>Note that the results presented in relation to the indirect comparison are derived from ad-hoc/ post-hoc analyses conducted by the applicant specifically for the purposes of informing the PBAC consideration. These analyses were not part of the pre-specified statistical plan for GARNET (Cohort A1) and comparator trials. Interpretation of the results and their application should therefore be limited to seeking to understand the basis for the PBAC outcome and should not be used for any other purpose.</w:t>
      </w:r>
    </w:p>
  </w:footnote>
  <w:footnote w:id="4">
    <w:p w14:paraId="518AFAB2" w14:textId="395D377F" w:rsidR="007B1CD9" w:rsidRDefault="007B1CD9">
      <w:pPr>
        <w:pStyle w:val="FootnoteText"/>
      </w:pPr>
      <w:r>
        <w:rPr>
          <w:rStyle w:val="FootnoteReference"/>
        </w:rPr>
        <w:footnoteRef/>
      </w:r>
      <w:r>
        <w:t xml:space="preserve"> </w:t>
      </w:r>
      <w:r w:rsidRPr="007B1CD9">
        <w:rPr>
          <w:i/>
          <w:iCs/>
        </w:rPr>
        <w:t>Note that the IPTW adjusted analyses are derived from a post-hoc analysis performed specifically for the purposes of informing the PBAC consideration. This analysis was not part of the pre-specified statistical plan for GARNET and ZoptEC. Interpretation of the results and their application should therefore be limited to seeking to understand the basis for the PBAC outcome and should not be used for any other purpose</w:t>
      </w:r>
    </w:p>
  </w:footnote>
  <w:footnote w:id="5">
    <w:p w14:paraId="64965886" w14:textId="44009C59" w:rsidR="007B1CD9" w:rsidRDefault="007B1CD9">
      <w:pPr>
        <w:pStyle w:val="FootnoteText"/>
      </w:pPr>
      <w:r>
        <w:rPr>
          <w:rStyle w:val="FootnoteReference"/>
        </w:rPr>
        <w:footnoteRef/>
      </w:r>
      <w:r>
        <w:t xml:space="preserve"> </w:t>
      </w:r>
      <w:r w:rsidRPr="007B1CD9">
        <w:rPr>
          <w:i/>
          <w:iCs/>
        </w:rPr>
        <w:t>Note that the utility values were provided for the purposes of informing the PBAC consideration. Interpretation of the results and their application should therefore be limited to seeking to understand the basis for the PBAC outcome and should not be used for any other purpose.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D0301" w14:textId="77777777" w:rsidR="009C071E" w:rsidRDefault="009C07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E204" w14:textId="50D9AE13" w:rsidR="00D843F2" w:rsidRPr="00195452" w:rsidRDefault="00875085" w:rsidP="00D822E2">
    <w:pPr>
      <w:pStyle w:val="Header"/>
      <w:rPr>
        <w:rFonts w:asciiTheme="minorHAnsi" w:hAnsiTheme="minorHAnsi"/>
        <w:i/>
        <w:color w:val="808080"/>
      </w:rPr>
    </w:pPr>
    <w:r>
      <w:rPr>
        <w:rFonts w:asciiTheme="minorHAnsi" w:hAnsiTheme="minorHAnsi" w:cstheme="minorHAnsi"/>
        <w:i/>
        <w:color w:val="808080"/>
      </w:rPr>
      <w:t>Public Summary Document</w:t>
    </w:r>
    <w:r w:rsidR="0093289E">
      <w:rPr>
        <w:rFonts w:asciiTheme="minorHAnsi" w:hAnsiTheme="minorHAnsi"/>
        <w:i/>
        <w:color w:val="808080"/>
      </w:rPr>
      <w:t xml:space="preserve"> - </w:t>
    </w:r>
    <w:r w:rsidR="00C84C08">
      <w:rPr>
        <w:rFonts w:asciiTheme="minorHAnsi" w:hAnsiTheme="minorHAnsi"/>
        <w:i/>
        <w:color w:val="808080"/>
      </w:rPr>
      <w:t>November</w:t>
    </w:r>
    <w:r w:rsidR="00DF3A3A">
      <w:rPr>
        <w:rFonts w:asciiTheme="minorHAnsi" w:hAnsiTheme="minorHAnsi"/>
        <w:i/>
        <w:color w:val="808080"/>
      </w:rPr>
      <w:t xml:space="preserve"> </w:t>
    </w:r>
    <w:r w:rsidR="00D843F2">
      <w:rPr>
        <w:rFonts w:asciiTheme="minorHAnsi" w:hAnsiTheme="minorHAnsi"/>
        <w:i/>
        <w:color w:val="808080"/>
      </w:rPr>
      <w:t>202</w:t>
    </w:r>
    <w:r w:rsidR="00C84C08">
      <w:rPr>
        <w:rFonts w:asciiTheme="minorHAnsi" w:hAnsiTheme="minorHAnsi"/>
        <w:i/>
        <w:color w:val="808080"/>
      </w:rPr>
      <w:t>2</w:t>
    </w:r>
    <w:r w:rsidR="00D843F2">
      <w:rPr>
        <w:rFonts w:asciiTheme="minorHAnsi" w:hAnsiTheme="minorHAnsi"/>
        <w:i/>
        <w:color w:val="808080"/>
      </w:rPr>
      <w:t xml:space="preserve"> </w:t>
    </w:r>
    <w:r w:rsidR="00D843F2" w:rsidRPr="00195452">
      <w:rPr>
        <w:rFonts w:asciiTheme="minorHAnsi" w:hAnsiTheme="minorHAnsi"/>
        <w:i/>
        <w:color w:val="808080"/>
      </w:rPr>
      <w:t>PBAC Meeting</w:t>
    </w:r>
    <w:r w:rsidR="00E61D7B">
      <w:rPr>
        <w:rFonts w:asciiTheme="minorHAnsi" w:hAnsiTheme="minorHAnsi"/>
        <w:i/>
        <w:color w:val="808080"/>
      </w:rPr>
      <w:t xml:space="preserve"> with March 2023 Addendum</w:t>
    </w:r>
  </w:p>
  <w:p w14:paraId="03AF943B" w14:textId="77777777" w:rsidR="00D843F2" w:rsidRPr="008C7ECB" w:rsidRDefault="00D843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6E3CD" w14:textId="77777777" w:rsidR="009C071E" w:rsidRDefault="009C07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3EA25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FF77F14"/>
    <w:multiLevelType w:val="hybridMultilevel"/>
    <w:tmpl w:val="F0B4BE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15E4BC3"/>
    <w:multiLevelType w:val="hybridMultilevel"/>
    <w:tmpl w:val="F11EBA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E074BD"/>
    <w:multiLevelType w:val="hybridMultilevel"/>
    <w:tmpl w:val="7736F5A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4C2D0FE6"/>
    <w:multiLevelType w:val="hybridMultilevel"/>
    <w:tmpl w:val="4A32C9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FE7241C"/>
    <w:multiLevelType w:val="hybridMultilevel"/>
    <w:tmpl w:val="EA7669F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DA3389"/>
    <w:multiLevelType w:val="hybridMultilevel"/>
    <w:tmpl w:val="9D1224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ED42CDC"/>
    <w:multiLevelType w:val="multilevel"/>
    <w:tmpl w:val="E1368C46"/>
    <w:lvl w:ilvl="0">
      <w:start w:val="1"/>
      <w:numFmt w:val="decimal"/>
      <w:lvlText w:val="%1"/>
      <w:lvlJc w:val="left"/>
      <w:pPr>
        <w:ind w:left="720" w:hanging="720"/>
      </w:pPr>
      <w:rPr>
        <w:rFonts w:hint="default"/>
        <w:b/>
        <w:color w:val="auto"/>
      </w:rPr>
    </w:lvl>
    <w:lvl w:ilvl="1">
      <w:start w:val="1"/>
      <w:numFmt w:val="decimal"/>
      <w:lvlText w:val="%2."/>
      <w:lvlJc w:val="left"/>
      <w:pPr>
        <w:ind w:left="720" w:hanging="720"/>
      </w:pPr>
      <w:rPr>
        <w:rFonts w:hint="default"/>
        <w:b w:val="0"/>
        <w:i/>
        <w:i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F807FBD"/>
    <w:multiLevelType w:val="hybridMultilevel"/>
    <w:tmpl w:val="9A1CD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61E26870"/>
    <w:multiLevelType w:val="hybridMultilevel"/>
    <w:tmpl w:val="D1DEBDD0"/>
    <w:lvl w:ilvl="0" w:tplc="4C941816">
      <w:start w:val="1"/>
      <w:numFmt w:val="bullet"/>
      <w:lvlText w:val="•"/>
      <w:lvlJc w:val="left"/>
      <w:pPr>
        <w:tabs>
          <w:tab w:val="num" w:pos="720"/>
        </w:tabs>
        <w:ind w:left="720" w:hanging="360"/>
      </w:pPr>
      <w:rPr>
        <w:rFonts w:ascii="Arial" w:hAnsi="Arial" w:hint="default"/>
      </w:rPr>
    </w:lvl>
    <w:lvl w:ilvl="1" w:tplc="4B0219CE" w:tentative="1">
      <w:start w:val="1"/>
      <w:numFmt w:val="bullet"/>
      <w:lvlText w:val="•"/>
      <w:lvlJc w:val="left"/>
      <w:pPr>
        <w:tabs>
          <w:tab w:val="num" w:pos="1440"/>
        </w:tabs>
        <w:ind w:left="1440" w:hanging="360"/>
      </w:pPr>
      <w:rPr>
        <w:rFonts w:ascii="Arial" w:hAnsi="Arial" w:hint="default"/>
      </w:rPr>
    </w:lvl>
    <w:lvl w:ilvl="2" w:tplc="750822CC" w:tentative="1">
      <w:start w:val="1"/>
      <w:numFmt w:val="bullet"/>
      <w:lvlText w:val="•"/>
      <w:lvlJc w:val="left"/>
      <w:pPr>
        <w:tabs>
          <w:tab w:val="num" w:pos="2160"/>
        </w:tabs>
        <w:ind w:left="2160" w:hanging="360"/>
      </w:pPr>
      <w:rPr>
        <w:rFonts w:ascii="Arial" w:hAnsi="Arial" w:hint="default"/>
      </w:rPr>
    </w:lvl>
    <w:lvl w:ilvl="3" w:tplc="6A941D7A" w:tentative="1">
      <w:start w:val="1"/>
      <w:numFmt w:val="bullet"/>
      <w:lvlText w:val="•"/>
      <w:lvlJc w:val="left"/>
      <w:pPr>
        <w:tabs>
          <w:tab w:val="num" w:pos="2880"/>
        </w:tabs>
        <w:ind w:left="2880" w:hanging="360"/>
      </w:pPr>
      <w:rPr>
        <w:rFonts w:ascii="Arial" w:hAnsi="Arial" w:hint="default"/>
      </w:rPr>
    </w:lvl>
    <w:lvl w:ilvl="4" w:tplc="5B369D68" w:tentative="1">
      <w:start w:val="1"/>
      <w:numFmt w:val="bullet"/>
      <w:lvlText w:val="•"/>
      <w:lvlJc w:val="left"/>
      <w:pPr>
        <w:tabs>
          <w:tab w:val="num" w:pos="3600"/>
        </w:tabs>
        <w:ind w:left="3600" w:hanging="360"/>
      </w:pPr>
      <w:rPr>
        <w:rFonts w:ascii="Arial" w:hAnsi="Arial" w:hint="default"/>
      </w:rPr>
    </w:lvl>
    <w:lvl w:ilvl="5" w:tplc="3376A50A" w:tentative="1">
      <w:start w:val="1"/>
      <w:numFmt w:val="bullet"/>
      <w:lvlText w:val="•"/>
      <w:lvlJc w:val="left"/>
      <w:pPr>
        <w:tabs>
          <w:tab w:val="num" w:pos="4320"/>
        </w:tabs>
        <w:ind w:left="4320" w:hanging="360"/>
      </w:pPr>
      <w:rPr>
        <w:rFonts w:ascii="Arial" w:hAnsi="Arial" w:hint="default"/>
      </w:rPr>
    </w:lvl>
    <w:lvl w:ilvl="6" w:tplc="1E005840" w:tentative="1">
      <w:start w:val="1"/>
      <w:numFmt w:val="bullet"/>
      <w:lvlText w:val="•"/>
      <w:lvlJc w:val="left"/>
      <w:pPr>
        <w:tabs>
          <w:tab w:val="num" w:pos="5040"/>
        </w:tabs>
        <w:ind w:left="5040" w:hanging="360"/>
      </w:pPr>
      <w:rPr>
        <w:rFonts w:ascii="Arial" w:hAnsi="Arial" w:hint="default"/>
      </w:rPr>
    </w:lvl>
    <w:lvl w:ilvl="7" w:tplc="18FE14E2" w:tentative="1">
      <w:start w:val="1"/>
      <w:numFmt w:val="bullet"/>
      <w:lvlText w:val="•"/>
      <w:lvlJc w:val="left"/>
      <w:pPr>
        <w:tabs>
          <w:tab w:val="num" w:pos="5760"/>
        </w:tabs>
        <w:ind w:left="5760" w:hanging="360"/>
      </w:pPr>
      <w:rPr>
        <w:rFonts w:ascii="Arial" w:hAnsi="Arial" w:hint="default"/>
      </w:rPr>
    </w:lvl>
    <w:lvl w:ilvl="8" w:tplc="6982404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784D033C"/>
    <w:multiLevelType w:val="multilevel"/>
    <w:tmpl w:val="DBEA2272"/>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5C3527"/>
    <w:multiLevelType w:val="hybridMultilevel"/>
    <w:tmpl w:val="B8D657D0"/>
    <w:lvl w:ilvl="0" w:tplc="0C09001B">
      <w:start w:val="1"/>
      <w:numFmt w:val="lowerRoman"/>
      <w:lvlText w:val="%1."/>
      <w:lvlJc w:val="right"/>
      <w:pPr>
        <w:ind w:left="1080" w:hanging="360"/>
      </w:pPr>
      <w:rPr>
        <w:i/>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5"/>
  </w:num>
  <w:num w:numId="2">
    <w:abstractNumId w:val="4"/>
  </w:num>
  <w:num w:numId="3">
    <w:abstractNumId w:val="0"/>
  </w:num>
  <w:num w:numId="4">
    <w:abstractNumId w:val="15"/>
  </w:num>
  <w:num w:numId="5">
    <w:abstractNumId w:val="14"/>
  </w:num>
  <w:num w:numId="6">
    <w:abstractNumId w:val="6"/>
  </w:num>
  <w:num w:numId="7">
    <w:abstractNumId w:val="5"/>
  </w:num>
  <w:num w:numId="8">
    <w:abstractNumId w:val="11"/>
  </w:num>
  <w:num w:numId="9">
    <w:abstractNumId w:val="2"/>
  </w:num>
  <w:num w:numId="10">
    <w:abstractNumId w:val="10"/>
  </w:num>
  <w:num w:numId="11">
    <w:abstractNumId w:val="16"/>
  </w:num>
  <w:num w:numId="12">
    <w:abstractNumId w:val="7"/>
  </w:num>
  <w:num w:numId="13">
    <w:abstractNumId w:val="8"/>
  </w:num>
  <w:num w:numId="14">
    <w:abstractNumId w:val="1"/>
  </w:num>
  <w:num w:numId="1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3"/>
  </w:num>
  <w:num w:numId="18">
    <w:abstractNumId w:val="9"/>
  </w:num>
  <w:num w:numId="19">
    <w:abstractNumId w:val="15"/>
  </w:num>
  <w:num w:numId="20">
    <w:abstractNumId w:val="15"/>
  </w:num>
  <w:num w:numId="21">
    <w:abstractNumId w:val="15"/>
  </w:num>
  <w:num w:numId="22">
    <w:abstractNumId w:val="15"/>
  </w:num>
  <w:num w:numId="23">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0BFA"/>
    <w:rsid w:val="0000110B"/>
    <w:rsid w:val="00003062"/>
    <w:rsid w:val="00003499"/>
    <w:rsid w:val="000034CA"/>
    <w:rsid w:val="000039B7"/>
    <w:rsid w:val="000043E5"/>
    <w:rsid w:val="00004886"/>
    <w:rsid w:val="000052F0"/>
    <w:rsid w:val="00005364"/>
    <w:rsid w:val="000056B9"/>
    <w:rsid w:val="00005C0C"/>
    <w:rsid w:val="00005CD2"/>
    <w:rsid w:val="0000639A"/>
    <w:rsid w:val="00006A5C"/>
    <w:rsid w:val="000103BE"/>
    <w:rsid w:val="00011CE6"/>
    <w:rsid w:val="00013247"/>
    <w:rsid w:val="0001434A"/>
    <w:rsid w:val="00014393"/>
    <w:rsid w:val="00015886"/>
    <w:rsid w:val="000162EF"/>
    <w:rsid w:val="00016AAC"/>
    <w:rsid w:val="00017229"/>
    <w:rsid w:val="0001749D"/>
    <w:rsid w:val="0002029A"/>
    <w:rsid w:val="000207C9"/>
    <w:rsid w:val="000208B8"/>
    <w:rsid w:val="00021BCA"/>
    <w:rsid w:val="00022124"/>
    <w:rsid w:val="0002225F"/>
    <w:rsid w:val="00022F3A"/>
    <w:rsid w:val="00023763"/>
    <w:rsid w:val="00023D10"/>
    <w:rsid w:val="000248B2"/>
    <w:rsid w:val="00024A78"/>
    <w:rsid w:val="00024B35"/>
    <w:rsid w:val="00024EB5"/>
    <w:rsid w:val="00026828"/>
    <w:rsid w:val="000274B8"/>
    <w:rsid w:val="000279A6"/>
    <w:rsid w:val="00027AB6"/>
    <w:rsid w:val="00027D7F"/>
    <w:rsid w:val="00030AC3"/>
    <w:rsid w:val="00031089"/>
    <w:rsid w:val="0003109C"/>
    <w:rsid w:val="00031170"/>
    <w:rsid w:val="000314E3"/>
    <w:rsid w:val="00031EBD"/>
    <w:rsid w:val="000336A5"/>
    <w:rsid w:val="00033863"/>
    <w:rsid w:val="00035B51"/>
    <w:rsid w:val="00035DC0"/>
    <w:rsid w:val="00036829"/>
    <w:rsid w:val="00040895"/>
    <w:rsid w:val="00040C76"/>
    <w:rsid w:val="000410A0"/>
    <w:rsid w:val="00041648"/>
    <w:rsid w:val="00041C53"/>
    <w:rsid w:val="00043287"/>
    <w:rsid w:val="000435EE"/>
    <w:rsid w:val="0004371D"/>
    <w:rsid w:val="00043726"/>
    <w:rsid w:val="00043C37"/>
    <w:rsid w:val="000441B1"/>
    <w:rsid w:val="00044368"/>
    <w:rsid w:val="000444A0"/>
    <w:rsid w:val="00044843"/>
    <w:rsid w:val="00044EF6"/>
    <w:rsid w:val="00045017"/>
    <w:rsid w:val="00045414"/>
    <w:rsid w:val="00045A2B"/>
    <w:rsid w:val="00045B54"/>
    <w:rsid w:val="0004640F"/>
    <w:rsid w:val="0004648F"/>
    <w:rsid w:val="0004698F"/>
    <w:rsid w:val="00046D64"/>
    <w:rsid w:val="00046D9C"/>
    <w:rsid w:val="00047B50"/>
    <w:rsid w:val="00050036"/>
    <w:rsid w:val="00050878"/>
    <w:rsid w:val="000508C2"/>
    <w:rsid w:val="000521B5"/>
    <w:rsid w:val="00052C8F"/>
    <w:rsid w:val="000539B5"/>
    <w:rsid w:val="000539D0"/>
    <w:rsid w:val="00053DA5"/>
    <w:rsid w:val="000542EA"/>
    <w:rsid w:val="00054621"/>
    <w:rsid w:val="000546D7"/>
    <w:rsid w:val="00054A8D"/>
    <w:rsid w:val="000553C6"/>
    <w:rsid w:val="00055F0C"/>
    <w:rsid w:val="0005649C"/>
    <w:rsid w:val="000566E3"/>
    <w:rsid w:val="00056D97"/>
    <w:rsid w:val="00056ECF"/>
    <w:rsid w:val="00056F84"/>
    <w:rsid w:val="00057C8D"/>
    <w:rsid w:val="00060468"/>
    <w:rsid w:val="000604DF"/>
    <w:rsid w:val="0006077D"/>
    <w:rsid w:val="000610F5"/>
    <w:rsid w:val="00061104"/>
    <w:rsid w:val="0006120C"/>
    <w:rsid w:val="00061463"/>
    <w:rsid w:val="00061D3D"/>
    <w:rsid w:val="00062324"/>
    <w:rsid w:val="0006257F"/>
    <w:rsid w:val="00062710"/>
    <w:rsid w:val="0006285F"/>
    <w:rsid w:val="00063CB6"/>
    <w:rsid w:val="00064A5A"/>
    <w:rsid w:val="000653B5"/>
    <w:rsid w:val="00065A41"/>
    <w:rsid w:val="00066360"/>
    <w:rsid w:val="000664EE"/>
    <w:rsid w:val="00066AF8"/>
    <w:rsid w:val="00066EB2"/>
    <w:rsid w:val="0006737A"/>
    <w:rsid w:val="00067E76"/>
    <w:rsid w:val="00070634"/>
    <w:rsid w:val="00071248"/>
    <w:rsid w:val="000720B9"/>
    <w:rsid w:val="00072BC8"/>
    <w:rsid w:val="000736D0"/>
    <w:rsid w:val="000737F7"/>
    <w:rsid w:val="00073DDF"/>
    <w:rsid w:val="00074559"/>
    <w:rsid w:val="00074896"/>
    <w:rsid w:val="00074B63"/>
    <w:rsid w:val="00074D4D"/>
    <w:rsid w:val="00075063"/>
    <w:rsid w:val="000758BE"/>
    <w:rsid w:val="000766F3"/>
    <w:rsid w:val="0007672F"/>
    <w:rsid w:val="00076B54"/>
    <w:rsid w:val="000774F0"/>
    <w:rsid w:val="00077D8F"/>
    <w:rsid w:val="00080378"/>
    <w:rsid w:val="00080388"/>
    <w:rsid w:val="00080909"/>
    <w:rsid w:val="000812CA"/>
    <w:rsid w:val="00081B9D"/>
    <w:rsid w:val="00081E63"/>
    <w:rsid w:val="00081F2A"/>
    <w:rsid w:val="0008258D"/>
    <w:rsid w:val="000831AA"/>
    <w:rsid w:val="00083374"/>
    <w:rsid w:val="00083E99"/>
    <w:rsid w:val="0008447D"/>
    <w:rsid w:val="00084A09"/>
    <w:rsid w:val="00084EDF"/>
    <w:rsid w:val="00084F83"/>
    <w:rsid w:val="00084FA8"/>
    <w:rsid w:val="0008547B"/>
    <w:rsid w:val="00085481"/>
    <w:rsid w:val="000856C5"/>
    <w:rsid w:val="00085C31"/>
    <w:rsid w:val="0008601D"/>
    <w:rsid w:val="000863E4"/>
    <w:rsid w:val="00087241"/>
    <w:rsid w:val="0008733B"/>
    <w:rsid w:val="00087D4E"/>
    <w:rsid w:val="000902D9"/>
    <w:rsid w:val="00090C7E"/>
    <w:rsid w:val="000911AC"/>
    <w:rsid w:val="000914C3"/>
    <w:rsid w:val="00091C93"/>
    <w:rsid w:val="00091D61"/>
    <w:rsid w:val="00092600"/>
    <w:rsid w:val="0009262B"/>
    <w:rsid w:val="00093310"/>
    <w:rsid w:val="000940B4"/>
    <w:rsid w:val="0009445C"/>
    <w:rsid w:val="00094DF4"/>
    <w:rsid w:val="000950F7"/>
    <w:rsid w:val="00095200"/>
    <w:rsid w:val="00095301"/>
    <w:rsid w:val="00095FE5"/>
    <w:rsid w:val="0009622D"/>
    <w:rsid w:val="00096284"/>
    <w:rsid w:val="000974AC"/>
    <w:rsid w:val="000976B1"/>
    <w:rsid w:val="000A02CC"/>
    <w:rsid w:val="000A0918"/>
    <w:rsid w:val="000A125C"/>
    <w:rsid w:val="000A1597"/>
    <w:rsid w:val="000A1BC0"/>
    <w:rsid w:val="000A1EAB"/>
    <w:rsid w:val="000A2748"/>
    <w:rsid w:val="000A2F9E"/>
    <w:rsid w:val="000A3264"/>
    <w:rsid w:val="000A3531"/>
    <w:rsid w:val="000A3E47"/>
    <w:rsid w:val="000A471A"/>
    <w:rsid w:val="000A492A"/>
    <w:rsid w:val="000A522B"/>
    <w:rsid w:val="000A6039"/>
    <w:rsid w:val="000A62E6"/>
    <w:rsid w:val="000A701B"/>
    <w:rsid w:val="000A7341"/>
    <w:rsid w:val="000A73AA"/>
    <w:rsid w:val="000A7453"/>
    <w:rsid w:val="000A78E8"/>
    <w:rsid w:val="000A7D08"/>
    <w:rsid w:val="000B0121"/>
    <w:rsid w:val="000B0137"/>
    <w:rsid w:val="000B0670"/>
    <w:rsid w:val="000B0E75"/>
    <w:rsid w:val="000B1BA0"/>
    <w:rsid w:val="000B2DCB"/>
    <w:rsid w:val="000B3677"/>
    <w:rsid w:val="000B448E"/>
    <w:rsid w:val="000B4ECC"/>
    <w:rsid w:val="000B5CE0"/>
    <w:rsid w:val="000B5E43"/>
    <w:rsid w:val="000B6CAC"/>
    <w:rsid w:val="000B7612"/>
    <w:rsid w:val="000B78AE"/>
    <w:rsid w:val="000B7DD5"/>
    <w:rsid w:val="000C3624"/>
    <w:rsid w:val="000C3BDD"/>
    <w:rsid w:val="000C3DF9"/>
    <w:rsid w:val="000C4857"/>
    <w:rsid w:val="000C4CF2"/>
    <w:rsid w:val="000C6355"/>
    <w:rsid w:val="000C6537"/>
    <w:rsid w:val="000C65FC"/>
    <w:rsid w:val="000C6713"/>
    <w:rsid w:val="000C6954"/>
    <w:rsid w:val="000C6CB8"/>
    <w:rsid w:val="000C7035"/>
    <w:rsid w:val="000C7148"/>
    <w:rsid w:val="000C7F05"/>
    <w:rsid w:val="000D03CB"/>
    <w:rsid w:val="000D095C"/>
    <w:rsid w:val="000D1BFC"/>
    <w:rsid w:val="000D1D5D"/>
    <w:rsid w:val="000D1EE8"/>
    <w:rsid w:val="000D281A"/>
    <w:rsid w:val="000D2848"/>
    <w:rsid w:val="000D2E03"/>
    <w:rsid w:val="000D326A"/>
    <w:rsid w:val="000D3541"/>
    <w:rsid w:val="000D37E2"/>
    <w:rsid w:val="000D37F2"/>
    <w:rsid w:val="000D382F"/>
    <w:rsid w:val="000D43E7"/>
    <w:rsid w:val="000D4F8D"/>
    <w:rsid w:val="000D51FB"/>
    <w:rsid w:val="000D621F"/>
    <w:rsid w:val="000E0281"/>
    <w:rsid w:val="000E0640"/>
    <w:rsid w:val="000E0E50"/>
    <w:rsid w:val="000E135D"/>
    <w:rsid w:val="000E14B1"/>
    <w:rsid w:val="000E1DA3"/>
    <w:rsid w:val="000E1E38"/>
    <w:rsid w:val="000E21DC"/>
    <w:rsid w:val="000E2B7E"/>
    <w:rsid w:val="000E3102"/>
    <w:rsid w:val="000E49CF"/>
    <w:rsid w:val="000E58D7"/>
    <w:rsid w:val="000E5A07"/>
    <w:rsid w:val="000E6205"/>
    <w:rsid w:val="000E75F9"/>
    <w:rsid w:val="000F00BA"/>
    <w:rsid w:val="000F0152"/>
    <w:rsid w:val="000F0467"/>
    <w:rsid w:val="000F0D05"/>
    <w:rsid w:val="000F19DD"/>
    <w:rsid w:val="000F23A4"/>
    <w:rsid w:val="000F23B4"/>
    <w:rsid w:val="000F3081"/>
    <w:rsid w:val="000F316A"/>
    <w:rsid w:val="000F3242"/>
    <w:rsid w:val="000F33B9"/>
    <w:rsid w:val="000F341A"/>
    <w:rsid w:val="000F3C74"/>
    <w:rsid w:val="000F3D27"/>
    <w:rsid w:val="000F4BB8"/>
    <w:rsid w:val="000F4FA9"/>
    <w:rsid w:val="000F53FB"/>
    <w:rsid w:val="000F6AF3"/>
    <w:rsid w:val="000F6C0C"/>
    <w:rsid w:val="000F6F5F"/>
    <w:rsid w:val="000F7127"/>
    <w:rsid w:val="000F72A8"/>
    <w:rsid w:val="000F74AE"/>
    <w:rsid w:val="000F74D5"/>
    <w:rsid w:val="000F7776"/>
    <w:rsid w:val="000F7B54"/>
    <w:rsid w:val="001000B3"/>
    <w:rsid w:val="001003CA"/>
    <w:rsid w:val="00100C81"/>
    <w:rsid w:val="00100F8A"/>
    <w:rsid w:val="00101387"/>
    <w:rsid w:val="00101D22"/>
    <w:rsid w:val="00102152"/>
    <w:rsid w:val="001023A7"/>
    <w:rsid w:val="001032D8"/>
    <w:rsid w:val="0010443E"/>
    <w:rsid w:val="00104450"/>
    <w:rsid w:val="0010452E"/>
    <w:rsid w:val="00104B94"/>
    <w:rsid w:val="00105150"/>
    <w:rsid w:val="00105AE2"/>
    <w:rsid w:val="00105FA6"/>
    <w:rsid w:val="00106012"/>
    <w:rsid w:val="001060C6"/>
    <w:rsid w:val="001060F4"/>
    <w:rsid w:val="00106221"/>
    <w:rsid w:val="00106B44"/>
    <w:rsid w:val="00106B80"/>
    <w:rsid w:val="0010702F"/>
    <w:rsid w:val="0010725F"/>
    <w:rsid w:val="001072F3"/>
    <w:rsid w:val="0011032E"/>
    <w:rsid w:val="00110459"/>
    <w:rsid w:val="00110AC5"/>
    <w:rsid w:val="00110C3C"/>
    <w:rsid w:val="00111D4A"/>
    <w:rsid w:val="0011348B"/>
    <w:rsid w:val="00113A4D"/>
    <w:rsid w:val="001140AD"/>
    <w:rsid w:val="00114171"/>
    <w:rsid w:val="0011428F"/>
    <w:rsid w:val="00114385"/>
    <w:rsid w:val="0011486F"/>
    <w:rsid w:val="00114B8E"/>
    <w:rsid w:val="00114C58"/>
    <w:rsid w:val="001157B3"/>
    <w:rsid w:val="00115982"/>
    <w:rsid w:val="00116C53"/>
    <w:rsid w:val="00117657"/>
    <w:rsid w:val="00117770"/>
    <w:rsid w:val="001210A3"/>
    <w:rsid w:val="00121799"/>
    <w:rsid w:val="001222FC"/>
    <w:rsid w:val="0012248A"/>
    <w:rsid w:val="001232DA"/>
    <w:rsid w:val="00123902"/>
    <w:rsid w:val="00123AC7"/>
    <w:rsid w:val="00123D3E"/>
    <w:rsid w:val="00124A51"/>
    <w:rsid w:val="00125371"/>
    <w:rsid w:val="00125CA6"/>
    <w:rsid w:val="00126621"/>
    <w:rsid w:val="00126729"/>
    <w:rsid w:val="00126AB8"/>
    <w:rsid w:val="00126B1D"/>
    <w:rsid w:val="0012724A"/>
    <w:rsid w:val="0012737A"/>
    <w:rsid w:val="00127DBA"/>
    <w:rsid w:val="001301E9"/>
    <w:rsid w:val="00130678"/>
    <w:rsid w:val="00131509"/>
    <w:rsid w:val="001315E3"/>
    <w:rsid w:val="00131D82"/>
    <w:rsid w:val="00132821"/>
    <w:rsid w:val="00132B22"/>
    <w:rsid w:val="00133206"/>
    <w:rsid w:val="001336B6"/>
    <w:rsid w:val="00133D36"/>
    <w:rsid w:val="00134FF4"/>
    <w:rsid w:val="00135D91"/>
    <w:rsid w:val="00136366"/>
    <w:rsid w:val="00136A98"/>
    <w:rsid w:val="00137645"/>
    <w:rsid w:val="00140087"/>
    <w:rsid w:val="0014015A"/>
    <w:rsid w:val="00140E99"/>
    <w:rsid w:val="00141466"/>
    <w:rsid w:val="001418AC"/>
    <w:rsid w:val="001418C9"/>
    <w:rsid w:val="00142003"/>
    <w:rsid w:val="001421AE"/>
    <w:rsid w:val="00142729"/>
    <w:rsid w:val="0014368D"/>
    <w:rsid w:val="001438C7"/>
    <w:rsid w:val="00143B58"/>
    <w:rsid w:val="00143DDE"/>
    <w:rsid w:val="00143F67"/>
    <w:rsid w:val="00145234"/>
    <w:rsid w:val="00145540"/>
    <w:rsid w:val="001455F2"/>
    <w:rsid w:val="001456B0"/>
    <w:rsid w:val="001459F6"/>
    <w:rsid w:val="00145A6C"/>
    <w:rsid w:val="0014645E"/>
    <w:rsid w:val="00146FF0"/>
    <w:rsid w:val="001470EE"/>
    <w:rsid w:val="00147961"/>
    <w:rsid w:val="00147A68"/>
    <w:rsid w:val="00147D28"/>
    <w:rsid w:val="00150636"/>
    <w:rsid w:val="00150738"/>
    <w:rsid w:val="00150852"/>
    <w:rsid w:val="00150854"/>
    <w:rsid w:val="00151AD0"/>
    <w:rsid w:val="00151C61"/>
    <w:rsid w:val="00151EC5"/>
    <w:rsid w:val="0015353E"/>
    <w:rsid w:val="00153F7B"/>
    <w:rsid w:val="00154626"/>
    <w:rsid w:val="001547AB"/>
    <w:rsid w:val="00156C27"/>
    <w:rsid w:val="00156F8F"/>
    <w:rsid w:val="00157130"/>
    <w:rsid w:val="001576B1"/>
    <w:rsid w:val="0016047B"/>
    <w:rsid w:val="00160775"/>
    <w:rsid w:val="001608A9"/>
    <w:rsid w:val="00160A4C"/>
    <w:rsid w:val="00161C91"/>
    <w:rsid w:val="001626F3"/>
    <w:rsid w:val="00162913"/>
    <w:rsid w:val="00162C3D"/>
    <w:rsid w:val="00162EA3"/>
    <w:rsid w:val="00162EFD"/>
    <w:rsid w:val="0016374E"/>
    <w:rsid w:val="00163EFF"/>
    <w:rsid w:val="00163F66"/>
    <w:rsid w:val="00164614"/>
    <w:rsid w:val="0016478E"/>
    <w:rsid w:val="00164AC2"/>
    <w:rsid w:val="00164FCF"/>
    <w:rsid w:val="00164FF2"/>
    <w:rsid w:val="0016554D"/>
    <w:rsid w:val="00165EC4"/>
    <w:rsid w:val="001661FB"/>
    <w:rsid w:val="001671A0"/>
    <w:rsid w:val="0016767F"/>
    <w:rsid w:val="001678BB"/>
    <w:rsid w:val="00170D8A"/>
    <w:rsid w:val="001723FB"/>
    <w:rsid w:val="001726AC"/>
    <w:rsid w:val="00172E18"/>
    <w:rsid w:val="001731A2"/>
    <w:rsid w:val="001734C8"/>
    <w:rsid w:val="00173565"/>
    <w:rsid w:val="00173B07"/>
    <w:rsid w:val="00174A7D"/>
    <w:rsid w:val="001751FA"/>
    <w:rsid w:val="0017534D"/>
    <w:rsid w:val="0017592F"/>
    <w:rsid w:val="00176D85"/>
    <w:rsid w:val="001800E2"/>
    <w:rsid w:val="00181BB0"/>
    <w:rsid w:val="00181C10"/>
    <w:rsid w:val="00181D9C"/>
    <w:rsid w:val="001837FF"/>
    <w:rsid w:val="001839AE"/>
    <w:rsid w:val="0018476F"/>
    <w:rsid w:val="00184B0E"/>
    <w:rsid w:val="00184D8A"/>
    <w:rsid w:val="001850A7"/>
    <w:rsid w:val="0018552B"/>
    <w:rsid w:val="00185A18"/>
    <w:rsid w:val="00185B8A"/>
    <w:rsid w:val="0018655A"/>
    <w:rsid w:val="0018703D"/>
    <w:rsid w:val="0018752F"/>
    <w:rsid w:val="00191298"/>
    <w:rsid w:val="00191FE5"/>
    <w:rsid w:val="00193838"/>
    <w:rsid w:val="00194AD8"/>
    <w:rsid w:val="00194E91"/>
    <w:rsid w:val="00195222"/>
    <w:rsid w:val="00195452"/>
    <w:rsid w:val="001965D2"/>
    <w:rsid w:val="0019694C"/>
    <w:rsid w:val="00196EA3"/>
    <w:rsid w:val="001974B5"/>
    <w:rsid w:val="001975D8"/>
    <w:rsid w:val="00197C43"/>
    <w:rsid w:val="001A0784"/>
    <w:rsid w:val="001A12E8"/>
    <w:rsid w:val="001A1393"/>
    <w:rsid w:val="001A146D"/>
    <w:rsid w:val="001A178E"/>
    <w:rsid w:val="001A1CD3"/>
    <w:rsid w:val="001A1DE6"/>
    <w:rsid w:val="001A308C"/>
    <w:rsid w:val="001A3CA9"/>
    <w:rsid w:val="001A43FA"/>
    <w:rsid w:val="001A47C5"/>
    <w:rsid w:val="001A4D5F"/>
    <w:rsid w:val="001A5034"/>
    <w:rsid w:val="001A53BF"/>
    <w:rsid w:val="001A59FB"/>
    <w:rsid w:val="001A5E9E"/>
    <w:rsid w:val="001A6354"/>
    <w:rsid w:val="001A6366"/>
    <w:rsid w:val="001A747E"/>
    <w:rsid w:val="001A7938"/>
    <w:rsid w:val="001A7A9B"/>
    <w:rsid w:val="001A7AE8"/>
    <w:rsid w:val="001B018B"/>
    <w:rsid w:val="001B1785"/>
    <w:rsid w:val="001B204E"/>
    <w:rsid w:val="001B2372"/>
    <w:rsid w:val="001B24E6"/>
    <w:rsid w:val="001B27A1"/>
    <w:rsid w:val="001B3443"/>
    <w:rsid w:val="001B3F58"/>
    <w:rsid w:val="001B4D20"/>
    <w:rsid w:val="001B5FAF"/>
    <w:rsid w:val="001B7F84"/>
    <w:rsid w:val="001C0902"/>
    <w:rsid w:val="001C0D52"/>
    <w:rsid w:val="001C106F"/>
    <w:rsid w:val="001C1254"/>
    <w:rsid w:val="001C1331"/>
    <w:rsid w:val="001C14A2"/>
    <w:rsid w:val="001C153B"/>
    <w:rsid w:val="001C186E"/>
    <w:rsid w:val="001C1D3B"/>
    <w:rsid w:val="001C1E41"/>
    <w:rsid w:val="001C22CA"/>
    <w:rsid w:val="001C251C"/>
    <w:rsid w:val="001C2904"/>
    <w:rsid w:val="001C2A9B"/>
    <w:rsid w:val="001C3500"/>
    <w:rsid w:val="001C3804"/>
    <w:rsid w:val="001C3DD6"/>
    <w:rsid w:val="001C4299"/>
    <w:rsid w:val="001C4844"/>
    <w:rsid w:val="001C4874"/>
    <w:rsid w:val="001C4BBC"/>
    <w:rsid w:val="001C4C53"/>
    <w:rsid w:val="001C551D"/>
    <w:rsid w:val="001C5C4B"/>
    <w:rsid w:val="001C5CE8"/>
    <w:rsid w:val="001C5F94"/>
    <w:rsid w:val="001C6454"/>
    <w:rsid w:val="001C6E66"/>
    <w:rsid w:val="001C7621"/>
    <w:rsid w:val="001D01BE"/>
    <w:rsid w:val="001D058A"/>
    <w:rsid w:val="001D1100"/>
    <w:rsid w:val="001D1391"/>
    <w:rsid w:val="001D1FC3"/>
    <w:rsid w:val="001D2123"/>
    <w:rsid w:val="001D23D4"/>
    <w:rsid w:val="001D25D7"/>
    <w:rsid w:val="001D2A1B"/>
    <w:rsid w:val="001D2E1F"/>
    <w:rsid w:val="001D3200"/>
    <w:rsid w:val="001D38E7"/>
    <w:rsid w:val="001D42D8"/>
    <w:rsid w:val="001D47DC"/>
    <w:rsid w:val="001D500A"/>
    <w:rsid w:val="001D50B2"/>
    <w:rsid w:val="001D6D72"/>
    <w:rsid w:val="001D71F4"/>
    <w:rsid w:val="001D742F"/>
    <w:rsid w:val="001D7645"/>
    <w:rsid w:val="001D77C2"/>
    <w:rsid w:val="001D78E6"/>
    <w:rsid w:val="001E00DC"/>
    <w:rsid w:val="001E0EA0"/>
    <w:rsid w:val="001E1BD5"/>
    <w:rsid w:val="001E1E86"/>
    <w:rsid w:val="001E21D8"/>
    <w:rsid w:val="001E238E"/>
    <w:rsid w:val="001E2483"/>
    <w:rsid w:val="001E2B1E"/>
    <w:rsid w:val="001E2CFF"/>
    <w:rsid w:val="001E2F24"/>
    <w:rsid w:val="001E30D4"/>
    <w:rsid w:val="001E34DF"/>
    <w:rsid w:val="001E34F8"/>
    <w:rsid w:val="001E37A0"/>
    <w:rsid w:val="001E47F7"/>
    <w:rsid w:val="001E52EB"/>
    <w:rsid w:val="001E56E0"/>
    <w:rsid w:val="001E5A1E"/>
    <w:rsid w:val="001E5E65"/>
    <w:rsid w:val="001E61D2"/>
    <w:rsid w:val="001E634B"/>
    <w:rsid w:val="001E63F0"/>
    <w:rsid w:val="001E674A"/>
    <w:rsid w:val="001E740C"/>
    <w:rsid w:val="001E74C6"/>
    <w:rsid w:val="001F09B5"/>
    <w:rsid w:val="001F0D49"/>
    <w:rsid w:val="001F1235"/>
    <w:rsid w:val="001F12F5"/>
    <w:rsid w:val="001F14BE"/>
    <w:rsid w:val="001F16B2"/>
    <w:rsid w:val="001F1763"/>
    <w:rsid w:val="001F17D7"/>
    <w:rsid w:val="001F194F"/>
    <w:rsid w:val="001F1CB3"/>
    <w:rsid w:val="001F1F24"/>
    <w:rsid w:val="001F2252"/>
    <w:rsid w:val="001F25F0"/>
    <w:rsid w:val="001F2D2C"/>
    <w:rsid w:val="001F38B5"/>
    <w:rsid w:val="001F4081"/>
    <w:rsid w:val="001F4B36"/>
    <w:rsid w:val="001F4D57"/>
    <w:rsid w:val="001F5B49"/>
    <w:rsid w:val="001F5C18"/>
    <w:rsid w:val="001F5C3C"/>
    <w:rsid w:val="001F6082"/>
    <w:rsid w:val="001F6092"/>
    <w:rsid w:val="001F6182"/>
    <w:rsid w:val="001F7361"/>
    <w:rsid w:val="002003EC"/>
    <w:rsid w:val="002005E4"/>
    <w:rsid w:val="0020065B"/>
    <w:rsid w:val="0020088E"/>
    <w:rsid w:val="00200B0C"/>
    <w:rsid w:val="002011B0"/>
    <w:rsid w:val="002029E5"/>
    <w:rsid w:val="00202CEA"/>
    <w:rsid w:val="00203181"/>
    <w:rsid w:val="00203783"/>
    <w:rsid w:val="0020385F"/>
    <w:rsid w:val="00203CC0"/>
    <w:rsid w:val="00204C21"/>
    <w:rsid w:val="00206633"/>
    <w:rsid w:val="0020673D"/>
    <w:rsid w:val="002068A0"/>
    <w:rsid w:val="00207021"/>
    <w:rsid w:val="0020732F"/>
    <w:rsid w:val="00207D00"/>
    <w:rsid w:val="00207D28"/>
    <w:rsid w:val="002105C1"/>
    <w:rsid w:val="00210A4F"/>
    <w:rsid w:val="002116FD"/>
    <w:rsid w:val="002121D6"/>
    <w:rsid w:val="002125B1"/>
    <w:rsid w:val="002127D0"/>
    <w:rsid w:val="00212909"/>
    <w:rsid w:val="00212E4B"/>
    <w:rsid w:val="002131BD"/>
    <w:rsid w:val="002136D6"/>
    <w:rsid w:val="00213EF5"/>
    <w:rsid w:val="0021443A"/>
    <w:rsid w:val="00214C77"/>
    <w:rsid w:val="00216464"/>
    <w:rsid w:val="00216BF5"/>
    <w:rsid w:val="002173D4"/>
    <w:rsid w:val="0021764A"/>
    <w:rsid w:val="0021798D"/>
    <w:rsid w:val="00217B8B"/>
    <w:rsid w:val="0022022D"/>
    <w:rsid w:val="00220286"/>
    <w:rsid w:val="00221D1C"/>
    <w:rsid w:val="002226CD"/>
    <w:rsid w:val="00222AF9"/>
    <w:rsid w:val="00223B49"/>
    <w:rsid w:val="00223D5A"/>
    <w:rsid w:val="00223E90"/>
    <w:rsid w:val="00224DD4"/>
    <w:rsid w:val="0022541E"/>
    <w:rsid w:val="002257BA"/>
    <w:rsid w:val="00225BE9"/>
    <w:rsid w:val="002265DD"/>
    <w:rsid w:val="00226ABC"/>
    <w:rsid w:val="002271B2"/>
    <w:rsid w:val="002278A0"/>
    <w:rsid w:val="002309CC"/>
    <w:rsid w:val="00231BA9"/>
    <w:rsid w:val="00231E7C"/>
    <w:rsid w:val="0023209F"/>
    <w:rsid w:val="00232CD5"/>
    <w:rsid w:val="00232E75"/>
    <w:rsid w:val="00233C01"/>
    <w:rsid w:val="0023413C"/>
    <w:rsid w:val="002346F0"/>
    <w:rsid w:val="00234831"/>
    <w:rsid w:val="0023629D"/>
    <w:rsid w:val="00236368"/>
    <w:rsid w:val="002363DC"/>
    <w:rsid w:val="00236EE2"/>
    <w:rsid w:val="00237255"/>
    <w:rsid w:val="00240794"/>
    <w:rsid w:val="00240D99"/>
    <w:rsid w:val="00240E04"/>
    <w:rsid w:val="002424AF"/>
    <w:rsid w:val="00243904"/>
    <w:rsid w:val="002439DC"/>
    <w:rsid w:val="002441D2"/>
    <w:rsid w:val="00244B97"/>
    <w:rsid w:val="00244DC8"/>
    <w:rsid w:val="002458BA"/>
    <w:rsid w:val="00245AB3"/>
    <w:rsid w:val="00245CE9"/>
    <w:rsid w:val="00246126"/>
    <w:rsid w:val="002462FC"/>
    <w:rsid w:val="0024636C"/>
    <w:rsid w:val="002465F5"/>
    <w:rsid w:val="00247925"/>
    <w:rsid w:val="00247CA1"/>
    <w:rsid w:val="00250234"/>
    <w:rsid w:val="00250CB3"/>
    <w:rsid w:val="00250DD2"/>
    <w:rsid w:val="00251006"/>
    <w:rsid w:val="00251FE3"/>
    <w:rsid w:val="00251FF0"/>
    <w:rsid w:val="00252053"/>
    <w:rsid w:val="002522A0"/>
    <w:rsid w:val="002524D5"/>
    <w:rsid w:val="00252E84"/>
    <w:rsid w:val="002534E9"/>
    <w:rsid w:val="0025371A"/>
    <w:rsid w:val="00253B1D"/>
    <w:rsid w:val="00254DCF"/>
    <w:rsid w:val="00254DEC"/>
    <w:rsid w:val="0025534B"/>
    <w:rsid w:val="00255B02"/>
    <w:rsid w:val="00255BB7"/>
    <w:rsid w:val="002566F9"/>
    <w:rsid w:val="00256D0C"/>
    <w:rsid w:val="00256D53"/>
    <w:rsid w:val="00257541"/>
    <w:rsid w:val="00257A39"/>
    <w:rsid w:val="00257AC4"/>
    <w:rsid w:val="00257ADD"/>
    <w:rsid w:val="00257BBE"/>
    <w:rsid w:val="00261DAC"/>
    <w:rsid w:val="00261EEF"/>
    <w:rsid w:val="00262A1A"/>
    <w:rsid w:val="00262A87"/>
    <w:rsid w:val="00263B0E"/>
    <w:rsid w:val="0026400B"/>
    <w:rsid w:val="00264335"/>
    <w:rsid w:val="00264D26"/>
    <w:rsid w:val="002668EB"/>
    <w:rsid w:val="00266C55"/>
    <w:rsid w:val="00267642"/>
    <w:rsid w:val="00267AEA"/>
    <w:rsid w:val="002700E6"/>
    <w:rsid w:val="002705C5"/>
    <w:rsid w:val="002716DE"/>
    <w:rsid w:val="002718BE"/>
    <w:rsid w:val="00271A38"/>
    <w:rsid w:val="00271CB7"/>
    <w:rsid w:val="0027294B"/>
    <w:rsid w:val="00273200"/>
    <w:rsid w:val="00273EB4"/>
    <w:rsid w:val="002741CA"/>
    <w:rsid w:val="00274322"/>
    <w:rsid w:val="00274682"/>
    <w:rsid w:val="0027510F"/>
    <w:rsid w:val="00275158"/>
    <w:rsid w:val="00275C5A"/>
    <w:rsid w:val="0027742C"/>
    <w:rsid w:val="00281014"/>
    <w:rsid w:val="0028332C"/>
    <w:rsid w:val="00284F84"/>
    <w:rsid w:val="002852DA"/>
    <w:rsid w:val="00285357"/>
    <w:rsid w:val="00285BCE"/>
    <w:rsid w:val="00286054"/>
    <w:rsid w:val="0028665D"/>
    <w:rsid w:val="002870DF"/>
    <w:rsid w:val="00287F3F"/>
    <w:rsid w:val="00291265"/>
    <w:rsid w:val="00292A59"/>
    <w:rsid w:val="00293277"/>
    <w:rsid w:val="00294FF4"/>
    <w:rsid w:val="002958F2"/>
    <w:rsid w:val="0029592E"/>
    <w:rsid w:val="00297555"/>
    <w:rsid w:val="00297A58"/>
    <w:rsid w:val="002A0C5F"/>
    <w:rsid w:val="002A0D40"/>
    <w:rsid w:val="002A14AB"/>
    <w:rsid w:val="002A24AC"/>
    <w:rsid w:val="002A2894"/>
    <w:rsid w:val="002A2ADE"/>
    <w:rsid w:val="002A2F50"/>
    <w:rsid w:val="002A36A1"/>
    <w:rsid w:val="002A470E"/>
    <w:rsid w:val="002A475E"/>
    <w:rsid w:val="002A4C9A"/>
    <w:rsid w:val="002A621D"/>
    <w:rsid w:val="002A6DBC"/>
    <w:rsid w:val="002A751F"/>
    <w:rsid w:val="002A7943"/>
    <w:rsid w:val="002B002C"/>
    <w:rsid w:val="002B005B"/>
    <w:rsid w:val="002B05A1"/>
    <w:rsid w:val="002B0969"/>
    <w:rsid w:val="002B09A4"/>
    <w:rsid w:val="002B1C1F"/>
    <w:rsid w:val="002B2212"/>
    <w:rsid w:val="002B2235"/>
    <w:rsid w:val="002B2253"/>
    <w:rsid w:val="002B31B9"/>
    <w:rsid w:val="002B3A1B"/>
    <w:rsid w:val="002B3B75"/>
    <w:rsid w:val="002B4015"/>
    <w:rsid w:val="002B432F"/>
    <w:rsid w:val="002B51B1"/>
    <w:rsid w:val="002B58A4"/>
    <w:rsid w:val="002B5AF5"/>
    <w:rsid w:val="002B5E60"/>
    <w:rsid w:val="002B62B3"/>
    <w:rsid w:val="002B6754"/>
    <w:rsid w:val="002B6A91"/>
    <w:rsid w:val="002B6CCE"/>
    <w:rsid w:val="002B7E24"/>
    <w:rsid w:val="002C06F8"/>
    <w:rsid w:val="002C077C"/>
    <w:rsid w:val="002C1123"/>
    <w:rsid w:val="002C1FCD"/>
    <w:rsid w:val="002C2510"/>
    <w:rsid w:val="002C2775"/>
    <w:rsid w:val="002C27C1"/>
    <w:rsid w:val="002C36E3"/>
    <w:rsid w:val="002C37F7"/>
    <w:rsid w:val="002C4087"/>
    <w:rsid w:val="002C5099"/>
    <w:rsid w:val="002C5889"/>
    <w:rsid w:val="002C6B8A"/>
    <w:rsid w:val="002C6F3E"/>
    <w:rsid w:val="002C71CE"/>
    <w:rsid w:val="002C73C7"/>
    <w:rsid w:val="002C785C"/>
    <w:rsid w:val="002C7ED0"/>
    <w:rsid w:val="002D05F4"/>
    <w:rsid w:val="002D08F8"/>
    <w:rsid w:val="002D08FA"/>
    <w:rsid w:val="002D1414"/>
    <w:rsid w:val="002D14CC"/>
    <w:rsid w:val="002D1ADD"/>
    <w:rsid w:val="002D364A"/>
    <w:rsid w:val="002D44F2"/>
    <w:rsid w:val="002D52BE"/>
    <w:rsid w:val="002D577C"/>
    <w:rsid w:val="002D7118"/>
    <w:rsid w:val="002D73C2"/>
    <w:rsid w:val="002D7481"/>
    <w:rsid w:val="002D7712"/>
    <w:rsid w:val="002D7832"/>
    <w:rsid w:val="002E1006"/>
    <w:rsid w:val="002E1071"/>
    <w:rsid w:val="002E15B9"/>
    <w:rsid w:val="002E1E60"/>
    <w:rsid w:val="002E2158"/>
    <w:rsid w:val="002E2B59"/>
    <w:rsid w:val="002E335B"/>
    <w:rsid w:val="002E3F04"/>
    <w:rsid w:val="002E3F0C"/>
    <w:rsid w:val="002E423E"/>
    <w:rsid w:val="002E459A"/>
    <w:rsid w:val="002E49D9"/>
    <w:rsid w:val="002E4F02"/>
    <w:rsid w:val="002E5060"/>
    <w:rsid w:val="002E5230"/>
    <w:rsid w:val="002E6490"/>
    <w:rsid w:val="002E684C"/>
    <w:rsid w:val="002E6C00"/>
    <w:rsid w:val="002E7722"/>
    <w:rsid w:val="002E7BBA"/>
    <w:rsid w:val="002F0283"/>
    <w:rsid w:val="002F07BA"/>
    <w:rsid w:val="002F0DA9"/>
    <w:rsid w:val="002F1014"/>
    <w:rsid w:val="002F1E3B"/>
    <w:rsid w:val="002F2AF6"/>
    <w:rsid w:val="002F357F"/>
    <w:rsid w:val="002F3A4B"/>
    <w:rsid w:val="002F5F06"/>
    <w:rsid w:val="002F643C"/>
    <w:rsid w:val="002F655D"/>
    <w:rsid w:val="002F6ED6"/>
    <w:rsid w:val="002F71C0"/>
    <w:rsid w:val="002F74F1"/>
    <w:rsid w:val="002F75D5"/>
    <w:rsid w:val="002F77B9"/>
    <w:rsid w:val="00300713"/>
    <w:rsid w:val="00300769"/>
    <w:rsid w:val="00300788"/>
    <w:rsid w:val="00301017"/>
    <w:rsid w:val="003012B5"/>
    <w:rsid w:val="0030155F"/>
    <w:rsid w:val="00302BBB"/>
    <w:rsid w:val="00303180"/>
    <w:rsid w:val="003032D1"/>
    <w:rsid w:val="00303606"/>
    <w:rsid w:val="0030392C"/>
    <w:rsid w:val="003045F2"/>
    <w:rsid w:val="0030510F"/>
    <w:rsid w:val="0030587B"/>
    <w:rsid w:val="00305913"/>
    <w:rsid w:val="0030641F"/>
    <w:rsid w:val="00306728"/>
    <w:rsid w:val="00306991"/>
    <w:rsid w:val="00306D3E"/>
    <w:rsid w:val="00306D98"/>
    <w:rsid w:val="00307335"/>
    <w:rsid w:val="003074F6"/>
    <w:rsid w:val="0030786C"/>
    <w:rsid w:val="00307EB7"/>
    <w:rsid w:val="0031031A"/>
    <w:rsid w:val="00310981"/>
    <w:rsid w:val="00310C64"/>
    <w:rsid w:val="00310ED1"/>
    <w:rsid w:val="00311178"/>
    <w:rsid w:val="00311586"/>
    <w:rsid w:val="00311D9B"/>
    <w:rsid w:val="003124D9"/>
    <w:rsid w:val="00312594"/>
    <w:rsid w:val="00312BDE"/>
    <w:rsid w:val="00313105"/>
    <w:rsid w:val="0031416A"/>
    <w:rsid w:val="00314BA9"/>
    <w:rsid w:val="00315498"/>
    <w:rsid w:val="00316474"/>
    <w:rsid w:val="0031780A"/>
    <w:rsid w:val="00322040"/>
    <w:rsid w:val="00322107"/>
    <w:rsid w:val="00322168"/>
    <w:rsid w:val="00322355"/>
    <w:rsid w:val="003223AA"/>
    <w:rsid w:val="00322475"/>
    <w:rsid w:val="00322846"/>
    <w:rsid w:val="00322881"/>
    <w:rsid w:val="00322E74"/>
    <w:rsid w:val="003231B2"/>
    <w:rsid w:val="00323C4A"/>
    <w:rsid w:val="003259E0"/>
    <w:rsid w:val="00325B9B"/>
    <w:rsid w:val="00325DE3"/>
    <w:rsid w:val="00325FAA"/>
    <w:rsid w:val="0032609F"/>
    <w:rsid w:val="00326DA7"/>
    <w:rsid w:val="003270E4"/>
    <w:rsid w:val="003271CD"/>
    <w:rsid w:val="00327AE6"/>
    <w:rsid w:val="00327BE6"/>
    <w:rsid w:val="00330462"/>
    <w:rsid w:val="00330CEB"/>
    <w:rsid w:val="00330DAA"/>
    <w:rsid w:val="00330F5C"/>
    <w:rsid w:val="0033121F"/>
    <w:rsid w:val="0033123E"/>
    <w:rsid w:val="0033224B"/>
    <w:rsid w:val="00332B1D"/>
    <w:rsid w:val="003333E1"/>
    <w:rsid w:val="00334158"/>
    <w:rsid w:val="00334438"/>
    <w:rsid w:val="003347CD"/>
    <w:rsid w:val="00334A99"/>
    <w:rsid w:val="00334BFE"/>
    <w:rsid w:val="003366C9"/>
    <w:rsid w:val="00336F05"/>
    <w:rsid w:val="003371B0"/>
    <w:rsid w:val="0033720E"/>
    <w:rsid w:val="0033753C"/>
    <w:rsid w:val="00337A84"/>
    <w:rsid w:val="00340359"/>
    <w:rsid w:val="00340DF1"/>
    <w:rsid w:val="00341706"/>
    <w:rsid w:val="00342CE8"/>
    <w:rsid w:val="00342D66"/>
    <w:rsid w:val="003435BC"/>
    <w:rsid w:val="003437C8"/>
    <w:rsid w:val="00343BC5"/>
    <w:rsid w:val="00343DC2"/>
    <w:rsid w:val="00344021"/>
    <w:rsid w:val="0034418A"/>
    <w:rsid w:val="00344822"/>
    <w:rsid w:val="00345020"/>
    <w:rsid w:val="0034503F"/>
    <w:rsid w:val="003464F6"/>
    <w:rsid w:val="003465B5"/>
    <w:rsid w:val="00346726"/>
    <w:rsid w:val="00351405"/>
    <w:rsid w:val="003515E1"/>
    <w:rsid w:val="003517F9"/>
    <w:rsid w:val="00351A68"/>
    <w:rsid w:val="00351BA9"/>
    <w:rsid w:val="00351FD6"/>
    <w:rsid w:val="00352781"/>
    <w:rsid w:val="0035305E"/>
    <w:rsid w:val="0035371A"/>
    <w:rsid w:val="00353AD6"/>
    <w:rsid w:val="003547BB"/>
    <w:rsid w:val="00354A85"/>
    <w:rsid w:val="00354F64"/>
    <w:rsid w:val="0035620E"/>
    <w:rsid w:val="003563BB"/>
    <w:rsid w:val="00356659"/>
    <w:rsid w:val="0035698E"/>
    <w:rsid w:val="00356DFD"/>
    <w:rsid w:val="00356E9B"/>
    <w:rsid w:val="003575BE"/>
    <w:rsid w:val="003579BF"/>
    <w:rsid w:val="00357CAC"/>
    <w:rsid w:val="00360345"/>
    <w:rsid w:val="00361A05"/>
    <w:rsid w:val="003624C4"/>
    <w:rsid w:val="00362FB4"/>
    <w:rsid w:val="0036333E"/>
    <w:rsid w:val="00363B00"/>
    <w:rsid w:val="00363B35"/>
    <w:rsid w:val="003651CC"/>
    <w:rsid w:val="003654AC"/>
    <w:rsid w:val="00365F4D"/>
    <w:rsid w:val="003666E3"/>
    <w:rsid w:val="0036730A"/>
    <w:rsid w:val="003703C3"/>
    <w:rsid w:val="003708D8"/>
    <w:rsid w:val="00370BE1"/>
    <w:rsid w:val="003710CF"/>
    <w:rsid w:val="003710EE"/>
    <w:rsid w:val="00371C57"/>
    <w:rsid w:val="003732CA"/>
    <w:rsid w:val="0037358A"/>
    <w:rsid w:val="00373DC5"/>
    <w:rsid w:val="00373E05"/>
    <w:rsid w:val="00373E75"/>
    <w:rsid w:val="00373FDA"/>
    <w:rsid w:val="00374545"/>
    <w:rsid w:val="00374635"/>
    <w:rsid w:val="003750F6"/>
    <w:rsid w:val="003760FC"/>
    <w:rsid w:val="00377484"/>
    <w:rsid w:val="00380022"/>
    <w:rsid w:val="0038007B"/>
    <w:rsid w:val="003801A5"/>
    <w:rsid w:val="00382252"/>
    <w:rsid w:val="00383292"/>
    <w:rsid w:val="003832D1"/>
    <w:rsid w:val="0038365C"/>
    <w:rsid w:val="0038369B"/>
    <w:rsid w:val="00383B78"/>
    <w:rsid w:val="0038512B"/>
    <w:rsid w:val="00385A9D"/>
    <w:rsid w:val="00387121"/>
    <w:rsid w:val="003902B1"/>
    <w:rsid w:val="0039179C"/>
    <w:rsid w:val="00391954"/>
    <w:rsid w:val="00393072"/>
    <w:rsid w:val="003936AE"/>
    <w:rsid w:val="00393702"/>
    <w:rsid w:val="00393F1D"/>
    <w:rsid w:val="00394245"/>
    <w:rsid w:val="003943DE"/>
    <w:rsid w:val="00394B94"/>
    <w:rsid w:val="00394C1D"/>
    <w:rsid w:val="00395CC5"/>
    <w:rsid w:val="00396896"/>
    <w:rsid w:val="00396FD0"/>
    <w:rsid w:val="00397203"/>
    <w:rsid w:val="00397501"/>
    <w:rsid w:val="003A05BA"/>
    <w:rsid w:val="003A0FA8"/>
    <w:rsid w:val="003A1A7A"/>
    <w:rsid w:val="003A2279"/>
    <w:rsid w:val="003A2392"/>
    <w:rsid w:val="003A2831"/>
    <w:rsid w:val="003A2A28"/>
    <w:rsid w:val="003A3CB6"/>
    <w:rsid w:val="003A3ED1"/>
    <w:rsid w:val="003A44DB"/>
    <w:rsid w:val="003A4C14"/>
    <w:rsid w:val="003A5728"/>
    <w:rsid w:val="003A6325"/>
    <w:rsid w:val="003A6540"/>
    <w:rsid w:val="003A6C05"/>
    <w:rsid w:val="003A7036"/>
    <w:rsid w:val="003A7D69"/>
    <w:rsid w:val="003A7F30"/>
    <w:rsid w:val="003B0317"/>
    <w:rsid w:val="003B2FBD"/>
    <w:rsid w:val="003B3971"/>
    <w:rsid w:val="003B3F33"/>
    <w:rsid w:val="003B4380"/>
    <w:rsid w:val="003B4DB6"/>
    <w:rsid w:val="003B4E62"/>
    <w:rsid w:val="003B55D1"/>
    <w:rsid w:val="003B58AD"/>
    <w:rsid w:val="003B5B44"/>
    <w:rsid w:val="003B5B61"/>
    <w:rsid w:val="003B5E11"/>
    <w:rsid w:val="003B61FD"/>
    <w:rsid w:val="003B7060"/>
    <w:rsid w:val="003B719D"/>
    <w:rsid w:val="003B740F"/>
    <w:rsid w:val="003B79BE"/>
    <w:rsid w:val="003C1654"/>
    <w:rsid w:val="003C18A4"/>
    <w:rsid w:val="003C1B3A"/>
    <w:rsid w:val="003C3241"/>
    <w:rsid w:val="003C325C"/>
    <w:rsid w:val="003C3F7D"/>
    <w:rsid w:val="003C4029"/>
    <w:rsid w:val="003C419D"/>
    <w:rsid w:val="003C4689"/>
    <w:rsid w:val="003C5542"/>
    <w:rsid w:val="003C5ED6"/>
    <w:rsid w:val="003C7879"/>
    <w:rsid w:val="003C78B4"/>
    <w:rsid w:val="003C7C15"/>
    <w:rsid w:val="003C7D19"/>
    <w:rsid w:val="003C7D2F"/>
    <w:rsid w:val="003D02A8"/>
    <w:rsid w:val="003D037B"/>
    <w:rsid w:val="003D070C"/>
    <w:rsid w:val="003D0C5A"/>
    <w:rsid w:val="003D0DB5"/>
    <w:rsid w:val="003D181B"/>
    <w:rsid w:val="003D1828"/>
    <w:rsid w:val="003D1A89"/>
    <w:rsid w:val="003D1DE4"/>
    <w:rsid w:val="003D1E9A"/>
    <w:rsid w:val="003D1F72"/>
    <w:rsid w:val="003D2227"/>
    <w:rsid w:val="003D2382"/>
    <w:rsid w:val="003D23F0"/>
    <w:rsid w:val="003D2422"/>
    <w:rsid w:val="003D39A1"/>
    <w:rsid w:val="003D3FBF"/>
    <w:rsid w:val="003D4A17"/>
    <w:rsid w:val="003D4A30"/>
    <w:rsid w:val="003D5679"/>
    <w:rsid w:val="003D6624"/>
    <w:rsid w:val="003D6A22"/>
    <w:rsid w:val="003D7452"/>
    <w:rsid w:val="003D775D"/>
    <w:rsid w:val="003D78F4"/>
    <w:rsid w:val="003D79BB"/>
    <w:rsid w:val="003D7C98"/>
    <w:rsid w:val="003D7D9D"/>
    <w:rsid w:val="003E01F5"/>
    <w:rsid w:val="003E0543"/>
    <w:rsid w:val="003E0AC0"/>
    <w:rsid w:val="003E0CAC"/>
    <w:rsid w:val="003E10E0"/>
    <w:rsid w:val="003E126E"/>
    <w:rsid w:val="003E1D1A"/>
    <w:rsid w:val="003E2326"/>
    <w:rsid w:val="003E2748"/>
    <w:rsid w:val="003E2A1E"/>
    <w:rsid w:val="003E32FB"/>
    <w:rsid w:val="003E384E"/>
    <w:rsid w:val="003E49F2"/>
    <w:rsid w:val="003E522F"/>
    <w:rsid w:val="003E5603"/>
    <w:rsid w:val="003E5801"/>
    <w:rsid w:val="003E5E00"/>
    <w:rsid w:val="003E61A8"/>
    <w:rsid w:val="003E642F"/>
    <w:rsid w:val="003E6675"/>
    <w:rsid w:val="003E6932"/>
    <w:rsid w:val="003E6FE1"/>
    <w:rsid w:val="003E749E"/>
    <w:rsid w:val="003E7D52"/>
    <w:rsid w:val="003F0140"/>
    <w:rsid w:val="003F0F5D"/>
    <w:rsid w:val="003F1039"/>
    <w:rsid w:val="003F2447"/>
    <w:rsid w:val="003F4156"/>
    <w:rsid w:val="003F45BD"/>
    <w:rsid w:val="003F4F6A"/>
    <w:rsid w:val="003F500D"/>
    <w:rsid w:val="003F52E5"/>
    <w:rsid w:val="003F5ADF"/>
    <w:rsid w:val="00400516"/>
    <w:rsid w:val="00400B29"/>
    <w:rsid w:val="00402812"/>
    <w:rsid w:val="00403A05"/>
    <w:rsid w:val="00403B94"/>
    <w:rsid w:val="00403C8C"/>
    <w:rsid w:val="00403F68"/>
    <w:rsid w:val="00404478"/>
    <w:rsid w:val="0040504B"/>
    <w:rsid w:val="004056CE"/>
    <w:rsid w:val="00405887"/>
    <w:rsid w:val="004059F4"/>
    <w:rsid w:val="004068F3"/>
    <w:rsid w:val="00406BA7"/>
    <w:rsid w:val="00406BC5"/>
    <w:rsid w:val="00406E22"/>
    <w:rsid w:val="00407226"/>
    <w:rsid w:val="00407861"/>
    <w:rsid w:val="00407AB7"/>
    <w:rsid w:val="00407FE5"/>
    <w:rsid w:val="004101B0"/>
    <w:rsid w:val="00410326"/>
    <w:rsid w:val="00410708"/>
    <w:rsid w:val="00410AAB"/>
    <w:rsid w:val="00410DDE"/>
    <w:rsid w:val="00410EC7"/>
    <w:rsid w:val="00410F60"/>
    <w:rsid w:val="00411560"/>
    <w:rsid w:val="00411B39"/>
    <w:rsid w:val="00411BD8"/>
    <w:rsid w:val="004127A7"/>
    <w:rsid w:val="0041299F"/>
    <w:rsid w:val="00412E7D"/>
    <w:rsid w:val="00412FA0"/>
    <w:rsid w:val="00412FA5"/>
    <w:rsid w:val="00413232"/>
    <w:rsid w:val="00413437"/>
    <w:rsid w:val="004138D7"/>
    <w:rsid w:val="00413932"/>
    <w:rsid w:val="00413A1E"/>
    <w:rsid w:val="00413D11"/>
    <w:rsid w:val="004143FD"/>
    <w:rsid w:val="00414476"/>
    <w:rsid w:val="00414C2E"/>
    <w:rsid w:val="004151CF"/>
    <w:rsid w:val="00415A53"/>
    <w:rsid w:val="00416364"/>
    <w:rsid w:val="0041767F"/>
    <w:rsid w:val="004179A0"/>
    <w:rsid w:val="004179E6"/>
    <w:rsid w:val="0042047F"/>
    <w:rsid w:val="004208AE"/>
    <w:rsid w:val="00420AA6"/>
    <w:rsid w:val="00420B9F"/>
    <w:rsid w:val="00421892"/>
    <w:rsid w:val="0042192C"/>
    <w:rsid w:val="00421F9D"/>
    <w:rsid w:val="004220AA"/>
    <w:rsid w:val="004221F9"/>
    <w:rsid w:val="00422260"/>
    <w:rsid w:val="00422A71"/>
    <w:rsid w:val="00422FEF"/>
    <w:rsid w:val="00423337"/>
    <w:rsid w:val="00423E3D"/>
    <w:rsid w:val="0042413F"/>
    <w:rsid w:val="004247BE"/>
    <w:rsid w:val="004247F9"/>
    <w:rsid w:val="00424BE1"/>
    <w:rsid w:val="00424D17"/>
    <w:rsid w:val="00424FFA"/>
    <w:rsid w:val="0042602E"/>
    <w:rsid w:val="004263CE"/>
    <w:rsid w:val="0042715B"/>
    <w:rsid w:val="0042757A"/>
    <w:rsid w:val="00430291"/>
    <w:rsid w:val="00430B64"/>
    <w:rsid w:val="00430D4D"/>
    <w:rsid w:val="00430E48"/>
    <w:rsid w:val="004315B9"/>
    <w:rsid w:val="004315F8"/>
    <w:rsid w:val="004319F8"/>
    <w:rsid w:val="00431E55"/>
    <w:rsid w:val="004321B9"/>
    <w:rsid w:val="004321F6"/>
    <w:rsid w:val="00433044"/>
    <w:rsid w:val="00433A3D"/>
    <w:rsid w:val="00433DE9"/>
    <w:rsid w:val="00433EF6"/>
    <w:rsid w:val="00434088"/>
    <w:rsid w:val="004349BC"/>
    <w:rsid w:val="00435683"/>
    <w:rsid w:val="0043580F"/>
    <w:rsid w:val="00436643"/>
    <w:rsid w:val="00436B79"/>
    <w:rsid w:val="004375B9"/>
    <w:rsid w:val="00437906"/>
    <w:rsid w:val="00437AC4"/>
    <w:rsid w:val="00440565"/>
    <w:rsid w:val="004406A9"/>
    <w:rsid w:val="00440E28"/>
    <w:rsid w:val="0044142B"/>
    <w:rsid w:val="004428D0"/>
    <w:rsid w:val="00442FA9"/>
    <w:rsid w:val="00443C8A"/>
    <w:rsid w:val="00444185"/>
    <w:rsid w:val="004443A7"/>
    <w:rsid w:val="0044442C"/>
    <w:rsid w:val="00444D60"/>
    <w:rsid w:val="00445941"/>
    <w:rsid w:val="00445A53"/>
    <w:rsid w:val="00445CD6"/>
    <w:rsid w:val="004464EB"/>
    <w:rsid w:val="004473AF"/>
    <w:rsid w:val="00447580"/>
    <w:rsid w:val="00447D26"/>
    <w:rsid w:val="00447DFC"/>
    <w:rsid w:val="00447E5C"/>
    <w:rsid w:val="00450615"/>
    <w:rsid w:val="004515D7"/>
    <w:rsid w:val="00451879"/>
    <w:rsid w:val="0045254C"/>
    <w:rsid w:val="00452C1A"/>
    <w:rsid w:val="0045386C"/>
    <w:rsid w:val="00454637"/>
    <w:rsid w:val="0045481F"/>
    <w:rsid w:val="00455028"/>
    <w:rsid w:val="004557D9"/>
    <w:rsid w:val="00455D45"/>
    <w:rsid w:val="00456D7F"/>
    <w:rsid w:val="00460574"/>
    <w:rsid w:val="00460B74"/>
    <w:rsid w:val="004610B8"/>
    <w:rsid w:val="0046186D"/>
    <w:rsid w:val="00461B9B"/>
    <w:rsid w:val="0046230D"/>
    <w:rsid w:val="004628D7"/>
    <w:rsid w:val="00462A51"/>
    <w:rsid w:val="00462FE5"/>
    <w:rsid w:val="00464595"/>
    <w:rsid w:val="00464BAB"/>
    <w:rsid w:val="0046501E"/>
    <w:rsid w:val="004654C2"/>
    <w:rsid w:val="0046585C"/>
    <w:rsid w:val="004658B5"/>
    <w:rsid w:val="004661AD"/>
    <w:rsid w:val="00466CFC"/>
    <w:rsid w:val="00466DC9"/>
    <w:rsid w:val="004702F6"/>
    <w:rsid w:val="004703A9"/>
    <w:rsid w:val="004712BA"/>
    <w:rsid w:val="0047168D"/>
    <w:rsid w:val="00471802"/>
    <w:rsid w:val="00471EA5"/>
    <w:rsid w:val="00472A79"/>
    <w:rsid w:val="004734F0"/>
    <w:rsid w:val="00473F19"/>
    <w:rsid w:val="00474AAC"/>
    <w:rsid w:val="00475157"/>
    <w:rsid w:val="0047555B"/>
    <w:rsid w:val="00475CF7"/>
    <w:rsid w:val="00475D23"/>
    <w:rsid w:val="00475DD8"/>
    <w:rsid w:val="00475E22"/>
    <w:rsid w:val="00475FAA"/>
    <w:rsid w:val="0047649F"/>
    <w:rsid w:val="00476BF5"/>
    <w:rsid w:val="00476F9E"/>
    <w:rsid w:val="00477038"/>
    <w:rsid w:val="00477262"/>
    <w:rsid w:val="0047747A"/>
    <w:rsid w:val="0048088E"/>
    <w:rsid w:val="00480F2B"/>
    <w:rsid w:val="00481631"/>
    <w:rsid w:val="00481712"/>
    <w:rsid w:val="004818D1"/>
    <w:rsid w:val="00482093"/>
    <w:rsid w:val="004820B8"/>
    <w:rsid w:val="00482720"/>
    <w:rsid w:val="00482E7B"/>
    <w:rsid w:val="004835E7"/>
    <w:rsid w:val="00483656"/>
    <w:rsid w:val="00483C97"/>
    <w:rsid w:val="00484AFF"/>
    <w:rsid w:val="004859E1"/>
    <w:rsid w:val="004867E2"/>
    <w:rsid w:val="00487660"/>
    <w:rsid w:val="0048768B"/>
    <w:rsid w:val="004879A3"/>
    <w:rsid w:val="004879EB"/>
    <w:rsid w:val="00487CFA"/>
    <w:rsid w:val="00490B17"/>
    <w:rsid w:val="00490C15"/>
    <w:rsid w:val="00491B3A"/>
    <w:rsid w:val="00491E62"/>
    <w:rsid w:val="00492874"/>
    <w:rsid w:val="00492B9F"/>
    <w:rsid w:val="00492CFD"/>
    <w:rsid w:val="004936E3"/>
    <w:rsid w:val="00494207"/>
    <w:rsid w:val="00494CAD"/>
    <w:rsid w:val="00494DD5"/>
    <w:rsid w:val="0049591A"/>
    <w:rsid w:val="00495ED5"/>
    <w:rsid w:val="004962D2"/>
    <w:rsid w:val="0049674F"/>
    <w:rsid w:val="00496804"/>
    <w:rsid w:val="0049700D"/>
    <w:rsid w:val="0049790F"/>
    <w:rsid w:val="004A0946"/>
    <w:rsid w:val="004A0DA1"/>
    <w:rsid w:val="004A13D6"/>
    <w:rsid w:val="004A1671"/>
    <w:rsid w:val="004A282D"/>
    <w:rsid w:val="004A3A86"/>
    <w:rsid w:val="004A42E1"/>
    <w:rsid w:val="004A4DA3"/>
    <w:rsid w:val="004A52E9"/>
    <w:rsid w:val="004A6040"/>
    <w:rsid w:val="004A6597"/>
    <w:rsid w:val="004A6840"/>
    <w:rsid w:val="004A7018"/>
    <w:rsid w:val="004A71BE"/>
    <w:rsid w:val="004A759B"/>
    <w:rsid w:val="004A7848"/>
    <w:rsid w:val="004A793B"/>
    <w:rsid w:val="004B0736"/>
    <w:rsid w:val="004B0763"/>
    <w:rsid w:val="004B0FDA"/>
    <w:rsid w:val="004B12E6"/>
    <w:rsid w:val="004B1CB4"/>
    <w:rsid w:val="004B209D"/>
    <w:rsid w:val="004B2F18"/>
    <w:rsid w:val="004B3435"/>
    <w:rsid w:val="004B343E"/>
    <w:rsid w:val="004B3DDB"/>
    <w:rsid w:val="004B3E86"/>
    <w:rsid w:val="004B4390"/>
    <w:rsid w:val="004B44FD"/>
    <w:rsid w:val="004B594E"/>
    <w:rsid w:val="004B5CFC"/>
    <w:rsid w:val="004B6B31"/>
    <w:rsid w:val="004B6F79"/>
    <w:rsid w:val="004B6FD2"/>
    <w:rsid w:val="004B6FF8"/>
    <w:rsid w:val="004B774D"/>
    <w:rsid w:val="004B7A73"/>
    <w:rsid w:val="004C03D4"/>
    <w:rsid w:val="004C0526"/>
    <w:rsid w:val="004C167F"/>
    <w:rsid w:val="004C2107"/>
    <w:rsid w:val="004C221A"/>
    <w:rsid w:val="004C2399"/>
    <w:rsid w:val="004C28FD"/>
    <w:rsid w:val="004C2AC2"/>
    <w:rsid w:val="004C390C"/>
    <w:rsid w:val="004C4AED"/>
    <w:rsid w:val="004C4B89"/>
    <w:rsid w:val="004C4C39"/>
    <w:rsid w:val="004C5259"/>
    <w:rsid w:val="004C5821"/>
    <w:rsid w:val="004C6306"/>
    <w:rsid w:val="004C72ED"/>
    <w:rsid w:val="004D06DB"/>
    <w:rsid w:val="004D1099"/>
    <w:rsid w:val="004D2A2C"/>
    <w:rsid w:val="004D2B34"/>
    <w:rsid w:val="004D2C2D"/>
    <w:rsid w:val="004D3E1E"/>
    <w:rsid w:val="004D4E5F"/>
    <w:rsid w:val="004D6580"/>
    <w:rsid w:val="004D69B5"/>
    <w:rsid w:val="004D7227"/>
    <w:rsid w:val="004D7B5E"/>
    <w:rsid w:val="004D7F85"/>
    <w:rsid w:val="004E020D"/>
    <w:rsid w:val="004E0469"/>
    <w:rsid w:val="004E07C0"/>
    <w:rsid w:val="004E09F8"/>
    <w:rsid w:val="004E0CD9"/>
    <w:rsid w:val="004E0E7F"/>
    <w:rsid w:val="004E0EB8"/>
    <w:rsid w:val="004E1014"/>
    <w:rsid w:val="004E18E9"/>
    <w:rsid w:val="004E196A"/>
    <w:rsid w:val="004E266B"/>
    <w:rsid w:val="004E2895"/>
    <w:rsid w:val="004E2ADC"/>
    <w:rsid w:val="004E2DFB"/>
    <w:rsid w:val="004E3784"/>
    <w:rsid w:val="004E40EB"/>
    <w:rsid w:val="004E43B2"/>
    <w:rsid w:val="004E469C"/>
    <w:rsid w:val="004E46E1"/>
    <w:rsid w:val="004E4A25"/>
    <w:rsid w:val="004E4D0D"/>
    <w:rsid w:val="004E4DCA"/>
    <w:rsid w:val="004E5C38"/>
    <w:rsid w:val="004E5CE7"/>
    <w:rsid w:val="004E5DD9"/>
    <w:rsid w:val="004E6331"/>
    <w:rsid w:val="004E78BF"/>
    <w:rsid w:val="004E7EB0"/>
    <w:rsid w:val="004F0B79"/>
    <w:rsid w:val="004F170D"/>
    <w:rsid w:val="004F1D02"/>
    <w:rsid w:val="004F2679"/>
    <w:rsid w:val="004F2AA9"/>
    <w:rsid w:val="004F2F21"/>
    <w:rsid w:val="004F3B1A"/>
    <w:rsid w:val="004F3D6E"/>
    <w:rsid w:val="004F3DE5"/>
    <w:rsid w:val="004F4542"/>
    <w:rsid w:val="004F473E"/>
    <w:rsid w:val="004F497B"/>
    <w:rsid w:val="004F5C48"/>
    <w:rsid w:val="004F6913"/>
    <w:rsid w:val="004F7865"/>
    <w:rsid w:val="0050038E"/>
    <w:rsid w:val="005006E0"/>
    <w:rsid w:val="005008BF"/>
    <w:rsid w:val="00500959"/>
    <w:rsid w:val="0050174E"/>
    <w:rsid w:val="00501854"/>
    <w:rsid w:val="0050219B"/>
    <w:rsid w:val="00502899"/>
    <w:rsid w:val="00502DB6"/>
    <w:rsid w:val="0050324C"/>
    <w:rsid w:val="00503F17"/>
    <w:rsid w:val="00503F3A"/>
    <w:rsid w:val="0050451A"/>
    <w:rsid w:val="0050656A"/>
    <w:rsid w:val="00506928"/>
    <w:rsid w:val="005077EF"/>
    <w:rsid w:val="00507B84"/>
    <w:rsid w:val="00507FC7"/>
    <w:rsid w:val="0051061C"/>
    <w:rsid w:val="005108B6"/>
    <w:rsid w:val="00510B58"/>
    <w:rsid w:val="005111DE"/>
    <w:rsid w:val="00511AD5"/>
    <w:rsid w:val="00511DC7"/>
    <w:rsid w:val="0051287E"/>
    <w:rsid w:val="00512EFD"/>
    <w:rsid w:val="00514277"/>
    <w:rsid w:val="005142C5"/>
    <w:rsid w:val="005143EF"/>
    <w:rsid w:val="00514833"/>
    <w:rsid w:val="0051501B"/>
    <w:rsid w:val="005152B5"/>
    <w:rsid w:val="00515886"/>
    <w:rsid w:val="00515F13"/>
    <w:rsid w:val="005167C5"/>
    <w:rsid w:val="00516BFB"/>
    <w:rsid w:val="005170AA"/>
    <w:rsid w:val="0051766B"/>
    <w:rsid w:val="0052035E"/>
    <w:rsid w:val="0052123C"/>
    <w:rsid w:val="00521319"/>
    <w:rsid w:val="00521437"/>
    <w:rsid w:val="005217B2"/>
    <w:rsid w:val="005225B6"/>
    <w:rsid w:val="00522B92"/>
    <w:rsid w:val="00522BC8"/>
    <w:rsid w:val="00523C28"/>
    <w:rsid w:val="0052554E"/>
    <w:rsid w:val="005261F1"/>
    <w:rsid w:val="005303A1"/>
    <w:rsid w:val="005306B1"/>
    <w:rsid w:val="00530C8C"/>
    <w:rsid w:val="0053160B"/>
    <w:rsid w:val="0053176B"/>
    <w:rsid w:val="005322D3"/>
    <w:rsid w:val="00533AB2"/>
    <w:rsid w:val="005341B3"/>
    <w:rsid w:val="00534539"/>
    <w:rsid w:val="0053508E"/>
    <w:rsid w:val="005350AA"/>
    <w:rsid w:val="00536BE5"/>
    <w:rsid w:val="00536F42"/>
    <w:rsid w:val="00537182"/>
    <w:rsid w:val="00537580"/>
    <w:rsid w:val="00540936"/>
    <w:rsid w:val="005412DD"/>
    <w:rsid w:val="00541EDD"/>
    <w:rsid w:val="00542539"/>
    <w:rsid w:val="005425CD"/>
    <w:rsid w:val="00542743"/>
    <w:rsid w:val="00542C2D"/>
    <w:rsid w:val="00543793"/>
    <w:rsid w:val="00544A45"/>
    <w:rsid w:val="00544CE6"/>
    <w:rsid w:val="00545083"/>
    <w:rsid w:val="00545B55"/>
    <w:rsid w:val="005466D3"/>
    <w:rsid w:val="00546DDE"/>
    <w:rsid w:val="0054736F"/>
    <w:rsid w:val="005478BD"/>
    <w:rsid w:val="005479E3"/>
    <w:rsid w:val="00547F05"/>
    <w:rsid w:val="00550E67"/>
    <w:rsid w:val="00551985"/>
    <w:rsid w:val="00552194"/>
    <w:rsid w:val="005521EF"/>
    <w:rsid w:val="00552217"/>
    <w:rsid w:val="0055224D"/>
    <w:rsid w:val="00552BD3"/>
    <w:rsid w:val="005532A0"/>
    <w:rsid w:val="005537B0"/>
    <w:rsid w:val="00554F46"/>
    <w:rsid w:val="00555109"/>
    <w:rsid w:val="00555767"/>
    <w:rsid w:val="00556B35"/>
    <w:rsid w:val="00556F4B"/>
    <w:rsid w:val="00557054"/>
    <w:rsid w:val="0055741A"/>
    <w:rsid w:val="00557B53"/>
    <w:rsid w:val="00557FBE"/>
    <w:rsid w:val="0056008E"/>
    <w:rsid w:val="005608EB"/>
    <w:rsid w:val="005611B7"/>
    <w:rsid w:val="005618D4"/>
    <w:rsid w:val="005626FE"/>
    <w:rsid w:val="00562A1A"/>
    <w:rsid w:val="00562D1E"/>
    <w:rsid w:val="005642B6"/>
    <w:rsid w:val="005647C4"/>
    <w:rsid w:val="00564867"/>
    <w:rsid w:val="00565702"/>
    <w:rsid w:val="00565A2B"/>
    <w:rsid w:val="00565BD3"/>
    <w:rsid w:val="00565C79"/>
    <w:rsid w:val="00565DF0"/>
    <w:rsid w:val="00566743"/>
    <w:rsid w:val="0056696F"/>
    <w:rsid w:val="00566C75"/>
    <w:rsid w:val="00566E81"/>
    <w:rsid w:val="00567228"/>
    <w:rsid w:val="0056748F"/>
    <w:rsid w:val="0056764C"/>
    <w:rsid w:val="0057046A"/>
    <w:rsid w:val="0057054E"/>
    <w:rsid w:val="005705D5"/>
    <w:rsid w:val="00570A06"/>
    <w:rsid w:val="00570B1A"/>
    <w:rsid w:val="00570CFA"/>
    <w:rsid w:val="00572269"/>
    <w:rsid w:val="0057244A"/>
    <w:rsid w:val="00572F26"/>
    <w:rsid w:val="00573FF1"/>
    <w:rsid w:val="00574039"/>
    <w:rsid w:val="00574D8B"/>
    <w:rsid w:val="005750C5"/>
    <w:rsid w:val="005752DE"/>
    <w:rsid w:val="0057575A"/>
    <w:rsid w:val="00575A98"/>
    <w:rsid w:val="00575D60"/>
    <w:rsid w:val="00575D8D"/>
    <w:rsid w:val="00576299"/>
    <w:rsid w:val="0057644D"/>
    <w:rsid w:val="0057649E"/>
    <w:rsid w:val="00576972"/>
    <w:rsid w:val="00576C7C"/>
    <w:rsid w:val="00576C9E"/>
    <w:rsid w:val="00576EFB"/>
    <w:rsid w:val="00577248"/>
    <w:rsid w:val="005772A1"/>
    <w:rsid w:val="005807DA"/>
    <w:rsid w:val="00580F3E"/>
    <w:rsid w:val="00581243"/>
    <w:rsid w:val="00582E03"/>
    <w:rsid w:val="005831D4"/>
    <w:rsid w:val="00583699"/>
    <w:rsid w:val="00583F33"/>
    <w:rsid w:val="0058417C"/>
    <w:rsid w:val="00585CDD"/>
    <w:rsid w:val="00587058"/>
    <w:rsid w:val="0058796B"/>
    <w:rsid w:val="00590BAB"/>
    <w:rsid w:val="00591810"/>
    <w:rsid w:val="00591957"/>
    <w:rsid w:val="00591A63"/>
    <w:rsid w:val="00592566"/>
    <w:rsid w:val="00594129"/>
    <w:rsid w:val="0059564C"/>
    <w:rsid w:val="005965EB"/>
    <w:rsid w:val="005967B0"/>
    <w:rsid w:val="00596933"/>
    <w:rsid w:val="00597975"/>
    <w:rsid w:val="00597BF9"/>
    <w:rsid w:val="005A055F"/>
    <w:rsid w:val="005A0C11"/>
    <w:rsid w:val="005A0EA6"/>
    <w:rsid w:val="005A1316"/>
    <w:rsid w:val="005A1FAF"/>
    <w:rsid w:val="005A28A9"/>
    <w:rsid w:val="005A309A"/>
    <w:rsid w:val="005A316A"/>
    <w:rsid w:val="005A331D"/>
    <w:rsid w:val="005A35D5"/>
    <w:rsid w:val="005A373D"/>
    <w:rsid w:val="005A39A2"/>
    <w:rsid w:val="005A478C"/>
    <w:rsid w:val="005A4987"/>
    <w:rsid w:val="005A4D9C"/>
    <w:rsid w:val="005A50A7"/>
    <w:rsid w:val="005A6265"/>
    <w:rsid w:val="005A7A15"/>
    <w:rsid w:val="005B0B58"/>
    <w:rsid w:val="005B20AB"/>
    <w:rsid w:val="005B236C"/>
    <w:rsid w:val="005B28D7"/>
    <w:rsid w:val="005B321C"/>
    <w:rsid w:val="005B458D"/>
    <w:rsid w:val="005B4E53"/>
    <w:rsid w:val="005B55C5"/>
    <w:rsid w:val="005B5857"/>
    <w:rsid w:val="005B60EC"/>
    <w:rsid w:val="005C0265"/>
    <w:rsid w:val="005C06CE"/>
    <w:rsid w:val="005C17AA"/>
    <w:rsid w:val="005C19C4"/>
    <w:rsid w:val="005C1B83"/>
    <w:rsid w:val="005C25FF"/>
    <w:rsid w:val="005C2639"/>
    <w:rsid w:val="005C2D55"/>
    <w:rsid w:val="005C346B"/>
    <w:rsid w:val="005C381D"/>
    <w:rsid w:val="005C3A56"/>
    <w:rsid w:val="005C3B05"/>
    <w:rsid w:val="005C4326"/>
    <w:rsid w:val="005C472E"/>
    <w:rsid w:val="005C4F71"/>
    <w:rsid w:val="005C5ABC"/>
    <w:rsid w:val="005C5FD5"/>
    <w:rsid w:val="005C5FDC"/>
    <w:rsid w:val="005C62C2"/>
    <w:rsid w:val="005C6808"/>
    <w:rsid w:val="005C6CB4"/>
    <w:rsid w:val="005C7171"/>
    <w:rsid w:val="005C757C"/>
    <w:rsid w:val="005C7FAF"/>
    <w:rsid w:val="005D044D"/>
    <w:rsid w:val="005D0811"/>
    <w:rsid w:val="005D0ABD"/>
    <w:rsid w:val="005D18AD"/>
    <w:rsid w:val="005D266B"/>
    <w:rsid w:val="005D26B4"/>
    <w:rsid w:val="005D29F0"/>
    <w:rsid w:val="005D3E6D"/>
    <w:rsid w:val="005D47F4"/>
    <w:rsid w:val="005D6C55"/>
    <w:rsid w:val="005D7785"/>
    <w:rsid w:val="005E0056"/>
    <w:rsid w:val="005E08BB"/>
    <w:rsid w:val="005E0CAB"/>
    <w:rsid w:val="005E1585"/>
    <w:rsid w:val="005E1995"/>
    <w:rsid w:val="005E2993"/>
    <w:rsid w:val="005E4EA9"/>
    <w:rsid w:val="005E588B"/>
    <w:rsid w:val="005E5CE3"/>
    <w:rsid w:val="005E6B00"/>
    <w:rsid w:val="005E6CBC"/>
    <w:rsid w:val="005E72FF"/>
    <w:rsid w:val="005E73C0"/>
    <w:rsid w:val="005E78AE"/>
    <w:rsid w:val="005E7A05"/>
    <w:rsid w:val="005E7AFF"/>
    <w:rsid w:val="005E7FCC"/>
    <w:rsid w:val="005F027F"/>
    <w:rsid w:val="005F07ED"/>
    <w:rsid w:val="005F08FE"/>
    <w:rsid w:val="005F0D94"/>
    <w:rsid w:val="005F17DE"/>
    <w:rsid w:val="005F1935"/>
    <w:rsid w:val="005F1CC6"/>
    <w:rsid w:val="005F1DB4"/>
    <w:rsid w:val="005F2706"/>
    <w:rsid w:val="005F2B1E"/>
    <w:rsid w:val="005F2F39"/>
    <w:rsid w:val="005F3B7E"/>
    <w:rsid w:val="005F4C63"/>
    <w:rsid w:val="005F4EE8"/>
    <w:rsid w:val="005F50A6"/>
    <w:rsid w:val="005F5A69"/>
    <w:rsid w:val="005F603F"/>
    <w:rsid w:val="005F660E"/>
    <w:rsid w:val="005F6A8F"/>
    <w:rsid w:val="005F6B23"/>
    <w:rsid w:val="005F6BB7"/>
    <w:rsid w:val="005F70CA"/>
    <w:rsid w:val="005F7588"/>
    <w:rsid w:val="00600CA5"/>
    <w:rsid w:val="00601D86"/>
    <w:rsid w:val="006031B0"/>
    <w:rsid w:val="00603CB8"/>
    <w:rsid w:val="00603DB9"/>
    <w:rsid w:val="0060551F"/>
    <w:rsid w:val="006059E4"/>
    <w:rsid w:val="00606F03"/>
    <w:rsid w:val="00606FBA"/>
    <w:rsid w:val="00607669"/>
    <w:rsid w:val="006076F4"/>
    <w:rsid w:val="00607AFD"/>
    <w:rsid w:val="00610F41"/>
    <w:rsid w:val="00611B12"/>
    <w:rsid w:val="00611F51"/>
    <w:rsid w:val="006124B7"/>
    <w:rsid w:val="00612619"/>
    <w:rsid w:val="00612F97"/>
    <w:rsid w:val="0061345D"/>
    <w:rsid w:val="0061396A"/>
    <w:rsid w:val="0061549B"/>
    <w:rsid w:val="006157CE"/>
    <w:rsid w:val="00615D65"/>
    <w:rsid w:val="00615D83"/>
    <w:rsid w:val="00616802"/>
    <w:rsid w:val="00616A1B"/>
    <w:rsid w:val="00617340"/>
    <w:rsid w:val="00617552"/>
    <w:rsid w:val="006176B8"/>
    <w:rsid w:val="00617B7B"/>
    <w:rsid w:val="00617E12"/>
    <w:rsid w:val="00620C25"/>
    <w:rsid w:val="0062120A"/>
    <w:rsid w:val="00621477"/>
    <w:rsid w:val="00621ADA"/>
    <w:rsid w:val="00621DDB"/>
    <w:rsid w:val="0062248A"/>
    <w:rsid w:val="006224BB"/>
    <w:rsid w:val="006232F9"/>
    <w:rsid w:val="00623F7B"/>
    <w:rsid w:val="0062456F"/>
    <w:rsid w:val="006247DA"/>
    <w:rsid w:val="00624BD4"/>
    <w:rsid w:val="00624D55"/>
    <w:rsid w:val="006250B4"/>
    <w:rsid w:val="00625612"/>
    <w:rsid w:val="0062590C"/>
    <w:rsid w:val="0062610C"/>
    <w:rsid w:val="00626E85"/>
    <w:rsid w:val="00627C54"/>
    <w:rsid w:val="00630DB9"/>
    <w:rsid w:val="00630DE6"/>
    <w:rsid w:val="0063158F"/>
    <w:rsid w:val="00631A06"/>
    <w:rsid w:val="00631D6B"/>
    <w:rsid w:val="00631F8E"/>
    <w:rsid w:val="00632183"/>
    <w:rsid w:val="006330A1"/>
    <w:rsid w:val="006337D1"/>
    <w:rsid w:val="0063479F"/>
    <w:rsid w:val="006353F0"/>
    <w:rsid w:val="006357B5"/>
    <w:rsid w:val="006362EB"/>
    <w:rsid w:val="006364A1"/>
    <w:rsid w:val="006366BA"/>
    <w:rsid w:val="0063678E"/>
    <w:rsid w:val="006367C7"/>
    <w:rsid w:val="0063770B"/>
    <w:rsid w:val="00637BFD"/>
    <w:rsid w:val="00637C5C"/>
    <w:rsid w:val="006403C5"/>
    <w:rsid w:val="00640619"/>
    <w:rsid w:val="006406E9"/>
    <w:rsid w:val="00640C30"/>
    <w:rsid w:val="00641882"/>
    <w:rsid w:val="006418FC"/>
    <w:rsid w:val="00641C4E"/>
    <w:rsid w:val="00641FB3"/>
    <w:rsid w:val="006428B7"/>
    <w:rsid w:val="00642A51"/>
    <w:rsid w:val="00642A92"/>
    <w:rsid w:val="0064434C"/>
    <w:rsid w:val="00644AC4"/>
    <w:rsid w:val="00644B0E"/>
    <w:rsid w:val="006459F0"/>
    <w:rsid w:val="00645C47"/>
    <w:rsid w:val="00645EE2"/>
    <w:rsid w:val="00646C7F"/>
    <w:rsid w:val="006471CC"/>
    <w:rsid w:val="006472FE"/>
    <w:rsid w:val="006475FB"/>
    <w:rsid w:val="00647A29"/>
    <w:rsid w:val="00647AA4"/>
    <w:rsid w:val="0065076E"/>
    <w:rsid w:val="0065079F"/>
    <w:rsid w:val="0065159B"/>
    <w:rsid w:val="00652A28"/>
    <w:rsid w:val="0065379F"/>
    <w:rsid w:val="006538C0"/>
    <w:rsid w:val="00653FF0"/>
    <w:rsid w:val="006558EA"/>
    <w:rsid w:val="00656188"/>
    <w:rsid w:val="00656513"/>
    <w:rsid w:val="006567CF"/>
    <w:rsid w:val="0065715A"/>
    <w:rsid w:val="00661050"/>
    <w:rsid w:val="006610F1"/>
    <w:rsid w:val="0066149B"/>
    <w:rsid w:val="00661C6B"/>
    <w:rsid w:val="00662676"/>
    <w:rsid w:val="00662D3E"/>
    <w:rsid w:val="00663588"/>
    <w:rsid w:val="00663A40"/>
    <w:rsid w:val="00664842"/>
    <w:rsid w:val="00664D7F"/>
    <w:rsid w:val="006656EB"/>
    <w:rsid w:val="00665DCA"/>
    <w:rsid w:val="00666960"/>
    <w:rsid w:val="0066728D"/>
    <w:rsid w:val="006674AE"/>
    <w:rsid w:val="00667BE3"/>
    <w:rsid w:val="00667FAC"/>
    <w:rsid w:val="00670016"/>
    <w:rsid w:val="0067020E"/>
    <w:rsid w:val="00671004"/>
    <w:rsid w:val="006717B5"/>
    <w:rsid w:val="00672074"/>
    <w:rsid w:val="00672646"/>
    <w:rsid w:val="00672D90"/>
    <w:rsid w:val="00672DED"/>
    <w:rsid w:val="0067401C"/>
    <w:rsid w:val="00674627"/>
    <w:rsid w:val="00674E42"/>
    <w:rsid w:val="0067524A"/>
    <w:rsid w:val="00675412"/>
    <w:rsid w:val="0067566B"/>
    <w:rsid w:val="00675D49"/>
    <w:rsid w:val="00676563"/>
    <w:rsid w:val="0067659C"/>
    <w:rsid w:val="0067703D"/>
    <w:rsid w:val="006778F0"/>
    <w:rsid w:val="00677C5B"/>
    <w:rsid w:val="00677E39"/>
    <w:rsid w:val="00677F84"/>
    <w:rsid w:val="006801A1"/>
    <w:rsid w:val="0068066D"/>
    <w:rsid w:val="00680B72"/>
    <w:rsid w:val="00680ED6"/>
    <w:rsid w:val="006813F8"/>
    <w:rsid w:val="00681B5E"/>
    <w:rsid w:val="00681B98"/>
    <w:rsid w:val="00681D6E"/>
    <w:rsid w:val="00681D86"/>
    <w:rsid w:val="00682112"/>
    <w:rsid w:val="0068261C"/>
    <w:rsid w:val="00682BA6"/>
    <w:rsid w:val="00682CBD"/>
    <w:rsid w:val="00682F31"/>
    <w:rsid w:val="00683126"/>
    <w:rsid w:val="00683424"/>
    <w:rsid w:val="006843C3"/>
    <w:rsid w:val="006845D4"/>
    <w:rsid w:val="00684E0D"/>
    <w:rsid w:val="006850F3"/>
    <w:rsid w:val="006853D6"/>
    <w:rsid w:val="0068579B"/>
    <w:rsid w:val="00685991"/>
    <w:rsid w:val="00686957"/>
    <w:rsid w:val="0068698F"/>
    <w:rsid w:val="00686C83"/>
    <w:rsid w:val="00687142"/>
    <w:rsid w:val="006872BA"/>
    <w:rsid w:val="00690795"/>
    <w:rsid w:val="006909DD"/>
    <w:rsid w:val="00690E63"/>
    <w:rsid w:val="00690F7E"/>
    <w:rsid w:val="00691648"/>
    <w:rsid w:val="006917D7"/>
    <w:rsid w:val="00691F52"/>
    <w:rsid w:val="00693B7B"/>
    <w:rsid w:val="0069434C"/>
    <w:rsid w:val="00694CC8"/>
    <w:rsid w:val="00694F44"/>
    <w:rsid w:val="00695196"/>
    <w:rsid w:val="006957AC"/>
    <w:rsid w:val="00695D31"/>
    <w:rsid w:val="00696AEE"/>
    <w:rsid w:val="00696C2E"/>
    <w:rsid w:val="00696EF9"/>
    <w:rsid w:val="00696F51"/>
    <w:rsid w:val="00697605"/>
    <w:rsid w:val="006979A5"/>
    <w:rsid w:val="006A016F"/>
    <w:rsid w:val="006A0DF7"/>
    <w:rsid w:val="006A292F"/>
    <w:rsid w:val="006A3F23"/>
    <w:rsid w:val="006A40B7"/>
    <w:rsid w:val="006A4321"/>
    <w:rsid w:val="006A43D9"/>
    <w:rsid w:val="006A4641"/>
    <w:rsid w:val="006A49CC"/>
    <w:rsid w:val="006A58C5"/>
    <w:rsid w:val="006A5F01"/>
    <w:rsid w:val="006A68B8"/>
    <w:rsid w:val="006A6B99"/>
    <w:rsid w:val="006A720C"/>
    <w:rsid w:val="006A7E5F"/>
    <w:rsid w:val="006B1561"/>
    <w:rsid w:val="006B15A0"/>
    <w:rsid w:val="006B261B"/>
    <w:rsid w:val="006B2BC5"/>
    <w:rsid w:val="006B2C90"/>
    <w:rsid w:val="006B33AF"/>
    <w:rsid w:val="006B34F6"/>
    <w:rsid w:val="006B35E6"/>
    <w:rsid w:val="006B465A"/>
    <w:rsid w:val="006B549F"/>
    <w:rsid w:val="006B5A4E"/>
    <w:rsid w:val="006B5C1D"/>
    <w:rsid w:val="006B6DD0"/>
    <w:rsid w:val="006B746E"/>
    <w:rsid w:val="006C0258"/>
    <w:rsid w:val="006C0399"/>
    <w:rsid w:val="006C0DC8"/>
    <w:rsid w:val="006C23E3"/>
    <w:rsid w:val="006C2A8E"/>
    <w:rsid w:val="006C2FD6"/>
    <w:rsid w:val="006C3255"/>
    <w:rsid w:val="006C35A9"/>
    <w:rsid w:val="006C3F26"/>
    <w:rsid w:val="006C4B66"/>
    <w:rsid w:val="006C50DE"/>
    <w:rsid w:val="006C5E12"/>
    <w:rsid w:val="006C601C"/>
    <w:rsid w:val="006C6E8D"/>
    <w:rsid w:val="006C77E5"/>
    <w:rsid w:val="006C79B8"/>
    <w:rsid w:val="006C7C32"/>
    <w:rsid w:val="006D0A60"/>
    <w:rsid w:val="006D0D17"/>
    <w:rsid w:val="006D1404"/>
    <w:rsid w:val="006D1497"/>
    <w:rsid w:val="006D186F"/>
    <w:rsid w:val="006D1B61"/>
    <w:rsid w:val="006D1CC2"/>
    <w:rsid w:val="006D208E"/>
    <w:rsid w:val="006D38FE"/>
    <w:rsid w:val="006D3C4D"/>
    <w:rsid w:val="006D3C7D"/>
    <w:rsid w:val="006D4659"/>
    <w:rsid w:val="006D490C"/>
    <w:rsid w:val="006D5D21"/>
    <w:rsid w:val="006D5D5F"/>
    <w:rsid w:val="006D6809"/>
    <w:rsid w:val="006D68FB"/>
    <w:rsid w:val="006D69A8"/>
    <w:rsid w:val="006D7895"/>
    <w:rsid w:val="006E0726"/>
    <w:rsid w:val="006E09FB"/>
    <w:rsid w:val="006E2868"/>
    <w:rsid w:val="006E32EA"/>
    <w:rsid w:val="006E3445"/>
    <w:rsid w:val="006E34A6"/>
    <w:rsid w:val="006E3959"/>
    <w:rsid w:val="006E415A"/>
    <w:rsid w:val="006E554D"/>
    <w:rsid w:val="006E5FCE"/>
    <w:rsid w:val="006E6972"/>
    <w:rsid w:val="006E6C27"/>
    <w:rsid w:val="006E71AE"/>
    <w:rsid w:val="006E7CAC"/>
    <w:rsid w:val="006F0461"/>
    <w:rsid w:val="006F069D"/>
    <w:rsid w:val="006F2F17"/>
    <w:rsid w:val="006F306C"/>
    <w:rsid w:val="006F3945"/>
    <w:rsid w:val="006F442B"/>
    <w:rsid w:val="006F4DCC"/>
    <w:rsid w:val="006F536E"/>
    <w:rsid w:val="006F54B8"/>
    <w:rsid w:val="006F55DC"/>
    <w:rsid w:val="006F5639"/>
    <w:rsid w:val="006F57F2"/>
    <w:rsid w:val="006F5C5F"/>
    <w:rsid w:val="006F63A5"/>
    <w:rsid w:val="006F7073"/>
    <w:rsid w:val="006F773B"/>
    <w:rsid w:val="007012CA"/>
    <w:rsid w:val="0070142B"/>
    <w:rsid w:val="00701834"/>
    <w:rsid w:val="00701A1A"/>
    <w:rsid w:val="00701D7A"/>
    <w:rsid w:val="0070276E"/>
    <w:rsid w:val="00702D0D"/>
    <w:rsid w:val="00702F8F"/>
    <w:rsid w:val="00703614"/>
    <w:rsid w:val="00704158"/>
    <w:rsid w:val="00704526"/>
    <w:rsid w:val="00704F6B"/>
    <w:rsid w:val="00705E4C"/>
    <w:rsid w:val="007066C5"/>
    <w:rsid w:val="00706A30"/>
    <w:rsid w:val="00706E91"/>
    <w:rsid w:val="007079FC"/>
    <w:rsid w:val="00707DB6"/>
    <w:rsid w:val="007101C4"/>
    <w:rsid w:val="0071043B"/>
    <w:rsid w:val="0071075B"/>
    <w:rsid w:val="0071089C"/>
    <w:rsid w:val="00710A0B"/>
    <w:rsid w:val="007118BE"/>
    <w:rsid w:val="00711A36"/>
    <w:rsid w:val="007125D3"/>
    <w:rsid w:val="00714737"/>
    <w:rsid w:val="00714C26"/>
    <w:rsid w:val="0071520D"/>
    <w:rsid w:val="0071529C"/>
    <w:rsid w:val="00715340"/>
    <w:rsid w:val="0071653A"/>
    <w:rsid w:val="0071659B"/>
    <w:rsid w:val="007167F0"/>
    <w:rsid w:val="00716FF5"/>
    <w:rsid w:val="007170DA"/>
    <w:rsid w:val="007172AD"/>
    <w:rsid w:val="00717354"/>
    <w:rsid w:val="00717546"/>
    <w:rsid w:val="00717CD6"/>
    <w:rsid w:val="00720801"/>
    <w:rsid w:val="00720C5D"/>
    <w:rsid w:val="007214A8"/>
    <w:rsid w:val="00722352"/>
    <w:rsid w:val="0072252A"/>
    <w:rsid w:val="007228FB"/>
    <w:rsid w:val="00722B1B"/>
    <w:rsid w:val="0072416F"/>
    <w:rsid w:val="00724998"/>
    <w:rsid w:val="00726184"/>
    <w:rsid w:val="00726464"/>
    <w:rsid w:val="00727017"/>
    <w:rsid w:val="007274A4"/>
    <w:rsid w:val="00727AB6"/>
    <w:rsid w:val="00727C94"/>
    <w:rsid w:val="00727E04"/>
    <w:rsid w:val="007302AC"/>
    <w:rsid w:val="00730548"/>
    <w:rsid w:val="00730E22"/>
    <w:rsid w:val="007313A7"/>
    <w:rsid w:val="00731B0A"/>
    <w:rsid w:val="00731EAE"/>
    <w:rsid w:val="00732261"/>
    <w:rsid w:val="0073282C"/>
    <w:rsid w:val="00733073"/>
    <w:rsid w:val="0073378A"/>
    <w:rsid w:val="0073379E"/>
    <w:rsid w:val="00733D42"/>
    <w:rsid w:val="00734090"/>
    <w:rsid w:val="00735033"/>
    <w:rsid w:val="007350C7"/>
    <w:rsid w:val="00735328"/>
    <w:rsid w:val="00735CC1"/>
    <w:rsid w:val="00735E9F"/>
    <w:rsid w:val="007361E4"/>
    <w:rsid w:val="0073685B"/>
    <w:rsid w:val="0073746E"/>
    <w:rsid w:val="0074117D"/>
    <w:rsid w:val="00741208"/>
    <w:rsid w:val="007416DD"/>
    <w:rsid w:val="00741E10"/>
    <w:rsid w:val="00742304"/>
    <w:rsid w:val="007426A4"/>
    <w:rsid w:val="00744154"/>
    <w:rsid w:val="00744902"/>
    <w:rsid w:val="007449AB"/>
    <w:rsid w:val="007449BF"/>
    <w:rsid w:val="0074597C"/>
    <w:rsid w:val="00745BE8"/>
    <w:rsid w:val="00745D8B"/>
    <w:rsid w:val="007463FE"/>
    <w:rsid w:val="00746496"/>
    <w:rsid w:val="00746BC0"/>
    <w:rsid w:val="007479C7"/>
    <w:rsid w:val="00750753"/>
    <w:rsid w:val="00750A66"/>
    <w:rsid w:val="007510B4"/>
    <w:rsid w:val="00752033"/>
    <w:rsid w:val="00752142"/>
    <w:rsid w:val="007523F9"/>
    <w:rsid w:val="0075249F"/>
    <w:rsid w:val="007529F9"/>
    <w:rsid w:val="0075357E"/>
    <w:rsid w:val="007539D4"/>
    <w:rsid w:val="00753B29"/>
    <w:rsid w:val="00753E2A"/>
    <w:rsid w:val="00754AE8"/>
    <w:rsid w:val="00754CEF"/>
    <w:rsid w:val="007561AB"/>
    <w:rsid w:val="00756F46"/>
    <w:rsid w:val="007573E8"/>
    <w:rsid w:val="007577B4"/>
    <w:rsid w:val="00760B2F"/>
    <w:rsid w:val="00760C4E"/>
    <w:rsid w:val="00760F9E"/>
    <w:rsid w:val="007613CD"/>
    <w:rsid w:val="007616C4"/>
    <w:rsid w:val="007616E6"/>
    <w:rsid w:val="00762606"/>
    <w:rsid w:val="007627BE"/>
    <w:rsid w:val="007636AD"/>
    <w:rsid w:val="00763840"/>
    <w:rsid w:val="007638A1"/>
    <w:rsid w:val="007639C8"/>
    <w:rsid w:val="00763B61"/>
    <w:rsid w:val="0076403B"/>
    <w:rsid w:val="00764117"/>
    <w:rsid w:val="007641D0"/>
    <w:rsid w:val="00764F03"/>
    <w:rsid w:val="0076539F"/>
    <w:rsid w:val="00765B1A"/>
    <w:rsid w:val="00765DC1"/>
    <w:rsid w:val="00766235"/>
    <w:rsid w:val="00766DC0"/>
    <w:rsid w:val="007673E2"/>
    <w:rsid w:val="007676AC"/>
    <w:rsid w:val="00770550"/>
    <w:rsid w:val="00770E6D"/>
    <w:rsid w:val="007712DE"/>
    <w:rsid w:val="00771AA8"/>
    <w:rsid w:val="00771F13"/>
    <w:rsid w:val="00772370"/>
    <w:rsid w:val="00772A7D"/>
    <w:rsid w:val="00772C7D"/>
    <w:rsid w:val="007732B1"/>
    <w:rsid w:val="0077361B"/>
    <w:rsid w:val="00774632"/>
    <w:rsid w:val="007747EB"/>
    <w:rsid w:val="00775FD7"/>
    <w:rsid w:val="0077619B"/>
    <w:rsid w:val="007765BD"/>
    <w:rsid w:val="00776EF5"/>
    <w:rsid w:val="00777335"/>
    <w:rsid w:val="007776CB"/>
    <w:rsid w:val="00777E29"/>
    <w:rsid w:val="0078058C"/>
    <w:rsid w:val="00781877"/>
    <w:rsid w:val="00781909"/>
    <w:rsid w:val="00781C4A"/>
    <w:rsid w:val="007824CA"/>
    <w:rsid w:val="00782DB5"/>
    <w:rsid w:val="00783BD1"/>
    <w:rsid w:val="007843F2"/>
    <w:rsid w:val="007844CE"/>
    <w:rsid w:val="00784690"/>
    <w:rsid w:val="007846FA"/>
    <w:rsid w:val="00784E52"/>
    <w:rsid w:val="00784E5F"/>
    <w:rsid w:val="00785A9F"/>
    <w:rsid w:val="00787BB8"/>
    <w:rsid w:val="007925DF"/>
    <w:rsid w:val="00792ABF"/>
    <w:rsid w:val="00793842"/>
    <w:rsid w:val="00793FAF"/>
    <w:rsid w:val="0079405F"/>
    <w:rsid w:val="007940E7"/>
    <w:rsid w:val="00794408"/>
    <w:rsid w:val="00794432"/>
    <w:rsid w:val="00794520"/>
    <w:rsid w:val="00794DD3"/>
    <w:rsid w:val="0079514F"/>
    <w:rsid w:val="00795843"/>
    <w:rsid w:val="00795BBE"/>
    <w:rsid w:val="007962B4"/>
    <w:rsid w:val="007974E3"/>
    <w:rsid w:val="0079751B"/>
    <w:rsid w:val="0079782B"/>
    <w:rsid w:val="00797868"/>
    <w:rsid w:val="00797B10"/>
    <w:rsid w:val="007A05CA"/>
    <w:rsid w:val="007A08AA"/>
    <w:rsid w:val="007A0A12"/>
    <w:rsid w:val="007A132D"/>
    <w:rsid w:val="007A1345"/>
    <w:rsid w:val="007A1AAC"/>
    <w:rsid w:val="007A216D"/>
    <w:rsid w:val="007A2DDB"/>
    <w:rsid w:val="007A37C1"/>
    <w:rsid w:val="007A46BB"/>
    <w:rsid w:val="007A46D7"/>
    <w:rsid w:val="007A63EE"/>
    <w:rsid w:val="007A6C46"/>
    <w:rsid w:val="007A70BA"/>
    <w:rsid w:val="007A7A2D"/>
    <w:rsid w:val="007B0C7C"/>
    <w:rsid w:val="007B0D68"/>
    <w:rsid w:val="007B0E1E"/>
    <w:rsid w:val="007B119E"/>
    <w:rsid w:val="007B1CD9"/>
    <w:rsid w:val="007B251D"/>
    <w:rsid w:val="007B2668"/>
    <w:rsid w:val="007B3533"/>
    <w:rsid w:val="007B3647"/>
    <w:rsid w:val="007B4F58"/>
    <w:rsid w:val="007B528D"/>
    <w:rsid w:val="007B574C"/>
    <w:rsid w:val="007B5D60"/>
    <w:rsid w:val="007B63CA"/>
    <w:rsid w:val="007B6AE0"/>
    <w:rsid w:val="007B77D1"/>
    <w:rsid w:val="007C05A6"/>
    <w:rsid w:val="007C0710"/>
    <w:rsid w:val="007C07C7"/>
    <w:rsid w:val="007C0FC1"/>
    <w:rsid w:val="007C118B"/>
    <w:rsid w:val="007C16B7"/>
    <w:rsid w:val="007C1713"/>
    <w:rsid w:val="007C19FF"/>
    <w:rsid w:val="007C1CD9"/>
    <w:rsid w:val="007C1EBB"/>
    <w:rsid w:val="007C23E6"/>
    <w:rsid w:val="007C2502"/>
    <w:rsid w:val="007C2622"/>
    <w:rsid w:val="007C32EF"/>
    <w:rsid w:val="007C361D"/>
    <w:rsid w:val="007C4859"/>
    <w:rsid w:val="007C4B84"/>
    <w:rsid w:val="007C620C"/>
    <w:rsid w:val="007C6539"/>
    <w:rsid w:val="007C6F90"/>
    <w:rsid w:val="007C703E"/>
    <w:rsid w:val="007C70FF"/>
    <w:rsid w:val="007C7511"/>
    <w:rsid w:val="007C7599"/>
    <w:rsid w:val="007C7C25"/>
    <w:rsid w:val="007D004F"/>
    <w:rsid w:val="007D035F"/>
    <w:rsid w:val="007D06B2"/>
    <w:rsid w:val="007D0B38"/>
    <w:rsid w:val="007D1052"/>
    <w:rsid w:val="007D1AEC"/>
    <w:rsid w:val="007D1B5A"/>
    <w:rsid w:val="007D2F92"/>
    <w:rsid w:val="007D356B"/>
    <w:rsid w:val="007D35F3"/>
    <w:rsid w:val="007D374F"/>
    <w:rsid w:val="007D3EE7"/>
    <w:rsid w:val="007D50C3"/>
    <w:rsid w:val="007D5398"/>
    <w:rsid w:val="007D5440"/>
    <w:rsid w:val="007D6131"/>
    <w:rsid w:val="007D69EB"/>
    <w:rsid w:val="007D6CDC"/>
    <w:rsid w:val="007D76B1"/>
    <w:rsid w:val="007D7731"/>
    <w:rsid w:val="007E128F"/>
    <w:rsid w:val="007E1B0A"/>
    <w:rsid w:val="007E253B"/>
    <w:rsid w:val="007E349E"/>
    <w:rsid w:val="007E3A81"/>
    <w:rsid w:val="007E4F07"/>
    <w:rsid w:val="007E5AAD"/>
    <w:rsid w:val="007E60D0"/>
    <w:rsid w:val="007E6FF8"/>
    <w:rsid w:val="007E7B49"/>
    <w:rsid w:val="007E7F1B"/>
    <w:rsid w:val="007F03DB"/>
    <w:rsid w:val="007F0500"/>
    <w:rsid w:val="007F05EE"/>
    <w:rsid w:val="007F066B"/>
    <w:rsid w:val="007F0C79"/>
    <w:rsid w:val="007F1017"/>
    <w:rsid w:val="007F1073"/>
    <w:rsid w:val="007F1FF4"/>
    <w:rsid w:val="007F4A3F"/>
    <w:rsid w:val="007F4A61"/>
    <w:rsid w:val="007F5255"/>
    <w:rsid w:val="007F56CC"/>
    <w:rsid w:val="007F61C2"/>
    <w:rsid w:val="007F6599"/>
    <w:rsid w:val="007F6886"/>
    <w:rsid w:val="007F6B62"/>
    <w:rsid w:val="008001CF"/>
    <w:rsid w:val="00801F8D"/>
    <w:rsid w:val="00802003"/>
    <w:rsid w:val="0080222C"/>
    <w:rsid w:val="00805142"/>
    <w:rsid w:val="00805538"/>
    <w:rsid w:val="00805AC0"/>
    <w:rsid w:val="00805FCE"/>
    <w:rsid w:val="00806BF4"/>
    <w:rsid w:val="00807288"/>
    <w:rsid w:val="00807A8B"/>
    <w:rsid w:val="00810889"/>
    <w:rsid w:val="00810AC2"/>
    <w:rsid w:val="00811383"/>
    <w:rsid w:val="00811A66"/>
    <w:rsid w:val="00811F1C"/>
    <w:rsid w:val="00812149"/>
    <w:rsid w:val="0081257F"/>
    <w:rsid w:val="00812902"/>
    <w:rsid w:val="00812CAC"/>
    <w:rsid w:val="008130B2"/>
    <w:rsid w:val="0081369B"/>
    <w:rsid w:val="0081430D"/>
    <w:rsid w:val="00814EF6"/>
    <w:rsid w:val="008156D1"/>
    <w:rsid w:val="00815FC9"/>
    <w:rsid w:val="0081602F"/>
    <w:rsid w:val="008162BF"/>
    <w:rsid w:val="00816361"/>
    <w:rsid w:val="008166EF"/>
    <w:rsid w:val="0081683A"/>
    <w:rsid w:val="00816FEF"/>
    <w:rsid w:val="00820A8C"/>
    <w:rsid w:val="008215FB"/>
    <w:rsid w:val="00821975"/>
    <w:rsid w:val="00821DB2"/>
    <w:rsid w:val="008220CC"/>
    <w:rsid w:val="0082253E"/>
    <w:rsid w:val="00822D1D"/>
    <w:rsid w:val="00822FCE"/>
    <w:rsid w:val="00822FFD"/>
    <w:rsid w:val="00823174"/>
    <w:rsid w:val="00825751"/>
    <w:rsid w:val="008264EB"/>
    <w:rsid w:val="008268CE"/>
    <w:rsid w:val="008276E0"/>
    <w:rsid w:val="00827C23"/>
    <w:rsid w:val="00827D4A"/>
    <w:rsid w:val="00830493"/>
    <w:rsid w:val="0083109B"/>
    <w:rsid w:val="008310DA"/>
    <w:rsid w:val="00831427"/>
    <w:rsid w:val="00831541"/>
    <w:rsid w:val="00832D48"/>
    <w:rsid w:val="00833009"/>
    <w:rsid w:val="00833B05"/>
    <w:rsid w:val="008341D0"/>
    <w:rsid w:val="0083485D"/>
    <w:rsid w:val="008350A7"/>
    <w:rsid w:val="008362B4"/>
    <w:rsid w:val="008365D9"/>
    <w:rsid w:val="00836733"/>
    <w:rsid w:val="00836E49"/>
    <w:rsid w:val="008376D8"/>
    <w:rsid w:val="008378D1"/>
    <w:rsid w:val="00840CA2"/>
    <w:rsid w:val="00842BB6"/>
    <w:rsid w:val="00842BD6"/>
    <w:rsid w:val="0084374F"/>
    <w:rsid w:val="00844A22"/>
    <w:rsid w:val="00846364"/>
    <w:rsid w:val="008469FB"/>
    <w:rsid w:val="00847703"/>
    <w:rsid w:val="00847DF5"/>
    <w:rsid w:val="0085098E"/>
    <w:rsid w:val="00851798"/>
    <w:rsid w:val="00851B13"/>
    <w:rsid w:val="0085283D"/>
    <w:rsid w:val="0085309D"/>
    <w:rsid w:val="008531B6"/>
    <w:rsid w:val="0085393E"/>
    <w:rsid w:val="00855526"/>
    <w:rsid w:val="00856247"/>
    <w:rsid w:val="00856897"/>
    <w:rsid w:val="00856E9A"/>
    <w:rsid w:val="00856F09"/>
    <w:rsid w:val="00857019"/>
    <w:rsid w:val="0085779A"/>
    <w:rsid w:val="0086075D"/>
    <w:rsid w:val="00860930"/>
    <w:rsid w:val="00860D57"/>
    <w:rsid w:val="00862502"/>
    <w:rsid w:val="00862CC1"/>
    <w:rsid w:val="00863F56"/>
    <w:rsid w:val="008642A7"/>
    <w:rsid w:val="008644A5"/>
    <w:rsid w:val="00864CFC"/>
    <w:rsid w:val="008659D4"/>
    <w:rsid w:val="00865AE2"/>
    <w:rsid w:val="00865B4A"/>
    <w:rsid w:val="00865FF5"/>
    <w:rsid w:val="008660D4"/>
    <w:rsid w:val="00866BE1"/>
    <w:rsid w:val="00866FB8"/>
    <w:rsid w:val="00870CCA"/>
    <w:rsid w:val="00871572"/>
    <w:rsid w:val="008716C0"/>
    <w:rsid w:val="00871F64"/>
    <w:rsid w:val="00871FA9"/>
    <w:rsid w:val="008723B4"/>
    <w:rsid w:val="008726CC"/>
    <w:rsid w:val="008728E9"/>
    <w:rsid w:val="00873F83"/>
    <w:rsid w:val="0087451F"/>
    <w:rsid w:val="008748FD"/>
    <w:rsid w:val="0087494D"/>
    <w:rsid w:val="00875085"/>
    <w:rsid w:val="008755E2"/>
    <w:rsid w:val="00875C72"/>
    <w:rsid w:val="00876FC5"/>
    <w:rsid w:val="00876FEE"/>
    <w:rsid w:val="0087782C"/>
    <w:rsid w:val="00877A6E"/>
    <w:rsid w:val="00877B28"/>
    <w:rsid w:val="00880A0B"/>
    <w:rsid w:val="00880E98"/>
    <w:rsid w:val="00880F4A"/>
    <w:rsid w:val="00882539"/>
    <w:rsid w:val="00882874"/>
    <w:rsid w:val="00882A18"/>
    <w:rsid w:val="00882E3C"/>
    <w:rsid w:val="0088308A"/>
    <w:rsid w:val="00883715"/>
    <w:rsid w:val="00883787"/>
    <w:rsid w:val="00884C62"/>
    <w:rsid w:val="008855E4"/>
    <w:rsid w:val="008857F7"/>
    <w:rsid w:val="00886CD2"/>
    <w:rsid w:val="00887C87"/>
    <w:rsid w:val="00887F05"/>
    <w:rsid w:val="00890136"/>
    <w:rsid w:val="00891A71"/>
    <w:rsid w:val="00891B8A"/>
    <w:rsid w:val="00891E6F"/>
    <w:rsid w:val="0089275D"/>
    <w:rsid w:val="00892A36"/>
    <w:rsid w:val="00893239"/>
    <w:rsid w:val="00893527"/>
    <w:rsid w:val="00893793"/>
    <w:rsid w:val="00893A12"/>
    <w:rsid w:val="0089413F"/>
    <w:rsid w:val="00894489"/>
    <w:rsid w:val="00894591"/>
    <w:rsid w:val="008946D7"/>
    <w:rsid w:val="00894BBF"/>
    <w:rsid w:val="00894CD6"/>
    <w:rsid w:val="00895426"/>
    <w:rsid w:val="00895726"/>
    <w:rsid w:val="00895EBE"/>
    <w:rsid w:val="008962E4"/>
    <w:rsid w:val="008963A5"/>
    <w:rsid w:val="00896576"/>
    <w:rsid w:val="00896ADE"/>
    <w:rsid w:val="00896B6E"/>
    <w:rsid w:val="00896BB2"/>
    <w:rsid w:val="00896D5D"/>
    <w:rsid w:val="008970E0"/>
    <w:rsid w:val="00897674"/>
    <w:rsid w:val="008A06F4"/>
    <w:rsid w:val="008A0A30"/>
    <w:rsid w:val="008A0B44"/>
    <w:rsid w:val="008A1330"/>
    <w:rsid w:val="008A1B32"/>
    <w:rsid w:val="008A2544"/>
    <w:rsid w:val="008A2A30"/>
    <w:rsid w:val="008A3158"/>
    <w:rsid w:val="008A320B"/>
    <w:rsid w:val="008A3363"/>
    <w:rsid w:val="008A3371"/>
    <w:rsid w:val="008A3C3E"/>
    <w:rsid w:val="008A3CDB"/>
    <w:rsid w:val="008A487D"/>
    <w:rsid w:val="008A5AF7"/>
    <w:rsid w:val="008A5ED4"/>
    <w:rsid w:val="008A79DE"/>
    <w:rsid w:val="008A7CB8"/>
    <w:rsid w:val="008A7E7D"/>
    <w:rsid w:val="008B0AA9"/>
    <w:rsid w:val="008B14F6"/>
    <w:rsid w:val="008B1757"/>
    <w:rsid w:val="008B1C33"/>
    <w:rsid w:val="008B2B82"/>
    <w:rsid w:val="008B2E76"/>
    <w:rsid w:val="008B2FB2"/>
    <w:rsid w:val="008B37D8"/>
    <w:rsid w:val="008B4B6F"/>
    <w:rsid w:val="008B5663"/>
    <w:rsid w:val="008B63BD"/>
    <w:rsid w:val="008B66A0"/>
    <w:rsid w:val="008B7992"/>
    <w:rsid w:val="008B7D7E"/>
    <w:rsid w:val="008C04A7"/>
    <w:rsid w:val="008C053A"/>
    <w:rsid w:val="008C1299"/>
    <w:rsid w:val="008C1911"/>
    <w:rsid w:val="008C2329"/>
    <w:rsid w:val="008C2FF9"/>
    <w:rsid w:val="008C3B12"/>
    <w:rsid w:val="008C3B20"/>
    <w:rsid w:val="008C3D52"/>
    <w:rsid w:val="008C4E3D"/>
    <w:rsid w:val="008C53C2"/>
    <w:rsid w:val="008C5610"/>
    <w:rsid w:val="008C5739"/>
    <w:rsid w:val="008C57CA"/>
    <w:rsid w:val="008C5B4A"/>
    <w:rsid w:val="008C61DD"/>
    <w:rsid w:val="008C6C68"/>
    <w:rsid w:val="008C6DB0"/>
    <w:rsid w:val="008C7282"/>
    <w:rsid w:val="008C7ECB"/>
    <w:rsid w:val="008D0518"/>
    <w:rsid w:val="008D052D"/>
    <w:rsid w:val="008D07DA"/>
    <w:rsid w:val="008D1CDE"/>
    <w:rsid w:val="008D3B86"/>
    <w:rsid w:val="008D3F5F"/>
    <w:rsid w:val="008D408E"/>
    <w:rsid w:val="008D43FD"/>
    <w:rsid w:val="008D474B"/>
    <w:rsid w:val="008D4755"/>
    <w:rsid w:val="008D4C3D"/>
    <w:rsid w:val="008D6734"/>
    <w:rsid w:val="008D7027"/>
    <w:rsid w:val="008D7058"/>
    <w:rsid w:val="008D743C"/>
    <w:rsid w:val="008E0D3C"/>
    <w:rsid w:val="008E1648"/>
    <w:rsid w:val="008E18A6"/>
    <w:rsid w:val="008E18FD"/>
    <w:rsid w:val="008E1A50"/>
    <w:rsid w:val="008E1B9E"/>
    <w:rsid w:val="008E32F7"/>
    <w:rsid w:val="008E4442"/>
    <w:rsid w:val="008E44AB"/>
    <w:rsid w:val="008E4BD0"/>
    <w:rsid w:val="008E55A0"/>
    <w:rsid w:val="008E55AB"/>
    <w:rsid w:val="008E6042"/>
    <w:rsid w:val="008E61D3"/>
    <w:rsid w:val="008E6962"/>
    <w:rsid w:val="008E7369"/>
    <w:rsid w:val="008E7807"/>
    <w:rsid w:val="008E7844"/>
    <w:rsid w:val="008E7C75"/>
    <w:rsid w:val="008E7EB4"/>
    <w:rsid w:val="008F01EB"/>
    <w:rsid w:val="008F0545"/>
    <w:rsid w:val="008F120A"/>
    <w:rsid w:val="008F1391"/>
    <w:rsid w:val="008F14D7"/>
    <w:rsid w:val="008F150D"/>
    <w:rsid w:val="008F27E0"/>
    <w:rsid w:val="008F455F"/>
    <w:rsid w:val="008F48EB"/>
    <w:rsid w:val="008F4F0B"/>
    <w:rsid w:val="008F514E"/>
    <w:rsid w:val="008F649F"/>
    <w:rsid w:val="008F64EA"/>
    <w:rsid w:val="008F6788"/>
    <w:rsid w:val="008F6FAD"/>
    <w:rsid w:val="008F7753"/>
    <w:rsid w:val="008F7EAF"/>
    <w:rsid w:val="009000FD"/>
    <w:rsid w:val="00902169"/>
    <w:rsid w:val="0090294B"/>
    <w:rsid w:val="0090379F"/>
    <w:rsid w:val="009046C4"/>
    <w:rsid w:val="00904A1E"/>
    <w:rsid w:val="00904FC3"/>
    <w:rsid w:val="00905B39"/>
    <w:rsid w:val="009062A5"/>
    <w:rsid w:val="00906C16"/>
    <w:rsid w:val="00907699"/>
    <w:rsid w:val="00910581"/>
    <w:rsid w:val="009109D2"/>
    <w:rsid w:val="00910F83"/>
    <w:rsid w:val="00910F86"/>
    <w:rsid w:val="00910FA7"/>
    <w:rsid w:val="00911272"/>
    <w:rsid w:val="00911339"/>
    <w:rsid w:val="0091170B"/>
    <w:rsid w:val="009119B5"/>
    <w:rsid w:val="00913458"/>
    <w:rsid w:val="009135D6"/>
    <w:rsid w:val="0091400B"/>
    <w:rsid w:val="00914548"/>
    <w:rsid w:val="00914C77"/>
    <w:rsid w:val="00914CC8"/>
    <w:rsid w:val="00914FB7"/>
    <w:rsid w:val="00916F75"/>
    <w:rsid w:val="00917095"/>
    <w:rsid w:val="009179CF"/>
    <w:rsid w:val="00920A94"/>
    <w:rsid w:val="0092175B"/>
    <w:rsid w:val="00921ACB"/>
    <w:rsid w:val="0092254A"/>
    <w:rsid w:val="00922614"/>
    <w:rsid w:val="009235FD"/>
    <w:rsid w:val="0092369B"/>
    <w:rsid w:val="0092398F"/>
    <w:rsid w:val="009257C3"/>
    <w:rsid w:val="00926A35"/>
    <w:rsid w:val="00926D49"/>
    <w:rsid w:val="0092710C"/>
    <w:rsid w:val="009276EC"/>
    <w:rsid w:val="00927BB4"/>
    <w:rsid w:val="00930CA4"/>
    <w:rsid w:val="00931E22"/>
    <w:rsid w:val="00932696"/>
    <w:rsid w:val="0093289E"/>
    <w:rsid w:val="0093487F"/>
    <w:rsid w:val="00934988"/>
    <w:rsid w:val="00935751"/>
    <w:rsid w:val="00936F7A"/>
    <w:rsid w:val="00937089"/>
    <w:rsid w:val="0093742B"/>
    <w:rsid w:val="009401B6"/>
    <w:rsid w:val="00940817"/>
    <w:rsid w:val="00940EEF"/>
    <w:rsid w:val="00942557"/>
    <w:rsid w:val="009430F6"/>
    <w:rsid w:val="0094348A"/>
    <w:rsid w:val="00943C0E"/>
    <w:rsid w:val="009448F5"/>
    <w:rsid w:val="00944920"/>
    <w:rsid w:val="00944F8A"/>
    <w:rsid w:val="009454F6"/>
    <w:rsid w:val="00945958"/>
    <w:rsid w:val="00947046"/>
    <w:rsid w:val="0094785E"/>
    <w:rsid w:val="00947D8E"/>
    <w:rsid w:val="00947DB3"/>
    <w:rsid w:val="00950C9B"/>
    <w:rsid w:val="009510A2"/>
    <w:rsid w:val="0095111C"/>
    <w:rsid w:val="009524DB"/>
    <w:rsid w:val="00953257"/>
    <w:rsid w:val="00953EE4"/>
    <w:rsid w:val="0095474C"/>
    <w:rsid w:val="00954FBC"/>
    <w:rsid w:val="00955AAB"/>
    <w:rsid w:val="009569DF"/>
    <w:rsid w:val="009577E7"/>
    <w:rsid w:val="00957D92"/>
    <w:rsid w:val="00961468"/>
    <w:rsid w:val="009615D2"/>
    <w:rsid w:val="009620E7"/>
    <w:rsid w:val="00962305"/>
    <w:rsid w:val="00962CB9"/>
    <w:rsid w:val="0096307F"/>
    <w:rsid w:val="00963FCB"/>
    <w:rsid w:val="00964312"/>
    <w:rsid w:val="0096491E"/>
    <w:rsid w:val="00964A59"/>
    <w:rsid w:val="00965135"/>
    <w:rsid w:val="00965146"/>
    <w:rsid w:val="00965B3B"/>
    <w:rsid w:val="00965B8A"/>
    <w:rsid w:val="009664FE"/>
    <w:rsid w:val="00966DAB"/>
    <w:rsid w:val="00967893"/>
    <w:rsid w:val="0097066F"/>
    <w:rsid w:val="0097071F"/>
    <w:rsid w:val="00970F9B"/>
    <w:rsid w:val="009715BF"/>
    <w:rsid w:val="009717AC"/>
    <w:rsid w:val="0097194C"/>
    <w:rsid w:val="009723EE"/>
    <w:rsid w:val="00972AD3"/>
    <w:rsid w:val="00972E5A"/>
    <w:rsid w:val="00973057"/>
    <w:rsid w:val="009733F1"/>
    <w:rsid w:val="00973400"/>
    <w:rsid w:val="0097352B"/>
    <w:rsid w:val="00973BFA"/>
    <w:rsid w:val="0097442F"/>
    <w:rsid w:val="00974594"/>
    <w:rsid w:val="00974A24"/>
    <w:rsid w:val="00975128"/>
    <w:rsid w:val="009751C1"/>
    <w:rsid w:val="009762EF"/>
    <w:rsid w:val="00976A32"/>
    <w:rsid w:val="00976FA5"/>
    <w:rsid w:val="00977193"/>
    <w:rsid w:val="009777EE"/>
    <w:rsid w:val="00980167"/>
    <w:rsid w:val="009811F1"/>
    <w:rsid w:val="00981853"/>
    <w:rsid w:val="0098235F"/>
    <w:rsid w:val="00982746"/>
    <w:rsid w:val="00982E76"/>
    <w:rsid w:val="00982F6F"/>
    <w:rsid w:val="00983E56"/>
    <w:rsid w:val="00983E57"/>
    <w:rsid w:val="00985DE2"/>
    <w:rsid w:val="0098675D"/>
    <w:rsid w:val="009867CE"/>
    <w:rsid w:val="00986A58"/>
    <w:rsid w:val="00986B7E"/>
    <w:rsid w:val="00986D1D"/>
    <w:rsid w:val="009872EF"/>
    <w:rsid w:val="00987BA4"/>
    <w:rsid w:val="00987E6B"/>
    <w:rsid w:val="00990B22"/>
    <w:rsid w:val="009915A1"/>
    <w:rsid w:val="00991ED5"/>
    <w:rsid w:val="009926E0"/>
    <w:rsid w:val="0099451E"/>
    <w:rsid w:val="0099460C"/>
    <w:rsid w:val="0099536F"/>
    <w:rsid w:val="00995537"/>
    <w:rsid w:val="00995AA6"/>
    <w:rsid w:val="00995DAD"/>
    <w:rsid w:val="009960B7"/>
    <w:rsid w:val="00996B1A"/>
    <w:rsid w:val="00997AE8"/>
    <w:rsid w:val="00997F25"/>
    <w:rsid w:val="009A0C75"/>
    <w:rsid w:val="009A1252"/>
    <w:rsid w:val="009A15A4"/>
    <w:rsid w:val="009A18F6"/>
    <w:rsid w:val="009A2169"/>
    <w:rsid w:val="009A28B3"/>
    <w:rsid w:val="009A2DCC"/>
    <w:rsid w:val="009A3270"/>
    <w:rsid w:val="009A33A1"/>
    <w:rsid w:val="009A3D4F"/>
    <w:rsid w:val="009A41FF"/>
    <w:rsid w:val="009A46EB"/>
    <w:rsid w:val="009A5ABC"/>
    <w:rsid w:val="009A6C67"/>
    <w:rsid w:val="009A6E0E"/>
    <w:rsid w:val="009A7DF6"/>
    <w:rsid w:val="009A7F10"/>
    <w:rsid w:val="009B01CA"/>
    <w:rsid w:val="009B103C"/>
    <w:rsid w:val="009B1360"/>
    <w:rsid w:val="009B1B9E"/>
    <w:rsid w:val="009B2AED"/>
    <w:rsid w:val="009B3400"/>
    <w:rsid w:val="009B3E26"/>
    <w:rsid w:val="009B45B8"/>
    <w:rsid w:val="009B46A6"/>
    <w:rsid w:val="009B5312"/>
    <w:rsid w:val="009B655D"/>
    <w:rsid w:val="009B710D"/>
    <w:rsid w:val="009B7BF5"/>
    <w:rsid w:val="009C06DE"/>
    <w:rsid w:val="009C071E"/>
    <w:rsid w:val="009C0AED"/>
    <w:rsid w:val="009C0D3D"/>
    <w:rsid w:val="009C1271"/>
    <w:rsid w:val="009C19F7"/>
    <w:rsid w:val="009C1CD0"/>
    <w:rsid w:val="009C2619"/>
    <w:rsid w:val="009C2B0C"/>
    <w:rsid w:val="009C31ED"/>
    <w:rsid w:val="009C33F7"/>
    <w:rsid w:val="009C3706"/>
    <w:rsid w:val="009C3A3A"/>
    <w:rsid w:val="009C3D5F"/>
    <w:rsid w:val="009C4A13"/>
    <w:rsid w:val="009C4D95"/>
    <w:rsid w:val="009C51B7"/>
    <w:rsid w:val="009C583F"/>
    <w:rsid w:val="009C5C5D"/>
    <w:rsid w:val="009C6A55"/>
    <w:rsid w:val="009C6CEA"/>
    <w:rsid w:val="009C70DB"/>
    <w:rsid w:val="009C77D9"/>
    <w:rsid w:val="009C7B3D"/>
    <w:rsid w:val="009C7B85"/>
    <w:rsid w:val="009C7C4E"/>
    <w:rsid w:val="009D0254"/>
    <w:rsid w:val="009D159A"/>
    <w:rsid w:val="009D17C3"/>
    <w:rsid w:val="009D1A64"/>
    <w:rsid w:val="009D232A"/>
    <w:rsid w:val="009D2995"/>
    <w:rsid w:val="009D37A3"/>
    <w:rsid w:val="009D4682"/>
    <w:rsid w:val="009D4901"/>
    <w:rsid w:val="009D5B91"/>
    <w:rsid w:val="009D64C2"/>
    <w:rsid w:val="009D67EA"/>
    <w:rsid w:val="009D6CFC"/>
    <w:rsid w:val="009D7042"/>
    <w:rsid w:val="009D792E"/>
    <w:rsid w:val="009E00CC"/>
    <w:rsid w:val="009E0DFE"/>
    <w:rsid w:val="009E1398"/>
    <w:rsid w:val="009E17B9"/>
    <w:rsid w:val="009E1A6A"/>
    <w:rsid w:val="009E1F61"/>
    <w:rsid w:val="009E31F6"/>
    <w:rsid w:val="009E39A5"/>
    <w:rsid w:val="009E4C07"/>
    <w:rsid w:val="009E50D3"/>
    <w:rsid w:val="009E5BF1"/>
    <w:rsid w:val="009E6627"/>
    <w:rsid w:val="009E67CA"/>
    <w:rsid w:val="009E777F"/>
    <w:rsid w:val="009E7DCC"/>
    <w:rsid w:val="009F0D72"/>
    <w:rsid w:val="009F1681"/>
    <w:rsid w:val="009F2349"/>
    <w:rsid w:val="009F248B"/>
    <w:rsid w:val="009F3C68"/>
    <w:rsid w:val="009F4BF0"/>
    <w:rsid w:val="009F4E04"/>
    <w:rsid w:val="009F5781"/>
    <w:rsid w:val="009F592D"/>
    <w:rsid w:val="009F6120"/>
    <w:rsid w:val="009F68D0"/>
    <w:rsid w:val="009F6C2B"/>
    <w:rsid w:val="009F75A7"/>
    <w:rsid w:val="00A00AC0"/>
    <w:rsid w:val="00A00D76"/>
    <w:rsid w:val="00A01079"/>
    <w:rsid w:val="00A01184"/>
    <w:rsid w:val="00A01449"/>
    <w:rsid w:val="00A01D1B"/>
    <w:rsid w:val="00A03261"/>
    <w:rsid w:val="00A037C2"/>
    <w:rsid w:val="00A03D43"/>
    <w:rsid w:val="00A03EC5"/>
    <w:rsid w:val="00A03F6A"/>
    <w:rsid w:val="00A04380"/>
    <w:rsid w:val="00A04786"/>
    <w:rsid w:val="00A05241"/>
    <w:rsid w:val="00A05472"/>
    <w:rsid w:val="00A05C32"/>
    <w:rsid w:val="00A06345"/>
    <w:rsid w:val="00A0653F"/>
    <w:rsid w:val="00A06A0E"/>
    <w:rsid w:val="00A10B3C"/>
    <w:rsid w:val="00A114C1"/>
    <w:rsid w:val="00A11A2C"/>
    <w:rsid w:val="00A11CD0"/>
    <w:rsid w:val="00A11FFB"/>
    <w:rsid w:val="00A125E7"/>
    <w:rsid w:val="00A12885"/>
    <w:rsid w:val="00A12F6C"/>
    <w:rsid w:val="00A1368C"/>
    <w:rsid w:val="00A13948"/>
    <w:rsid w:val="00A13DBB"/>
    <w:rsid w:val="00A14A28"/>
    <w:rsid w:val="00A151BB"/>
    <w:rsid w:val="00A15418"/>
    <w:rsid w:val="00A1555B"/>
    <w:rsid w:val="00A155C5"/>
    <w:rsid w:val="00A1665A"/>
    <w:rsid w:val="00A16AD8"/>
    <w:rsid w:val="00A2021E"/>
    <w:rsid w:val="00A20810"/>
    <w:rsid w:val="00A21C95"/>
    <w:rsid w:val="00A21CF3"/>
    <w:rsid w:val="00A22465"/>
    <w:rsid w:val="00A23B31"/>
    <w:rsid w:val="00A24813"/>
    <w:rsid w:val="00A24B76"/>
    <w:rsid w:val="00A24BF6"/>
    <w:rsid w:val="00A24BF8"/>
    <w:rsid w:val="00A24C09"/>
    <w:rsid w:val="00A24F93"/>
    <w:rsid w:val="00A25079"/>
    <w:rsid w:val="00A257F1"/>
    <w:rsid w:val="00A25A26"/>
    <w:rsid w:val="00A25BB6"/>
    <w:rsid w:val="00A25F5D"/>
    <w:rsid w:val="00A25F86"/>
    <w:rsid w:val="00A2654B"/>
    <w:rsid w:val="00A27AEC"/>
    <w:rsid w:val="00A31ACE"/>
    <w:rsid w:val="00A320DB"/>
    <w:rsid w:val="00A32BE2"/>
    <w:rsid w:val="00A32C75"/>
    <w:rsid w:val="00A32D2C"/>
    <w:rsid w:val="00A352F3"/>
    <w:rsid w:val="00A35AAA"/>
    <w:rsid w:val="00A35D16"/>
    <w:rsid w:val="00A36522"/>
    <w:rsid w:val="00A36F7A"/>
    <w:rsid w:val="00A37741"/>
    <w:rsid w:val="00A37BCD"/>
    <w:rsid w:val="00A40C84"/>
    <w:rsid w:val="00A40E02"/>
    <w:rsid w:val="00A41689"/>
    <w:rsid w:val="00A4198B"/>
    <w:rsid w:val="00A422DB"/>
    <w:rsid w:val="00A424C2"/>
    <w:rsid w:val="00A42592"/>
    <w:rsid w:val="00A428DB"/>
    <w:rsid w:val="00A435D3"/>
    <w:rsid w:val="00A43C59"/>
    <w:rsid w:val="00A44F81"/>
    <w:rsid w:val="00A45A91"/>
    <w:rsid w:val="00A45D8B"/>
    <w:rsid w:val="00A46644"/>
    <w:rsid w:val="00A46CE7"/>
    <w:rsid w:val="00A46FA2"/>
    <w:rsid w:val="00A50ECD"/>
    <w:rsid w:val="00A518F3"/>
    <w:rsid w:val="00A52486"/>
    <w:rsid w:val="00A52729"/>
    <w:rsid w:val="00A5316A"/>
    <w:rsid w:val="00A53675"/>
    <w:rsid w:val="00A540E1"/>
    <w:rsid w:val="00A564D7"/>
    <w:rsid w:val="00A56B6A"/>
    <w:rsid w:val="00A56E46"/>
    <w:rsid w:val="00A56F7E"/>
    <w:rsid w:val="00A578DC"/>
    <w:rsid w:val="00A57C09"/>
    <w:rsid w:val="00A618D4"/>
    <w:rsid w:val="00A622E4"/>
    <w:rsid w:val="00A63DF0"/>
    <w:rsid w:val="00A640E2"/>
    <w:rsid w:val="00A640E5"/>
    <w:rsid w:val="00A644B1"/>
    <w:rsid w:val="00A64D65"/>
    <w:rsid w:val="00A64FE6"/>
    <w:rsid w:val="00A658B8"/>
    <w:rsid w:val="00A660F7"/>
    <w:rsid w:val="00A66514"/>
    <w:rsid w:val="00A6725B"/>
    <w:rsid w:val="00A701BD"/>
    <w:rsid w:val="00A70605"/>
    <w:rsid w:val="00A70C3F"/>
    <w:rsid w:val="00A711ED"/>
    <w:rsid w:val="00A71BF7"/>
    <w:rsid w:val="00A72872"/>
    <w:rsid w:val="00A72EE9"/>
    <w:rsid w:val="00A73134"/>
    <w:rsid w:val="00A7365A"/>
    <w:rsid w:val="00A73970"/>
    <w:rsid w:val="00A74433"/>
    <w:rsid w:val="00A75329"/>
    <w:rsid w:val="00A76001"/>
    <w:rsid w:val="00A777B2"/>
    <w:rsid w:val="00A77B19"/>
    <w:rsid w:val="00A80457"/>
    <w:rsid w:val="00A825D0"/>
    <w:rsid w:val="00A825D4"/>
    <w:rsid w:val="00A828F6"/>
    <w:rsid w:val="00A82B73"/>
    <w:rsid w:val="00A8339D"/>
    <w:rsid w:val="00A83531"/>
    <w:rsid w:val="00A836D3"/>
    <w:rsid w:val="00A83A89"/>
    <w:rsid w:val="00A83B15"/>
    <w:rsid w:val="00A83B9E"/>
    <w:rsid w:val="00A83DBD"/>
    <w:rsid w:val="00A847B2"/>
    <w:rsid w:val="00A85298"/>
    <w:rsid w:val="00A85945"/>
    <w:rsid w:val="00A86AFA"/>
    <w:rsid w:val="00A86B74"/>
    <w:rsid w:val="00A86C49"/>
    <w:rsid w:val="00A86E8B"/>
    <w:rsid w:val="00A87154"/>
    <w:rsid w:val="00A87164"/>
    <w:rsid w:val="00A871A9"/>
    <w:rsid w:val="00A8741B"/>
    <w:rsid w:val="00A90411"/>
    <w:rsid w:val="00A90DB7"/>
    <w:rsid w:val="00A91DDF"/>
    <w:rsid w:val="00A93072"/>
    <w:rsid w:val="00A938BD"/>
    <w:rsid w:val="00A93953"/>
    <w:rsid w:val="00A93C6A"/>
    <w:rsid w:val="00A9459F"/>
    <w:rsid w:val="00A94763"/>
    <w:rsid w:val="00A94E83"/>
    <w:rsid w:val="00A95790"/>
    <w:rsid w:val="00A959D8"/>
    <w:rsid w:val="00A95A52"/>
    <w:rsid w:val="00A96A5C"/>
    <w:rsid w:val="00A977C5"/>
    <w:rsid w:val="00A97F4A"/>
    <w:rsid w:val="00AA0070"/>
    <w:rsid w:val="00AA064F"/>
    <w:rsid w:val="00AA0832"/>
    <w:rsid w:val="00AA0DB7"/>
    <w:rsid w:val="00AA113D"/>
    <w:rsid w:val="00AA14AA"/>
    <w:rsid w:val="00AA426F"/>
    <w:rsid w:val="00AA44F8"/>
    <w:rsid w:val="00AA4C5F"/>
    <w:rsid w:val="00AA5E12"/>
    <w:rsid w:val="00AA6BD5"/>
    <w:rsid w:val="00AA6BD8"/>
    <w:rsid w:val="00AA6C7D"/>
    <w:rsid w:val="00AA7FD6"/>
    <w:rsid w:val="00AB003D"/>
    <w:rsid w:val="00AB042A"/>
    <w:rsid w:val="00AB11AD"/>
    <w:rsid w:val="00AB19EF"/>
    <w:rsid w:val="00AB1F5A"/>
    <w:rsid w:val="00AB21CD"/>
    <w:rsid w:val="00AB2495"/>
    <w:rsid w:val="00AB2D34"/>
    <w:rsid w:val="00AB3430"/>
    <w:rsid w:val="00AB37B9"/>
    <w:rsid w:val="00AB3DC2"/>
    <w:rsid w:val="00AB4AD1"/>
    <w:rsid w:val="00AB4B9D"/>
    <w:rsid w:val="00AB5C42"/>
    <w:rsid w:val="00AB5D1D"/>
    <w:rsid w:val="00AB5E07"/>
    <w:rsid w:val="00AB6989"/>
    <w:rsid w:val="00AB6FBC"/>
    <w:rsid w:val="00AB71C1"/>
    <w:rsid w:val="00AB794F"/>
    <w:rsid w:val="00AB7AB3"/>
    <w:rsid w:val="00AB7CFA"/>
    <w:rsid w:val="00AC0B32"/>
    <w:rsid w:val="00AC0C49"/>
    <w:rsid w:val="00AC1512"/>
    <w:rsid w:val="00AC26CA"/>
    <w:rsid w:val="00AC2908"/>
    <w:rsid w:val="00AC47DE"/>
    <w:rsid w:val="00AC5B42"/>
    <w:rsid w:val="00AC5B48"/>
    <w:rsid w:val="00AC7548"/>
    <w:rsid w:val="00AC7FE2"/>
    <w:rsid w:val="00AD02DD"/>
    <w:rsid w:val="00AD1450"/>
    <w:rsid w:val="00AD15E8"/>
    <w:rsid w:val="00AD1F1F"/>
    <w:rsid w:val="00AD20AB"/>
    <w:rsid w:val="00AD356D"/>
    <w:rsid w:val="00AD4040"/>
    <w:rsid w:val="00AD4395"/>
    <w:rsid w:val="00AD6502"/>
    <w:rsid w:val="00AD6AAC"/>
    <w:rsid w:val="00AE0236"/>
    <w:rsid w:val="00AE0695"/>
    <w:rsid w:val="00AE207D"/>
    <w:rsid w:val="00AE354B"/>
    <w:rsid w:val="00AE3E7E"/>
    <w:rsid w:val="00AE40B5"/>
    <w:rsid w:val="00AE49A2"/>
    <w:rsid w:val="00AE4AF7"/>
    <w:rsid w:val="00AE4BBA"/>
    <w:rsid w:val="00AE4C96"/>
    <w:rsid w:val="00AE5AB8"/>
    <w:rsid w:val="00AE6420"/>
    <w:rsid w:val="00AE67FE"/>
    <w:rsid w:val="00AE6B02"/>
    <w:rsid w:val="00AE7E53"/>
    <w:rsid w:val="00AF085B"/>
    <w:rsid w:val="00AF0BC1"/>
    <w:rsid w:val="00AF1315"/>
    <w:rsid w:val="00AF15BE"/>
    <w:rsid w:val="00AF19BF"/>
    <w:rsid w:val="00AF255B"/>
    <w:rsid w:val="00AF26EA"/>
    <w:rsid w:val="00AF2DC3"/>
    <w:rsid w:val="00AF3B19"/>
    <w:rsid w:val="00AF4978"/>
    <w:rsid w:val="00AF4FA6"/>
    <w:rsid w:val="00AF6657"/>
    <w:rsid w:val="00AF68C1"/>
    <w:rsid w:val="00AF6CFD"/>
    <w:rsid w:val="00B005D4"/>
    <w:rsid w:val="00B00CA6"/>
    <w:rsid w:val="00B033E5"/>
    <w:rsid w:val="00B033FB"/>
    <w:rsid w:val="00B03A63"/>
    <w:rsid w:val="00B03BF3"/>
    <w:rsid w:val="00B03F28"/>
    <w:rsid w:val="00B04543"/>
    <w:rsid w:val="00B049CE"/>
    <w:rsid w:val="00B04A9F"/>
    <w:rsid w:val="00B05389"/>
    <w:rsid w:val="00B07530"/>
    <w:rsid w:val="00B1109F"/>
    <w:rsid w:val="00B1259C"/>
    <w:rsid w:val="00B129A4"/>
    <w:rsid w:val="00B12AF6"/>
    <w:rsid w:val="00B1501A"/>
    <w:rsid w:val="00B15DDC"/>
    <w:rsid w:val="00B16C3D"/>
    <w:rsid w:val="00B171F0"/>
    <w:rsid w:val="00B17437"/>
    <w:rsid w:val="00B201A4"/>
    <w:rsid w:val="00B201D1"/>
    <w:rsid w:val="00B21230"/>
    <w:rsid w:val="00B213A6"/>
    <w:rsid w:val="00B2150D"/>
    <w:rsid w:val="00B21DF9"/>
    <w:rsid w:val="00B2206B"/>
    <w:rsid w:val="00B221DE"/>
    <w:rsid w:val="00B235B0"/>
    <w:rsid w:val="00B23F30"/>
    <w:rsid w:val="00B24DF6"/>
    <w:rsid w:val="00B262AA"/>
    <w:rsid w:val="00B27A61"/>
    <w:rsid w:val="00B30EB4"/>
    <w:rsid w:val="00B310D7"/>
    <w:rsid w:val="00B3336C"/>
    <w:rsid w:val="00B33671"/>
    <w:rsid w:val="00B338AF"/>
    <w:rsid w:val="00B34B4F"/>
    <w:rsid w:val="00B34FE2"/>
    <w:rsid w:val="00B3511E"/>
    <w:rsid w:val="00B35166"/>
    <w:rsid w:val="00B35451"/>
    <w:rsid w:val="00B35660"/>
    <w:rsid w:val="00B357D8"/>
    <w:rsid w:val="00B35C6B"/>
    <w:rsid w:val="00B360F4"/>
    <w:rsid w:val="00B36354"/>
    <w:rsid w:val="00B36A00"/>
    <w:rsid w:val="00B37830"/>
    <w:rsid w:val="00B3792B"/>
    <w:rsid w:val="00B37BFC"/>
    <w:rsid w:val="00B37DA5"/>
    <w:rsid w:val="00B40358"/>
    <w:rsid w:val="00B4140A"/>
    <w:rsid w:val="00B41614"/>
    <w:rsid w:val="00B41931"/>
    <w:rsid w:val="00B420E8"/>
    <w:rsid w:val="00B422F1"/>
    <w:rsid w:val="00B42851"/>
    <w:rsid w:val="00B42C72"/>
    <w:rsid w:val="00B42F80"/>
    <w:rsid w:val="00B4328A"/>
    <w:rsid w:val="00B435CB"/>
    <w:rsid w:val="00B43FE8"/>
    <w:rsid w:val="00B4436C"/>
    <w:rsid w:val="00B44CBB"/>
    <w:rsid w:val="00B44E8A"/>
    <w:rsid w:val="00B46167"/>
    <w:rsid w:val="00B465EC"/>
    <w:rsid w:val="00B46920"/>
    <w:rsid w:val="00B46BFB"/>
    <w:rsid w:val="00B47E1A"/>
    <w:rsid w:val="00B505C8"/>
    <w:rsid w:val="00B50854"/>
    <w:rsid w:val="00B508C3"/>
    <w:rsid w:val="00B509AB"/>
    <w:rsid w:val="00B50DB8"/>
    <w:rsid w:val="00B515F7"/>
    <w:rsid w:val="00B5168F"/>
    <w:rsid w:val="00B520E2"/>
    <w:rsid w:val="00B521F4"/>
    <w:rsid w:val="00B52828"/>
    <w:rsid w:val="00B53398"/>
    <w:rsid w:val="00B53654"/>
    <w:rsid w:val="00B53905"/>
    <w:rsid w:val="00B53BBC"/>
    <w:rsid w:val="00B53D22"/>
    <w:rsid w:val="00B53DC5"/>
    <w:rsid w:val="00B546DB"/>
    <w:rsid w:val="00B54737"/>
    <w:rsid w:val="00B54B5B"/>
    <w:rsid w:val="00B54CF0"/>
    <w:rsid w:val="00B54D33"/>
    <w:rsid w:val="00B5562E"/>
    <w:rsid w:val="00B55862"/>
    <w:rsid w:val="00B55C25"/>
    <w:rsid w:val="00B55D65"/>
    <w:rsid w:val="00B56305"/>
    <w:rsid w:val="00B56DBE"/>
    <w:rsid w:val="00B57000"/>
    <w:rsid w:val="00B572E4"/>
    <w:rsid w:val="00B5755C"/>
    <w:rsid w:val="00B57EA2"/>
    <w:rsid w:val="00B606BB"/>
    <w:rsid w:val="00B60939"/>
    <w:rsid w:val="00B60AFD"/>
    <w:rsid w:val="00B60F30"/>
    <w:rsid w:val="00B61163"/>
    <w:rsid w:val="00B62715"/>
    <w:rsid w:val="00B62C31"/>
    <w:rsid w:val="00B62C6F"/>
    <w:rsid w:val="00B62D8D"/>
    <w:rsid w:val="00B63595"/>
    <w:rsid w:val="00B64BCE"/>
    <w:rsid w:val="00B65611"/>
    <w:rsid w:val="00B66A9F"/>
    <w:rsid w:val="00B67EBF"/>
    <w:rsid w:val="00B701A8"/>
    <w:rsid w:val="00B70E8E"/>
    <w:rsid w:val="00B71FE1"/>
    <w:rsid w:val="00B72AF5"/>
    <w:rsid w:val="00B72C24"/>
    <w:rsid w:val="00B72D48"/>
    <w:rsid w:val="00B765C2"/>
    <w:rsid w:val="00B76C92"/>
    <w:rsid w:val="00B76C9B"/>
    <w:rsid w:val="00B771F2"/>
    <w:rsid w:val="00B80844"/>
    <w:rsid w:val="00B80946"/>
    <w:rsid w:val="00B80EFD"/>
    <w:rsid w:val="00B810E9"/>
    <w:rsid w:val="00B8134D"/>
    <w:rsid w:val="00B81434"/>
    <w:rsid w:val="00B818A4"/>
    <w:rsid w:val="00B83116"/>
    <w:rsid w:val="00B8317F"/>
    <w:rsid w:val="00B83739"/>
    <w:rsid w:val="00B838BD"/>
    <w:rsid w:val="00B83EFC"/>
    <w:rsid w:val="00B84117"/>
    <w:rsid w:val="00B8446F"/>
    <w:rsid w:val="00B858F0"/>
    <w:rsid w:val="00B85AA2"/>
    <w:rsid w:val="00B8649C"/>
    <w:rsid w:val="00B8695D"/>
    <w:rsid w:val="00B8718F"/>
    <w:rsid w:val="00B87ED2"/>
    <w:rsid w:val="00B87F0A"/>
    <w:rsid w:val="00B9009B"/>
    <w:rsid w:val="00B9018D"/>
    <w:rsid w:val="00B90436"/>
    <w:rsid w:val="00B91011"/>
    <w:rsid w:val="00B91209"/>
    <w:rsid w:val="00B9176C"/>
    <w:rsid w:val="00B91CC2"/>
    <w:rsid w:val="00B9227B"/>
    <w:rsid w:val="00B92D0B"/>
    <w:rsid w:val="00B94945"/>
    <w:rsid w:val="00B94DD6"/>
    <w:rsid w:val="00B95F57"/>
    <w:rsid w:val="00B965D5"/>
    <w:rsid w:val="00B9701A"/>
    <w:rsid w:val="00B971E8"/>
    <w:rsid w:val="00B9761E"/>
    <w:rsid w:val="00BA11A6"/>
    <w:rsid w:val="00BA2AEB"/>
    <w:rsid w:val="00BA322D"/>
    <w:rsid w:val="00BA4CDC"/>
    <w:rsid w:val="00BA5361"/>
    <w:rsid w:val="00BA5B55"/>
    <w:rsid w:val="00BA63FA"/>
    <w:rsid w:val="00BA71A7"/>
    <w:rsid w:val="00BA78CD"/>
    <w:rsid w:val="00BB00B3"/>
    <w:rsid w:val="00BB0BDD"/>
    <w:rsid w:val="00BB14F6"/>
    <w:rsid w:val="00BB176C"/>
    <w:rsid w:val="00BB1CF8"/>
    <w:rsid w:val="00BB23D4"/>
    <w:rsid w:val="00BB2A73"/>
    <w:rsid w:val="00BB2F99"/>
    <w:rsid w:val="00BB3015"/>
    <w:rsid w:val="00BB35AF"/>
    <w:rsid w:val="00BB399A"/>
    <w:rsid w:val="00BB3A45"/>
    <w:rsid w:val="00BB497A"/>
    <w:rsid w:val="00BB4ACC"/>
    <w:rsid w:val="00BB4DA5"/>
    <w:rsid w:val="00BB553C"/>
    <w:rsid w:val="00BB5868"/>
    <w:rsid w:val="00BB5EFE"/>
    <w:rsid w:val="00BB66DB"/>
    <w:rsid w:val="00BB6D7E"/>
    <w:rsid w:val="00BB703E"/>
    <w:rsid w:val="00BB732D"/>
    <w:rsid w:val="00BB7405"/>
    <w:rsid w:val="00BB7A54"/>
    <w:rsid w:val="00BB7B62"/>
    <w:rsid w:val="00BB7C2F"/>
    <w:rsid w:val="00BC06CD"/>
    <w:rsid w:val="00BC0BC8"/>
    <w:rsid w:val="00BC195C"/>
    <w:rsid w:val="00BC24B1"/>
    <w:rsid w:val="00BC34CC"/>
    <w:rsid w:val="00BC3631"/>
    <w:rsid w:val="00BC399E"/>
    <w:rsid w:val="00BC4502"/>
    <w:rsid w:val="00BC591F"/>
    <w:rsid w:val="00BC6703"/>
    <w:rsid w:val="00BC7D6D"/>
    <w:rsid w:val="00BD007C"/>
    <w:rsid w:val="00BD1418"/>
    <w:rsid w:val="00BD1B8C"/>
    <w:rsid w:val="00BD1D93"/>
    <w:rsid w:val="00BD2108"/>
    <w:rsid w:val="00BD2DA0"/>
    <w:rsid w:val="00BD3030"/>
    <w:rsid w:val="00BD3141"/>
    <w:rsid w:val="00BD39CC"/>
    <w:rsid w:val="00BD3AA8"/>
    <w:rsid w:val="00BD3DFD"/>
    <w:rsid w:val="00BD5571"/>
    <w:rsid w:val="00BD5968"/>
    <w:rsid w:val="00BD5FBE"/>
    <w:rsid w:val="00BD650F"/>
    <w:rsid w:val="00BD68A3"/>
    <w:rsid w:val="00BD6938"/>
    <w:rsid w:val="00BD6CF3"/>
    <w:rsid w:val="00BD79DA"/>
    <w:rsid w:val="00BD7C0F"/>
    <w:rsid w:val="00BD7F72"/>
    <w:rsid w:val="00BE0E82"/>
    <w:rsid w:val="00BE0ECA"/>
    <w:rsid w:val="00BE1867"/>
    <w:rsid w:val="00BE1F1C"/>
    <w:rsid w:val="00BE2180"/>
    <w:rsid w:val="00BE21F2"/>
    <w:rsid w:val="00BE23A4"/>
    <w:rsid w:val="00BE2E58"/>
    <w:rsid w:val="00BE2FEA"/>
    <w:rsid w:val="00BE32D3"/>
    <w:rsid w:val="00BE3572"/>
    <w:rsid w:val="00BE3F98"/>
    <w:rsid w:val="00BE4275"/>
    <w:rsid w:val="00BE45E7"/>
    <w:rsid w:val="00BE56E7"/>
    <w:rsid w:val="00BE5864"/>
    <w:rsid w:val="00BE5CF3"/>
    <w:rsid w:val="00BE657D"/>
    <w:rsid w:val="00BE714B"/>
    <w:rsid w:val="00BE73DF"/>
    <w:rsid w:val="00BF0116"/>
    <w:rsid w:val="00BF0579"/>
    <w:rsid w:val="00BF06AE"/>
    <w:rsid w:val="00BF0B72"/>
    <w:rsid w:val="00BF0F95"/>
    <w:rsid w:val="00BF1415"/>
    <w:rsid w:val="00BF1ADB"/>
    <w:rsid w:val="00BF1D5A"/>
    <w:rsid w:val="00BF2433"/>
    <w:rsid w:val="00BF2E6E"/>
    <w:rsid w:val="00BF3816"/>
    <w:rsid w:val="00BF4C22"/>
    <w:rsid w:val="00BF5670"/>
    <w:rsid w:val="00BF5E2E"/>
    <w:rsid w:val="00BF61C9"/>
    <w:rsid w:val="00BF6365"/>
    <w:rsid w:val="00BF68B1"/>
    <w:rsid w:val="00BF6C94"/>
    <w:rsid w:val="00BF6F4C"/>
    <w:rsid w:val="00BF6FE1"/>
    <w:rsid w:val="00BF700E"/>
    <w:rsid w:val="00BF7AED"/>
    <w:rsid w:val="00C00424"/>
    <w:rsid w:val="00C0089F"/>
    <w:rsid w:val="00C00BB0"/>
    <w:rsid w:val="00C00F7C"/>
    <w:rsid w:val="00C017BD"/>
    <w:rsid w:val="00C01A74"/>
    <w:rsid w:val="00C01FAC"/>
    <w:rsid w:val="00C02094"/>
    <w:rsid w:val="00C024E4"/>
    <w:rsid w:val="00C026C2"/>
    <w:rsid w:val="00C0336B"/>
    <w:rsid w:val="00C03FC7"/>
    <w:rsid w:val="00C0401B"/>
    <w:rsid w:val="00C04079"/>
    <w:rsid w:val="00C046D4"/>
    <w:rsid w:val="00C049B4"/>
    <w:rsid w:val="00C05D7D"/>
    <w:rsid w:val="00C06000"/>
    <w:rsid w:val="00C06D81"/>
    <w:rsid w:val="00C073EF"/>
    <w:rsid w:val="00C1179F"/>
    <w:rsid w:val="00C125DF"/>
    <w:rsid w:val="00C127B9"/>
    <w:rsid w:val="00C128FA"/>
    <w:rsid w:val="00C12C14"/>
    <w:rsid w:val="00C1428A"/>
    <w:rsid w:val="00C1486F"/>
    <w:rsid w:val="00C14B9A"/>
    <w:rsid w:val="00C14EEB"/>
    <w:rsid w:val="00C15B66"/>
    <w:rsid w:val="00C15F04"/>
    <w:rsid w:val="00C16B12"/>
    <w:rsid w:val="00C16E22"/>
    <w:rsid w:val="00C16F53"/>
    <w:rsid w:val="00C179B3"/>
    <w:rsid w:val="00C17E3F"/>
    <w:rsid w:val="00C200AA"/>
    <w:rsid w:val="00C20150"/>
    <w:rsid w:val="00C21E6D"/>
    <w:rsid w:val="00C226AC"/>
    <w:rsid w:val="00C22CF7"/>
    <w:rsid w:val="00C23042"/>
    <w:rsid w:val="00C237ED"/>
    <w:rsid w:val="00C23EBB"/>
    <w:rsid w:val="00C24240"/>
    <w:rsid w:val="00C2461E"/>
    <w:rsid w:val="00C24632"/>
    <w:rsid w:val="00C249D5"/>
    <w:rsid w:val="00C24E2E"/>
    <w:rsid w:val="00C24EF7"/>
    <w:rsid w:val="00C25418"/>
    <w:rsid w:val="00C25D9C"/>
    <w:rsid w:val="00C26B23"/>
    <w:rsid w:val="00C27554"/>
    <w:rsid w:val="00C2778B"/>
    <w:rsid w:val="00C30EB7"/>
    <w:rsid w:val="00C3139A"/>
    <w:rsid w:val="00C31649"/>
    <w:rsid w:val="00C31F24"/>
    <w:rsid w:val="00C3203F"/>
    <w:rsid w:val="00C321E4"/>
    <w:rsid w:val="00C341B9"/>
    <w:rsid w:val="00C3434C"/>
    <w:rsid w:val="00C3539F"/>
    <w:rsid w:val="00C3620D"/>
    <w:rsid w:val="00C40229"/>
    <w:rsid w:val="00C40385"/>
    <w:rsid w:val="00C4038F"/>
    <w:rsid w:val="00C40DE0"/>
    <w:rsid w:val="00C41358"/>
    <w:rsid w:val="00C41768"/>
    <w:rsid w:val="00C42326"/>
    <w:rsid w:val="00C423A3"/>
    <w:rsid w:val="00C4285D"/>
    <w:rsid w:val="00C4338C"/>
    <w:rsid w:val="00C434A9"/>
    <w:rsid w:val="00C443E0"/>
    <w:rsid w:val="00C45BB0"/>
    <w:rsid w:val="00C463B3"/>
    <w:rsid w:val="00C4683D"/>
    <w:rsid w:val="00C46DA2"/>
    <w:rsid w:val="00C46F7A"/>
    <w:rsid w:val="00C47436"/>
    <w:rsid w:val="00C475AA"/>
    <w:rsid w:val="00C47C99"/>
    <w:rsid w:val="00C47EE6"/>
    <w:rsid w:val="00C50BB5"/>
    <w:rsid w:val="00C50D5F"/>
    <w:rsid w:val="00C50F10"/>
    <w:rsid w:val="00C51867"/>
    <w:rsid w:val="00C52161"/>
    <w:rsid w:val="00C527C7"/>
    <w:rsid w:val="00C52923"/>
    <w:rsid w:val="00C52965"/>
    <w:rsid w:val="00C52D4E"/>
    <w:rsid w:val="00C535E4"/>
    <w:rsid w:val="00C5381B"/>
    <w:rsid w:val="00C53C98"/>
    <w:rsid w:val="00C53E21"/>
    <w:rsid w:val="00C543AE"/>
    <w:rsid w:val="00C54EC7"/>
    <w:rsid w:val="00C55505"/>
    <w:rsid w:val="00C5642C"/>
    <w:rsid w:val="00C56ED4"/>
    <w:rsid w:val="00C56FCF"/>
    <w:rsid w:val="00C571A5"/>
    <w:rsid w:val="00C57B6C"/>
    <w:rsid w:val="00C61A59"/>
    <w:rsid w:val="00C628A6"/>
    <w:rsid w:val="00C6307B"/>
    <w:rsid w:val="00C63E4F"/>
    <w:rsid w:val="00C64344"/>
    <w:rsid w:val="00C64720"/>
    <w:rsid w:val="00C65108"/>
    <w:rsid w:val="00C65576"/>
    <w:rsid w:val="00C66165"/>
    <w:rsid w:val="00C66192"/>
    <w:rsid w:val="00C67E85"/>
    <w:rsid w:val="00C701C9"/>
    <w:rsid w:val="00C7060A"/>
    <w:rsid w:val="00C70CBD"/>
    <w:rsid w:val="00C71051"/>
    <w:rsid w:val="00C7151A"/>
    <w:rsid w:val="00C717E3"/>
    <w:rsid w:val="00C71F60"/>
    <w:rsid w:val="00C72241"/>
    <w:rsid w:val="00C72E3A"/>
    <w:rsid w:val="00C7304C"/>
    <w:rsid w:val="00C73213"/>
    <w:rsid w:val="00C733DE"/>
    <w:rsid w:val="00C7501D"/>
    <w:rsid w:val="00C750C8"/>
    <w:rsid w:val="00C751C7"/>
    <w:rsid w:val="00C7560F"/>
    <w:rsid w:val="00C75714"/>
    <w:rsid w:val="00C75C44"/>
    <w:rsid w:val="00C75C9B"/>
    <w:rsid w:val="00C75DFA"/>
    <w:rsid w:val="00C766B3"/>
    <w:rsid w:val="00C77019"/>
    <w:rsid w:val="00C80A0E"/>
    <w:rsid w:val="00C81608"/>
    <w:rsid w:val="00C8213F"/>
    <w:rsid w:val="00C82B9C"/>
    <w:rsid w:val="00C8303F"/>
    <w:rsid w:val="00C83D5C"/>
    <w:rsid w:val="00C844B3"/>
    <w:rsid w:val="00C84C08"/>
    <w:rsid w:val="00C85154"/>
    <w:rsid w:val="00C85A70"/>
    <w:rsid w:val="00C86313"/>
    <w:rsid w:val="00C86953"/>
    <w:rsid w:val="00C8797A"/>
    <w:rsid w:val="00C87F80"/>
    <w:rsid w:val="00C900B8"/>
    <w:rsid w:val="00C90197"/>
    <w:rsid w:val="00C90C1D"/>
    <w:rsid w:val="00C90C71"/>
    <w:rsid w:val="00C911B0"/>
    <w:rsid w:val="00C911C5"/>
    <w:rsid w:val="00C91993"/>
    <w:rsid w:val="00C91FD1"/>
    <w:rsid w:val="00C92750"/>
    <w:rsid w:val="00C929D4"/>
    <w:rsid w:val="00C931CF"/>
    <w:rsid w:val="00C93395"/>
    <w:rsid w:val="00C938CF"/>
    <w:rsid w:val="00C93EA7"/>
    <w:rsid w:val="00C93FA2"/>
    <w:rsid w:val="00C94053"/>
    <w:rsid w:val="00C945E4"/>
    <w:rsid w:val="00C9522E"/>
    <w:rsid w:val="00C95E40"/>
    <w:rsid w:val="00C9624D"/>
    <w:rsid w:val="00C969DA"/>
    <w:rsid w:val="00C96F5F"/>
    <w:rsid w:val="00C9717C"/>
    <w:rsid w:val="00C9745B"/>
    <w:rsid w:val="00C9783B"/>
    <w:rsid w:val="00CA01E6"/>
    <w:rsid w:val="00CA0C29"/>
    <w:rsid w:val="00CA0C69"/>
    <w:rsid w:val="00CA1413"/>
    <w:rsid w:val="00CA182F"/>
    <w:rsid w:val="00CA2C77"/>
    <w:rsid w:val="00CA4037"/>
    <w:rsid w:val="00CA444F"/>
    <w:rsid w:val="00CA46A5"/>
    <w:rsid w:val="00CA482C"/>
    <w:rsid w:val="00CA5060"/>
    <w:rsid w:val="00CA5245"/>
    <w:rsid w:val="00CA553D"/>
    <w:rsid w:val="00CA65D8"/>
    <w:rsid w:val="00CA71F4"/>
    <w:rsid w:val="00CA7274"/>
    <w:rsid w:val="00CA7B09"/>
    <w:rsid w:val="00CB0476"/>
    <w:rsid w:val="00CB0C58"/>
    <w:rsid w:val="00CB12A5"/>
    <w:rsid w:val="00CB1527"/>
    <w:rsid w:val="00CB1CAC"/>
    <w:rsid w:val="00CB2EE8"/>
    <w:rsid w:val="00CB2F2A"/>
    <w:rsid w:val="00CB3C74"/>
    <w:rsid w:val="00CB4F5F"/>
    <w:rsid w:val="00CB59B1"/>
    <w:rsid w:val="00CB5B1A"/>
    <w:rsid w:val="00CB5BBA"/>
    <w:rsid w:val="00CB6B22"/>
    <w:rsid w:val="00CB714D"/>
    <w:rsid w:val="00CB7B51"/>
    <w:rsid w:val="00CB7C44"/>
    <w:rsid w:val="00CB7F5F"/>
    <w:rsid w:val="00CC0015"/>
    <w:rsid w:val="00CC1A24"/>
    <w:rsid w:val="00CC1B39"/>
    <w:rsid w:val="00CC1BFA"/>
    <w:rsid w:val="00CC1E56"/>
    <w:rsid w:val="00CC2394"/>
    <w:rsid w:val="00CC2901"/>
    <w:rsid w:val="00CC2E9F"/>
    <w:rsid w:val="00CC35EA"/>
    <w:rsid w:val="00CC3848"/>
    <w:rsid w:val="00CC3B3A"/>
    <w:rsid w:val="00CC3CF3"/>
    <w:rsid w:val="00CC3D10"/>
    <w:rsid w:val="00CC4CB6"/>
    <w:rsid w:val="00CC4D23"/>
    <w:rsid w:val="00CC6674"/>
    <w:rsid w:val="00CC6D5E"/>
    <w:rsid w:val="00CC7B5C"/>
    <w:rsid w:val="00CD0200"/>
    <w:rsid w:val="00CD09E9"/>
    <w:rsid w:val="00CD0D28"/>
    <w:rsid w:val="00CD0E0F"/>
    <w:rsid w:val="00CD0FFD"/>
    <w:rsid w:val="00CD1C9D"/>
    <w:rsid w:val="00CD1EBD"/>
    <w:rsid w:val="00CD2A04"/>
    <w:rsid w:val="00CD30B8"/>
    <w:rsid w:val="00CD3188"/>
    <w:rsid w:val="00CD327E"/>
    <w:rsid w:val="00CD376E"/>
    <w:rsid w:val="00CD3837"/>
    <w:rsid w:val="00CD3F77"/>
    <w:rsid w:val="00CD4311"/>
    <w:rsid w:val="00CD5355"/>
    <w:rsid w:val="00CD66E1"/>
    <w:rsid w:val="00CD68C5"/>
    <w:rsid w:val="00CD6AC4"/>
    <w:rsid w:val="00CD6ADC"/>
    <w:rsid w:val="00CD6CDB"/>
    <w:rsid w:val="00CD6F4E"/>
    <w:rsid w:val="00CD70FA"/>
    <w:rsid w:val="00CD7193"/>
    <w:rsid w:val="00CD7847"/>
    <w:rsid w:val="00CE08FF"/>
    <w:rsid w:val="00CE0EB9"/>
    <w:rsid w:val="00CE1401"/>
    <w:rsid w:val="00CE2262"/>
    <w:rsid w:val="00CE22A5"/>
    <w:rsid w:val="00CE38C8"/>
    <w:rsid w:val="00CE3F8D"/>
    <w:rsid w:val="00CE524F"/>
    <w:rsid w:val="00CE5872"/>
    <w:rsid w:val="00CE58CC"/>
    <w:rsid w:val="00CE5A02"/>
    <w:rsid w:val="00CE6274"/>
    <w:rsid w:val="00CE77B6"/>
    <w:rsid w:val="00CE79FE"/>
    <w:rsid w:val="00CF0401"/>
    <w:rsid w:val="00CF056C"/>
    <w:rsid w:val="00CF2B8D"/>
    <w:rsid w:val="00CF3994"/>
    <w:rsid w:val="00CF3A1B"/>
    <w:rsid w:val="00CF43EF"/>
    <w:rsid w:val="00CF456B"/>
    <w:rsid w:val="00CF48F4"/>
    <w:rsid w:val="00CF4B1F"/>
    <w:rsid w:val="00CF526D"/>
    <w:rsid w:val="00CF558E"/>
    <w:rsid w:val="00CF5793"/>
    <w:rsid w:val="00CF59E1"/>
    <w:rsid w:val="00CF5A22"/>
    <w:rsid w:val="00CF6FA4"/>
    <w:rsid w:val="00D0038A"/>
    <w:rsid w:val="00D003F1"/>
    <w:rsid w:val="00D01F33"/>
    <w:rsid w:val="00D020C2"/>
    <w:rsid w:val="00D0226D"/>
    <w:rsid w:val="00D023C6"/>
    <w:rsid w:val="00D0262E"/>
    <w:rsid w:val="00D02947"/>
    <w:rsid w:val="00D03679"/>
    <w:rsid w:val="00D03AEB"/>
    <w:rsid w:val="00D0421D"/>
    <w:rsid w:val="00D044D1"/>
    <w:rsid w:val="00D055E7"/>
    <w:rsid w:val="00D05E3D"/>
    <w:rsid w:val="00D060D0"/>
    <w:rsid w:val="00D06139"/>
    <w:rsid w:val="00D07484"/>
    <w:rsid w:val="00D07C84"/>
    <w:rsid w:val="00D110BD"/>
    <w:rsid w:val="00D11E8A"/>
    <w:rsid w:val="00D135B6"/>
    <w:rsid w:val="00D13675"/>
    <w:rsid w:val="00D141E1"/>
    <w:rsid w:val="00D15314"/>
    <w:rsid w:val="00D15909"/>
    <w:rsid w:val="00D15A9E"/>
    <w:rsid w:val="00D15B48"/>
    <w:rsid w:val="00D17D6C"/>
    <w:rsid w:val="00D207E4"/>
    <w:rsid w:val="00D20834"/>
    <w:rsid w:val="00D2085A"/>
    <w:rsid w:val="00D20E87"/>
    <w:rsid w:val="00D2155B"/>
    <w:rsid w:val="00D21694"/>
    <w:rsid w:val="00D21991"/>
    <w:rsid w:val="00D21F76"/>
    <w:rsid w:val="00D231DD"/>
    <w:rsid w:val="00D232D6"/>
    <w:rsid w:val="00D2333C"/>
    <w:rsid w:val="00D23D11"/>
    <w:rsid w:val="00D24199"/>
    <w:rsid w:val="00D244B6"/>
    <w:rsid w:val="00D24D4B"/>
    <w:rsid w:val="00D25873"/>
    <w:rsid w:val="00D25C1C"/>
    <w:rsid w:val="00D2648F"/>
    <w:rsid w:val="00D26DEB"/>
    <w:rsid w:val="00D26E84"/>
    <w:rsid w:val="00D274E3"/>
    <w:rsid w:val="00D2754D"/>
    <w:rsid w:val="00D27807"/>
    <w:rsid w:val="00D27B27"/>
    <w:rsid w:val="00D30D5B"/>
    <w:rsid w:val="00D312B5"/>
    <w:rsid w:val="00D31800"/>
    <w:rsid w:val="00D3296F"/>
    <w:rsid w:val="00D329B1"/>
    <w:rsid w:val="00D329C2"/>
    <w:rsid w:val="00D32FF8"/>
    <w:rsid w:val="00D33BE9"/>
    <w:rsid w:val="00D33F93"/>
    <w:rsid w:val="00D35327"/>
    <w:rsid w:val="00D357FF"/>
    <w:rsid w:val="00D36187"/>
    <w:rsid w:val="00D363CA"/>
    <w:rsid w:val="00D40DFF"/>
    <w:rsid w:val="00D41077"/>
    <w:rsid w:val="00D424C7"/>
    <w:rsid w:val="00D4291A"/>
    <w:rsid w:val="00D42C14"/>
    <w:rsid w:val="00D435B2"/>
    <w:rsid w:val="00D43B2A"/>
    <w:rsid w:val="00D43CF1"/>
    <w:rsid w:val="00D43D83"/>
    <w:rsid w:val="00D441CE"/>
    <w:rsid w:val="00D4483E"/>
    <w:rsid w:val="00D44DF0"/>
    <w:rsid w:val="00D45D46"/>
    <w:rsid w:val="00D4600C"/>
    <w:rsid w:val="00D46C20"/>
    <w:rsid w:val="00D47124"/>
    <w:rsid w:val="00D47567"/>
    <w:rsid w:val="00D47575"/>
    <w:rsid w:val="00D47BE5"/>
    <w:rsid w:val="00D47F65"/>
    <w:rsid w:val="00D504EB"/>
    <w:rsid w:val="00D50C27"/>
    <w:rsid w:val="00D5106A"/>
    <w:rsid w:val="00D51A65"/>
    <w:rsid w:val="00D51B07"/>
    <w:rsid w:val="00D51F04"/>
    <w:rsid w:val="00D52171"/>
    <w:rsid w:val="00D5243B"/>
    <w:rsid w:val="00D533EC"/>
    <w:rsid w:val="00D53ADC"/>
    <w:rsid w:val="00D5413B"/>
    <w:rsid w:val="00D54353"/>
    <w:rsid w:val="00D54B7E"/>
    <w:rsid w:val="00D54C29"/>
    <w:rsid w:val="00D550CA"/>
    <w:rsid w:val="00D56A95"/>
    <w:rsid w:val="00D570D6"/>
    <w:rsid w:val="00D57DF7"/>
    <w:rsid w:val="00D6048D"/>
    <w:rsid w:val="00D6076E"/>
    <w:rsid w:val="00D6085D"/>
    <w:rsid w:val="00D60A59"/>
    <w:rsid w:val="00D61984"/>
    <w:rsid w:val="00D626A0"/>
    <w:rsid w:val="00D6283E"/>
    <w:rsid w:val="00D6342A"/>
    <w:rsid w:val="00D636C6"/>
    <w:rsid w:val="00D63780"/>
    <w:rsid w:val="00D6472B"/>
    <w:rsid w:val="00D656B2"/>
    <w:rsid w:val="00D65B95"/>
    <w:rsid w:val="00D668E6"/>
    <w:rsid w:val="00D67E36"/>
    <w:rsid w:val="00D7002B"/>
    <w:rsid w:val="00D705D8"/>
    <w:rsid w:val="00D70F16"/>
    <w:rsid w:val="00D72371"/>
    <w:rsid w:val="00D72617"/>
    <w:rsid w:val="00D72F57"/>
    <w:rsid w:val="00D73DB3"/>
    <w:rsid w:val="00D748AC"/>
    <w:rsid w:val="00D74E8D"/>
    <w:rsid w:val="00D75C80"/>
    <w:rsid w:val="00D75D2F"/>
    <w:rsid w:val="00D76A44"/>
    <w:rsid w:val="00D80BE7"/>
    <w:rsid w:val="00D815EF"/>
    <w:rsid w:val="00D81949"/>
    <w:rsid w:val="00D81F26"/>
    <w:rsid w:val="00D822E2"/>
    <w:rsid w:val="00D8231C"/>
    <w:rsid w:val="00D82A03"/>
    <w:rsid w:val="00D8365F"/>
    <w:rsid w:val="00D83FC2"/>
    <w:rsid w:val="00D843F2"/>
    <w:rsid w:val="00D84D03"/>
    <w:rsid w:val="00D8533B"/>
    <w:rsid w:val="00D85FB0"/>
    <w:rsid w:val="00D86231"/>
    <w:rsid w:val="00D90AF8"/>
    <w:rsid w:val="00D912AB"/>
    <w:rsid w:val="00D91923"/>
    <w:rsid w:val="00D91E82"/>
    <w:rsid w:val="00D92974"/>
    <w:rsid w:val="00D92A3B"/>
    <w:rsid w:val="00D931FA"/>
    <w:rsid w:val="00D93753"/>
    <w:rsid w:val="00D940E4"/>
    <w:rsid w:val="00D948F3"/>
    <w:rsid w:val="00D95B11"/>
    <w:rsid w:val="00D96161"/>
    <w:rsid w:val="00D97163"/>
    <w:rsid w:val="00D97417"/>
    <w:rsid w:val="00DA0193"/>
    <w:rsid w:val="00DA11AF"/>
    <w:rsid w:val="00DA1D69"/>
    <w:rsid w:val="00DA2D77"/>
    <w:rsid w:val="00DA2F1D"/>
    <w:rsid w:val="00DA3167"/>
    <w:rsid w:val="00DA31F5"/>
    <w:rsid w:val="00DA33FE"/>
    <w:rsid w:val="00DA4DC3"/>
    <w:rsid w:val="00DA53B9"/>
    <w:rsid w:val="00DA5E10"/>
    <w:rsid w:val="00DA62E6"/>
    <w:rsid w:val="00DA6347"/>
    <w:rsid w:val="00DA77A5"/>
    <w:rsid w:val="00DA7B72"/>
    <w:rsid w:val="00DB0859"/>
    <w:rsid w:val="00DB09D2"/>
    <w:rsid w:val="00DB0E36"/>
    <w:rsid w:val="00DB13D6"/>
    <w:rsid w:val="00DB157B"/>
    <w:rsid w:val="00DB1843"/>
    <w:rsid w:val="00DB18B8"/>
    <w:rsid w:val="00DB3138"/>
    <w:rsid w:val="00DB316A"/>
    <w:rsid w:val="00DB376C"/>
    <w:rsid w:val="00DB3B0D"/>
    <w:rsid w:val="00DB3DBF"/>
    <w:rsid w:val="00DB442F"/>
    <w:rsid w:val="00DB484F"/>
    <w:rsid w:val="00DB4AA0"/>
    <w:rsid w:val="00DB661E"/>
    <w:rsid w:val="00DB7543"/>
    <w:rsid w:val="00DB7E99"/>
    <w:rsid w:val="00DC020B"/>
    <w:rsid w:val="00DC04F6"/>
    <w:rsid w:val="00DC0690"/>
    <w:rsid w:val="00DC088C"/>
    <w:rsid w:val="00DC0B51"/>
    <w:rsid w:val="00DC0C30"/>
    <w:rsid w:val="00DC0DD8"/>
    <w:rsid w:val="00DC0E07"/>
    <w:rsid w:val="00DC1304"/>
    <w:rsid w:val="00DC1A87"/>
    <w:rsid w:val="00DC1D65"/>
    <w:rsid w:val="00DC3252"/>
    <w:rsid w:val="00DC3C57"/>
    <w:rsid w:val="00DC541F"/>
    <w:rsid w:val="00DC5501"/>
    <w:rsid w:val="00DC5AF6"/>
    <w:rsid w:val="00DC5DE4"/>
    <w:rsid w:val="00DC5DF8"/>
    <w:rsid w:val="00DC5E9C"/>
    <w:rsid w:val="00DC64AB"/>
    <w:rsid w:val="00DC7154"/>
    <w:rsid w:val="00DC7599"/>
    <w:rsid w:val="00DC7E8A"/>
    <w:rsid w:val="00DD0F78"/>
    <w:rsid w:val="00DD0FEE"/>
    <w:rsid w:val="00DD1670"/>
    <w:rsid w:val="00DD273C"/>
    <w:rsid w:val="00DD27F9"/>
    <w:rsid w:val="00DD29D0"/>
    <w:rsid w:val="00DD2F59"/>
    <w:rsid w:val="00DD30C3"/>
    <w:rsid w:val="00DD310A"/>
    <w:rsid w:val="00DD3318"/>
    <w:rsid w:val="00DD3F28"/>
    <w:rsid w:val="00DD4446"/>
    <w:rsid w:val="00DD4537"/>
    <w:rsid w:val="00DD49E5"/>
    <w:rsid w:val="00DD4A47"/>
    <w:rsid w:val="00DD4A82"/>
    <w:rsid w:val="00DD4E15"/>
    <w:rsid w:val="00DD59F1"/>
    <w:rsid w:val="00DD623C"/>
    <w:rsid w:val="00DD6400"/>
    <w:rsid w:val="00DD6D1B"/>
    <w:rsid w:val="00DD702C"/>
    <w:rsid w:val="00DE036F"/>
    <w:rsid w:val="00DE1317"/>
    <w:rsid w:val="00DE1A5E"/>
    <w:rsid w:val="00DE1E8D"/>
    <w:rsid w:val="00DE1EA2"/>
    <w:rsid w:val="00DE2304"/>
    <w:rsid w:val="00DE24F3"/>
    <w:rsid w:val="00DE3138"/>
    <w:rsid w:val="00DE343F"/>
    <w:rsid w:val="00DE3766"/>
    <w:rsid w:val="00DE3792"/>
    <w:rsid w:val="00DE37F8"/>
    <w:rsid w:val="00DE406F"/>
    <w:rsid w:val="00DE4273"/>
    <w:rsid w:val="00DE46D3"/>
    <w:rsid w:val="00DE4C1F"/>
    <w:rsid w:val="00DE4FCB"/>
    <w:rsid w:val="00DE5B27"/>
    <w:rsid w:val="00DE5D07"/>
    <w:rsid w:val="00DE68DA"/>
    <w:rsid w:val="00DE6E22"/>
    <w:rsid w:val="00DE72A7"/>
    <w:rsid w:val="00DE7832"/>
    <w:rsid w:val="00DE7F1F"/>
    <w:rsid w:val="00DF0C58"/>
    <w:rsid w:val="00DF18FC"/>
    <w:rsid w:val="00DF1ADF"/>
    <w:rsid w:val="00DF242F"/>
    <w:rsid w:val="00DF289D"/>
    <w:rsid w:val="00DF2A67"/>
    <w:rsid w:val="00DF2E83"/>
    <w:rsid w:val="00DF3A3A"/>
    <w:rsid w:val="00DF3DEB"/>
    <w:rsid w:val="00DF4C04"/>
    <w:rsid w:val="00DF5823"/>
    <w:rsid w:val="00DF5D2B"/>
    <w:rsid w:val="00DF6341"/>
    <w:rsid w:val="00DF6493"/>
    <w:rsid w:val="00DF6AF6"/>
    <w:rsid w:val="00DF75E0"/>
    <w:rsid w:val="00E0034B"/>
    <w:rsid w:val="00E00972"/>
    <w:rsid w:val="00E00E8E"/>
    <w:rsid w:val="00E01AA0"/>
    <w:rsid w:val="00E02743"/>
    <w:rsid w:val="00E039A4"/>
    <w:rsid w:val="00E03CB3"/>
    <w:rsid w:val="00E0452A"/>
    <w:rsid w:val="00E0464C"/>
    <w:rsid w:val="00E05630"/>
    <w:rsid w:val="00E05A4C"/>
    <w:rsid w:val="00E05D1D"/>
    <w:rsid w:val="00E06A8D"/>
    <w:rsid w:val="00E06CEF"/>
    <w:rsid w:val="00E06DBB"/>
    <w:rsid w:val="00E10149"/>
    <w:rsid w:val="00E107BD"/>
    <w:rsid w:val="00E11340"/>
    <w:rsid w:val="00E117DE"/>
    <w:rsid w:val="00E11801"/>
    <w:rsid w:val="00E11A84"/>
    <w:rsid w:val="00E122A1"/>
    <w:rsid w:val="00E1347C"/>
    <w:rsid w:val="00E1365C"/>
    <w:rsid w:val="00E13E5F"/>
    <w:rsid w:val="00E1481B"/>
    <w:rsid w:val="00E16372"/>
    <w:rsid w:val="00E16AD8"/>
    <w:rsid w:val="00E16E4B"/>
    <w:rsid w:val="00E16EC3"/>
    <w:rsid w:val="00E17FFA"/>
    <w:rsid w:val="00E206C7"/>
    <w:rsid w:val="00E20798"/>
    <w:rsid w:val="00E20A7A"/>
    <w:rsid w:val="00E20E4D"/>
    <w:rsid w:val="00E20ED6"/>
    <w:rsid w:val="00E21358"/>
    <w:rsid w:val="00E21559"/>
    <w:rsid w:val="00E2175E"/>
    <w:rsid w:val="00E2249B"/>
    <w:rsid w:val="00E22807"/>
    <w:rsid w:val="00E2292E"/>
    <w:rsid w:val="00E22A0D"/>
    <w:rsid w:val="00E22FF6"/>
    <w:rsid w:val="00E23711"/>
    <w:rsid w:val="00E239A2"/>
    <w:rsid w:val="00E23DBE"/>
    <w:rsid w:val="00E244F6"/>
    <w:rsid w:val="00E24DC2"/>
    <w:rsid w:val="00E258DB"/>
    <w:rsid w:val="00E25F0D"/>
    <w:rsid w:val="00E2686D"/>
    <w:rsid w:val="00E26A27"/>
    <w:rsid w:val="00E26C48"/>
    <w:rsid w:val="00E2771E"/>
    <w:rsid w:val="00E30490"/>
    <w:rsid w:val="00E311EF"/>
    <w:rsid w:val="00E32180"/>
    <w:rsid w:val="00E32F21"/>
    <w:rsid w:val="00E348D6"/>
    <w:rsid w:val="00E34948"/>
    <w:rsid w:val="00E34FCE"/>
    <w:rsid w:val="00E35641"/>
    <w:rsid w:val="00E35857"/>
    <w:rsid w:val="00E35B44"/>
    <w:rsid w:val="00E360DA"/>
    <w:rsid w:val="00E37569"/>
    <w:rsid w:val="00E401B2"/>
    <w:rsid w:val="00E40B33"/>
    <w:rsid w:val="00E40D64"/>
    <w:rsid w:val="00E413DB"/>
    <w:rsid w:val="00E41E30"/>
    <w:rsid w:val="00E42000"/>
    <w:rsid w:val="00E42A18"/>
    <w:rsid w:val="00E42F73"/>
    <w:rsid w:val="00E43D70"/>
    <w:rsid w:val="00E450BD"/>
    <w:rsid w:val="00E45619"/>
    <w:rsid w:val="00E45A34"/>
    <w:rsid w:val="00E460F9"/>
    <w:rsid w:val="00E466F3"/>
    <w:rsid w:val="00E47B2C"/>
    <w:rsid w:val="00E47BB8"/>
    <w:rsid w:val="00E50900"/>
    <w:rsid w:val="00E50938"/>
    <w:rsid w:val="00E50DAC"/>
    <w:rsid w:val="00E51560"/>
    <w:rsid w:val="00E51821"/>
    <w:rsid w:val="00E5273E"/>
    <w:rsid w:val="00E53FC8"/>
    <w:rsid w:val="00E54347"/>
    <w:rsid w:val="00E54378"/>
    <w:rsid w:val="00E54426"/>
    <w:rsid w:val="00E54628"/>
    <w:rsid w:val="00E54E17"/>
    <w:rsid w:val="00E55424"/>
    <w:rsid w:val="00E55764"/>
    <w:rsid w:val="00E55915"/>
    <w:rsid w:val="00E55BB5"/>
    <w:rsid w:val="00E566F2"/>
    <w:rsid w:val="00E56969"/>
    <w:rsid w:val="00E611DF"/>
    <w:rsid w:val="00E61D7B"/>
    <w:rsid w:val="00E62654"/>
    <w:rsid w:val="00E64357"/>
    <w:rsid w:val="00E6491E"/>
    <w:rsid w:val="00E652BB"/>
    <w:rsid w:val="00E657CC"/>
    <w:rsid w:val="00E65E79"/>
    <w:rsid w:val="00E6604C"/>
    <w:rsid w:val="00E66248"/>
    <w:rsid w:val="00E665E2"/>
    <w:rsid w:val="00E66AF2"/>
    <w:rsid w:val="00E66BA2"/>
    <w:rsid w:val="00E67416"/>
    <w:rsid w:val="00E67DEA"/>
    <w:rsid w:val="00E67DF2"/>
    <w:rsid w:val="00E67FCD"/>
    <w:rsid w:val="00E718B6"/>
    <w:rsid w:val="00E72138"/>
    <w:rsid w:val="00E72282"/>
    <w:rsid w:val="00E723BA"/>
    <w:rsid w:val="00E725E7"/>
    <w:rsid w:val="00E73581"/>
    <w:rsid w:val="00E73D7F"/>
    <w:rsid w:val="00E761C6"/>
    <w:rsid w:val="00E777F0"/>
    <w:rsid w:val="00E778DC"/>
    <w:rsid w:val="00E77E8E"/>
    <w:rsid w:val="00E77F9F"/>
    <w:rsid w:val="00E8170A"/>
    <w:rsid w:val="00E823BE"/>
    <w:rsid w:val="00E8281A"/>
    <w:rsid w:val="00E83261"/>
    <w:rsid w:val="00E833F7"/>
    <w:rsid w:val="00E83BDF"/>
    <w:rsid w:val="00E83CB3"/>
    <w:rsid w:val="00E846AE"/>
    <w:rsid w:val="00E85BB6"/>
    <w:rsid w:val="00E8663C"/>
    <w:rsid w:val="00E869A7"/>
    <w:rsid w:val="00E86FCC"/>
    <w:rsid w:val="00E87A1D"/>
    <w:rsid w:val="00E87B36"/>
    <w:rsid w:val="00E9094A"/>
    <w:rsid w:val="00E91446"/>
    <w:rsid w:val="00E91C6B"/>
    <w:rsid w:val="00E91D35"/>
    <w:rsid w:val="00E92332"/>
    <w:rsid w:val="00E926A5"/>
    <w:rsid w:val="00E92B3B"/>
    <w:rsid w:val="00E92BED"/>
    <w:rsid w:val="00E92DEF"/>
    <w:rsid w:val="00E93A42"/>
    <w:rsid w:val="00E93E2D"/>
    <w:rsid w:val="00E94E90"/>
    <w:rsid w:val="00E950E8"/>
    <w:rsid w:val="00E95BCB"/>
    <w:rsid w:val="00E95F3E"/>
    <w:rsid w:val="00E962CC"/>
    <w:rsid w:val="00E9676A"/>
    <w:rsid w:val="00E97BFE"/>
    <w:rsid w:val="00EA058B"/>
    <w:rsid w:val="00EA17C3"/>
    <w:rsid w:val="00EA1C69"/>
    <w:rsid w:val="00EA29CC"/>
    <w:rsid w:val="00EA2CAA"/>
    <w:rsid w:val="00EA354D"/>
    <w:rsid w:val="00EA3864"/>
    <w:rsid w:val="00EA3A9C"/>
    <w:rsid w:val="00EA419B"/>
    <w:rsid w:val="00EA41A1"/>
    <w:rsid w:val="00EA694E"/>
    <w:rsid w:val="00EA70A5"/>
    <w:rsid w:val="00EA777B"/>
    <w:rsid w:val="00EA7797"/>
    <w:rsid w:val="00EA7B8F"/>
    <w:rsid w:val="00EA7E54"/>
    <w:rsid w:val="00EA7F1C"/>
    <w:rsid w:val="00EB073B"/>
    <w:rsid w:val="00EB086D"/>
    <w:rsid w:val="00EB0C81"/>
    <w:rsid w:val="00EB15B6"/>
    <w:rsid w:val="00EB1C50"/>
    <w:rsid w:val="00EB2E5E"/>
    <w:rsid w:val="00EB3C5B"/>
    <w:rsid w:val="00EB3D06"/>
    <w:rsid w:val="00EB44DF"/>
    <w:rsid w:val="00EB4749"/>
    <w:rsid w:val="00EB4916"/>
    <w:rsid w:val="00EB55FB"/>
    <w:rsid w:val="00EB580D"/>
    <w:rsid w:val="00EB5EF8"/>
    <w:rsid w:val="00EB603F"/>
    <w:rsid w:val="00EB669B"/>
    <w:rsid w:val="00EB67D8"/>
    <w:rsid w:val="00EB6965"/>
    <w:rsid w:val="00EB757A"/>
    <w:rsid w:val="00EC00C9"/>
    <w:rsid w:val="00EC03F8"/>
    <w:rsid w:val="00EC0435"/>
    <w:rsid w:val="00EC0944"/>
    <w:rsid w:val="00EC0DD9"/>
    <w:rsid w:val="00EC0F5F"/>
    <w:rsid w:val="00EC143B"/>
    <w:rsid w:val="00EC1DE3"/>
    <w:rsid w:val="00EC2649"/>
    <w:rsid w:val="00EC2B81"/>
    <w:rsid w:val="00EC2E2D"/>
    <w:rsid w:val="00EC31ED"/>
    <w:rsid w:val="00EC334B"/>
    <w:rsid w:val="00EC3C2F"/>
    <w:rsid w:val="00EC4136"/>
    <w:rsid w:val="00EC4987"/>
    <w:rsid w:val="00EC5836"/>
    <w:rsid w:val="00EC688C"/>
    <w:rsid w:val="00EC6B11"/>
    <w:rsid w:val="00ED0C6A"/>
    <w:rsid w:val="00ED12E3"/>
    <w:rsid w:val="00ED191E"/>
    <w:rsid w:val="00ED2A16"/>
    <w:rsid w:val="00ED4B04"/>
    <w:rsid w:val="00ED4B60"/>
    <w:rsid w:val="00ED4CA3"/>
    <w:rsid w:val="00ED5510"/>
    <w:rsid w:val="00ED57EA"/>
    <w:rsid w:val="00ED5BD4"/>
    <w:rsid w:val="00ED5EB4"/>
    <w:rsid w:val="00ED670D"/>
    <w:rsid w:val="00ED6723"/>
    <w:rsid w:val="00ED6C6C"/>
    <w:rsid w:val="00ED6C6D"/>
    <w:rsid w:val="00ED6F84"/>
    <w:rsid w:val="00ED74B3"/>
    <w:rsid w:val="00ED7CFB"/>
    <w:rsid w:val="00ED7F3B"/>
    <w:rsid w:val="00EE07D3"/>
    <w:rsid w:val="00EE1996"/>
    <w:rsid w:val="00EE1B35"/>
    <w:rsid w:val="00EE1C01"/>
    <w:rsid w:val="00EE1E39"/>
    <w:rsid w:val="00EE20B2"/>
    <w:rsid w:val="00EE22AF"/>
    <w:rsid w:val="00EE22DF"/>
    <w:rsid w:val="00EE2A0C"/>
    <w:rsid w:val="00EE356C"/>
    <w:rsid w:val="00EE4180"/>
    <w:rsid w:val="00EE4946"/>
    <w:rsid w:val="00EE50A3"/>
    <w:rsid w:val="00EE5272"/>
    <w:rsid w:val="00EE5CFA"/>
    <w:rsid w:val="00EE6074"/>
    <w:rsid w:val="00EE6173"/>
    <w:rsid w:val="00EF0171"/>
    <w:rsid w:val="00EF1B25"/>
    <w:rsid w:val="00EF1BAB"/>
    <w:rsid w:val="00EF1DA0"/>
    <w:rsid w:val="00EF1F9E"/>
    <w:rsid w:val="00EF38F7"/>
    <w:rsid w:val="00EF4747"/>
    <w:rsid w:val="00EF4BF8"/>
    <w:rsid w:val="00EF5348"/>
    <w:rsid w:val="00EF5503"/>
    <w:rsid w:val="00EF626F"/>
    <w:rsid w:val="00EF6A78"/>
    <w:rsid w:val="00EF7F18"/>
    <w:rsid w:val="00F001D9"/>
    <w:rsid w:val="00F00206"/>
    <w:rsid w:val="00F02253"/>
    <w:rsid w:val="00F03A69"/>
    <w:rsid w:val="00F03C2E"/>
    <w:rsid w:val="00F03C5A"/>
    <w:rsid w:val="00F04A66"/>
    <w:rsid w:val="00F04B4B"/>
    <w:rsid w:val="00F0516C"/>
    <w:rsid w:val="00F05A77"/>
    <w:rsid w:val="00F067A2"/>
    <w:rsid w:val="00F0687A"/>
    <w:rsid w:val="00F06BC1"/>
    <w:rsid w:val="00F07A77"/>
    <w:rsid w:val="00F07B9E"/>
    <w:rsid w:val="00F07D3E"/>
    <w:rsid w:val="00F1104F"/>
    <w:rsid w:val="00F1115A"/>
    <w:rsid w:val="00F1116F"/>
    <w:rsid w:val="00F1263A"/>
    <w:rsid w:val="00F13232"/>
    <w:rsid w:val="00F13351"/>
    <w:rsid w:val="00F13526"/>
    <w:rsid w:val="00F13590"/>
    <w:rsid w:val="00F139C5"/>
    <w:rsid w:val="00F14970"/>
    <w:rsid w:val="00F15B77"/>
    <w:rsid w:val="00F16D70"/>
    <w:rsid w:val="00F1728C"/>
    <w:rsid w:val="00F20E05"/>
    <w:rsid w:val="00F21236"/>
    <w:rsid w:val="00F22396"/>
    <w:rsid w:val="00F22747"/>
    <w:rsid w:val="00F237E1"/>
    <w:rsid w:val="00F239DF"/>
    <w:rsid w:val="00F23F1A"/>
    <w:rsid w:val="00F244CE"/>
    <w:rsid w:val="00F2464E"/>
    <w:rsid w:val="00F24837"/>
    <w:rsid w:val="00F2575F"/>
    <w:rsid w:val="00F25BFF"/>
    <w:rsid w:val="00F25DB0"/>
    <w:rsid w:val="00F25E2D"/>
    <w:rsid w:val="00F261C5"/>
    <w:rsid w:val="00F26281"/>
    <w:rsid w:val="00F26607"/>
    <w:rsid w:val="00F26FE5"/>
    <w:rsid w:val="00F27565"/>
    <w:rsid w:val="00F27AF2"/>
    <w:rsid w:val="00F30BF1"/>
    <w:rsid w:val="00F31081"/>
    <w:rsid w:val="00F310D4"/>
    <w:rsid w:val="00F31120"/>
    <w:rsid w:val="00F31A88"/>
    <w:rsid w:val="00F31C60"/>
    <w:rsid w:val="00F31D5A"/>
    <w:rsid w:val="00F31FE8"/>
    <w:rsid w:val="00F3313F"/>
    <w:rsid w:val="00F33695"/>
    <w:rsid w:val="00F33975"/>
    <w:rsid w:val="00F33DE9"/>
    <w:rsid w:val="00F3457F"/>
    <w:rsid w:val="00F3518D"/>
    <w:rsid w:val="00F354E7"/>
    <w:rsid w:val="00F35E6D"/>
    <w:rsid w:val="00F3619A"/>
    <w:rsid w:val="00F36762"/>
    <w:rsid w:val="00F37AE6"/>
    <w:rsid w:val="00F400EA"/>
    <w:rsid w:val="00F40AAA"/>
    <w:rsid w:val="00F40BA7"/>
    <w:rsid w:val="00F40F9D"/>
    <w:rsid w:val="00F41838"/>
    <w:rsid w:val="00F41ACD"/>
    <w:rsid w:val="00F42159"/>
    <w:rsid w:val="00F4215F"/>
    <w:rsid w:val="00F42A04"/>
    <w:rsid w:val="00F42DBE"/>
    <w:rsid w:val="00F43F74"/>
    <w:rsid w:val="00F455D7"/>
    <w:rsid w:val="00F4581C"/>
    <w:rsid w:val="00F46CB6"/>
    <w:rsid w:val="00F4756D"/>
    <w:rsid w:val="00F47CE6"/>
    <w:rsid w:val="00F47DE8"/>
    <w:rsid w:val="00F47F60"/>
    <w:rsid w:val="00F50A30"/>
    <w:rsid w:val="00F50CEA"/>
    <w:rsid w:val="00F50D97"/>
    <w:rsid w:val="00F51CCC"/>
    <w:rsid w:val="00F520BE"/>
    <w:rsid w:val="00F53854"/>
    <w:rsid w:val="00F54122"/>
    <w:rsid w:val="00F542C1"/>
    <w:rsid w:val="00F544FC"/>
    <w:rsid w:val="00F550E3"/>
    <w:rsid w:val="00F55E73"/>
    <w:rsid w:val="00F55EDA"/>
    <w:rsid w:val="00F56114"/>
    <w:rsid w:val="00F56C80"/>
    <w:rsid w:val="00F5773A"/>
    <w:rsid w:val="00F60092"/>
    <w:rsid w:val="00F603A9"/>
    <w:rsid w:val="00F605F7"/>
    <w:rsid w:val="00F60872"/>
    <w:rsid w:val="00F61C18"/>
    <w:rsid w:val="00F61CA4"/>
    <w:rsid w:val="00F62CD0"/>
    <w:rsid w:val="00F6381C"/>
    <w:rsid w:val="00F63E38"/>
    <w:rsid w:val="00F63F66"/>
    <w:rsid w:val="00F642F6"/>
    <w:rsid w:val="00F644C0"/>
    <w:rsid w:val="00F65BD4"/>
    <w:rsid w:val="00F65F4B"/>
    <w:rsid w:val="00F66953"/>
    <w:rsid w:val="00F6711C"/>
    <w:rsid w:val="00F67405"/>
    <w:rsid w:val="00F67A69"/>
    <w:rsid w:val="00F70354"/>
    <w:rsid w:val="00F705BD"/>
    <w:rsid w:val="00F70AAE"/>
    <w:rsid w:val="00F70BFF"/>
    <w:rsid w:val="00F70C9D"/>
    <w:rsid w:val="00F70D8C"/>
    <w:rsid w:val="00F71220"/>
    <w:rsid w:val="00F71314"/>
    <w:rsid w:val="00F718AC"/>
    <w:rsid w:val="00F72AC3"/>
    <w:rsid w:val="00F72C68"/>
    <w:rsid w:val="00F7330A"/>
    <w:rsid w:val="00F735A0"/>
    <w:rsid w:val="00F73E08"/>
    <w:rsid w:val="00F74A7E"/>
    <w:rsid w:val="00F74CD9"/>
    <w:rsid w:val="00F74D4C"/>
    <w:rsid w:val="00F74E4E"/>
    <w:rsid w:val="00F7560F"/>
    <w:rsid w:val="00F77C5A"/>
    <w:rsid w:val="00F77C7C"/>
    <w:rsid w:val="00F80A7B"/>
    <w:rsid w:val="00F80B17"/>
    <w:rsid w:val="00F80CD3"/>
    <w:rsid w:val="00F80D2C"/>
    <w:rsid w:val="00F80E5D"/>
    <w:rsid w:val="00F81DE4"/>
    <w:rsid w:val="00F81E78"/>
    <w:rsid w:val="00F820FB"/>
    <w:rsid w:val="00F82EEB"/>
    <w:rsid w:val="00F838B1"/>
    <w:rsid w:val="00F83916"/>
    <w:rsid w:val="00F839C1"/>
    <w:rsid w:val="00F83F09"/>
    <w:rsid w:val="00F851CE"/>
    <w:rsid w:val="00F86258"/>
    <w:rsid w:val="00F8625B"/>
    <w:rsid w:val="00F8726E"/>
    <w:rsid w:val="00F9002A"/>
    <w:rsid w:val="00F90995"/>
    <w:rsid w:val="00F910EF"/>
    <w:rsid w:val="00F91219"/>
    <w:rsid w:val="00F92444"/>
    <w:rsid w:val="00F92683"/>
    <w:rsid w:val="00F938BE"/>
    <w:rsid w:val="00F9393E"/>
    <w:rsid w:val="00F9427C"/>
    <w:rsid w:val="00F942C1"/>
    <w:rsid w:val="00F94454"/>
    <w:rsid w:val="00F95639"/>
    <w:rsid w:val="00F96FD0"/>
    <w:rsid w:val="00F9747F"/>
    <w:rsid w:val="00F97A78"/>
    <w:rsid w:val="00F97AB6"/>
    <w:rsid w:val="00FA0B20"/>
    <w:rsid w:val="00FA0DE4"/>
    <w:rsid w:val="00FA0EBA"/>
    <w:rsid w:val="00FA217F"/>
    <w:rsid w:val="00FA24E7"/>
    <w:rsid w:val="00FA3661"/>
    <w:rsid w:val="00FA5156"/>
    <w:rsid w:val="00FA58A2"/>
    <w:rsid w:val="00FA5EE6"/>
    <w:rsid w:val="00FA6291"/>
    <w:rsid w:val="00FA63E4"/>
    <w:rsid w:val="00FA6655"/>
    <w:rsid w:val="00FA7956"/>
    <w:rsid w:val="00FA7D26"/>
    <w:rsid w:val="00FB00FD"/>
    <w:rsid w:val="00FB03AA"/>
    <w:rsid w:val="00FB0824"/>
    <w:rsid w:val="00FB11C7"/>
    <w:rsid w:val="00FB18F1"/>
    <w:rsid w:val="00FB1F54"/>
    <w:rsid w:val="00FB2FCB"/>
    <w:rsid w:val="00FB3083"/>
    <w:rsid w:val="00FB3AAA"/>
    <w:rsid w:val="00FB4C9C"/>
    <w:rsid w:val="00FB4E8E"/>
    <w:rsid w:val="00FB57FE"/>
    <w:rsid w:val="00FB5A75"/>
    <w:rsid w:val="00FB5CF3"/>
    <w:rsid w:val="00FB65CC"/>
    <w:rsid w:val="00FB699C"/>
    <w:rsid w:val="00FB6A83"/>
    <w:rsid w:val="00FB6E8D"/>
    <w:rsid w:val="00FB7545"/>
    <w:rsid w:val="00FB7C55"/>
    <w:rsid w:val="00FB7D9F"/>
    <w:rsid w:val="00FB7EB5"/>
    <w:rsid w:val="00FC0191"/>
    <w:rsid w:val="00FC1074"/>
    <w:rsid w:val="00FC15FE"/>
    <w:rsid w:val="00FC1884"/>
    <w:rsid w:val="00FC23F2"/>
    <w:rsid w:val="00FC25B7"/>
    <w:rsid w:val="00FC2D20"/>
    <w:rsid w:val="00FC33BF"/>
    <w:rsid w:val="00FC35B0"/>
    <w:rsid w:val="00FC371D"/>
    <w:rsid w:val="00FC3751"/>
    <w:rsid w:val="00FC4577"/>
    <w:rsid w:val="00FC4718"/>
    <w:rsid w:val="00FC5950"/>
    <w:rsid w:val="00FC5F0B"/>
    <w:rsid w:val="00FC6598"/>
    <w:rsid w:val="00FC710E"/>
    <w:rsid w:val="00FC71A0"/>
    <w:rsid w:val="00FC75F0"/>
    <w:rsid w:val="00FD06F0"/>
    <w:rsid w:val="00FD076F"/>
    <w:rsid w:val="00FD152D"/>
    <w:rsid w:val="00FD1D2A"/>
    <w:rsid w:val="00FD1F9F"/>
    <w:rsid w:val="00FD2100"/>
    <w:rsid w:val="00FD224A"/>
    <w:rsid w:val="00FD2423"/>
    <w:rsid w:val="00FD4292"/>
    <w:rsid w:val="00FD436C"/>
    <w:rsid w:val="00FD446D"/>
    <w:rsid w:val="00FD4F2C"/>
    <w:rsid w:val="00FD5589"/>
    <w:rsid w:val="00FD5605"/>
    <w:rsid w:val="00FD56D1"/>
    <w:rsid w:val="00FD6394"/>
    <w:rsid w:val="00FD7C20"/>
    <w:rsid w:val="00FE07A3"/>
    <w:rsid w:val="00FE0AAF"/>
    <w:rsid w:val="00FE0E6C"/>
    <w:rsid w:val="00FE16A7"/>
    <w:rsid w:val="00FE1862"/>
    <w:rsid w:val="00FE1CDC"/>
    <w:rsid w:val="00FE2E2A"/>
    <w:rsid w:val="00FE30C0"/>
    <w:rsid w:val="00FE3F56"/>
    <w:rsid w:val="00FE43B0"/>
    <w:rsid w:val="00FE4836"/>
    <w:rsid w:val="00FE587F"/>
    <w:rsid w:val="00FE5A4E"/>
    <w:rsid w:val="00FE5BA4"/>
    <w:rsid w:val="00FE70C3"/>
    <w:rsid w:val="00FF0694"/>
    <w:rsid w:val="00FF0B57"/>
    <w:rsid w:val="00FF0F1C"/>
    <w:rsid w:val="00FF14C0"/>
    <w:rsid w:val="00FF1A8B"/>
    <w:rsid w:val="00FF21E3"/>
    <w:rsid w:val="00FF2AD9"/>
    <w:rsid w:val="00FF31D9"/>
    <w:rsid w:val="00FF359F"/>
    <w:rsid w:val="00FF37C4"/>
    <w:rsid w:val="00FF3DCF"/>
    <w:rsid w:val="00FF3FFF"/>
    <w:rsid w:val="00FF4734"/>
    <w:rsid w:val="00FF492C"/>
    <w:rsid w:val="00FF4A21"/>
    <w:rsid w:val="00FF5AA3"/>
    <w:rsid w:val="00FF5AD8"/>
    <w:rsid w:val="00FF650C"/>
    <w:rsid w:val="00FF6769"/>
    <w:rsid w:val="00FF6980"/>
    <w:rsid w:val="00FF71EA"/>
    <w:rsid w:val="00FF759C"/>
    <w:rsid w:val="00FF7696"/>
    <w:rsid w:val="00FF7DC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14:discardImageEditingDat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qFormat/>
    <w:rsid w:val="00124A51"/>
    <w:pPr>
      <w:keepNext/>
      <w:spacing w:before="240" w:after="60"/>
      <w:outlineLvl w:val="3"/>
    </w:pPr>
    <w:rPr>
      <w:b/>
      <w:bCs/>
      <w:i/>
      <w:sz w:val="26"/>
      <w:szCs w:val="28"/>
    </w:rPr>
  </w:style>
  <w:style w:type="paragraph" w:styleId="Heading5">
    <w:name w:val="heading 5"/>
    <w:basedOn w:val="Normal"/>
    <w:next w:val="Normal"/>
    <w:qFormat/>
    <w:rsid w:val="00124A51"/>
    <w:pPr>
      <w:spacing w:before="240" w:after="60"/>
      <w:outlineLvl w:val="4"/>
    </w:pPr>
    <w:rPr>
      <w:b/>
      <w:bCs/>
      <w:iCs/>
      <w:sz w:val="26"/>
      <w:szCs w:val="26"/>
    </w:rPr>
  </w:style>
  <w:style w:type="paragraph" w:styleId="Heading6">
    <w:name w:val="heading 6"/>
    <w:basedOn w:val="Normal"/>
    <w:next w:val="Normal"/>
    <w:qFormat/>
    <w:rsid w:val="00124A51"/>
    <w:pPr>
      <w:spacing w:before="240" w:after="60"/>
      <w:outlineLvl w:val="5"/>
    </w:pPr>
    <w:rPr>
      <w:b/>
      <w:bCs/>
      <w:i/>
    </w:rPr>
  </w:style>
  <w:style w:type="paragraph" w:styleId="Heading7">
    <w:name w:val="heading 7"/>
    <w:basedOn w:val="Normal"/>
    <w:next w:val="Normal"/>
    <w:link w:val="Heading7Char"/>
    <w:qFormat/>
    <w:rsid w:val="00124A51"/>
    <w:pPr>
      <w:keepNext/>
      <w:jc w:val="center"/>
      <w:outlineLvl w:val="6"/>
    </w:pPr>
    <w:rPr>
      <w:b/>
      <w:sz w:val="20"/>
    </w:rPr>
  </w:style>
  <w:style w:type="paragraph" w:styleId="Heading8">
    <w:name w:val="heading 8"/>
    <w:basedOn w:val="Normal"/>
    <w:next w:val="Normal"/>
    <w:link w:val="Heading8Char"/>
    <w:qFormat/>
    <w:rsid w:val="00124A51"/>
    <w:pPr>
      <w:keepNext/>
      <w:jc w:val="right"/>
      <w:outlineLvl w:val="7"/>
    </w:pPr>
    <w:rPr>
      <w:b/>
    </w:rPr>
  </w:style>
  <w:style w:type="paragraph" w:styleId="Heading9">
    <w:name w:val="heading 9"/>
    <w:basedOn w:val="Normal"/>
    <w:next w:val="Normal"/>
    <w:link w:val="Heading9Char"/>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Figure caption,Bayer Caption,IB Caption,Medical Caption,- H17,Tabellen-Titel,Caption Char2 Char,Caption Char Char Char2,Caption Char1 Char Char Char1,Caption Char2 Char Char Char1 Char1,Caption Char Char1 Char Char Char1 Char1,c,Caption Char2"/>
    <w:basedOn w:val="Normal"/>
    <w:next w:val="Normal"/>
    <w:link w:val="CaptionChar"/>
    <w:uiPriority w:val="35"/>
    <w:unhideWhenUsed/>
    <w:qFormat/>
    <w:rsid w:val="00E16AD8"/>
    <w:pPr>
      <w:keepNext/>
      <w:keepLines/>
    </w:pPr>
    <w:rPr>
      <w:rFonts w:ascii="Arial Narrow" w:hAnsi="Arial Narrow"/>
      <w:b/>
      <w:bCs/>
      <w:sz w:val="20"/>
      <w:szCs w:val="18"/>
    </w:rPr>
  </w:style>
  <w:style w:type="character" w:customStyle="1" w:styleId="CaptionChar">
    <w:name w:val="Caption Char"/>
    <w:aliases w:val="Figure caption Char,Bayer Caption Char,IB Caption Char,Medical Caption Char,- H17 Char,Tabellen-Titel Char,Caption Char2 Char Char,Caption Char Char Char2 Char,Caption Char1 Char Char Char1 Char,Caption Char2 Char Char Char1 Char1 Char"/>
    <w:link w:val="Caption"/>
    <w:uiPriority w:val="35"/>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Figure_name,Numbered Indented Text,Bullet- First level,List NUmber,Listenabsatz1,lp1,Style 2"/>
    <w:next w:val="ListBullet"/>
    <w:link w:val="ListParagraphChar"/>
    <w:uiPriority w:val="34"/>
    <w:qFormat/>
    <w:rsid w:val="00BB00B3"/>
    <w:p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Figure_name Char,Numbered Indented Text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MSD Table Grid,Header Table,NICE instructions,Source table_,HealthConsult,Dossier table,PBAC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H18"/>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qFormat/>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E2993"/>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71653A"/>
    <w:pPr>
      <w:tabs>
        <w:tab w:val="right" w:leader="dot" w:pos="9016"/>
      </w:tabs>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Comment Text Char Char Char,Comment Text Char Char,- H19,Annotationtext,Char, Char,Char1,Char2,Comment Text Char1 Char,list paragraph 2,Comment Text ZS"/>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H19 Char,Annotationtext Char,Char Char, Char Char,Char1 Char,Char2 Char,Comment Text Char1 Char Char,list paragraph 2 Char,Comment Text ZS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4"/>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3"/>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5"/>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Notes">
    <w:name w:val="Table Notes"/>
    <w:basedOn w:val="Normal"/>
    <w:link w:val="TableNotesChar"/>
    <w:uiPriority w:val="6"/>
    <w:qFormat/>
    <w:rsid w:val="00627C54"/>
    <w:pPr>
      <w:spacing w:after="40"/>
      <w:jc w:val="left"/>
    </w:pPr>
    <w:rPr>
      <w:rFonts w:ascii="Arial Narrow" w:eastAsiaTheme="majorEastAsia" w:hAnsi="Arial Narrow" w:cstheme="majorBidi"/>
      <w:sz w:val="18"/>
      <w:szCs w:val="22"/>
      <w:lang w:eastAsia="en-US"/>
    </w:rPr>
  </w:style>
  <w:style w:type="character" w:customStyle="1" w:styleId="TableNotesChar">
    <w:name w:val="Table Notes Char"/>
    <w:basedOn w:val="DefaultParagraphFont"/>
    <w:link w:val="TableNotes"/>
    <w:uiPriority w:val="6"/>
    <w:locked/>
    <w:rsid w:val="00627C54"/>
    <w:rPr>
      <w:rFonts w:ascii="Arial Narrow" w:eastAsiaTheme="majorEastAsia" w:hAnsi="Arial Narrow" w:cstheme="majorBidi"/>
      <w:sz w:val="18"/>
      <w:szCs w:val="22"/>
      <w:lang w:eastAsia="en-US"/>
    </w:rPr>
  </w:style>
  <w:style w:type="table" w:customStyle="1" w:styleId="Submissionstandard">
    <w:name w:val="Submission standard"/>
    <w:basedOn w:val="TableNormal"/>
    <w:uiPriority w:val="99"/>
    <w:qFormat/>
    <w:rsid w:val="00060468"/>
    <w:rPr>
      <w:rFonts w:ascii="Arial Narrow" w:eastAsiaTheme="majorEastAsia" w:hAnsi="Arial Narrow" w:cstheme="maj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HP Simplified Light" w:hAnsi="HP Simplified Light" w:cstheme="majorBidi"/>
        <w:b/>
        <w:sz w:val="20"/>
      </w:rPr>
      <w:tblPr/>
      <w:tcPr>
        <w:shd w:val="clear" w:color="auto" w:fill="BFBFBF" w:themeFill="background1" w:themeFillShade="BF"/>
      </w:tcPr>
    </w:tblStylePr>
  </w:style>
  <w:style w:type="paragraph" w:customStyle="1" w:styleId="TableLeft">
    <w:name w:val="Table Left"/>
    <w:basedOn w:val="Normal"/>
    <w:link w:val="TableLeftChar"/>
    <w:uiPriority w:val="5"/>
    <w:qFormat/>
    <w:rsid w:val="00A660F7"/>
    <w:pPr>
      <w:jc w:val="left"/>
    </w:pPr>
    <w:rPr>
      <w:rFonts w:ascii="Arial Narrow" w:eastAsiaTheme="majorEastAsia" w:hAnsi="Arial Narrow" w:cstheme="majorBidi"/>
      <w:sz w:val="20"/>
      <w:szCs w:val="22"/>
      <w:lang w:eastAsia="en-US"/>
    </w:rPr>
  </w:style>
  <w:style w:type="character" w:customStyle="1" w:styleId="TableLeftChar">
    <w:name w:val="Table Left Char"/>
    <w:basedOn w:val="DefaultParagraphFont"/>
    <w:link w:val="TableLeft"/>
    <w:uiPriority w:val="5"/>
    <w:rsid w:val="00A660F7"/>
    <w:rPr>
      <w:rFonts w:ascii="Arial Narrow" w:eastAsiaTheme="majorEastAsia" w:hAnsi="Arial Narrow" w:cstheme="majorBidi"/>
      <w:szCs w:val="22"/>
      <w:lang w:eastAsia="en-US"/>
    </w:rPr>
  </w:style>
  <w:style w:type="paragraph" w:styleId="EndnoteText">
    <w:name w:val="endnote text"/>
    <w:basedOn w:val="Normal"/>
    <w:link w:val="EndnoteTextChar"/>
    <w:semiHidden/>
    <w:unhideWhenUsed/>
    <w:rsid w:val="00E56969"/>
    <w:rPr>
      <w:sz w:val="20"/>
      <w:szCs w:val="20"/>
    </w:rPr>
  </w:style>
  <w:style w:type="character" w:customStyle="1" w:styleId="EndnoteTextChar">
    <w:name w:val="Endnote Text Char"/>
    <w:basedOn w:val="DefaultParagraphFont"/>
    <w:link w:val="EndnoteText"/>
    <w:semiHidden/>
    <w:rsid w:val="00E56969"/>
    <w:rPr>
      <w:rFonts w:ascii="Calibri" w:hAnsi="Calibri" w:cs="Arial"/>
    </w:rPr>
  </w:style>
  <w:style w:type="character" w:styleId="EndnoteReference">
    <w:name w:val="endnote reference"/>
    <w:basedOn w:val="DefaultParagraphFont"/>
    <w:semiHidden/>
    <w:unhideWhenUsed/>
    <w:rsid w:val="00E56969"/>
    <w:rPr>
      <w:vertAlign w:val="superscript"/>
    </w:rPr>
  </w:style>
  <w:style w:type="character" w:customStyle="1" w:styleId="Superscript">
    <w:name w:val="Superscript"/>
    <w:basedOn w:val="DefaultParagraphFont"/>
    <w:uiPriority w:val="1"/>
    <w:qFormat/>
    <w:rsid w:val="0097442F"/>
    <w:rPr>
      <w:rFonts w:ascii="Candara" w:hAnsi="Candara" w:cs="Times New Roman"/>
      <w:sz w:val="24"/>
      <w:vertAlign w:val="superscript"/>
    </w:rPr>
  </w:style>
  <w:style w:type="paragraph" w:styleId="FootnoteText">
    <w:name w:val="footnote text"/>
    <w:basedOn w:val="Normal"/>
    <w:link w:val="FootnoteTextChar"/>
    <w:uiPriority w:val="99"/>
    <w:unhideWhenUsed/>
    <w:rsid w:val="006B1561"/>
    <w:pPr>
      <w:jc w:val="left"/>
    </w:pPr>
    <w:rPr>
      <w:rFonts w:asciiTheme="minorHAnsi" w:eastAsiaTheme="minorHAnsi" w:hAnsiTheme="minorHAnsi" w:cstheme="minorBidi"/>
      <w:sz w:val="18"/>
      <w:szCs w:val="20"/>
      <w:lang w:eastAsia="en-US"/>
    </w:rPr>
  </w:style>
  <w:style w:type="character" w:customStyle="1" w:styleId="FootnoteTextChar">
    <w:name w:val="Footnote Text Char"/>
    <w:basedOn w:val="DefaultParagraphFont"/>
    <w:link w:val="FootnoteText"/>
    <w:uiPriority w:val="99"/>
    <w:rsid w:val="006B1561"/>
    <w:rPr>
      <w:rFonts w:asciiTheme="minorHAnsi" w:eastAsiaTheme="minorHAnsi" w:hAnsiTheme="minorHAnsi" w:cstheme="minorBidi"/>
      <w:sz w:val="18"/>
      <w:lang w:eastAsia="en-US"/>
    </w:rPr>
  </w:style>
  <w:style w:type="character" w:styleId="FootnoteReference">
    <w:name w:val="footnote reference"/>
    <w:basedOn w:val="DefaultParagraphFont"/>
    <w:uiPriority w:val="99"/>
    <w:unhideWhenUsed/>
    <w:rsid w:val="006B1561"/>
    <w:rPr>
      <w:vertAlign w:val="superscript"/>
    </w:rPr>
  </w:style>
  <w:style w:type="character" w:customStyle="1" w:styleId="cf01">
    <w:name w:val="cf01"/>
    <w:basedOn w:val="DefaultParagraphFont"/>
    <w:rsid w:val="00ED191E"/>
    <w:rPr>
      <w:rFonts w:ascii="Segoe UI" w:hAnsi="Segoe UI" w:cs="Segoe UI" w:hint="default"/>
      <w:sz w:val="18"/>
      <w:szCs w:val="18"/>
    </w:rPr>
  </w:style>
  <w:style w:type="character" w:styleId="UnresolvedMention">
    <w:name w:val="Unresolved Mention"/>
    <w:basedOn w:val="DefaultParagraphFont"/>
    <w:uiPriority w:val="99"/>
    <w:semiHidden/>
    <w:unhideWhenUsed/>
    <w:rsid w:val="00466CFC"/>
    <w:rPr>
      <w:color w:val="605E5C"/>
      <w:shd w:val="clear" w:color="auto" w:fill="E1DFDD"/>
    </w:rPr>
  </w:style>
  <w:style w:type="paragraph" w:customStyle="1" w:styleId="NormalBeforeBullet">
    <w:name w:val="Normal Before Bullet"/>
    <w:basedOn w:val="Normal"/>
    <w:qFormat/>
    <w:rsid w:val="009C7B3D"/>
    <w:pPr>
      <w:keepNext/>
      <w:spacing w:after="120"/>
      <w:jc w:val="left"/>
    </w:pPr>
    <w:rPr>
      <w:rFonts w:asciiTheme="minorHAnsi" w:eastAsiaTheme="minorHAnsi" w:hAnsiTheme="minorHAnsi" w:cstheme="minorBidi"/>
      <w:sz w:val="22"/>
      <w:szCs w:val="22"/>
      <w:lang w:eastAsia="en-US"/>
    </w:rPr>
  </w:style>
  <w:style w:type="table" w:customStyle="1" w:styleId="TableGrid1">
    <w:name w:val="Table Grid1"/>
    <w:basedOn w:val="TableNormal"/>
    <w:uiPriority w:val="39"/>
    <w:rsid w:val="009C7B3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CA">
    <w:name w:val="Table Text CA"/>
    <w:basedOn w:val="Normal"/>
    <w:qFormat/>
    <w:rsid w:val="00A24B76"/>
    <w:pPr>
      <w:spacing w:before="40" w:after="40"/>
      <w:jc w:val="center"/>
    </w:pPr>
    <w:rPr>
      <w:rFonts w:ascii="Arial Narrow" w:eastAsiaTheme="minorHAnsi" w:hAnsi="Arial Narrow" w:cstheme="minorBidi"/>
      <w:sz w:val="20"/>
      <w:szCs w:val="22"/>
      <w:lang w:eastAsia="en-US"/>
    </w:rPr>
  </w:style>
  <w:style w:type="table" w:styleId="LightShading-Accent3">
    <w:name w:val="Light Shading Accent 3"/>
    <w:basedOn w:val="TableNormal"/>
    <w:uiPriority w:val="60"/>
    <w:rsid w:val="00A24B76"/>
    <w:rPr>
      <w:rFonts w:asciiTheme="majorHAnsi" w:eastAsiaTheme="majorEastAsia" w:hAnsiTheme="majorHAnsi" w:cstheme="majorBidi"/>
      <w:color w:val="76923C" w:themeColor="accent3" w:themeShade="BF"/>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pPr>
      <w:rPr>
        <w:rFonts w:cstheme="majorBid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theme="majorBidi"/>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theme="majorBidi"/>
        <w:b/>
        <w:bCs/>
      </w:rPr>
    </w:tblStylePr>
    <w:tblStylePr w:type="lastCol">
      <w:rPr>
        <w:rFonts w:cstheme="majorBidi"/>
        <w:b/>
        <w:bCs/>
      </w:rPr>
    </w:tblStylePr>
    <w:tblStylePr w:type="band1Vert">
      <w:rPr>
        <w:rFonts w:cstheme="majorBidi"/>
      </w:rPr>
      <w:tblPr/>
      <w:tcPr>
        <w:tcBorders>
          <w:left w:val="nil"/>
          <w:right w:val="nil"/>
          <w:insideH w:val="nil"/>
          <w:insideV w:val="nil"/>
        </w:tcBorders>
        <w:shd w:val="clear" w:color="auto" w:fill="E6EED5" w:themeFill="accent3" w:themeFillTint="3F"/>
      </w:tcPr>
    </w:tblStylePr>
    <w:tblStylePr w:type="band1Horz">
      <w:rPr>
        <w:rFonts w:cstheme="majorBidi"/>
      </w:rPr>
      <w:tblPr/>
      <w:tcPr>
        <w:tcBorders>
          <w:left w:val="nil"/>
          <w:right w:val="nil"/>
          <w:insideH w:val="nil"/>
          <w:insideV w:val="nil"/>
        </w:tcBorders>
        <w:shd w:val="clear" w:color="auto" w:fill="E6EED5" w:themeFill="accent3" w:themeFillTint="3F"/>
      </w:tcPr>
    </w:tblStylePr>
  </w:style>
  <w:style w:type="paragraph" w:customStyle="1" w:styleId="TableHeadingCA">
    <w:name w:val="Table Heading CA"/>
    <w:basedOn w:val="Normal"/>
    <w:qFormat/>
    <w:rsid w:val="00A24B76"/>
    <w:pPr>
      <w:spacing w:after="60"/>
      <w:jc w:val="center"/>
    </w:pPr>
    <w:rPr>
      <w:rFonts w:ascii="Arial Narrow" w:eastAsiaTheme="minorHAnsi" w:hAnsi="Arial Narrow" w:cstheme="minorBidi"/>
      <w:b/>
      <w:sz w:val="20"/>
      <w:szCs w:val="22"/>
      <w:lang w:eastAsia="en-US"/>
    </w:rPr>
  </w:style>
  <w:style w:type="character" w:styleId="IntenseReference">
    <w:name w:val="Intense Reference"/>
    <w:basedOn w:val="DefaultParagraphFont"/>
    <w:uiPriority w:val="32"/>
    <w:rsid w:val="00D0421D"/>
    <w:rPr>
      <w:b/>
      <w:smallCaps/>
    </w:rPr>
  </w:style>
  <w:style w:type="table" w:customStyle="1" w:styleId="newstyle1">
    <w:name w:val="new style1"/>
    <w:basedOn w:val="TableNormal"/>
    <w:next w:val="TableGrid"/>
    <w:uiPriority w:val="59"/>
    <w:rsid w:val="00D0421D"/>
    <w:rPr>
      <w:rFonts w:ascii="Arial Narrow" w:eastAsia="MS Gothic" w:hAnsi="Arial Narrow"/>
      <w:szCs w:val="22"/>
      <w:lang w:val="en-US"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style2">
    <w:name w:val="new style2"/>
    <w:basedOn w:val="TableNormal"/>
    <w:next w:val="TableGrid"/>
    <w:uiPriority w:val="59"/>
    <w:rsid w:val="00D0421D"/>
    <w:rPr>
      <w:rFonts w:ascii="Arial Narrow" w:eastAsia="MS Gothic" w:hAnsi="Arial Narrow"/>
      <w:szCs w:val="22"/>
      <w:lang w:val="en-US"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Bodytext">
    <w:name w:val="3. Body text"/>
    <w:basedOn w:val="ListParagraph"/>
    <w:link w:val="3BodytextChar"/>
    <w:qFormat/>
    <w:rsid w:val="00D0421D"/>
    <w:pPr>
      <w:ind w:left="720" w:hanging="720"/>
      <w:jc w:val="left"/>
    </w:pPr>
    <w:rPr>
      <w:snapToGrid/>
    </w:rPr>
  </w:style>
  <w:style w:type="character" w:customStyle="1" w:styleId="3BodytextChar">
    <w:name w:val="3. Body text Char"/>
    <w:basedOn w:val="DefaultParagraphFont"/>
    <w:link w:val="3Bodytext"/>
    <w:rsid w:val="00D0421D"/>
    <w:rPr>
      <w:rFonts w:asciiTheme="minorHAnsi" w:hAnsiTheme="minorHAnsi" w:cs="Arial"/>
      <w:sz w:val="24"/>
      <w:szCs w:val="24"/>
    </w:rPr>
  </w:style>
  <w:style w:type="paragraph" w:customStyle="1" w:styleId="Source">
    <w:name w:val="Source"/>
    <w:basedOn w:val="Normal"/>
    <w:uiPriority w:val="35"/>
    <w:qFormat/>
    <w:rsid w:val="00D0421D"/>
    <w:rPr>
      <w:rFonts w:eastAsiaTheme="minorHAnsi" w:cstheme="minorBidi"/>
      <w:sz w:val="18"/>
      <w:szCs w:val="22"/>
      <w:lang w:eastAsia="en-US"/>
    </w:rPr>
  </w:style>
  <w:style w:type="paragraph" w:customStyle="1" w:styleId="3-SubsectionHeading">
    <w:name w:val="3-Subsection Heading"/>
    <w:basedOn w:val="Heading2"/>
    <w:next w:val="Normal"/>
    <w:link w:val="3-SubsectionHeadingChar"/>
    <w:qFormat/>
    <w:rsid w:val="00CC3B3A"/>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CC3B3A"/>
    <w:rPr>
      <w:rFonts w:asciiTheme="minorHAnsi" w:eastAsiaTheme="majorEastAsia" w:hAnsiTheme="minorHAnsi" w:cstheme="majorBidi"/>
      <w:b/>
      <w:i/>
      <w:snapToGrid/>
      <w:spacing w:val="5"/>
      <w:kern w:val="28"/>
      <w:sz w:val="28"/>
      <w:szCs w:val="36"/>
      <w:lang w:eastAsia="en-US"/>
    </w:rPr>
  </w:style>
  <w:style w:type="paragraph" w:customStyle="1" w:styleId="paragraph">
    <w:name w:val="paragraph"/>
    <w:basedOn w:val="Normal"/>
    <w:rsid w:val="005E4EA9"/>
    <w:pPr>
      <w:spacing w:before="100" w:beforeAutospacing="1" w:after="100" w:afterAutospacing="1"/>
      <w:jc w:val="left"/>
    </w:pPr>
    <w:rPr>
      <w:rFonts w:ascii="Times New Roman" w:hAnsi="Times New Roman" w:cs="Times New Roman"/>
    </w:rPr>
  </w:style>
  <w:style w:type="character" w:customStyle="1" w:styleId="normaltextrun">
    <w:name w:val="normaltextrun"/>
    <w:basedOn w:val="DefaultParagraphFont"/>
    <w:rsid w:val="005E4EA9"/>
  </w:style>
  <w:style w:type="character" w:customStyle="1" w:styleId="eop">
    <w:name w:val="eop"/>
    <w:basedOn w:val="DefaultParagraphFont"/>
    <w:rsid w:val="005E4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3013">
      <w:bodyDiv w:val="1"/>
      <w:marLeft w:val="0"/>
      <w:marRight w:val="0"/>
      <w:marTop w:val="0"/>
      <w:marBottom w:val="0"/>
      <w:divBdr>
        <w:top w:val="none" w:sz="0" w:space="0" w:color="auto"/>
        <w:left w:val="none" w:sz="0" w:space="0" w:color="auto"/>
        <w:bottom w:val="none" w:sz="0" w:space="0" w:color="auto"/>
        <w:right w:val="none" w:sz="0" w:space="0" w:color="auto"/>
      </w:divBdr>
      <w:divsChild>
        <w:div w:id="1664745989">
          <w:marLeft w:val="360"/>
          <w:marRight w:val="0"/>
          <w:marTop w:val="200"/>
          <w:marBottom w:val="0"/>
          <w:divBdr>
            <w:top w:val="none" w:sz="0" w:space="0" w:color="auto"/>
            <w:left w:val="none" w:sz="0" w:space="0" w:color="auto"/>
            <w:bottom w:val="none" w:sz="0" w:space="0" w:color="auto"/>
            <w:right w:val="none" w:sz="0" w:space="0" w:color="auto"/>
          </w:divBdr>
        </w:div>
      </w:divsChild>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82940852">
      <w:bodyDiv w:val="1"/>
      <w:marLeft w:val="0"/>
      <w:marRight w:val="0"/>
      <w:marTop w:val="0"/>
      <w:marBottom w:val="0"/>
      <w:divBdr>
        <w:top w:val="none" w:sz="0" w:space="0" w:color="auto"/>
        <w:left w:val="none" w:sz="0" w:space="0" w:color="auto"/>
        <w:bottom w:val="none" w:sz="0" w:space="0" w:color="auto"/>
        <w:right w:val="none" w:sz="0" w:space="0" w:color="auto"/>
      </w:divBdr>
      <w:divsChild>
        <w:div w:id="345405586">
          <w:marLeft w:val="446"/>
          <w:marRight w:val="0"/>
          <w:marTop w:val="0"/>
          <w:marBottom w:val="0"/>
          <w:divBdr>
            <w:top w:val="none" w:sz="0" w:space="0" w:color="auto"/>
            <w:left w:val="none" w:sz="0" w:space="0" w:color="auto"/>
            <w:bottom w:val="none" w:sz="0" w:space="0" w:color="auto"/>
            <w:right w:val="none" w:sz="0" w:space="0" w:color="auto"/>
          </w:divBdr>
        </w:div>
        <w:div w:id="1432117174">
          <w:marLeft w:val="446"/>
          <w:marRight w:val="0"/>
          <w:marTop w:val="0"/>
          <w:marBottom w:val="0"/>
          <w:divBdr>
            <w:top w:val="none" w:sz="0" w:space="0" w:color="auto"/>
            <w:left w:val="none" w:sz="0" w:space="0" w:color="auto"/>
            <w:bottom w:val="none" w:sz="0" w:space="0" w:color="auto"/>
            <w:right w:val="none" w:sz="0" w:space="0" w:color="auto"/>
          </w:divBdr>
        </w:div>
        <w:div w:id="1269967678">
          <w:marLeft w:val="446"/>
          <w:marRight w:val="0"/>
          <w:marTop w:val="0"/>
          <w:marBottom w:val="0"/>
          <w:divBdr>
            <w:top w:val="none" w:sz="0" w:space="0" w:color="auto"/>
            <w:left w:val="none" w:sz="0" w:space="0" w:color="auto"/>
            <w:bottom w:val="none" w:sz="0" w:space="0" w:color="auto"/>
            <w:right w:val="none" w:sz="0" w:space="0" w:color="auto"/>
          </w:divBdr>
        </w:div>
      </w:divsChild>
    </w:div>
    <w:div w:id="191647599">
      <w:bodyDiv w:val="1"/>
      <w:marLeft w:val="0"/>
      <w:marRight w:val="0"/>
      <w:marTop w:val="0"/>
      <w:marBottom w:val="0"/>
      <w:divBdr>
        <w:top w:val="none" w:sz="0" w:space="0" w:color="auto"/>
        <w:left w:val="none" w:sz="0" w:space="0" w:color="auto"/>
        <w:bottom w:val="none" w:sz="0" w:space="0" w:color="auto"/>
        <w:right w:val="none" w:sz="0" w:space="0" w:color="auto"/>
      </w:divBdr>
    </w:div>
    <w:div w:id="222060769">
      <w:bodyDiv w:val="1"/>
      <w:marLeft w:val="0"/>
      <w:marRight w:val="0"/>
      <w:marTop w:val="0"/>
      <w:marBottom w:val="0"/>
      <w:divBdr>
        <w:top w:val="none" w:sz="0" w:space="0" w:color="auto"/>
        <w:left w:val="none" w:sz="0" w:space="0" w:color="auto"/>
        <w:bottom w:val="none" w:sz="0" w:space="0" w:color="auto"/>
        <w:right w:val="none" w:sz="0" w:space="0" w:color="auto"/>
      </w:divBdr>
    </w:div>
    <w:div w:id="314526763">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51415415">
      <w:bodyDiv w:val="1"/>
      <w:marLeft w:val="0"/>
      <w:marRight w:val="0"/>
      <w:marTop w:val="0"/>
      <w:marBottom w:val="0"/>
      <w:divBdr>
        <w:top w:val="none" w:sz="0" w:space="0" w:color="auto"/>
        <w:left w:val="none" w:sz="0" w:space="0" w:color="auto"/>
        <w:bottom w:val="none" w:sz="0" w:space="0" w:color="auto"/>
        <w:right w:val="none" w:sz="0" w:space="0" w:color="auto"/>
      </w:divBdr>
    </w:div>
    <w:div w:id="504515069">
      <w:bodyDiv w:val="1"/>
      <w:marLeft w:val="0"/>
      <w:marRight w:val="0"/>
      <w:marTop w:val="0"/>
      <w:marBottom w:val="0"/>
      <w:divBdr>
        <w:top w:val="none" w:sz="0" w:space="0" w:color="auto"/>
        <w:left w:val="none" w:sz="0" w:space="0" w:color="auto"/>
        <w:bottom w:val="none" w:sz="0" w:space="0" w:color="auto"/>
        <w:right w:val="none" w:sz="0" w:space="0" w:color="auto"/>
      </w:divBdr>
    </w:div>
    <w:div w:id="614991886">
      <w:bodyDiv w:val="1"/>
      <w:marLeft w:val="0"/>
      <w:marRight w:val="0"/>
      <w:marTop w:val="0"/>
      <w:marBottom w:val="0"/>
      <w:divBdr>
        <w:top w:val="none" w:sz="0" w:space="0" w:color="auto"/>
        <w:left w:val="none" w:sz="0" w:space="0" w:color="auto"/>
        <w:bottom w:val="none" w:sz="0" w:space="0" w:color="auto"/>
        <w:right w:val="none" w:sz="0" w:space="0" w:color="auto"/>
      </w:divBdr>
    </w:div>
    <w:div w:id="621762747">
      <w:bodyDiv w:val="1"/>
      <w:marLeft w:val="0"/>
      <w:marRight w:val="0"/>
      <w:marTop w:val="0"/>
      <w:marBottom w:val="0"/>
      <w:divBdr>
        <w:top w:val="none" w:sz="0" w:space="0" w:color="auto"/>
        <w:left w:val="none" w:sz="0" w:space="0" w:color="auto"/>
        <w:bottom w:val="none" w:sz="0" w:space="0" w:color="auto"/>
        <w:right w:val="none" w:sz="0" w:space="0" w:color="auto"/>
      </w:divBdr>
    </w:div>
    <w:div w:id="696200519">
      <w:bodyDiv w:val="1"/>
      <w:marLeft w:val="0"/>
      <w:marRight w:val="0"/>
      <w:marTop w:val="0"/>
      <w:marBottom w:val="0"/>
      <w:divBdr>
        <w:top w:val="none" w:sz="0" w:space="0" w:color="auto"/>
        <w:left w:val="none" w:sz="0" w:space="0" w:color="auto"/>
        <w:bottom w:val="none" w:sz="0" w:space="0" w:color="auto"/>
        <w:right w:val="none" w:sz="0" w:space="0" w:color="auto"/>
      </w:divBdr>
    </w:div>
    <w:div w:id="720835526">
      <w:bodyDiv w:val="1"/>
      <w:marLeft w:val="0"/>
      <w:marRight w:val="0"/>
      <w:marTop w:val="0"/>
      <w:marBottom w:val="0"/>
      <w:divBdr>
        <w:top w:val="none" w:sz="0" w:space="0" w:color="auto"/>
        <w:left w:val="none" w:sz="0" w:space="0" w:color="auto"/>
        <w:bottom w:val="none" w:sz="0" w:space="0" w:color="auto"/>
        <w:right w:val="none" w:sz="0" w:space="0" w:color="auto"/>
      </w:divBdr>
    </w:div>
    <w:div w:id="776606553">
      <w:bodyDiv w:val="1"/>
      <w:marLeft w:val="0"/>
      <w:marRight w:val="0"/>
      <w:marTop w:val="0"/>
      <w:marBottom w:val="0"/>
      <w:divBdr>
        <w:top w:val="none" w:sz="0" w:space="0" w:color="auto"/>
        <w:left w:val="none" w:sz="0" w:space="0" w:color="auto"/>
        <w:bottom w:val="none" w:sz="0" w:space="0" w:color="auto"/>
        <w:right w:val="none" w:sz="0" w:space="0" w:color="auto"/>
      </w:divBdr>
      <w:divsChild>
        <w:div w:id="96483276">
          <w:marLeft w:val="360"/>
          <w:marRight w:val="0"/>
          <w:marTop w:val="200"/>
          <w:marBottom w:val="0"/>
          <w:divBdr>
            <w:top w:val="none" w:sz="0" w:space="0" w:color="auto"/>
            <w:left w:val="none" w:sz="0" w:space="0" w:color="auto"/>
            <w:bottom w:val="none" w:sz="0" w:space="0" w:color="auto"/>
            <w:right w:val="none" w:sz="0" w:space="0" w:color="auto"/>
          </w:divBdr>
        </w:div>
        <w:div w:id="1197544725">
          <w:marLeft w:val="360"/>
          <w:marRight w:val="0"/>
          <w:marTop w:val="200"/>
          <w:marBottom w:val="0"/>
          <w:divBdr>
            <w:top w:val="none" w:sz="0" w:space="0" w:color="auto"/>
            <w:left w:val="none" w:sz="0" w:space="0" w:color="auto"/>
            <w:bottom w:val="none" w:sz="0" w:space="0" w:color="auto"/>
            <w:right w:val="none" w:sz="0" w:space="0" w:color="auto"/>
          </w:divBdr>
        </w:div>
        <w:div w:id="447773134">
          <w:marLeft w:val="360"/>
          <w:marRight w:val="0"/>
          <w:marTop w:val="200"/>
          <w:marBottom w:val="0"/>
          <w:divBdr>
            <w:top w:val="none" w:sz="0" w:space="0" w:color="auto"/>
            <w:left w:val="none" w:sz="0" w:space="0" w:color="auto"/>
            <w:bottom w:val="none" w:sz="0" w:space="0" w:color="auto"/>
            <w:right w:val="none" w:sz="0" w:space="0" w:color="auto"/>
          </w:divBdr>
        </w:div>
        <w:div w:id="1214777233">
          <w:marLeft w:val="360"/>
          <w:marRight w:val="0"/>
          <w:marTop w:val="200"/>
          <w:marBottom w:val="0"/>
          <w:divBdr>
            <w:top w:val="none" w:sz="0" w:space="0" w:color="auto"/>
            <w:left w:val="none" w:sz="0" w:space="0" w:color="auto"/>
            <w:bottom w:val="none" w:sz="0" w:space="0" w:color="auto"/>
            <w:right w:val="none" w:sz="0" w:space="0" w:color="auto"/>
          </w:divBdr>
        </w:div>
        <w:div w:id="322855865">
          <w:marLeft w:val="360"/>
          <w:marRight w:val="0"/>
          <w:marTop w:val="200"/>
          <w:marBottom w:val="0"/>
          <w:divBdr>
            <w:top w:val="none" w:sz="0" w:space="0" w:color="auto"/>
            <w:left w:val="none" w:sz="0" w:space="0" w:color="auto"/>
            <w:bottom w:val="none" w:sz="0" w:space="0" w:color="auto"/>
            <w:right w:val="none" w:sz="0" w:space="0" w:color="auto"/>
          </w:divBdr>
        </w:div>
        <w:div w:id="1472791632">
          <w:marLeft w:val="360"/>
          <w:marRight w:val="0"/>
          <w:marTop w:val="200"/>
          <w:marBottom w:val="0"/>
          <w:divBdr>
            <w:top w:val="none" w:sz="0" w:space="0" w:color="auto"/>
            <w:left w:val="none" w:sz="0" w:space="0" w:color="auto"/>
            <w:bottom w:val="none" w:sz="0" w:space="0" w:color="auto"/>
            <w:right w:val="none" w:sz="0" w:space="0" w:color="auto"/>
          </w:divBdr>
        </w:div>
        <w:div w:id="1490367983">
          <w:marLeft w:val="360"/>
          <w:marRight w:val="0"/>
          <w:marTop w:val="200"/>
          <w:marBottom w:val="0"/>
          <w:divBdr>
            <w:top w:val="none" w:sz="0" w:space="0" w:color="auto"/>
            <w:left w:val="none" w:sz="0" w:space="0" w:color="auto"/>
            <w:bottom w:val="none" w:sz="0" w:space="0" w:color="auto"/>
            <w:right w:val="none" w:sz="0" w:space="0" w:color="auto"/>
          </w:divBdr>
        </w:div>
      </w:divsChild>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70724009">
      <w:bodyDiv w:val="1"/>
      <w:marLeft w:val="0"/>
      <w:marRight w:val="0"/>
      <w:marTop w:val="0"/>
      <w:marBottom w:val="0"/>
      <w:divBdr>
        <w:top w:val="none" w:sz="0" w:space="0" w:color="auto"/>
        <w:left w:val="none" w:sz="0" w:space="0" w:color="auto"/>
        <w:bottom w:val="none" w:sz="0" w:space="0" w:color="auto"/>
        <w:right w:val="none" w:sz="0" w:space="0" w:color="auto"/>
      </w:divBdr>
    </w:div>
    <w:div w:id="927540070">
      <w:bodyDiv w:val="1"/>
      <w:marLeft w:val="0"/>
      <w:marRight w:val="0"/>
      <w:marTop w:val="0"/>
      <w:marBottom w:val="0"/>
      <w:divBdr>
        <w:top w:val="none" w:sz="0" w:space="0" w:color="auto"/>
        <w:left w:val="none" w:sz="0" w:space="0" w:color="auto"/>
        <w:bottom w:val="none" w:sz="0" w:space="0" w:color="auto"/>
        <w:right w:val="none" w:sz="0" w:space="0" w:color="auto"/>
      </w:divBdr>
    </w:div>
    <w:div w:id="1044601376">
      <w:bodyDiv w:val="1"/>
      <w:marLeft w:val="0"/>
      <w:marRight w:val="0"/>
      <w:marTop w:val="0"/>
      <w:marBottom w:val="0"/>
      <w:divBdr>
        <w:top w:val="none" w:sz="0" w:space="0" w:color="auto"/>
        <w:left w:val="none" w:sz="0" w:space="0" w:color="auto"/>
        <w:bottom w:val="none" w:sz="0" w:space="0" w:color="auto"/>
        <w:right w:val="none" w:sz="0" w:space="0" w:color="auto"/>
      </w:divBdr>
    </w:div>
    <w:div w:id="1096829867">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362559828">
      <w:bodyDiv w:val="1"/>
      <w:marLeft w:val="0"/>
      <w:marRight w:val="0"/>
      <w:marTop w:val="0"/>
      <w:marBottom w:val="0"/>
      <w:divBdr>
        <w:top w:val="none" w:sz="0" w:space="0" w:color="auto"/>
        <w:left w:val="none" w:sz="0" w:space="0" w:color="auto"/>
        <w:bottom w:val="none" w:sz="0" w:space="0" w:color="auto"/>
        <w:right w:val="none" w:sz="0" w:space="0" w:color="auto"/>
      </w:divBdr>
      <w:divsChild>
        <w:div w:id="1534727244">
          <w:marLeft w:val="0"/>
          <w:marRight w:val="0"/>
          <w:marTop w:val="0"/>
          <w:marBottom w:val="0"/>
          <w:divBdr>
            <w:top w:val="none" w:sz="0" w:space="0" w:color="auto"/>
            <w:left w:val="none" w:sz="0" w:space="0" w:color="auto"/>
            <w:bottom w:val="none" w:sz="0" w:space="0" w:color="auto"/>
            <w:right w:val="none" w:sz="0" w:space="0" w:color="auto"/>
          </w:divBdr>
        </w:div>
        <w:div w:id="1094740096">
          <w:marLeft w:val="0"/>
          <w:marRight w:val="0"/>
          <w:marTop w:val="0"/>
          <w:marBottom w:val="0"/>
          <w:divBdr>
            <w:top w:val="none" w:sz="0" w:space="0" w:color="auto"/>
            <w:left w:val="none" w:sz="0" w:space="0" w:color="auto"/>
            <w:bottom w:val="none" w:sz="0" w:space="0" w:color="auto"/>
            <w:right w:val="none" w:sz="0" w:space="0" w:color="auto"/>
          </w:divBdr>
        </w:div>
        <w:div w:id="576593117">
          <w:marLeft w:val="0"/>
          <w:marRight w:val="0"/>
          <w:marTop w:val="0"/>
          <w:marBottom w:val="0"/>
          <w:divBdr>
            <w:top w:val="none" w:sz="0" w:space="0" w:color="auto"/>
            <w:left w:val="none" w:sz="0" w:space="0" w:color="auto"/>
            <w:bottom w:val="none" w:sz="0" w:space="0" w:color="auto"/>
            <w:right w:val="none" w:sz="0" w:space="0" w:color="auto"/>
          </w:divBdr>
        </w:div>
        <w:div w:id="1721515440">
          <w:marLeft w:val="0"/>
          <w:marRight w:val="0"/>
          <w:marTop w:val="0"/>
          <w:marBottom w:val="0"/>
          <w:divBdr>
            <w:top w:val="none" w:sz="0" w:space="0" w:color="auto"/>
            <w:left w:val="none" w:sz="0" w:space="0" w:color="auto"/>
            <w:bottom w:val="none" w:sz="0" w:space="0" w:color="auto"/>
            <w:right w:val="none" w:sz="0" w:space="0" w:color="auto"/>
          </w:divBdr>
        </w:div>
        <w:div w:id="587933593">
          <w:marLeft w:val="0"/>
          <w:marRight w:val="0"/>
          <w:marTop w:val="0"/>
          <w:marBottom w:val="0"/>
          <w:divBdr>
            <w:top w:val="none" w:sz="0" w:space="0" w:color="auto"/>
            <w:left w:val="none" w:sz="0" w:space="0" w:color="auto"/>
            <w:bottom w:val="none" w:sz="0" w:space="0" w:color="auto"/>
            <w:right w:val="none" w:sz="0" w:space="0" w:color="auto"/>
          </w:divBdr>
        </w:div>
        <w:div w:id="1052460681">
          <w:marLeft w:val="0"/>
          <w:marRight w:val="0"/>
          <w:marTop w:val="0"/>
          <w:marBottom w:val="0"/>
          <w:divBdr>
            <w:top w:val="none" w:sz="0" w:space="0" w:color="auto"/>
            <w:left w:val="none" w:sz="0" w:space="0" w:color="auto"/>
            <w:bottom w:val="none" w:sz="0" w:space="0" w:color="auto"/>
            <w:right w:val="none" w:sz="0" w:space="0" w:color="auto"/>
          </w:divBdr>
        </w:div>
        <w:div w:id="614022548">
          <w:marLeft w:val="0"/>
          <w:marRight w:val="0"/>
          <w:marTop w:val="0"/>
          <w:marBottom w:val="0"/>
          <w:divBdr>
            <w:top w:val="none" w:sz="0" w:space="0" w:color="auto"/>
            <w:left w:val="none" w:sz="0" w:space="0" w:color="auto"/>
            <w:bottom w:val="none" w:sz="0" w:space="0" w:color="auto"/>
            <w:right w:val="none" w:sz="0" w:space="0" w:color="auto"/>
          </w:divBdr>
        </w:div>
        <w:div w:id="1936087794">
          <w:marLeft w:val="0"/>
          <w:marRight w:val="0"/>
          <w:marTop w:val="0"/>
          <w:marBottom w:val="0"/>
          <w:divBdr>
            <w:top w:val="none" w:sz="0" w:space="0" w:color="auto"/>
            <w:left w:val="none" w:sz="0" w:space="0" w:color="auto"/>
            <w:bottom w:val="none" w:sz="0" w:space="0" w:color="auto"/>
            <w:right w:val="none" w:sz="0" w:space="0" w:color="auto"/>
          </w:divBdr>
        </w:div>
        <w:div w:id="160699585">
          <w:marLeft w:val="0"/>
          <w:marRight w:val="0"/>
          <w:marTop w:val="0"/>
          <w:marBottom w:val="0"/>
          <w:divBdr>
            <w:top w:val="none" w:sz="0" w:space="0" w:color="auto"/>
            <w:left w:val="none" w:sz="0" w:space="0" w:color="auto"/>
            <w:bottom w:val="none" w:sz="0" w:space="0" w:color="auto"/>
            <w:right w:val="none" w:sz="0" w:space="0" w:color="auto"/>
          </w:divBdr>
        </w:div>
      </w:divsChild>
    </w:div>
    <w:div w:id="1561791542">
      <w:bodyDiv w:val="1"/>
      <w:marLeft w:val="0"/>
      <w:marRight w:val="0"/>
      <w:marTop w:val="0"/>
      <w:marBottom w:val="0"/>
      <w:divBdr>
        <w:top w:val="none" w:sz="0" w:space="0" w:color="auto"/>
        <w:left w:val="none" w:sz="0" w:space="0" w:color="auto"/>
        <w:bottom w:val="none" w:sz="0" w:space="0" w:color="auto"/>
        <w:right w:val="none" w:sz="0" w:space="0" w:color="auto"/>
      </w:divBdr>
    </w:div>
    <w:div w:id="1613591190">
      <w:bodyDiv w:val="1"/>
      <w:marLeft w:val="0"/>
      <w:marRight w:val="0"/>
      <w:marTop w:val="0"/>
      <w:marBottom w:val="0"/>
      <w:divBdr>
        <w:top w:val="none" w:sz="0" w:space="0" w:color="auto"/>
        <w:left w:val="none" w:sz="0" w:space="0" w:color="auto"/>
        <w:bottom w:val="none" w:sz="0" w:space="0" w:color="auto"/>
        <w:right w:val="none" w:sz="0" w:space="0" w:color="auto"/>
      </w:divBdr>
    </w:div>
    <w:div w:id="1616059616">
      <w:bodyDiv w:val="1"/>
      <w:marLeft w:val="0"/>
      <w:marRight w:val="0"/>
      <w:marTop w:val="0"/>
      <w:marBottom w:val="0"/>
      <w:divBdr>
        <w:top w:val="none" w:sz="0" w:space="0" w:color="auto"/>
        <w:left w:val="none" w:sz="0" w:space="0" w:color="auto"/>
        <w:bottom w:val="none" w:sz="0" w:space="0" w:color="auto"/>
        <w:right w:val="none" w:sz="0" w:space="0" w:color="auto"/>
      </w:divBdr>
    </w:div>
    <w:div w:id="1638755480">
      <w:bodyDiv w:val="1"/>
      <w:marLeft w:val="0"/>
      <w:marRight w:val="0"/>
      <w:marTop w:val="0"/>
      <w:marBottom w:val="0"/>
      <w:divBdr>
        <w:top w:val="none" w:sz="0" w:space="0" w:color="auto"/>
        <w:left w:val="none" w:sz="0" w:space="0" w:color="auto"/>
        <w:bottom w:val="none" w:sz="0" w:space="0" w:color="auto"/>
        <w:right w:val="none" w:sz="0" w:space="0" w:color="auto"/>
      </w:divBdr>
    </w:div>
    <w:div w:id="1670408380">
      <w:bodyDiv w:val="1"/>
      <w:marLeft w:val="0"/>
      <w:marRight w:val="0"/>
      <w:marTop w:val="0"/>
      <w:marBottom w:val="0"/>
      <w:divBdr>
        <w:top w:val="none" w:sz="0" w:space="0" w:color="auto"/>
        <w:left w:val="none" w:sz="0" w:space="0" w:color="auto"/>
        <w:bottom w:val="none" w:sz="0" w:space="0" w:color="auto"/>
        <w:right w:val="none" w:sz="0" w:space="0" w:color="auto"/>
      </w:divBdr>
    </w:div>
    <w:div w:id="1950889576">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6562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18985</Words>
  <Characters>106281</Characters>
  <Application>Microsoft Office Word</Application>
  <DocSecurity>0</DocSecurity>
  <Lines>885</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2023-06-27T01:39:00Z</dcterms:created>
  <dcterms:modified xsi:type="dcterms:W3CDTF">2023-06-27T01:40:00Z</dcterms:modified>
</cp:coreProperties>
</file>