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3B7DC" w14:textId="18C93CCB" w:rsidR="00B60939" w:rsidRPr="004A6040" w:rsidRDefault="00EA55A1" w:rsidP="000711EA">
      <w:pPr>
        <w:pStyle w:val="1-MainHeading"/>
        <w:keepNext w:val="0"/>
      </w:pPr>
      <w:bookmarkStart w:id="0" w:name="_Toc113895832"/>
      <w:r>
        <w:t>5.06</w:t>
      </w:r>
      <w:r>
        <w:tab/>
      </w:r>
      <w:r w:rsidR="00F9672C">
        <w:t>MOBOCERTINIB</w:t>
      </w:r>
      <w:r w:rsidR="00163F66">
        <w:t>,</w:t>
      </w:r>
      <w:r w:rsidR="00163F66">
        <w:br/>
      </w:r>
      <w:r w:rsidR="003F6414">
        <w:t>C</w:t>
      </w:r>
      <w:r w:rsidR="00F9672C" w:rsidRPr="00F9672C">
        <w:t>apsule</w:t>
      </w:r>
      <w:r w:rsidR="003F6414">
        <w:t xml:space="preserve"> </w:t>
      </w:r>
      <w:r w:rsidR="00F9672C" w:rsidRPr="00F9672C">
        <w:t>40 mg</w:t>
      </w:r>
      <w:r w:rsidR="00163F66">
        <w:t>,</w:t>
      </w:r>
      <w:r w:rsidR="00163F66">
        <w:br/>
      </w:r>
      <w:r w:rsidR="00F9672C">
        <w:t>Exkivity</w:t>
      </w:r>
      <w:r w:rsidR="00B60939" w:rsidRPr="004A6040">
        <w:rPr>
          <w:vertAlign w:val="superscript"/>
        </w:rPr>
        <w:t>®</w:t>
      </w:r>
      <w:r w:rsidR="004A6040" w:rsidRPr="004A6040">
        <w:t>,</w:t>
      </w:r>
      <w:r w:rsidR="004A6040" w:rsidRPr="004A6040">
        <w:br/>
      </w:r>
      <w:r w:rsidR="00F9672C" w:rsidRPr="00F9672C">
        <w:t>T</w:t>
      </w:r>
      <w:r w:rsidR="00EC35A9" w:rsidRPr="00F9672C">
        <w:t>akeda</w:t>
      </w:r>
      <w:r w:rsidR="00F9672C" w:rsidRPr="00F9672C">
        <w:t xml:space="preserve"> P</w:t>
      </w:r>
      <w:r w:rsidR="00EC35A9" w:rsidRPr="00F9672C">
        <w:t>harmaceuticals</w:t>
      </w:r>
      <w:r w:rsidR="00F9672C" w:rsidRPr="00F9672C">
        <w:t xml:space="preserve"> A</w:t>
      </w:r>
      <w:r w:rsidR="00EC35A9" w:rsidRPr="00F9672C">
        <w:t>ustralia</w:t>
      </w:r>
      <w:r w:rsidR="00F9672C" w:rsidRPr="00F9672C">
        <w:t xml:space="preserve"> P</w:t>
      </w:r>
      <w:r w:rsidR="00EC35A9" w:rsidRPr="00F9672C">
        <w:t>ty</w:t>
      </w:r>
      <w:r w:rsidR="00F9672C" w:rsidRPr="00F9672C">
        <w:t xml:space="preserve"> L</w:t>
      </w:r>
      <w:r w:rsidR="00EC35A9" w:rsidRPr="00F9672C">
        <w:t>td</w:t>
      </w:r>
      <w:r w:rsidR="00F9672C" w:rsidRPr="00F9672C">
        <w:t>.</w:t>
      </w:r>
      <w:bookmarkEnd w:id="0"/>
    </w:p>
    <w:p w14:paraId="1B653F4E" w14:textId="77777777" w:rsidR="00B50DB8" w:rsidRPr="00407F2D" w:rsidRDefault="00B50DB8" w:rsidP="000711EA">
      <w:pPr>
        <w:pStyle w:val="2-SectionHeading"/>
        <w:keepNext w:val="0"/>
      </w:pPr>
      <w:bookmarkStart w:id="1" w:name="_Toc113895834"/>
      <w:r w:rsidRPr="00407F2D">
        <w:t xml:space="preserve">Purpose of </w:t>
      </w:r>
      <w:r w:rsidR="00CD7193">
        <w:t>s</w:t>
      </w:r>
      <w:r w:rsidR="00BB3A45">
        <w:t>ubmission</w:t>
      </w:r>
      <w:bookmarkEnd w:id="1"/>
    </w:p>
    <w:p w14:paraId="163A50C8" w14:textId="77777777" w:rsidR="002C2775" w:rsidRPr="008B1757" w:rsidRDefault="007170DA" w:rsidP="000711EA">
      <w:pPr>
        <w:pStyle w:val="3-BodyText"/>
      </w:pPr>
      <w:r>
        <w:t xml:space="preserve">The </w:t>
      </w:r>
      <w:r w:rsidR="00F73E08">
        <w:t xml:space="preserve">Category </w:t>
      </w:r>
      <w:r w:rsidR="00FA14B3">
        <w:t xml:space="preserve">1 </w:t>
      </w:r>
      <w:r>
        <w:t xml:space="preserve">submission </w:t>
      </w:r>
      <w:r w:rsidRPr="004E18E9">
        <w:t xml:space="preserve">requested </w:t>
      </w:r>
      <w:r w:rsidR="00411A5B" w:rsidRPr="00411A5B">
        <w:t xml:space="preserve">a General Schedule Authority Required listing for </w:t>
      </w:r>
      <w:r w:rsidR="00FA14B3">
        <w:t xml:space="preserve">mobocertinib for </w:t>
      </w:r>
      <w:r w:rsidR="00411A5B" w:rsidRPr="00411A5B">
        <w:t xml:space="preserve">the treatment of adults with epidermal growth factor receptor exon 20 insertion </w:t>
      </w:r>
      <w:r w:rsidR="002C7E0A">
        <w:t>(</w:t>
      </w:r>
      <w:r w:rsidR="002C7E0A" w:rsidRPr="00FA14B3">
        <w:rPr>
          <w:i/>
        </w:rPr>
        <w:t>EGFR</w:t>
      </w:r>
      <w:r w:rsidR="002C7E0A">
        <w:t xml:space="preserve"> ex20ins)</w:t>
      </w:r>
      <w:r w:rsidR="002C7E0A" w:rsidRPr="00411A5B">
        <w:t xml:space="preserve"> </w:t>
      </w:r>
      <w:r w:rsidR="00411A5B" w:rsidRPr="00411A5B">
        <w:t>positive</w:t>
      </w:r>
      <w:r w:rsidR="00FA14B3">
        <w:t xml:space="preserve"> </w:t>
      </w:r>
      <w:r w:rsidR="00411A5B" w:rsidRPr="00411A5B">
        <w:t>locally advanced or metastatic (Stage IIIB/IV) non-small cell lung cancer</w:t>
      </w:r>
      <w:r w:rsidR="00FA14B3">
        <w:t xml:space="preserve"> (NSCLC)</w:t>
      </w:r>
      <w:r w:rsidR="00411A5B" w:rsidRPr="00411A5B">
        <w:t xml:space="preserve"> who have received platinum-based chemotherapy</w:t>
      </w:r>
      <w:r w:rsidR="00A24378">
        <w:t xml:space="preserve"> (PBC)</w:t>
      </w:r>
      <w:r w:rsidR="00FA14B3">
        <w:t>.</w:t>
      </w:r>
    </w:p>
    <w:p w14:paraId="5639BA08" w14:textId="0D38E83F" w:rsidR="00C2778B" w:rsidRDefault="005750C5" w:rsidP="000711EA">
      <w:pPr>
        <w:pStyle w:val="3-BodyText"/>
      </w:pPr>
      <w:r w:rsidRPr="005750C5">
        <w:t xml:space="preserve">Listing was requested on the basis of a </w:t>
      </w:r>
      <w:r>
        <w:t>cost-</w:t>
      </w:r>
      <w:r w:rsidR="002C7E0A">
        <w:t>utility</w:t>
      </w:r>
      <w:r w:rsidRPr="005750C5">
        <w:t xml:space="preserve"> analysis versus</w:t>
      </w:r>
      <w:r>
        <w:t xml:space="preserve"> </w:t>
      </w:r>
      <w:r w:rsidR="00FA14B3">
        <w:t>standard of care (SOC)</w:t>
      </w:r>
      <w:r w:rsidR="00AF217D">
        <w:t xml:space="preserve">. SOC was assumed to comprise of </w:t>
      </w:r>
      <w:r w:rsidR="00044920">
        <w:t xml:space="preserve">standard </w:t>
      </w:r>
      <w:r w:rsidR="00FA14B3" w:rsidRPr="00FA14B3">
        <w:rPr>
          <w:i/>
        </w:rPr>
        <w:t>EGFR</w:t>
      </w:r>
      <w:r w:rsidR="00FA14B3">
        <w:t xml:space="preserve"> tyrosine kinase inhibitors (TKIs)</w:t>
      </w:r>
      <w:r w:rsidR="00B72EAC">
        <w:t xml:space="preserve"> that target classical </w:t>
      </w:r>
      <w:r w:rsidR="00B72EAC" w:rsidRPr="00B72EAC">
        <w:rPr>
          <w:i/>
        </w:rPr>
        <w:t>EGFR</w:t>
      </w:r>
      <w:r w:rsidR="00B72EAC">
        <w:t xml:space="preserve"> variants (in exon 19 and 21 for example)</w:t>
      </w:r>
      <w:r w:rsidR="00FA14B3">
        <w:t>, immune checkpoint inhibitors (ICIs)</w:t>
      </w:r>
      <w:r w:rsidR="00B72EAC">
        <w:t>,</w:t>
      </w:r>
      <w:r w:rsidR="00FA14B3">
        <w:t xml:space="preserve"> and chemotherapy</w:t>
      </w:r>
      <w:r>
        <w:t>.</w:t>
      </w:r>
      <w:r w:rsidRPr="005750C5">
        <w:t xml:space="preserve"> </w:t>
      </w:r>
      <w:r w:rsidR="00FA14B3" w:rsidRPr="00FA14B3">
        <w:t xml:space="preserve">The key components addressed by the submission are presented in </w:t>
      </w:r>
      <w:r w:rsidR="008236BF">
        <w:fldChar w:fldCharType="begin"/>
      </w:r>
      <w:r w:rsidR="008236BF">
        <w:instrText xml:space="preserve"> REF _Ref112166754 \h </w:instrText>
      </w:r>
      <w:r w:rsidR="008236BF">
        <w:fldChar w:fldCharType="separate"/>
      </w:r>
      <w:r w:rsidR="001635D4">
        <w:t xml:space="preserve">Table </w:t>
      </w:r>
      <w:r w:rsidR="001635D4">
        <w:rPr>
          <w:noProof/>
        </w:rPr>
        <w:t>1</w:t>
      </w:r>
      <w:r w:rsidR="008236BF">
        <w:fldChar w:fldCharType="end"/>
      </w:r>
      <w:r w:rsidR="008236BF">
        <w:t>.</w:t>
      </w:r>
    </w:p>
    <w:p w14:paraId="7FA2B9A4" w14:textId="33C49A48" w:rsidR="00FA14B3" w:rsidRPr="00E55915" w:rsidRDefault="008236BF" w:rsidP="00633C29">
      <w:pPr>
        <w:pStyle w:val="Caption"/>
        <w:keepNext w:val="0"/>
        <w:keepLines w:val="0"/>
      </w:pPr>
      <w:bookmarkStart w:id="2" w:name="_Ref112166754"/>
      <w:r>
        <w:t xml:space="preserve">Table </w:t>
      </w:r>
      <w:r w:rsidR="001635D4">
        <w:fldChar w:fldCharType="begin"/>
      </w:r>
      <w:r w:rsidR="001635D4">
        <w:instrText xml:space="preserve"> SEQ Table \* ARABIC </w:instrText>
      </w:r>
      <w:r w:rsidR="001635D4">
        <w:fldChar w:fldCharType="separate"/>
      </w:r>
      <w:r w:rsidR="001635D4">
        <w:rPr>
          <w:noProof/>
        </w:rPr>
        <w:t>1</w:t>
      </w:r>
      <w:r w:rsidR="001635D4">
        <w:rPr>
          <w:noProof/>
        </w:rPr>
        <w:fldChar w:fldCharType="end"/>
      </w:r>
      <w:bookmarkEnd w:id="2"/>
      <w:r>
        <w:t xml:space="preserve">: </w:t>
      </w:r>
      <w:r w:rsidR="00FA14B3" w:rsidRPr="00E55915">
        <w:rPr>
          <w:rStyle w:val="CommentReference"/>
          <w:b/>
          <w:szCs w:val="24"/>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74"/>
      </w:tblGrid>
      <w:tr w:rsidR="00FA14B3" w:rsidRPr="00A518F3" w14:paraId="4BD3E5FE" w14:textId="77777777" w:rsidTr="00F906AB">
        <w:trPr>
          <w:cantSplit/>
        </w:trPr>
        <w:tc>
          <w:tcPr>
            <w:tcW w:w="911" w:type="pct"/>
            <w:vAlign w:val="center"/>
          </w:tcPr>
          <w:p w14:paraId="20B8C8A2" w14:textId="77777777" w:rsidR="00FA14B3" w:rsidRPr="00A518F3" w:rsidRDefault="00FA14B3" w:rsidP="00633C29">
            <w:pPr>
              <w:pStyle w:val="In-tableHeading"/>
              <w:keepNext w:val="0"/>
              <w:jc w:val="both"/>
            </w:pPr>
            <w:r w:rsidRPr="00A518F3">
              <w:t>Component</w:t>
            </w:r>
          </w:p>
        </w:tc>
        <w:tc>
          <w:tcPr>
            <w:tcW w:w="4089" w:type="pct"/>
            <w:vAlign w:val="center"/>
          </w:tcPr>
          <w:p w14:paraId="6BF5B2A9" w14:textId="77777777" w:rsidR="00FA14B3" w:rsidRPr="00A518F3" w:rsidRDefault="00FA14B3" w:rsidP="00633C29">
            <w:pPr>
              <w:pStyle w:val="In-tableHeading"/>
              <w:keepNext w:val="0"/>
              <w:jc w:val="both"/>
            </w:pPr>
            <w:r w:rsidRPr="00A518F3">
              <w:t>Description</w:t>
            </w:r>
          </w:p>
        </w:tc>
      </w:tr>
      <w:tr w:rsidR="00FA14B3" w14:paraId="11A507B8" w14:textId="77777777" w:rsidTr="00F906AB">
        <w:trPr>
          <w:cantSplit/>
        </w:trPr>
        <w:tc>
          <w:tcPr>
            <w:tcW w:w="911" w:type="pct"/>
            <w:vAlign w:val="center"/>
          </w:tcPr>
          <w:p w14:paraId="1B2B30FE" w14:textId="77777777" w:rsidR="00FA14B3" w:rsidRDefault="00FA14B3" w:rsidP="00633C29">
            <w:pPr>
              <w:pStyle w:val="TableText0"/>
              <w:keepNext w:val="0"/>
              <w:jc w:val="both"/>
            </w:pPr>
            <w:r>
              <w:t>Population</w:t>
            </w:r>
          </w:p>
        </w:tc>
        <w:tc>
          <w:tcPr>
            <w:tcW w:w="4089" w:type="pct"/>
            <w:vAlign w:val="center"/>
          </w:tcPr>
          <w:p w14:paraId="63035371" w14:textId="77777777" w:rsidR="00FA14B3" w:rsidRDefault="00FA14B3" w:rsidP="00633C29">
            <w:pPr>
              <w:pStyle w:val="TableText0"/>
              <w:keepNext w:val="0"/>
              <w:jc w:val="both"/>
            </w:pPr>
            <w:r>
              <w:t>P</w:t>
            </w:r>
            <w:r w:rsidRPr="003A1F3A">
              <w:t>atients</w:t>
            </w:r>
            <w:r>
              <w:t xml:space="preserve"> diagnosed with </w:t>
            </w:r>
            <w:r w:rsidRPr="003A1F3A">
              <w:rPr>
                <w:i/>
              </w:rPr>
              <w:t>EGFR</w:t>
            </w:r>
            <w:r w:rsidRPr="003A1F3A">
              <w:t xml:space="preserve"> ex20ins mutation-positive locally advanced (Stage IIIB) or metastatic (Stage IV) NSCLC whose disease has progressed on or after PBC</w:t>
            </w:r>
          </w:p>
        </w:tc>
      </w:tr>
      <w:tr w:rsidR="00FA14B3" w14:paraId="0B87AB8A" w14:textId="77777777" w:rsidTr="00F906AB">
        <w:trPr>
          <w:cantSplit/>
        </w:trPr>
        <w:tc>
          <w:tcPr>
            <w:tcW w:w="911" w:type="pct"/>
            <w:vAlign w:val="center"/>
          </w:tcPr>
          <w:p w14:paraId="0325E661" w14:textId="77777777" w:rsidR="00FA14B3" w:rsidRDefault="00FA14B3" w:rsidP="00633C29">
            <w:pPr>
              <w:pStyle w:val="TableText0"/>
              <w:keepNext w:val="0"/>
              <w:jc w:val="both"/>
            </w:pPr>
            <w:r>
              <w:t>Intervention</w:t>
            </w:r>
          </w:p>
        </w:tc>
        <w:tc>
          <w:tcPr>
            <w:tcW w:w="4089" w:type="pct"/>
            <w:vAlign w:val="center"/>
          </w:tcPr>
          <w:p w14:paraId="6003C41E" w14:textId="3B3FD505" w:rsidR="00FA14B3" w:rsidRDefault="00FA14B3" w:rsidP="00633C29">
            <w:pPr>
              <w:pStyle w:val="TableText0"/>
              <w:keepNext w:val="0"/>
              <w:jc w:val="both"/>
            </w:pPr>
            <w:r>
              <w:t xml:space="preserve">Mobocertinib 160 mg (4 </w:t>
            </w:r>
            <w:r w:rsidR="003F6414">
              <w:t>×</w:t>
            </w:r>
            <w:r>
              <w:t xml:space="preserve"> </w:t>
            </w:r>
            <w:r w:rsidR="00C67A4E">
              <w:t>40 </w:t>
            </w:r>
            <w:r>
              <w:t>mg capsules) once daily.</w:t>
            </w:r>
          </w:p>
        </w:tc>
      </w:tr>
      <w:tr w:rsidR="00FA14B3" w14:paraId="5B836323" w14:textId="77777777" w:rsidTr="00F906AB">
        <w:trPr>
          <w:cantSplit/>
        </w:trPr>
        <w:tc>
          <w:tcPr>
            <w:tcW w:w="911" w:type="pct"/>
            <w:vAlign w:val="center"/>
          </w:tcPr>
          <w:p w14:paraId="6ECC822E" w14:textId="77777777" w:rsidR="00FA14B3" w:rsidRDefault="00FA14B3" w:rsidP="00633C29">
            <w:pPr>
              <w:pStyle w:val="TableText0"/>
              <w:keepNext w:val="0"/>
              <w:jc w:val="both"/>
            </w:pPr>
            <w:r>
              <w:t>Comparator</w:t>
            </w:r>
          </w:p>
        </w:tc>
        <w:tc>
          <w:tcPr>
            <w:tcW w:w="4089" w:type="pct"/>
            <w:vAlign w:val="center"/>
          </w:tcPr>
          <w:p w14:paraId="36AB0FA1" w14:textId="77777777" w:rsidR="00FA14B3" w:rsidRPr="00CD0532" w:rsidRDefault="00FA14B3" w:rsidP="00633C29">
            <w:pPr>
              <w:pStyle w:val="TableText0"/>
              <w:keepNext w:val="0"/>
              <w:jc w:val="both"/>
            </w:pPr>
            <w:r w:rsidRPr="00CD0532">
              <w:t>SOC</w:t>
            </w:r>
            <w:r w:rsidR="00342D78" w:rsidRPr="00CD0532">
              <w:t>,</w:t>
            </w:r>
            <w:r w:rsidRPr="00CD0532">
              <w:t xml:space="preserve"> </w:t>
            </w:r>
            <w:r w:rsidR="00342D78" w:rsidRPr="00CD0532">
              <w:rPr>
                <w:iCs/>
              </w:rPr>
              <w:t>defined in the submission as a mix of EGFR TKIs, ICIs and chemotherapy</w:t>
            </w:r>
          </w:p>
        </w:tc>
      </w:tr>
      <w:tr w:rsidR="00FA14B3" w14:paraId="18D962AB" w14:textId="77777777" w:rsidTr="00F906AB">
        <w:trPr>
          <w:cantSplit/>
        </w:trPr>
        <w:tc>
          <w:tcPr>
            <w:tcW w:w="911" w:type="pct"/>
            <w:vAlign w:val="center"/>
          </w:tcPr>
          <w:p w14:paraId="5A7F12C6" w14:textId="77777777" w:rsidR="00FA14B3" w:rsidRDefault="00FA14B3" w:rsidP="00633C29">
            <w:pPr>
              <w:pStyle w:val="TableText0"/>
              <w:keepNext w:val="0"/>
              <w:jc w:val="both"/>
            </w:pPr>
            <w:r>
              <w:t>Outcomes</w:t>
            </w:r>
          </w:p>
        </w:tc>
        <w:tc>
          <w:tcPr>
            <w:tcW w:w="4089" w:type="pct"/>
            <w:vAlign w:val="center"/>
          </w:tcPr>
          <w:p w14:paraId="580026B2" w14:textId="77777777" w:rsidR="00FA14B3" w:rsidRDefault="00FA14B3" w:rsidP="00633C29">
            <w:pPr>
              <w:pStyle w:val="TableText0"/>
              <w:keepNext w:val="0"/>
              <w:jc w:val="both"/>
            </w:pPr>
            <w:r w:rsidRPr="003A1F3A">
              <w:t>PFS, OS and safety.</w:t>
            </w:r>
          </w:p>
        </w:tc>
      </w:tr>
      <w:tr w:rsidR="00FA14B3" w14:paraId="3E1AE071" w14:textId="77777777" w:rsidTr="00F906AB">
        <w:trPr>
          <w:cantSplit/>
        </w:trPr>
        <w:tc>
          <w:tcPr>
            <w:tcW w:w="911" w:type="pct"/>
            <w:vAlign w:val="center"/>
          </w:tcPr>
          <w:p w14:paraId="66AAF217" w14:textId="77777777" w:rsidR="00FA14B3" w:rsidRDefault="00FA14B3" w:rsidP="00633C29">
            <w:pPr>
              <w:pStyle w:val="TableText0"/>
              <w:keepNext w:val="0"/>
              <w:jc w:val="both"/>
            </w:pPr>
            <w:r>
              <w:t>Clinical claim</w:t>
            </w:r>
          </w:p>
        </w:tc>
        <w:tc>
          <w:tcPr>
            <w:tcW w:w="4089" w:type="pct"/>
            <w:vAlign w:val="center"/>
          </w:tcPr>
          <w:p w14:paraId="4716507F" w14:textId="77777777" w:rsidR="00FA14B3" w:rsidRDefault="00FA14B3" w:rsidP="00633C29">
            <w:pPr>
              <w:pStyle w:val="TableText0"/>
              <w:keepNext w:val="0"/>
              <w:jc w:val="both"/>
            </w:pPr>
            <w:r w:rsidRPr="003A1F3A">
              <w:t xml:space="preserve">In patients with </w:t>
            </w:r>
            <w:r w:rsidRPr="00AF408B">
              <w:rPr>
                <w:i/>
              </w:rPr>
              <w:t>EGFR</w:t>
            </w:r>
            <w:r w:rsidRPr="003A1F3A">
              <w:t xml:space="preserve"> ex20ins-positive, Stage IIIB</w:t>
            </w:r>
            <w:r w:rsidR="00044920">
              <w:t>/</w:t>
            </w:r>
            <w:r w:rsidRPr="003A1F3A">
              <w:t>IV NSCLC whose disease has progressed on or after PBC, mobocertinib is more effective than current SOC at improving PFS and extending OS with a</w:t>
            </w:r>
            <w:r>
              <w:t xml:space="preserve"> non-inferior and </w:t>
            </w:r>
            <w:r w:rsidRPr="003A1F3A">
              <w:t>acceptable safety profile</w:t>
            </w:r>
          </w:p>
        </w:tc>
      </w:tr>
    </w:tbl>
    <w:p w14:paraId="282133C2" w14:textId="77777777" w:rsidR="00FA14B3" w:rsidRDefault="00FA14B3" w:rsidP="00633C29">
      <w:pPr>
        <w:pStyle w:val="TableFooter"/>
      </w:pPr>
      <w:r>
        <w:t>Source: Table 1-1, p31 and Section 2.8 of the submission.</w:t>
      </w:r>
    </w:p>
    <w:p w14:paraId="1CCB51C0" w14:textId="0A03DBFD" w:rsidR="004E43B2" w:rsidRPr="004A6040" w:rsidRDefault="00FA14B3" w:rsidP="00633C29">
      <w:pPr>
        <w:pStyle w:val="TableFooter"/>
        <w:spacing w:after="120"/>
        <w:rPr>
          <w:sz w:val="20"/>
        </w:rPr>
      </w:pPr>
      <w:r w:rsidRPr="00AF408B">
        <w:rPr>
          <w:i/>
        </w:rPr>
        <w:t>EGFR</w:t>
      </w:r>
      <w:r w:rsidR="00F66348">
        <w:rPr>
          <w:i/>
        </w:rPr>
        <w:t xml:space="preserve"> </w:t>
      </w:r>
      <w:r>
        <w:t>=</w:t>
      </w:r>
      <w:r w:rsidR="00F66348">
        <w:t xml:space="preserve"> </w:t>
      </w:r>
      <w:r w:rsidRPr="003A1F3A">
        <w:t xml:space="preserve">epidermal growth factor receptor; </w:t>
      </w:r>
      <w:r>
        <w:t>e</w:t>
      </w:r>
      <w:r w:rsidRPr="003A1F3A">
        <w:t>x20ins</w:t>
      </w:r>
      <w:r w:rsidR="00F66348">
        <w:t xml:space="preserve"> </w:t>
      </w:r>
      <w:r>
        <w:t>=</w:t>
      </w:r>
      <w:r w:rsidR="00F66348">
        <w:t xml:space="preserve"> </w:t>
      </w:r>
      <w:r w:rsidRPr="003A1F3A">
        <w:t xml:space="preserve">exon 20 insertion; </w:t>
      </w:r>
      <w:r w:rsidR="00E17307" w:rsidRPr="003A1F3A">
        <w:t>ICIs</w:t>
      </w:r>
      <w:r w:rsidR="00F66348">
        <w:t xml:space="preserve"> </w:t>
      </w:r>
      <w:r w:rsidR="00E17307">
        <w:t>=</w:t>
      </w:r>
      <w:r w:rsidR="00F66348">
        <w:t xml:space="preserve"> </w:t>
      </w:r>
      <w:r w:rsidR="00E17307">
        <w:t>immune checkpoint inhibitors;</w:t>
      </w:r>
      <w:r w:rsidR="00E17307" w:rsidRPr="003A1F3A">
        <w:t xml:space="preserve"> </w:t>
      </w:r>
      <w:r w:rsidRPr="003A1F3A">
        <w:t>NSCLC</w:t>
      </w:r>
      <w:r w:rsidR="00F66348">
        <w:t xml:space="preserve"> </w:t>
      </w:r>
      <w:r>
        <w:t>=</w:t>
      </w:r>
      <w:r w:rsidR="00F66348">
        <w:t xml:space="preserve"> </w:t>
      </w:r>
      <w:r w:rsidRPr="003A1F3A">
        <w:t>non-small cell lung cancer; OS</w:t>
      </w:r>
      <w:r w:rsidR="00F66348">
        <w:t xml:space="preserve"> </w:t>
      </w:r>
      <w:r>
        <w:t>=</w:t>
      </w:r>
      <w:r w:rsidR="00F66348">
        <w:t xml:space="preserve"> </w:t>
      </w:r>
      <w:r w:rsidRPr="003A1F3A">
        <w:t>overall survival; PBC</w:t>
      </w:r>
      <w:r w:rsidR="00F66348">
        <w:t xml:space="preserve"> </w:t>
      </w:r>
      <w:r>
        <w:t>=</w:t>
      </w:r>
      <w:r w:rsidR="00F66348">
        <w:t xml:space="preserve"> </w:t>
      </w:r>
      <w:r w:rsidRPr="003A1F3A">
        <w:t>platinum-based chemotherapy; PFS</w:t>
      </w:r>
      <w:r w:rsidR="00F66348">
        <w:t xml:space="preserve"> </w:t>
      </w:r>
      <w:r>
        <w:t>=</w:t>
      </w:r>
      <w:r w:rsidR="00F66348">
        <w:t xml:space="preserve"> </w:t>
      </w:r>
      <w:r w:rsidRPr="003A1F3A">
        <w:t>progression-free survival; SOC</w:t>
      </w:r>
      <w:r w:rsidR="00F66348">
        <w:t xml:space="preserve"> </w:t>
      </w:r>
      <w:r>
        <w:t>=</w:t>
      </w:r>
      <w:r w:rsidR="00F66348">
        <w:t xml:space="preserve"> </w:t>
      </w:r>
      <w:r w:rsidRPr="003A1F3A">
        <w:t>standard of care</w:t>
      </w:r>
      <w:r>
        <w:t xml:space="preserve">; </w:t>
      </w:r>
      <w:r w:rsidR="00E17307">
        <w:t>TKIs</w:t>
      </w:r>
      <w:r w:rsidR="00F66348">
        <w:t xml:space="preserve"> </w:t>
      </w:r>
      <w:r w:rsidR="00E17307">
        <w:t>=</w:t>
      </w:r>
      <w:r w:rsidR="00F66348">
        <w:t xml:space="preserve"> </w:t>
      </w:r>
      <w:r w:rsidR="00E17307">
        <w:t>tyrosine kinase inhibitors.</w:t>
      </w:r>
    </w:p>
    <w:p w14:paraId="3F0BF609" w14:textId="77777777" w:rsidR="005C25FF" w:rsidRPr="00407F2D" w:rsidRDefault="005C25FF" w:rsidP="00F906AB">
      <w:pPr>
        <w:pStyle w:val="2-SectionHeading"/>
        <w:keepLines/>
      </w:pPr>
      <w:bookmarkStart w:id="3" w:name="_Toc113895835"/>
      <w:r w:rsidRPr="00407F2D">
        <w:t>Background</w:t>
      </w:r>
      <w:bookmarkEnd w:id="3"/>
    </w:p>
    <w:p w14:paraId="48EA9574" w14:textId="77777777" w:rsidR="005C25FF" w:rsidRPr="004151CF" w:rsidRDefault="005C25FF" w:rsidP="00F906AB">
      <w:pPr>
        <w:pStyle w:val="4-SubsectionHeading"/>
        <w:keepLines/>
      </w:pPr>
      <w:bookmarkStart w:id="4" w:name="_Toc22897638"/>
      <w:bookmarkStart w:id="5" w:name="_Toc113895836"/>
      <w:r w:rsidRPr="004151CF">
        <w:t>Registration status</w:t>
      </w:r>
      <w:bookmarkEnd w:id="4"/>
      <w:bookmarkEnd w:id="5"/>
    </w:p>
    <w:p w14:paraId="6A746957" w14:textId="77777777" w:rsidR="007F0C8D" w:rsidRDefault="007F0C8D" w:rsidP="00F906AB">
      <w:pPr>
        <w:pStyle w:val="3-BodyText"/>
        <w:keepNext/>
        <w:keepLines/>
      </w:pPr>
      <w:r>
        <w:t>Mobocertinib was listed on the</w:t>
      </w:r>
      <w:r w:rsidRPr="009F4460">
        <w:t xml:space="preserve"> Australian Register of Therapeutic Goods (ARTG)</w:t>
      </w:r>
      <w:r>
        <w:t xml:space="preserve"> with provisional registration on the 19 July 2022. The approved indication is as follows:</w:t>
      </w:r>
    </w:p>
    <w:p w14:paraId="0EFA2585" w14:textId="77777777" w:rsidR="007F0C8D" w:rsidRDefault="007F0C8D" w:rsidP="007F0C8D">
      <w:pPr>
        <w:pStyle w:val="3-BodyText"/>
        <w:numPr>
          <w:ilvl w:val="0"/>
          <w:numId w:val="0"/>
        </w:numPr>
        <w:ind w:left="720"/>
      </w:pPr>
      <w:r w:rsidRPr="008236BF">
        <w:t>“EXKIVITY has provisional approval in Australia for the treatment of adult patients with epidermal growth factor receptor (</w:t>
      </w:r>
      <w:r w:rsidRPr="00226E00">
        <w:rPr>
          <w:i/>
        </w:rPr>
        <w:t>EGFR</w:t>
      </w:r>
      <w:r w:rsidRPr="008236BF">
        <w:t xml:space="preserve">) exon 20 insertion mutation-positive locally advanced or metastatic non-small cell lung cancer (NSCLC), who have received prior platinum-based chemotherapy. The decision to approve this indication has been made on the basis of overall response rate (ORR) and duration of response (DOR). Continued </w:t>
      </w:r>
      <w:r w:rsidRPr="008236BF">
        <w:lastRenderedPageBreak/>
        <w:t>approval of this indication depends on verification and description of benefit in confirmatory trials.”</w:t>
      </w:r>
    </w:p>
    <w:p w14:paraId="373737E6" w14:textId="572B4A0E" w:rsidR="00730734" w:rsidRDefault="008236BF" w:rsidP="00F37BA4">
      <w:pPr>
        <w:pStyle w:val="3-BodyText"/>
      </w:pPr>
      <w:r w:rsidRPr="008236BF">
        <w:t xml:space="preserve">Conditions of the provisional approval include </w:t>
      </w:r>
      <w:r w:rsidR="00044920">
        <w:t xml:space="preserve">the provision of </w:t>
      </w:r>
      <w:r w:rsidRPr="008236BF">
        <w:t>all clinical study reports (CSRs) for the key Study 101 (interim and final) and other post-marketing safety studies.</w:t>
      </w:r>
      <w:r w:rsidR="00A24378">
        <w:t xml:space="preserve"> The submission noted that d</w:t>
      </w:r>
      <w:r w:rsidR="00A24378" w:rsidRPr="00A24378">
        <w:t xml:space="preserve">ata from </w:t>
      </w:r>
      <w:r w:rsidR="00A24378">
        <w:t>an</w:t>
      </w:r>
      <w:r w:rsidR="00A24378" w:rsidRPr="00A24378">
        <w:t xml:space="preserve"> ongoing </w:t>
      </w:r>
      <w:r w:rsidR="00A24378">
        <w:t xml:space="preserve">randomised </w:t>
      </w:r>
      <w:r w:rsidR="00A24378" w:rsidRPr="00A24378">
        <w:t>trial</w:t>
      </w:r>
      <w:r w:rsidR="00A24378">
        <w:t xml:space="preserve"> comparing </w:t>
      </w:r>
      <w:r w:rsidR="00A24378" w:rsidRPr="00A24378">
        <w:t xml:space="preserve">mobocertinib </w:t>
      </w:r>
      <w:r w:rsidR="00A24378" w:rsidRPr="001A5260">
        <w:rPr>
          <w:i/>
        </w:rPr>
        <w:t>versus</w:t>
      </w:r>
      <w:r w:rsidR="00A24378" w:rsidRPr="00A24378">
        <w:t xml:space="preserve"> PBC</w:t>
      </w:r>
      <w:r w:rsidR="00B66DB1">
        <w:t>,</w:t>
      </w:r>
      <w:r w:rsidR="00A24378" w:rsidRPr="00A24378">
        <w:t xml:space="preserve"> in </w:t>
      </w:r>
      <w:r w:rsidR="00044920">
        <w:t>treatment naïve</w:t>
      </w:r>
      <w:r w:rsidR="00A24378" w:rsidRPr="00A24378">
        <w:t xml:space="preserve"> patients with </w:t>
      </w:r>
      <w:r w:rsidR="00A24378" w:rsidRPr="001A5260">
        <w:rPr>
          <w:i/>
        </w:rPr>
        <w:t>EGFR</w:t>
      </w:r>
      <w:r w:rsidR="00A24378">
        <w:t xml:space="preserve"> ex20ins </w:t>
      </w:r>
      <w:r w:rsidR="00B66DB1" w:rsidRPr="00A24378">
        <w:t xml:space="preserve">advanced </w:t>
      </w:r>
      <w:r w:rsidR="00A24378">
        <w:t>NSCLC (</w:t>
      </w:r>
      <w:r w:rsidR="00A24378" w:rsidRPr="00A24378">
        <w:t xml:space="preserve">NCT04129502), will be submitted to </w:t>
      </w:r>
      <w:r w:rsidR="00B66DB1">
        <w:t xml:space="preserve">the TGA </w:t>
      </w:r>
      <w:r w:rsidR="006A1433">
        <w:t xml:space="preserve">as part of </w:t>
      </w:r>
      <w:r w:rsidR="00044920">
        <w:t xml:space="preserve">an application to register </w:t>
      </w:r>
      <w:r w:rsidR="00A24378">
        <w:t>mobocertinib</w:t>
      </w:r>
      <w:r w:rsidR="00A24378" w:rsidRPr="00A24378">
        <w:t xml:space="preserve"> </w:t>
      </w:r>
      <w:r w:rsidR="006A1433">
        <w:t xml:space="preserve">on the ARTG </w:t>
      </w:r>
      <w:r w:rsidR="00044920">
        <w:t xml:space="preserve">for use </w:t>
      </w:r>
      <w:r w:rsidR="00A24378" w:rsidRPr="00A24378">
        <w:t>in the first-line treatment setting</w:t>
      </w:r>
      <w:r w:rsidR="00A24378">
        <w:t>.</w:t>
      </w:r>
    </w:p>
    <w:p w14:paraId="5A27D5F5" w14:textId="77777777" w:rsidR="00B60939" w:rsidRDefault="00B50DB8" w:rsidP="00F37BA4">
      <w:pPr>
        <w:pStyle w:val="2-SectionHeading"/>
        <w:keepLines/>
      </w:pPr>
      <w:bookmarkStart w:id="6" w:name="_Toc107902078"/>
      <w:bookmarkStart w:id="7" w:name="_Toc113895837"/>
      <w:bookmarkEnd w:id="6"/>
      <w:r w:rsidRPr="00407F2D">
        <w:t>Requested listing</w:t>
      </w:r>
      <w:bookmarkEnd w:id="7"/>
    </w:p>
    <w:p w14:paraId="76E17CEF" w14:textId="7E1110FA" w:rsidR="00B72EAC" w:rsidRDefault="00B62475" w:rsidP="005D739D">
      <w:pPr>
        <w:pStyle w:val="3-BodyText"/>
      </w:pPr>
      <w:r w:rsidRPr="00841223">
        <w:t xml:space="preserve">The requested listing for </w:t>
      </w:r>
      <w:r>
        <w:t>mobocertinib</w:t>
      </w:r>
      <w:r w:rsidRPr="00841223">
        <w:t xml:space="preserve"> is provided below. Secretariat suggestions and additions proposed are shown in </w:t>
      </w:r>
      <w:r w:rsidRPr="0049069B">
        <w:rPr>
          <w:iCs/>
        </w:rPr>
        <w:t>italics</w:t>
      </w:r>
      <w:r w:rsidRPr="0049069B">
        <w:t xml:space="preserve"> </w:t>
      </w:r>
      <w:r w:rsidRPr="00841223">
        <w:t xml:space="preserve">and deletions are in </w:t>
      </w:r>
      <w:r w:rsidRPr="0049069B">
        <w:t>strikethrough</w:t>
      </w:r>
      <w:r w:rsidRPr="00841223">
        <w:t>.</w:t>
      </w:r>
      <w:r>
        <w:t xml:space="preserve"> </w:t>
      </w:r>
      <w:r w:rsidR="001C5FF9" w:rsidRPr="001C5FF9">
        <w:t xml:space="preserve">The submission </w:t>
      </w:r>
      <w:r w:rsidR="00B72EAC">
        <w:t>proposed</w:t>
      </w:r>
      <w:r w:rsidR="001C5FF9" w:rsidRPr="001C5FF9">
        <w:t xml:space="preserve"> separate listings for </w:t>
      </w:r>
      <w:r w:rsidR="001C5FF9">
        <w:t>mobocertinib</w:t>
      </w:r>
      <w:r w:rsidR="001C5FF9" w:rsidRPr="001C5FF9">
        <w:t xml:space="preserve"> for initial and continuing therapy, and for use in grandfathered patients</w:t>
      </w:r>
      <w:r w:rsidR="001A6E69">
        <w:t>;</w:t>
      </w:r>
      <w:r w:rsidR="00124BA5">
        <w:t xml:space="preserve"> </w:t>
      </w:r>
      <w:r w:rsidR="001A6E69">
        <w:rPr>
          <w:iCs/>
        </w:rPr>
        <w:t>t</w:t>
      </w:r>
      <w:r w:rsidR="00124BA5" w:rsidRPr="00440A1E">
        <w:rPr>
          <w:iCs/>
        </w:rPr>
        <w:t xml:space="preserve">he proposed restriction for grandfathered patients </w:t>
      </w:r>
      <w:r w:rsidR="00B72EAC" w:rsidRPr="00440A1E">
        <w:rPr>
          <w:iCs/>
        </w:rPr>
        <w:t>is not presented below</w:t>
      </w:r>
      <w:r w:rsidR="00717354">
        <w:rPr>
          <w:iCs/>
        </w:rPr>
        <w:t xml:space="preserve"> (discussed in paragraph </w:t>
      </w:r>
      <w:r w:rsidR="00717354">
        <w:rPr>
          <w:iCs/>
          <w:highlight w:val="yellow"/>
        </w:rPr>
        <w:fldChar w:fldCharType="begin"/>
      </w:r>
      <w:r w:rsidR="00717354">
        <w:rPr>
          <w:iCs/>
        </w:rPr>
        <w:instrText xml:space="preserve"> REF _Ref119575652 \r \h </w:instrText>
      </w:r>
      <w:r w:rsidR="00717354">
        <w:rPr>
          <w:iCs/>
          <w:highlight w:val="yellow"/>
        </w:rPr>
      </w:r>
      <w:r w:rsidR="00717354">
        <w:rPr>
          <w:iCs/>
          <w:highlight w:val="yellow"/>
        </w:rPr>
        <w:fldChar w:fldCharType="separate"/>
      </w:r>
      <w:r w:rsidR="001635D4">
        <w:rPr>
          <w:iCs/>
        </w:rPr>
        <w:t>3.3</w:t>
      </w:r>
      <w:r w:rsidR="00717354">
        <w:rPr>
          <w:iCs/>
          <w:highlight w:val="yellow"/>
        </w:rPr>
        <w:fldChar w:fldCharType="end"/>
      </w:r>
      <w:r w:rsidR="00717354">
        <w:rPr>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6"/>
        <w:gridCol w:w="1776"/>
        <w:gridCol w:w="812"/>
        <w:gridCol w:w="812"/>
        <w:gridCol w:w="812"/>
        <w:gridCol w:w="1839"/>
      </w:tblGrid>
      <w:tr w:rsidR="00B72EAC" w:rsidRPr="001428E9" w14:paraId="4FA7482D" w14:textId="77777777" w:rsidTr="00A9585E">
        <w:trPr>
          <w:cantSplit/>
          <w:trHeight w:val="20"/>
        </w:trPr>
        <w:tc>
          <w:tcPr>
            <w:tcW w:w="1645" w:type="pct"/>
            <w:vAlign w:val="center"/>
          </w:tcPr>
          <w:p w14:paraId="4382E63E" w14:textId="77777777" w:rsidR="00B72EAC" w:rsidRPr="00BF3DFD" w:rsidRDefault="00B72EAC" w:rsidP="00CA091A">
            <w:pPr>
              <w:keepNext/>
              <w:keepLines/>
              <w:rPr>
                <w:rFonts w:ascii="Arial Narrow" w:hAnsi="Arial Narrow"/>
                <w:b/>
                <w:bCs/>
                <w:sz w:val="20"/>
                <w:szCs w:val="20"/>
              </w:rPr>
            </w:pPr>
            <w:r w:rsidRPr="00BF3DFD">
              <w:rPr>
                <w:rFonts w:ascii="Arial Narrow" w:hAnsi="Arial Narrow"/>
                <w:b/>
                <w:bCs/>
                <w:sz w:val="20"/>
                <w:szCs w:val="20"/>
              </w:rPr>
              <w:t>MEDICINAL PRODUCT</w:t>
            </w:r>
          </w:p>
          <w:p w14:paraId="0FC7B776" w14:textId="77777777" w:rsidR="00B72EAC" w:rsidRPr="00BF3DFD" w:rsidRDefault="00B72EAC" w:rsidP="00CA091A">
            <w:pPr>
              <w:keepNext/>
              <w:keepLines/>
              <w:rPr>
                <w:rFonts w:ascii="Arial Narrow" w:hAnsi="Arial Narrow"/>
                <w:b/>
                <w:sz w:val="20"/>
                <w:szCs w:val="20"/>
              </w:rPr>
            </w:pPr>
            <w:r w:rsidRPr="00BF3DFD">
              <w:rPr>
                <w:rFonts w:ascii="Arial Narrow" w:hAnsi="Arial Narrow"/>
                <w:b/>
                <w:bCs/>
                <w:sz w:val="20"/>
                <w:szCs w:val="20"/>
              </w:rPr>
              <w:t>medicinal product pack</w:t>
            </w:r>
          </w:p>
        </w:tc>
        <w:tc>
          <w:tcPr>
            <w:tcW w:w="985" w:type="pct"/>
            <w:vAlign w:val="center"/>
          </w:tcPr>
          <w:p w14:paraId="7BD5E2A9" w14:textId="77777777" w:rsidR="00B72EAC" w:rsidRPr="00BF3DFD" w:rsidRDefault="00B72EAC" w:rsidP="00CA091A">
            <w:pPr>
              <w:pStyle w:val="TableText0"/>
              <w:keepLines/>
              <w:rPr>
                <w:b/>
                <w:bCs w:val="0"/>
                <w:szCs w:val="20"/>
              </w:rPr>
            </w:pPr>
            <w:r w:rsidRPr="00BF3DFD">
              <w:rPr>
                <w:b/>
                <w:bCs w:val="0"/>
                <w:snapToGrid w:val="0"/>
              </w:rPr>
              <w:t xml:space="preserve">Dispensed Price for Max. Qty </w:t>
            </w:r>
          </w:p>
        </w:tc>
        <w:tc>
          <w:tcPr>
            <w:tcW w:w="450" w:type="pct"/>
            <w:vAlign w:val="center"/>
          </w:tcPr>
          <w:p w14:paraId="57656175" w14:textId="77777777" w:rsidR="00B72EAC" w:rsidRPr="00BF3DFD" w:rsidRDefault="00B72EAC" w:rsidP="00CA091A">
            <w:pPr>
              <w:keepNext/>
              <w:keepLines/>
              <w:jc w:val="center"/>
              <w:rPr>
                <w:rFonts w:ascii="Arial Narrow" w:hAnsi="Arial Narrow"/>
                <w:b/>
                <w:sz w:val="20"/>
                <w:szCs w:val="20"/>
              </w:rPr>
            </w:pPr>
            <w:r w:rsidRPr="00BF3DFD">
              <w:rPr>
                <w:rFonts w:ascii="Arial Narrow" w:hAnsi="Arial Narrow"/>
                <w:b/>
                <w:sz w:val="20"/>
                <w:szCs w:val="20"/>
              </w:rPr>
              <w:t>Max. qty packs</w:t>
            </w:r>
          </w:p>
        </w:tc>
        <w:tc>
          <w:tcPr>
            <w:tcW w:w="450" w:type="pct"/>
            <w:vAlign w:val="center"/>
          </w:tcPr>
          <w:p w14:paraId="6758AD47" w14:textId="77777777" w:rsidR="00B72EAC" w:rsidRPr="00BF3DFD" w:rsidRDefault="00B72EAC" w:rsidP="00CA091A">
            <w:pPr>
              <w:keepNext/>
              <w:keepLines/>
              <w:jc w:val="center"/>
              <w:rPr>
                <w:rFonts w:ascii="Arial Narrow" w:hAnsi="Arial Narrow"/>
                <w:b/>
                <w:sz w:val="20"/>
                <w:szCs w:val="20"/>
              </w:rPr>
            </w:pPr>
            <w:r w:rsidRPr="00BF3DFD">
              <w:rPr>
                <w:rFonts w:ascii="Arial Narrow" w:hAnsi="Arial Narrow"/>
                <w:b/>
                <w:sz w:val="20"/>
                <w:szCs w:val="20"/>
              </w:rPr>
              <w:t>Max. qty units</w:t>
            </w:r>
          </w:p>
        </w:tc>
        <w:tc>
          <w:tcPr>
            <w:tcW w:w="450" w:type="pct"/>
            <w:vAlign w:val="center"/>
          </w:tcPr>
          <w:p w14:paraId="4FFC6C96" w14:textId="77777777" w:rsidR="00B72EAC" w:rsidRPr="00BF3DFD" w:rsidRDefault="00B72EAC" w:rsidP="00CA091A">
            <w:pPr>
              <w:keepNext/>
              <w:keepLines/>
              <w:jc w:val="center"/>
              <w:rPr>
                <w:rFonts w:ascii="Arial Narrow" w:hAnsi="Arial Narrow"/>
                <w:b/>
                <w:sz w:val="20"/>
                <w:szCs w:val="20"/>
              </w:rPr>
            </w:pPr>
            <w:r w:rsidRPr="00BF3DFD">
              <w:rPr>
                <w:rFonts w:ascii="Arial Narrow" w:hAnsi="Arial Narrow"/>
                <w:b/>
                <w:sz w:val="20"/>
                <w:szCs w:val="20"/>
              </w:rPr>
              <w:t>№.of</w:t>
            </w:r>
          </w:p>
          <w:p w14:paraId="21DE90A2" w14:textId="77777777" w:rsidR="00B72EAC" w:rsidRPr="00BF3DFD" w:rsidRDefault="00B72EAC" w:rsidP="00CA091A">
            <w:pPr>
              <w:keepNext/>
              <w:keepLines/>
              <w:jc w:val="center"/>
              <w:rPr>
                <w:rFonts w:ascii="Arial Narrow" w:hAnsi="Arial Narrow"/>
                <w:b/>
                <w:sz w:val="20"/>
                <w:szCs w:val="20"/>
              </w:rPr>
            </w:pPr>
            <w:r w:rsidRPr="00BF3DFD">
              <w:rPr>
                <w:rFonts w:ascii="Arial Narrow" w:hAnsi="Arial Narrow"/>
                <w:b/>
                <w:sz w:val="20"/>
                <w:szCs w:val="20"/>
              </w:rPr>
              <w:t>Rpts</w:t>
            </w:r>
          </w:p>
        </w:tc>
        <w:tc>
          <w:tcPr>
            <w:tcW w:w="1020" w:type="pct"/>
            <w:vAlign w:val="center"/>
          </w:tcPr>
          <w:p w14:paraId="725F5E08" w14:textId="77777777" w:rsidR="00B72EAC" w:rsidRPr="00BF3DFD" w:rsidRDefault="00B72EAC" w:rsidP="00CA091A">
            <w:pPr>
              <w:keepNext/>
              <w:keepLines/>
              <w:rPr>
                <w:rFonts w:ascii="Arial Narrow" w:hAnsi="Arial Narrow"/>
                <w:b/>
                <w:sz w:val="20"/>
                <w:szCs w:val="20"/>
                <w:lang w:val="fr-FR"/>
              </w:rPr>
            </w:pPr>
            <w:r w:rsidRPr="00BF3DFD">
              <w:rPr>
                <w:rFonts w:ascii="Arial Narrow" w:hAnsi="Arial Narrow"/>
                <w:b/>
                <w:sz w:val="20"/>
                <w:szCs w:val="20"/>
              </w:rPr>
              <w:t>Available brands</w:t>
            </w:r>
          </w:p>
        </w:tc>
      </w:tr>
      <w:tr w:rsidR="00B72EAC" w:rsidRPr="001428E9" w14:paraId="1AC09471" w14:textId="77777777" w:rsidTr="00A9585E">
        <w:trPr>
          <w:cantSplit/>
          <w:trHeight w:val="20"/>
        </w:trPr>
        <w:tc>
          <w:tcPr>
            <w:tcW w:w="5000" w:type="pct"/>
            <w:gridSpan w:val="6"/>
            <w:vAlign w:val="center"/>
          </w:tcPr>
          <w:p w14:paraId="5F88B625" w14:textId="77777777" w:rsidR="00B72EAC" w:rsidRPr="00BF3DFD" w:rsidRDefault="00B72EAC" w:rsidP="00CA091A">
            <w:pPr>
              <w:pStyle w:val="TableText0"/>
              <w:keepLines/>
              <w:rPr>
                <w:rFonts w:cs="Arial"/>
                <w:szCs w:val="20"/>
              </w:rPr>
            </w:pPr>
            <w:r w:rsidRPr="00BF3DFD">
              <w:t>MOBOCERTINIB</w:t>
            </w:r>
            <w:r w:rsidRPr="00BF3DFD">
              <w:rPr>
                <w:rFonts w:cs="Arial"/>
                <w:szCs w:val="20"/>
              </w:rPr>
              <w:t xml:space="preserve"> </w:t>
            </w:r>
          </w:p>
        </w:tc>
      </w:tr>
      <w:tr w:rsidR="00B72EAC" w:rsidRPr="003A4C14" w14:paraId="08F9D9EF" w14:textId="77777777" w:rsidTr="00A9585E">
        <w:trPr>
          <w:cantSplit/>
          <w:trHeight w:val="20"/>
        </w:trPr>
        <w:tc>
          <w:tcPr>
            <w:tcW w:w="1645" w:type="pct"/>
            <w:vAlign w:val="center"/>
          </w:tcPr>
          <w:p w14:paraId="690B7536" w14:textId="77777777" w:rsidR="00B72EAC" w:rsidRPr="00BF3DFD" w:rsidRDefault="00B72EAC" w:rsidP="00CA091A">
            <w:pPr>
              <w:pStyle w:val="TableText0"/>
              <w:keepLines/>
              <w:rPr>
                <w:szCs w:val="20"/>
              </w:rPr>
            </w:pPr>
            <w:r w:rsidRPr="00BF3DFD">
              <w:t>Mobocertinib 40 mg capsules, 112</w:t>
            </w:r>
          </w:p>
        </w:tc>
        <w:tc>
          <w:tcPr>
            <w:tcW w:w="985" w:type="pct"/>
          </w:tcPr>
          <w:p w14:paraId="779C815D" w14:textId="77777777" w:rsidR="00B72EAC" w:rsidRPr="00AF03C0" w:rsidRDefault="00E25123" w:rsidP="00CA091A">
            <w:pPr>
              <w:pStyle w:val="TableText0"/>
              <w:keepLines/>
              <w:jc w:val="center"/>
              <w:rPr>
                <w:u w:val="single"/>
                <w:vertAlign w:val="superscript"/>
              </w:rPr>
            </w:pPr>
            <w:r>
              <w:rPr>
                <w:u w:val="single"/>
              </w:rPr>
              <w:t>P</w:t>
            </w:r>
            <w:r w:rsidR="00B72EAC" w:rsidRPr="00BF3DFD">
              <w:rPr>
                <w:u w:val="single"/>
              </w:rPr>
              <w:t>ublished price</w:t>
            </w:r>
          </w:p>
          <w:p w14:paraId="4A1BCA71" w14:textId="77777777" w:rsidR="00B72EAC" w:rsidRPr="00BF3DFD" w:rsidRDefault="00B72EAC" w:rsidP="00CA091A">
            <w:pPr>
              <w:pStyle w:val="TableText0"/>
              <w:keepLines/>
              <w:jc w:val="center"/>
            </w:pPr>
            <w:r w:rsidRPr="00BF3DFD">
              <w:t>$13,489.99</w:t>
            </w:r>
            <w:r w:rsidR="00A9585E" w:rsidRPr="00E17307">
              <w:rPr>
                <w:vertAlign w:val="superscript"/>
              </w:rPr>
              <w:t>a</w:t>
            </w:r>
            <w:r w:rsidRPr="00E17307">
              <w:t xml:space="preserve"> </w:t>
            </w:r>
          </w:p>
          <w:p w14:paraId="27321C0E" w14:textId="77777777" w:rsidR="00B72EAC" w:rsidRPr="00BF3DFD" w:rsidRDefault="00B72EAC" w:rsidP="00CA091A">
            <w:pPr>
              <w:pStyle w:val="TableText0"/>
              <w:keepLines/>
              <w:jc w:val="center"/>
              <w:rPr>
                <w:u w:val="single"/>
              </w:rPr>
            </w:pPr>
            <w:r w:rsidRPr="00BF3DFD">
              <w:rPr>
                <w:u w:val="single"/>
              </w:rPr>
              <w:t>Effective price</w:t>
            </w:r>
          </w:p>
          <w:p w14:paraId="486B181B" w14:textId="7A37D3E4" w:rsidR="00B72EAC" w:rsidRPr="00BF3DFD" w:rsidRDefault="00B72EAC" w:rsidP="00CA091A">
            <w:pPr>
              <w:pStyle w:val="TableText0"/>
              <w:keepLines/>
              <w:jc w:val="center"/>
              <w:rPr>
                <w:szCs w:val="20"/>
              </w:rPr>
            </w:pPr>
            <w:r w:rsidRPr="00BF3DFD">
              <w:rPr>
                <w:szCs w:val="20"/>
              </w:rPr>
              <w:t>$</w:t>
            </w:r>
            <w:r w:rsidR="001D6D9F" w:rsidRPr="001D6D9F">
              <w:rPr>
                <w:color w:val="000000"/>
                <w:szCs w:val="20"/>
                <w:shd w:val="solid" w:color="000000" w:fill="000000"/>
                <w14:textFill>
                  <w14:solidFill>
                    <w14:srgbClr w14:val="000000">
                      <w14:alpha w14:val="100000"/>
                    </w14:srgbClr>
                  </w14:solidFill>
                </w14:textFill>
              </w:rPr>
              <w:t>|</w:t>
            </w:r>
            <w:r w:rsidR="00A9585E" w:rsidRPr="00AC6F83">
              <w:rPr>
                <w:vertAlign w:val="superscript"/>
              </w:rPr>
              <w:t>a</w:t>
            </w:r>
          </w:p>
        </w:tc>
        <w:tc>
          <w:tcPr>
            <w:tcW w:w="450" w:type="pct"/>
            <w:vAlign w:val="center"/>
          </w:tcPr>
          <w:p w14:paraId="4F88A78A" w14:textId="77777777" w:rsidR="00B72EAC" w:rsidRPr="00BF3DFD" w:rsidRDefault="00B72EAC" w:rsidP="00CA091A">
            <w:pPr>
              <w:keepNext/>
              <w:keepLines/>
              <w:jc w:val="center"/>
              <w:rPr>
                <w:rFonts w:ascii="Arial Narrow" w:hAnsi="Arial Narrow"/>
                <w:sz w:val="20"/>
                <w:szCs w:val="20"/>
              </w:rPr>
            </w:pPr>
            <w:r w:rsidRPr="00BF3DFD">
              <w:rPr>
                <w:rFonts w:ascii="Arial Narrow" w:hAnsi="Arial Narrow"/>
                <w:sz w:val="20"/>
              </w:rPr>
              <w:t>1</w:t>
            </w:r>
          </w:p>
        </w:tc>
        <w:tc>
          <w:tcPr>
            <w:tcW w:w="450" w:type="pct"/>
            <w:vAlign w:val="center"/>
          </w:tcPr>
          <w:p w14:paraId="489029E8" w14:textId="77777777" w:rsidR="00B72EAC" w:rsidRPr="00BF3DFD" w:rsidRDefault="00B72EAC" w:rsidP="00CA091A">
            <w:pPr>
              <w:keepNext/>
              <w:keepLines/>
              <w:jc w:val="center"/>
              <w:rPr>
                <w:rFonts w:ascii="Arial Narrow" w:hAnsi="Arial Narrow"/>
                <w:sz w:val="20"/>
                <w:szCs w:val="20"/>
              </w:rPr>
            </w:pPr>
            <w:r w:rsidRPr="00BF3DFD">
              <w:rPr>
                <w:rFonts w:ascii="Arial Narrow" w:hAnsi="Arial Narrow"/>
                <w:sz w:val="20"/>
              </w:rPr>
              <w:t>112</w:t>
            </w:r>
          </w:p>
        </w:tc>
        <w:tc>
          <w:tcPr>
            <w:tcW w:w="450" w:type="pct"/>
            <w:vAlign w:val="center"/>
          </w:tcPr>
          <w:p w14:paraId="5DA47BC7" w14:textId="77777777" w:rsidR="00B72EAC" w:rsidRPr="00BF3DFD" w:rsidRDefault="00B72EAC" w:rsidP="00CA091A">
            <w:pPr>
              <w:keepNext/>
              <w:keepLines/>
              <w:jc w:val="center"/>
              <w:rPr>
                <w:rFonts w:ascii="Arial Narrow" w:hAnsi="Arial Narrow"/>
                <w:sz w:val="20"/>
                <w:szCs w:val="20"/>
              </w:rPr>
            </w:pPr>
            <w:r w:rsidRPr="00BF3DFD">
              <w:rPr>
                <w:rFonts w:ascii="Arial Narrow" w:hAnsi="Arial Narrow"/>
                <w:sz w:val="20"/>
              </w:rPr>
              <w:t>5</w:t>
            </w:r>
          </w:p>
        </w:tc>
        <w:tc>
          <w:tcPr>
            <w:tcW w:w="1020" w:type="pct"/>
            <w:vAlign w:val="center"/>
          </w:tcPr>
          <w:p w14:paraId="0A2D5A9C" w14:textId="77777777" w:rsidR="00B72EAC" w:rsidRPr="00BF3DFD" w:rsidRDefault="000372C3" w:rsidP="00CA091A">
            <w:pPr>
              <w:keepNext/>
              <w:keepLines/>
              <w:rPr>
                <w:rFonts w:ascii="Arial Narrow" w:hAnsi="Arial Narrow"/>
                <w:sz w:val="20"/>
                <w:szCs w:val="20"/>
              </w:rPr>
            </w:pPr>
            <w:r>
              <w:rPr>
                <w:rFonts w:ascii="Arial Narrow" w:hAnsi="Arial Narrow"/>
                <w:sz w:val="20"/>
                <w:szCs w:val="20"/>
              </w:rPr>
              <w:t>E</w:t>
            </w:r>
            <w:r w:rsidR="00B72EAC" w:rsidRPr="00BF3DFD">
              <w:rPr>
                <w:rFonts w:ascii="Arial Narrow" w:hAnsi="Arial Narrow"/>
                <w:sz w:val="20"/>
                <w:szCs w:val="20"/>
              </w:rPr>
              <w:t>xkivity</w:t>
            </w:r>
          </w:p>
        </w:tc>
      </w:tr>
    </w:tbl>
    <w:p w14:paraId="742A4F55" w14:textId="1EEB415C" w:rsidR="00B72EAC" w:rsidRPr="00957154" w:rsidRDefault="00B72EAC" w:rsidP="00CA091A">
      <w:pPr>
        <w:pStyle w:val="TableFigureFooter"/>
        <w:keepNext/>
        <w:keepLines/>
        <w:rPr>
          <w:iCs/>
        </w:rPr>
      </w:pPr>
      <w:proofErr w:type="spellStart"/>
      <w:r w:rsidRPr="00957154">
        <w:rPr>
          <w:iCs/>
          <w:vertAlign w:val="superscript"/>
        </w:rPr>
        <w:t>a</w:t>
      </w:r>
      <w:proofErr w:type="spellEnd"/>
      <w:r w:rsidRPr="00957154">
        <w:rPr>
          <w:iCs/>
          <w:vertAlign w:val="superscript"/>
        </w:rPr>
        <w:t xml:space="preserve"> </w:t>
      </w:r>
      <w:r w:rsidRPr="00957154">
        <w:rPr>
          <w:iCs/>
        </w:rPr>
        <w:t xml:space="preserve">Using the updated PBS fees, the dispensed price for mobocertinib would be $13,490.05 (published) and </w:t>
      </w:r>
      <w:r w:rsidRPr="00EF3D53">
        <w:rPr>
          <w:iCs/>
        </w:rPr>
        <w:t>$</w:t>
      </w:r>
      <w:r w:rsidR="001D6D9F" w:rsidRPr="00240E34">
        <w:rPr>
          <w:iCs/>
          <w:color w:val="000000"/>
          <w:spacing w:val="40"/>
          <w:shd w:val="solid" w:color="000000" w:fill="000000"/>
          <w:fitText w:val="280" w:id="-1304677632"/>
          <w14:textFill>
            <w14:solidFill>
              <w14:srgbClr w14:val="000000">
                <w14:alpha w14:val="100000"/>
              </w14:srgbClr>
            </w14:solidFill>
          </w14:textFill>
        </w:rPr>
        <w:t xml:space="preserve">|  </w:t>
      </w:r>
      <w:r w:rsidR="001D6D9F" w:rsidRPr="00240E34">
        <w:rPr>
          <w:iCs/>
          <w:color w:val="000000"/>
          <w:spacing w:val="2"/>
          <w:shd w:val="solid" w:color="000000" w:fill="000000"/>
          <w:fitText w:val="280" w:id="-1304677632"/>
          <w14:textFill>
            <w14:solidFill>
              <w14:srgbClr w14:val="000000">
                <w14:alpha w14:val="100000"/>
              </w14:srgbClr>
            </w14:solidFill>
          </w14:textFill>
        </w:rPr>
        <w:t>|</w:t>
      </w:r>
      <w:r w:rsidRPr="00EF3D53">
        <w:rPr>
          <w:iCs/>
        </w:rPr>
        <w:t xml:space="preserve"> </w:t>
      </w:r>
      <w:r w:rsidRPr="00957154">
        <w:rPr>
          <w:iCs/>
        </w:rPr>
        <w:t>(effective).</w:t>
      </w:r>
    </w:p>
    <w:p w14:paraId="163261D9" w14:textId="476C4C84" w:rsidR="000711EA" w:rsidRDefault="000711EA" w:rsidP="00470002">
      <w:pPr>
        <w:pStyle w:val="TableFigureFooter"/>
        <w:spacing w:after="0"/>
        <w:rPr>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664501" w:rsidRPr="00470002" w14:paraId="3BAEDB01" w14:textId="77777777" w:rsidTr="00664501">
        <w:tc>
          <w:tcPr>
            <w:tcW w:w="5000" w:type="pct"/>
            <w:tcBorders>
              <w:top w:val="single" w:sz="4" w:space="0" w:color="auto"/>
              <w:left w:val="single" w:sz="4" w:space="0" w:color="auto"/>
              <w:bottom w:val="single" w:sz="4" w:space="0" w:color="auto"/>
              <w:right w:val="single" w:sz="4" w:space="0" w:color="auto"/>
            </w:tcBorders>
          </w:tcPr>
          <w:p w14:paraId="1F4BD81F" w14:textId="2504DC43" w:rsidR="00664501" w:rsidRPr="00470002" w:rsidRDefault="00664501" w:rsidP="00C76959">
            <w:pPr>
              <w:jc w:val="both"/>
              <w:rPr>
                <w:rFonts w:ascii="Arial Narrow" w:hAnsi="Arial Narrow" w:cs="Arial"/>
                <w:sz w:val="20"/>
                <w:szCs w:val="20"/>
              </w:rPr>
            </w:pPr>
            <w:r w:rsidRPr="00470002">
              <w:rPr>
                <w:rFonts w:ascii="Arial Narrow" w:hAnsi="Arial Narrow" w:cs="Arial"/>
                <w:b/>
                <w:sz w:val="20"/>
                <w:szCs w:val="20"/>
              </w:rPr>
              <w:t xml:space="preserve">Category / Program: </w:t>
            </w:r>
            <w:r w:rsidRPr="00470002">
              <w:rPr>
                <w:rFonts w:ascii="Arial Narrow" w:hAnsi="Arial Narrow" w:cs="Arial"/>
                <w:sz w:val="20"/>
                <w:szCs w:val="20"/>
              </w:rPr>
              <w:t>GENERAL – General Schedule (Code GE)</w:t>
            </w:r>
          </w:p>
        </w:tc>
      </w:tr>
      <w:tr w:rsidR="00664501" w:rsidRPr="00470002" w14:paraId="3F48E312" w14:textId="77777777" w:rsidTr="00664501">
        <w:trPr>
          <w:trHeight w:val="240"/>
        </w:trPr>
        <w:tc>
          <w:tcPr>
            <w:tcW w:w="5000" w:type="pct"/>
            <w:tcBorders>
              <w:top w:val="single" w:sz="4" w:space="0" w:color="auto"/>
              <w:left w:val="single" w:sz="4" w:space="0" w:color="auto"/>
              <w:bottom w:val="single" w:sz="4" w:space="0" w:color="auto"/>
              <w:right w:val="single" w:sz="4" w:space="0" w:color="auto"/>
            </w:tcBorders>
          </w:tcPr>
          <w:p w14:paraId="33E3A54A" w14:textId="3A95F595" w:rsidR="00664501" w:rsidRPr="00470002" w:rsidRDefault="00664501" w:rsidP="00C76959">
            <w:pPr>
              <w:jc w:val="both"/>
              <w:rPr>
                <w:rFonts w:ascii="Arial Narrow" w:hAnsi="Arial Narrow" w:cs="Arial"/>
                <w:b/>
                <w:sz w:val="20"/>
                <w:szCs w:val="20"/>
              </w:rPr>
            </w:pPr>
            <w:r w:rsidRPr="00470002">
              <w:rPr>
                <w:rFonts w:ascii="Arial Narrow" w:hAnsi="Arial Narrow" w:cs="Arial"/>
                <w:b/>
                <w:sz w:val="20"/>
                <w:szCs w:val="20"/>
              </w:rPr>
              <w:t xml:space="preserve">Prescriber type:   </w:t>
            </w:r>
            <w:r w:rsidRPr="00470002">
              <w:rPr>
                <w:rFonts w:ascii="Arial Narrow" w:hAnsi="Arial Narrow" w:cs="Arial"/>
                <w:sz w:val="20"/>
                <w:szCs w:val="20"/>
              </w:rPr>
              <w:fldChar w:fldCharType="begin">
                <w:ffData>
                  <w:name w:val=""/>
                  <w:enabled/>
                  <w:calcOnExit w:val="0"/>
                  <w:checkBox>
                    <w:sizeAuto/>
                    <w:default w:val="1"/>
                  </w:checkBox>
                </w:ffData>
              </w:fldChar>
            </w:r>
            <w:r w:rsidRPr="00470002">
              <w:rPr>
                <w:rFonts w:ascii="Arial Narrow" w:hAnsi="Arial Narrow" w:cs="Arial"/>
                <w:sz w:val="20"/>
                <w:szCs w:val="20"/>
              </w:rPr>
              <w:instrText xml:space="preserve"> FORMCHECKBOX </w:instrText>
            </w:r>
            <w:r w:rsidR="001635D4">
              <w:rPr>
                <w:rFonts w:ascii="Arial Narrow" w:hAnsi="Arial Narrow" w:cs="Arial"/>
                <w:sz w:val="20"/>
                <w:szCs w:val="20"/>
              </w:rPr>
            </w:r>
            <w:r w:rsidR="001635D4">
              <w:rPr>
                <w:rFonts w:ascii="Arial Narrow" w:hAnsi="Arial Narrow" w:cs="Arial"/>
                <w:sz w:val="20"/>
                <w:szCs w:val="20"/>
              </w:rPr>
              <w:fldChar w:fldCharType="separate"/>
            </w:r>
            <w:r w:rsidRPr="00470002">
              <w:rPr>
                <w:rFonts w:ascii="Arial Narrow" w:hAnsi="Arial Narrow" w:cs="Arial"/>
                <w:sz w:val="20"/>
                <w:szCs w:val="20"/>
              </w:rPr>
              <w:fldChar w:fldCharType="end"/>
            </w:r>
            <w:r w:rsidRPr="00470002">
              <w:rPr>
                <w:rFonts w:ascii="Arial Narrow" w:hAnsi="Arial Narrow" w:cs="Arial"/>
                <w:sz w:val="20"/>
                <w:szCs w:val="20"/>
              </w:rPr>
              <w:t xml:space="preserve">Medical Practitioners    </w:t>
            </w:r>
          </w:p>
        </w:tc>
      </w:tr>
      <w:tr w:rsidR="00664501" w:rsidRPr="00470002" w14:paraId="00952A61" w14:textId="77777777" w:rsidTr="00664501">
        <w:tc>
          <w:tcPr>
            <w:tcW w:w="5000" w:type="pct"/>
            <w:tcBorders>
              <w:top w:val="single" w:sz="4" w:space="0" w:color="auto"/>
              <w:left w:val="single" w:sz="4" w:space="0" w:color="auto"/>
              <w:bottom w:val="single" w:sz="4" w:space="0" w:color="auto"/>
              <w:right w:val="single" w:sz="4" w:space="0" w:color="auto"/>
            </w:tcBorders>
          </w:tcPr>
          <w:p w14:paraId="1BADCE2A" w14:textId="2D46344C" w:rsidR="00664501" w:rsidRPr="00470002" w:rsidRDefault="00664501" w:rsidP="00C76959">
            <w:pPr>
              <w:jc w:val="both"/>
              <w:rPr>
                <w:rFonts w:ascii="Arial Narrow" w:hAnsi="Arial Narrow" w:cs="Arial"/>
                <w:b/>
                <w:sz w:val="20"/>
                <w:szCs w:val="20"/>
              </w:rPr>
            </w:pPr>
            <w:r w:rsidRPr="00470002">
              <w:rPr>
                <w:rFonts w:ascii="Arial Narrow" w:hAnsi="Arial Narrow" w:cs="Arial"/>
                <w:b/>
                <w:sz w:val="20"/>
                <w:szCs w:val="20"/>
              </w:rPr>
              <w:t xml:space="preserve">Restriction </w:t>
            </w:r>
            <w:r>
              <w:rPr>
                <w:rFonts w:ascii="Arial Narrow" w:hAnsi="Arial Narrow" w:cs="Arial"/>
                <w:b/>
                <w:sz w:val="20"/>
                <w:szCs w:val="20"/>
              </w:rPr>
              <w:t>t</w:t>
            </w:r>
            <w:r w:rsidRPr="00470002">
              <w:rPr>
                <w:rFonts w:ascii="Arial Narrow" w:hAnsi="Arial Narrow" w:cs="Arial"/>
                <w:b/>
                <w:sz w:val="20"/>
                <w:szCs w:val="20"/>
              </w:rPr>
              <w:t>ype</w:t>
            </w:r>
            <w:r>
              <w:rPr>
                <w:rFonts w:ascii="Arial Narrow" w:hAnsi="Arial Narrow" w:cs="Arial"/>
                <w:b/>
                <w:sz w:val="20"/>
                <w:szCs w:val="20"/>
              </w:rPr>
              <w:t>:</w:t>
            </w:r>
          </w:p>
          <w:p w14:paraId="75CACFDC" w14:textId="25FB1AF7" w:rsidR="00664501" w:rsidRPr="00470002" w:rsidRDefault="00664501" w:rsidP="00C76959">
            <w:pPr>
              <w:jc w:val="both"/>
              <w:rPr>
                <w:rFonts w:ascii="Arial Narrow" w:eastAsia="Calibri" w:hAnsi="Arial Narrow" w:cs="Arial"/>
                <w:sz w:val="20"/>
                <w:szCs w:val="20"/>
              </w:rPr>
            </w:pPr>
            <w:r w:rsidRPr="00470002">
              <w:rPr>
                <w:rFonts w:ascii="Arial Narrow" w:eastAsia="Calibri" w:hAnsi="Arial Narrow" w:cs="Arial"/>
                <w:sz w:val="20"/>
                <w:szCs w:val="20"/>
              </w:rPr>
              <w:fldChar w:fldCharType="begin">
                <w:ffData>
                  <w:name w:val="Check3"/>
                  <w:enabled/>
                  <w:calcOnExit w:val="0"/>
                  <w:checkBox>
                    <w:sizeAuto/>
                    <w:default w:val="1"/>
                  </w:checkBox>
                </w:ffData>
              </w:fldChar>
            </w:r>
            <w:r w:rsidRPr="00470002">
              <w:rPr>
                <w:rFonts w:ascii="Arial Narrow" w:eastAsia="Calibri" w:hAnsi="Arial Narrow" w:cs="Arial"/>
                <w:sz w:val="20"/>
                <w:szCs w:val="20"/>
              </w:rPr>
              <w:instrText xml:space="preserve"> FORMCHECKBOX </w:instrText>
            </w:r>
            <w:r w:rsidR="001635D4">
              <w:rPr>
                <w:rFonts w:ascii="Arial Narrow" w:eastAsia="Calibri" w:hAnsi="Arial Narrow" w:cs="Arial"/>
                <w:sz w:val="20"/>
                <w:szCs w:val="20"/>
              </w:rPr>
            </w:r>
            <w:r w:rsidR="001635D4">
              <w:rPr>
                <w:rFonts w:ascii="Arial Narrow" w:eastAsia="Calibri" w:hAnsi="Arial Narrow" w:cs="Arial"/>
                <w:sz w:val="20"/>
                <w:szCs w:val="20"/>
              </w:rPr>
              <w:fldChar w:fldCharType="separate"/>
            </w:r>
            <w:r w:rsidRPr="00470002">
              <w:rPr>
                <w:rFonts w:ascii="Arial Narrow" w:eastAsia="Calibri" w:hAnsi="Arial Narrow" w:cs="Arial"/>
                <w:sz w:val="20"/>
                <w:szCs w:val="20"/>
              </w:rPr>
              <w:fldChar w:fldCharType="end"/>
            </w:r>
            <w:r w:rsidRPr="00470002">
              <w:rPr>
                <w:rFonts w:ascii="Arial Narrow" w:eastAsia="Calibri" w:hAnsi="Arial Narrow" w:cs="Arial"/>
                <w:sz w:val="20"/>
                <w:szCs w:val="20"/>
              </w:rPr>
              <w:t>Authority Required (telephone/online application avenues)</w:t>
            </w:r>
          </w:p>
        </w:tc>
      </w:tr>
      <w:tr w:rsidR="00205763" w:rsidRPr="00470002" w14:paraId="30BE610F" w14:textId="77777777" w:rsidTr="00664501">
        <w:tc>
          <w:tcPr>
            <w:tcW w:w="5000" w:type="pct"/>
            <w:tcBorders>
              <w:top w:val="single" w:sz="4" w:space="0" w:color="auto"/>
              <w:left w:val="single" w:sz="4" w:space="0" w:color="auto"/>
              <w:bottom w:val="single" w:sz="4" w:space="0" w:color="auto"/>
              <w:right w:val="single" w:sz="4" w:space="0" w:color="auto"/>
            </w:tcBorders>
          </w:tcPr>
          <w:p w14:paraId="0252777B" w14:textId="77777777" w:rsidR="00205763" w:rsidRPr="00470002" w:rsidRDefault="00205763" w:rsidP="00C76959">
            <w:pPr>
              <w:jc w:val="both"/>
              <w:rPr>
                <w:rFonts w:ascii="Arial Narrow" w:hAnsi="Arial Narrow" w:cs="Arial"/>
                <w:b/>
                <w:sz w:val="20"/>
                <w:szCs w:val="20"/>
              </w:rPr>
            </w:pPr>
          </w:p>
        </w:tc>
      </w:tr>
      <w:tr w:rsidR="00664501" w:rsidRPr="00470002" w14:paraId="3B7366A1" w14:textId="77777777" w:rsidTr="00664501">
        <w:tc>
          <w:tcPr>
            <w:tcW w:w="5000" w:type="pct"/>
            <w:vAlign w:val="center"/>
          </w:tcPr>
          <w:p w14:paraId="69ECC5F6" w14:textId="77777777" w:rsidR="00664501" w:rsidRPr="00470002" w:rsidRDefault="00664501" w:rsidP="00C76959">
            <w:pPr>
              <w:rPr>
                <w:rFonts w:ascii="Arial Narrow" w:hAnsi="Arial Narrow"/>
                <w:color w:val="333333"/>
                <w:sz w:val="20"/>
                <w:szCs w:val="20"/>
              </w:rPr>
            </w:pPr>
            <w:r w:rsidRPr="00470002">
              <w:rPr>
                <w:rFonts w:ascii="Arial Narrow" w:hAnsi="Arial Narrow"/>
                <w:b/>
                <w:bCs/>
                <w:color w:val="333333"/>
                <w:sz w:val="20"/>
                <w:szCs w:val="20"/>
              </w:rPr>
              <w:t xml:space="preserve">Administrative Advice: </w:t>
            </w:r>
            <w:r w:rsidRPr="00470002">
              <w:rPr>
                <w:rFonts w:ascii="Arial Narrow" w:hAnsi="Arial Narrow"/>
                <w:color w:val="333333"/>
                <w:sz w:val="20"/>
                <w:szCs w:val="20"/>
              </w:rPr>
              <w:t xml:space="preserve">No increase in the maximum quantity or number of units may be authorised. </w:t>
            </w:r>
          </w:p>
        </w:tc>
      </w:tr>
      <w:tr w:rsidR="00664501" w:rsidRPr="00470002" w14:paraId="4A8D3EF5" w14:textId="77777777" w:rsidTr="00664501">
        <w:tc>
          <w:tcPr>
            <w:tcW w:w="5000" w:type="pct"/>
            <w:vAlign w:val="center"/>
          </w:tcPr>
          <w:p w14:paraId="6BDE4F18" w14:textId="77777777" w:rsidR="00664501" w:rsidRPr="00470002" w:rsidRDefault="00664501" w:rsidP="00C76959">
            <w:pPr>
              <w:rPr>
                <w:rFonts w:ascii="Arial Narrow" w:hAnsi="Arial Narrow"/>
                <w:b/>
                <w:bCs/>
                <w:color w:val="333333"/>
                <w:sz w:val="20"/>
                <w:szCs w:val="20"/>
              </w:rPr>
            </w:pPr>
            <w:r w:rsidRPr="00470002">
              <w:rPr>
                <w:rFonts w:ascii="Arial Narrow" w:hAnsi="Arial Narrow"/>
                <w:b/>
                <w:bCs/>
                <w:color w:val="333333"/>
                <w:sz w:val="20"/>
                <w:szCs w:val="20"/>
              </w:rPr>
              <w:t xml:space="preserve">Administrative Advice: </w:t>
            </w:r>
            <w:r w:rsidRPr="00470002">
              <w:rPr>
                <w:rFonts w:ascii="Arial Narrow" w:hAnsi="Arial Narrow"/>
                <w:color w:val="333333"/>
                <w:sz w:val="20"/>
                <w:szCs w:val="20"/>
              </w:rPr>
              <w:t>No increase in the maximum number of repeats may be authorised.</w:t>
            </w:r>
          </w:p>
        </w:tc>
      </w:tr>
      <w:tr w:rsidR="00205763" w:rsidRPr="00470002" w14:paraId="666AD83D" w14:textId="77777777" w:rsidTr="00664501">
        <w:tc>
          <w:tcPr>
            <w:tcW w:w="5000" w:type="pct"/>
            <w:vAlign w:val="center"/>
          </w:tcPr>
          <w:p w14:paraId="5AF79062" w14:textId="77777777" w:rsidR="00205763" w:rsidRPr="00470002" w:rsidRDefault="00205763" w:rsidP="00C76959">
            <w:pPr>
              <w:rPr>
                <w:rFonts w:ascii="Arial Narrow" w:hAnsi="Arial Narrow"/>
                <w:b/>
                <w:bCs/>
                <w:color w:val="333333"/>
                <w:sz w:val="20"/>
                <w:szCs w:val="20"/>
              </w:rPr>
            </w:pPr>
          </w:p>
        </w:tc>
      </w:tr>
      <w:tr w:rsidR="00664501" w:rsidRPr="00470002" w14:paraId="73BEB7E9" w14:textId="77777777" w:rsidTr="00664501">
        <w:tc>
          <w:tcPr>
            <w:tcW w:w="5000" w:type="pct"/>
            <w:vAlign w:val="center"/>
          </w:tcPr>
          <w:p w14:paraId="6B5695D3" w14:textId="77777777" w:rsidR="00664501" w:rsidRPr="00470002" w:rsidRDefault="00664501" w:rsidP="00C76959">
            <w:pPr>
              <w:rPr>
                <w:rFonts w:ascii="Arial Narrow" w:hAnsi="Arial Narrow"/>
                <w:b/>
                <w:bCs/>
                <w:strike/>
                <w:color w:val="333333"/>
                <w:sz w:val="20"/>
                <w:szCs w:val="20"/>
              </w:rPr>
            </w:pPr>
            <w:r w:rsidRPr="00470002">
              <w:rPr>
                <w:rFonts w:ascii="Arial Narrow" w:hAnsi="Arial Narrow"/>
                <w:b/>
                <w:bCs/>
                <w:strike/>
                <w:color w:val="333333"/>
                <w:sz w:val="20"/>
                <w:szCs w:val="20"/>
              </w:rPr>
              <w:t xml:space="preserve">Condition: </w:t>
            </w:r>
            <w:r w:rsidRPr="00470002">
              <w:rPr>
                <w:rFonts w:ascii="Arial Narrow" w:hAnsi="Arial Narrow"/>
                <w:bCs/>
                <w:strike/>
                <w:color w:val="333333"/>
                <w:sz w:val="20"/>
                <w:szCs w:val="20"/>
              </w:rPr>
              <w:t>Stage IIIB (locally advanced) or IV (metastatic) non-small cell lung cancer (NSCLC).</w:t>
            </w:r>
          </w:p>
        </w:tc>
      </w:tr>
      <w:tr w:rsidR="00664501" w:rsidRPr="00470002" w14:paraId="14FB2739" w14:textId="77777777" w:rsidTr="00664501">
        <w:tc>
          <w:tcPr>
            <w:tcW w:w="5000" w:type="pct"/>
            <w:vAlign w:val="center"/>
            <w:hideMark/>
          </w:tcPr>
          <w:p w14:paraId="4C7DE65C" w14:textId="77777777" w:rsidR="00664501" w:rsidRPr="00470002" w:rsidRDefault="00664501" w:rsidP="00C76959">
            <w:pPr>
              <w:rPr>
                <w:rFonts w:ascii="Arial Narrow" w:hAnsi="Arial Narrow"/>
                <w:color w:val="333333"/>
                <w:sz w:val="20"/>
                <w:szCs w:val="20"/>
              </w:rPr>
            </w:pPr>
            <w:r w:rsidRPr="00470002">
              <w:rPr>
                <w:rFonts w:ascii="Arial Narrow" w:hAnsi="Arial Narrow"/>
                <w:b/>
                <w:bCs/>
                <w:color w:val="333333"/>
                <w:sz w:val="20"/>
                <w:szCs w:val="20"/>
              </w:rPr>
              <w:t>Indication:</w:t>
            </w:r>
            <w:r w:rsidRPr="00470002">
              <w:rPr>
                <w:rFonts w:ascii="Arial Narrow" w:hAnsi="Arial Narrow"/>
                <w:bCs/>
                <w:color w:val="333333"/>
                <w:sz w:val="20"/>
                <w:szCs w:val="20"/>
              </w:rPr>
              <w:t xml:space="preserve"> Stage IIIB (locally advanced) or IV (metastatic) </w:t>
            </w:r>
            <w:r w:rsidRPr="00470002">
              <w:rPr>
                <w:rFonts w:ascii="Arial Narrow" w:hAnsi="Arial Narrow"/>
                <w:bCs/>
                <w:strike/>
                <w:color w:val="333333"/>
                <w:sz w:val="20"/>
                <w:szCs w:val="20"/>
              </w:rPr>
              <w:t>epidermal growth factor receptor (EGFR) exon 20 insertion positive</w:t>
            </w:r>
            <w:r w:rsidRPr="00470002">
              <w:rPr>
                <w:rFonts w:ascii="Arial Narrow" w:hAnsi="Arial Narrow"/>
                <w:bCs/>
                <w:color w:val="333333"/>
                <w:sz w:val="20"/>
                <w:szCs w:val="20"/>
              </w:rPr>
              <w:t xml:space="preserve"> non-small cell lung cancer (NSCLC) </w:t>
            </w:r>
            <w:r w:rsidRPr="00470002">
              <w:rPr>
                <w:rFonts w:ascii="Arial Narrow" w:hAnsi="Arial Narrow"/>
                <w:bCs/>
                <w:strike/>
                <w:color w:val="333333"/>
                <w:sz w:val="20"/>
                <w:szCs w:val="20"/>
              </w:rPr>
              <w:t>previously treated with platinum-based chemotherapy</w:t>
            </w:r>
            <w:r w:rsidRPr="00470002">
              <w:rPr>
                <w:rFonts w:ascii="Arial Narrow" w:hAnsi="Arial Narrow"/>
                <w:bCs/>
                <w:color w:val="333333"/>
                <w:sz w:val="20"/>
                <w:szCs w:val="20"/>
              </w:rPr>
              <w:t>.</w:t>
            </w:r>
          </w:p>
        </w:tc>
      </w:tr>
      <w:tr w:rsidR="00205763" w:rsidRPr="00470002" w14:paraId="1F81BF91" w14:textId="77777777" w:rsidTr="00664501">
        <w:tc>
          <w:tcPr>
            <w:tcW w:w="5000" w:type="pct"/>
            <w:vAlign w:val="center"/>
          </w:tcPr>
          <w:p w14:paraId="2E2A1559" w14:textId="77777777" w:rsidR="00205763" w:rsidRPr="00470002" w:rsidRDefault="00205763" w:rsidP="00C76959">
            <w:pPr>
              <w:rPr>
                <w:rFonts w:ascii="Arial Narrow" w:hAnsi="Arial Narrow"/>
                <w:b/>
                <w:bCs/>
                <w:color w:val="333333"/>
                <w:sz w:val="20"/>
                <w:szCs w:val="20"/>
              </w:rPr>
            </w:pPr>
          </w:p>
        </w:tc>
      </w:tr>
      <w:tr w:rsidR="00664501" w:rsidRPr="00470002" w14:paraId="01D88EBF" w14:textId="77777777" w:rsidTr="00664501">
        <w:tc>
          <w:tcPr>
            <w:tcW w:w="5000" w:type="pct"/>
            <w:vAlign w:val="center"/>
            <w:hideMark/>
          </w:tcPr>
          <w:p w14:paraId="198E4422" w14:textId="77777777" w:rsidR="00664501" w:rsidRPr="00470002" w:rsidRDefault="00664501" w:rsidP="00C76959">
            <w:pPr>
              <w:rPr>
                <w:rFonts w:ascii="Arial Narrow" w:hAnsi="Arial Narrow"/>
                <w:color w:val="333333"/>
                <w:sz w:val="20"/>
                <w:szCs w:val="20"/>
              </w:rPr>
            </w:pPr>
            <w:r w:rsidRPr="00470002">
              <w:rPr>
                <w:rFonts w:ascii="Arial Narrow" w:hAnsi="Arial Narrow"/>
                <w:b/>
                <w:bCs/>
                <w:color w:val="333333"/>
                <w:sz w:val="20"/>
                <w:szCs w:val="20"/>
              </w:rPr>
              <w:t>Treatment Phase:</w:t>
            </w:r>
            <w:r w:rsidRPr="00470002">
              <w:rPr>
                <w:rFonts w:ascii="Arial Narrow" w:hAnsi="Arial Narrow"/>
                <w:color w:val="333333"/>
                <w:sz w:val="20"/>
                <w:szCs w:val="20"/>
              </w:rPr>
              <w:t xml:space="preserve"> Initial PBS-subsidised treatment</w:t>
            </w:r>
          </w:p>
        </w:tc>
      </w:tr>
      <w:tr w:rsidR="00205763" w:rsidRPr="00470002" w14:paraId="4F5711CF" w14:textId="77777777" w:rsidTr="00664501">
        <w:tc>
          <w:tcPr>
            <w:tcW w:w="5000" w:type="pct"/>
            <w:vAlign w:val="center"/>
          </w:tcPr>
          <w:p w14:paraId="1B60101E" w14:textId="77777777" w:rsidR="00205763" w:rsidRPr="00470002" w:rsidRDefault="00205763" w:rsidP="00C76959">
            <w:pPr>
              <w:rPr>
                <w:rFonts w:ascii="Arial Narrow" w:hAnsi="Arial Narrow"/>
                <w:b/>
                <w:bCs/>
                <w:color w:val="333333"/>
                <w:sz w:val="20"/>
                <w:szCs w:val="20"/>
              </w:rPr>
            </w:pPr>
          </w:p>
        </w:tc>
      </w:tr>
      <w:tr w:rsidR="00664501" w:rsidRPr="00470002" w14:paraId="1DC4C688" w14:textId="77777777" w:rsidTr="00664501">
        <w:tc>
          <w:tcPr>
            <w:tcW w:w="5000" w:type="pct"/>
            <w:vAlign w:val="center"/>
            <w:hideMark/>
          </w:tcPr>
          <w:p w14:paraId="5E8B36DE" w14:textId="77777777" w:rsidR="00664501" w:rsidRPr="00470002" w:rsidRDefault="00664501" w:rsidP="00C76959">
            <w:pPr>
              <w:rPr>
                <w:rFonts w:ascii="Arial Narrow" w:hAnsi="Arial Narrow"/>
                <w:color w:val="333333"/>
                <w:sz w:val="20"/>
                <w:szCs w:val="20"/>
              </w:rPr>
            </w:pPr>
            <w:r w:rsidRPr="00470002">
              <w:rPr>
                <w:rFonts w:ascii="Arial Narrow" w:hAnsi="Arial Narrow"/>
                <w:b/>
                <w:bCs/>
                <w:color w:val="333333"/>
                <w:sz w:val="20"/>
                <w:szCs w:val="20"/>
              </w:rPr>
              <w:t>Clinical criteria</w:t>
            </w:r>
          </w:p>
        </w:tc>
      </w:tr>
      <w:tr w:rsidR="00664501" w:rsidRPr="00470002" w14:paraId="0F3F8D37" w14:textId="77777777" w:rsidTr="00664501">
        <w:tc>
          <w:tcPr>
            <w:tcW w:w="5000" w:type="pct"/>
            <w:vAlign w:val="center"/>
          </w:tcPr>
          <w:p w14:paraId="3F93415E" w14:textId="77777777" w:rsidR="00664501" w:rsidRPr="00470002" w:rsidRDefault="00664501" w:rsidP="00C76959">
            <w:pPr>
              <w:rPr>
                <w:rFonts w:ascii="Arial Narrow" w:hAnsi="Arial Narrow"/>
                <w:color w:val="333333"/>
                <w:sz w:val="20"/>
                <w:szCs w:val="20"/>
              </w:rPr>
            </w:pPr>
            <w:r w:rsidRPr="00470002">
              <w:rPr>
                <w:rFonts w:ascii="Arial Narrow" w:hAnsi="Arial Narrow"/>
                <w:color w:val="333333"/>
                <w:sz w:val="20"/>
                <w:szCs w:val="20"/>
              </w:rPr>
              <w:t>The treatment must be the sole PBS-subsidised therapy for this condition</w:t>
            </w:r>
          </w:p>
        </w:tc>
      </w:tr>
      <w:tr w:rsidR="00664501" w:rsidRPr="00470002" w14:paraId="62FC9526" w14:textId="77777777" w:rsidTr="00664501">
        <w:tc>
          <w:tcPr>
            <w:tcW w:w="5000" w:type="pct"/>
            <w:vAlign w:val="center"/>
            <w:hideMark/>
          </w:tcPr>
          <w:p w14:paraId="26674631" w14:textId="77777777" w:rsidR="00664501" w:rsidRPr="00470002" w:rsidRDefault="00664501" w:rsidP="00C76959">
            <w:pPr>
              <w:rPr>
                <w:rFonts w:ascii="Arial Narrow" w:hAnsi="Arial Narrow"/>
                <w:color w:val="333333"/>
                <w:sz w:val="20"/>
                <w:szCs w:val="20"/>
              </w:rPr>
            </w:pPr>
            <w:r w:rsidRPr="00470002">
              <w:rPr>
                <w:rFonts w:ascii="Arial Narrow" w:hAnsi="Arial Narrow"/>
                <w:b/>
                <w:bCs/>
                <w:color w:val="333333"/>
                <w:sz w:val="20"/>
                <w:szCs w:val="20"/>
              </w:rPr>
              <w:t>AND</w:t>
            </w:r>
          </w:p>
        </w:tc>
      </w:tr>
      <w:tr w:rsidR="00664501" w:rsidRPr="00470002" w14:paraId="18449D6B" w14:textId="77777777" w:rsidTr="00664501">
        <w:tc>
          <w:tcPr>
            <w:tcW w:w="5000" w:type="pct"/>
            <w:vAlign w:val="center"/>
          </w:tcPr>
          <w:p w14:paraId="10E40FF3" w14:textId="77777777" w:rsidR="00664501" w:rsidRPr="00470002" w:rsidRDefault="00664501" w:rsidP="00C76959">
            <w:pPr>
              <w:rPr>
                <w:rFonts w:ascii="Arial Narrow" w:hAnsi="Arial Narrow"/>
                <w:b/>
                <w:bCs/>
                <w:i/>
                <w:iCs/>
                <w:color w:val="333333"/>
                <w:sz w:val="20"/>
                <w:szCs w:val="20"/>
              </w:rPr>
            </w:pPr>
            <w:r w:rsidRPr="00470002">
              <w:rPr>
                <w:rFonts w:ascii="Arial Narrow" w:hAnsi="Arial Narrow"/>
                <w:b/>
                <w:bCs/>
                <w:i/>
                <w:iCs/>
                <w:color w:val="333333"/>
                <w:sz w:val="20"/>
                <w:szCs w:val="20"/>
              </w:rPr>
              <w:t>Clinical criteria</w:t>
            </w:r>
          </w:p>
        </w:tc>
      </w:tr>
      <w:tr w:rsidR="00664501" w:rsidRPr="00470002" w14:paraId="690EC9A3" w14:textId="77777777" w:rsidTr="00664501">
        <w:tc>
          <w:tcPr>
            <w:tcW w:w="5000" w:type="pct"/>
            <w:vAlign w:val="center"/>
            <w:hideMark/>
          </w:tcPr>
          <w:p w14:paraId="140398EF" w14:textId="77777777" w:rsidR="00664501" w:rsidRPr="00470002" w:rsidRDefault="00664501" w:rsidP="00C76959">
            <w:pPr>
              <w:rPr>
                <w:rFonts w:ascii="Arial Narrow" w:hAnsi="Arial Narrow"/>
                <w:strike/>
                <w:color w:val="333333"/>
                <w:sz w:val="20"/>
                <w:szCs w:val="20"/>
              </w:rPr>
            </w:pPr>
            <w:r w:rsidRPr="00470002">
              <w:rPr>
                <w:rFonts w:ascii="Arial Narrow" w:hAnsi="Arial Narrow"/>
                <w:color w:val="333333"/>
                <w:sz w:val="20"/>
                <w:szCs w:val="20"/>
              </w:rPr>
              <w:t>Patient must have</w:t>
            </w:r>
            <w:r w:rsidRPr="00470002">
              <w:rPr>
                <w:rFonts w:ascii="Arial Narrow" w:hAnsi="Arial Narrow"/>
                <w:i/>
                <w:iCs/>
                <w:color w:val="333333"/>
                <w:sz w:val="20"/>
                <w:szCs w:val="20"/>
              </w:rPr>
              <w:t>/have had</w:t>
            </w:r>
            <w:r w:rsidRPr="00470002">
              <w:rPr>
                <w:rFonts w:ascii="Arial Narrow" w:hAnsi="Arial Narrow"/>
                <w:color w:val="333333"/>
                <w:sz w:val="20"/>
                <w:szCs w:val="20"/>
              </w:rPr>
              <w:t xml:space="preserve"> </w:t>
            </w:r>
            <w:r w:rsidRPr="00470002">
              <w:rPr>
                <w:rFonts w:ascii="Arial Narrow" w:hAnsi="Arial Narrow"/>
                <w:i/>
                <w:iCs/>
                <w:color w:val="333333"/>
                <w:sz w:val="20"/>
                <w:szCs w:val="20"/>
              </w:rPr>
              <w:t xml:space="preserve">a WHO performance status of 0 or 1 prior to initiation of treatment with this drug for this condition </w:t>
            </w:r>
            <w:r w:rsidRPr="00470002">
              <w:rPr>
                <w:rFonts w:ascii="Arial Narrow" w:hAnsi="Arial Narrow"/>
                <w:strike/>
                <w:color w:val="333333"/>
                <w:sz w:val="20"/>
                <w:szCs w:val="20"/>
              </w:rPr>
              <w:t>an ECOG performance status of 1 or less</w:t>
            </w:r>
          </w:p>
        </w:tc>
      </w:tr>
      <w:tr w:rsidR="00664501" w:rsidRPr="00470002" w14:paraId="0119D547" w14:textId="77777777" w:rsidTr="00664501">
        <w:tc>
          <w:tcPr>
            <w:tcW w:w="5000" w:type="pct"/>
            <w:vAlign w:val="center"/>
            <w:hideMark/>
          </w:tcPr>
          <w:p w14:paraId="5ED3DEDE" w14:textId="77777777" w:rsidR="00664501" w:rsidRPr="00470002" w:rsidRDefault="00664501" w:rsidP="00C76959">
            <w:pPr>
              <w:rPr>
                <w:rFonts w:ascii="Arial Narrow" w:hAnsi="Arial Narrow"/>
                <w:color w:val="333333"/>
                <w:sz w:val="20"/>
                <w:szCs w:val="20"/>
              </w:rPr>
            </w:pPr>
            <w:r w:rsidRPr="00470002">
              <w:rPr>
                <w:rFonts w:ascii="Arial Narrow" w:hAnsi="Arial Narrow"/>
                <w:b/>
                <w:bCs/>
                <w:color w:val="333333"/>
                <w:sz w:val="20"/>
                <w:szCs w:val="20"/>
              </w:rPr>
              <w:t>AND</w:t>
            </w:r>
          </w:p>
        </w:tc>
      </w:tr>
      <w:tr w:rsidR="00664501" w:rsidRPr="00470002" w14:paraId="2EFCF2ED" w14:textId="77777777" w:rsidTr="00664501">
        <w:tc>
          <w:tcPr>
            <w:tcW w:w="5000" w:type="pct"/>
            <w:vAlign w:val="center"/>
          </w:tcPr>
          <w:p w14:paraId="40FFC387" w14:textId="77777777" w:rsidR="00664501" w:rsidRPr="00470002" w:rsidRDefault="00664501" w:rsidP="00C76959">
            <w:pPr>
              <w:rPr>
                <w:rFonts w:ascii="Arial Narrow" w:hAnsi="Arial Narrow"/>
                <w:b/>
                <w:bCs/>
                <w:color w:val="333333"/>
                <w:sz w:val="20"/>
                <w:szCs w:val="20"/>
              </w:rPr>
            </w:pPr>
            <w:r w:rsidRPr="00470002">
              <w:rPr>
                <w:rFonts w:ascii="Arial Narrow" w:hAnsi="Arial Narrow"/>
                <w:b/>
                <w:bCs/>
                <w:i/>
                <w:iCs/>
                <w:color w:val="333333"/>
                <w:sz w:val="20"/>
                <w:szCs w:val="20"/>
              </w:rPr>
              <w:lastRenderedPageBreak/>
              <w:t>Clinical criteria</w:t>
            </w:r>
          </w:p>
        </w:tc>
      </w:tr>
      <w:tr w:rsidR="00664501" w:rsidRPr="00470002" w14:paraId="12B1DA14" w14:textId="77777777" w:rsidTr="00664501">
        <w:tc>
          <w:tcPr>
            <w:tcW w:w="5000" w:type="pct"/>
            <w:vAlign w:val="center"/>
            <w:hideMark/>
          </w:tcPr>
          <w:p w14:paraId="5A087D0A" w14:textId="77777777" w:rsidR="00664501" w:rsidRPr="00470002" w:rsidRDefault="00664501" w:rsidP="00C76959">
            <w:pPr>
              <w:rPr>
                <w:rFonts w:ascii="Arial Narrow" w:hAnsi="Arial Narrow"/>
                <w:color w:val="333333"/>
                <w:sz w:val="20"/>
                <w:szCs w:val="20"/>
              </w:rPr>
            </w:pPr>
            <w:r w:rsidRPr="00470002">
              <w:rPr>
                <w:rFonts w:ascii="Arial Narrow" w:hAnsi="Arial Narrow"/>
                <w:color w:val="333333"/>
                <w:sz w:val="20"/>
                <w:szCs w:val="20"/>
              </w:rPr>
              <w:t>Patient must not have previously received this drug for this condition; OR</w:t>
            </w:r>
          </w:p>
        </w:tc>
      </w:tr>
      <w:tr w:rsidR="00664501" w:rsidRPr="00470002" w14:paraId="18363FD6" w14:textId="77777777" w:rsidTr="00664501">
        <w:tc>
          <w:tcPr>
            <w:tcW w:w="5000" w:type="pct"/>
            <w:vAlign w:val="center"/>
          </w:tcPr>
          <w:p w14:paraId="65E4DE6F" w14:textId="77777777" w:rsidR="00664501" w:rsidRPr="00470002" w:rsidRDefault="00664501" w:rsidP="00C76959">
            <w:pPr>
              <w:rPr>
                <w:rFonts w:ascii="Arial Narrow" w:hAnsi="Arial Narrow"/>
                <w:i/>
                <w:iCs/>
                <w:color w:val="333333"/>
                <w:sz w:val="20"/>
                <w:szCs w:val="20"/>
              </w:rPr>
            </w:pPr>
            <w:r w:rsidRPr="00470002">
              <w:rPr>
                <w:rFonts w:ascii="Arial Narrow" w:hAnsi="Arial Narrow"/>
                <w:i/>
                <w:iCs/>
                <w:color w:val="333333"/>
                <w:sz w:val="20"/>
                <w:szCs w:val="20"/>
              </w:rPr>
              <w:t xml:space="preserve">Patient must be each of: (i) currently receiving non-PBS subsidised supply for this drug for this PBS indication, (ii) untreated with this drug at the time that non-PBS subsidised supply was commenced, (iii) free of disease progression since commencing non-PBS subsidised supply </w:t>
            </w:r>
          </w:p>
        </w:tc>
      </w:tr>
      <w:tr w:rsidR="00664501" w:rsidRPr="00470002" w14:paraId="5496C6CA" w14:textId="77777777" w:rsidTr="00664501">
        <w:tc>
          <w:tcPr>
            <w:tcW w:w="5000" w:type="pct"/>
            <w:vAlign w:val="center"/>
            <w:hideMark/>
          </w:tcPr>
          <w:p w14:paraId="33D02E8E" w14:textId="77777777" w:rsidR="00664501" w:rsidRPr="00470002" w:rsidRDefault="00664501" w:rsidP="00C76959">
            <w:pPr>
              <w:rPr>
                <w:rFonts w:ascii="Arial Narrow" w:hAnsi="Arial Narrow"/>
                <w:color w:val="333333"/>
                <w:sz w:val="20"/>
                <w:szCs w:val="20"/>
              </w:rPr>
            </w:pPr>
            <w:r w:rsidRPr="00470002">
              <w:rPr>
                <w:rFonts w:ascii="Arial Narrow" w:hAnsi="Arial Narrow"/>
                <w:b/>
                <w:bCs/>
                <w:color w:val="333333"/>
                <w:sz w:val="20"/>
                <w:szCs w:val="20"/>
              </w:rPr>
              <w:t>AND</w:t>
            </w:r>
          </w:p>
        </w:tc>
      </w:tr>
      <w:tr w:rsidR="00664501" w:rsidRPr="00470002" w14:paraId="24160BB8" w14:textId="77777777" w:rsidTr="00664501">
        <w:tc>
          <w:tcPr>
            <w:tcW w:w="5000" w:type="pct"/>
            <w:vAlign w:val="center"/>
          </w:tcPr>
          <w:p w14:paraId="579256BA" w14:textId="77777777" w:rsidR="00664501" w:rsidRPr="00470002" w:rsidRDefault="00664501" w:rsidP="00C76959">
            <w:pPr>
              <w:rPr>
                <w:rFonts w:ascii="Arial Narrow" w:hAnsi="Arial Narrow"/>
                <w:b/>
                <w:bCs/>
                <w:color w:val="333333"/>
                <w:sz w:val="20"/>
                <w:szCs w:val="20"/>
              </w:rPr>
            </w:pPr>
            <w:r w:rsidRPr="00470002">
              <w:rPr>
                <w:rFonts w:ascii="Arial Narrow" w:hAnsi="Arial Narrow"/>
                <w:b/>
                <w:bCs/>
                <w:i/>
                <w:iCs/>
                <w:color w:val="333333"/>
                <w:sz w:val="20"/>
                <w:szCs w:val="20"/>
              </w:rPr>
              <w:t>Clinical criteria</w:t>
            </w:r>
          </w:p>
        </w:tc>
      </w:tr>
      <w:tr w:rsidR="00664501" w:rsidRPr="00470002" w14:paraId="0938FF9B" w14:textId="77777777" w:rsidTr="00664501">
        <w:tc>
          <w:tcPr>
            <w:tcW w:w="5000" w:type="pct"/>
            <w:vAlign w:val="center"/>
            <w:hideMark/>
          </w:tcPr>
          <w:p w14:paraId="439D6BAF" w14:textId="77777777" w:rsidR="00664501" w:rsidRPr="00470002" w:rsidRDefault="00664501" w:rsidP="00C76959">
            <w:pPr>
              <w:rPr>
                <w:rFonts w:ascii="Arial Narrow" w:hAnsi="Arial Narrow"/>
                <w:color w:val="333333"/>
                <w:sz w:val="20"/>
                <w:szCs w:val="20"/>
              </w:rPr>
            </w:pPr>
            <w:r w:rsidRPr="00470002">
              <w:rPr>
                <w:rFonts w:ascii="Arial Narrow" w:hAnsi="Arial Narrow"/>
                <w:color w:val="333333"/>
                <w:sz w:val="20"/>
                <w:szCs w:val="20"/>
              </w:rPr>
              <w:t>The condition must be non-squamous type non-small cell lung cancer (NSCLC) or not otherwise specified type NSCLC</w:t>
            </w:r>
          </w:p>
        </w:tc>
      </w:tr>
      <w:tr w:rsidR="00664501" w:rsidRPr="00470002" w14:paraId="0B81EB5C" w14:textId="77777777" w:rsidTr="00664501">
        <w:tc>
          <w:tcPr>
            <w:tcW w:w="5000" w:type="pct"/>
            <w:vAlign w:val="center"/>
            <w:hideMark/>
          </w:tcPr>
          <w:p w14:paraId="5E01F0DB" w14:textId="77777777" w:rsidR="00664501" w:rsidRPr="00470002" w:rsidRDefault="00664501" w:rsidP="00C76959">
            <w:pPr>
              <w:rPr>
                <w:rFonts w:ascii="Arial Narrow" w:hAnsi="Arial Narrow"/>
                <w:color w:val="333333"/>
                <w:sz w:val="20"/>
                <w:szCs w:val="20"/>
              </w:rPr>
            </w:pPr>
            <w:r w:rsidRPr="00470002">
              <w:rPr>
                <w:rFonts w:ascii="Arial Narrow" w:hAnsi="Arial Narrow"/>
                <w:b/>
                <w:bCs/>
                <w:color w:val="333333"/>
                <w:sz w:val="20"/>
                <w:szCs w:val="20"/>
              </w:rPr>
              <w:t>AND</w:t>
            </w:r>
          </w:p>
        </w:tc>
      </w:tr>
      <w:tr w:rsidR="00664501" w:rsidRPr="00470002" w14:paraId="5EAEEFC8" w14:textId="77777777" w:rsidTr="00664501">
        <w:tc>
          <w:tcPr>
            <w:tcW w:w="5000" w:type="pct"/>
            <w:vAlign w:val="center"/>
          </w:tcPr>
          <w:p w14:paraId="2D7438AC" w14:textId="77777777" w:rsidR="00664501" w:rsidRPr="00470002" w:rsidRDefault="00664501" w:rsidP="00C76959">
            <w:pPr>
              <w:rPr>
                <w:rFonts w:ascii="Arial Narrow" w:hAnsi="Arial Narrow"/>
                <w:b/>
                <w:bCs/>
                <w:color w:val="333333"/>
                <w:sz w:val="20"/>
                <w:szCs w:val="20"/>
              </w:rPr>
            </w:pPr>
            <w:r w:rsidRPr="00470002">
              <w:rPr>
                <w:rFonts w:ascii="Arial Narrow" w:hAnsi="Arial Narrow"/>
                <w:b/>
                <w:bCs/>
                <w:i/>
                <w:iCs/>
                <w:color w:val="333333"/>
                <w:sz w:val="20"/>
                <w:szCs w:val="20"/>
              </w:rPr>
              <w:t>Clinical criteria</w:t>
            </w:r>
          </w:p>
        </w:tc>
      </w:tr>
      <w:tr w:rsidR="00664501" w:rsidRPr="00470002" w14:paraId="7A06362D" w14:textId="77777777" w:rsidTr="00664501">
        <w:tc>
          <w:tcPr>
            <w:tcW w:w="5000" w:type="pct"/>
            <w:vAlign w:val="center"/>
            <w:hideMark/>
          </w:tcPr>
          <w:p w14:paraId="241CA582" w14:textId="77777777" w:rsidR="00664501" w:rsidRPr="00470002" w:rsidRDefault="00664501" w:rsidP="00C76959">
            <w:pPr>
              <w:rPr>
                <w:rFonts w:ascii="Arial Narrow" w:hAnsi="Arial Narrow"/>
                <w:color w:val="333333"/>
                <w:sz w:val="20"/>
                <w:szCs w:val="20"/>
              </w:rPr>
            </w:pPr>
            <w:r w:rsidRPr="00470002">
              <w:rPr>
                <w:rFonts w:ascii="Arial Narrow" w:hAnsi="Arial Narrow"/>
                <w:strike/>
                <w:color w:val="333333"/>
                <w:sz w:val="20"/>
                <w:szCs w:val="20"/>
              </w:rPr>
              <w:t>The condition must have progressed on or after platinum-based chemotherapy</w:t>
            </w:r>
            <w:r w:rsidRPr="00470002">
              <w:rPr>
                <w:rFonts w:ascii="Arial Narrow" w:hAnsi="Arial Narrow"/>
                <w:color w:val="333333"/>
                <w:sz w:val="20"/>
                <w:szCs w:val="20"/>
              </w:rPr>
              <w:t xml:space="preserve"> </w:t>
            </w:r>
            <w:r w:rsidRPr="00470002">
              <w:rPr>
                <w:rFonts w:ascii="Arial Narrow" w:hAnsi="Arial Narrow"/>
                <w:i/>
                <w:iCs/>
                <w:color w:val="333333"/>
                <w:sz w:val="20"/>
                <w:szCs w:val="20"/>
              </w:rPr>
              <w:t>Patient must have had progressive disease following platinum-based chemotherapy</w:t>
            </w:r>
          </w:p>
        </w:tc>
      </w:tr>
      <w:tr w:rsidR="00664501" w:rsidRPr="00470002" w14:paraId="6FE036AF" w14:textId="77777777" w:rsidTr="00664501">
        <w:tc>
          <w:tcPr>
            <w:tcW w:w="5000" w:type="pct"/>
            <w:vAlign w:val="center"/>
            <w:hideMark/>
          </w:tcPr>
          <w:p w14:paraId="0FDB6C8E" w14:textId="77777777" w:rsidR="00664501" w:rsidRPr="00470002" w:rsidRDefault="00664501" w:rsidP="00C76959">
            <w:pPr>
              <w:rPr>
                <w:rFonts w:ascii="Arial Narrow" w:hAnsi="Arial Narrow"/>
                <w:color w:val="333333"/>
                <w:sz w:val="20"/>
                <w:szCs w:val="20"/>
              </w:rPr>
            </w:pPr>
            <w:r w:rsidRPr="00470002">
              <w:rPr>
                <w:rFonts w:ascii="Arial Narrow" w:hAnsi="Arial Narrow"/>
                <w:b/>
                <w:bCs/>
                <w:color w:val="333333"/>
                <w:sz w:val="20"/>
                <w:szCs w:val="20"/>
              </w:rPr>
              <w:t>AND</w:t>
            </w:r>
          </w:p>
        </w:tc>
      </w:tr>
      <w:tr w:rsidR="00664501" w:rsidRPr="00470002" w14:paraId="42481DC5" w14:textId="77777777" w:rsidTr="00664501">
        <w:tc>
          <w:tcPr>
            <w:tcW w:w="5000" w:type="pct"/>
            <w:vAlign w:val="center"/>
          </w:tcPr>
          <w:p w14:paraId="7316870E" w14:textId="77777777" w:rsidR="00664501" w:rsidRPr="00470002" w:rsidRDefault="00664501" w:rsidP="00C76959">
            <w:pPr>
              <w:rPr>
                <w:rFonts w:ascii="Arial Narrow" w:hAnsi="Arial Narrow"/>
                <w:b/>
                <w:bCs/>
                <w:color w:val="333333"/>
                <w:sz w:val="20"/>
                <w:szCs w:val="20"/>
              </w:rPr>
            </w:pPr>
            <w:r w:rsidRPr="00470002">
              <w:rPr>
                <w:rFonts w:ascii="Arial Narrow" w:hAnsi="Arial Narrow"/>
                <w:b/>
                <w:bCs/>
                <w:i/>
                <w:iCs/>
                <w:color w:val="333333"/>
                <w:sz w:val="20"/>
                <w:szCs w:val="20"/>
              </w:rPr>
              <w:t>Clinical criteria</w:t>
            </w:r>
          </w:p>
        </w:tc>
      </w:tr>
      <w:tr w:rsidR="00664501" w:rsidRPr="00470002" w14:paraId="3FFE7F68" w14:textId="77777777" w:rsidTr="00664501">
        <w:tc>
          <w:tcPr>
            <w:tcW w:w="5000" w:type="pct"/>
            <w:vAlign w:val="center"/>
            <w:hideMark/>
          </w:tcPr>
          <w:p w14:paraId="2E8BB07D" w14:textId="77777777" w:rsidR="00664501" w:rsidRPr="00470002" w:rsidRDefault="00664501" w:rsidP="00C76959">
            <w:pPr>
              <w:rPr>
                <w:rFonts w:ascii="Arial Narrow" w:hAnsi="Arial Narrow"/>
                <w:color w:val="333333"/>
                <w:sz w:val="20"/>
                <w:szCs w:val="20"/>
              </w:rPr>
            </w:pPr>
            <w:r w:rsidRPr="00470002">
              <w:rPr>
                <w:rFonts w:ascii="Arial Narrow" w:hAnsi="Arial Narrow"/>
                <w:color w:val="333333"/>
                <w:sz w:val="20"/>
                <w:szCs w:val="20"/>
              </w:rPr>
              <w:t>Patient must have evidence in tumour material of an activating epidermal growth factor receptor (EGFR) exon 20 insertion mutation</w:t>
            </w:r>
          </w:p>
        </w:tc>
      </w:tr>
      <w:tr w:rsidR="00205763" w:rsidRPr="00470002" w14:paraId="7943D13E" w14:textId="77777777" w:rsidTr="00664501">
        <w:tc>
          <w:tcPr>
            <w:tcW w:w="5000" w:type="pct"/>
            <w:vAlign w:val="center"/>
          </w:tcPr>
          <w:p w14:paraId="402F7FBA" w14:textId="77777777" w:rsidR="00205763" w:rsidRPr="00470002" w:rsidRDefault="00205763" w:rsidP="00C76959">
            <w:pPr>
              <w:rPr>
                <w:rFonts w:ascii="Arial Narrow" w:hAnsi="Arial Narrow"/>
                <w:color w:val="333333"/>
                <w:sz w:val="20"/>
                <w:szCs w:val="20"/>
              </w:rPr>
            </w:pPr>
          </w:p>
        </w:tc>
      </w:tr>
      <w:tr w:rsidR="00664501" w:rsidRPr="00470002" w14:paraId="09BA392B" w14:textId="77777777" w:rsidTr="00664501">
        <w:tc>
          <w:tcPr>
            <w:tcW w:w="5000" w:type="pct"/>
            <w:vAlign w:val="center"/>
            <w:hideMark/>
          </w:tcPr>
          <w:p w14:paraId="0E5728A8" w14:textId="77777777" w:rsidR="00664501" w:rsidRPr="00470002" w:rsidRDefault="00664501" w:rsidP="00C76959">
            <w:pPr>
              <w:rPr>
                <w:rFonts w:ascii="Arial Narrow" w:hAnsi="Arial Narrow"/>
                <w:color w:val="333333"/>
                <w:sz w:val="20"/>
                <w:szCs w:val="20"/>
              </w:rPr>
            </w:pPr>
            <w:r w:rsidRPr="00470002">
              <w:rPr>
                <w:rFonts w:ascii="Arial Narrow" w:hAnsi="Arial Narrow"/>
                <w:b/>
                <w:bCs/>
                <w:color w:val="333333"/>
                <w:sz w:val="20"/>
                <w:szCs w:val="20"/>
              </w:rPr>
              <w:t xml:space="preserve">Administrative Advice: </w:t>
            </w:r>
            <w:r w:rsidRPr="00470002">
              <w:rPr>
                <w:rFonts w:ascii="Arial Narrow" w:hAnsi="Arial Narrow"/>
                <w:color w:val="333333"/>
                <w:sz w:val="20"/>
                <w:szCs w:val="20"/>
              </w:rPr>
              <w:t>A patient may only qualify for PBS-subsidised treatment under this restriction once.</w:t>
            </w:r>
          </w:p>
          <w:p w14:paraId="40BF6609" w14:textId="77777777" w:rsidR="00664501" w:rsidRPr="00470002" w:rsidRDefault="00664501" w:rsidP="00C76959">
            <w:pPr>
              <w:rPr>
                <w:rFonts w:ascii="Arial Narrow" w:hAnsi="Arial Narrow"/>
                <w:color w:val="333333"/>
                <w:sz w:val="20"/>
                <w:szCs w:val="20"/>
              </w:rPr>
            </w:pPr>
            <w:r w:rsidRPr="00470002">
              <w:rPr>
                <w:rFonts w:ascii="Arial Narrow" w:hAnsi="Arial Narrow"/>
                <w:color w:val="333333"/>
                <w:sz w:val="20"/>
                <w:szCs w:val="20"/>
              </w:rPr>
              <w:t>Following completion of the initial PBS-subsidised course, further applications for treatment will be assessed under the continuing treatment restriction.</w:t>
            </w:r>
          </w:p>
        </w:tc>
      </w:tr>
      <w:tr w:rsidR="00664501" w:rsidRPr="00470002" w14:paraId="26292BA8" w14:textId="77777777" w:rsidTr="00664501">
        <w:tc>
          <w:tcPr>
            <w:tcW w:w="5000" w:type="pct"/>
            <w:vAlign w:val="center"/>
          </w:tcPr>
          <w:p w14:paraId="71DF7F72" w14:textId="77777777" w:rsidR="00664501" w:rsidRPr="00470002" w:rsidRDefault="00664501" w:rsidP="00C76959">
            <w:pPr>
              <w:rPr>
                <w:rFonts w:ascii="Arial Narrow" w:hAnsi="Arial Narrow"/>
                <w:b/>
                <w:bCs/>
                <w:color w:val="333333"/>
                <w:sz w:val="20"/>
                <w:szCs w:val="20"/>
              </w:rPr>
            </w:pPr>
            <w:r w:rsidRPr="00470002">
              <w:rPr>
                <w:rFonts w:ascii="Arial Narrow" w:hAnsi="Arial Narrow"/>
                <w:b/>
                <w:bCs/>
                <w:color w:val="333333"/>
                <w:sz w:val="20"/>
                <w:szCs w:val="20"/>
              </w:rPr>
              <w:t xml:space="preserve">Administrative Advice: </w:t>
            </w:r>
            <w:r w:rsidRPr="00470002">
              <w:rPr>
                <w:rFonts w:ascii="Arial Narrow" w:hAnsi="Arial Narrow"/>
                <w:color w:val="333333"/>
                <w:sz w:val="20"/>
                <w:szCs w:val="20"/>
              </w:rPr>
              <w:t>Special Pricing Arrangements apply.</w:t>
            </w:r>
          </w:p>
        </w:tc>
      </w:tr>
      <w:tr w:rsidR="00664501" w:rsidRPr="00470002" w14:paraId="7D6B6763" w14:textId="77777777" w:rsidTr="00664501">
        <w:tc>
          <w:tcPr>
            <w:tcW w:w="5000" w:type="pct"/>
            <w:vAlign w:val="center"/>
          </w:tcPr>
          <w:p w14:paraId="0950D797" w14:textId="77777777" w:rsidR="00664501" w:rsidRPr="00470002" w:rsidRDefault="00664501" w:rsidP="00C76959">
            <w:pPr>
              <w:rPr>
                <w:rFonts w:ascii="Arial Narrow" w:hAnsi="Arial Narrow"/>
                <w:b/>
                <w:bCs/>
                <w:i/>
                <w:iCs/>
                <w:color w:val="333333"/>
                <w:sz w:val="20"/>
                <w:szCs w:val="20"/>
              </w:rPr>
            </w:pPr>
            <w:r w:rsidRPr="00470002">
              <w:rPr>
                <w:rFonts w:ascii="Arial Narrow" w:hAnsi="Arial Narrow"/>
                <w:b/>
                <w:bCs/>
                <w:i/>
                <w:iCs/>
                <w:sz w:val="20"/>
                <w:szCs w:val="20"/>
              </w:rPr>
              <w:t xml:space="preserve">Administrative Advice: </w:t>
            </w:r>
            <w:r w:rsidRPr="00470002">
              <w:rPr>
                <w:rFonts w:ascii="Arial Narrow" w:hAnsi="Arial Narrow"/>
                <w:bCs/>
                <w:i/>
                <w:iCs/>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1C6A2F43" w14:textId="02CC2904" w:rsidR="00470002" w:rsidRPr="00470002" w:rsidRDefault="00470002" w:rsidP="00470002">
      <w:pPr>
        <w:pStyle w:val="Caption"/>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664501" w:rsidRPr="00470002" w14:paraId="2602BE9D" w14:textId="77777777" w:rsidTr="00664501">
        <w:tc>
          <w:tcPr>
            <w:tcW w:w="5000" w:type="pct"/>
            <w:tcBorders>
              <w:top w:val="single" w:sz="4" w:space="0" w:color="auto"/>
              <w:left w:val="single" w:sz="4" w:space="0" w:color="auto"/>
              <w:bottom w:val="single" w:sz="4" w:space="0" w:color="auto"/>
              <w:right w:val="single" w:sz="4" w:space="0" w:color="auto"/>
            </w:tcBorders>
          </w:tcPr>
          <w:p w14:paraId="0D5C38FB" w14:textId="6A694FC3" w:rsidR="00664501" w:rsidRPr="00470002" w:rsidRDefault="00664501" w:rsidP="00C76959">
            <w:pPr>
              <w:jc w:val="both"/>
              <w:rPr>
                <w:rFonts w:ascii="Arial Narrow" w:hAnsi="Arial Narrow" w:cs="Arial"/>
                <w:sz w:val="20"/>
                <w:szCs w:val="20"/>
              </w:rPr>
            </w:pPr>
            <w:r w:rsidRPr="00470002">
              <w:rPr>
                <w:rFonts w:ascii="Arial Narrow" w:hAnsi="Arial Narrow" w:cs="Arial"/>
                <w:b/>
                <w:sz w:val="20"/>
                <w:szCs w:val="20"/>
              </w:rPr>
              <w:t xml:space="preserve">Category / Program:   </w:t>
            </w:r>
            <w:r w:rsidRPr="00470002">
              <w:rPr>
                <w:rFonts w:ascii="Arial Narrow" w:hAnsi="Arial Narrow" w:cs="Arial"/>
                <w:sz w:val="20"/>
                <w:szCs w:val="20"/>
              </w:rPr>
              <w:t>GENERAL – General Schedule (Code GE)</w:t>
            </w:r>
          </w:p>
        </w:tc>
      </w:tr>
      <w:tr w:rsidR="00664501" w:rsidRPr="00470002" w14:paraId="5DA15A4F" w14:textId="77777777" w:rsidTr="00664501">
        <w:trPr>
          <w:trHeight w:val="240"/>
        </w:trPr>
        <w:tc>
          <w:tcPr>
            <w:tcW w:w="5000" w:type="pct"/>
            <w:tcBorders>
              <w:top w:val="single" w:sz="4" w:space="0" w:color="auto"/>
              <w:left w:val="single" w:sz="4" w:space="0" w:color="auto"/>
              <w:bottom w:val="single" w:sz="4" w:space="0" w:color="auto"/>
              <w:right w:val="single" w:sz="4" w:space="0" w:color="auto"/>
            </w:tcBorders>
          </w:tcPr>
          <w:p w14:paraId="7E1DF087" w14:textId="367783BE" w:rsidR="00664501" w:rsidRPr="00470002" w:rsidRDefault="00664501" w:rsidP="00C76959">
            <w:pPr>
              <w:jc w:val="both"/>
              <w:rPr>
                <w:rFonts w:ascii="Arial Narrow" w:hAnsi="Arial Narrow" w:cs="Arial"/>
                <w:b/>
                <w:sz w:val="20"/>
                <w:szCs w:val="20"/>
              </w:rPr>
            </w:pPr>
            <w:r w:rsidRPr="00470002">
              <w:rPr>
                <w:rFonts w:ascii="Arial Narrow" w:hAnsi="Arial Narrow" w:cs="Arial"/>
                <w:b/>
                <w:sz w:val="20"/>
                <w:szCs w:val="20"/>
              </w:rPr>
              <w:t xml:space="preserve">Prescriber type:   </w:t>
            </w:r>
            <w:r w:rsidRPr="00470002">
              <w:rPr>
                <w:rFonts w:ascii="Arial Narrow" w:hAnsi="Arial Narrow" w:cs="Arial"/>
                <w:sz w:val="20"/>
                <w:szCs w:val="20"/>
              </w:rPr>
              <w:fldChar w:fldCharType="begin">
                <w:ffData>
                  <w:name w:val=""/>
                  <w:enabled/>
                  <w:calcOnExit w:val="0"/>
                  <w:checkBox>
                    <w:sizeAuto/>
                    <w:default w:val="1"/>
                  </w:checkBox>
                </w:ffData>
              </w:fldChar>
            </w:r>
            <w:r w:rsidRPr="00470002">
              <w:rPr>
                <w:rFonts w:ascii="Arial Narrow" w:hAnsi="Arial Narrow" w:cs="Arial"/>
                <w:sz w:val="20"/>
                <w:szCs w:val="20"/>
              </w:rPr>
              <w:instrText xml:space="preserve"> FORMCHECKBOX </w:instrText>
            </w:r>
            <w:r w:rsidR="001635D4">
              <w:rPr>
                <w:rFonts w:ascii="Arial Narrow" w:hAnsi="Arial Narrow" w:cs="Arial"/>
                <w:sz w:val="20"/>
                <w:szCs w:val="20"/>
              </w:rPr>
            </w:r>
            <w:r w:rsidR="001635D4">
              <w:rPr>
                <w:rFonts w:ascii="Arial Narrow" w:hAnsi="Arial Narrow" w:cs="Arial"/>
                <w:sz w:val="20"/>
                <w:szCs w:val="20"/>
              </w:rPr>
              <w:fldChar w:fldCharType="separate"/>
            </w:r>
            <w:r w:rsidRPr="00470002">
              <w:rPr>
                <w:rFonts w:ascii="Arial Narrow" w:hAnsi="Arial Narrow" w:cs="Arial"/>
                <w:sz w:val="20"/>
                <w:szCs w:val="20"/>
              </w:rPr>
              <w:fldChar w:fldCharType="end"/>
            </w:r>
            <w:r w:rsidRPr="00470002">
              <w:rPr>
                <w:rFonts w:ascii="Arial Narrow" w:hAnsi="Arial Narrow" w:cs="Arial"/>
                <w:sz w:val="20"/>
                <w:szCs w:val="20"/>
              </w:rPr>
              <w:t xml:space="preserve">Medical Practitioners    </w:t>
            </w:r>
          </w:p>
        </w:tc>
      </w:tr>
      <w:tr w:rsidR="00664501" w:rsidRPr="00470002" w14:paraId="1BF164F2" w14:textId="77777777" w:rsidTr="00664501">
        <w:tc>
          <w:tcPr>
            <w:tcW w:w="5000" w:type="pct"/>
            <w:tcBorders>
              <w:top w:val="single" w:sz="4" w:space="0" w:color="auto"/>
              <w:left w:val="single" w:sz="4" w:space="0" w:color="auto"/>
              <w:bottom w:val="single" w:sz="4" w:space="0" w:color="auto"/>
              <w:right w:val="single" w:sz="4" w:space="0" w:color="auto"/>
            </w:tcBorders>
          </w:tcPr>
          <w:p w14:paraId="6A99A8EB" w14:textId="56BEA268" w:rsidR="00664501" w:rsidRPr="00470002" w:rsidRDefault="00664501" w:rsidP="00C76959">
            <w:pPr>
              <w:jc w:val="both"/>
              <w:rPr>
                <w:rFonts w:ascii="Arial Narrow" w:hAnsi="Arial Narrow" w:cs="Arial"/>
                <w:b/>
                <w:sz w:val="20"/>
                <w:szCs w:val="20"/>
              </w:rPr>
            </w:pPr>
            <w:r w:rsidRPr="00470002">
              <w:rPr>
                <w:rFonts w:ascii="Arial Narrow" w:hAnsi="Arial Narrow" w:cs="Arial"/>
                <w:b/>
                <w:sz w:val="20"/>
                <w:szCs w:val="20"/>
              </w:rPr>
              <w:t xml:space="preserve">Restriction </w:t>
            </w:r>
            <w:r>
              <w:rPr>
                <w:rFonts w:ascii="Arial Narrow" w:hAnsi="Arial Narrow" w:cs="Arial"/>
                <w:b/>
                <w:sz w:val="20"/>
                <w:szCs w:val="20"/>
              </w:rPr>
              <w:t>t</w:t>
            </w:r>
            <w:r w:rsidRPr="00470002">
              <w:rPr>
                <w:rFonts w:ascii="Arial Narrow" w:hAnsi="Arial Narrow" w:cs="Arial"/>
                <w:b/>
                <w:sz w:val="20"/>
                <w:szCs w:val="20"/>
              </w:rPr>
              <w:t>ype</w:t>
            </w:r>
            <w:r>
              <w:rPr>
                <w:rFonts w:ascii="Arial Narrow" w:hAnsi="Arial Narrow" w:cs="Arial"/>
                <w:b/>
                <w:sz w:val="20"/>
                <w:szCs w:val="20"/>
              </w:rPr>
              <w:t>:</w:t>
            </w:r>
          </w:p>
          <w:p w14:paraId="23F227E6" w14:textId="2205E212" w:rsidR="00664501" w:rsidRPr="00470002" w:rsidRDefault="00664501" w:rsidP="00C76959">
            <w:pPr>
              <w:jc w:val="both"/>
              <w:rPr>
                <w:rFonts w:ascii="Arial Narrow" w:eastAsia="Calibri" w:hAnsi="Arial Narrow" w:cs="Arial"/>
                <w:sz w:val="20"/>
                <w:szCs w:val="20"/>
              </w:rPr>
            </w:pPr>
            <w:r w:rsidRPr="00470002">
              <w:rPr>
                <w:rFonts w:ascii="Arial Narrow" w:eastAsia="Calibri" w:hAnsi="Arial Narrow" w:cs="Arial"/>
                <w:sz w:val="20"/>
                <w:szCs w:val="20"/>
              </w:rPr>
              <w:fldChar w:fldCharType="begin">
                <w:ffData>
                  <w:name w:val="Check3"/>
                  <w:enabled/>
                  <w:calcOnExit w:val="0"/>
                  <w:checkBox>
                    <w:sizeAuto/>
                    <w:default w:val="1"/>
                  </w:checkBox>
                </w:ffData>
              </w:fldChar>
            </w:r>
            <w:r w:rsidRPr="00470002">
              <w:rPr>
                <w:rFonts w:ascii="Arial Narrow" w:eastAsia="Calibri" w:hAnsi="Arial Narrow" w:cs="Arial"/>
                <w:sz w:val="20"/>
                <w:szCs w:val="20"/>
              </w:rPr>
              <w:instrText xml:space="preserve"> FORMCHECKBOX </w:instrText>
            </w:r>
            <w:r w:rsidR="001635D4">
              <w:rPr>
                <w:rFonts w:ascii="Arial Narrow" w:eastAsia="Calibri" w:hAnsi="Arial Narrow" w:cs="Arial"/>
                <w:sz w:val="20"/>
                <w:szCs w:val="20"/>
              </w:rPr>
            </w:r>
            <w:r w:rsidR="001635D4">
              <w:rPr>
                <w:rFonts w:ascii="Arial Narrow" w:eastAsia="Calibri" w:hAnsi="Arial Narrow" w:cs="Arial"/>
                <w:sz w:val="20"/>
                <w:szCs w:val="20"/>
              </w:rPr>
              <w:fldChar w:fldCharType="separate"/>
            </w:r>
            <w:r w:rsidRPr="00470002">
              <w:rPr>
                <w:rFonts w:ascii="Arial Narrow" w:eastAsia="Calibri" w:hAnsi="Arial Narrow" w:cs="Arial"/>
                <w:sz w:val="20"/>
                <w:szCs w:val="20"/>
              </w:rPr>
              <w:fldChar w:fldCharType="end"/>
            </w:r>
            <w:r w:rsidRPr="00470002">
              <w:rPr>
                <w:rFonts w:ascii="Arial Narrow" w:eastAsia="Calibri" w:hAnsi="Arial Narrow" w:cs="Arial"/>
                <w:sz w:val="20"/>
                <w:szCs w:val="20"/>
              </w:rPr>
              <w:t>Authority Required (telephone/online application avenues)</w:t>
            </w:r>
          </w:p>
        </w:tc>
      </w:tr>
      <w:tr w:rsidR="00205763" w:rsidRPr="00470002" w14:paraId="63D5C34F" w14:textId="77777777" w:rsidTr="00664501">
        <w:tc>
          <w:tcPr>
            <w:tcW w:w="5000" w:type="pct"/>
            <w:tcBorders>
              <w:top w:val="single" w:sz="4" w:space="0" w:color="auto"/>
              <w:left w:val="single" w:sz="4" w:space="0" w:color="auto"/>
              <w:bottom w:val="single" w:sz="4" w:space="0" w:color="auto"/>
              <w:right w:val="single" w:sz="4" w:space="0" w:color="auto"/>
            </w:tcBorders>
          </w:tcPr>
          <w:p w14:paraId="76317EAE" w14:textId="77777777" w:rsidR="00205763" w:rsidRPr="00470002" w:rsidRDefault="00205763" w:rsidP="00C76959">
            <w:pPr>
              <w:jc w:val="both"/>
              <w:rPr>
                <w:rFonts w:ascii="Arial Narrow" w:hAnsi="Arial Narrow" w:cs="Arial"/>
                <w:b/>
                <w:sz w:val="20"/>
                <w:szCs w:val="20"/>
              </w:rPr>
            </w:pPr>
          </w:p>
        </w:tc>
      </w:tr>
      <w:tr w:rsidR="00664501" w:rsidRPr="00470002" w14:paraId="4604821B" w14:textId="77777777" w:rsidTr="00664501">
        <w:tc>
          <w:tcPr>
            <w:tcW w:w="5000" w:type="pct"/>
            <w:vAlign w:val="center"/>
          </w:tcPr>
          <w:p w14:paraId="03895167" w14:textId="77777777" w:rsidR="00664501" w:rsidRPr="00470002" w:rsidRDefault="00664501" w:rsidP="00C76959">
            <w:pPr>
              <w:rPr>
                <w:rFonts w:ascii="Arial Narrow" w:hAnsi="Arial Narrow"/>
                <w:color w:val="333333"/>
                <w:sz w:val="20"/>
                <w:szCs w:val="20"/>
              </w:rPr>
            </w:pPr>
            <w:r w:rsidRPr="00470002">
              <w:rPr>
                <w:rFonts w:ascii="Arial Narrow" w:hAnsi="Arial Narrow"/>
                <w:b/>
                <w:bCs/>
                <w:color w:val="333333"/>
                <w:sz w:val="20"/>
                <w:szCs w:val="20"/>
              </w:rPr>
              <w:t xml:space="preserve">Administrative Advice: </w:t>
            </w:r>
            <w:r w:rsidRPr="00470002">
              <w:rPr>
                <w:rFonts w:ascii="Arial Narrow" w:hAnsi="Arial Narrow"/>
                <w:color w:val="333333"/>
                <w:sz w:val="20"/>
                <w:szCs w:val="20"/>
              </w:rPr>
              <w:t xml:space="preserve">No increase in the maximum quantity or number of units may be authorised. </w:t>
            </w:r>
          </w:p>
        </w:tc>
      </w:tr>
      <w:tr w:rsidR="00664501" w:rsidRPr="00470002" w14:paraId="3B944DC4" w14:textId="77777777" w:rsidTr="00664501">
        <w:tc>
          <w:tcPr>
            <w:tcW w:w="5000" w:type="pct"/>
            <w:vAlign w:val="center"/>
          </w:tcPr>
          <w:p w14:paraId="3FE47CCB" w14:textId="77777777" w:rsidR="00664501" w:rsidRPr="00470002" w:rsidRDefault="00664501" w:rsidP="00C76959">
            <w:pPr>
              <w:rPr>
                <w:rFonts w:ascii="Arial Narrow" w:hAnsi="Arial Narrow"/>
                <w:b/>
                <w:bCs/>
                <w:color w:val="333333"/>
                <w:sz w:val="20"/>
                <w:szCs w:val="20"/>
              </w:rPr>
            </w:pPr>
            <w:r w:rsidRPr="00470002">
              <w:rPr>
                <w:rFonts w:ascii="Arial Narrow" w:hAnsi="Arial Narrow"/>
                <w:b/>
                <w:bCs/>
                <w:color w:val="333333"/>
                <w:sz w:val="20"/>
                <w:szCs w:val="20"/>
              </w:rPr>
              <w:t xml:space="preserve">Administrative Advice: </w:t>
            </w:r>
            <w:r w:rsidRPr="00470002">
              <w:rPr>
                <w:rFonts w:ascii="Arial Narrow" w:hAnsi="Arial Narrow"/>
                <w:color w:val="333333"/>
                <w:sz w:val="20"/>
                <w:szCs w:val="20"/>
              </w:rPr>
              <w:t>No increase in the maximum number of repeats may be authorised.</w:t>
            </w:r>
          </w:p>
        </w:tc>
      </w:tr>
      <w:tr w:rsidR="00205763" w:rsidRPr="00470002" w14:paraId="38A2DEDB" w14:textId="77777777" w:rsidTr="00664501">
        <w:tc>
          <w:tcPr>
            <w:tcW w:w="5000" w:type="pct"/>
            <w:vAlign w:val="center"/>
          </w:tcPr>
          <w:p w14:paraId="4F317D5B" w14:textId="77777777" w:rsidR="00205763" w:rsidRPr="00470002" w:rsidRDefault="00205763" w:rsidP="00C76959">
            <w:pPr>
              <w:rPr>
                <w:rFonts w:ascii="Arial Narrow" w:hAnsi="Arial Narrow"/>
                <w:b/>
                <w:bCs/>
                <w:color w:val="333333"/>
                <w:sz w:val="20"/>
                <w:szCs w:val="20"/>
              </w:rPr>
            </w:pPr>
          </w:p>
        </w:tc>
      </w:tr>
      <w:tr w:rsidR="00664501" w:rsidRPr="00470002" w14:paraId="7E3E092F" w14:textId="77777777" w:rsidTr="00664501">
        <w:tc>
          <w:tcPr>
            <w:tcW w:w="5000" w:type="pct"/>
            <w:vAlign w:val="center"/>
          </w:tcPr>
          <w:p w14:paraId="72674138" w14:textId="77777777" w:rsidR="00664501" w:rsidRPr="00470002" w:rsidRDefault="00664501" w:rsidP="00C76959">
            <w:pPr>
              <w:rPr>
                <w:rFonts w:ascii="Arial Narrow" w:hAnsi="Arial Narrow"/>
                <w:b/>
                <w:bCs/>
                <w:strike/>
                <w:color w:val="333333"/>
                <w:sz w:val="20"/>
                <w:szCs w:val="20"/>
              </w:rPr>
            </w:pPr>
            <w:r w:rsidRPr="00470002">
              <w:rPr>
                <w:rFonts w:ascii="Arial Narrow" w:hAnsi="Arial Narrow"/>
                <w:b/>
                <w:bCs/>
                <w:strike/>
                <w:color w:val="333333"/>
                <w:sz w:val="20"/>
                <w:szCs w:val="20"/>
              </w:rPr>
              <w:t xml:space="preserve">Condition: </w:t>
            </w:r>
            <w:r w:rsidRPr="00470002">
              <w:rPr>
                <w:rFonts w:ascii="Arial Narrow" w:hAnsi="Arial Narrow"/>
                <w:bCs/>
                <w:strike/>
                <w:color w:val="333333"/>
                <w:sz w:val="20"/>
                <w:szCs w:val="20"/>
              </w:rPr>
              <w:t>Stage IIIB (locally advanced) or IV (metastatic) non-small cell lung cancer (NSCLC).</w:t>
            </w:r>
          </w:p>
        </w:tc>
      </w:tr>
      <w:tr w:rsidR="00664501" w:rsidRPr="00470002" w14:paraId="53ADE1C7" w14:textId="77777777" w:rsidTr="00664501">
        <w:tc>
          <w:tcPr>
            <w:tcW w:w="5000" w:type="pct"/>
            <w:vAlign w:val="center"/>
            <w:hideMark/>
          </w:tcPr>
          <w:p w14:paraId="0F2D3098" w14:textId="77777777" w:rsidR="00664501" w:rsidRPr="00470002" w:rsidRDefault="00664501" w:rsidP="00C76959">
            <w:pPr>
              <w:rPr>
                <w:rFonts w:ascii="Arial Narrow" w:hAnsi="Arial Narrow"/>
                <w:color w:val="333333"/>
                <w:sz w:val="20"/>
                <w:szCs w:val="20"/>
              </w:rPr>
            </w:pPr>
            <w:r w:rsidRPr="00470002">
              <w:rPr>
                <w:rFonts w:ascii="Arial Narrow" w:hAnsi="Arial Narrow"/>
                <w:b/>
                <w:bCs/>
                <w:color w:val="333333"/>
                <w:sz w:val="20"/>
                <w:szCs w:val="20"/>
              </w:rPr>
              <w:t>Indication:</w:t>
            </w:r>
            <w:r w:rsidRPr="00470002">
              <w:rPr>
                <w:rFonts w:ascii="Arial Narrow" w:hAnsi="Arial Narrow"/>
                <w:bCs/>
                <w:color w:val="333333"/>
                <w:sz w:val="20"/>
                <w:szCs w:val="20"/>
              </w:rPr>
              <w:t xml:space="preserve"> Stage IIIB (locally advanced) or IV (metastatic) </w:t>
            </w:r>
            <w:r w:rsidRPr="00470002">
              <w:rPr>
                <w:rFonts w:ascii="Arial Narrow" w:hAnsi="Arial Narrow"/>
                <w:bCs/>
                <w:strike/>
                <w:color w:val="333333"/>
                <w:sz w:val="20"/>
                <w:szCs w:val="20"/>
              </w:rPr>
              <w:t>epidermal growth factor receptor (EGFR) exon 20 insertion positive</w:t>
            </w:r>
            <w:r w:rsidRPr="00470002">
              <w:rPr>
                <w:rFonts w:ascii="Arial Narrow" w:hAnsi="Arial Narrow"/>
                <w:bCs/>
                <w:color w:val="333333"/>
                <w:sz w:val="20"/>
                <w:szCs w:val="20"/>
              </w:rPr>
              <w:t xml:space="preserve"> non-small cell lung cancer (NSCLC) </w:t>
            </w:r>
            <w:r w:rsidRPr="00470002">
              <w:rPr>
                <w:rFonts w:ascii="Arial Narrow" w:hAnsi="Arial Narrow"/>
                <w:bCs/>
                <w:strike/>
                <w:color w:val="333333"/>
                <w:sz w:val="20"/>
                <w:szCs w:val="20"/>
              </w:rPr>
              <w:t>previously treated with platinum-based chemotherapy</w:t>
            </w:r>
            <w:r w:rsidRPr="00470002">
              <w:rPr>
                <w:rFonts w:ascii="Arial Narrow" w:hAnsi="Arial Narrow"/>
                <w:bCs/>
                <w:color w:val="333333"/>
                <w:sz w:val="20"/>
                <w:szCs w:val="20"/>
              </w:rPr>
              <w:t>.</w:t>
            </w:r>
          </w:p>
        </w:tc>
      </w:tr>
      <w:tr w:rsidR="00205763" w:rsidRPr="00470002" w14:paraId="4383F608" w14:textId="77777777" w:rsidTr="00664501">
        <w:tc>
          <w:tcPr>
            <w:tcW w:w="5000" w:type="pct"/>
            <w:vAlign w:val="center"/>
          </w:tcPr>
          <w:p w14:paraId="1834FABD" w14:textId="77777777" w:rsidR="00205763" w:rsidRPr="00470002" w:rsidRDefault="00205763" w:rsidP="00C76959">
            <w:pPr>
              <w:rPr>
                <w:rFonts w:ascii="Arial Narrow" w:hAnsi="Arial Narrow"/>
                <w:b/>
                <w:bCs/>
                <w:color w:val="333333"/>
                <w:sz w:val="20"/>
                <w:szCs w:val="20"/>
              </w:rPr>
            </w:pPr>
          </w:p>
        </w:tc>
      </w:tr>
      <w:tr w:rsidR="00664501" w:rsidRPr="00470002" w14:paraId="182A98F3" w14:textId="77777777" w:rsidTr="00664501">
        <w:tc>
          <w:tcPr>
            <w:tcW w:w="5000" w:type="pct"/>
            <w:vAlign w:val="center"/>
            <w:hideMark/>
          </w:tcPr>
          <w:p w14:paraId="41BA03A5" w14:textId="77777777" w:rsidR="00664501" w:rsidRPr="00470002" w:rsidRDefault="00664501" w:rsidP="00C76959">
            <w:pPr>
              <w:rPr>
                <w:rFonts w:ascii="Arial Narrow" w:hAnsi="Arial Narrow"/>
                <w:color w:val="333333"/>
                <w:sz w:val="20"/>
                <w:szCs w:val="20"/>
              </w:rPr>
            </w:pPr>
            <w:r w:rsidRPr="00470002">
              <w:rPr>
                <w:rFonts w:ascii="Arial Narrow" w:hAnsi="Arial Narrow"/>
                <w:b/>
                <w:bCs/>
                <w:color w:val="333333"/>
                <w:sz w:val="20"/>
                <w:szCs w:val="20"/>
              </w:rPr>
              <w:t>Treatment Phase:</w:t>
            </w:r>
            <w:r w:rsidRPr="00470002">
              <w:rPr>
                <w:rFonts w:ascii="Arial Narrow" w:hAnsi="Arial Narrow"/>
                <w:color w:val="333333"/>
                <w:sz w:val="20"/>
                <w:szCs w:val="20"/>
              </w:rPr>
              <w:t xml:space="preserve"> Continuing</w:t>
            </w:r>
          </w:p>
        </w:tc>
      </w:tr>
      <w:tr w:rsidR="00205763" w:rsidRPr="00470002" w14:paraId="1565CD31" w14:textId="77777777" w:rsidTr="00664501">
        <w:tc>
          <w:tcPr>
            <w:tcW w:w="5000" w:type="pct"/>
            <w:vAlign w:val="center"/>
          </w:tcPr>
          <w:p w14:paraId="7FC721BA" w14:textId="77777777" w:rsidR="00205763" w:rsidRPr="00470002" w:rsidRDefault="00205763" w:rsidP="00C76959">
            <w:pPr>
              <w:rPr>
                <w:rFonts w:ascii="Arial Narrow" w:hAnsi="Arial Narrow"/>
                <w:b/>
                <w:bCs/>
                <w:color w:val="333333"/>
                <w:sz w:val="20"/>
                <w:szCs w:val="20"/>
              </w:rPr>
            </w:pPr>
          </w:p>
        </w:tc>
      </w:tr>
      <w:tr w:rsidR="00664501" w:rsidRPr="00470002" w14:paraId="36544140" w14:textId="77777777" w:rsidTr="00664501">
        <w:tc>
          <w:tcPr>
            <w:tcW w:w="5000" w:type="pct"/>
            <w:vAlign w:val="center"/>
            <w:hideMark/>
          </w:tcPr>
          <w:p w14:paraId="1D2BD9EE" w14:textId="77777777" w:rsidR="00664501" w:rsidRPr="00470002" w:rsidRDefault="00664501" w:rsidP="00C76959">
            <w:pPr>
              <w:rPr>
                <w:rFonts w:ascii="Arial Narrow" w:hAnsi="Arial Narrow"/>
                <w:color w:val="333333"/>
                <w:sz w:val="20"/>
                <w:szCs w:val="20"/>
              </w:rPr>
            </w:pPr>
            <w:r w:rsidRPr="00470002">
              <w:rPr>
                <w:rFonts w:ascii="Arial Narrow" w:hAnsi="Arial Narrow"/>
                <w:b/>
                <w:bCs/>
                <w:color w:val="333333"/>
                <w:sz w:val="20"/>
                <w:szCs w:val="20"/>
              </w:rPr>
              <w:t>Clinical criteria</w:t>
            </w:r>
          </w:p>
        </w:tc>
      </w:tr>
      <w:tr w:rsidR="00664501" w:rsidRPr="00470002" w14:paraId="5F5D9104" w14:textId="77777777" w:rsidTr="00664501">
        <w:tc>
          <w:tcPr>
            <w:tcW w:w="5000" w:type="pct"/>
            <w:vAlign w:val="center"/>
          </w:tcPr>
          <w:p w14:paraId="1F24BC6E" w14:textId="77777777" w:rsidR="00664501" w:rsidRPr="00470002" w:rsidRDefault="00664501" w:rsidP="00C76959">
            <w:pPr>
              <w:rPr>
                <w:rFonts w:ascii="Arial Narrow" w:hAnsi="Arial Narrow"/>
                <w:color w:val="333333"/>
                <w:sz w:val="20"/>
                <w:szCs w:val="20"/>
              </w:rPr>
            </w:pPr>
            <w:r w:rsidRPr="00470002">
              <w:rPr>
                <w:rFonts w:ascii="Arial Narrow" w:hAnsi="Arial Narrow"/>
                <w:color w:val="333333"/>
                <w:sz w:val="20"/>
                <w:szCs w:val="20"/>
              </w:rPr>
              <w:t>The treatment must be the sole PBS-subsidised therapy for this condition</w:t>
            </w:r>
          </w:p>
        </w:tc>
      </w:tr>
      <w:tr w:rsidR="00664501" w:rsidRPr="00470002" w14:paraId="6E9A5F2F" w14:textId="77777777" w:rsidTr="00664501">
        <w:tc>
          <w:tcPr>
            <w:tcW w:w="5000" w:type="pct"/>
            <w:vAlign w:val="center"/>
            <w:hideMark/>
          </w:tcPr>
          <w:p w14:paraId="12234853" w14:textId="77777777" w:rsidR="00664501" w:rsidRPr="00470002" w:rsidRDefault="00664501" w:rsidP="00C76959">
            <w:pPr>
              <w:rPr>
                <w:rFonts w:ascii="Arial Narrow" w:hAnsi="Arial Narrow"/>
                <w:color w:val="333333"/>
                <w:sz w:val="20"/>
                <w:szCs w:val="20"/>
              </w:rPr>
            </w:pPr>
            <w:r w:rsidRPr="00470002">
              <w:rPr>
                <w:rFonts w:ascii="Arial Narrow" w:hAnsi="Arial Narrow"/>
                <w:b/>
                <w:bCs/>
                <w:color w:val="333333"/>
                <w:sz w:val="20"/>
                <w:szCs w:val="20"/>
              </w:rPr>
              <w:t>AND</w:t>
            </w:r>
          </w:p>
        </w:tc>
      </w:tr>
      <w:tr w:rsidR="00664501" w:rsidRPr="00470002" w14:paraId="48CA228A" w14:textId="77777777" w:rsidTr="00664501">
        <w:tc>
          <w:tcPr>
            <w:tcW w:w="5000" w:type="pct"/>
            <w:vAlign w:val="center"/>
          </w:tcPr>
          <w:p w14:paraId="16B8C0D3" w14:textId="77777777" w:rsidR="00664501" w:rsidRPr="00470002" w:rsidRDefault="00664501" w:rsidP="00C76959">
            <w:pPr>
              <w:rPr>
                <w:rFonts w:ascii="Arial Narrow" w:hAnsi="Arial Narrow"/>
                <w:b/>
                <w:bCs/>
                <w:i/>
                <w:iCs/>
                <w:color w:val="333333"/>
                <w:sz w:val="20"/>
                <w:szCs w:val="20"/>
              </w:rPr>
            </w:pPr>
            <w:r w:rsidRPr="00470002">
              <w:rPr>
                <w:rFonts w:ascii="Arial Narrow" w:hAnsi="Arial Narrow"/>
                <w:b/>
                <w:bCs/>
                <w:i/>
                <w:iCs/>
                <w:color w:val="333333"/>
                <w:sz w:val="20"/>
                <w:szCs w:val="20"/>
              </w:rPr>
              <w:t>Clinical criteria</w:t>
            </w:r>
          </w:p>
        </w:tc>
      </w:tr>
      <w:tr w:rsidR="00664501" w:rsidRPr="00470002" w14:paraId="6FC4FAA6" w14:textId="77777777" w:rsidTr="00664501">
        <w:tc>
          <w:tcPr>
            <w:tcW w:w="5000" w:type="pct"/>
            <w:vAlign w:val="center"/>
            <w:hideMark/>
          </w:tcPr>
          <w:p w14:paraId="2DBABBD7" w14:textId="77777777" w:rsidR="00664501" w:rsidRPr="00470002" w:rsidRDefault="00664501" w:rsidP="00C76959">
            <w:pPr>
              <w:rPr>
                <w:rFonts w:ascii="Arial Narrow" w:hAnsi="Arial Narrow"/>
                <w:color w:val="333333"/>
                <w:sz w:val="20"/>
                <w:szCs w:val="20"/>
              </w:rPr>
            </w:pPr>
            <w:r w:rsidRPr="00470002">
              <w:rPr>
                <w:rFonts w:ascii="Arial Narrow" w:hAnsi="Arial Narrow"/>
                <w:color w:val="333333"/>
                <w:sz w:val="20"/>
                <w:szCs w:val="20"/>
              </w:rPr>
              <w:t>Patient must have previously received PBS-subsidised treatment this drug for this condition</w:t>
            </w:r>
          </w:p>
        </w:tc>
      </w:tr>
      <w:tr w:rsidR="00664501" w:rsidRPr="00470002" w14:paraId="7834BF1C" w14:textId="77777777" w:rsidTr="00664501">
        <w:tc>
          <w:tcPr>
            <w:tcW w:w="5000" w:type="pct"/>
            <w:vAlign w:val="center"/>
            <w:hideMark/>
          </w:tcPr>
          <w:p w14:paraId="48A83637" w14:textId="77777777" w:rsidR="00664501" w:rsidRPr="00470002" w:rsidRDefault="00664501" w:rsidP="00C76959">
            <w:pPr>
              <w:rPr>
                <w:rFonts w:ascii="Arial Narrow" w:hAnsi="Arial Narrow"/>
                <w:color w:val="333333"/>
                <w:sz w:val="20"/>
                <w:szCs w:val="20"/>
              </w:rPr>
            </w:pPr>
            <w:r w:rsidRPr="00470002">
              <w:rPr>
                <w:rFonts w:ascii="Arial Narrow" w:hAnsi="Arial Narrow"/>
                <w:b/>
                <w:bCs/>
                <w:color w:val="333333"/>
                <w:sz w:val="20"/>
                <w:szCs w:val="20"/>
              </w:rPr>
              <w:t>AND</w:t>
            </w:r>
          </w:p>
        </w:tc>
      </w:tr>
      <w:tr w:rsidR="00664501" w:rsidRPr="00470002" w14:paraId="2A537196" w14:textId="77777777" w:rsidTr="00664501">
        <w:tc>
          <w:tcPr>
            <w:tcW w:w="5000" w:type="pct"/>
            <w:vAlign w:val="center"/>
          </w:tcPr>
          <w:p w14:paraId="4D3CA359" w14:textId="77777777" w:rsidR="00664501" w:rsidRPr="00470002" w:rsidRDefault="00664501" w:rsidP="00C76959">
            <w:pPr>
              <w:rPr>
                <w:rFonts w:ascii="Arial Narrow" w:hAnsi="Arial Narrow"/>
                <w:b/>
                <w:bCs/>
                <w:color w:val="333333"/>
                <w:sz w:val="20"/>
                <w:szCs w:val="20"/>
              </w:rPr>
            </w:pPr>
            <w:r w:rsidRPr="00470002">
              <w:rPr>
                <w:rFonts w:ascii="Arial Narrow" w:hAnsi="Arial Narrow"/>
                <w:b/>
                <w:bCs/>
                <w:i/>
                <w:iCs/>
                <w:color w:val="333333"/>
                <w:sz w:val="20"/>
                <w:szCs w:val="20"/>
              </w:rPr>
              <w:t>Clinical criteria</w:t>
            </w:r>
          </w:p>
        </w:tc>
      </w:tr>
      <w:tr w:rsidR="00664501" w:rsidRPr="00470002" w14:paraId="361C2BA5" w14:textId="77777777" w:rsidTr="00664501">
        <w:tc>
          <w:tcPr>
            <w:tcW w:w="5000" w:type="pct"/>
            <w:vAlign w:val="center"/>
            <w:hideMark/>
          </w:tcPr>
          <w:p w14:paraId="5A8B8939" w14:textId="77777777" w:rsidR="00664501" w:rsidRPr="00470002" w:rsidRDefault="00664501" w:rsidP="00C76959">
            <w:pPr>
              <w:rPr>
                <w:rFonts w:ascii="Arial Narrow" w:hAnsi="Arial Narrow"/>
                <w:color w:val="333333"/>
                <w:sz w:val="20"/>
                <w:szCs w:val="20"/>
              </w:rPr>
            </w:pPr>
            <w:r w:rsidRPr="00470002">
              <w:rPr>
                <w:rFonts w:ascii="Arial Narrow" w:hAnsi="Arial Narrow"/>
                <w:color w:val="333333"/>
                <w:sz w:val="20"/>
                <w:szCs w:val="20"/>
              </w:rPr>
              <w:t>Patient must not have developed disease progression while receiving treatment with this drug for this condition</w:t>
            </w:r>
          </w:p>
        </w:tc>
      </w:tr>
      <w:tr w:rsidR="00205763" w:rsidRPr="00470002" w14:paraId="551C7B55" w14:textId="77777777" w:rsidTr="00664501">
        <w:tc>
          <w:tcPr>
            <w:tcW w:w="5000" w:type="pct"/>
            <w:vAlign w:val="center"/>
          </w:tcPr>
          <w:p w14:paraId="5353E8F2" w14:textId="77777777" w:rsidR="00205763" w:rsidRPr="00470002" w:rsidRDefault="00205763" w:rsidP="00C76959">
            <w:pPr>
              <w:rPr>
                <w:rFonts w:ascii="Arial Narrow" w:hAnsi="Arial Narrow"/>
                <w:color w:val="333333"/>
                <w:sz w:val="20"/>
                <w:szCs w:val="20"/>
              </w:rPr>
            </w:pPr>
          </w:p>
        </w:tc>
      </w:tr>
      <w:tr w:rsidR="00664501" w:rsidRPr="00470002" w14:paraId="0FEC3117" w14:textId="77777777" w:rsidTr="00664501">
        <w:tc>
          <w:tcPr>
            <w:tcW w:w="5000" w:type="pct"/>
            <w:vAlign w:val="center"/>
            <w:hideMark/>
          </w:tcPr>
          <w:p w14:paraId="67C51CBB" w14:textId="77777777" w:rsidR="00664501" w:rsidRPr="00470002" w:rsidRDefault="00664501" w:rsidP="00C76959">
            <w:pPr>
              <w:rPr>
                <w:rFonts w:ascii="Arial Narrow" w:hAnsi="Arial Narrow"/>
                <w:color w:val="333333"/>
                <w:sz w:val="20"/>
                <w:szCs w:val="20"/>
              </w:rPr>
            </w:pPr>
            <w:r w:rsidRPr="00470002">
              <w:rPr>
                <w:rFonts w:ascii="Arial Narrow" w:hAnsi="Arial Narrow"/>
                <w:b/>
                <w:bCs/>
                <w:color w:val="333333"/>
                <w:sz w:val="20"/>
                <w:szCs w:val="20"/>
              </w:rPr>
              <w:lastRenderedPageBreak/>
              <w:t xml:space="preserve">Administrative Advice: </w:t>
            </w:r>
            <w:r w:rsidRPr="00470002">
              <w:rPr>
                <w:rFonts w:ascii="Arial Narrow" w:hAnsi="Arial Narrow"/>
                <w:color w:val="333333"/>
                <w:sz w:val="20"/>
                <w:szCs w:val="20"/>
              </w:rPr>
              <w:t>Special Pricing Arrangements apply.</w:t>
            </w:r>
          </w:p>
        </w:tc>
      </w:tr>
      <w:tr w:rsidR="00664501" w:rsidRPr="007A2D71" w14:paraId="75A22B84" w14:textId="77777777" w:rsidTr="00664501">
        <w:tc>
          <w:tcPr>
            <w:tcW w:w="5000" w:type="pct"/>
            <w:vAlign w:val="center"/>
          </w:tcPr>
          <w:p w14:paraId="468EF6E3" w14:textId="77777777" w:rsidR="00664501" w:rsidRPr="00470002" w:rsidRDefault="00664501" w:rsidP="00C76959">
            <w:pPr>
              <w:rPr>
                <w:rFonts w:ascii="Arial Narrow" w:hAnsi="Arial Narrow"/>
                <w:b/>
                <w:bCs/>
                <w:color w:val="333333"/>
                <w:sz w:val="20"/>
                <w:szCs w:val="20"/>
              </w:rPr>
            </w:pPr>
            <w:r w:rsidRPr="00470002">
              <w:rPr>
                <w:rFonts w:ascii="Arial Narrow" w:hAnsi="Arial Narrow"/>
                <w:b/>
                <w:bCs/>
                <w:i/>
                <w:iCs/>
                <w:sz w:val="20"/>
                <w:szCs w:val="20"/>
              </w:rPr>
              <w:t xml:space="preserve">Administrative Advice: </w:t>
            </w:r>
            <w:r w:rsidRPr="00470002">
              <w:rPr>
                <w:rFonts w:ascii="Arial Narrow" w:hAnsi="Arial Narrow"/>
                <w:bCs/>
                <w:i/>
                <w:iCs/>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42D4DC44" w14:textId="77777777" w:rsidR="00046D64" w:rsidRPr="00540BF8" w:rsidRDefault="00046D64" w:rsidP="000711EA">
      <w:pPr>
        <w:jc w:val="both"/>
        <w:rPr>
          <w:rFonts w:asciiTheme="minorHAnsi" w:hAnsiTheme="minorHAnsi" w:cstheme="minorHAnsi"/>
        </w:rPr>
      </w:pPr>
    </w:p>
    <w:p w14:paraId="233550E7" w14:textId="782F4DC9" w:rsidR="00124BA5" w:rsidRPr="00440A1E" w:rsidRDefault="00124BA5" w:rsidP="000711EA">
      <w:pPr>
        <w:pStyle w:val="3-BodyText"/>
        <w:rPr>
          <w:iCs/>
        </w:rPr>
      </w:pPr>
      <w:r w:rsidRPr="00EF0BCE">
        <w:t>The submission proposed a Special Pricing Arrangement (SPA) with published</w:t>
      </w:r>
      <w:r w:rsidR="00ED5DC5">
        <w:t xml:space="preserve"> and effective</w:t>
      </w:r>
      <w:r w:rsidRPr="00EF0BCE">
        <w:t xml:space="preserve"> dispensed price</w:t>
      </w:r>
      <w:r w:rsidR="00ED5DC5">
        <w:t>s</w:t>
      </w:r>
      <w:r w:rsidRPr="00EF0BCE">
        <w:t xml:space="preserve"> for maximum quantity (DPMQ</w:t>
      </w:r>
      <w:r w:rsidR="00ED5DC5">
        <w:t>s</w:t>
      </w:r>
      <w:r w:rsidRPr="00EF0BCE">
        <w:t>).</w:t>
      </w:r>
      <w:r w:rsidR="00AF03C0">
        <w:t xml:space="preserve"> </w:t>
      </w:r>
    </w:p>
    <w:p w14:paraId="375A3C45" w14:textId="0D312862" w:rsidR="00F97C77" w:rsidRPr="00470002" w:rsidRDefault="00124BA5" w:rsidP="00470002">
      <w:pPr>
        <w:pStyle w:val="3-BodyText"/>
      </w:pPr>
      <w:bookmarkStart w:id="8" w:name="_Ref119575652"/>
      <w:r w:rsidRPr="00470002">
        <w:t xml:space="preserve">The submission requested a </w:t>
      </w:r>
      <w:r w:rsidR="00470002">
        <w:t>G</w:t>
      </w:r>
      <w:r w:rsidRPr="00470002">
        <w:t>randfather restriction for patients on the Sponsor’s compassionate access program</w:t>
      </w:r>
      <w:r w:rsidR="00EF0BCE" w:rsidRPr="00470002">
        <w:t xml:space="preserve">. </w:t>
      </w:r>
      <w:r w:rsidR="00700832" w:rsidRPr="00470002">
        <w:rPr>
          <w:rFonts w:ascii="Calibri" w:hAnsi="Calibri"/>
          <w:bCs/>
          <w:lang w:eastAsia="en-US"/>
        </w:rPr>
        <w:t xml:space="preserve">The submission stated that </w:t>
      </w:r>
      <w:r w:rsidR="00C67A4E">
        <w:rPr>
          <w:rFonts w:ascii="Calibri" w:hAnsi="Calibri"/>
          <w:bCs/>
          <w:lang w:eastAsia="en-US"/>
        </w:rPr>
        <w:t>&lt; 500</w:t>
      </w:r>
      <w:r w:rsidR="00C67A4E" w:rsidRPr="00470002">
        <w:rPr>
          <w:rFonts w:ascii="Calibri" w:hAnsi="Calibri"/>
          <w:bCs/>
          <w:lang w:eastAsia="en-US"/>
        </w:rPr>
        <w:t xml:space="preserve"> </w:t>
      </w:r>
      <w:r w:rsidR="00700832" w:rsidRPr="00470002">
        <w:rPr>
          <w:rFonts w:ascii="Calibri" w:hAnsi="Calibri"/>
          <w:bCs/>
          <w:lang w:eastAsia="en-US"/>
        </w:rPr>
        <w:t xml:space="preserve">patients would require </w:t>
      </w:r>
      <w:r w:rsidR="00664501">
        <w:rPr>
          <w:rFonts w:ascii="Calibri" w:hAnsi="Calibri"/>
          <w:bCs/>
          <w:lang w:eastAsia="en-US"/>
        </w:rPr>
        <w:t>t</w:t>
      </w:r>
      <w:r w:rsidR="00700832" w:rsidRPr="00470002">
        <w:rPr>
          <w:rFonts w:ascii="Calibri" w:hAnsi="Calibri"/>
          <w:bCs/>
          <w:lang w:eastAsia="en-US"/>
        </w:rPr>
        <w:t>r</w:t>
      </w:r>
      <w:r w:rsidR="00664501">
        <w:rPr>
          <w:rFonts w:ascii="Calibri" w:hAnsi="Calibri"/>
          <w:bCs/>
          <w:lang w:eastAsia="en-US"/>
        </w:rPr>
        <w:t>ansition</w:t>
      </w:r>
      <w:r w:rsidR="00700832" w:rsidRPr="00470002">
        <w:rPr>
          <w:rFonts w:ascii="Calibri" w:hAnsi="Calibri"/>
          <w:bCs/>
          <w:lang w:eastAsia="en-US"/>
        </w:rPr>
        <w:t>ing to PBS funded treatment should mobocertinib be listed.</w:t>
      </w:r>
      <w:r w:rsidR="00F97C77" w:rsidRPr="00470002">
        <w:rPr>
          <w:rFonts w:ascii="Calibri" w:hAnsi="Calibri"/>
          <w:bCs/>
          <w:lang w:eastAsia="en-US"/>
        </w:rPr>
        <w:t xml:space="preserve"> </w:t>
      </w:r>
      <w:r w:rsidR="00664501">
        <w:rPr>
          <w:rFonts w:ascii="Calibri" w:hAnsi="Calibri"/>
          <w:bCs/>
          <w:lang w:eastAsia="en-US"/>
        </w:rPr>
        <w:t xml:space="preserve">The Secretariat’s suggested changes accommodate such </w:t>
      </w:r>
      <w:r w:rsidR="00262F05">
        <w:rPr>
          <w:rFonts w:ascii="Calibri" w:hAnsi="Calibri"/>
          <w:bCs/>
          <w:lang w:eastAsia="en-US"/>
        </w:rPr>
        <w:t>transitioning</w:t>
      </w:r>
      <w:r w:rsidR="00664501">
        <w:rPr>
          <w:rFonts w:ascii="Calibri" w:hAnsi="Calibri"/>
          <w:bCs/>
          <w:lang w:eastAsia="en-US"/>
        </w:rPr>
        <w:t xml:space="preserve"> in the initial treatment phase restriction.</w:t>
      </w:r>
      <w:bookmarkEnd w:id="8"/>
    </w:p>
    <w:p w14:paraId="32273266" w14:textId="50B1509C" w:rsidR="00CC35EA" w:rsidRPr="00EF0BCE" w:rsidRDefault="00EF0BCE" w:rsidP="000711EA">
      <w:pPr>
        <w:pStyle w:val="3-BodyText"/>
      </w:pPr>
      <w:bookmarkStart w:id="9" w:name="_Ref121209645"/>
      <w:r w:rsidRPr="00EF0BCE">
        <w:t xml:space="preserve">The requested restriction was for patients with either locally advanced (Stage IIIB) or metastatic (Stage IV) NSCLC. </w:t>
      </w:r>
      <w:r w:rsidRPr="00440A1E">
        <w:rPr>
          <w:iCs/>
        </w:rPr>
        <w:t>There was limited evidence for efficacy in patients with locally advanced disease</w:t>
      </w:r>
      <w:r w:rsidR="00044920" w:rsidRPr="00440A1E">
        <w:rPr>
          <w:iCs/>
        </w:rPr>
        <w:t xml:space="preserve"> in the key </w:t>
      </w:r>
      <w:r w:rsidR="00AF03C0" w:rsidRPr="00440A1E">
        <w:rPr>
          <w:iCs/>
        </w:rPr>
        <w:t xml:space="preserve">study, </w:t>
      </w:r>
      <w:r w:rsidR="00044920" w:rsidRPr="00440A1E">
        <w:rPr>
          <w:iCs/>
        </w:rPr>
        <w:t>Study 101</w:t>
      </w:r>
      <w:r w:rsidRPr="00440A1E">
        <w:rPr>
          <w:iCs/>
        </w:rPr>
        <w:t xml:space="preserve"> </w:t>
      </w:r>
      <w:r w:rsidR="00EB7B72" w:rsidRPr="00440A1E">
        <w:rPr>
          <w:iCs/>
        </w:rPr>
        <w:t>(one patient (0.9%))</w:t>
      </w:r>
      <w:r w:rsidRPr="00440A1E">
        <w:rPr>
          <w:iCs/>
        </w:rPr>
        <w:t>.</w:t>
      </w:r>
      <w:r w:rsidR="006079D6">
        <w:rPr>
          <w:iCs/>
        </w:rPr>
        <w:t xml:space="preserve"> The PBAC noted that the staging system </w:t>
      </w:r>
      <w:r w:rsidR="00693B5E">
        <w:rPr>
          <w:iCs/>
        </w:rPr>
        <w:t>for</w:t>
      </w:r>
      <w:r w:rsidR="006079D6">
        <w:rPr>
          <w:iCs/>
        </w:rPr>
        <w:t xml:space="preserve"> NSCLC has been updated according to the American Joint Committee on Cancer (</w:t>
      </w:r>
      <w:r w:rsidR="006079D6" w:rsidRPr="00AE7DFB">
        <w:rPr>
          <w:iCs/>
        </w:rPr>
        <w:t>AJCC</w:t>
      </w:r>
      <w:r w:rsidR="006079D6">
        <w:rPr>
          <w:iCs/>
        </w:rPr>
        <w:t>) Cancer</w:t>
      </w:r>
      <w:r w:rsidR="006079D6" w:rsidRPr="00AE7DFB">
        <w:rPr>
          <w:iCs/>
        </w:rPr>
        <w:t xml:space="preserve"> </w:t>
      </w:r>
      <w:r w:rsidR="006079D6">
        <w:rPr>
          <w:iCs/>
        </w:rPr>
        <w:t>S</w:t>
      </w:r>
      <w:r w:rsidR="006079D6" w:rsidRPr="00AE7DFB">
        <w:rPr>
          <w:iCs/>
        </w:rPr>
        <w:t xml:space="preserve">taging 8th edition </w:t>
      </w:r>
      <w:r w:rsidR="006079D6">
        <w:rPr>
          <w:iCs/>
        </w:rPr>
        <w:t>(</w:t>
      </w:r>
      <w:r w:rsidR="006079D6" w:rsidRPr="00AE7DFB">
        <w:rPr>
          <w:iCs/>
        </w:rPr>
        <w:t>Jan</w:t>
      </w:r>
      <w:r w:rsidR="006079D6">
        <w:rPr>
          <w:iCs/>
        </w:rPr>
        <w:t>uary</w:t>
      </w:r>
      <w:r w:rsidR="006079D6" w:rsidRPr="00AE7DFB">
        <w:rPr>
          <w:iCs/>
        </w:rPr>
        <w:t xml:space="preserve"> 2018</w:t>
      </w:r>
      <w:r w:rsidR="006079D6">
        <w:rPr>
          <w:iCs/>
        </w:rPr>
        <w:t xml:space="preserve">) to include a IIIC stage that has partial overlap with the prior IIIB stage. This is relevant to the requested indication for mobocertinib in </w:t>
      </w:r>
      <w:r w:rsidR="006079D6" w:rsidRPr="00AE7DFB">
        <w:rPr>
          <w:iCs/>
        </w:rPr>
        <w:t>Stage IIIB (locally advanced) or IV (metastatic)</w:t>
      </w:r>
      <w:r w:rsidR="006079D6">
        <w:rPr>
          <w:iCs/>
        </w:rPr>
        <w:t xml:space="preserve"> patients.</w:t>
      </w:r>
      <w:r w:rsidR="006079D6" w:rsidRPr="00AE7DFB">
        <w:rPr>
          <w:iCs/>
        </w:rPr>
        <w:t xml:space="preserve"> </w:t>
      </w:r>
      <w:r w:rsidR="006079D6">
        <w:rPr>
          <w:iCs/>
        </w:rPr>
        <w:t>The PBAC acknowledged that the updated AJCC staging system affects PBS listings for NSCLC in general, and noted that the updated system should be used for each new consideration in NSCLC.</w:t>
      </w:r>
      <w:bookmarkEnd w:id="9"/>
    </w:p>
    <w:p w14:paraId="24C5470D" w14:textId="344DDF13" w:rsidR="00EF0BCE" w:rsidRDefault="00EF0BCE" w:rsidP="000711EA">
      <w:pPr>
        <w:pStyle w:val="3-BodyText"/>
      </w:pPr>
      <w:r>
        <w:t>The submission requested that</w:t>
      </w:r>
      <w:r w:rsidR="00EB7B72">
        <w:t xml:space="preserve"> the restrictions for mobocertinib specify</w:t>
      </w:r>
      <w:r w:rsidR="009421BB">
        <w:t>:</w:t>
      </w:r>
      <w:r>
        <w:t xml:space="preserve"> </w:t>
      </w:r>
      <w:r w:rsidR="00EB7B72">
        <w:t xml:space="preserve">i) that mobocertinib is used as </w:t>
      </w:r>
      <w:r w:rsidR="00EB7B72" w:rsidRPr="00440A1E">
        <w:t>monotherapy</w:t>
      </w:r>
      <w:r w:rsidR="00982608" w:rsidRPr="00440A1E">
        <w:t xml:space="preserve"> (consistent with the evidence)</w:t>
      </w:r>
      <w:r w:rsidR="00EB7B72" w:rsidRPr="00440A1E">
        <w:t xml:space="preserve">, </w:t>
      </w:r>
      <w:r w:rsidRPr="00440A1E">
        <w:t>i</w:t>
      </w:r>
      <w:r w:rsidR="00EB7B72" w:rsidRPr="00440A1E">
        <w:t>i</w:t>
      </w:r>
      <w:r w:rsidRPr="00440A1E">
        <w:t xml:space="preserve">) </w:t>
      </w:r>
      <w:r w:rsidR="005F1B47" w:rsidRPr="00B62475">
        <w:t>that patients must have the</w:t>
      </w:r>
      <w:r w:rsidR="005F1B47">
        <w:t xml:space="preserve"> </w:t>
      </w:r>
      <w:r w:rsidRPr="00440A1E">
        <w:rPr>
          <w:i/>
          <w:iCs/>
        </w:rPr>
        <w:t>EGFR</w:t>
      </w:r>
      <w:r w:rsidRPr="00440A1E">
        <w:t xml:space="preserve"> ex20ins</w:t>
      </w:r>
      <w:r w:rsidR="00982608" w:rsidRPr="00440A1E">
        <w:t xml:space="preserve"> mutation for eligibility (consistent with the evidence)</w:t>
      </w:r>
      <w:r w:rsidRPr="00440A1E">
        <w:t>,</w:t>
      </w:r>
      <w:r>
        <w:t xml:space="preserve"> and </w:t>
      </w:r>
      <w:r w:rsidR="00EB7B72">
        <w:t>i</w:t>
      </w:r>
      <w:r>
        <w:t xml:space="preserve">ii) </w:t>
      </w:r>
      <w:r w:rsidR="00982608">
        <w:t xml:space="preserve">that </w:t>
      </w:r>
      <w:bookmarkStart w:id="10" w:name="_Hlk113395342"/>
      <w:r w:rsidR="00EB7B72">
        <w:t>the word “mutation”</w:t>
      </w:r>
      <w:r w:rsidR="00A9585E">
        <w:t>,</w:t>
      </w:r>
      <w:r w:rsidR="00EB7B72">
        <w:t xml:space="preserve"> </w:t>
      </w:r>
      <w:r w:rsidR="00A9585E">
        <w:t xml:space="preserve">rather than “variant”, </w:t>
      </w:r>
      <w:r w:rsidR="00AF03C0">
        <w:t>is</w:t>
      </w:r>
      <w:r w:rsidR="00EB7B72">
        <w:t xml:space="preserve"> used </w:t>
      </w:r>
      <w:r w:rsidR="00982608">
        <w:t xml:space="preserve">in the requested restriction, </w:t>
      </w:r>
      <w:r w:rsidR="00EB7B72">
        <w:t xml:space="preserve">in order </w:t>
      </w:r>
      <w:r>
        <w:t xml:space="preserve">to </w:t>
      </w:r>
      <w:r w:rsidR="00982608">
        <w:t xml:space="preserve">be consistent with the current PBS listings of </w:t>
      </w:r>
      <w:r>
        <w:t xml:space="preserve">other </w:t>
      </w:r>
      <w:r w:rsidRPr="009F4460">
        <w:rPr>
          <w:i/>
        </w:rPr>
        <w:t>EGFR</w:t>
      </w:r>
      <w:r>
        <w:t xml:space="preserve"> TKIs</w:t>
      </w:r>
      <w:r w:rsidR="00EB7B72">
        <w:t>.</w:t>
      </w:r>
      <w:r>
        <w:t xml:space="preserve"> </w:t>
      </w:r>
      <w:r w:rsidRPr="00957154">
        <w:rPr>
          <w:iCs/>
        </w:rPr>
        <w:t>Nomenclature guidelines are available from the Human Genome Variation Society</w:t>
      </w:r>
      <w:r w:rsidRPr="00957154">
        <w:rPr>
          <w:rStyle w:val="FootnoteReference"/>
          <w:iCs/>
        </w:rPr>
        <w:footnoteReference w:id="1"/>
      </w:r>
      <w:r w:rsidR="005F1B47" w:rsidRPr="00957154">
        <w:rPr>
          <w:iCs/>
        </w:rPr>
        <w:t>;</w:t>
      </w:r>
      <w:r w:rsidRPr="00957154">
        <w:rPr>
          <w:iCs/>
        </w:rPr>
        <w:t xml:space="preserve"> </w:t>
      </w:r>
      <w:r w:rsidR="005F1B47" w:rsidRPr="00957154">
        <w:rPr>
          <w:iCs/>
        </w:rPr>
        <w:t>while t</w:t>
      </w:r>
      <w:r w:rsidRPr="00957154">
        <w:rPr>
          <w:iCs/>
        </w:rPr>
        <w:t>he recommendation</w:t>
      </w:r>
      <w:r w:rsidR="005F1B47" w:rsidRPr="00957154">
        <w:rPr>
          <w:iCs/>
        </w:rPr>
        <w:t xml:space="preserve"> from the Society</w:t>
      </w:r>
      <w:r w:rsidRPr="00957154">
        <w:rPr>
          <w:iCs/>
        </w:rPr>
        <w:t xml:space="preserve"> is to use the term </w:t>
      </w:r>
      <w:r w:rsidR="005F1B47" w:rsidRPr="00957154">
        <w:rPr>
          <w:iCs/>
        </w:rPr>
        <w:t>”</w:t>
      </w:r>
      <w:r w:rsidRPr="00957154">
        <w:rPr>
          <w:iCs/>
        </w:rPr>
        <w:t>variant</w:t>
      </w:r>
      <w:r w:rsidR="005F1B47" w:rsidRPr="00957154">
        <w:rPr>
          <w:iCs/>
        </w:rPr>
        <w:t xml:space="preserve">”, the </w:t>
      </w:r>
      <w:r w:rsidR="00ED5DC5">
        <w:rPr>
          <w:iCs/>
        </w:rPr>
        <w:t xml:space="preserve">PBAC noted </w:t>
      </w:r>
      <w:r w:rsidR="005F1B47" w:rsidRPr="00957154">
        <w:rPr>
          <w:iCs/>
        </w:rPr>
        <w:t xml:space="preserve">that “mutation” is consistent with current PBS listings of other </w:t>
      </w:r>
      <w:r w:rsidR="005F1B47" w:rsidRPr="00957154">
        <w:rPr>
          <w:i/>
        </w:rPr>
        <w:t>EGFR</w:t>
      </w:r>
      <w:r w:rsidR="005F1B47" w:rsidRPr="00957154">
        <w:rPr>
          <w:iCs/>
        </w:rPr>
        <w:t xml:space="preserve"> TKIs</w:t>
      </w:r>
      <w:r w:rsidRPr="00957154">
        <w:rPr>
          <w:iCs/>
        </w:rPr>
        <w:t>.</w:t>
      </w:r>
      <w:bookmarkEnd w:id="10"/>
    </w:p>
    <w:p w14:paraId="1CE9BA35" w14:textId="533E4C58" w:rsidR="00EF0BCE" w:rsidRPr="00AE7DFB" w:rsidRDefault="00EF0BCE" w:rsidP="00AE7DFB">
      <w:pPr>
        <w:pStyle w:val="3-BodyText"/>
        <w:rPr>
          <w:iCs/>
        </w:rPr>
      </w:pPr>
      <w:r w:rsidRPr="00EF0BCE">
        <w:t xml:space="preserve">The submission proposed that patients </w:t>
      </w:r>
      <w:r w:rsidR="00982608">
        <w:t xml:space="preserve">be eligible for mobocertinib (an </w:t>
      </w:r>
      <w:r w:rsidR="00982608" w:rsidRPr="00982608">
        <w:rPr>
          <w:i/>
        </w:rPr>
        <w:t xml:space="preserve">EGFR </w:t>
      </w:r>
      <w:r w:rsidR="00982608">
        <w:t xml:space="preserve">TKI agent) regardless of whether they have </w:t>
      </w:r>
      <w:r w:rsidR="00982608" w:rsidRPr="00957154">
        <w:t>received prior treatment with other EGFR TKIs</w:t>
      </w:r>
      <w:r w:rsidR="00AF03C0" w:rsidRPr="00957154">
        <w:t>.</w:t>
      </w:r>
      <w:r w:rsidR="00AE7DF6" w:rsidRPr="00957154">
        <w:t xml:space="preserve"> </w:t>
      </w:r>
      <w:r w:rsidR="001E197D" w:rsidRPr="00957154">
        <w:t>The submission stated</w:t>
      </w:r>
      <w:r w:rsidR="00AE7DF6" w:rsidRPr="00957154">
        <w:t xml:space="preserve"> </w:t>
      </w:r>
      <w:r w:rsidR="001E197D" w:rsidRPr="00957154">
        <w:t xml:space="preserve">that </w:t>
      </w:r>
      <w:r w:rsidR="00AE7DF6" w:rsidRPr="00957154">
        <w:t xml:space="preserve">this is consistent with the </w:t>
      </w:r>
      <w:r w:rsidR="001E197D" w:rsidRPr="00957154">
        <w:t xml:space="preserve">current </w:t>
      </w:r>
      <w:r w:rsidR="00AE7DF6" w:rsidRPr="00957154">
        <w:t>PBS restrictions</w:t>
      </w:r>
      <w:r w:rsidR="000F2E45" w:rsidRPr="00957154">
        <w:t xml:space="preserve"> in NSCLC</w:t>
      </w:r>
      <w:r w:rsidR="00AE7DF6" w:rsidRPr="00957154">
        <w:t xml:space="preserve"> for osimertinib , afatinib, erlotinib, and gefitinib. </w:t>
      </w:r>
      <w:r w:rsidR="000F2E45" w:rsidRPr="00957154">
        <w:t>However, t</w:t>
      </w:r>
      <w:r w:rsidR="00A95FD5" w:rsidRPr="00957154">
        <w:t xml:space="preserve">he </w:t>
      </w:r>
      <w:r w:rsidR="00E055A4" w:rsidRPr="00957154">
        <w:t xml:space="preserve">evaluation noted that </w:t>
      </w:r>
      <w:r w:rsidR="00A95FD5" w:rsidRPr="00957154">
        <w:t xml:space="preserve">current listings for these agents do not allow sequential use of </w:t>
      </w:r>
      <w:r w:rsidR="00A95FD5" w:rsidRPr="00957154">
        <w:rPr>
          <w:i/>
          <w:iCs/>
        </w:rPr>
        <w:t>EGFR</w:t>
      </w:r>
      <w:r w:rsidR="00A95FD5" w:rsidRPr="00957154">
        <w:t xml:space="preserve"> TKIs except for intolerance/toxicity</w:t>
      </w:r>
      <w:r w:rsidR="00EE652A" w:rsidRPr="00957154">
        <w:t>,</w:t>
      </w:r>
      <w:r w:rsidR="000F2E45" w:rsidRPr="00957154">
        <w:rPr>
          <w:rStyle w:val="FootnoteReference"/>
        </w:rPr>
        <w:footnoteReference w:id="2"/>
      </w:r>
      <w:r w:rsidR="00EE652A" w:rsidRPr="00957154">
        <w:t xml:space="preserve"> with the exception of osimertinib.</w:t>
      </w:r>
      <w:r w:rsidR="00A95FD5" w:rsidRPr="00957154">
        <w:t xml:space="preserve"> </w:t>
      </w:r>
      <w:r w:rsidR="00982608" w:rsidRPr="00957154">
        <w:t>The submission noted</w:t>
      </w:r>
      <w:r w:rsidR="00A95FD5" w:rsidRPr="00957154">
        <w:t xml:space="preserve"> </w:t>
      </w:r>
      <w:r w:rsidR="00982608" w:rsidRPr="00957154">
        <w:t xml:space="preserve">that </w:t>
      </w:r>
      <w:r w:rsidRPr="00957154">
        <w:t xml:space="preserve">other </w:t>
      </w:r>
      <w:r w:rsidRPr="00957154">
        <w:rPr>
          <w:i/>
          <w:iCs/>
        </w:rPr>
        <w:t>EGFR</w:t>
      </w:r>
      <w:r w:rsidRPr="00957154">
        <w:t xml:space="preserve"> TKIs are </w:t>
      </w:r>
      <w:r w:rsidR="00982608" w:rsidRPr="00957154">
        <w:t>“</w:t>
      </w:r>
      <w:r w:rsidRPr="00957154">
        <w:t xml:space="preserve">widely recognised as being ineffective in </w:t>
      </w:r>
      <w:r w:rsidRPr="00957154">
        <w:rPr>
          <w:i/>
          <w:iCs/>
        </w:rPr>
        <w:t>EGFR</w:t>
      </w:r>
      <w:r w:rsidRPr="00957154">
        <w:t xml:space="preserve"> ex20ins positive </w:t>
      </w:r>
      <w:r w:rsidRPr="00957154">
        <w:lastRenderedPageBreak/>
        <w:t>NSCLC”</w:t>
      </w:r>
      <w:r w:rsidR="00AE7DF6" w:rsidRPr="00957154">
        <w:t>.</w:t>
      </w:r>
      <w:r w:rsidRPr="00957154">
        <w:t xml:space="preserve"> </w:t>
      </w:r>
      <w:r w:rsidR="0067078D">
        <w:t xml:space="preserve">The submission </w:t>
      </w:r>
      <w:r w:rsidR="00AE7DFB">
        <w:t>stated</w:t>
      </w:r>
      <w:r w:rsidR="0067078D">
        <w:t xml:space="preserve"> that Study </w:t>
      </w:r>
      <w:r w:rsidRPr="00EF0BCE">
        <w:t xml:space="preserve">101 included patients </w:t>
      </w:r>
      <w:r w:rsidR="006F5627">
        <w:t xml:space="preserve">who had been </w:t>
      </w:r>
      <w:r w:rsidR="00AE7DF6">
        <w:t xml:space="preserve">previously </w:t>
      </w:r>
      <w:r w:rsidR="006F5627">
        <w:t>treated</w:t>
      </w:r>
      <w:r w:rsidRPr="00EF0BCE">
        <w:t xml:space="preserve"> with other </w:t>
      </w:r>
      <w:r w:rsidRPr="00AE7DFB">
        <w:rPr>
          <w:i/>
        </w:rPr>
        <w:t>EGFR</w:t>
      </w:r>
      <w:r w:rsidRPr="00EF0BCE">
        <w:t xml:space="preserve"> TKIs</w:t>
      </w:r>
      <w:r w:rsidR="006F5627">
        <w:t>,</w:t>
      </w:r>
      <w:r w:rsidR="0067078D">
        <w:t xml:space="preserve"> and that </w:t>
      </w:r>
      <w:r w:rsidRPr="00EF0BCE">
        <w:t xml:space="preserve">a </w:t>
      </w:r>
      <w:r w:rsidRPr="00440A1E">
        <w:t>post-hoc</w:t>
      </w:r>
      <w:r w:rsidRPr="00EF0BCE">
        <w:t xml:space="preserve"> subgroup analysis showed </w:t>
      </w:r>
      <w:r w:rsidR="0067078D">
        <w:t xml:space="preserve">there was </w:t>
      </w:r>
      <w:r w:rsidRPr="00EF0BCE">
        <w:t xml:space="preserve">no statistically significant difference in </w:t>
      </w:r>
      <w:r w:rsidR="0067078D" w:rsidRPr="00957154">
        <w:t>objective response rate (</w:t>
      </w:r>
      <w:r w:rsidRPr="00957154">
        <w:t xml:space="preserve">ORR) between patients with </w:t>
      </w:r>
      <w:r w:rsidR="00863934" w:rsidRPr="00957154">
        <w:t xml:space="preserve">or </w:t>
      </w:r>
      <w:r w:rsidRPr="00957154">
        <w:t xml:space="preserve">without a history of prior </w:t>
      </w:r>
      <w:r w:rsidRPr="00AE7DFB">
        <w:rPr>
          <w:i/>
          <w:iCs/>
        </w:rPr>
        <w:t>EGFR</w:t>
      </w:r>
      <w:r w:rsidRPr="00957154">
        <w:t xml:space="preserve"> TKI use</w:t>
      </w:r>
      <w:r w:rsidR="0067078D" w:rsidRPr="00957154">
        <w:t>. The</w:t>
      </w:r>
      <w:r w:rsidR="00863934" w:rsidRPr="00957154">
        <w:t xml:space="preserve"> evaluation noted that the</w:t>
      </w:r>
      <w:r w:rsidR="00180709" w:rsidRPr="00AE7DFB">
        <w:rPr>
          <w:iCs/>
        </w:rPr>
        <w:t xml:space="preserve"> subgroup analysi</w:t>
      </w:r>
      <w:r w:rsidR="0067078D" w:rsidRPr="00AE7DFB">
        <w:rPr>
          <w:iCs/>
        </w:rPr>
        <w:t>s w</w:t>
      </w:r>
      <w:r w:rsidR="00180709" w:rsidRPr="00AE7DFB">
        <w:rPr>
          <w:iCs/>
        </w:rPr>
        <w:t>as</w:t>
      </w:r>
      <w:r w:rsidR="0067078D" w:rsidRPr="00AE7DFB">
        <w:rPr>
          <w:iCs/>
        </w:rPr>
        <w:t xml:space="preserve"> based on small patient numbers </w:t>
      </w:r>
      <w:r w:rsidR="00180709" w:rsidRPr="00AE7DFB">
        <w:rPr>
          <w:iCs/>
        </w:rPr>
        <w:t xml:space="preserve">and </w:t>
      </w:r>
      <w:r w:rsidR="00AE7DF6" w:rsidRPr="00AE7DFB">
        <w:rPr>
          <w:iCs/>
        </w:rPr>
        <w:t xml:space="preserve">the results </w:t>
      </w:r>
      <w:r w:rsidR="00A95FD5" w:rsidRPr="00AE7DFB">
        <w:rPr>
          <w:iCs/>
        </w:rPr>
        <w:t>were</w:t>
      </w:r>
      <w:r w:rsidR="00180709" w:rsidRPr="00AE7DFB">
        <w:rPr>
          <w:iCs/>
        </w:rPr>
        <w:t xml:space="preserve"> not reliable </w:t>
      </w:r>
      <w:r w:rsidR="0067078D" w:rsidRPr="00AE7DFB">
        <w:rPr>
          <w:iCs/>
        </w:rPr>
        <w:t>(</w:t>
      </w:r>
      <w:r w:rsidR="00A95FD5" w:rsidRPr="00AE7DFB">
        <w:rPr>
          <w:iCs/>
        </w:rPr>
        <w:t>p</w:t>
      </w:r>
      <w:r w:rsidR="0067078D" w:rsidRPr="00AE7DFB">
        <w:rPr>
          <w:iCs/>
        </w:rPr>
        <w:t>rior TKI</w:t>
      </w:r>
      <w:r w:rsidR="00180709" w:rsidRPr="00AE7DFB">
        <w:rPr>
          <w:iCs/>
        </w:rPr>
        <w:t xml:space="preserve"> </w:t>
      </w:r>
      <w:proofErr w:type="gramStart"/>
      <w:r w:rsidR="00180709" w:rsidRPr="00AE7DFB">
        <w:rPr>
          <w:iCs/>
        </w:rPr>
        <w:t>use</w:t>
      </w:r>
      <w:r w:rsidR="0067078D" w:rsidRPr="00AE7DFB">
        <w:rPr>
          <w:iCs/>
        </w:rPr>
        <w:t>:</w:t>
      </w:r>
      <w:proofErr w:type="gramEnd"/>
      <w:r w:rsidR="0067078D" w:rsidRPr="00AE7DFB">
        <w:rPr>
          <w:iCs/>
        </w:rPr>
        <w:t xml:space="preserve"> N=29, ORR</w:t>
      </w:r>
      <w:r w:rsidR="00AE7DF6" w:rsidRPr="00AE7DFB">
        <w:rPr>
          <w:iCs/>
        </w:rPr>
        <w:t>=</w:t>
      </w:r>
      <w:r w:rsidR="0067078D" w:rsidRPr="00AE7DFB">
        <w:rPr>
          <w:iCs/>
        </w:rPr>
        <w:t xml:space="preserve">21%; </w:t>
      </w:r>
      <w:r w:rsidR="00A95FD5" w:rsidRPr="00AE7DFB">
        <w:rPr>
          <w:iCs/>
        </w:rPr>
        <w:t>n</w:t>
      </w:r>
      <w:r w:rsidR="0067078D" w:rsidRPr="00AE7DFB">
        <w:rPr>
          <w:iCs/>
        </w:rPr>
        <w:t>o prior TKI</w:t>
      </w:r>
      <w:r w:rsidR="00180709" w:rsidRPr="00AE7DFB">
        <w:rPr>
          <w:iCs/>
        </w:rPr>
        <w:t xml:space="preserve"> use</w:t>
      </w:r>
      <w:r w:rsidR="0067078D" w:rsidRPr="00AE7DFB">
        <w:rPr>
          <w:iCs/>
        </w:rPr>
        <w:t>: N=85, ORR=31%).</w:t>
      </w:r>
    </w:p>
    <w:p w14:paraId="4D993442" w14:textId="06892004" w:rsidR="00811EA1" w:rsidRPr="00D55612" w:rsidRDefault="00811EA1" w:rsidP="005D739D">
      <w:pPr>
        <w:pStyle w:val="3-BodyText"/>
      </w:pPr>
      <w:r w:rsidRPr="00811EA1">
        <w:rPr>
          <w:rFonts w:cstheme="minorHAnsi"/>
        </w:rPr>
        <w:t xml:space="preserve">The submission noted that </w:t>
      </w:r>
      <w:r w:rsidRPr="00811EA1">
        <w:rPr>
          <w:rFonts w:cstheme="minorHAnsi"/>
          <w:i/>
        </w:rPr>
        <w:t>EGFR</w:t>
      </w:r>
      <w:r w:rsidRPr="00811EA1">
        <w:rPr>
          <w:rFonts w:cstheme="minorHAnsi"/>
        </w:rPr>
        <w:t xml:space="preserve"> gene mutation testing in NSCLC</w:t>
      </w:r>
      <w:r w:rsidR="003142D8">
        <w:rPr>
          <w:rFonts w:cstheme="minorHAnsi"/>
        </w:rPr>
        <w:t>,</w:t>
      </w:r>
      <w:r w:rsidRPr="00811EA1">
        <w:rPr>
          <w:rFonts w:cstheme="minorHAnsi"/>
        </w:rPr>
        <w:t xml:space="preserve"> </w:t>
      </w:r>
      <w:r w:rsidR="003142D8" w:rsidRPr="00811EA1">
        <w:rPr>
          <w:rFonts w:cstheme="minorHAnsi"/>
        </w:rPr>
        <w:t xml:space="preserve">to determine eligibility </w:t>
      </w:r>
      <w:r w:rsidR="003142D8">
        <w:rPr>
          <w:rFonts w:cstheme="minorHAnsi"/>
        </w:rPr>
        <w:t>for</w:t>
      </w:r>
      <w:r w:rsidR="003142D8" w:rsidRPr="00811EA1">
        <w:rPr>
          <w:rFonts w:cstheme="minorHAnsi"/>
        </w:rPr>
        <w:t xml:space="preserve"> various </w:t>
      </w:r>
      <w:r w:rsidR="003142D8" w:rsidRPr="003142D8">
        <w:rPr>
          <w:rFonts w:cstheme="minorHAnsi"/>
          <w:i/>
        </w:rPr>
        <w:t>EGFR</w:t>
      </w:r>
      <w:r w:rsidR="003142D8">
        <w:rPr>
          <w:rFonts w:cstheme="minorHAnsi"/>
        </w:rPr>
        <w:t xml:space="preserve"> TKIs</w:t>
      </w:r>
      <w:r w:rsidR="003142D8" w:rsidRPr="00811EA1">
        <w:rPr>
          <w:rFonts w:cstheme="minorHAnsi"/>
        </w:rPr>
        <w:t xml:space="preserve"> </w:t>
      </w:r>
      <w:r w:rsidR="003142D8">
        <w:rPr>
          <w:rFonts w:cstheme="minorHAnsi"/>
        </w:rPr>
        <w:t>listed on the PBS (</w:t>
      </w:r>
      <w:r w:rsidR="00A95FD5" w:rsidRPr="00A95FD5">
        <w:rPr>
          <w:rFonts w:cstheme="minorHAnsi"/>
        </w:rPr>
        <w:t xml:space="preserve">Medicare Benefits Schedule </w:t>
      </w:r>
      <w:r w:rsidR="00A95FD5">
        <w:rPr>
          <w:rFonts w:cstheme="minorHAnsi"/>
        </w:rPr>
        <w:t>(</w:t>
      </w:r>
      <w:r w:rsidR="003142D8" w:rsidRPr="00811EA1">
        <w:rPr>
          <w:rFonts w:cstheme="minorHAnsi"/>
        </w:rPr>
        <w:t>MBS</w:t>
      </w:r>
      <w:r w:rsidR="00A95FD5">
        <w:rPr>
          <w:rFonts w:cstheme="minorHAnsi"/>
        </w:rPr>
        <w:t>)</w:t>
      </w:r>
      <w:r w:rsidR="003142D8" w:rsidRPr="00811EA1">
        <w:rPr>
          <w:rFonts w:cstheme="minorHAnsi"/>
        </w:rPr>
        <w:t xml:space="preserve"> Item number 73337</w:t>
      </w:r>
      <w:r w:rsidR="003142D8">
        <w:rPr>
          <w:rFonts w:cstheme="minorHAnsi"/>
        </w:rPr>
        <w:t xml:space="preserve">), </w:t>
      </w:r>
      <w:r w:rsidRPr="00811EA1">
        <w:rPr>
          <w:rFonts w:cstheme="minorHAnsi"/>
        </w:rPr>
        <w:t xml:space="preserve">is performed as </w:t>
      </w:r>
      <w:r w:rsidR="003142D8">
        <w:rPr>
          <w:rFonts w:cstheme="minorHAnsi"/>
        </w:rPr>
        <w:t xml:space="preserve">part of </w:t>
      </w:r>
      <w:r w:rsidRPr="00811EA1">
        <w:rPr>
          <w:rFonts w:cstheme="minorHAnsi"/>
        </w:rPr>
        <w:t>standard clinical practice in Australia</w:t>
      </w:r>
      <w:r w:rsidR="003142D8">
        <w:rPr>
          <w:rFonts w:cstheme="minorHAnsi"/>
        </w:rPr>
        <w:t>, and that this item</w:t>
      </w:r>
      <w:r w:rsidRPr="00811EA1">
        <w:rPr>
          <w:rFonts w:cstheme="minorHAnsi"/>
        </w:rPr>
        <w:t xml:space="preserve"> </w:t>
      </w:r>
      <w:r>
        <w:rPr>
          <w:rFonts w:cstheme="minorHAnsi"/>
        </w:rPr>
        <w:t xml:space="preserve">is </w:t>
      </w:r>
      <w:r w:rsidRPr="00811EA1">
        <w:rPr>
          <w:rFonts w:cstheme="minorHAnsi"/>
        </w:rPr>
        <w:t xml:space="preserve">agnostic to the </w:t>
      </w:r>
      <w:r>
        <w:rPr>
          <w:rFonts w:cstheme="minorHAnsi"/>
        </w:rPr>
        <w:t>specific</w:t>
      </w:r>
      <w:r w:rsidRPr="00811EA1">
        <w:rPr>
          <w:rFonts w:cstheme="minorHAnsi"/>
        </w:rPr>
        <w:t xml:space="preserve"> </w:t>
      </w:r>
      <w:r w:rsidRPr="00811EA1">
        <w:rPr>
          <w:rFonts w:cstheme="minorHAnsi"/>
          <w:i/>
        </w:rPr>
        <w:t>EGFR</w:t>
      </w:r>
      <w:r w:rsidRPr="00811EA1">
        <w:rPr>
          <w:rFonts w:cstheme="minorHAnsi"/>
        </w:rPr>
        <w:t xml:space="preserve"> TKI</w:t>
      </w:r>
      <w:r w:rsidRPr="00811EA1">
        <w:rPr>
          <w:rFonts w:cstheme="minorHAnsi"/>
          <w:vertAlign w:val="superscript"/>
        </w:rPr>
        <w:footnoteReference w:id="3"/>
      </w:r>
      <w:r w:rsidRPr="00811EA1">
        <w:rPr>
          <w:rFonts w:cstheme="minorHAnsi"/>
        </w:rPr>
        <w:t xml:space="preserve">. </w:t>
      </w:r>
      <w:r w:rsidR="00A95FD5">
        <w:rPr>
          <w:rFonts w:cstheme="minorHAnsi"/>
        </w:rPr>
        <w:t xml:space="preserve">The submission </w:t>
      </w:r>
      <w:r w:rsidR="001E197D">
        <w:rPr>
          <w:rFonts w:cstheme="minorHAnsi"/>
        </w:rPr>
        <w:t>anticipated</w:t>
      </w:r>
      <w:r w:rsidR="00A95FD5">
        <w:rPr>
          <w:rFonts w:cstheme="minorHAnsi"/>
        </w:rPr>
        <w:t xml:space="preserve"> that </w:t>
      </w:r>
      <w:r w:rsidR="001E197D">
        <w:rPr>
          <w:rFonts w:cstheme="minorHAnsi"/>
        </w:rPr>
        <w:t>i)</w:t>
      </w:r>
      <w:r w:rsidR="00A95FD5" w:rsidRPr="00A95FD5">
        <w:rPr>
          <w:rFonts w:cstheme="minorHAnsi"/>
        </w:rPr>
        <w:t xml:space="preserve"> </w:t>
      </w:r>
      <w:r w:rsidR="001E197D">
        <w:rPr>
          <w:rFonts w:cstheme="minorHAnsi"/>
        </w:rPr>
        <w:t xml:space="preserve">a </w:t>
      </w:r>
      <w:r w:rsidR="00A95FD5" w:rsidRPr="00A95FD5">
        <w:rPr>
          <w:rFonts w:cstheme="minorHAnsi"/>
        </w:rPr>
        <w:t xml:space="preserve">PBS listing for mobocertinib would have no impact on the number of </w:t>
      </w:r>
      <w:r w:rsidR="00A95FD5" w:rsidRPr="00A95FD5">
        <w:rPr>
          <w:rFonts w:cstheme="minorHAnsi"/>
          <w:i/>
        </w:rPr>
        <w:t xml:space="preserve">EGFR </w:t>
      </w:r>
      <w:r w:rsidR="00A95FD5" w:rsidRPr="00A95FD5">
        <w:rPr>
          <w:rFonts w:cstheme="minorHAnsi"/>
        </w:rPr>
        <w:t>tests performed in clinical practice, or on the cost to the MBS</w:t>
      </w:r>
      <w:r w:rsidR="001E197D">
        <w:rPr>
          <w:rFonts w:cstheme="minorHAnsi"/>
        </w:rPr>
        <w:t xml:space="preserve">, ii) </w:t>
      </w:r>
      <w:r w:rsidR="001E197D" w:rsidRPr="001E197D">
        <w:rPr>
          <w:rFonts w:cstheme="minorHAnsi"/>
        </w:rPr>
        <w:t xml:space="preserve">no tests beyond those already administered in routine clinical practice are required to determine eligibility for treatment with mobocertinib, </w:t>
      </w:r>
      <w:r w:rsidR="001E197D">
        <w:rPr>
          <w:rFonts w:cstheme="minorHAnsi"/>
        </w:rPr>
        <w:t xml:space="preserve">and iii) </w:t>
      </w:r>
      <w:r w:rsidR="009421BB">
        <w:rPr>
          <w:rFonts w:cstheme="minorHAnsi"/>
        </w:rPr>
        <w:t>next-</w:t>
      </w:r>
      <w:r w:rsidR="009421BB" w:rsidRPr="00811EA1">
        <w:rPr>
          <w:rFonts w:cstheme="minorHAnsi"/>
        </w:rPr>
        <w:t xml:space="preserve">generation sequencing </w:t>
      </w:r>
      <w:r w:rsidRPr="00811EA1">
        <w:rPr>
          <w:rFonts w:cstheme="minorHAnsi"/>
        </w:rPr>
        <w:t xml:space="preserve">(NGS) is currently </w:t>
      </w:r>
      <w:r w:rsidR="00180709">
        <w:rPr>
          <w:rFonts w:cstheme="minorHAnsi"/>
        </w:rPr>
        <w:t>being</w:t>
      </w:r>
      <w:r w:rsidRPr="00811EA1">
        <w:rPr>
          <w:rFonts w:cstheme="minorHAnsi"/>
        </w:rPr>
        <w:t xml:space="preserve"> </w:t>
      </w:r>
      <w:r w:rsidR="00180709">
        <w:rPr>
          <w:rFonts w:cstheme="minorHAnsi"/>
        </w:rPr>
        <w:t xml:space="preserve">assessed by </w:t>
      </w:r>
      <w:r w:rsidRPr="00811EA1">
        <w:rPr>
          <w:rFonts w:cstheme="minorHAnsi"/>
        </w:rPr>
        <w:t xml:space="preserve">the Medicare Services Advisory Committee (MSAC Assessment </w:t>
      </w:r>
      <w:r w:rsidR="00693B5E" w:rsidRPr="00440A1E">
        <w:rPr>
          <w:rFonts w:cstheme="minorHAnsi"/>
        </w:rPr>
        <w:t>1721</w:t>
      </w:r>
      <w:r w:rsidR="00693B5E">
        <w:rPr>
          <w:rFonts w:cstheme="minorHAnsi"/>
        </w:rPr>
        <w:t>)</w:t>
      </w:r>
      <w:r w:rsidR="00693B5E" w:rsidRPr="00440A1E">
        <w:rPr>
          <w:rStyle w:val="FootnoteReference"/>
          <w:rFonts w:cstheme="minorHAnsi"/>
        </w:rPr>
        <w:footnoteReference w:id="4"/>
      </w:r>
      <w:r w:rsidRPr="00811EA1">
        <w:rPr>
          <w:rFonts w:cstheme="minorHAnsi"/>
        </w:rPr>
        <w:t>)</w:t>
      </w:r>
      <w:r>
        <w:rPr>
          <w:rFonts w:cstheme="minorHAnsi"/>
        </w:rPr>
        <w:t>, which if</w:t>
      </w:r>
      <w:r w:rsidRPr="00811EA1">
        <w:rPr>
          <w:rFonts w:cstheme="minorHAnsi"/>
        </w:rPr>
        <w:t xml:space="preserve"> reimbursed, may supersede MBS </w:t>
      </w:r>
      <w:r w:rsidR="009421BB">
        <w:rPr>
          <w:rFonts w:cstheme="minorHAnsi"/>
        </w:rPr>
        <w:t>I</w:t>
      </w:r>
      <w:r w:rsidRPr="00811EA1">
        <w:rPr>
          <w:rFonts w:cstheme="minorHAnsi"/>
        </w:rPr>
        <w:t>tem 73337</w:t>
      </w:r>
      <w:r w:rsidR="00D55612">
        <w:rPr>
          <w:rFonts w:cstheme="minorHAnsi"/>
        </w:rPr>
        <w:t>.</w:t>
      </w:r>
      <w:r w:rsidR="001A5260" w:rsidRPr="00440A1E">
        <w:rPr>
          <w:rFonts w:cstheme="minorHAnsi"/>
        </w:rPr>
        <w:t xml:space="preserve"> In the </w:t>
      </w:r>
      <w:r w:rsidR="003F0D82" w:rsidRPr="00440A1E">
        <w:rPr>
          <w:rFonts w:cstheme="minorHAnsi"/>
        </w:rPr>
        <w:t>pooled</w:t>
      </w:r>
      <w:r w:rsidR="001A5260" w:rsidRPr="00440A1E">
        <w:rPr>
          <w:rFonts w:cstheme="minorHAnsi"/>
        </w:rPr>
        <w:t xml:space="preserve"> prior platinum </w:t>
      </w:r>
      <w:r w:rsidR="003F0D82" w:rsidRPr="00440A1E">
        <w:rPr>
          <w:rFonts w:cstheme="minorHAnsi"/>
        </w:rPr>
        <w:t xml:space="preserve">(PPP) </w:t>
      </w:r>
      <w:r w:rsidR="001A5260" w:rsidRPr="00440A1E">
        <w:rPr>
          <w:rFonts w:cstheme="minorHAnsi"/>
        </w:rPr>
        <w:t xml:space="preserve">treated cohort of the key mobocertinib </w:t>
      </w:r>
      <w:r w:rsidR="003F0D82" w:rsidRPr="00440A1E">
        <w:rPr>
          <w:rFonts w:cstheme="minorHAnsi"/>
        </w:rPr>
        <w:t xml:space="preserve">study </w:t>
      </w:r>
      <w:r w:rsidR="001A5260" w:rsidRPr="00440A1E">
        <w:rPr>
          <w:rFonts w:cstheme="minorHAnsi"/>
        </w:rPr>
        <w:t xml:space="preserve">(Study 101), 48% of patients </w:t>
      </w:r>
      <w:r w:rsidR="0053370C" w:rsidRPr="00440A1E">
        <w:rPr>
          <w:rFonts w:cstheme="minorHAnsi"/>
        </w:rPr>
        <w:t>were tested with S</w:t>
      </w:r>
      <w:r w:rsidR="001A5260" w:rsidRPr="00440A1E">
        <w:rPr>
          <w:rFonts w:cstheme="minorHAnsi"/>
        </w:rPr>
        <w:t xml:space="preserve">anger sequencing or NGS, </w:t>
      </w:r>
      <w:r w:rsidR="0053370C" w:rsidRPr="00440A1E">
        <w:rPr>
          <w:rFonts w:cstheme="minorHAnsi"/>
        </w:rPr>
        <w:t>and 22% were tested using polymerase chain reaction methods. The testing methods for the remaining patients were not specified.</w:t>
      </w:r>
    </w:p>
    <w:p w14:paraId="097699E0" w14:textId="084B82E9" w:rsidR="00D55612" w:rsidRPr="00876114" w:rsidRDefault="009C043E" w:rsidP="00940E45">
      <w:pPr>
        <w:pStyle w:val="3-BodyText"/>
      </w:pPr>
      <w:r w:rsidRPr="00440A1E">
        <w:t xml:space="preserve">The prevalence of </w:t>
      </w:r>
      <w:r w:rsidRPr="00440A1E">
        <w:rPr>
          <w:i/>
        </w:rPr>
        <w:t>EGFR</w:t>
      </w:r>
      <w:r w:rsidRPr="00440A1E">
        <w:t xml:space="preserve"> ex20ins variants in NSCLC varies depending on the genotyping technique. According to the literature, </w:t>
      </w:r>
      <w:r w:rsidR="001E197D" w:rsidRPr="00863934">
        <w:rPr>
          <w:i/>
        </w:rPr>
        <w:t>EGFR</w:t>
      </w:r>
      <w:r w:rsidR="001E197D" w:rsidRPr="00440A1E">
        <w:t xml:space="preserve"> ex20ins accounts for </w:t>
      </w:r>
      <w:r w:rsidRPr="00440A1E">
        <w:t>1–10%</w:t>
      </w:r>
      <w:r w:rsidR="003142D8" w:rsidRPr="00440A1E">
        <w:rPr>
          <w:rStyle w:val="FootnoteReference"/>
          <w:rFonts w:cstheme="minorHAnsi"/>
          <w:iCs/>
        </w:rPr>
        <w:footnoteReference w:id="5"/>
      </w:r>
      <w:r w:rsidR="001E197D" w:rsidRPr="00440A1E">
        <w:t xml:space="preserve"> of </w:t>
      </w:r>
      <w:r w:rsidR="001E197D" w:rsidRPr="00440A1E">
        <w:rPr>
          <w:i/>
        </w:rPr>
        <w:t>EGFR</w:t>
      </w:r>
      <w:r w:rsidR="001E197D" w:rsidRPr="00440A1E">
        <w:t xml:space="preserve"> variants identified in NSCLC</w:t>
      </w:r>
      <w:r w:rsidRPr="00440A1E">
        <w:t xml:space="preserve">. </w:t>
      </w:r>
      <w:r w:rsidR="00D55612" w:rsidRPr="00440A1E">
        <w:t xml:space="preserve">Because </w:t>
      </w:r>
      <w:r w:rsidR="00D55612" w:rsidRPr="00440A1E">
        <w:rPr>
          <w:i/>
        </w:rPr>
        <w:t>EGFR</w:t>
      </w:r>
      <w:r w:rsidR="00D55612" w:rsidRPr="00440A1E">
        <w:t xml:space="preserve"> ex</w:t>
      </w:r>
      <w:r w:rsidR="001E197D" w:rsidRPr="00440A1E">
        <w:t>2</w:t>
      </w:r>
      <w:r w:rsidR="00D55612" w:rsidRPr="00440A1E">
        <w:t xml:space="preserve">0ins are </w:t>
      </w:r>
      <w:r w:rsidRPr="00440A1E">
        <w:t xml:space="preserve">highly </w:t>
      </w:r>
      <w:r w:rsidR="00D55612" w:rsidRPr="00440A1E">
        <w:t xml:space="preserve">molecularly heterogeneous, the ability to identify the range of variants is dependent on the test methods used and PCR detection methods are considered to have a </w:t>
      </w:r>
      <w:r w:rsidR="001E197D" w:rsidRPr="00440A1E">
        <w:t>“</w:t>
      </w:r>
      <w:r w:rsidR="00D55612" w:rsidRPr="00440A1E">
        <w:t>miss” rate of more than 50%</w:t>
      </w:r>
      <w:r w:rsidR="00D55612" w:rsidRPr="00440A1E">
        <w:rPr>
          <w:rStyle w:val="FootnoteReference"/>
          <w:rFonts w:cstheme="minorHAnsi"/>
          <w:iCs/>
        </w:rPr>
        <w:footnoteReference w:id="6"/>
      </w:r>
      <w:bookmarkStart w:id="11" w:name="_Ref112942728"/>
      <w:r w:rsidR="003142D8" w:rsidRPr="00440A1E">
        <w:rPr>
          <w:rStyle w:val="FootnoteReference"/>
          <w:rFonts w:cstheme="minorHAnsi"/>
          <w:iCs/>
        </w:rPr>
        <w:footnoteReference w:id="7"/>
      </w:r>
      <w:bookmarkEnd w:id="11"/>
      <w:r w:rsidR="00D55612" w:rsidRPr="00440A1E">
        <w:t xml:space="preserve">. Thus, PCR methods may not be optimal for </w:t>
      </w:r>
      <w:r w:rsidR="001E197D" w:rsidRPr="00440A1E">
        <w:t xml:space="preserve">the detection of </w:t>
      </w:r>
      <w:r w:rsidR="00D55612" w:rsidRPr="00440A1E">
        <w:rPr>
          <w:i/>
        </w:rPr>
        <w:t>EGFR</w:t>
      </w:r>
      <w:r w:rsidR="00D55612" w:rsidRPr="00440A1E">
        <w:t xml:space="preserve"> ex20ins variants, and NGS testing remains important </w:t>
      </w:r>
      <w:r w:rsidR="00D34CE5" w:rsidRPr="00440A1E">
        <w:t>in this regard</w:t>
      </w:r>
      <w:r w:rsidR="003C489E" w:rsidRPr="00440A1E">
        <w:fldChar w:fldCharType="begin"/>
      </w:r>
      <w:r w:rsidR="003C489E" w:rsidRPr="00440A1E">
        <w:instrText xml:space="preserve"> NOTEREF _Ref112942728 \f \h </w:instrText>
      </w:r>
      <w:r w:rsidR="00440A1E">
        <w:instrText xml:space="preserve"> \* MERGEFORMAT </w:instrText>
      </w:r>
      <w:r w:rsidR="003C489E" w:rsidRPr="00440A1E">
        <w:fldChar w:fldCharType="separate"/>
      </w:r>
      <w:r w:rsidR="001635D4" w:rsidRPr="001635D4">
        <w:rPr>
          <w:rStyle w:val="FootnoteReference"/>
          <w:iCs/>
        </w:rPr>
        <w:t>7</w:t>
      </w:r>
      <w:r w:rsidR="003C489E" w:rsidRPr="00440A1E">
        <w:fldChar w:fldCharType="end"/>
      </w:r>
      <w:r w:rsidR="00D55612" w:rsidRPr="00440A1E">
        <w:t>.</w:t>
      </w:r>
    </w:p>
    <w:p w14:paraId="62F93A99" w14:textId="3EC55CF5" w:rsidR="00940E45" w:rsidRDefault="00940E45" w:rsidP="00940E45">
      <w:pPr>
        <w:pStyle w:val="3-BodyText"/>
        <w:rPr>
          <w:sz w:val="20"/>
          <w:szCs w:val="20"/>
        </w:rPr>
      </w:pPr>
      <w:bookmarkStart w:id="12" w:name="_Hlk121476155"/>
      <w:r>
        <w:t xml:space="preserve">The submission requested access be limited to non-squamous or not otherwise specified NSCLC subtypes. The PBAC agreed with the ESC that it may be appropriate to remove the reference to histology in the criteria to allow patients with squamous cell NSCLC to access treatment, due to the very small number of these patients in the </w:t>
      </w:r>
      <w:r>
        <w:lastRenderedPageBreak/>
        <w:t xml:space="preserve">community and their inclusion within the trial used as evidence in the submission. However, the PBAC noted that MBS item 73337 refers specifically to testing for </w:t>
      </w:r>
      <w:r>
        <w:rPr>
          <w:i/>
          <w:iCs/>
        </w:rPr>
        <w:t>EGFR</w:t>
      </w:r>
      <w:r>
        <w:t xml:space="preserve"> status in non-squamous or ‘not otherwise specified’ histology and patients with squamous histology do not currently have access to testing.</w:t>
      </w:r>
    </w:p>
    <w:bookmarkEnd w:id="12"/>
    <w:p w14:paraId="702847CA" w14:textId="4682AB9D" w:rsidR="00AE7DFB" w:rsidRPr="006079D6" w:rsidRDefault="00F07693" w:rsidP="006079D6">
      <w:pPr>
        <w:pStyle w:val="3-BodyText"/>
        <w:rPr>
          <w:iCs/>
        </w:rPr>
      </w:pPr>
      <w:r w:rsidRPr="00957154">
        <w:rPr>
          <w:iCs/>
        </w:rPr>
        <w:t>The ESC considered that it may not be reasonable to require patients to have a</w:t>
      </w:r>
      <w:r w:rsidR="00166781">
        <w:rPr>
          <w:iCs/>
        </w:rPr>
        <w:t xml:space="preserve"> WHO</w:t>
      </w:r>
      <w:r w:rsidRPr="00957154">
        <w:rPr>
          <w:iCs/>
        </w:rPr>
        <w:t xml:space="preserve"> performance status of</w:t>
      </w:r>
      <w:r w:rsidR="00D973BA">
        <w:rPr>
          <w:iCs/>
        </w:rPr>
        <w:t xml:space="preserve"> 0 or</w:t>
      </w:r>
      <w:r w:rsidRPr="00957154">
        <w:rPr>
          <w:iCs/>
        </w:rPr>
        <w:t xml:space="preserve"> 1</w:t>
      </w:r>
      <w:r w:rsidR="00D973BA">
        <w:rPr>
          <w:iCs/>
        </w:rPr>
        <w:t xml:space="preserve"> prior to initiation of treatment with</w:t>
      </w:r>
      <w:r w:rsidR="00166781">
        <w:rPr>
          <w:iCs/>
        </w:rPr>
        <w:t xml:space="preserve"> mobocertinib </w:t>
      </w:r>
      <w:bookmarkStart w:id="13" w:name="_Hlk119677270"/>
      <w:r w:rsidR="00166781">
        <w:rPr>
          <w:iCs/>
        </w:rPr>
        <w:t xml:space="preserve">as </w:t>
      </w:r>
      <w:r w:rsidRPr="00957154">
        <w:rPr>
          <w:iCs/>
        </w:rPr>
        <w:t>it may be appropriate for</w:t>
      </w:r>
      <w:r w:rsidR="002563EF">
        <w:rPr>
          <w:iCs/>
        </w:rPr>
        <w:t xml:space="preserve"> some</w:t>
      </w:r>
      <w:r w:rsidRPr="00957154">
        <w:rPr>
          <w:iCs/>
        </w:rPr>
        <w:t xml:space="preserve"> patients who have a status of </w:t>
      </w:r>
      <w:r w:rsidRPr="00957154">
        <w:rPr>
          <w:rFonts w:cstheme="minorHAnsi"/>
          <w:iCs/>
        </w:rPr>
        <w:t>≥</w:t>
      </w:r>
      <w:r w:rsidRPr="00957154">
        <w:rPr>
          <w:iCs/>
        </w:rPr>
        <w:t xml:space="preserve">2 to </w:t>
      </w:r>
      <w:r w:rsidR="006D1F21" w:rsidRPr="00957154">
        <w:rPr>
          <w:iCs/>
        </w:rPr>
        <w:t>receive</w:t>
      </w:r>
      <w:r w:rsidRPr="00957154">
        <w:rPr>
          <w:iCs/>
        </w:rPr>
        <w:t xml:space="preserve"> treat</w:t>
      </w:r>
      <w:r w:rsidR="006D1F21" w:rsidRPr="00957154">
        <w:rPr>
          <w:iCs/>
        </w:rPr>
        <w:t>ment</w:t>
      </w:r>
      <w:bookmarkEnd w:id="13"/>
      <w:r w:rsidRPr="00957154">
        <w:rPr>
          <w:iCs/>
        </w:rPr>
        <w:t>.</w:t>
      </w:r>
      <w:r w:rsidR="00717354">
        <w:rPr>
          <w:iCs/>
        </w:rPr>
        <w:t xml:space="preserve"> The PBAC considered it would be appropriate </w:t>
      </w:r>
      <w:r w:rsidR="00166781">
        <w:rPr>
          <w:iCs/>
        </w:rPr>
        <w:t xml:space="preserve">for </w:t>
      </w:r>
      <w:r w:rsidR="00717354">
        <w:rPr>
          <w:iCs/>
        </w:rPr>
        <w:t xml:space="preserve">patients to have WHO performance status of 2 or less, consistent with the current listings for EGFR TKIs. </w:t>
      </w:r>
    </w:p>
    <w:p w14:paraId="25ABE097" w14:textId="60EE66D1" w:rsidR="007A2D71" w:rsidRPr="00957154" w:rsidRDefault="007A2D71" w:rsidP="007A2D71">
      <w:pPr>
        <w:pStyle w:val="3-BodyText"/>
        <w:numPr>
          <w:ilvl w:val="0"/>
          <w:numId w:val="0"/>
        </w:numPr>
        <w:ind w:left="720"/>
        <w:rPr>
          <w:iCs/>
        </w:rPr>
      </w:pPr>
      <w:r w:rsidRPr="00C33D30">
        <w:rPr>
          <w:i/>
        </w:rPr>
        <w:t>For more detail on PBAC’s view, see section 7 PBAC outcome.</w:t>
      </w:r>
    </w:p>
    <w:p w14:paraId="25F9EE4F" w14:textId="77777777" w:rsidR="00B50DB8" w:rsidRPr="00407F2D" w:rsidDel="00195452" w:rsidRDefault="00203181" w:rsidP="000711EA">
      <w:pPr>
        <w:pStyle w:val="2-SectionHeading"/>
        <w:keepNext w:val="0"/>
      </w:pPr>
      <w:bookmarkStart w:id="14" w:name="_Toc113895838"/>
      <w:r w:rsidDel="00195452">
        <w:t xml:space="preserve">Population and </w:t>
      </w:r>
      <w:r w:rsidR="008E0D3C" w:rsidDel="00195452">
        <w:t>d</w:t>
      </w:r>
      <w:r w:rsidDel="00195452">
        <w:t>isease</w:t>
      </w:r>
      <w:bookmarkEnd w:id="14"/>
    </w:p>
    <w:p w14:paraId="00380E91" w14:textId="7E2DF90B" w:rsidR="00894489" w:rsidRPr="00726ECF" w:rsidRDefault="00D55612" w:rsidP="000711EA">
      <w:pPr>
        <w:pStyle w:val="3-BodyText"/>
      </w:pPr>
      <w:r w:rsidRPr="00726ECF">
        <w:t>Lung cancer is the fourth most often diagnosed cancer for both men and women in Australia, representing approximately 9% of all new cancer diagnoses, and the leading cause of cancer mortality. The Australian Institute of Health and Welfare (AIHW) estimated that approximately 13,810 patients were</w:t>
      </w:r>
      <w:r w:rsidR="00E2550D">
        <w:t xml:space="preserve"> </w:t>
      </w:r>
      <w:r w:rsidRPr="00726ECF">
        <w:t>diagnosed with lung cancer in 2021, while around 8,693 patients died from the disease</w:t>
      </w:r>
      <w:r w:rsidR="002C6CB6">
        <w:rPr>
          <w:rStyle w:val="FootnoteReference"/>
        </w:rPr>
        <w:footnoteReference w:id="8"/>
      </w:r>
      <w:r w:rsidRPr="00726ECF">
        <w:t>.</w:t>
      </w:r>
    </w:p>
    <w:p w14:paraId="01937731" w14:textId="77777777" w:rsidR="00D55612" w:rsidRPr="00440A1E" w:rsidRDefault="00D55612" w:rsidP="000711EA">
      <w:pPr>
        <w:pStyle w:val="3-BodyText"/>
        <w:rPr>
          <w:iCs/>
        </w:rPr>
      </w:pPr>
      <w:r w:rsidRPr="00440A1E">
        <w:rPr>
          <w:iCs/>
        </w:rPr>
        <w:t xml:space="preserve">The most common (termed “classical”) </w:t>
      </w:r>
      <w:r w:rsidRPr="00440A1E">
        <w:rPr>
          <w:i/>
        </w:rPr>
        <w:t>EGFR</w:t>
      </w:r>
      <w:r w:rsidRPr="00440A1E">
        <w:rPr>
          <w:iCs/>
        </w:rPr>
        <w:t xml:space="preserve"> variants in NSCLC are deletions in exon 19 or the L858R point mutation in exon 21 which together account for 85-90% of </w:t>
      </w:r>
      <w:r w:rsidRPr="00440A1E">
        <w:rPr>
          <w:i/>
        </w:rPr>
        <w:t>EGFR</w:t>
      </w:r>
      <w:r w:rsidRPr="00440A1E">
        <w:rPr>
          <w:iCs/>
        </w:rPr>
        <w:t xml:space="preserve"> variants in NSCLC. The remainder include ex20ins variants (</w:t>
      </w:r>
      <w:r w:rsidR="009C043E" w:rsidRPr="00440A1E">
        <w:rPr>
          <w:iCs/>
        </w:rPr>
        <w:t>1</w:t>
      </w:r>
      <w:r w:rsidRPr="00440A1E">
        <w:rPr>
          <w:iCs/>
        </w:rPr>
        <w:t>%-1</w:t>
      </w:r>
      <w:r w:rsidR="009C043E" w:rsidRPr="00440A1E">
        <w:rPr>
          <w:iCs/>
        </w:rPr>
        <w:t>0</w:t>
      </w:r>
      <w:r w:rsidRPr="00440A1E">
        <w:rPr>
          <w:iCs/>
        </w:rPr>
        <w:t xml:space="preserve">% of identified </w:t>
      </w:r>
      <w:r w:rsidRPr="00440A1E">
        <w:rPr>
          <w:i/>
        </w:rPr>
        <w:t>EGFR</w:t>
      </w:r>
      <w:r w:rsidRPr="00440A1E">
        <w:rPr>
          <w:iCs/>
        </w:rPr>
        <w:t xml:space="preserve"> mutations) and </w:t>
      </w:r>
      <w:r w:rsidR="009C043E" w:rsidRPr="00440A1E">
        <w:rPr>
          <w:iCs/>
        </w:rPr>
        <w:t xml:space="preserve">other </w:t>
      </w:r>
      <w:r w:rsidRPr="00440A1E">
        <w:rPr>
          <w:iCs/>
        </w:rPr>
        <w:t xml:space="preserve">point mutations at exon 18 (3-5% of identified </w:t>
      </w:r>
      <w:r w:rsidRPr="00440A1E">
        <w:rPr>
          <w:i/>
        </w:rPr>
        <w:t>EGFR</w:t>
      </w:r>
      <w:r w:rsidRPr="00440A1E">
        <w:rPr>
          <w:iCs/>
        </w:rPr>
        <w:t xml:space="preserve"> mutations), exon 21 (2-3% of identified </w:t>
      </w:r>
      <w:r w:rsidRPr="00440A1E">
        <w:rPr>
          <w:i/>
        </w:rPr>
        <w:t>EGFR</w:t>
      </w:r>
      <w:r w:rsidRPr="00440A1E">
        <w:rPr>
          <w:iCs/>
        </w:rPr>
        <w:t xml:space="preserve"> mutations), and exon 20 (1% of identified EGFR mutations)</w:t>
      </w:r>
      <w:r w:rsidR="002356F2" w:rsidRPr="00440A1E">
        <w:rPr>
          <w:rStyle w:val="FootnoteReference"/>
          <w:iCs/>
        </w:rPr>
        <w:footnoteReference w:id="9"/>
      </w:r>
      <w:r w:rsidRPr="00440A1E">
        <w:rPr>
          <w:iCs/>
        </w:rPr>
        <w:t>.</w:t>
      </w:r>
    </w:p>
    <w:p w14:paraId="11505438" w14:textId="77777777" w:rsidR="00726ECF" w:rsidRDefault="00726ECF" w:rsidP="000711EA">
      <w:pPr>
        <w:pStyle w:val="3-BodyText"/>
      </w:pPr>
      <w:r>
        <w:t xml:space="preserve">The submission noted that </w:t>
      </w:r>
      <w:r w:rsidR="002356F2">
        <w:t xml:space="preserve">as </w:t>
      </w:r>
      <w:r w:rsidRPr="00726ECF">
        <w:rPr>
          <w:i/>
        </w:rPr>
        <w:t>EGFR</w:t>
      </w:r>
      <w:r>
        <w:rPr>
          <w:i/>
        </w:rPr>
        <w:t xml:space="preserve"> </w:t>
      </w:r>
      <w:r w:rsidRPr="00726ECF">
        <w:t>ex20ins</w:t>
      </w:r>
      <w:r>
        <w:t xml:space="preserve"> variant</w:t>
      </w:r>
      <w:r w:rsidR="002356F2">
        <w:t xml:space="preserve"> NSCLC is </w:t>
      </w:r>
      <w:r>
        <w:t xml:space="preserve">associated with poor survival improvements following treatment with currently available </w:t>
      </w:r>
      <w:r w:rsidRPr="00726ECF">
        <w:rPr>
          <w:i/>
        </w:rPr>
        <w:t>EGFR</w:t>
      </w:r>
      <w:r>
        <w:t xml:space="preserve"> TKIs</w:t>
      </w:r>
      <w:r w:rsidR="002356F2">
        <w:t xml:space="preserve"> and other agents, there are limited </w:t>
      </w:r>
      <w:r>
        <w:t>treatment options</w:t>
      </w:r>
      <w:r w:rsidR="002356F2">
        <w:t xml:space="preserve"> for this disease </w:t>
      </w:r>
      <w:r w:rsidRPr="00726ECF">
        <w:t>in the refractory setting</w:t>
      </w:r>
      <w:r>
        <w:t>.</w:t>
      </w:r>
    </w:p>
    <w:p w14:paraId="51BB99C8" w14:textId="33B4816B" w:rsidR="00726ECF" w:rsidRPr="0088579F" w:rsidDel="00195452" w:rsidRDefault="00726ECF" w:rsidP="000711EA">
      <w:pPr>
        <w:pStyle w:val="3-BodyText"/>
      </w:pPr>
      <w:r>
        <w:t>The submission proposed that after failure</w:t>
      </w:r>
      <w:r w:rsidR="00F03547">
        <w:t xml:space="preserve"> of</w:t>
      </w:r>
      <w:r>
        <w:t xml:space="preserve"> PBC, patients with advanced </w:t>
      </w:r>
      <w:r w:rsidRPr="00726ECF">
        <w:rPr>
          <w:i/>
        </w:rPr>
        <w:t xml:space="preserve">EGFR </w:t>
      </w:r>
      <w:r w:rsidRPr="00726ECF">
        <w:t xml:space="preserve">ex20ins </w:t>
      </w:r>
      <w:r>
        <w:t>NSCLC be eligible for mobocertinib</w:t>
      </w:r>
      <w:r w:rsidRPr="00726ECF">
        <w:t>.</w:t>
      </w:r>
      <w:r w:rsidR="00753573">
        <w:t xml:space="preserve"> The submission noted that u</w:t>
      </w:r>
      <w:r w:rsidR="00753573" w:rsidRPr="00753573">
        <w:t xml:space="preserve">pon disease progression on or following first-line therapy, National Comprehensive Cancer </w:t>
      </w:r>
      <w:r w:rsidR="00753573" w:rsidRPr="0088579F">
        <w:t>Network (NCCN) guidelines</w:t>
      </w:r>
      <w:r w:rsidR="00753573" w:rsidRPr="0088579F">
        <w:rPr>
          <w:rStyle w:val="FootnoteReference"/>
        </w:rPr>
        <w:footnoteReference w:id="10"/>
      </w:r>
      <w:r w:rsidR="00753573" w:rsidRPr="0088579F">
        <w:t xml:space="preserve"> recommend either mobocertinib or amivantamab </w:t>
      </w:r>
      <w:r w:rsidR="00AC5A72" w:rsidRPr="0088579F">
        <w:t>(FDA approved</w:t>
      </w:r>
      <w:r w:rsidR="00214F84">
        <w:t xml:space="preserve"> but not available in Australia</w:t>
      </w:r>
      <w:r w:rsidR="00AC5A72" w:rsidRPr="0088579F">
        <w:t xml:space="preserve">) </w:t>
      </w:r>
      <w:r w:rsidR="00753573" w:rsidRPr="0088579F">
        <w:t xml:space="preserve">for </w:t>
      </w:r>
      <w:r w:rsidR="002356F2">
        <w:t>these patients</w:t>
      </w:r>
      <w:r w:rsidR="00753573" w:rsidRPr="0088579F">
        <w:t>.</w:t>
      </w:r>
    </w:p>
    <w:p w14:paraId="25077DFA" w14:textId="2E16E9AB" w:rsidR="007627BE" w:rsidRDefault="0088579F" w:rsidP="000711EA">
      <w:pPr>
        <w:pStyle w:val="3-BodyText"/>
      </w:pPr>
      <w:bookmarkStart w:id="15" w:name="_Ref113443777"/>
      <w:r w:rsidRPr="0088579F">
        <w:t xml:space="preserve">Mobocertinib (formerly known as TAK-788) is a selective irreversible TKI for </w:t>
      </w:r>
      <w:r w:rsidRPr="0088579F">
        <w:rPr>
          <w:i/>
        </w:rPr>
        <w:t xml:space="preserve">EGFR </w:t>
      </w:r>
      <w:r w:rsidRPr="0088579F">
        <w:t xml:space="preserve">with a higher binding affinity to </w:t>
      </w:r>
      <w:r w:rsidRPr="0088579F">
        <w:rPr>
          <w:i/>
        </w:rPr>
        <w:t>EGFR</w:t>
      </w:r>
      <w:r w:rsidRPr="0088579F">
        <w:t xml:space="preserve"> ex20ins variants at lower concentrations compared </w:t>
      </w:r>
      <w:r w:rsidRPr="0088579F">
        <w:lastRenderedPageBreak/>
        <w:t xml:space="preserve">to wild-type </w:t>
      </w:r>
      <w:r w:rsidRPr="0088579F">
        <w:rPr>
          <w:i/>
        </w:rPr>
        <w:t>EGFR</w:t>
      </w:r>
      <w:r w:rsidRPr="0088579F">
        <w:t>. This differentiates it</w:t>
      </w:r>
      <w:r w:rsidR="002356F2">
        <w:t xml:space="preserve"> from available classical first-generation </w:t>
      </w:r>
      <w:r w:rsidRPr="0088579F">
        <w:t>(gefitinib and erlotinib) and second</w:t>
      </w:r>
      <w:r w:rsidR="002356F2">
        <w:t>-generation</w:t>
      </w:r>
      <w:r w:rsidRPr="0088579F">
        <w:t xml:space="preserve"> (afatinib) </w:t>
      </w:r>
      <w:r w:rsidR="002356F2" w:rsidRPr="002356F2">
        <w:rPr>
          <w:i/>
        </w:rPr>
        <w:t xml:space="preserve">EGFR </w:t>
      </w:r>
      <w:r w:rsidRPr="0088579F">
        <w:t xml:space="preserve">TKIs to which ex20ins </w:t>
      </w:r>
      <w:r w:rsidR="002356F2">
        <w:t>variant</w:t>
      </w:r>
      <w:r w:rsidRPr="0088579F">
        <w:t>s are typically insensitive.</w:t>
      </w:r>
      <w:bookmarkEnd w:id="15"/>
    </w:p>
    <w:p w14:paraId="400F008A" w14:textId="3863D415" w:rsidR="007A2D71" w:rsidRPr="0088579F" w:rsidDel="00195452" w:rsidRDefault="007A2D71" w:rsidP="007A2D71">
      <w:pPr>
        <w:pStyle w:val="3-BodyText"/>
        <w:numPr>
          <w:ilvl w:val="0"/>
          <w:numId w:val="0"/>
        </w:numPr>
        <w:ind w:left="720"/>
      </w:pPr>
      <w:r w:rsidRPr="00C33D30">
        <w:rPr>
          <w:i/>
        </w:rPr>
        <w:t>For more detail on PBAC’s view, see section 7 PBAC outcome.</w:t>
      </w:r>
    </w:p>
    <w:p w14:paraId="2B789E03" w14:textId="77777777" w:rsidR="00B50DB8" w:rsidRPr="00D04166" w:rsidRDefault="00B50DB8" w:rsidP="00673468">
      <w:pPr>
        <w:pStyle w:val="2-SectionHeading"/>
        <w:keepLines/>
      </w:pPr>
      <w:bookmarkStart w:id="16" w:name="_Toc113895839"/>
      <w:r w:rsidRPr="00D04166">
        <w:t>Comparator</w:t>
      </w:r>
      <w:bookmarkEnd w:id="16"/>
    </w:p>
    <w:p w14:paraId="4D52A9CA" w14:textId="2ED5A2CA" w:rsidR="006F72EE" w:rsidRPr="00957154" w:rsidRDefault="0088579F" w:rsidP="00673468">
      <w:pPr>
        <w:pStyle w:val="3-BodyText"/>
        <w:keepNext/>
        <w:keepLines/>
        <w:rPr>
          <w:snapToGrid/>
          <w:lang w:val="en-US"/>
        </w:rPr>
      </w:pPr>
      <w:bookmarkStart w:id="17" w:name="_Ref113895962"/>
      <w:r w:rsidRPr="00D04166">
        <w:t xml:space="preserve">The submission nominated SOC comprising of </w:t>
      </w:r>
      <w:r w:rsidR="00804E1F">
        <w:t xml:space="preserve">standard </w:t>
      </w:r>
      <w:r w:rsidRPr="003B5175">
        <w:rPr>
          <w:i/>
        </w:rPr>
        <w:t>EGFR</w:t>
      </w:r>
      <w:r w:rsidRPr="00D04166">
        <w:t xml:space="preserve"> TKIs</w:t>
      </w:r>
      <w:r w:rsidR="0015122B">
        <w:t xml:space="preserve"> targeting classical </w:t>
      </w:r>
      <w:r w:rsidR="0015122B" w:rsidRPr="003B5175">
        <w:rPr>
          <w:i/>
        </w:rPr>
        <w:t xml:space="preserve">EGFR </w:t>
      </w:r>
      <w:r w:rsidR="0015122B">
        <w:t>variants</w:t>
      </w:r>
      <w:r w:rsidRPr="00D04166">
        <w:t>, ICIs, and chemotherapy</w:t>
      </w:r>
      <w:r w:rsidR="00D34CE5">
        <w:t>, as the main comparator</w:t>
      </w:r>
      <w:r w:rsidRPr="00D04166">
        <w:t xml:space="preserve">. The main arguments provided in the </w:t>
      </w:r>
      <w:r w:rsidRPr="00957154">
        <w:t xml:space="preserve">submission were </w:t>
      </w:r>
      <w:r w:rsidR="006F72EE" w:rsidRPr="00957154">
        <w:t>as follows:</w:t>
      </w:r>
      <w:bookmarkEnd w:id="17"/>
    </w:p>
    <w:p w14:paraId="15C9FF83" w14:textId="71B30B85" w:rsidR="00B81880" w:rsidRPr="00B81880" w:rsidRDefault="00FE7DA8" w:rsidP="008D68A8">
      <w:pPr>
        <w:pStyle w:val="3-BodyText"/>
        <w:numPr>
          <w:ilvl w:val="0"/>
          <w:numId w:val="10"/>
        </w:numPr>
        <w:rPr>
          <w:i/>
          <w:snapToGrid/>
          <w:lang w:val="en-US"/>
        </w:rPr>
      </w:pPr>
      <w:r w:rsidRPr="00957154">
        <w:t xml:space="preserve">Standard </w:t>
      </w:r>
      <w:r w:rsidRPr="00CC78CC">
        <w:rPr>
          <w:i/>
          <w:iCs/>
        </w:rPr>
        <w:t>EGFR</w:t>
      </w:r>
      <w:r w:rsidRPr="00957154">
        <w:t xml:space="preserve"> TKIs </w:t>
      </w:r>
      <w:r w:rsidR="009C2E13" w:rsidRPr="00957154">
        <w:t>(</w:t>
      </w:r>
      <w:r w:rsidR="008126D0" w:rsidRPr="00957154">
        <w:t xml:space="preserve">including </w:t>
      </w:r>
      <w:r w:rsidR="00C7384B" w:rsidRPr="00957154">
        <w:t>gefitinib</w:t>
      </w:r>
      <w:r w:rsidR="008126D0" w:rsidRPr="00957154">
        <w:t>, erlotinib, afatinib and osimertinib</w:t>
      </w:r>
      <w:r w:rsidR="009C2E13" w:rsidRPr="00957154">
        <w:t>)</w:t>
      </w:r>
      <w:r w:rsidR="009C2E13">
        <w:t xml:space="preserve"> </w:t>
      </w:r>
      <w:r w:rsidRPr="00FE7DA8">
        <w:t>are currently used in Australian clinical practice for the proposed indication. This has been advi</w:t>
      </w:r>
      <w:r w:rsidR="009C2E13">
        <w:t>sed</w:t>
      </w:r>
      <w:r w:rsidRPr="00FE7DA8">
        <w:t xml:space="preserve"> </w:t>
      </w:r>
      <w:r w:rsidR="009C2E13">
        <w:t>by</w:t>
      </w:r>
      <w:r w:rsidR="009C2E13" w:rsidRPr="00FE7DA8">
        <w:t xml:space="preserve"> </w:t>
      </w:r>
      <w:r w:rsidRPr="00FE7DA8">
        <w:t>the Sponsor’s Austra</w:t>
      </w:r>
      <w:r>
        <w:t>lian Medical Advisory Board (</w:t>
      </w:r>
      <w:r w:rsidRPr="00FE7DA8">
        <w:t>March 2022)</w:t>
      </w:r>
      <w:r w:rsidR="009C2E13">
        <w:t>,</w:t>
      </w:r>
      <w:r w:rsidRPr="00FE7DA8">
        <w:t xml:space="preserve"> although the extent to which they are used varies between clinicians</w:t>
      </w:r>
      <w:r>
        <w:t xml:space="preserve">. </w:t>
      </w:r>
      <w:r w:rsidR="00266D6E">
        <w:t xml:space="preserve">The </w:t>
      </w:r>
      <w:r w:rsidR="009C2E13">
        <w:t>P</w:t>
      </w:r>
      <w:r w:rsidR="00266D6E" w:rsidRPr="00D04166">
        <w:t xml:space="preserve">roduct </w:t>
      </w:r>
      <w:r w:rsidR="009C2E13">
        <w:t>I</w:t>
      </w:r>
      <w:r w:rsidR="00266D6E" w:rsidRPr="00D04166">
        <w:t xml:space="preserve">nformation (PI) </w:t>
      </w:r>
      <w:r w:rsidR="00266D6E">
        <w:t>for s</w:t>
      </w:r>
      <w:r w:rsidR="00804E1F">
        <w:t xml:space="preserve">tandard </w:t>
      </w:r>
      <w:r w:rsidR="00804E1F" w:rsidRPr="00D04166">
        <w:rPr>
          <w:i/>
        </w:rPr>
        <w:t>EGFR</w:t>
      </w:r>
      <w:r w:rsidR="00804E1F" w:rsidRPr="00D04166">
        <w:t xml:space="preserve"> TKIs </w:t>
      </w:r>
      <w:r w:rsidR="006F72EE" w:rsidRPr="00D04166">
        <w:t xml:space="preserve">do not specify the particular </w:t>
      </w:r>
      <w:r w:rsidR="00266D6E">
        <w:t>sensitising</w:t>
      </w:r>
      <w:r w:rsidR="006F72EE" w:rsidRPr="00D04166">
        <w:t xml:space="preserve"> </w:t>
      </w:r>
      <w:r w:rsidR="006F72EE" w:rsidRPr="00D04166">
        <w:rPr>
          <w:i/>
        </w:rPr>
        <w:t>EGFR</w:t>
      </w:r>
      <w:r w:rsidR="006F72EE" w:rsidRPr="00D04166">
        <w:t xml:space="preserve"> mutation</w:t>
      </w:r>
      <w:r w:rsidR="00266D6E">
        <w:t xml:space="preserve"> except for </w:t>
      </w:r>
      <w:r w:rsidR="00D34CE5" w:rsidRPr="00D04166">
        <w:t>osimertinib</w:t>
      </w:r>
      <w:r w:rsidR="00DD6184">
        <w:rPr>
          <w:rStyle w:val="FootnoteReference"/>
        </w:rPr>
        <w:footnoteReference w:id="11"/>
      </w:r>
      <w:r w:rsidR="00D34CE5" w:rsidRPr="00D04166">
        <w:t xml:space="preserve"> </w:t>
      </w:r>
      <w:r w:rsidR="00D34CE5">
        <w:t xml:space="preserve">(requirement of a </w:t>
      </w:r>
      <w:r w:rsidR="00D34CE5" w:rsidRPr="00D04166">
        <w:rPr>
          <w:i/>
        </w:rPr>
        <w:t>EGFR</w:t>
      </w:r>
      <w:r w:rsidR="00D34CE5" w:rsidRPr="00D04166">
        <w:t xml:space="preserve"> T790M acquired resistance mutation</w:t>
      </w:r>
      <w:r w:rsidR="00D34CE5">
        <w:t>)</w:t>
      </w:r>
      <w:r w:rsidR="006F72EE" w:rsidRPr="00D04166">
        <w:t>.</w:t>
      </w:r>
      <w:r w:rsidR="00B81880">
        <w:t xml:space="preserve"> </w:t>
      </w:r>
    </w:p>
    <w:p w14:paraId="49F78D2C" w14:textId="77777777" w:rsidR="00B81880" w:rsidRPr="00B81880" w:rsidRDefault="00D0442E" w:rsidP="008D68A8">
      <w:pPr>
        <w:pStyle w:val="3-BodyText"/>
        <w:numPr>
          <w:ilvl w:val="0"/>
          <w:numId w:val="10"/>
        </w:numPr>
        <w:rPr>
          <w:lang w:val="en-US"/>
        </w:rPr>
      </w:pPr>
      <w:r>
        <w:t>ICIs</w:t>
      </w:r>
      <w:r w:rsidR="006F72EE" w:rsidRPr="00D04166">
        <w:t xml:space="preserve"> are TGA approved for use as monotherapy in the second-line treatment setting for metastatic NSCLC, noting that patients with </w:t>
      </w:r>
      <w:r w:rsidR="006F72EE" w:rsidRPr="00D04166">
        <w:rPr>
          <w:i/>
        </w:rPr>
        <w:t>EGFR</w:t>
      </w:r>
      <w:r w:rsidR="006F72EE" w:rsidRPr="00D04166">
        <w:t xml:space="preserve"> mutant disease should have received targeted therapies before receiving these agents</w:t>
      </w:r>
      <w:r w:rsidR="00D04166" w:rsidRPr="00D04166">
        <w:t xml:space="preserve">. </w:t>
      </w:r>
      <w:r w:rsidR="00FE7DA8">
        <w:t>A</w:t>
      </w:r>
      <w:r>
        <w:t>dvice from the</w:t>
      </w:r>
      <w:r w:rsidR="00677C95">
        <w:t xml:space="preserve"> Sponsor’s</w:t>
      </w:r>
      <w:r>
        <w:t xml:space="preserve"> </w:t>
      </w:r>
      <w:r w:rsidRPr="00D0442E">
        <w:t xml:space="preserve">Medical Advisory Board </w:t>
      </w:r>
      <w:r>
        <w:t xml:space="preserve">showed that </w:t>
      </w:r>
      <w:r w:rsidR="00487C50" w:rsidRPr="00487C50">
        <w:t>these agents are currently being used after PBC although the extent to which they are used varies between clinicians</w:t>
      </w:r>
      <w:r w:rsidR="00D04166" w:rsidRPr="00D04166">
        <w:t>.</w:t>
      </w:r>
      <w:r w:rsidR="00DD6184">
        <w:t xml:space="preserve"> </w:t>
      </w:r>
    </w:p>
    <w:p w14:paraId="2FF436BA" w14:textId="652EE560" w:rsidR="00967C4B" w:rsidRPr="00967C4B" w:rsidRDefault="00D04166" w:rsidP="008D68A8">
      <w:pPr>
        <w:pStyle w:val="3-BodyText"/>
        <w:numPr>
          <w:ilvl w:val="0"/>
          <w:numId w:val="10"/>
        </w:numPr>
        <w:rPr>
          <w:snapToGrid/>
          <w:lang w:val="en-US"/>
        </w:rPr>
      </w:pPr>
      <w:r w:rsidRPr="00D04166">
        <w:t>Chemotherapy agents currently used in Australian clinical practice in the second-line treatment setting for advanced NSCLC include docetaxel, gemcitabine, pemetrexed, carboplatin and paclitaxel.</w:t>
      </w:r>
    </w:p>
    <w:p w14:paraId="723D4C37" w14:textId="52459F23" w:rsidR="00A439FE" w:rsidRPr="00A439FE" w:rsidRDefault="00A439FE" w:rsidP="00A439FE">
      <w:pPr>
        <w:pStyle w:val="3-BodyText"/>
        <w:rPr>
          <w:snapToGrid/>
          <w:lang w:val="en-US"/>
        </w:rPr>
      </w:pPr>
      <w:bookmarkStart w:id="18" w:name="_Ref120390431"/>
      <w:bookmarkStart w:id="19" w:name="_Ref113895977"/>
      <w:r>
        <w:rPr>
          <w:snapToGrid/>
          <w:lang w:val="en-US"/>
        </w:rPr>
        <w:t>However, the evaluation and/or the ESC noted</w:t>
      </w:r>
      <w:r w:rsidR="00B55A87">
        <w:rPr>
          <w:snapToGrid/>
          <w:lang w:val="en-US"/>
        </w:rPr>
        <w:t>/considered</w:t>
      </w:r>
      <w:r>
        <w:rPr>
          <w:snapToGrid/>
          <w:lang w:val="en-US"/>
        </w:rPr>
        <w:t xml:space="preserve"> the following:</w:t>
      </w:r>
      <w:bookmarkEnd w:id="18"/>
    </w:p>
    <w:p w14:paraId="7E663EE6" w14:textId="5CCD3E93" w:rsidR="00A439FE" w:rsidRPr="00A439FE" w:rsidRDefault="00A439FE" w:rsidP="008D68A8">
      <w:pPr>
        <w:pStyle w:val="3-BodyText"/>
        <w:numPr>
          <w:ilvl w:val="0"/>
          <w:numId w:val="10"/>
        </w:numPr>
        <w:rPr>
          <w:iCs/>
          <w:snapToGrid/>
          <w:lang w:val="en-US"/>
        </w:rPr>
      </w:pPr>
      <w:r w:rsidRPr="00A439FE">
        <w:rPr>
          <w:i/>
          <w:iCs/>
        </w:rPr>
        <w:t>EGFR</w:t>
      </w:r>
      <w:r w:rsidRPr="00440A1E">
        <w:t xml:space="preserve"> ex20ins variants do not confer sensitivity to </w:t>
      </w:r>
      <w:r w:rsidRPr="00A439FE">
        <w:rPr>
          <w:i/>
          <w:iCs/>
        </w:rPr>
        <w:t>EGFR</w:t>
      </w:r>
      <w:r w:rsidRPr="00440A1E">
        <w:t xml:space="preserve"> TKIs</w:t>
      </w:r>
      <w:r>
        <w:t xml:space="preserve"> in general</w:t>
      </w:r>
      <w:r w:rsidRPr="00440A1E">
        <w:t xml:space="preserve">, either in vitro or in vivo. Although the registered indications for erlotinib, gefitinib, and afatinib do not explicitly exclude their use in </w:t>
      </w:r>
      <w:r w:rsidRPr="00A439FE">
        <w:rPr>
          <w:i/>
          <w:iCs/>
        </w:rPr>
        <w:t>EGFR</w:t>
      </w:r>
      <w:r w:rsidRPr="00440A1E">
        <w:t xml:space="preserve"> ex20ins-positive tumours, such treatments would not generally be </w:t>
      </w:r>
      <w:r>
        <w:t>used</w:t>
      </w:r>
      <w:r w:rsidRPr="00440A1E">
        <w:t xml:space="preserve"> in these patients (Delegate’s Overview for mobocertinib; PM-2021-02546-1-4). Evidence in the literature does not support </w:t>
      </w:r>
      <w:r w:rsidRPr="00A439FE">
        <w:rPr>
          <w:i/>
          <w:iCs/>
        </w:rPr>
        <w:t>EGFR</w:t>
      </w:r>
      <w:r w:rsidRPr="00440A1E">
        <w:t xml:space="preserve"> TKI therapy as an effective treatment option </w:t>
      </w:r>
      <w:r w:rsidRPr="00440A1E">
        <w:lastRenderedPageBreak/>
        <w:t xml:space="preserve">for </w:t>
      </w:r>
      <w:r w:rsidRPr="00A439FE">
        <w:rPr>
          <w:i/>
          <w:iCs/>
        </w:rPr>
        <w:t>EGFR</w:t>
      </w:r>
      <w:r w:rsidRPr="00440A1E">
        <w:t xml:space="preserve"> ex20ins positive patients</w:t>
      </w:r>
      <w:r w:rsidRPr="00440A1E">
        <w:rPr>
          <w:vertAlign w:val="superscript"/>
        </w:rPr>
        <w:footnoteReference w:id="12"/>
      </w:r>
      <w:r w:rsidRPr="00A439FE">
        <w:rPr>
          <w:vertAlign w:val="superscript"/>
        </w:rPr>
        <w:t>,</w:t>
      </w:r>
      <w:r w:rsidRPr="00440A1E">
        <w:rPr>
          <w:vertAlign w:val="superscript"/>
        </w:rPr>
        <w:footnoteReference w:id="13"/>
      </w:r>
      <w:r w:rsidRPr="00A439FE">
        <w:rPr>
          <w:vertAlign w:val="superscript"/>
        </w:rPr>
        <w:t>,</w:t>
      </w:r>
      <w:r w:rsidRPr="00440A1E">
        <w:rPr>
          <w:vertAlign w:val="superscript"/>
        </w:rPr>
        <w:footnoteReference w:id="14"/>
      </w:r>
      <w:r w:rsidRPr="00440A1E">
        <w:t>.</w:t>
      </w:r>
      <w:r w:rsidRPr="00A439FE">
        <w:rPr>
          <w:i/>
        </w:rPr>
        <w:t xml:space="preserve"> </w:t>
      </w:r>
      <w:r w:rsidRPr="00A439FE">
        <w:rPr>
          <w:iCs/>
        </w:rPr>
        <w:t xml:space="preserve">The use of </w:t>
      </w:r>
      <w:r w:rsidRPr="00A439FE">
        <w:rPr>
          <w:i/>
        </w:rPr>
        <w:t>EGFR</w:t>
      </w:r>
      <w:r w:rsidRPr="00A439FE">
        <w:rPr>
          <w:iCs/>
        </w:rPr>
        <w:t xml:space="preserve"> TKIs for </w:t>
      </w:r>
      <w:r w:rsidRPr="00A82576">
        <w:rPr>
          <w:i/>
        </w:rPr>
        <w:t>EGFR</w:t>
      </w:r>
      <w:r w:rsidRPr="00A439FE">
        <w:rPr>
          <w:iCs/>
        </w:rPr>
        <w:t xml:space="preserve"> ex20ins patients is not recommended in the NCCN guidelines for NSCLC and it </w:t>
      </w:r>
      <w:r w:rsidR="00A82576">
        <w:rPr>
          <w:iCs/>
        </w:rPr>
        <w:t>is</w:t>
      </w:r>
      <w:r w:rsidRPr="00A439FE">
        <w:rPr>
          <w:iCs/>
        </w:rPr>
        <w:t xml:space="preserve"> highly unlikely that they are used routinely in this context in Australia. TKIs are known to have no benefit in ex20ins NSCLC and it is unlikely they would be used in clinical practice.</w:t>
      </w:r>
    </w:p>
    <w:p w14:paraId="355595C2" w14:textId="2340E86D" w:rsidR="00F229BA" w:rsidRPr="00860CF2" w:rsidRDefault="00860CF2" w:rsidP="008D68A8">
      <w:pPr>
        <w:pStyle w:val="3-BodyText"/>
        <w:numPr>
          <w:ilvl w:val="0"/>
          <w:numId w:val="10"/>
        </w:numPr>
        <w:rPr>
          <w:iCs/>
          <w:snapToGrid/>
          <w:lang w:val="en-US"/>
        </w:rPr>
      </w:pPr>
      <w:r>
        <w:rPr>
          <w:iCs/>
        </w:rPr>
        <w:t>T</w:t>
      </w:r>
      <w:r w:rsidR="00F229BA" w:rsidRPr="00860CF2">
        <w:rPr>
          <w:iCs/>
        </w:rPr>
        <w:t xml:space="preserve">here is limited evidence for the efficacy of ICI monotherapy in refractory </w:t>
      </w:r>
      <w:r w:rsidR="00F229BA" w:rsidRPr="00860CF2">
        <w:rPr>
          <w:i/>
        </w:rPr>
        <w:t>EGFR</w:t>
      </w:r>
      <w:r w:rsidR="00F229BA" w:rsidRPr="00860CF2">
        <w:rPr>
          <w:iCs/>
        </w:rPr>
        <w:t xml:space="preserve"> ex20ins positive NSCLC. Data from clinical trials have shown that the overall survival (OS) benefit associated with pembrolizumab after PBC and </w:t>
      </w:r>
      <w:r w:rsidR="00F229BA" w:rsidRPr="00860CF2">
        <w:rPr>
          <w:i/>
        </w:rPr>
        <w:t>EGFR</w:t>
      </w:r>
      <w:r w:rsidR="00F229BA" w:rsidRPr="00860CF2">
        <w:rPr>
          <w:iCs/>
        </w:rPr>
        <w:t xml:space="preserve"> TKIs is poor, and far less, in </w:t>
      </w:r>
      <w:r w:rsidR="00F229BA" w:rsidRPr="00860CF2">
        <w:rPr>
          <w:i/>
        </w:rPr>
        <w:t>EGFR</w:t>
      </w:r>
      <w:r w:rsidR="00F229BA" w:rsidRPr="00860CF2">
        <w:rPr>
          <w:iCs/>
        </w:rPr>
        <w:t xml:space="preserve"> mutant patients compared to the EGFR wild type patients</w:t>
      </w:r>
      <w:r w:rsidR="00F229BA" w:rsidRPr="00440A1E">
        <w:rPr>
          <w:iCs/>
          <w:vertAlign w:val="superscript"/>
        </w:rPr>
        <w:footnoteReference w:id="15"/>
      </w:r>
      <w:r w:rsidR="00F229BA" w:rsidRPr="00860CF2">
        <w:rPr>
          <w:iCs/>
          <w:vertAlign w:val="superscript"/>
        </w:rPr>
        <w:t>,</w:t>
      </w:r>
      <w:r w:rsidR="00F229BA" w:rsidRPr="00440A1E">
        <w:rPr>
          <w:iCs/>
          <w:vertAlign w:val="superscript"/>
        </w:rPr>
        <w:footnoteReference w:id="16"/>
      </w:r>
      <w:r w:rsidR="00F229BA" w:rsidRPr="00860CF2">
        <w:rPr>
          <w:iCs/>
        </w:rPr>
        <w:t xml:space="preserve">. Similarly, there is no benefit associated with nivolumab or atezolizumab following PBC in advanced </w:t>
      </w:r>
      <w:r w:rsidR="00F229BA" w:rsidRPr="00860CF2">
        <w:rPr>
          <w:i/>
        </w:rPr>
        <w:t>EGFR</w:t>
      </w:r>
      <w:r w:rsidR="00F229BA" w:rsidRPr="00860CF2">
        <w:rPr>
          <w:iCs/>
        </w:rPr>
        <w:t xml:space="preserve"> variant-positive NSCLC</w:t>
      </w:r>
      <w:r w:rsidR="00F229BA" w:rsidRPr="00440A1E">
        <w:rPr>
          <w:iCs/>
          <w:vertAlign w:val="superscript"/>
        </w:rPr>
        <w:footnoteReference w:id="17"/>
      </w:r>
      <w:r w:rsidR="00F229BA" w:rsidRPr="00860CF2">
        <w:rPr>
          <w:iCs/>
          <w:vertAlign w:val="superscript"/>
        </w:rPr>
        <w:t>,</w:t>
      </w:r>
      <w:r w:rsidR="00F229BA" w:rsidRPr="00440A1E">
        <w:rPr>
          <w:iCs/>
          <w:vertAlign w:val="superscript"/>
        </w:rPr>
        <w:footnoteReference w:id="18"/>
      </w:r>
      <w:r w:rsidR="00F229BA" w:rsidRPr="00860CF2">
        <w:rPr>
          <w:iCs/>
        </w:rPr>
        <w:t xml:space="preserve">. </w:t>
      </w:r>
      <w:r w:rsidR="00B55A87">
        <w:rPr>
          <w:iCs/>
          <w:snapToGrid/>
          <w:lang w:val="en-US"/>
        </w:rPr>
        <w:t>F</w:t>
      </w:r>
      <w:r w:rsidR="00B55A87" w:rsidRPr="00957154">
        <w:rPr>
          <w:iCs/>
          <w:snapToGrid/>
          <w:lang w:val="en-US"/>
        </w:rPr>
        <w:t xml:space="preserve">irst-line treatment </w:t>
      </w:r>
      <w:r w:rsidR="00E2550D">
        <w:rPr>
          <w:iCs/>
          <w:snapToGrid/>
          <w:lang w:val="en-US"/>
        </w:rPr>
        <w:t xml:space="preserve">of patients with EGFR ex20ins variant </w:t>
      </w:r>
      <w:r w:rsidR="00B55A87" w:rsidRPr="00957154">
        <w:rPr>
          <w:iCs/>
          <w:snapToGrid/>
          <w:lang w:val="en-US"/>
        </w:rPr>
        <w:t>is expected to be the same as for patients with metastatic NSCLC without an oncogenic driver mutation and a majority of patients would receive platinum-based chemotherapy plus ICI</w:t>
      </w:r>
      <w:r w:rsidR="00151F56">
        <w:rPr>
          <w:iCs/>
          <w:snapToGrid/>
          <w:lang w:val="en-US"/>
        </w:rPr>
        <w:t>,</w:t>
      </w:r>
      <w:r w:rsidR="00B55A87" w:rsidRPr="00957154">
        <w:rPr>
          <w:iCs/>
          <w:snapToGrid/>
          <w:lang w:val="en-US"/>
        </w:rPr>
        <w:t xml:space="preserve"> which would limit the extent of use of ICI in the second line setting.</w:t>
      </w:r>
    </w:p>
    <w:p w14:paraId="3DD0055C" w14:textId="044D118C" w:rsidR="00B55A87" w:rsidRPr="00B55A87" w:rsidRDefault="00B55A87" w:rsidP="008D68A8">
      <w:pPr>
        <w:pStyle w:val="3-BodyText"/>
        <w:numPr>
          <w:ilvl w:val="0"/>
          <w:numId w:val="10"/>
        </w:numPr>
        <w:rPr>
          <w:iCs/>
          <w:snapToGrid/>
          <w:lang w:val="en-US"/>
        </w:rPr>
      </w:pPr>
      <w:r>
        <w:rPr>
          <w:iCs/>
        </w:rPr>
        <w:t>A</w:t>
      </w:r>
      <w:r w:rsidR="00533364">
        <w:rPr>
          <w:iCs/>
        </w:rPr>
        <w:t xml:space="preserve">gents </w:t>
      </w:r>
      <w:r w:rsidR="00533364" w:rsidRPr="00D04166">
        <w:t>currently used in Australian clinical practice in the second-line treatment setting for advanced NSCLC include docetaxel, gemcitabine, pemetrexed, carboplatin and paclitaxel</w:t>
      </w:r>
      <w:r w:rsidR="00533364" w:rsidRPr="00533364">
        <w:rPr>
          <w:iCs/>
        </w:rPr>
        <w:t xml:space="preserve">. </w:t>
      </w:r>
      <w:r>
        <w:rPr>
          <w:iCs/>
        </w:rPr>
        <w:t>D</w:t>
      </w:r>
      <w:r w:rsidR="00533364" w:rsidRPr="00533364">
        <w:rPr>
          <w:iCs/>
        </w:rPr>
        <w:t>efining chemotherapy as</w:t>
      </w:r>
      <w:r w:rsidR="00533364" w:rsidRPr="00533364">
        <w:rPr>
          <w:rFonts w:cstheme="minorHAnsi"/>
          <w:iCs/>
        </w:rPr>
        <w:t xml:space="preserve"> comparator/s was appropriate and would likely be taxane-based in the Australian context.</w:t>
      </w:r>
      <w:bookmarkEnd w:id="19"/>
    </w:p>
    <w:p w14:paraId="0D18D2B0" w14:textId="0C690BC8" w:rsidR="0092416F" w:rsidRPr="00B55A87" w:rsidRDefault="0092416F" w:rsidP="00B55A87">
      <w:pPr>
        <w:pStyle w:val="3-BodyText"/>
        <w:rPr>
          <w:snapToGrid/>
          <w:lang w:val="en-US"/>
        </w:rPr>
      </w:pPr>
      <w:r w:rsidRPr="00440A1E">
        <w:rPr>
          <w:rFonts w:cstheme="minorHAnsi"/>
        </w:rPr>
        <w:t xml:space="preserve">The TGA Delegate’s Overview </w:t>
      </w:r>
      <w:r w:rsidR="002607A1" w:rsidRPr="00440A1E">
        <w:rPr>
          <w:rFonts w:cstheme="minorHAnsi"/>
        </w:rPr>
        <w:t xml:space="preserve">for mobocertinib </w:t>
      </w:r>
      <w:r w:rsidRPr="00440A1E">
        <w:rPr>
          <w:rFonts w:cstheme="minorHAnsi"/>
        </w:rPr>
        <w:t xml:space="preserve">noted that for </w:t>
      </w:r>
      <w:r w:rsidR="00153462" w:rsidRPr="00440A1E">
        <w:rPr>
          <w:rFonts w:cstheme="minorHAnsi"/>
          <w:i/>
        </w:rPr>
        <w:t>EGFR</w:t>
      </w:r>
      <w:r w:rsidR="00153462" w:rsidRPr="00440A1E">
        <w:rPr>
          <w:rFonts w:cstheme="minorHAnsi"/>
        </w:rPr>
        <w:t xml:space="preserve"> </w:t>
      </w:r>
      <w:r w:rsidRPr="00440A1E">
        <w:rPr>
          <w:rFonts w:cstheme="minorHAnsi"/>
        </w:rPr>
        <w:t xml:space="preserve">ex20ins-positive NSCLC </w:t>
      </w:r>
      <w:r w:rsidR="001C405E" w:rsidRPr="00440A1E">
        <w:rPr>
          <w:rFonts w:cstheme="minorHAnsi"/>
        </w:rPr>
        <w:t>wh</w:t>
      </w:r>
      <w:r w:rsidR="00153462" w:rsidRPr="00440A1E">
        <w:rPr>
          <w:rFonts w:cstheme="minorHAnsi"/>
        </w:rPr>
        <w:t xml:space="preserve">ich </w:t>
      </w:r>
      <w:r w:rsidR="001C405E" w:rsidRPr="00440A1E">
        <w:rPr>
          <w:rFonts w:cstheme="minorHAnsi"/>
        </w:rPr>
        <w:t xml:space="preserve">has progressed </w:t>
      </w:r>
      <w:r w:rsidRPr="00440A1E">
        <w:rPr>
          <w:rFonts w:cstheme="minorHAnsi"/>
        </w:rPr>
        <w:t xml:space="preserve">following </w:t>
      </w:r>
      <w:r w:rsidR="001C405E" w:rsidRPr="00440A1E">
        <w:rPr>
          <w:rFonts w:cstheme="minorHAnsi"/>
        </w:rPr>
        <w:t>PBC</w:t>
      </w:r>
      <w:r w:rsidRPr="00440A1E">
        <w:rPr>
          <w:rFonts w:cstheme="minorHAnsi"/>
        </w:rPr>
        <w:t>, treatment options in Australia reflect those cited in the US</w:t>
      </w:r>
      <w:r w:rsidR="003B5175" w:rsidRPr="00440A1E">
        <w:rPr>
          <w:rFonts w:cstheme="minorHAnsi"/>
        </w:rPr>
        <w:t xml:space="preserve"> </w:t>
      </w:r>
      <w:r w:rsidRPr="00440A1E">
        <w:rPr>
          <w:rFonts w:cstheme="minorHAnsi"/>
        </w:rPr>
        <w:t xml:space="preserve">FDA multidisciplinary review </w:t>
      </w:r>
      <w:r w:rsidR="002607A1" w:rsidRPr="00440A1E">
        <w:rPr>
          <w:rFonts w:cstheme="minorHAnsi"/>
        </w:rPr>
        <w:t xml:space="preserve">and evaluation </w:t>
      </w:r>
      <w:r w:rsidRPr="00440A1E">
        <w:rPr>
          <w:rFonts w:cstheme="minorHAnsi"/>
        </w:rPr>
        <w:t>document for mobocertinib</w:t>
      </w:r>
      <w:r w:rsidR="002607A1" w:rsidRPr="00440A1E">
        <w:rPr>
          <w:rFonts w:cstheme="minorHAnsi"/>
        </w:rPr>
        <w:t>.</w:t>
      </w:r>
      <w:r w:rsidRPr="00440A1E">
        <w:rPr>
          <w:rFonts w:cstheme="minorHAnsi"/>
        </w:rPr>
        <w:t xml:space="preserve"> </w:t>
      </w:r>
      <w:r w:rsidR="002607A1" w:rsidRPr="00440A1E">
        <w:rPr>
          <w:rFonts w:cstheme="minorHAnsi"/>
        </w:rPr>
        <w:t xml:space="preserve">The FDA evaluation document </w:t>
      </w:r>
      <w:r w:rsidR="004878BD" w:rsidRPr="00440A1E">
        <w:rPr>
          <w:rFonts w:cstheme="minorHAnsi"/>
        </w:rPr>
        <w:t xml:space="preserve">noted </w:t>
      </w:r>
      <w:r w:rsidRPr="00440A1E">
        <w:rPr>
          <w:rFonts w:cstheme="minorHAnsi"/>
        </w:rPr>
        <w:t>that</w:t>
      </w:r>
      <w:r w:rsidR="004878BD" w:rsidRPr="00440A1E">
        <w:rPr>
          <w:rFonts w:cstheme="minorHAnsi"/>
        </w:rPr>
        <w:t xml:space="preserve"> </w:t>
      </w:r>
      <w:r w:rsidRPr="00440A1E">
        <w:rPr>
          <w:rFonts w:cstheme="minorHAnsi"/>
        </w:rPr>
        <w:t xml:space="preserve">from </w:t>
      </w:r>
      <w:r w:rsidR="004878BD" w:rsidRPr="00440A1E">
        <w:rPr>
          <w:rFonts w:cstheme="minorHAnsi"/>
        </w:rPr>
        <w:t xml:space="preserve">a review of </w:t>
      </w:r>
      <w:r w:rsidR="00153462" w:rsidRPr="00440A1E">
        <w:rPr>
          <w:rFonts w:cstheme="minorHAnsi"/>
        </w:rPr>
        <w:t xml:space="preserve">immunotherapy use in the </w:t>
      </w:r>
      <w:r w:rsidRPr="00440A1E">
        <w:rPr>
          <w:rFonts w:cstheme="minorHAnsi"/>
          <w:i/>
        </w:rPr>
        <w:t>EGFR</w:t>
      </w:r>
      <w:r w:rsidRPr="00440A1E">
        <w:rPr>
          <w:rFonts w:cstheme="minorHAnsi"/>
        </w:rPr>
        <w:t xml:space="preserve"> ex20ins </w:t>
      </w:r>
      <w:r w:rsidR="004878BD" w:rsidRPr="00440A1E">
        <w:rPr>
          <w:rFonts w:cstheme="minorHAnsi"/>
        </w:rPr>
        <w:t>NSCLC</w:t>
      </w:r>
      <w:r w:rsidR="00153462" w:rsidRPr="00440A1E">
        <w:rPr>
          <w:rFonts w:cstheme="minorHAnsi"/>
        </w:rPr>
        <w:t xml:space="preserve"> refractory population, </w:t>
      </w:r>
      <w:r w:rsidR="004878BD" w:rsidRPr="00440A1E">
        <w:rPr>
          <w:rFonts w:cstheme="minorHAnsi"/>
        </w:rPr>
        <w:t>“immuno-oncology monotherapy is not an appropriate standard of care therapy for t</w:t>
      </w:r>
      <w:r w:rsidR="00153462" w:rsidRPr="00440A1E">
        <w:rPr>
          <w:rFonts w:cstheme="minorHAnsi"/>
        </w:rPr>
        <w:t xml:space="preserve">he treatment of these patients”. </w:t>
      </w:r>
      <w:r w:rsidR="004878BD" w:rsidRPr="00440A1E">
        <w:rPr>
          <w:rFonts w:cstheme="minorHAnsi"/>
        </w:rPr>
        <w:t xml:space="preserve">Furthermore, “docetaxel is the cornerstone of second-line treatment in advanced NSCLC and has been the control arm in most randomized </w:t>
      </w:r>
      <w:r w:rsidR="004878BD" w:rsidRPr="00440A1E">
        <w:rPr>
          <w:rFonts w:cstheme="minorHAnsi"/>
        </w:rPr>
        <w:lastRenderedPageBreak/>
        <w:t>Phase 3 studies in this setting” (p146, NDA Multi-disciplinary Review and Evalua</w:t>
      </w:r>
      <w:r w:rsidR="0065219C" w:rsidRPr="00440A1E">
        <w:rPr>
          <w:rFonts w:cstheme="minorHAnsi"/>
        </w:rPr>
        <w:t>tion NDA 215,310; mobocertinib).</w:t>
      </w:r>
    </w:p>
    <w:p w14:paraId="68D34665" w14:textId="1E9E8D57" w:rsidR="001B7BED" w:rsidRPr="00957154" w:rsidRDefault="001B7BED" w:rsidP="003B5845">
      <w:pPr>
        <w:pStyle w:val="3-BodyText"/>
        <w:rPr>
          <w:iCs/>
        </w:rPr>
      </w:pPr>
      <w:r w:rsidRPr="00957154">
        <w:rPr>
          <w:iCs/>
          <w:snapToGrid/>
          <w:lang w:val="en-US"/>
        </w:rPr>
        <w:t>The Pre-Sub-Committee</w:t>
      </w:r>
      <w:r w:rsidR="006A743F">
        <w:rPr>
          <w:iCs/>
          <w:snapToGrid/>
          <w:lang w:val="en-US"/>
        </w:rPr>
        <w:t xml:space="preserve"> (PSCR)</w:t>
      </w:r>
      <w:r w:rsidR="00B55A87">
        <w:rPr>
          <w:iCs/>
          <w:snapToGrid/>
          <w:lang w:val="en-US"/>
        </w:rPr>
        <w:t xml:space="preserve"> and Pre-PBAC</w:t>
      </w:r>
      <w:r w:rsidRPr="00957154">
        <w:rPr>
          <w:iCs/>
          <w:snapToGrid/>
          <w:lang w:val="en-US"/>
        </w:rPr>
        <w:t xml:space="preserve"> Response</w:t>
      </w:r>
      <w:r w:rsidR="00B55A87">
        <w:rPr>
          <w:iCs/>
          <w:snapToGrid/>
          <w:lang w:val="en-US"/>
        </w:rPr>
        <w:t>s</w:t>
      </w:r>
      <w:r w:rsidRPr="00957154">
        <w:rPr>
          <w:iCs/>
          <w:snapToGrid/>
          <w:lang w:val="en-US"/>
        </w:rPr>
        <w:t xml:space="preserve"> maintained that </w:t>
      </w:r>
      <w:r w:rsidRPr="00957154">
        <w:rPr>
          <w:rStyle w:val="Strong"/>
          <w:iCs w:val="0"/>
        </w:rPr>
        <w:t xml:space="preserve">SOC comprising a basket of </w:t>
      </w:r>
      <w:r w:rsidRPr="00957154">
        <w:rPr>
          <w:rStyle w:val="Strong"/>
          <w:i/>
        </w:rPr>
        <w:t>EGFR</w:t>
      </w:r>
      <w:r w:rsidRPr="00957154">
        <w:rPr>
          <w:rStyle w:val="Strong"/>
          <w:iCs w:val="0"/>
        </w:rPr>
        <w:t xml:space="preserve"> TKIs, ICI monotherapy and chemotherapy is the appropriate comparator, citing evidence that both EGFR TKIs and ICI monotherapies are used in the target population</w:t>
      </w:r>
      <w:r w:rsidR="00DE3FB3" w:rsidRPr="00957154">
        <w:rPr>
          <w:rStyle w:val="Strong"/>
          <w:iCs w:val="0"/>
        </w:rPr>
        <w:t xml:space="preserve">. This </w:t>
      </w:r>
      <w:r w:rsidR="006029F1" w:rsidRPr="00957154">
        <w:rPr>
          <w:rStyle w:val="Strong"/>
          <w:iCs w:val="0"/>
        </w:rPr>
        <w:t>includ</w:t>
      </w:r>
      <w:r w:rsidR="00DE3FB3" w:rsidRPr="00957154">
        <w:rPr>
          <w:rStyle w:val="Strong"/>
          <w:iCs w:val="0"/>
        </w:rPr>
        <w:t>ed</w:t>
      </w:r>
      <w:r w:rsidR="006029F1" w:rsidRPr="00957154">
        <w:rPr>
          <w:rStyle w:val="Strong"/>
          <w:iCs w:val="0"/>
        </w:rPr>
        <w:t xml:space="preserve"> the retrospective studies 5002 (USA) and 5008 (Germany)</w:t>
      </w:r>
      <w:r w:rsidR="00DE3FB3" w:rsidRPr="00957154">
        <w:rPr>
          <w:rStyle w:val="Strong"/>
          <w:iCs w:val="0"/>
        </w:rPr>
        <w:t xml:space="preserve"> that were presented as SOC evidence in the submission, and a</w:t>
      </w:r>
      <w:r w:rsidR="006029F1" w:rsidRPr="00957154">
        <w:rPr>
          <w:rStyle w:val="Strong"/>
          <w:iCs w:val="0"/>
        </w:rPr>
        <w:t xml:space="preserve">n </w:t>
      </w:r>
      <w:r w:rsidRPr="00957154">
        <w:rPr>
          <w:rStyle w:val="Strong"/>
          <w:iCs w:val="0"/>
        </w:rPr>
        <w:t xml:space="preserve">Australian retrospective observational cohort study (n=82 </w:t>
      </w:r>
      <w:r w:rsidRPr="000E35C9">
        <w:rPr>
          <w:rStyle w:val="Strong"/>
          <w:i/>
        </w:rPr>
        <w:t>EGFR</w:t>
      </w:r>
      <w:r w:rsidRPr="00957154">
        <w:rPr>
          <w:rStyle w:val="Strong"/>
          <w:iCs w:val="0"/>
        </w:rPr>
        <w:t xml:space="preserve"> ex20ins) in which 23 patients received conventional EGFR TKIs (ORR 13%), and 23 had ICI monotherapy (ORR 4%) (Leal et al., 2021). </w:t>
      </w:r>
      <w:r w:rsidR="00DE3FB3" w:rsidRPr="00957154">
        <w:rPr>
          <w:rStyle w:val="Strong"/>
          <w:iCs w:val="0"/>
        </w:rPr>
        <w:t>The ESC considered that</w:t>
      </w:r>
      <w:r w:rsidR="004169CD" w:rsidRPr="00957154">
        <w:rPr>
          <w:rStyle w:val="Strong"/>
          <w:iCs w:val="0"/>
        </w:rPr>
        <w:t xml:space="preserve"> </w:t>
      </w:r>
      <w:r w:rsidR="006E0DF4" w:rsidRPr="00957154">
        <w:rPr>
          <w:iCs/>
        </w:rPr>
        <w:t>t</w:t>
      </w:r>
      <w:r w:rsidR="004169CD" w:rsidRPr="00957154">
        <w:rPr>
          <w:iCs/>
        </w:rPr>
        <w:t xml:space="preserve">he USA- and Germany-based retrospective studies have limited applicability, in terms of treatments </w:t>
      </w:r>
      <w:proofErr w:type="gramStart"/>
      <w:r w:rsidR="004169CD" w:rsidRPr="00957154">
        <w:rPr>
          <w:iCs/>
        </w:rPr>
        <w:t>administered,</w:t>
      </w:r>
      <w:proofErr w:type="gramEnd"/>
      <w:r w:rsidR="004169CD" w:rsidRPr="00957154">
        <w:rPr>
          <w:iCs/>
        </w:rPr>
        <w:t xml:space="preserve"> to current clinical practice in Australia. Furthermore, Leal et al. (2021) did not provide treatment data by line of therapy and thus the implicit assumption that these therapies are used in the refractory setting is not reasonable.</w:t>
      </w:r>
    </w:p>
    <w:p w14:paraId="49F61ED9" w14:textId="48E66DD6" w:rsidR="004169CD" w:rsidRPr="00957154" w:rsidRDefault="00CC78CC" w:rsidP="00CC78CC">
      <w:pPr>
        <w:pStyle w:val="3-BodyText"/>
      </w:pPr>
      <w:r>
        <w:t>In summary</w:t>
      </w:r>
      <w:r w:rsidR="003B5845" w:rsidRPr="00957154">
        <w:t>, the</w:t>
      </w:r>
      <w:r>
        <w:t xml:space="preserve"> evaluation, the</w:t>
      </w:r>
      <w:r w:rsidR="003B5845" w:rsidRPr="00957154">
        <w:t xml:space="preserve"> ESC</w:t>
      </w:r>
      <w:r w:rsidR="000C4CF7">
        <w:t>,</w:t>
      </w:r>
      <w:r>
        <w:t xml:space="preserve"> and the PBAC</w:t>
      </w:r>
      <w:r w:rsidR="003B5845" w:rsidRPr="00957154">
        <w:t xml:space="preserve"> </w:t>
      </w:r>
      <w:r w:rsidR="000C4CF7">
        <w:t>were in agreement</w:t>
      </w:r>
      <w:r w:rsidR="000C4CF7" w:rsidRPr="00957154">
        <w:t xml:space="preserve"> </w:t>
      </w:r>
      <w:r w:rsidR="003B5845" w:rsidRPr="00957154">
        <w:t>that defining the comparator as SOC</w:t>
      </w:r>
      <w:r>
        <w:t>,</w:t>
      </w:r>
      <w:r w:rsidR="003B5845" w:rsidRPr="00957154">
        <w:t xml:space="preserve"> comprising all three drug classes</w:t>
      </w:r>
      <w:r>
        <w:t xml:space="preserve"> (standard </w:t>
      </w:r>
      <w:r w:rsidRPr="003B5175">
        <w:rPr>
          <w:i/>
        </w:rPr>
        <w:t>EGFR</w:t>
      </w:r>
      <w:r w:rsidRPr="00D04166">
        <w:t xml:space="preserve"> TKIs, ICIs, and chemotherapy</w:t>
      </w:r>
      <w:r>
        <w:t>)</w:t>
      </w:r>
      <w:r w:rsidR="003B5845" w:rsidRPr="00957154">
        <w:t xml:space="preserve"> was </w:t>
      </w:r>
      <w:r w:rsidR="006E0DF4" w:rsidRPr="00957154">
        <w:t xml:space="preserve">not </w:t>
      </w:r>
      <w:r w:rsidR="003B5845" w:rsidRPr="00957154">
        <w:t>appropriate</w:t>
      </w:r>
      <w:r w:rsidR="0072728D">
        <w:t>, and that chemotherapy should be defined as the comparator</w:t>
      </w:r>
      <w:r w:rsidR="003B5845" w:rsidRPr="00957154">
        <w:t>.</w:t>
      </w:r>
    </w:p>
    <w:p w14:paraId="1BDF62E2" w14:textId="1127A773" w:rsidR="007A2D71" w:rsidRPr="00796A5D" w:rsidRDefault="007A2D71" w:rsidP="007A2D71">
      <w:pPr>
        <w:pStyle w:val="3-BodyText"/>
        <w:numPr>
          <w:ilvl w:val="0"/>
          <w:numId w:val="0"/>
        </w:numPr>
        <w:ind w:left="720"/>
        <w:rPr>
          <w:snapToGrid/>
          <w:lang w:val="en-US"/>
        </w:rPr>
      </w:pPr>
      <w:r w:rsidRPr="00C33D30">
        <w:rPr>
          <w:i/>
        </w:rPr>
        <w:t>For more detail on PBAC’s view, see section 7 PBAC outcome.</w:t>
      </w:r>
    </w:p>
    <w:p w14:paraId="03D208E1" w14:textId="70BF400D" w:rsidR="00223D5A" w:rsidRDefault="00223D5A" w:rsidP="00A84A6A">
      <w:pPr>
        <w:pStyle w:val="2-SectionHeading"/>
        <w:keepLines/>
      </w:pPr>
      <w:bookmarkStart w:id="20" w:name="_Toc113895840"/>
      <w:bookmarkStart w:id="21" w:name="_Toc22897640"/>
      <w:r>
        <w:t>C</w:t>
      </w:r>
      <w:r w:rsidRPr="00407F2D">
        <w:t>onsideration of the evidence</w:t>
      </w:r>
      <w:bookmarkEnd w:id="20"/>
    </w:p>
    <w:p w14:paraId="5A732CB0" w14:textId="77777777" w:rsidR="0094470D" w:rsidRPr="006E1229" w:rsidRDefault="0094470D" w:rsidP="00A84A6A">
      <w:pPr>
        <w:pStyle w:val="4-SubsectionHeading"/>
        <w:keepLines/>
      </w:pPr>
      <w:bookmarkStart w:id="22" w:name="_Hlk76375935"/>
      <w:r w:rsidRPr="006E1229">
        <w:t>Sponsor hearing</w:t>
      </w:r>
    </w:p>
    <w:p w14:paraId="58C6AB36" w14:textId="2E140A8C" w:rsidR="0094470D" w:rsidRPr="00D9003B" w:rsidRDefault="00D9003B" w:rsidP="00A84A6A">
      <w:pPr>
        <w:keepNext/>
        <w:keepLines/>
        <w:widowControl w:val="0"/>
        <w:numPr>
          <w:ilvl w:val="1"/>
          <w:numId w:val="1"/>
        </w:numPr>
        <w:spacing w:after="120"/>
        <w:jc w:val="both"/>
        <w:rPr>
          <w:rFonts w:asciiTheme="minorHAnsi" w:hAnsiTheme="minorHAnsi" w:cs="Arial"/>
          <w:bCs/>
          <w:snapToGrid w:val="0"/>
        </w:rPr>
      </w:pPr>
      <w:bookmarkStart w:id="23" w:name="_Hlk76382586"/>
      <w:r w:rsidRPr="00836F75">
        <w:rPr>
          <w:rFonts w:asciiTheme="minorHAnsi" w:hAnsiTheme="minorHAnsi" w:cs="Arial"/>
          <w:bCs/>
          <w:snapToGrid w:val="0"/>
        </w:rPr>
        <w:t xml:space="preserve">The </w:t>
      </w:r>
      <w:r>
        <w:rPr>
          <w:rFonts w:asciiTheme="minorHAnsi" w:hAnsiTheme="minorHAnsi" w:cs="Arial"/>
          <w:bCs/>
          <w:snapToGrid w:val="0"/>
        </w:rPr>
        <w:t>S</w:t>
      </w:r>
      <w:r w:rsidRPr="00836F75">
        <w:rPr>
          <w:rFonts w:asciiTheme="minorHAnsi" w:hAnsiTheme="minorHAnsi" w:cs="Arial"/>
          <w:bCs/>
          <w:snapToGrid w:val="0"/>
        </w:rPr>
        <w:t>ponsor requested a hearing for this item. The clinician</w:t>
      </w:r>
      <w:r w:rsidR="00D13449">
        <w:rPr>
          <w:rFonts w:asciiTheme="minorHAnsi" w:hAnsiTheme="minorHAnsi" w:cs="Arial"/>
          <w:bCs/>
          <w:snapToGrid w:val="0"/>
        </w:rPr>
        <w:t xml:space="preserve"> described their participation as an investigator in the international mobocertinib clinical trials and how their patients have benefited from the compassionate access program for mobocertinib. The clinician stated that the sub-group </w:t>
      </w:r>
      <w:r w:rsidR="00D13449" w:rsidRPr="00D13449">
        <w:rPr>
          <w:rFonts w:asciiTheme="minorHAnsi" w:hAnsiTheme="minorHAnsi" w:cs="Arial"/>
          <w:bCs/>
          <w:snapToGrid w:val="0"/>
        </w:rPr>
        <w:t xml:space="preserve">of </w:t>
      </w:r>
      <w:r w:rsidR="00D13449">
        <w:rPr>
          <w:rFonts w:asciiTheme="minorHAnsi" w:hAnsiTheme="minorHAnsi" w:cs="Arial"/>
          <w:bCs/>
          <w:snapToGrid w:val="0"/>
        </w:rPr>
        <w:t>NSCLC patients</w:t>
      </w:r>
      <w:r w:rsidR="00D13449" w:rsidRPr="00D13449">
        <w:rPr>
          <w:rFonts w:asciiTheme="minorHAnsi" w:hAnsiTheme="minorHAnsi" w:cs="Arial"/>
          <w:bCs/>
          <w:snapToGrid w:val="0"/>
        </w:rPr>
        <w:t xml:space="preserve"> harbouring an </w:t>
      </w:r>
      <w:r w:rsidR="00D13449" w:rsidRPr="00D13449">
        <w:rPr>
          <w:rFonts w:asciiTheme="minorHAnsi" w:hAnsiTheme="minorHAnsi" w:cs="Arial"/>
          <w:bCs/>
          <w:i/>
          <w:iCs/>
          <w:snapToGrid w:val="0"/>
        </w:rPr>
        <w:t>EGFR</w:t>
      </w:r>
      <w:r w:rsidR="00D13449" w:rsidRPr="00D13449">
        <w:rPr>
          <w:rFonts w:asciiTheme="minorHAnsi" w:hAnsiTheme="minorHAnsi" w:cs="Arial"/>
          <w:bCs/>
          <w:snapToGrid w:val="0"/>
        </w:rPr>
        <w:t xml:space="preserve"> ex20ins</w:t>
      </w:r>
      <w:r w:rsidR="00D13449">
        <w:rPr>
          <w:rFonts w:asciiTheme="minorHAnsi" w:hAnsiTheme="minorHAnsi" w:cs="Arial"/>
          <w:bCs/>
          <w:snapToGrid w:val="0"/>
        </w:rPr>
        <w:t xml:space="preserve"> has unmet clinical need as there is no targeted therapy currently available</w:t>
      </w:r>
      <w:r w:rsidR="00D13449" w:rsidRPr="00D13449">
        <w:rPr>
          <w:rFonts w:asciiTheme="minorHAnsi" w:hAnsiTheme="minorHAnsi" w:cs="Arial"/>
          <w:bCs/>
          <w:snapToGrid w:val="0"/>
        </w:rPr>
        <w:t>.</w:t>
      </w:r>
      <w:bookmarkEnd w:id="23"/>
    </w:p>
    <w:p w14:paraId="58A31A7F" w14:textId="77777777" w:rsidR="0094470D" w:rsidRPr="006E1229" w:rsidRDefault="0094470D" w:rsidP="0094470D">
      <w:pPr>
        <w:pStyle w:val="4-SubsectionHeading"/>
      </w:pPr>
      <w:r w:rsidRPr="006E1229">
        <w:t>Consumer comments</w:t>
      </w:r>
    </w:p>
    <w:p w14:paraId="043C58DA" w14:textId="186833A2" w:rsidR="0094470D" w:rsidRPr="00E371CF" w:rsidRDefault="00E371CF" w:rsidP="00E371CF">
      <w:pPr>
        <w:widowControl w:val="0"/>
        <w:numPr>
          <w:ilvl w:val="1"/>
          <w:numId w:val="1"/>
        </w:numPr>
        <w:spacing w:after="120"/>
        <w:jc w:val="both"/>
        <w:rPr>
          <w:rFonts w:asciiTheme="minorHAnsi" w:hAnsiTheme="minorHAnsi" w:cs="Arial"/>
          <w:bCs/>
          <w:snapToGrid w:val="0"/>
        </w:rPr>
      </w:pPr>
      <w:bookmarkStart w:id="24" w:name="_Hlk76382618"/>
      <w:r w:rsidRPr="00836F75">
        <w:rPr>
          <w:rFonts w:asciiTheme="minorHAnsi" w:hAnsiTheme="minorHAnsi" w:cs="Arial"/>
          <w:bCs/>
          <w:snapToGrid w:val="0"/>
        </w:rPr>
        <w:t>The PBAC noted and welcomed the input from organisations (</w:t>
      </w:r>
      <w:r>
        <w:rPr>
          <w:rFonts w:asciiTheme="minorHAnsi" w:hAnsiTheme="minorHAnsi" w:cs="Arial"/>
          <w:bCs/>
          <w:snapToGrid w:val="0"/>
        </w:rPr>
        <w:t>3</w:t>
      </w:r>
      <w:r w:rsidRPr="00836F75">
        <w:rPr>
          <w:rFonts w:asciiTheme="minorHAnsi" w:hAnsiTheme="minorHAnsi" w:cs="Arial"/>
          <w:bCs/>
          <w:snapToGrid w:val="0"/>
        </w:rPr>
        <w:t>) via the Consumer Comments facility on the PBS website.</w:t>
      </w:r>
      <w:r>
        <w:rPr>
          <w:rFonts w:asciiTheme="minorHAnsi" w:hAnsiTheme="minorHAnsi" w:cs="Arial"/>
          <w:bCs/>
          <w:snapToGrid w:val="0"/>
        </w:rPr>
        <w:t xml:space="preserve"> The organisations comprised Rare Cancers Australia, Lung Foundation Australia, and the Medical Oncology Group of Australia (MOGA).</w:t>
      </w:r>
      <w:r w:rsidR="00654BB8">
        <w:rPr>
          <w:rFonts w:asciiTheme="minorHAnsi" w:hAnsiTheme="minorHAnsi" w:cs="Arial"/>
          <w:bCs/>
          <w:snapToGrid w:val="0"/>
        </w:rPr>
        <w:t xml:space="preserve"> </w:t>
      </w:r>
      <w:r w:rsidR="00654BB8" w:rsidRPr="00532141">
        <w:rPr>
          <w:rFonts w:asciiTheme="minorHAnsi" w:hAnsiTheme="minorHAnsi" w:cs="Arial"/>
          <w:bCs/>
          <w:snapToGrid w:val="0"/>
        </w:rPr>
        <w:t>The PBAC noted that this advice was supportive of the evidence provided in the submission.</w:t>
      </w:r>
    </w:p>
    <w:bookmarkEnd w:id="22"/>
    <w:bookmarkEnd w:id="24"/>
    <w:p w14:paraId="618645B7" w14:textId="7BEDA04C" w:rsidR="00532141" w:rsidRPr="00532141" w:rsidRDefault="00532141" w:rsidP="00532141">
      <w:pPr>
        <w:widowControl w:val="0"/>
        <w:numPr>
          <w:ilvl w:val="1"/>
          <w:numId w:val="1"/>
        </w:numPr>
        <w:spacing w:after="120"/>
        <w:jc w:val="both"/>
        <w:rPr>
          <w:rFonts w:asciiTheme="minorHAnsi" w:hAnsiTheme="minorHAnsi" w:cs="Arial"/>
          <w:bCs/>
          <w:snapToGrid w:val="0"/>
        </w:rPr>
      </w:pPr>
      <w:r>
        <w:rPr>
          <w:rFonts w:asciiTheme="minorHAnsi" w:hAnsiTheme="minorHAnsi" w:cs="Arial"/>
          <w:bCs/>
          <w:snapToGrid w:val="0"/>
        </w:rPr>
        <w:t xml:space="preserve">Rare </w:t>
      </w:r>
      <w:r w:rsidRPr="00532141">
        <w:rPr>
          <w:rFonts w:asciiTheme="minorHAnsi" w:hAnsiTheme="minorHAnsi" w:cs="Arial"/>
          <w:bCs/>
          <w:snapToGrid w:val="0"/>
        </w:rPr>
        <w:t xml:space="preserve">Cancers Australia stated that the NSCLC </w:t>
      </w:r>
      <w:r w:rsidRPr="00532141">
        <w:rPr>
          <w:rFonts w:asciiTheme="minorHAnsi" w:hAnsiTheme="minorHAnsi" w:cstheme="minorHAnsi"/>
          <w:i/>
          <w:iCs/>
        </w:rPr>
        <w:t>EGFR</w:t>
      </w:r>
      <w:r w:rsidRPr="00532141">
        <w:rPr>
          <w:rFonts w:asciiTheme="minorHAnsi" w:hAnsiTheme="minorHAnsi" w:cstheme="minorHAnsi"/>
        </w:rPr>
        <w:t xml:space="preserve"> exon20ins</w:t>
      </w:r>
      <w:r w:rsidRPr="00532141">
        <w:rPr>
          <w:rFonts w:asciiTheme="minorHAnsi" w:hAnsiTheme="minorHAnsi" w:cs="Arial"/>
          <w:bCs/>
          <w:snapToGrid w:val="0"/>
        </w:rPr>
        <w:t xml:space="preserve"> </w:t>
      </w:r>
      <w:r w:rsidRPr="00532141">
        <w:rPr>
          <w:rFonts w:asciiTheme="minorHAnsi" w:hAnsiTheme="minorHAnsi" w:cstheme="minorHAnsi"/>
        </w:rPr>
        <w:t xml:space="preserve">patient population are faced with an extremely poor prognosis, </w:t>
      </w:r>
      <w:r w:rsidR="000D3C73">
        <w:rPr>
          <w:rFonts w:asciiTheme="minorHAnsi" w:hAnsiTheme="minorHAnsi" w:cstheme="minorHAnsi"/>
        </w:rPr>
        <w:t>and commented</w:t>
      </w:r>
      <w:r w:rsidRPr="00532141">
        <w:rPr>
          <w:rFonts w:asciiTheme="minorHAnsi" w:hAnsiTheme="minorHAnsi" w:cstheme="minorHAnsi"/>
        </w:rPr>
        <w:t xml:space="preserve"> that those diagnosed with NSCLC need </w:t>
      </w:r>
      <w:r w:rsidR="00B00244" w:rsidRPr="00532141">
        <w:rPr>
          <w:rFonts w:asciiTheme="minorHAnsi" w:hAnsiTheme="minorHAnsi" w:cstheme="minorHAnsi"/>
        </w:rPr>
        <w:t xml:space="preserve">better treatment options </w:t>
      </w:r>
      <w:r w:rsidRPr="00532141">
        <w:rPr>
          <w:rFonts w:asciiTheme="minorHAnsi" w:hAnsiTheme="minorHAnsi" w:cstheme="minorHAnsi"/>
        </w:rPr>
        <w:t xml:space="preserve">that </w:t>
      </w:r>
      <w:r w:rsidR="00E2550D">
        <w:rPr>
          <w:rFonts w:asciiTheme="minorHAnsi" w:hAnsiTheme="minorHAnsi" w:cstheme="minorHAnsi"/>
        </w:rPr>
        <w:t>provide</w:t>
      </w:r>
      <w:r w:rsidRPr="00532141">
        <w:rPr>
          <w:rFonts w:asciiTheme="minorHAnsi" w:hAnsiTheme="minorHAnsi" w:cstheme="minorHAnsi"/>
        </w:rPr>
        <w:t xml:space="preserve"> significant improvements in survival. The organisation stated that the fear of progression, which this advanced stage population lives with, has severe mental-health and functioning impacts. The </w:t>
      </w:r>
      <w:r w:rsidRPr="00532141">
        <w:rPr>
          <w:rFonts w:asciiTheme="minorHAnsi" w:hAnsiTheme="minorHAnsi" w:cstheme="minorHAnsi"/>
        </w:rPr>
        <w:lastRenderedPageBreak/>
        <w:t>organisation described the rare and particularly aggressive nature of the disease</w:t>
      </w:r>
      <w:r w:rsidR="000D3C73">
        <w:rPr>
          <w:rFonts w:asciiTheme="minorHAnsi" w:hAnsiTheme="minorHAnsi" w:cstheme="minorHAnsi"/>
        </w:rPr>
        <w:t xml:space="preserve">, </w:t>
      </w:r>
      <w:r w:rsidR="00654BB8">
        <w:rPr>
          <w:rFonts w:asciiTheme="minorHAnsi" w:hAnsiTheme="minorHAnsi" w:cstheme="minorHAnsi"/>
        </w:rPr>
        <w:t xml:space="preserve">and </w:t>
      </w:r>
      <w:r w:rsidR="000D3C73">
        <w:rPr>
          <w:rFonts w:asciiTheme="minorHAnsi" w:hAnsiTheme="minorHAnsi" w:cstheme="minorHAnsi"/>
        </w:rPr>
        <w:t>highlight</w:t>
      </w:r>
      <w:r w:rsidR="00654BB8">
        <w:rPr>
          <w:rFonts w:asciiTheme="minorHAnsi" w:hAnsiTheme="minorHAnsi" w:cstheme="minorHAnsi"/>
        </w:rPr>
        <w:t>ed</w:t>
      </w:r>
      <w:r w:rsidR="000D3C73">
        <w:rPr>
          <w:rFonts w:asciiTheme="minorHAnsi" w:hAnsiTheme="minorHAnsi" w:cstheme="minorHAnsi"/>
        </w:rPr>
        <w:t xml:space="preserve"> that</w:t>
      </w:r>
      <w:r w:rsidRPr="00532141">
        <w:rPr>
          <w:rFonts w:asciiTheme="minorHAnsi" w:hAnsiTheme="minorHAnsi" w:cstheme="minorHAnsi"/>
        </w:rPr>
        <w:t xml:space="preserve"> </w:t>
      </w:r>
      <w:r w:rsidR="000D3C73">
        <w:rPr>
          <w:rFonts w:asciiTheme="minorHAnsi" w:hAnsiTheme="minorHAnsi" w:cstheme="minorHAnsi"/>
        </w:rPr>
        <w:t>a</w:t>
      </w:r>
      <w:r w:rsidRPr="00532141">
        <w:rPr>
          <w:rFonts w:asciiTheme="minorHAnsi" w:hAnsiTheme="minorHAnsi" w:cstheme="minorHAnsi"/>
        </w:rPr>
        <w:t>vailable evidence</w:t>
      </w:r>
      <w:r w:rsidR="000D3C73">
        <w:rPr>
          <w:rFonts w:asciiTheme="minorHAnsi" w:hAnsiTheme="minorHAnsi" w:cstheme="minorHAnsi"/>
        </w:rPr>
        <w:t xml:space="preserve"> for mobocertinib</w:t>
      </w:r>
      <w:r w:rsidRPr="00532141">
        <w:rPr>
          <w:rFonts w:asciiTheme="minorHAnsi" w:hAnsiTheme="minorHAnsi" w:cstheme="minorHAnsi"/>
        </w:rPr>
        <w:t xml:space="preserve"> suggests that treatment can significantly extend progression-free survival (PFS).</w:t>
      </w:r>
    </w:p>
    <w:p w14:paraId="08981614" w14:textId="1DFE857F" w:rsidR="003E6FD2" w:rsidRPr="000D3C73" w:rsidRDefault="000D3C73" w:rsidP="000D3C73">
      <w:pPr>
        <w:widowControl w:val="0"/>
        <w:numPr>
          <w:ilvl w:val="1"/>
          <w:numId w:val="1"/>
        </w:numPr>
        <w:spacing w:after="120"/>
        <w:jc w:val="both"/>
        <w:rPr>
          <w:rFonts w:asciiTheme="minorHAnsi" w:hAnsiTheme="minorHAnsi" w:cstheme="minorHAnsi"/>
          <w:bCs/>
          <w:snapToGrid w:val="0"/>
        </w:rPr>
      </w:pPr>
      <w:r w:rsidRPr="000D3C73">
        <w:rPr>
          <w:rFonts w:asciiTheme="minorHAnsi" w:hAnsiTheme="minorHAnsi" w:cstheme="minorHAnsi"/>
          <w:bCs/>
          <w:snapToGrid w:val="0"/>
        </w:rPr>
        <w:t>Lung Foundation Australia noted that mobocertinib</w:t>
      </w:r>
      <w:r w:rsidRPr="000D3C73">
        <w:rPr>
          <w:rFonts w:asciiTheme="minorHAnsi" w:hAnsiTheme="minorHAnsi" w:cstheme="minorHAnsi"/>
        </w:rPr>
        <w:t xml:space="preserve"> is the first and only oral therapy specifically designed to target </w:t>
      </w:r>
      <w:r w:rsidRPr="000D3C73">
        <w:rPr>
          <w:rFonts w:asciiTheme="minorHAnsi" w:hAnsiTheme="minorHAnsi" w:cstheme="minorHAnsi"/>
          <w:i/>
          <w:iCs/>
        </w:rPr>
        <w:t>EGFR</w:t>
      </w:r>
      <w:r w:rsidRPr="000D3C73">
        <w:rPr>
          <w:rFonts w:asciiTheme="minorHAnsi" w:hAnsiTheme="minorHAnsi" w:cstheme="minorHAnsi"/>
        </w:rPr>
        <w:t xml:space="preserve"> exon20ins mutations, providing a new and effective treatment for cancer patients with this specific mutation. The organisation noted that </w:t>
      </w:r>
      <w:r w:rsidRPr="000D3C73">
        <w:rPr>
          <w:rFonts w:asciiTheme="minorHAnsi" w:hAnsiTheme="minorHAnsi" w:cstheme="minorHAnsi"/>
          <w:i/>
          <w:iCs/>
        </w:rPr>
        <w:t>EGFR</w:t>
      </w:r>
      <w:r w:rsidRPr="000D3C73">
        <w:rPr>
          <w:rFonts w:asciiTheme="minorHAnsi" w:hAnsiTheme="minorHAnsi" w:cstheme="minorHAnsi"/>
        </w:rPr>
        <w:t xml:space="preserve"> exon20ins mutation is uncommon and often underdiagnosed with a worse prognosis and survival outcomes compared to other </w:t>
      </w:r>
      <w:r w:rsidRPr="000D3C73">
        <w:rPr>
          <w:rFonts w:asciiTheme="minorHAnsi" w:hAnsiTheme="minorHAnsi" w:cstheme="minorHAnsi"/>
          <w:i/>
          <w:iCs/>
        </w:rPr>
        <w:t>EGFR</w:t>
      </w:r>
      <w:r w:rsidRPr="000D3C73">
        <w:rPr>
          <w:rFonts w:asciiTheme="minorHAnsi" w:hAnsiTheme="minorHAnsi" w:cstheme="minorHAnsi"/>
        </w:rPr>
        <w:t xml:space="preserve"> mutations, which may be due to a lack of targeted therapies. </w:t>
      </w:r>
      <w:r w:rsidRPr="000D3C73">
        <w:rPr>
          <w:rFonts w:asciiTheme="minorHAnsi" w:hAnsiTheme="minorHAnsi" w:cstheme="minorHAnsi"/>
          <w:bCs/>
        </w:rPr>
        <w:t>The organisation stated that mobocertinib offers the opportunity to improve outcomes for</w:t>
      </w:r>
      <w:r>
        <w:rPr>
          <w:rFonts w:asciiTheme="minorHAnsi" w:hAnsiTheme="minorHAnsi" w:cstheme="minorHAnsi"/>
          <w:bCs/>
        </w:rPr>
        <w:t xml:space="preserve"> </w:t>
      </w:r>
      <w:r w:rsidRPr="000D3C73">
        <w:rPr>
          <w:rFonts w:asciiTheme="minorHAnsi" w:hAnsiTheme="minorHAnsi" w:cstheme="minorHAnsi"/>
          <w:bCs/>
        </w:rPr>
        <w:t>[</w:t>
      </w:r>
      <w:r w:rsidRPr="000D3C73">
        <w:rPr>
          <w:rFonts w:asciiTheme="minorHAnsi" w:hAnsiTheme="minorHAnsi" w:cstheme="minorHAnsi"/>
          <w:bCs/>
          <w:i/>
          <w:iCs/>
        </w:rPr>
        <w:t>EGFR</w:t>
      </w:r>
      <w:r w:rsidRPr="000D3C73">
        <w:rPr>
          <w:rFonts w:asciiTheme="minorHAnsi" w:hAnsiTheme="minorHAnsi" w:cstheme="minorHAnsi"/>
          <w:bCs/>
        </w:rPr>
        <w:t xml:space="preserve"> exon20ins mutation] lung cancer patients who have no other treatment options available.</w:t>
      </w:r>
    </w:p>
    <w:p w14:paraId="70C900D9" w14:textId="476F8D57" w:rsidR="0094470D" w:rsidRPr="00E371CF" w:rsidRDefault="001D43DC" w:rsidP="00E371CF">
      <w:pPr>
        <w:widowControl w:val="0"/>
        <w:numPr>
          <w:ilvl w:val="1"/>
          <w:numId w:val="1"/>
        </w:numPr>
        <w:spacing w:after="120"/>
        <w:jc w:val="both"/>
        <w:rPr>
          <w:rFonts w:asciiTheme="minorHAnsi" w:hAnsiTheme="minorHAnsi" w:cs="Arial"/>
          <w:bCs/>
          <w:snapToGrid w:val="0"/>
        </w:rPr>
      </w:pPr>
      <w:r w:rsidRPr="00E371CF">
        <w:rPr>
          <w:rFonts w:asciiTheme="minorHAnsi" w:hAnsiTheme="minorHAnsi" w:cs="Arial"/>
          <w:bCs/>
          <w:snapToGrid w:val="0"/>
        </w:rPr>
        <w:t xml:space="preserve">The Medical Oncology Group of Australia (MOGA) also expressed its strong support for the </w:t>
      </w:r>
      <w:r>
        <w:rPr>
          <w:rFonts w:asciiTheme="minorHAnsi" w:hAnsiTheme="minorHAnsi" w:cs="Arial"/>
          <w:bCs/>
          <w:snapToGrid w:val="0"/>
        </w:rPr>
        <w:t>mobocertinib</w:t>
      </w:r>
      <w:r w:rsidRPr="00E371CF">
        <w:rPr>
          <w:rFonts w:asciiTheme="minorHAnsi" w:hAnsiTheme="minorHAnsi" w:cs="Arial"/>
          <w:bCs/>
          <w:snapToGrid w:val="0"/>
        </w:rPr>
        <w:t xml:space="preserve"> submission, categorising it as one of the therapies of “high priority for PBS listing” on the basis of </w:t>
      </w:r>
      <w:r>
        <w:rPr>
          <w:rFonts w:asciiTheme="minorHAnsi" w:hAnsiTheme="minorHAnsi" w:cs="Arial"/>
          <w:bCs/>
          <w:snapToGrid w:val="0"/>
        </w:rPr>
        <w:t>the 101 trial</w:t>
      </w:r>
      <w:r w:rsidRPr="00E371CF">
        <w:rPr>
          <w:rFonts w:asciiTheme="minorHAnsi" w:hAnsiTheme="minorHAnsi" w:cs="Arial"/>
          <w:bCs/>
          <w:snapToGrid w:val="0"/>
        </w:rPr>
        <w:t xml:space="preserve">. The PBAC noted that the MOGA presented a European Society for Medical Oncology Magnitude of Clinical Benefit Scale (ESMO-MCBS) for </w:t>
      </w:r>
      <w:r>
        <w:rPr>
          <w:rFonts w:asciiTheme="minorHAnsi" w:hAnsiTheme="minorHAnsi" w:cs="Arial"/>
          <w:bCs/>
          <w:snapToGrid w:val="0"/>
        </w:rPr>
        <w:t>mobocertinib</w:t>
      </w:r>
      <w:r w:rsidRPr="00E371CF">
        <w:rPr>
          <w:rFonts w:asciiTheme="minorHAnsi" w:hAnsiTheme="minorHAnsi" w:cs="Arial"/>
          <w:bCs/>
          <w:snapToGrid w:val="0"/>
        </w:rPr>
        <w:t xml:space="preserve">, which was limited to </w:t>
      </w:r>
      <w:r>
        <w:rPr>
          <w:rFonts w:asciiTheme="minorHAnsi" w:hAnsiTheme="minorHAnsi" w:cs="Arial"/>
          <w:bCs/>
          <w:snapToGrid w:val="0"/>
        </w:rPr>
        <w:t>3</w:t>
      </w:r>
      <w:r w:rsidRPr="00E371CF">
        <w:rPr>
          <w:rFonts w:asciiTheme="minorHAnsi" w:hAnsiTheme="minorHAnsi" w:cs="Arial"/>
          <w:bCs/>
          <w:snapToGrid w:val="0"/>
        </w:rPr>
        <w:t xml:space="preserve"> (out of a maximum of 5, where 5 and 4 represent the grades with substantial improvement),</w:t>
      </w:r>
      <w:r w:rsidR="001E6FD7">
        <w:rPr>
          <w:rStyle w:val="FootnoteReference"/>
          <w:rFonts w:asciiTheme="minorHAnsi" w:hAnsiTheme="minorHAnsi" w:cs="Arial"/>
          <w:bCs/>
          <w:snapToGrid w:val="0"/>
        </w:rPr>
        <w:footnoteReference w:id="19"/>
      </w:r>
      <w:r w:rsidRPr="00E371CF">
        <w:rPr>
          <w:rFonts w:asciiTheme="minorHAnsi" w:hAnsiTheme="minorHAnsi" w:cs="Arial"/>
          <w:bCs/>
          <w:snapToGrid w:val="0"/>
        </w:rPr>
        <w:t xml:space="preserve"> based on a comparison with </w:t>
      </w:r>
      <w:r>
        <w:rPr>
          <w:rFonts w:asciiTheme="minorHAnsi" w:hAnsiTheme="minorHAnsi" w:cs="Arial"/>
          <w:bCs/>
          <w:snapToGrid w:val="0"/>
        </w:rPr>
        <w:t>SOC</w:t>
      </w:r>
      <w:r w:rsidRPr="00E371CF">
        <w:rPr>
          <w:rFonts w:asciiTheme="minorHAnsi" w:hAnsiTheme="minorHAnsi" w:cs="Arial"/>
          <w:bCs/>
          <w:snapToGrid w:val="0"/>
        </w:rPr>
        <w:t>.</w:t>
      </w:r>
    </w:p>
    <w:p w14:paraId="2BAB6520" w14:textId="77777777" w:rsidR="00B60939" w:rsidRPr="00C9624D" w:rsidRDefault="00B60939" w:rsidP="000711EA">
      <w:pPr>
        <w:pStyle w:val="4-SubsectionHeading"/>
        <w:keepNext w:val="0"/>
      </w:pPr>
      <w:bookmarkStart w:id="25" w:name="_Toc113895841"/>
      <w:r w:rsidRPr="00C9624D">
        <w:t xml:space="preserve">Clinical </w:t>
      </w:r>
      <w:r w:rsidR="00D5243B">
        <w:t>studies</w:t>
      </w:r>
      <w:bookmarkEnd w:id="21"/>
      <w:bookmarkEnd w:id="25"/>
    </w:p>
    <w:p w14:paraId="695337BE" w14:textId="3FA1E58A" w:rsidR="00160D41" w:rsidRDefault="000E57DD" w:rsidP="000711EA">
      <w:pPr>
        <w:pStyle w:val="3-BodyText"/>
      </w:pPr>
      <w:r w:rsidRPr="000E57DD">
        <w:t>The submission was based on two indirect comparisons, using the inverse probability treatment weighting (IPTW) approach, between a Phase I/II single arm study of mobocertinib Study 101 (PPP cohort</w:t>
      </w:r>
      <w:r w:rsidR="00076DD5">
        <w:rPr>
          <w:rStyle w:val="FootnoteReference"/>
        </w:rPr>
        <w:footnoteReference w:id="20"/>
      </w:r>
      <w:r w:rsidRPr="000E57DD">
        <w:t xml:space="preserve"> of </w:t>
      </w:r>
      <w:r>
        <w:t xml:space="preserve">selected </w:t>
      </w:r>
      <w:r w:rsidRPr="000E57DD">
        <w:t xml:space="preserve">patients with </w:t>
      </w:r>
      <w:r w:rsidRPr="000E57DD">
        <w:rPr>
          <w:i/>
        </w:rPr>
        <w:t>EGFR</w:t>
      </w:r>
      <w:r w:rsidRPr="000E57DD">
        <w:t xml:space="preserve"> ex20ins variant advanced NSCLC, N=114, data cutoff November 2021) and</w:t>
      </w:r>
      <w:r w:rsidR="00160D41">
        <w:t xml:space="preserve"> two</w:t>
      </w:r>
      <w:r w:rsidRPr="000E57DD">
        <w:t xml:space="preserve"> retrospective cohort studies </w:t>
      </w:r>
      <w:r w:rsidR="00160D41">
        <w:t xml:space="preserve">representing </w:t>
      </w:r>
      <w:r w:rsidRPr="000E57DD">
        <w:t>SOC</w:t>
      </w:r>
      <w:r w:rsidR="00662E45">
        <w:t xml:space="preserve">. </w:t>
      </w:r>
      <w:r w:rsidR="00662E45" w:rsidRPr="00662E45">
        <w:t xml:space="preserve">Only data for the relevant PPP cohort </w:t>
      </w:r>
      <w:r w:rsidR="00662E45">
        <w:t xml:space="preserve">of Study 101 </w:t>
      </w:r>
      <w:r w:rsidR="00662E45" w:rsidRPr="00662E45">
        <w:t>are presented hereafter</w:t>
      </w:r>
      <w:r w:rsidR="00662E45">
        <w:t xml:space="preserve">. The two retrospective cohort studies included: </w:t>
      </w:r>
    </w:p>
    <w:p w14:paraId="388E59ED" w14:textId="77777777" w:rsidR="000E57DD" w:rsidRPr="000E57DD" w:rsidRDefault="000E57DD" w:rsidP="008D68A8">
      <w:pPr>
        <w:pStyle w:val="3-BodyText"/>
        <w:numPr>
          <w:ilvl w:val="0"/>
          <w:numId w:val="11"/>
        </w:numPr>
      </w:pPr>
      <w:r w:rsidRPr="000E57DD">
        <w:t>Study</w:t>
      </w:r>
      <w:r w:rsidR="00175DDC">
        <w:t xml:space="preserve"> </w:t>
      </w:r>
      <w:r w:rsidRPr="000E57DD">
        <w:t xml:space="preserve">5008 (German chart review, 12 thoracic oncology centres across Germany): </w:t>
      </w:r>
      <w:r w:rsidR="00160D41">
        <w:t>s</w:t>
      </w:r>
      <w:r w:rsidRPr="000E57DD">
        <w:t xml:space="preserve">ubgroup of platinum pre-treated patients with </w:t>
      </w:r>
      <w:r w:rsidRPr="00160D41">
        <w:rPr>
          <w:i/>
        </w:rPr>
        <w:t>EGFR</w:t>
      </w:r>
      <w:r w:rsidRPr="000E57DD">
        <w:t xml:space="preserve"> ex20ins variant advanced NSCLC (observation period 2013−2019, N=43);</w:t>
      </w:r>
    </w:p>
    <w:p w14:paraId="481CB423" w14:textId="77777777" w:rsidR="000E57DD" w:rsidRPr="000E57DD" w:rsidRDefault="000E57DD" w:rsidP="008D68A8">
      <w:pPr>
        <w:pStyle w:val="3-BodyText"/>
        <w:numPr>
          <w:ilvl w:val="0"/>
          <w:numId w:val="11"/>
        </w:numPr>
      </w:pPr>
      <w:r w:rsidRPr="000E57DD">
        <w:t xml:space="preserve">Study 5002 (US Flatiron health registry): </w:t>
      </w:r>
      <w:r w:rsidR="00160D41">
        <w:t>s</w:t>
      </w:r>
      <w:r w:rsidRPr="000E57DD">
        <w:t xml:space="preserve">ubgroup of platinum pre-treated patients with </w:t>
      </w:r>
      <w:r w:rsidRPr="000E57DD">
        <w:rPr>
          <w:i/>
        </w:rPr>
        <w:t>EGFR</w:t>
      </w:r>
      <w:r w:rsidRPr="000E57DD">
        <w:t xml:space="preserve"> ex20ins variant advanced NSCLC (observation period 2011−2020, N=50).</w:t>
      </w:r>
    </w:p>
    <w:p w14:paraId="4AA71AFE" w14:textId="63C0B4D1" w:rsidR="00706B6F" w:rsidRPr="00957154" w:rsidRDefault="00706B6F" w:rsidP="00706B6F">
      <w:pPr>
        <w:pStyle w:val="3-BodyText"/>
        <w:rPr>
          <w:iCs/>
        </w:rPr>
      </w:pPr>
      <w:r w:rsidRPr="003627B6">
        <w:rPr>
          <w:iCs/>
        </w:rPr>
        <w:t>The evaluation noted that</w:t>
      </w:r>
      <w:r>
        <w:rPr>
          <w:iCs/>
        </w:rPr>
        <w:t xml:space="preserve"> </w:t>
      </w:r>
      <w:r w:rsidRPr="00440A1E">
        <w:rPr>
          <w:iCs/>
        </w:rPr>
        <w:t xml:space="preserve">Study 101 is a prospective study whereas Study 5008 and Study 5002 are retrospective studies. Unlike Study 101, in which scheduled assessments were conducted (as per protocol), data collection in the comparator studies (baseline data and the assessment of outcomes) was unlikely to have been uniform or scheduled in a systematic manner. </w:t>
      </w:r>
      <w:r w:rsidR="00996818" w:rsidRPr="00957154">
        <w:rPr>
          <w:iCs/>
        </w:rPr>
        <w:t xml:space="preserve">Furthermore, if </w:t>
      </w:r>
      <w:r w:rsidR="00996818" w:rsidRPr="001D0EA8">
        <w:rPr>
          <w:i/>
        </w:rPr>
        <w:t>EGFR</w:t>
      </w:r>
      <w:r w:rsidR="00996818" w:rsidRPr="00957154">
        <w:rPr>
          <w:iCs/>
        </w:rPr>
        <w:t xml:space="preserve"> TKIs and </w:t>
      </w:r>
      <w:r w:rsidR="006E0DF4" w:rsidRPr="00957154">
        <w:rPr>
          <w:iCs/>
        </w:rPr>
        <w:t>ICI</w:t>
      </w:r>
      <w:r w:rsidR="001D0EA8">
        <w:rPr>
          <w:iCs/>
        </w:rPr>
        <w:t xml:space="preserve"> monotherapy</w:t>
      </w:r>
      <w:r w:rsidR="006E0DF4" w:rsidRPr="00957154">
        <w:rPr>
          <w:iCs/>
        </w:rPr>
        <w:t xml:space="preserve"> </w:t>
      </w:r>
      <w:r w:rsidR="00996818" w:rsidRPr="00957154">
        <w:rPr>
          <w:iCs/>
        </w:rPr>
        <w:t xml:space="preserve">have little impact on disease progression </w:t>
      </w:r>
      <w:r w:rsidR="001D0EA8">
        <w:rPr>
          <w:iCs/>
        </w:rPr>
        <w:t>in</w:t>
      </w:r>
      <w:r w:rsidR="001D0EA8" w:rsidRPr="00957154">
        <w:rPr>
          <w:iCs/>
        </w:rPr>
        <w:t xml:space="preserve"> </w:t>
      </w:r>
      <w:r w:rsidR="00996818" w:rsidRPr="00957154">
        <w:rPr>
          <w:iCs/>
        </w:rPr>
        <w:t xml:space="preserve">patients with an </w:t>
      </w:r>
      <w:r w:rsidR="00996818" w:rsidRPr="00957154">
        <w:rPr>
          <w:i/>
        </w:rPr>
        <w:t>EGFR</w:t>
      </w:r>
      <w:r w:rsidR="00996818" w:rsidRPr="00957154">
        <w:rPr>
          <w:iCs/>
        </w:rPr>
        <w:t xml:space="preserve"> </w:t>
      </w:r>
      <w:r w:rsidR="00996818" w:rsidRPr="00957154">
        <w:rPr>
          <w:iCs/>
        </w:rPr>
        <w:lastRenderedPageBreak/>
        <w:t xml:space="preserve">ex20ins pathogenic variant, </w:t>
      </w:r>
      <w:r w:rsidR="001D0EA8">
        <w:rPr>
          <w:iCs/>
        </w:rPr>
        <w:t xml:space="preserve">the evaluation noted that </w:t>
      </w:r>
      <w:r w:rsidR="00996818" w:rsidRPr="00957154">
        <w:rPr>
          <w:iCs/>
        </w:rPr>
        <w:t xml:space="preserve">health outcomes may be poorer in the observational studies than if all patients had received single agent chemotherapy. </w:t>
      </w:r>
      <w:r w:rsidR="001D0EA8">
        <w:rPr>
          <w:iCs/>
        </w:rPr>
        <w:t>T</w:t>
      </w:r>
      <w:r w:rsidRPr="00957154">
        <w:rPr>
          <w:iCs/>
        </w:rPr>
        <w:t>he ESC</w:t>
      </w:r>
      <w:r w:rsidR="001D0EA8">
        <w:rPr>
          <w:iCs/>
        </w:rPr>
        <w:t xml:space="preserve"> acknowledged that</w:t>
      </w:r>
      <w:r w:rsidRPr="00957154">
        <w:rPr>
          <w:iCs/>
        </w:rPr>
        <w:t xml:space="preserve"> the IPTW indirect comparisons with the retrospective </w:t>
      </w:r>
      <w:r w:rsidR="008126D0" w:rsidRPr="00957154">
        <w:rPr>
          <w:iCs/>
        </w:rPr>
        <w:t>S</w:t>
      </w:r>
      <w:r w:rsidRPr="00957154">
        <w:rPr>
          <w:iCs/>
        </w:rPr>
        <w:t>tudies 5008 and 5002</w:t>
      </w:r>
      <w:r w:rsidR="00EA1E4D">
        <w:rPr>
          <w:iCs/>
        </w:rPr>
        <w:t xml:space="preserve"> were performed in the context of</w:t>
      </w:r>
      <w:r w:rsidRPr="00957154">
        <w:rPr>
          <w:iCs/>
        </w:rPr>
        <w:t xml:space="preserve"> the limited </w:t>
      </w:r>
      <w:r w:rsidR="00EA1E4D">
        <w:rPr>
          <w:iCs/>
        </w:rPr>
        <w:t>evidence</w:t>
      </w:r>
      <w:r w:rsidR="00EA1E4D" w:rsidRPr="00957154">
        <w:rPr>
          <w:iCs/>
        </w:rPr>
        <w:t xml:space="preserve"> </w:t>
      </w:r>
      <w:r w:rsidRPr="00957154">
        <w:rPr>
          <w:iCs/>
        </w:rPr>
        <w:t>available.</w:t>
      </w:r>
    </w:p>
    <w:p w14:paraId="1B1D3D89" w14:textId="10D74E9F" w:rsidR="00862502" w:rsidRPr="00B50DB8" w:rsidRDefault="00A73134" w:rsidP="000711EA">
      <w:pPr>
        <w:pStyle w:val="3-BodyText"/>
      </w:pPr>
      <w:r>
        <w:rPr>
          <w:snapToGrid/>
          <w:lang w:val="en-US"/>
        </w:rPr>
        <w:t xml:space="preserve">Details of the </w:t>
      </w:r>
      <w:r w:rsidR="00D5243B">
        <w:rPr>
          <w:snapToGrid/>
          <w:lang w:val="en-US"/>
        </w:rPr>
        <w:t>studies</w:t>
      </w:r>
      <w:r>
        <w:rPr>
          <w:snapToGrid/>
          <w:lang w:val="en-US"/>
        </w:rPr>
        <w:t xml:space="preserve"> presented in the submission are provided in</w:t>
      </w:r>
      <w:r w:rsidR="00160D41">
        <w:rPr>
          <w:snapToGrid/>
          <w:lang w:val="en-US"/>
        </w:rPr>
        <w:t xml:space="preserve"> </w:t>
      </w:r>
      <w:r w:rsidR="00160D41">
        <w:rPr>
          <w:snapToGrid/>
          <w:lang w:val="en-US"/>
        </w:rPr>
        <w:fldChar w:fldCharType="begin"/>
      </w:r>
      <w:r w:rsidR="00160D41">
        <w:rPr>
          <w:snapToGrid/>
          <w:lang w:val="en-US"/>
        </w:rPr>
        <w:instrText xml:space="preserve"> REF _Ref112580338 \h </w:instrText>
      </w:r>
      <w:r w:rsidR="00160D41">
        <w:rPr>
          <w:snapToGrid/>
          <w:lang w:val="en-US"/>
        </w:rPr>
      </w:r>
      <w:r w:rsidR="00160D41">
        <w:rPr>
          <w:snapToGrid/>
          <w:lang w:val="en-US"/>
        </w:rPr>
        <w:fldChar w:fldCharType="separate"/>
      </w:r>
      <w:r w:rsidR="001635D4">
        <w:t xml:space="preserve">Table </w:t>
      </w:r>
      <w:r w:rsidR="001635D4">
        <w:rPr>
          <w:noProof/>
        </w:rPr>
        <w:t>2</w:t>
      </w:r>
      <w:r w:rsidR="00160D41">
        <w:rPr>
          <w:snapToGrid/>
          <w:lang w:val="en-US"/>
        </w:rPr>
        <w:fldChar w:fldCharType="end"/>
      </w:r>
      <w:r>
        <w:rPr>
          <w:snapToGrid/>
          <w:lang w:val="en-US"/>
        </w:rPr>
        <w:t>.</w:t>
      </w:r>
      <w:r w:rsidR="00BC591F">
        <w:rPr>
          <w:snapToGrid/>
          <w:lang w:val="en-US"/>
        </w:rPr>
        <w:t xml:space="preserve"> </w:t>
      </w:r>
    </w:p>
    <w:p w14:paraId="4BCE6A8A" w14:textId="2CFA02E6" w:rsidR="008E0D3C" w:rsidRPr="002E4F02" w:rsidRDefault="00160D41" w:rsidP="00A4576C">
      <w:pPr>
        <w:pStyle w:val="Caption"/>
        <w:rPr>
          <w:rStyle w:val="CommentReference"/>
          <w:b/>
          <w:szCs w:val="24"/>
        </w:rPr>
      </w:pPr>
      <w:bookmarkStart w:id="26" w:name="_Ref112580338"/>
      <w:r>
        <w:t xml:space="preserve">Table </w:t>
      </w:r>
      <w:r w:rsidR="001635D4">
        <w:fldChar w:fldCharType="begin"/>
      </w:r>
      <w:r w:rsidR="001635D4">
        <w:instrText xml:space="preserve"> SEQ Table \* ARABIC </w:instrText>
      </w:r>
      <w:r w:rsidR="001635D4">
        <w:fldChar w:fldCharType="separate"/>
      </w:r>
      <w:r w:rsidR="001635D4">
        <w:rPr>
          <w:noProof/>
        </w:rPr>
        <w:t>2</w:t>
      </w:r>
      <w:r w:rsidR="001635D4">
        <w:rPr>
          <w:noProof/>
        </w:rPr>
        <w:fldChar w:fldCharType="end"/>
      </w:r>
      <w:bookmarkEnd w:id="26"/>
      <w:r w:rsidR="00696EF9">
        <w:t>:</w:t>
      </w:r>
      <w:r w:rsidR="00BC591F" w:rsidRPr="002E4F02">
        <w:rPr>
          <w:rStyle w:val="CommentReference"/>
          <w:b/>
          <w:szCs w:val="24"/>
        </w:rPr>
        <w:t xml:space="preserve"> </w:t>
      </w:r>
      <w:r>
        <w:rPr>
          <w:rStyle w:val="CommentReference"/>
          <w:b/>
          <w:szCs w:val="24"/>
        </w:rPr>
        <w:t>Studies</w:t>
      </w:r>
      <w:r w:rsidR="008E0D3C" w:rsidRPr="002E4F02">
        <w:rPr>
          <w:rStyle w:val="CommentReference"/>
          <w:b/>
          <w:szCs w:val="24"/>
        </w:rPr>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160D41" w:rsidRPr="00B41614" w14:paraId="4A502A20" w14:textId="77777777" w:rsidTr="00F906AB">
        <w:trPr>
          <w:cantSplit/>
          <w:tblHeader/>
        </w:trPr>
        <w:tc>
          <w:tcPr>
            <w:tcW w:w="796" w:type="pct"/>
            <w:vAlign w:val="center"/>
          </w:tcPr>
          <w:p w14:paraId="48DA0BB2" w14:textId="77777777" w:rsidR="00160D41" w:rsidRPr="00B41614" w:rsidRDefault="00160D41" w:rsidP="00A4576C">
            <w:pPr>
              <w:pStyle w:val="In-tableHeading"/>
              <w:keepLines/>
            </w:pPr>
            <w:r w:rsidRPr="00B41614">
              <w:t>Trial ID</w:t>
            </w:r>
          </w:p>
        </w:tc>
        <w:tc>
          <w:tcPr>
            <w:tcW w:w="3027" w:type="pct"/>
            <w:vAlign w:val="center"/>
          </w:tcPr>
          <w:p w14:paraId="6FFF8427" w14:textId="77777777" w:rsidR="00160D41" w:rsidRPr="00B41614" w:rsidRDefault="00160D41" w:rsidP="00A4576C">
            <w:pPr>
              <w:pStyle w:val="In-tableHeading"/>
              <w:keepLines/>
            </w:pPr>
            <w:r w:rsidRPr="00B41614">
              <w:t>Protocol title/ Publication title</w:t>
            </w:r>
          </w:p>
        </w:tc>
        <w:tc>
          <w:tcPr>
            <w:tcW w:w="1177" w:type="pct"/>
            <w:vAlign w:val="center"/>
          </w:tcPr>
          <w:p w14:paraId="387DB9DD" w14:textId="77777777" w:rsidR="00160D41" w:rsidRPr="00B41614" w:rsidRDefault="00160D41" w:rsidP="00A4576C">
            <w:pPr>
              <w:pStyle w:val="In-tableHeading"/>
              <w:keepLines/>
            </w:pPr>
            <w:r w:rsidRPr="00B41614">
              <w:t>Publication citation</w:t>
            </w:r>
          </w:p>
        </w:tc>
      </w:tr>
      <w:tr w:rsidR="00160D41" w:rsidRPr="00B41614" w14:paraId="6FF80F5F" w14:textId="77777777" w:rsidTr="00F906AB">
        <w:trPr>
          <w:cantSplit/>
          <w:tblHeader/>
        </w:trPr>
        <w:tc>
          <w:tcPr>
            <w:tcW w:w="5000" w:type="pct"/>
            <w:gridSpan w:val="3"/>
            <w:tcBorders>
              <w:bottom w:val="single" w:sz="4" w:space="0" w:color="auto"/>
            </w:tcBorders>
            <w:vAlign w:val="center"/>
          </w:tcPr>
          <w:p w14:paraId="006CFB79" w14:textId="77777777" w:rsidR="00160D41" w:rsidRPr="00B41614" w:rsidRDefault="00160D41" w:rsidP="00A4576C">
            <w:pPr>
              <w:pStyle w:val="In-tableHeading"/>
              <w:keepLines/>
            </w:pPr>
            <w:r>
              <w:t>Proposed medicine: mobocertinib</w:t>
            </w:r>
          </w:p>
        </w:tc>
      </w:tr>
      <w:tr w:rsidR="00160D41" w:rsidRPr="00CB38A8" w14:paraId="1F0F1D5B" w14:textId="77777777" w:rsidTr="00F906AB">
        <w:trPr>
          <w:cantSplit/>
        </w:trPr>
        <w:tc>
          <w:tcPr>
            <w:tcW w:w="796" w:type="pct"/>
            <w:vMerge w:val="restart"/>
            <w:vAlign w:val="center"/>
          </w:tcPr>
          <w:p w14:paraId="1A72951E" w14:textId="77777777" w:rsidR="00160D41" w:rsidRPr="00CB38A8" w:rsidRDefault="00160D41" w:rsidP="00A4576C">
            <w:pPr>
              <w:pStyle w:val="TableText0"/>
              <w:keepLines/>
            </w:pPr>
            <w:r w:rsidRPr="0072502A">
              <w:t>Study 101 (NCT02716116)</w:t>
            </w:r>
          </w:p>
        </w:tc>
        <w:tc>
          <w:tcPr>
            <w:tcW w:w="3027" w:type="pct"/>
            <w:tcBorders>
              <w:bottom w:val="nil"/>
            </w:tcBorders>
          </w:tcPr>
          <w:p w14:paraId="38CF6A9A" w14:textId="77777777" w:rsidR="00160D41" w:rsidRPr="006544EA" w:rsidRDefault="00160D41" w:rsidP="00A4576C">
            <w:pPr>
              <w:pStyle w:val="TableText0"/>
              <w:keepLines/>
            </w:pPr>
            <w:r>
              <w:t xml:space="preserve">Clinical Study Report. </w:t>
            </w:r>
            <w:r w:rsidRPr="00051996">
              <w:t>AP32788-15-101</w:t>
            </w:r>
            <w:r>
              <w:t xml:space="preserve">. A Phase 1/2 Study of the Safety, Pharmacokinetics, and Anti-Tumor Activity of the Oral </w:t>
            </w:r>
            <w:r w:rsidRPr="007D1F57">
              <w:rPr>
                <w:i/>
              </w:rPr>
              <w:t>EGFR/HER2</w:t>
            </w:r>
            <w:r>
              <w:t xml:space="preserve"> Inhibitor TAK-788 (AP32788) in Non-Small Cell Lung Cancer.</w:t>
            </w:r>
          </w:p>
        </w:tc>
        <w:tc>
          <w:tcPr>
            <w:tcW w:w="1177" w:type="pct"/>
            <w:tcBorders>
              <w:bottom w:val="nil"/>
            </w:tcBorders>
            <w:vAlign w:val="center"/>
          </w:tcPr>
          <w:p w14:paraId="08397376" w14:textId="77777777" w:rsidR="00160D41" w:rsidRPr="00CB38A8" w:rsidRDefault="00160D41" w:rsidP="00A4576C">
            <w:pPr>
              <w:pStyle w:val="TableText0"/>
              <w:keepLines/>
            </w:pPr>
            <w:r w:rsidRPr="0072502A">
              <w:t>15 January 2021.</w:t>
            </w:r>
          </w:p>
        </w:tc>
      </w:tr>
      <w:tr w:rsidR="00160D41" w:rsidRPr="00CB38A8" w14:paraId="72A80A84" w14:textId="77777777" w:rsidTr="00F906AB">
        <w:trPr>
          <w:cantSplit/>
        </w:trPr>
        <w:tc>
          <w:tcPr>
            <w:tcW w:w="796" w:type="pct"/>
            <w:vMerge/>
            <w:tcBorders>
              <w:bottom w:val="single" w:sz="4" w:space="0" w:color="auto"/>
            </w:tcBorders>
            <w:vAlign w:val="center"/>
          </w:tcPr>
          <w:p w14:paraId="21E5FB56" w14:textId="77777777" w:rsidR="00160D41" w:rsidRPr="00CB38A8" w:rsidRDefault="00160D41" w:rsidP="00A4576C">
            <w:pPr>
              <w:pStyle w:val="TableText0"/>
              <w:keepLines/>
            </w:pPr>
          </w:p>
        </w:tc>
        <w:tc>
          <w:tcPr>
            <w:tcW w:w="3027" w:type="pct"/>
            <w:tcBorders>
              <w:top w:val="nil"/>
              <w:bottom w:val="single" w:sz="4" w:space="0" w:color="auto"/>
            </w:tcBorders>
          </w:tcPr>
          <w:p w14:paraId="0EE7CC77" w14:textId="77777777" w:rsidR="00160D41" w:rsidRDefault="00160D41" w:rsidP="00A4576C">
            <w:pPr>
              <w:pStyle w:val="TableText0"/>
              <w:keepLines/>
            </w:pPr>
          </w:p>
          <w:p w14:paraId="6D9BA9E0" w14:textId="77777777" w:rsidR="00160D41" w:rsidRPr="00E34A35" w:rsidRDefault="00160D41" w:rsidP="00A4576C">
            <w:pPr>
              <w:pStyle w:val="TableText0"/>
              <w:keepLines/>
              <w:rPr>
                <w:szCs w:val="18"/>
              </w:rPr>
            </w:pPr>
            <w:r>
              <w:t xml:space="preserve">Clinical Study Report Addendum 2. </w:t>
            </w:r>
            <w:r w:rsidRPr="00051996">
              <w:t>AP32788-15-101</w:t>
            </w:r>
            <w:r>
              <w:t xml:space="preserve">. A Phase 1/2 Study of the Safety, Pharmacokinetics, and Anti-Tumor Activity of the Oral </w:t>
            </w:r>
            <w:r w:rsidRPr="007D1F57">
              <w:rPr>
                <w:i/>
              </w:rPr>
              <w:t>EGFR/HER2</w:t>
            </w:r>
            <w:r>
              <w:t xml:space="preserve"> Inhibitor TAK-788 (AP32788) in Non-Small Cell Lung Cancer.</w:t>
            </w:r>
          </w:p>
        </w:tc>
        <w:tc>
          <w:tcPr>
            <w:tcW w:w="1177" w:type="pct"/>
            <w:tcBorders>
              <w:top w:val="nil"/>
              <w:bottom w:val="single" w:sz="4" w:space="0" w:color="auto"/>
            </w:tcBorders>
            <w:vAlign w:val="center"/>
          </w:tcPr>
          <w:p w14:paraId="07D0DC82" w14:textId="77777777" w:rsidR="00160D41" w:rsidRPr="00E34A35" w:rsidRDefault="00160D41" w:rsidP="00A4576C">
            <w:pPr>
              <w:pStyle w:val="TableText0"/>
              <w:keepLines/>
              <w:rPr>
                <w:szCs w:val="18"/>
              </w:rPr>
            </w:pPr>
            <w:r w:rsidRPr="0072502A">
              <w:rPr>
                <w:szCs w:val="18"/>
              </w:rPr>
              <w:t>19 April 2022.</w:t>
            </w:r>
          </w:p>
        </w:tc>
      </w:tr>
      <w:tr w:rsidR="00160D41" w:rsidRPr="00CB38A8" w14:paraId="33A7A3BB" w14:textId="77777777" w:rsidTr="00F906AB">
        <w:trPr>
          <w:cantSplit/>
          <w:trHeight w:val="774"/>
        </w:trPr>
        <w:tc>
          <w:tcPr>
            <w:tcW w:w="796" w:type="pct"/>
            <w:vMerge/>
            <w:tcBorders>
              <w:top w:val="single" w:sz="4" w:space="0" w:color="auto"/>
            </w:tcBorders>
            <w:vAlign w:val="center"/>
          </w:tcPr>
          <w:p w14:paraId="33A858FF" w14:textId="77777777" w:rsidR="00160D41" w:rsidRPr="00CB38A8" w:rsidRDefault="00160D41" w:rsidP="00A4576C">
            <w:pPr>
              <w:pStyle w:val="TableText0"/>
              <w:keepLines/>
            </w:pPr>
          </w:p>
        </w:tc>
        <w:tc>
          <w:tcPr>
            <w:tcW w:w="3027" w:type="pct"/>
            <w:tcBorders>
              <w:top w:val="single" w:sz="4" w:space="0" w:color="auto"/>
            </w:tcBorders>
          </w:tcPr>
          <w:p w14:paraId="5C6B0FF8" w14:textId="77777777" w:rsidR="00160D41" w:rsidRPr="00AB6248" w:rsidRDefault="00160D41" w:rsidP="00A4576C">
            <w:pPr>
              <w:pStyle w:val="TableText0"/>
              <w:keepLines/>
              <w:rPr>
                <w:szCs w:val="18"/>
                <w:lang w:val="en-US"/>
              </w:rPr>
            </w:pPr>
            <w:r>
              <w:t xml:space="preserve">Clinical Study Report Addendum 1. </w:t>
            </w:r>
            <w:r w:rsidRPr="00051996">
              <w:t>AP32788-15-101</w:t>
            </w:r>
            <w:r>
              <w:t xml:space="preserve">. A Phase 1/2 Study of the Safety, Pharmacokinetics, and Anti-Tumor Activity of the Oral </w:t>
            </w:r>
            <w:r w:rsidRPr="007D1F57">
              <w:rPr>
                <w:i/>
              </w:rPr>
              <w:t>EGFR/HER2</w:t>
            </w:r>
            <w:r>
              <w:t xml:space="preserve"> Inhibitor TAK-788 (AP32788) in Non-Small Cell Lung Cancer.</w:t>
            </w:r>
          </w:p>
        </w:tc>
        <w:tc>
          <w:tcPr>
            <w:tcW w:w="1177" w:type="pct"/>
            <w:tcBorders>
              <w:top w:val="single" w:sz="4" w:space="0" w:color="auto"/>
            </w:tcBorders>
            <w:vAlign w:val="center"/>
          </w:tcPr>
          <w:p w14:paraId="12507510" w14:textId="77777777" w:rsidR="00160D41" w:rsidRPr="00AB6248" w:rsidRDefault="00160D41" w:rsidP="00A4576C">
            <w:pPr>
              <w:pStyle w:val="TableText0"/>
              <w:keepLines/>
              <w:rPr>
                <w:i/>
                <w:szCs w:val="18"/>
                <w:lang w:val="en-US"/>
              </w:rPr>
            </w:pPr>
            <w:r>
              <w:t>03 May 2021</w:t>
            </w:r>
          </w:p>
        </w:tc>
      </w:tr>
      <w:tr w:rsidR="00160D41" w:rsidRPr="00CB38A8" w14:paraId="5CA70BC1" w14:textId="77777777" w:rsidTr="00F906AB">
        <w:trPr>
          <w:cantSplit/>
          <w:trHeight w:val="774"/>
        </w:trPr>
        <w:tc>
          <w:tcPr>
            <w:tcW w:w="796" w:type="pct"/>
            <w:vMerge/>
            <w:vAlign w:val="center"/>
          </w:tcPr>
          <w:p w14:paraId="41410A43" w14:textId="77777777" w:rsidR="00160D41" w:rsidRPr="00CB38A8" w:rsidRDefault="00160D41" w:rsidP="000711EA">
            <w:pPr>
              <w:pStyle w:val="TableText0"/>
              <w:keepNext w:val="0"/>
            </w:pPr>
          </w:p>
        </w:tc>
        <w:tc>
          <w:tcPr>
            <w:tcW w:w="3027" w:type="pct"/>
            <w:tcBorders>
              <w:top w:val="nil"/>
            </w:tcBorders>
          </w:tcPr>
          <w:p w14:paraId="77337132" w14:textId="77777777" w:rsidR="00160D41" w:rsidRDefault="00160D41" w:rsidP="000711EA">
            <w:pPr>
              <w:pStyle w:val="TableText0"/>
              <w:keepNext w:val="0"/>
            </w:pPr>
            <w:r w:rsidRPr="00DF3BA3">
              <w:t>Zhou C, Ramalingam S</w:t>
            </w:r>
            <w:r>
              <w:t>,</w:t>
            </w:r>
            <w:r w:rsidRPr="00DF3BA3">
              <w:t xml:space="preserve"> </w:t>
            </w:r>
            <w:r>
              <w:t>et al</w:t>
            </w:r>
            <w:r w:rsidRPr="00DF3BA3">
              <w:t xml:space="preserve">. Treatment Outcomes and Safety of Mobocertinib in Platinum-Pretreated Patients with </w:t>
            </w:r>
            <w:r w:rsidRPr="00DF3BA3">
              <w:rPr>
                <w:i/>
              </w:rPr>
              <w:t>EGFR</w:t>
            </w:r>
            <w:r w:rsidRPr="00DF3BA3">
              <w:t xml:space="preserve"> Exon 20 Insertion-Positive Metastatic Non-Small Cell Lung Cancer: A Phase 1/2 Open-label Non</w:t>
            </w:r>
            <w:r>
              <w:t>-</w:t>
            </w:r>
            <w:r w:rsidRPr="00DF3BA3">
              <w:t xml:space="preserve">randomized Clinical Trial. </w:t>
            </w:r>
          </w:p>
        </w:tc>
        <w:tc>
          <w:tcPr>
            <w:tcW w:w="1177" w:type="pct"/>
            <w:tcBorders>
              <w:top w:val="nil"/>
            </w:tcBorders>
            <w:vAlign w:val="center"/>
          </w:tcPr>
          <w:p w14:paraId="0B8A8899" w14:textId="77777777" w:rsidR="00160D41" w:rsidRDefault="00160D41" w:rsidP="000711EA">
            <w:pPr>
              <w:pStyle w:val="TableText0"/>
              <w:keepNext w:val="0"/>
            </w:pPr>
            <w:r w:rsidRPr="00DF3BA3">
              <w:rPr>
                <w:i/>
              </w:rPr>
              <w:t>JAMA Oncology</w:t>
            </w:r>
            <w:r>
              <w:t xml:space="preserve"> 2021; 7(12):</w:t>
            </w:r>
            <w:r w:rsidRPr="00DF3BA3">
              <w:t xml:space="preserve"> 1772-1781</w:t>
            </w:r>
          </w:p>
        </w:tc>
      </w:tr>
      <w:tr w:rsidR="00160D41" w:rsidRPr="00CB38A8" w14:paraId="75C2A0B6" w14:textId="77777777" w:rsidTr="00F906AB">
        <w:trPr>
          <w:cantSplit/>
          <w:trHeight w:val="227"/>
        </w:trPr>
        <w:tc>
          <w:tcPr>
            <w:tcW w:w="5000" w:type="pct"/>
            <w:gridSpan w:val="3"/>
            <w:vAlign w:val="center"/>
          </w:tcPr>
          <w:p w14:paraId="0F7AD178" w14:textId="77777777" w:rsidR="00160D41" w:rsidRDefault="00160D41" w:rsidP="000711EA">
            <w:pPr>
              <w:pStyle w:val="In-tableHeading"/>
              <w:keepNext w:val="0"/>
            </w:pPr>
            <w:r>
              <w:t>Proposed comparator: SOC</w:t>
            </w:r>
          </w:p>
        </w:tc>
      </w:tr>
      <w:tr w:rsidR="00160D41" w:rsidRPr="00CB38A8" w14:paraId="7C299DAE" w14:textId="77777777" w:rsidTr="00F906AB">
        <w:trPr>
          <w:cantSplit/>
          <w:trHeight w:val="774"/>
        </w:trPr>
        <w:tc>
          <w:tcPr>
            <w:tcW w:w="796" w:type="pct"/>
            <w:vMerge w:val="restart"/>
            <w:vAlign w:val="center"/>
          </w:tcPr>
          <w:p w14:paraId="469C6831" w14:textId="77777777" w:rsidR="00160D41" w:rsidRDefault="00160D41" w:rsidP="000711EA">
            <w:pPr>
              <w:pStyle w:val="TableText0"/>
              <w:keepNext w:val="0"/>
            </w:pPr>
            <w:r>
              <w:t>Study 5008</w:t>
            </w:r>
          </w:p>
          <w:p w14:paraId="79560639" w14:textId="77777777" w:rsidR="00160D41" w:rsidRPr="00CB38A8" w:rsidRDefault="00160D41" w:rsidP="000711EA">
            <w:pPr>
              <w:pStyle w:val="TableText0"/>
              <w:keepNext w:val="0"/>
            </w:pPr>
            <w:r>
              <w:t>(Germany)</w:t>
            </w:r>
          </w:p>
        </w:tc>
        <w:tc>
          <w:tcPr>
            <w:tcW w:w="3027" w:type="pct"/>
            <w:tcBorders>
              <w:top w:val="nil"/>
              <w:bottom w:val="nil"/>
            </w:tcBorders>
          </w:tcPr>
          <w:p w14:paraId="7439C485" w14:textId="77777777" w:rsidR="00160D41" w:rsidRDefault="00160D41" w:rsidP="000711EA">
            <w:pPr>
              <w:pStyle w:val="TableText0"/>
              <w:keepNext w:val="0"/>
            </w:pPr>
            <w:r w:rsidRPr="006544EA">
              <w:t xml:space="preserve">Final report of the study. Multicenter real-world analysis of non-small cell lung cancer patients with </w:t>
            </w:r>
            <w:r w:rsidRPr="007D1F57">
              <w:rPr>
                <w:i/>
              </w:rPr>
              <w:t>EGFR</w:t>
            </w:r>
            <w:r w:rsidRPr="006544EA">
              <w:t xml:space="preserve"> or HER2 exon 20</w:t>
            </w:r>
            <w:r>
              <w:t xml:space="preserve"> </w:t>
            </w:r>
            <w:r w:rsidRPr="006544EA">
              <w:t xml:space="preserve">insertion mutations. TAK-788-5008. </w:t>
            </w:r>
            <w:r>
              <w:t xml:space="preserve">Retrospective analysis. </w:t>
            </w:r>
            <w:r w:rsidRPr="006544EA">
              <w:t>Final study report</w:t>
            </w:r>
          </w:p>
        </w:tc>
        <w:tc>
          <w:tcPr>
            <w:tcW w:w="1177" w:type="pct"/>
            <w:tcBorders>
              <w:top w:val="nil"/>
              <w:bottom w:val="nil"/>
            </w:tcBorders>
            <w:vAlign w:val="center"/>
          </w:tcPr>
          <w:p w14:paraId="6735206B" w14:textId="77777777" w:rsidR="00160D41" w:rsidRDefault="00160D41" w:rsidP="000711EA">
            <w:pPr>
              <w:pStyle w:val="TableText0"/>
              <w:keepNext w:val="0"/>
            </w:pPr>
            <w:r w:rsidRPr="006544EA">
              <w:t>14 January 2021.</w:t>
            </w:r>
          </w:p>
        </w:tc>
      </w:tr>
      <w:tr w:rsidR="00160D41" w:rsidRPr="00CB38A8" w14:paraId="224AEFE8" w14:textId="77777777" w:rsidTr="00F906AB">
        <w:trPr>
          <w:cantSplit/>
          <w:trHeight w:val="483"/>
        </w:trPr>
        <w:tc>
          <w:tcPr>
            <w:tcW w:w="796" w:type="pct"/>
            <w:vMerge/>
            <w:vAlign w:val="center"/>
          </w:tcPr>
          <w:p w14:paraId="6393233B" w14:textId="77777777" w:rsidR="00160D41" w:rsidRPr="00CB38A8" w:rsidRDefault="00160D41" w:rsidP="000711EA">
            <w:pPr>
              <w:pStyle w:val="TableText0"/>
              <w:keepNext w:val="0"/>
            </w:pPr>
          </w:p>
        </w:tc>
        <w:tc>
          <w:tcPr>
            <w:tcW w:w="3027" w:type="pct"/>
            <w:tcBorders>
              <w:top w:val="nil"/>
            </w:tcBorders>
          </w:tcPr>
          <w:p w14:paraId="1EBB7490" w14:textId="77777777" w:rsidR="00160D41" w:rsidRDefault="00160D41" w:rsidP="000711EA">
            <w:pPr>
              <w:pStyle w:val="TableText0"/>
              <w:keepNext w:val="0"/>
            </w:pPr>
            <w:r w:rsidRPr="006544EA">
              <w:t xml:space="preserve">Study protocol. Multicenter Real World Analysis of Non-Small Cell Lung Cancer Patients with </w:t>
            </w:r>
            <w:r w:rsidRPr="007D1F57">
              <w:rPr>
                <w:i/>
              </w:rPr>
              <w:t>EGFR</w:t>
            </w:r>
            <w:r w:rsidRPr="006544EA">
              <w:t xml:space="preserve"> and </w:t>
            </w:r>
            <w:r w:rsidRPr="007D1F57">
              <w:rPr>
                <w:i/>
              </w:rPr>
              <w:t>HER2</w:t>
            </w:r>
            <w:r w:rsidRPr="006544EA">
              <w:t xml:space="preserve"> Exon 20 Insertion Mutations. </w:t>
            </w:r>
          </w:p>
        </w:tc>
        <w:tc>
          <w:tcPr>
            <w:tcW w:w="1177" w:type="pct"/>
            <w:tcBorders>
              <w:top w:val="nil"/>
            </w:tcBorders>
            <w:vAlign w:val="center"/>
          </w:tcPr>
          <w:p w14:paraId="187381E5" w14:textId="77777777" w:rsidR="00160D41" w:rsidRDefault="00160D41" w:rsidP="000711EA">
            <w:pPr>
              <w:pStyle w:val="TableText0"/>
              <w:keepNext w:val="0"/>
            </w:pPr>
            <w:r w:rsidRPr="006544EA">
              <w:t>04 February 2019, Version 1.0.</w:t>
            </w:r>
          </w:p>
        </w:tc>
      </w:tr>
      <w:tr w:rsidR="00160D41" w:rsidRPr="00CB38A8" w14:paraId="23881C9D" w14:textId="77777777" w:rsidTr="00F906AB">
        <w:trPr>
          <w:cantSplit/>
          <w:trHeight w:val="774"/>
        </w:trPr>
        <w:tc>
          <w:tcPr>
            <w:tcW w:w="796" w:type="pct"/>
            <w:vMerge w:val="restart"/>
            <w:vAlign w:val="center"/>
          </w:tcPr>
          <w:p w14:paraId="2FE25639" w14:textId="77777777" w:rsidR="00160D41" w:rsidRDefault="00160D41" w:rsidP="000711EA">
            <w:pPr>
              <w:pStyle w:val="TableText0"/>
              <w:keepNext w:val="0"/>
            </w:pPr>
            <w:r>
              <w:t>Study 5002</w:t>
            </w:r>
          </w:p>
          <w:p w14:paraId="1912925D" w14:textId="77777777" w:rsidR="00160D41" w:rsidRPr="00CB38A8" w:rsidRDefault="00160D41" w:rsidP="000711EA">
            <w:pPr>
              <w:pStyle w:val="TableText0"/>
              <w:keepNext w:val="0"/>
            </w:pPr>
            <w:r>
              <w:t>(</w:t>
            </w:r>
            <w:r w:rsidRPr="00153C33">
              <w:t>US Flatiron)</w:t>
            </w:r>
          </w:p>
        </w:tc>
        <w:tc>
          <w:tcPr>
            <w:tcW w:w="3027" w:type="pct"/>
            <w:tcBorders>
              <w:top w:val="nil"/>
              <w:bottom w:val="nil"/>
            </w:tcBorders>
          </w:tcPr>
          <w:p w14:paraId="7885C276" w14:textId="77777777" w:rsidR="00160D41" w:rsidRDefault="00160D41" w:rsidP="000711EA">
            <w:pPr>
              <w:pStyle w:val="TableText0"/>
              <w:keepNext w:val="0"/>
            </w:pPr>
            <w:r w:rsidRPr="006544EA">
              <w:t xml:space="preserve">Clinical Study Report. TAK-788-5002. Retrospective Observational Study of Non-Small Cell Lung Cancer (NSCLC) Patients with EGFR Exon 20 Insertion Mutations: Real World Data Generation of Natural History. </w:t>
            </w:r>
          </w:p>
        </w:tc>
        <w:tc>
          <w:tcPr>
            <w:tcW w:w="1177" w:type="pct"/>
            <w:tcBorders>
              <w:top w:val="nil"/>
              <w:bottom w:val="nil"/>
            </w:tcBorders>
            <w:vAlign w:val="center"/>
          </w:tcPr>
          <w:p w14:paraId="3E82306A" w14:textId="77777777" w:rsidR="00160D41" w:rsidRDefault="00160D41" w:rsidP="000711EA">
            <w:pPr>
              <w:pStyle w:val="TableText0"/>
              <w:keepNext w:val="0"/>
            </w:pPr>
            <w:r w:rsidRPr="006544EA">
              <w:t>19 January 2019, Version 1.0.</w:t>
            </w:r>
          </w:p>
        </w:tc>
      </w:tr>
      <w:tr w:rsidR="00160D41" w:rsidRPr="00CB38A8" w14:paraId="0C07A6DF" w14:textId="77777777" w:rsidTr="00F906AB">
        <w:trPr>
          <w:cantSplit/>
          <w:trHeight w:val="774"/>
        </w:trPr>
        <w:tc>
          <w:tcPr>
            <w:tcW w:w="796" w:type="pct"/>
            <w:vMerge/>
            <w:vAlign w:val="center"/>
          </w:tcPr>
          <w:p w14:paraId="37BE7F2A" w14:textId="77777777" w:rsidR="00160D41" w:rsidRPr="00CB38A8" w:rsidRDefault="00160D41" w:rsidP="000711EA">
            <w:pPr>
              <w:pStyle w:val="TableText0"/>
              <w:keepNext w:val="0"/>
            </w:pPr>
          </w:p>
        </w:tc>
        <w:tc>
          <w:tcPr>
            <w:tcW w:w="3027" w:type="pct"/>
            <w:tcBorders>
              <w:top w:val="nil"/>
              <w:bottom w:val="nil"/>
            </w:tcBorders>
          </w:tcPr>
          <w:p w14:paraId="222136B7" w14:textId="77777777" w:rsidR="00160D41" w:rsidRDefault="00160D41" w:rsidP="000711EA">
            <w:pPr>
              <w:pStyle w:val="TableText0"/>
              <w:keepNext w:val="0"/>
            </w:pPr>
            <w:r w:rsidRPr="00153C33">
              <w:t xml:space="preserve">Study Protocol. Retrospective Observational Study of Non-Small Cell Lung Cancer (NSCLC) Patients with </w:t>
            </w:r>
            <w:r w:rsidRPr="007D1F57">
              <w:rPr>
                <w:i/>
              </w:rPr>
              <w:t>EGFR</w:t>
            </w:r>
            <w:r w:rsidRPr="00153C33">
              <w:t xml:space="preserve"> Exon 20 Insertion Mutations: Real World Data Generation of Natural History. </w:t>
            </w:r>
          </w:p>
        </w:tc>
        <w:tc>
          <w:tcPr>
            <w:tcW w:w="1177" w:type="pct"/>
            <w:tcBorders>
              <w:top w:val="nil"/>
              <w:bottom w:val="nil"/>
            </w:tcBorders>
            <w:vAlign w:val="center"/>
          </w:tcPr>
          <w:p w14:paraId="6F3CD6C1" w14:textId="77777777" w:rsidR="00160D41" w:rsidRDefault="00160D41" w:rsidP="000711EA">
            <w:pPr>
              <w:pStyle w:val="TableText0"/>
              <w:keepNext w:val="0"/>
            </w:pPr>
            <w:r w:rsidRPr="00153C33">
              <w:t>14 July 2020, version 1.1</w:t>
            </w:r>
          </w:p>
        </w:tc>
      </w:tr>
      <w:tr w:rsidR="00160D41" w:rsidRPr="00CB38A8" w14:paraId="65228F0E" w14:textId="77777777" w:rsidTr="00F906AB">
        <w:trPr>
          <w:cantSplit/>
          <w:trHeight w:val="774"/>
        </w:trPr>
        <w:tc>
          <w:tcPr>
            <w:tcW w:w="796" w:type="pct"/>
            <w:vMerge/>
            <w:vAlign w:val="center"/>
          </w:tcPr>
          <w:p w14:paraId="1C997D20" w14:textId="77777777" w:rsidR="00160D41" w:rsidRPr="00CB38A8" w:rsidRDefault="00160D41" w:rsidP="000711EA">
            <w:pPr>
              <w:pStyle w:val="TableText0"/>
              <w:keepNext w:val="0"/>
            </w:pPr>
          </w:p>
        </w:tc>
        <w:tc>
          <w:tcPr>
            <w:tcW w:w="3027" w:type="pct"/>
            <w:tcBorders>
              <w:top w:val="nil"/>
            </w:tcBorders>
          </w:tcPr>
          <w:p w14:paraId="4761EC5F" w14:textId="77777777" w:rsidR="00160D41" w:rsidRPr="00153C33" w:rsidRDefault="00160D41" w:rsidP="000711EA">
            <w:pPr>
              <w:pStyle w:val="TableText0"/>
              <w:keepNext w:val="0"/>
            </w:pPr>
            <w:r>
              <w:t xml:space="preserve">Statistical Analysis Plan. </w:t>
            </w:r>
            <w:r w:rsidRPr="005825A2">
              <w:t>TAK-788-5002</w:t>
            </w:r>
            <w:r>
              <w:t xml:space="preserve">. Retrospective Observational Study of Non-Small Cell Lung Cancer (NSCLC) Patients with </w:t>
            </w:r>
            <w:r w:rsidRPr="007D1F57">
              <w:rPr>
                <w:i/>
              </w:rPr>
              <w:t>EGFR</w:t>
            </w:r>
            <w:r>
              <w:t xml:space="preserve"> Exon 20 Insertion Mutations: Real World Data Generation of Natural History. </w:t>
            </w:r>
          </w:p>
        </w:tc>
        <w:tc>
          <w:tcPr>
            <w:tcW w:w="1177" w:type="pct"/>
            <w:tcBorders>
              <w:top w:val="nil"/>
            </w:tcBorders>
            <w:vAlign w:val="center"/>
          </w:tcPr>
          <w:p w14:paraId="12B5D7C0" w14:textId="77777777" w:rsidR="00160D41" w:rsidRPr="00153C33" w:rsidRDefault="00160D41" w:rsidP="000711EA">
            <w:pPr>
              <w:pStyle w:val="TableText0"/>
              <w:keepNext w:val="0"/>
            </w:pPr>
            <w:r>
              <w:t>15 July 2020, version 1.0.</w:t>
            </w:r>
          </w:p>
        </w:tc>
      </w:tr>
      <w:tr w:rsidR="00160D41" w:rsidRPr="00CB38A8" w14:paraId="45B535F5" w14:textId="77777777" w:rsidTr="00F906AB">
        <w:trPr>
          <w:cantSplit/>
          <w:trHeight w:val="123"/>
        </w:trPr>
        <w:tc>
          <w:tcPr>
            <w:tcW w:w="5000" w:type="pct"/>
            <w:gridSpan w:val="3"/>
            <w:vAlign w:val="center"/>
          </w:tcPr>
          <w:p w14:paraId="79D6EFAA" w14:textId="77777777" w:rsidR="00160D41" w:rsidRPr="00153C33" w:rsidRDefault="00160D41" w:rsidP="000711EA">
            <w:pPr>
              <w:pStyle w:val="TableText0"/>
              <w:keepNext w:val="0"/>
              <w:rPr>
                <w:b/>
              </w:rPr>
            </w:pPr>
            <w:r w:rsidRPr="00153C33">
              <w:rPr>
                <w:b/>
              </w:rPr>
              <w:t>Indirect comparison between mobocertinib and SOC</w:t>
            </w:r>
          </w:p>
        </w:tc>
      </w:tr>
      <w:tr w:rsidR="00160D41" w:rsidRPr="00CB38A8" w14:paraId="322CD741" w14:textId="77777777" w:rsidTr="00F906AB">
        <w:trPr>
          <w:cantSplit/>
          <w:trHeight w:val="774"/>
        </w:trPr>
        <w:tc>
          <w:tcPr>
            <w:tcW w:w="796" w:type="pct"/>
            <w:vMerge w:val="restart"/>
            <w:vAlign w:val="center"/>
          </w:tcPr>
          <w:p w14:paraId="53E3D2BE" w14:textId="77777777" w:rsidR="00160D41" w:rsidRPr="00153C33" w:rsidRDefault="00160D41" w:rsidP="000711EA">
            <w:pPr>
              <w:pStyle w:val="TableText0"/>
              <w:keepNext w:val="0"/>
            </w:pPr>
            <w:r w:rsidRPr="00492E0C">
              <w:t xml:space="preserve">Study 101 vs. </w:t>
            </w:r>
            <w:r>
              <w:t>retrospective analysis</w:t>
            </w:r>
            <w:r w:rsidRPr="00492E0C">
              <w:t xml:space="preserve"> 5008 (Germany)</w:t>
            </w:r>
          </w:p>
        </w:tc>
        <w:tc>
          <w:tcPr>
            <w:tcW w:w="3027" w:type="pct"/>
            <w:tcBorders>
              <w:bottom w:val="nil"/>
            </w:tcBorders>
          </w:tcPr>
          <w:p w14:paraId="66189B96" w14:textId="77777777" w:rsidR="00160D41" w:rsidRPr="00153C33" w:rsidRDefault="00160D41" w:rsidP="000711EA">
            <w:pPr>
              <w:pStyle w:val="TableText0"/>
              <w:keepNext w:val="0"/>
            </w:pPr>
            <w:r>
              <w:t xml:space="preserve">Technical report. IPTW of Mobocertinib vs. Standard of Care (SOC) in Advanced NSCLC Patients with </w:t>
            </w:r>
            <w:r w:rsidRPr="007D1F57">
              <w:rPr>
                <w:i/>
              </w:rPr>
              <w:t>EGFR</w:t>
            </w:r>
            <w:r>
              <w:t xml:space="preserve"> EXON 20 Insertions. </w:t>
            </w:r>
            <w:r w:rsidRPr="00066508">
              <w:t>TAK-788-5010</w:t>
            </w:r>
            <w:r>
              <w:t xml:space="preserve">. </w:t>
            </w:r>
            <w:r w:rsidRPr="00492E0C">
              <w:t xml:space="preserve">Technical report of the IPTW of mobocertinib vs. SOC (Germany) using data from Study 101 </w:t>
            </w:r>
            <w:r>
              <w:t xml:space="preserve">at the </w:t>
            </w:r>
            <w:r w:rsidRPr="00492E0C">
              <w:t>01 November 2020 cutoff</w:t>
            </w:r>
          </w:p>
        </w:tc>
        <w:tc>
          <w:tcPr>
            <w:tcW w:w="1177" w:type="pct"/>
            <w:tcBorders>
              <w:top w:val="nil"/>
              <w:bottom w:val="nil"/>
            </w:tcBorders>
            <w:vAlign w:val="center"/>
          </w:tcPr>
          <w:p w14:paraId="5915BE28" w14:textId="77777777" w:rsidR="00160D41" w:rsidRPr="00153C33" w:rsidRDefault="00160D41" w:rsidP="000711EA">
            <w:pPr>
              <w:pStyle w:val="TableText0"/>
              <w:keepNext w:val="0"/>
            </w:pPr>
            <w:r>
              <w:t>21 December 2021, Version 1.0.</w:t>
            </w:r>
          </w:p>
        </w:tc>
      </w:tr>
      <w:tr w:rsidR="00160D41" w:rsidRPr="00CB38A8" w14:paraId="1223E6F2" w14:textId="77777777" w:rsidTr="00F906AB">
        <w:trPr>
          <w:cantSplit/>
          <w:trHeight w:val="774"/>
        </w:trPr>
        <w:tc>
          <w:tcPr>
            <w:tcW w:w="796" w:type="pct"/>
            <w:vMerge/>
            <w:vAlign w:val="center"/>
          </w:tcPr>
          <w:p w14:paraId="7D4AA077" w14:textId="77777777" w:rsidR="00160D41" w:rsidRPr="00153C33" w:rsidRDefault="00160D41" w:rsidP="000711EA">
            <w:pPr>
              <w:pStyle w:val="TableText0"/>
              <w:keepNext w:val="0"/>
            </w:pPr>
          </w:p>
        </w:tc>
        <w:tc>
          <w:tcPr>
            <w:tcW w:w="3027" w:type="pct"/>
            <w:tcBorders>
              <w:top w:val="nil"/>
              <w:bottom w:val="nil"/>
            </w:tcBorders>
          </w:tcPr>
          <w:p w14:paraId="32FAFCDA" w14:textId="77777777" w:rsidR="00160D41" w:rsidRPr="00153C33" w:rsidRDefault="00160D41" w:rsidP="000711EA">
            <w:pPr>
              <w:pStyle w:val="TableText0"/>
              <w:keepNext w:val="0"/>
            </w:pPr>
            <w:r w:rsidRPr="00F212E6">
              <w:t>Comparison of Mobocertinib vs Usual care (GCR) using TAK-788-5008 data</w:t>
            </w:r>
            <w:r>
              <w:t xml:space="preserve">. </w:t>
            </w:r>
            <w:r w:rsidRPr="00C42977">
              <w:t xml:space="preserve">Updated results of the IPTW of mobocertinib vs. SOC (Germany) using data from Study 101 </w:t>
            </w:r>
            <w:r>
              <w:t xml:space="preserve">at the </w:t>
            </w:r>
            <w:r w:rsidRPr="00C42977">
              <w:t>01 November 2021 cutoff</w:t>
            </w:r>
          </w:p>
        </w:tc>
        <w:tc>
          <w:tcPr>
            <w:tcW w:w="1177" w:type="pct"/>
            <w:tcBorders>
              <w:top w:val="nil"/>
              <w:bottom w:val="nil"/>
            </w:tcBorders>
            <w:vAlign w:val="center"/>
          </w:tcPr>
          <w:p w14:paraId="61C30857" w14:textId="77777777" w:rsidR="00160D41" w:rsidRPr="00153C33" w:rsidRDefault="00160D41" w:rsidP="000711EA">
            <w:pPr>
              <w:pStyle w:val="TableText0"/>
              <w:keepNext w:val="0"/>
            </w:pPr>
            <w:r>
              <w:t>15 February 2022.</w:t>
            </w:r>
          </w:p>
        </w:tc>
      </w:tr>
      <w:tr w:rsidR="00160D41" w:rsidRPr="00CB38A8" w14:paraId="2E3D0531" w14:textId="77777777" w:rsidTr="00F906AB">
        <w:trPr>
          <w:cantSplit/>
          <w:trHeight w:val="774"/>
        </w:trPr>
        <w:tc>
          <w:tcPr>
            <w:tcW w:w="796" w:type="pct"/>
            <w:vMerge/>
            <w:vAlign w:val="center"/>
          </w:tcPr>
          <w:p w14:paraId="065F96A1" w14:textId="77777777" w:rsidR="00160D41" w:rsidRPr="00153C33" w:rsidRDefault="00160D41" w:rsidP="000711EA">
            <w:pPr>
              <w:pStyle w:val="TableText0"/>
              <w:keepNext w:val="0"/>
            </w:pPr>
          </w:p>
        </w:tc>
        <w:tc>
          <w:tcPr>
            <w:tcW w:w="3027" w:type="pct"/>
            <w:tcBorders>
              <w:top w:val="nil"/>
              <w:bottom w:val="single" w:sz="4" w:space="0" w:color="auto"/>
            </w:tcBorders>
          </w:tcPr>
          <w:p w14:paraId="1C224142" w14:textId="77777777" w:rsidR="00160D41" w:rsidRPr="00153C33" w:rsidRDefault="00160D41" w:rsidP="000711EA">
            <w:pPr>
              <w:pStyle w:val="TableText0"/>
              <w:keepNext w:val="0"/>
            </w:pPr>
            <w:r>
              <w:t xml:space="preserve">Statistical Analysis Plan. IPTW of Mobocertinib vs. Standard of Care (SOC) in Advanced NSCLC Patients with </w:t>
            </w:r>
            <w:r w:rsidRPr="007D1F57">
              <w:rPr>
                <w:i/>
              </w:rPr>
              <w:t>EGFR</w:t>
            </w:r>
            <w:r>
              <w:t xml:space="preserve"> EXON 20 Insertions. </w:t>
            </w:r>
            <w:r w:rsidRPr="00F212E6">
              <w:t>TAK-788-5010</w:t>
            </w:r>
            <w:r>
              <w:t xml:space="preserve">. </w:t>
            </w:r>
          </w:p>
        </w:tc>
        <w:tc>
          <w:tcPr>
            <w:tcW w:w="1177" w:type="pct"/>
            <w:tcBorders>
              <w:top w:val="nil"/>
              <w:bottom w:val="single" w:sz="4" w:space="0" w:color="auto"/>
            </w:tcBorders>
            <w:vAlign w:val="center"/>
          </w:tcPr>
          <w:p w14:paraId="692E3F3D" w14:textId="77777777" w:rsidR="00160D41" w:rsidRPr="00153C33" w:rsidRDefault="00160D41" w:rsidP="000711EA">
            <w:pPr>
              <w:pStyle w:val="TableText0"/>
              <w:keepNext w:val="0"/>
            </w:pPr>
            <w:r>
              <w:t>24 August 2021, Version 2.0.</w:t>
            </w:r>
          </w:p>
        </w:tc>
      </w:tr>
      <w:tr w:rsidR="00160D41" w:rsidRPr="00CB38A8" w14:paraId="000556ED" w14:textId="77777777" w:rsidTr="00F906AB">
        <w:trPr>
          <w:cantSplit/>
          <w:trHeight w:val="774"/>
        </w:trPr>
        <w:tc>
          <w:tcPr>
            <w:tcW w:w="796" w:type="pct"/>
            <w:vMerge w:val="restart"/>
            <w:vAlign w:val="center"/>
          </w:tcPr>
          <w:p w14:paraId="75FCF034" w14:textId="77777777" w:rsidR="00160D41" w:rsidRPr="00CB38A8" w:rsidRDefault="00160D41" w:rsidP="000711EA">
            <w:pPr>
              <w:pStyle w:val="TableText0"/>
              <w:keepNext w:val="0"/>
            </w:pPr>
            <w:r w:rsidRPr="00153C33">
              <w:t xml:space="preserve">Study 101 vs. </w:t>
            </w:r>
            <w:r>
              <w:t>retrospective analysis</w:t>
            </w:r>
            <w:r w:rsidRPr="00153C33">
              <w:t xml:space="preserve"> 5002 (US Flatiron)</w:t>
            </w:r>
          </w:p>
        </w:tc>
        <w:tc>
          <w:tcPr>
            <w:tcW w:w="3027" w:type="pct"/>
            <w:tcBorders>
              <w:top w:val="single" w:sz="4" w:space="0" w:color="auto"/>
              <w:bottom w:val="nil"/>
            </w:tcBorders>
          </w:tcPr>
          <w:p w14:paraId="0397FF11" w14:textId="77777777" w:rsidR="00160D41" w:rsidRDefault="00160D41" w:rsidP="000711EA">
            <w:pPr>
              <w:pStyle w:val="TableText0"/>
              <w:keepNext w:val="0"/>
            </w:pPr>
            <w:r w:rsidRPr="00153C33">
              <w:t xml:space="preserve">Study Report. Comparative Effectiveness of Mobocertinib and Standard of Care in Patients with NSCLC with </w:t>
            </w:r>
            <w:r w:rsidRPr="007D1F57">
              <w:rPr>
                <w:i/>
              </w:rPr>
              <w:t>EGFR</w:t>
            </w:r>
            <w:r w:rsidRPr="00153C33">
              <w:t xml:space="preserve"> Exon 20 Insertion Mutations: An Indirect Comparison.</w:t>
            </w:r>
          </w:p>
        </w:tc>
        <w:tc>
          <w:tcPr>
            <w:tcW w:w="1177" w:type="pct"/>
            <w:tcBorders>
              <w:top w:val="single" w:sz="4" w:space="0" w:color="auto"/>
              <w:bottom w:val="nil"/>
            </w:tcBorders>
            <w:vAlign w:val="center"/>
          </w:tcPr>
          <w:p w14:paraId="7920F288" w14:textId="77777777" w:rsidR="00160D41" w:rsidRDefault="00160D41" w:rsidP="000711EA">
            <w:pPr>
              <w:pStyle w:val="TableText0"/>
              <w:keepNext w:val="0"/>
            </w:pPr>
            <w:r w:rsidRPr="00153C33">
              <w:t>09 November 2021.</w:t>
            </w:r>
          </w:p>
        </w:tc>
      </w:tr>
      <w:tr w:rsidR="00160D41" w:rsidRPr="00CB38A8" w14:paraId="38472FCF" w14:textId="77777777" w:rsidTr="00F906AB">
        <w:trPr>
          <w:cantSplit/>
        </w:trPr>
        <w:tc>
          <w:tcPr>
            <w:tcW w:w="796" w:type="pct"/>
            <w:vMerge/>
            <w:tcBorders>
              <w:bottom w:val="single" w:sz="4" w:space="0" w:color="auto"/>
            </w:tcBorders>
            <w:vAlign w:val="center"/>
          </w:tcPr>
          <w:p w14:paraId="67E47DF7" w14:textId="77777777" w:rsidR="00160D41" w:rsidRPr="00CB38A8" w:rsidRDefault="00160D41" w:rsidP="000711EA">
            <w:pPr>
              <w:pStyle w:val="TableText0"/>
              <w:keepNext w:val="0"/>
            </w:pPr>
          </w:p>
        </w:tc>
        <w:tc>
          <w:tcPr>
            <w:tcW w:w="3027" w:type="pct"/>
            <w:tcBorders>
              <w:top w:val="nil"/>
              <w:bottom w:val="single" w:sz="4" w:space="0" w:color="auto"/>
            </w:tcBorders>
          </w:tcPr>
          <w:p w14:paraId="43C14B97" w14:textId="77777777" w:rsidR="00160D41" w:rsidRDefault="00160D41" w:rsidP="000711EA">
            <w:pPr>
              <w:pStyle w:val="TableText0"/>
              <w:keepNext w:val="0"/>
            </w:pPr>
            <w:r w:rsidRPr="006C1FEC">
              <w:t>Comparison of Mobocertinib vs Usual care (Fl) using TAK-788-5002 data.</w:t>
            </w:r>
          </w:p>
          <w:p w14:paraId="697DC5E8" w14:textId="77777777" w:rsidR="00160D41" w:rsidRPr="00CB38A8" w:rsidRDefault="00160D41" w:rsidP="000711EA">
            <w:pPr>
              <w:pStyle w:val="TableText0"/>
              <w:keepNext w:val="0"/>
            </w:pPr>
            <w:r w:rsidRPr="00153C33">
              <w:t>Updated results of the IPTW of mobocertinib vs. SOC (US Flatiron) using data from Study 101</w:t>
            </w:r>
            <w:r>
              <w:t xml:space="preserve">. </w:t>
            </w:r>
            <w:r w:rsidRPr="00492E0C">
              <w:t>Updated results of the IPTW of mobocertinib vs. SOC (US Flatiron) using data from Study 101</w:t>
            </w:r>
            <w:r>
              <w:t xml:space="preserve"> at the</w:t>
            </w:r>
            <w:r w:rsidRPr="00492E0C">
              <w:t xml:space="preserve"> 01 November 2021 cutoff</w:t>
            </w:r>
            <w:r>
              <w:t>.</w:t>
            </w:r>
          </w:p>
        </w:tc>
        <w:tc>
          <w:tcPr>
            <w:tcW w:w="1177" w:type="pct"/>
            <w:tcBorders>
              <w:top w:val="nil"/>
              <w:bottom w:val="single" w:sz="4" w:space="0" w:color="auto"/>
            </w:tcBorders>
            <w:vAlign w:val="center"/>
          </w:tcPr>
          <w:p w14:paraId="191E3E42" w14:textId="77777777" w:rsidR="00160D41" w:rsidRPr="004A2558" w:rsidRDefault="00160D41" w:rsidP="000711EA">
            <w:pPr>
              <w:pStyle w:val="TableText0"/>
              <w:keepNext w:val="0"/>
            </w:pPr>
            <w:r w:rsidRPr="006C1FEC">
              <w:t>15 February 2022</w:t>
            </w:r>
          </w:p>
        </w:tc>
      </w:tr>
    </w:tbl>
    <w:p w14:paraId="1E01FD21" w14:textId="77777777" w:rsidR="00160D41" w:rsidRPr="00160D41" w:rsidRDefault="00160D41" w:rsidP="000711EA">
      <w:pPr>
        <w:pStyle w:val="TableFooter"/>
      </w:pPr>
      <w:r w:rsidRPr="00160D41">
        <w:t>Source: Table 2-5, pp71-76 of the submission.</w:t>
      </w:r>
    </w:p>
    <w:p w14:paraId="4D58A82A" w14:textId="0ABCE862" w:rsidR="008E0D3C" w:rsidRPr="00B1011F" w:rsidRDefault="00160D41" w:rsidP="000711EA">
      <w:pPr>
        <w:pStyle w:val="TableFooter"/>
        <w:rPr>
          <w:sz w:val="20"/>
        </w:rPr>
      </w:pPr>
      <w:r w:rsidRPr="00160D41">
        <w:rPr>
          <w:i/>
        </w:rPr>
        <w:t>EGFR</w:t>
      </w:r>
      <w:r w:rsidR="00F66348">
        <w:rPr>
          <w:i/>
        </w:rPr>
        <w:t xml:space="preserve"> </w:t>
      </w:r>
      <w:r w:rsidRPr="00160D41">
        <w:t>=</w:t>
      </w:r>
      <w:r w:rsidR="00F66348">
        <w:t xml:space="preserve"> </w:t>
      </w:r>
      <w:r w:rsidRPr="00160D41">
        <w:t>epidermal growth factor receptor; Ex20ins</w:t>
      </w:r>
      <w:r w:rsidR="00F66348">
        <w:t xml:space="preserve"> </w:t>
      </w:r>
      <w:r w:rsidRPr="00160D41">
        <w:t>=</w:t>
      </w:r>
      <w:r w:rsidR="00F66348">
        <w:t xml:space="preserve"> </w:t>
      </w:r>
      <w:r w:rsidRPr="00160D41">
        <w:t>exon 20 insertion; IPTW</w:t>
      </w:r>
      <w:r w:rsidR="00F66348">
        <w:t xml:space="preserve"> </w:t>
      </w:r>
      <w:r w:rsidRPr="00160D41">
        <w:t>=</w:t>
      </w:r>
      <w:r w:rsidR="00F66348">
        <w:t xml:space="preserve"> </w:t>
      </w:r>
      <w:r w:rsidRPr="00160D41">
        <w:t>inverse probability treatment weighting</w:t>
      </w:r>
      <w:r w:rsidR="00D77A26">
        <w:t xml:space="preserve">; </w:t>
      </w:r>
      <w:r w:rsidRPr="00160D41">
        <w:t>SOC</w:t>
      </w:r>
      <w:r w:rsidR="00F66348">
        <w:t xml:space="preserve"> </w:t>
      </w:r>
      <w:r w:rsidRPr="00160D41">
        <w:t>=</w:t>
      </w:r>
      <w:r w:rsidR="00F66348">
        <w:t xml:space="preserve"> </w:t>
      </w:r>
      <w:r w:rsidRPr="00160D41">
        <w:t>standard of care; TAK-788</w:t>
      </w:r>
      <w:r w:rsidR="00F66348">
        <w:t xml:space="preserve"> </w:t>
      </w:r>
      <w:r w:rsidRPr="00160D41">
        <w:t>=</w:t>
      </w:r>
      <w:r w:rsidR="00F66348">
        <w:t xml:space="preserve"> </w:t>
      </w:r>
      <w:r w:rsidRPr="00160D41">
        <w:t>mobocertinib</w:t>
      </w:r>
    </w:p>
    <w:p w14:paraId="5D38308B" w14:textId="77777777" w:rsidR="00160D41" w:rsidRPr="00160D41" w:rsidRDefault="00160D41" w:rsidP="005D739D">
      <w:pPr>
        <w:pStyle w:val="3-BodyText"/>
        <w:numPr>
          <w:ilvl w:val="0"/>
          <w:numId w:val="0"/>
        </w:numPr>
        <w:spacing w:after="0"/>
        <w:ind w:left="720"/>
      </w:pPr>
    </w:p>
    <w:p w14:paraId="4FAB23CE" w14:textId="1B5B3361" w:rsidR="00160D41" w:rsidRPr="00160D41" w:rsidRDefault="008F120A" w:rsidP="000711EA">
      <w:pPr>
        <w:pStyle w:val="3-BodyText"/>
      </w:pPr>
      <w:r w:rsidRPr="00B50DB8">
        <w:t xml:space="preserve">The key features of the </w:t>
      </w:r>
      <w:r w:rsidR="00621ADA">
        <w:t>included evidence</w:t>
      </w:r>
      <w:r w:rsidRPr="00B50DB8">
        <w:t xml:space="preserve"> are summarised in</w:t>
      </w:r>
      <w:r w:rsidR="0078378F">
        <w:t xml:space="preserve"> </w:t>
      </w:r>
      <w:r w:rsidR="0078378F">
        <w:fldChar w:fldCharType="begin"/>
      </w:r>
      <w:r w:rsidR="0078378F">
        <w:instrText xml:space="preserve"> REF _Ref112581983 \h </w:instrText>
      </w:r>
      <w:r w:rsidR="0078378F">
        <w:fldChar w:fldCharType="separate"/>
      </w:r>
      <w:r w:rsidR="001635D4">
        <w:t xml:space="preserve">Table </w:t>
      </w:r>
      <w:r w:rsidR="001635D4">
        <w:rPr>
          <w:noProof/>
        </w:rPr>
        <w:t>3</w:t>
      </w:r>
      <w:r w:rsidR="0078378F">
        <w:fldChar w:fldCharType="end"/>
      </w:r>
      <w:r w:rsidRPr="00B50DB8">
        <w:t>.</w:t>
      </w:r>
    </w:p>
    <w:p w14:paraId="73897178" w14:textId="1D5EB938" w:rsidR="00160D41" w:rsidRDefault="00160D41" w:rsidP="00474919">
      <w:pPr>
        <w:pStyle w:val="Caption"/>
      </w:pPr>
      <w:bookmarkStart w:id="27" w:name="_Ref112581983"/>
      <w:r>
        <w:t xml:space="preserve">Table </w:t>
      </w:r>
      <w:r w:rsidR="001635D4">
        <w:fldChar w:fldCharType="begin"/>
      </w:r>
      <w:r w:rsidR="001635D4">
        <w:instrText xml:space="preserve"> SEQ Table \* ARABIC </w:instrText>
      </w:r>
      <w:r w:rsidR="001635D4">
        <w:fldChar w:fldCharType="separate"/>
      </w:r>
      <w:r w:rsidR="001635D4">
        <w:rPr>
          <w:noProof/>
        </w:rPr>
        <w:t>3</w:t>
      </w:r>
      <w:r w:rsidR="001635D4">
        <w:rPr>
          <w:noProof/>
        </w:rPr>
        <w:fldChar w:fldCharType="end"/>
      </w:r>
      <w:bookmarkEnd w:id="27"/>
      <w:r>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78"/>
        <w:gridCol w:w="512"/>
        <w:gridCol w:w="1324"/>
        <w:gridCol w:w="2081"/>
        <w:gridCol w:w="2150"/>
        <w:gridCol w:w="968"/>
        <w:gridCol w:w="904"/>
      </w:tblGrid>
      <w:tr w:rsidR="007D2393" w14:paraId="61B6E6FE" w14:textId="77777777" w:rsidTr="007D2393">
        <w:tc>
          <w:tcPr>
            <w:tcW w:w="598" w:type="pct"/>
            <w:tcBorders>
              <w:top w:val="single" w:sz="4" w:space="0" w:color="auto"/>
              <w:left w:val="single" w:sz="4" w:space="0" w:color="auto"/>
              <w:bottom w:val="single" w:sz="4" w:space="0" w:color="auto"/>
              <w:right w:val="single" w:sz="4" w:space="0" w:color="auto"/>
            </w:tcBorders>
            <w:vAlign w:val="bottom"/>
            <w:hideMark/>
          </w:tcPr>
          <w:p w14:paraId="7AD30E6A" w14:textId="23D8DEFF" w:rsidR="007D2393" w:rsidRPr="00C8369D" w:rsidRDefault="007D2393" w:rsidP="00474919">
            <w:pPr>
              <w:pStyle w:val="TableText0"/>
              <w:keepLines/>
              <w:rPr>
                <w:b/>
              </w:rPr>
            </w:pPr>
            <w:r>
              <w:rPr>
                <w:b/>
              </w:rPr>
              <w:t>Study</w:t>
            </w:r>
          </w:p>
        </w:tc>
        <w:tc>
          <w:tcPr>
            <w:tcW w:w="284" w:type="pct"/>
            <w:tcBorders>
              <w:top w:val="single" w:sz="4" w:space="0" w:color="auto"/>
              <w:left w:val="single" w:sz="4" w:space="0" w:color="auto"/>
              <w:bottom w:val="single" w:sz="4" w:space="0" w:color="auto"/>
              <w:right w:val="single" w:sz="4" w:space="0" w:color="auto"/>
            </w:tcBorders>
            <w:vAlign w:val="bottom"/>
            <w:hideMark/>
          </w:tcPr>
          <w:p w14:paraId="0DDCE23C" w14:textId="77777777" w:rsidR="007D2393" w:rsidRPr="00C8369D" w:rsidRDefault="007D2393" w:rsidP="00474919">
            <w:pPr>
              <w:pStyle w:val="TableText0"/>
              <w:keepLines/>
              <w:jc w:val="center"/>
              <w:rPr>
                <w:b/>
              </w:rPr>
            </w:pPr>
            <w:r w:rsidRPr="00C8369D">
              <w:rPr>
                <w:b/>
              </w:rPr>
              <w:t>N</w:t>
            </w:r>
          </w:p>
        </w:tc>
        <w:tc>
          <w:tcPr>
            <w:tcW w:w="734" w:type="pct"/>
            <w:tcBorders>
              <w:top w:val="single" w:sz="4" w:space="0" w:color="auto"/>
              <w:left w:val="single" w:sz="4" w:space="0" w:color="auto"/>
              <w:bottom w:val="single" w:sz="4" w:space="0" w:color="auto"/>
              <w:right w:val="single" w:sz="4" w:space="0" w:color="auto"/>
            </w:tcBorders>
            <w:vAlign w:val="bottom"/>
            <w:hideMark/>
          </w:tcPr>
          <w:p w14:paraId="6DDFD6A9" w14:textId="77777777" w:rsidR="007D2393" w:rsidRPr="00C8369D" w:rsidRDefault="007D2393" w:rsidP="00474919">
            <w:pPr>
              <w:pStyle w:val="TableText0"/>
              <w:keepLines/>
              <w:rPr>
                <w:b/>
              </w:rPr>
            </w:pPr>
            <w:r w:rsidRPr="00C8369D">
              <w:rPr>
                <w:b/>
              </w:rPr>
              <w:t>Design/</w:t>
            </w:r>
            <w:r>
              <w:rPr>
                <w:b/>
              </w:rPr>
              <w:t>D</w:t>
            </w:r>
            <w:r w:rsidRPr="00C8369D">
              <w:rPr>
                <w:b/>
              </w:rPr>
              <w:t>uration</w:t>
            </w:r>
            <w:r>
              <w:rPr>
                <w:b/>
              </w:rPr>
              <w:t xml:space="preserve"> of follow up</w:t>
            </w:r>
          </w:p>
        </w:tc>
        <w:tc>
          <w:tcPr>
            <w:tcW w:w="1154" w:type="pct"/>
            <w:tcBorders>
              <w:top w:val="single" w:sz="4" w:space="0" w:color="auto"/>
              <w:left w:val="single" w:sz="4" w:space="0" w:color="auto"/>
              <w:bottom w:val="single" w:sz="4" w:space="0" w:color="auto"/>
              <w:right w:val="single" w:sz="4" w:space="0" w:color="auto"/>
            </w:tcBorders>
            <w:vAlign w:val="bottom"/>
          </w:tcPr>
          <w:p w14:paraId="3F3AFA72" w14:textId="77777777" w:rsidR="007D2393" w:rsidRPr="00C8369D" w:rsidRDefault="007D2393" w:rsidP="00474919">
            <w:pPr>
              <w:pStyle w:val="TableText0"/>
              <w:keepLines/>
              <w:rPr>
                <w:b/>
              </w:rPr>
            </w:pPr>
            <w:r>
              <w:rPr>
                <w:b/>
              </w:rPr>
              <w:t>Risk of bias</w:t>
            </w:r>
          </w:p>
        </w:tc>
        <w:tc>
          <w:tcPr>
            <w:tcW w:w="1192" w:type="pct"/>
            <w:tcBorders>
              <w:top w:val="single" w:sz="4" w:space="0" w:color="auto"/>
              <w:left w:val="single" w:sz="4" w:space="0" w:color="auto"/>
              <w:bottom w:val="single" w:sz="4" w:space="0" w:color="auto"/>
              <w:right w:val="single" w:sz="4" w:space="0" w:color="auto"/>
            </w:tcBorders>
            <w:vAlign w:val="bottom"/>
            <w:hideMark/>
          </w:tcPr>
          <w:p w14:paraId="54A6B45D" w14:textId="77777777" w:rsidR="007D2393" w:rsidRPr="00C8369D" w:rsidRDefault="007D2393" w:rsidP="00474919">
            <w:pPr>
              <w:pStyle w:val="TableText0"/>
              <w:keepLines/>
              <w:rPr>
                <w:b/>
              </w:rPr>
            </w:pPr>
            <w:r w:rsidRPr="00C8369D">
              <w:rPr>
                <w:b/>
              </w:rPr>
              <w:t>Patient population</w:t>
            </w:r>
          </w:p>
        </w:tc>
        <w:tc>
          <w:tcPr>
            <w:tcW w:w="537" w:type="pct"/>
            <w:tcBorders>
              <w:top w:val="single" w:sz="4" w:space="0" w:color="auto"/>
              <w:left w:val="single" w:sz="4" w:space="0" w:color="auto"/>
              <w:bottom w:val="single" w:sz="4" w:space="0" w:color="auto"/>
              <w:right w:val="single" w:sz="4" w:space="0" w:color="auto"/>
            </w:tcBorders>
            <w:vAlign w:val="bottom"/>
            <w:hideMark/>
          </w:tcPr>
          <w:p w14:paraId="1A624288" w14:textId="77777777" w:rsidR="007D2393" w:rsidRPr="00C8369D" w:rsidRDefault="007D2393" w:rsidP="00474919">
            <w:pPr>
              <w:pStyle w:val="TableText0"/>
              <w:keepLines/>
              <w:rPr>
                <w:b/>
              </w:rPr>
            </w:pPr>
            <w:r w:rsidRPr="00C8369D">
              <w:rPr>
                <w:b/>
              </w:rPr>
              <w:t>Outcome(s)</w:t>
            </w:r>
          </w:p>
        </w:tc>
        <w:tc>
          <w:tcPr>
            <w:tcW w:w="501" w:type="pct"/>
            <w:tcBorders>
              <w:top w:val="single" w:sz="4" w:space="0" w:color="auto"/>
              <w:left w:val="single" w:sz="4" w:space="0" w:color="auto"/>
              <w:bottom w:val="single" w:sz="4" w:space="0" w:color="auto"/>
              <w:right w:val="single" w:sz="4" w:space="0" w:color="auto"/>
            </w:tcBorders>
            <w:vAlign w:val="bottom"/>
            <w:hideMark/>
          </w:tcPr>
          <w:p w14:paraId="469F20B7" w14:textId="77777777" w:rsidR="007D2393" w:rsidRPr="00C8369D" w:rsidRDefault="007D2393" w:rsidP="00474919">
            <w:pPr>
              <w:pStyle w:val="TableText0"/>
              <w:keepLines/>
              <w:rPr>
                <w:b/>
              </w:rPr>
            </w:pPr>
            <w:r w:rsidRPr="00C8369D">
              <w:rPr>
                <w:b/>
              </w:rPr>
              <w:t>Use</w:t>
            </w:r>
            <w:r>
              <w:rPr>
                <w:b/>
              </w:rPr>
              <w:t>d</w:t>
            </w:r>
            <w:r w:rsidRPr="00C8369D">
              <w:rPr>
                <w:b/>
              </w:rPr>
              <w:t xml:space="preserve"> in modelled evaluation</w:t>
            </w:r>
          </w:p>
        </w:tc>
      </w:tr>
      <w:tr w:rsidR="007D2393" w14:paraId="6821A645" w14:textId="77777777" w:rsidTr="007D2393">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40C8884C" w14:textId="77777777" w:rsidR="007D2393" w:rsidRPr="007D2393" w:rsidRDefault="007D2393" w:rsidP="00474919">
            <w:pPr>
              <w:pStyle w:val="TableText0"/>
              <w:keepLines/>
              <w:rPr>
                <w:b/>
              </w:rPr>
            </w:pPr>
            <w:r w:rsidRPr="007D2393">
              <w:rPr>
                <w:b/>
              </w:rPr>
              <w:t>Mobocertinib</w:t>
            </w:r>
          </w:p>
        </w:tc>
      </w:tr>
      <w:tr w:rsidR="007D2393" w14:paraId="4AC35476" w14:textId="77777777" w:rsidTr="007D2393">
        <w:tc>
          <w:tcPr>
            <w:tcW w:w="598" w:type="pct"/>
            <w:tcBorders>
              <w:top w:val="single" w:sz="4" w:space="0" w:color="auto"/>
              <w:bottom w:val="single" w:sz="4" w:space="0" w:color="auto"/>
            </w:tcBorders>
            <w:vAlign w:val="center"/>
            <w:hideMark/>
          </w:tcPr>
          <w:p w14:paraId="6DF49D06" w14:textId="77777777" w:rsidR="007D2393" w:rsidRPr="0058000B" w:rsidRDefault="007D2393" w:rsidP="00474919">
            <w:pPr>
              <w:keepNext/>
              <w:keepLines/>
              <w:widowControl w:val="0"/>
              <w:spacing w:before="40" w:after="40" w:line="256" w:lineRule="auto"/>
              <w:rPr>
                <w:rFonts w:ascii="Arial Narrow" w:hAnsi="Arial Narrow" w:cs="Arial"/>
                <w:sz w:val="20"/>
              </w:rPr>
            </w:pPr>
            <w:r>
              <w:rPr>
                <w:rFonts w:ascii="Arial Narrow" w:hAnsi="Arial Narrow" w:cs="Arial"/>
                <w:sz w:val="20"/>
              </w:rPr>
              <w:t>Study 101</w:t>
            </w:r>
          </w:p>
          <w:p w14:paraId="5C38E7F6" w14:textId="77777777" w:rsidR="007D2393" w:rsidRDefault="007D2393" w:rsidP="00474919">
            <w:pPr>
              <w:pStyle w:val="TableText0"/>
              <w:keepLines/>
            </w:pPr>
            <w:r w:rsidRPr="0058000B">
              <w:rPr>
                <w:rFonts w:eastAsia="Times New Roman" w:cs="Arial"/>
              </w:rPr>
              <w:t xml:space="preserve">(DCO </w:t>
            </w:r>
            <w:r>
              <w:rPr>
                <w:rFonts w:eastAsia="Times New Roman" w:cs="Arial"/>
              </w:rPr>
              <w:t>November 2021)</w:t>
            </w:r>
          </w:p>
        </w:tc>
        <w:tc>
          <w:tcPr>
            <w:tcW w:w="284" w:type="pct"/>
            <w:tcBorders>
              <w:top w:val="single" w:sz="4" w:space="0" w:color="auto"/>
              <w:bottom w:val="single" w:sz="4" w:space="0" w:color="auto"/>
            </w:tcBorders>
            <w:vAlign w:val="center"/>
            <w:hideMark/>
          </w:tcPr>
          <w:p w14:paraId="0E27C114" w14:textId="77777777" w:rsidR="007D2393" w:rsidRDefault="007D2393" w:rsidP="00474919">
            <w:pPr>
              <w:pStyle w:val="TableText0"/>
              <w:keepLines/>
              <w:jc w:val="center"/>
              <w:rPr>
                <w:rFonts w:eastAsia="Times New Roman" w:cs="Arial"/>
              </w:rPr>
            </w:pPr>
            <w:r>
              <w:rPr>
                <w:rFonts w:eastAsia="Times New Roman" w:cs="Arial"/>
              </w:rPr>
              <w:t>PPP cohort</w:t>
            </w:r>
          </w:p>
          <w:p w14:paraId="2626E7A5" w14:textId="77777777" w:rsidR="007D2393" w:rsidRDefault="007D2393" w:rsidP="00474919">
            <w:pPr>
              <w:pStyle w:val="TableText0"/>
              <w:keepLines/>
              <w:jc w:val="center"/>
            </w:pPr>
            <w:r w:rsidRPr="0058000B">
              <w:rPr>
                <w:rFonts w:eastAsia="Times New Roman" w:cs="Arial"/>
              </w:rPr>
              <w:t>1</w:t>
            </w:r>
            <w:r>
              <w:rPr>
                <w:rFonts w:eastAsia="Times New Roman" w:cs="Arial"/>
              </w:rPr>
              <w:t>14</w:t>
            </w:r>
            <w:r w:rsidRPr="0058000B">
              <w:rPr>
                <w:rFonts w:eastAsia="Times New Roman" w:cs="Arial"/>
                <w:vertAlign w:val="superscript"/>
              </w:rPr>
              <w:t>a</w:t>
            </w:r>
          </w:p>
        </w:tc>
        <w:tc>
          <w:tcPr>
            <w:tcW w:w="734" w:type="pct"/>
            <w:tcBorders>
              <w:top w:val="single" w:sz="4" w:space="0" w:color="auto"/>
              <w:bottom w:val="single" w:sz="4" w:space="0" w:color="auto"/>
            </w:tcBorders>
            <w:vAlign w:val="center"/>
            <w:hideMark/>
          </w:tcPr>
          <w:p w14:paraId="3D917471" w14:textId="77777777" w:rsidR="007D2393" w:rsidRPr="0058000B" w:rsidRDefault="007D2393" w:rsidP="00474919">
            <w:pPr>
              <w:keepNext/>
              <w:keepLines/>
              <w:widowControl w:val="0"/>
              <w:spacing w:before="40" w:after="40" w:line="256" w:lineRule="auto"/>
              <w:rPr>
                <w:rFonts w:ascii="Arial Narrow" w:hAnsi="Arial Narrow" w:cs="Arial"/>
                <w:sz w:val="20"/>
              </w:rPr>
            </w:pPr>
            <w:r w:rsidRPr="0058000B">
              <w:rPr>
                <w:rFonts w:ascii="Arial Narrow" w:hAnsi="Arial Narrow" w:cs="Arial"/>
                <w:sz w:val="20"/>
              </w:rPr>
              <w:t>Single</w:t>
            </w:r>
            <w:r>
              <w:rPr>
                <w:rFonts w:ascii="Arial Narrow" w:hAnsi="Arial Narrow" w:cs="Arial"/>
                <w:sz w:val="20"/>
              </w:rPr>
              <w:t>-arm,</w:t>
            </w:r>
          </w:p>
          <w:p w14:paraId="102CE22E" w14:textId="77777777" w:rsidR="007D2393" w:rsidRDefault="007D2393" w:rsidP="00474919">
            <w:pPr>
              <w:pStyle w:val="TableText0"/>
              <w:keepLines/>
            </w:pPr>
            <w:r>
              <w:rPr>
                <w:rFonts w:eastAsia="Times New Roman" w:cs="Arial"/>
                <w:szCs w:val="20"/>
              </w:rPr>
              <w:t>25.8</w:t>
            </w:r>
            <w:r w:rsidRPr="0058000B">
              <w:rPr>
                <w:rFonts w:eastAsia="Times New Roman" w:cs="Arial"/>
                <w:szCs w:val="20"/>
              </w:rPr>
              <w:t xml:space="preserve"> months</w:t>
            </w:r>
            <w:r w:rsidRPr="0058000B">
              <w:rPr>
                <w:rFonts w:eastAsia="Times New Roman" w:cs="Arial"/>
                <w:szCs w:val="20"/>
                <w:vertAlign w:val="superscript"/>
              </w:rPr>
              <w:t>a</w:t>
            </w:r>
          </w:p>
        </w:tc>
        <w:tc>
          <w:tcPr>
            <w:tcW w:w="1154" w:type="pct"/>
            <w:tcBorders>
              <w:top w:val="single" w:sz="4" w:space="0" w:color="auto"/>
              <w:bottom w:val="single" w:sz="4" w:space="0" w:color="auto"/>
            </w:tcBorders>
            <w:vAlign w:val="center"/>
          </w:tcPr>
          <w:p w14:paraId="24EDAAFF" w14:textId="77777777" w:rsidR="007D2393" w:rsidRPr="00440A1E" w:rsidRDefault="007D2393" w:rsidP="00474919">
            <w:pPr>
              <w:pStyle w:val="TableText0"/>
              <w:keepLines/>
              <w:rPr>
                <w:rFonts w:eastAsia="Times New Roman" w:cs="Arial"/>
              </w:rPr>
            </w:pPr>
            <w:r w:rsidRPr="00440A1E">
              <w:rPr>
                <w:rFonts w:eastAsia="Times New Roman" w:cs="Arial"/>
              </w:rPr>
              <w:t>High</w:t>
            </w:r>
          </w:p>
        </w:tc>
        <w:tc>
          <w:tcPr>
            <w:tcW w:w="1192" w:type="pct"/>
            <w:tcBorders>
              <w:top w:val="single" w:sz="4" w:space="0" w:color="auto"/>
              <w:bottom w:val="single" w:sz="4" w:space="0" w:color="auto"/>
            </w:tcBorders>
            <w:vAlign w:val="center"/>
            <w:hideMark/>
          </w:tcPr>
          <w:p w14:paraId="4CC5B986" w14:textId="77777777" w:rsidR="007D2393" w:rsidRPr="00C703B6" w:rsidRDefault="007D2393" w:rsidP="00474919">
            <w:pPr>
              <w:pStyle w:val="TableText0"/>
              <w:keepLines/>
            </w:pPr>
            <w:r>
              <w:rPr>
                <w:rFonts w:eastAsia="Times New Roman" w:cs="Arial"/>
                <w:iCs/>
              </w:rPr>
              <w:t>P</w:t>
            </w:r>
            <w:r w:rsidRPr="00C703B6">
              <w:rPr>
                <w:rFonts w:eastAsia="Times New Roman" w:cs="Arial"/>
                <w:iCs/>
              </w:rPr>
              <w:t xml:space="preserve">atients with </w:t>
            </w:r>
            <w:r w:rsidRPr="00C703B6">
              <w:rPr>
                <w:rFonts w:eastAsia="Times New Roman" w:cs="Arial"/>
                <w:i/>
                <w:iCs/>
              </w:rPr>
              <w:t>EGFR</w:t>
            </w:r>
            <w:r w:rsidRPr="00C703B6">
              <w:rPr>
                <w:rFonts w:eastAsia="Times New Roman" w:cs="Arial"/>
                <w:iCs/>
              </w:rPr>
              <w:t xml:space="preserve"> ex20ins variant advanced NSCLC, ≥ 1 prior treatment lines</w:t>
            </w:r>
          </w:p>
        </w:tc>
        <w:tc>
          <w:tcPr>
            <w:tcW w:w="537" w:type="pct"/>
            <w:tcBorders>
              <w:top w:val="single" w:sz="4" w:space="0" w:color="auto"/>
              <w:bottom w:val="single" w:sz="4" w:space="0" w:color="auto"/>
            </w:tcBorders>
            <w:vAlign w:val="center"/>
            <w:hideMark/>
          </w:tcPr>
          <w:p w14:paraId="586B2F0E" w14:textId="77777777" w:rsidR="007D2393" w:rsidRDefault="007D2393" w:rsidP="00474919">
            <w:pPr>
              <w:pStyle w:val="TableText0"/>
              <w:keepLines/>
            </w:pPr>
            <w:r w:rsidRPr="0058000B">
              <w:rPr>
                <w:rFonts w:eastAsia="Times New Roman" w:cs="Arial"/>
              </w:rPr>
              <w:t>PFS, OS</w:t>
            </w:r>
            <w:r>
              <w:rPr>
                <w:rFonts w:eastAsia="Times New Roman" w:cs="Arial"/>
              </w:rPr>
              <w:t>, cORR, DOR</w:t>
            </w:r>
          </w:p>
        </w:tc>
        <w:tc>
          <w:tcPr>
            <w:tcW w:w="501" w:type="pct"/>
            <w:tcBorders>
              <w:top w:val="single" w:sz="4" w:space="0" w:color="auto"/>
              <w:bottom w:val="single" w:sz="4" w:space="0" w:color="auto"/>
            </w:tcBorders>
            <w:vAlign w:val="center"/>
            <w:hideMark/>
          </w:tcPr>
          <w:p w14:paraId="22F92313" w14:textId="77777777" w:rsidR="007D2393" w:rsidRDefault="007D2393" w:rsidP="00474919">
            <w:pPr>
              <w:pStyle w:val="TableText0"/>
              <w:keepLines/>
            </w:pPr>
            <w:r w:rsidRPr="0058000B">
              <w:rPr>
                <w:rFonts w:eastAsia="Times New Roman" w:cs="Arial"/>
              </w:rPr>
              <w:t>OS, PFS, TTD</w:t>
            </w:r>
          </w:p>
        </w:tc>
      </w:tr>
      <w:tr w:rsidR="007D2393" w14:paraId="12F8601C" w14:textId="77777777" w:rsidTr="007D2393">
        <w:tc>
          <w:tcPr>
            <w:tcW w:w="5000" w:type="pct"/>
            <w:gridSpan w:val="7"/>
            <w:tcBorders>
              <w:top w:val="single" w:sz="4" w:space="0" w:color="auto"/>
              <w:left w:val="single" w:sz="4" w:space="0" w:color="auto"/>
              <w:bottom w:val="single" w:sz="4" w:space="0" w:color="auto"/>
              <w:right w:val="single" w:sz="4" w:space="0" w:color="auto"/>
            </w:tcBorders>
            <w:vAlign w:val="center"/>
          </w:tcPr>
          <w:p w14:paraId="428C146D" w14:textId="77777777" w:rsidR="007D2393" w:rsidRPr="00440A1E" w:rsidRDefault="007D2393" w:rsidP="00474919">
            <w:pPr>
              <w:pStyle w:val="TableText0"/>
              <w:keepLines/>
              <w:rPr>
                <w:b/>
              </w:rPr>
            </w:pPr>
            <w:r w:rsidRPr="00440A1E">
              <w:rPr>
                <w:b/>
              </w:rPr>
              <w:t>SOC</w:t>
            </w:r>
          </w:p>
        </w:tc>
      </w:tr>
      <w:tr w:rsidR="007D2393" w14:paraId="22024606" w14:textId="77777777" w:rsidTr="007D2393">
        <w:tc>
          <w:tcPr>
            <w:tcW w:w="598" w:type="pct"/>
            <w:vAlign w:val="center"/>
            <w:hideMark/>
          </w:tcPr>
          <w:p w14:paraId="5D8BC2B9" w14:textId="77777777" w:rsidR="007D2393" w:rsidRPr="0078378F" w:rsidRDefault="007D2393" w:rsidP="00474919">
            <w:pPr>
              <w:keepNext/>
              <w:keepLines/>
              <w:widowControl w:val="0"/>
              <w:spacing w:before="40" w:after="40" w:line="256" w:lineRule="auto"/>
              <w:rPr>
                <w:rFonts w:ascii="Arial Narrow" w:hAnsi="Arial Narrow" w:cs="Arial"/>
                <w:sz w:val="20"/>
                <w:vertAlign w:val="superscript"/>
              </w:rPr>
            </w:pPr>
            <w:r>
              <w:rPr>
                <w:rFonts w:ascii="Arial Narrow" w:hAnsi="Arial Narrow" w:cs="Arial"/>
                <w:sz w:val="20"/>
              </w:rPr>
              <w:t>Study 5008</w:t>
            </w:r>
          </w:p>
        </w:tc>
        <w:tc>
          <w:tcPr>
            <w:tcW w:w="284" w:type="pct"/>
            <w:vAlign w:val="center"/>
            <w:hideMark/>
          </w:tcPr>
          <w:p w14:paraId="55BA2805" w14:textId="77777777" w:rsidR="007D2393" w:rsidRDefault="007D2393" w:rsidP="00474919">
            <w:pPr>
              <w:pStyle w:val="TableText0"/>
              <w:keepLines/>
              <w:jc w:val="center"/>
            </w:pPr>
            <w:r>
              <w:rPr>
                <w:rFonts w:eastAsia="Times New Roman" w:cs="Arial"/>
              </w:rPr>
              <w:t>43</w:t>
            </w:r>
            <w:r>
              <w:rPr>
                <w:rFonts w:cs="Arial"/>
                <w:vertAlign w:val="superscript"/>
              </w:rPr>
              <w:t>b</w:t>
            </w:r>
          </w:p>
        </w:tc>
        <w:tc>
          <w:tcPr>
            <w:tcW w:w="734" w:type="pct"/>
            <w:vAlign w:val="center"/>
            <w:hideMark/>
          </w:tcPr>
          <w:p w14:paraId="619E2879" w14:textId="77777777" w:rsidR="007D2393" w:rsidRPr="0078378F" w:rsidRDefault="007D2393" w:rsidP="00474919">
            <w:pPr>
              <w:keepNext/>
              <w:keepLines/>
              <w:widowControl w:val="0"/>
              <w:spacing w:before="40" w:after="40" w:line="256" w:lineRule="auto"/>
              <w:rPr>
                <w:rFonts w:ascii="Arial Narrow" w:hAnsi="Arial Narrow" w:cs="Arial"/>
                <w:sz w:val="20"/>
              </w:rPr>
            </w:pPr>
            <w:r>
              <w:rPr>
                <w:rFonts w:ascii="Arial Narrow" w:hAnsi="Arial Narrow" w:cs="Arial"/>
                <w:sz w:val="20"/>
              </w:rPr>
              <w:t>Retrospective cohort study</w:t>
            </w:r>
            <w:r>
              <w:rPr>
                <w:rFonts w:ascii="Arial Narrow" w:hAnsi="Arial Narrow" w:cs="Arial"/>
                <w:sz w:val="20"/>
                <w:vertAlign w:val="superscript"/>
              </w:rPr>
              <w:t xml:space="preserve"> </w:t>
            </w:r>
          </w:p>
        </w:tc>
        <w:tc>
          <w:tcPr>
            <w:tcW w:w="1154" w:type="pct"/>
            <w:vAlign w:val="center"/>
          </w:tcPr>
          <w:p w14:paraId="0B838FF0" w14:textId="77777777" w:rsidR="007D2393" w:rsidRPr="00440A1E" w:rsidRDefault="007D2393" w:rsidP="00474919">
            <w:pPr>
              <w:pStyle w:val="TableText0"/>
              <w:keepLines/>
              <w:rPr>
                <w:rFonts w:eastAsia="Times New Roman" w:cs="Arial"/>
              </w:rPr>
            </w:pPr>
            <w:r w:rsidRPr="00440A1E">
              <w:rPr>
                <w:rFonts w:eastAsia="Times New Roman" w:cs="Arial"/>
              </w:rPr>
              <w:t>High</w:t>
            </w:r>
          </w:p>
        </w:tc>
        <w:tc>
          <w:tcPr>
            <w:tcW w:w="1192" w:type="pct"/>
            <w:vAlign w:val="center"/>
            <w:hideMark/>
          </w:tcPr>
          <w:p w14:paraId="5135A5D4" w14:textId="77777777" w:rsidR="007D2393" w:rsidRDefault="007D2393" w:rsidP="00474919">
            <w:pPr>
              <w:pStyle w:val="TableText0"/>
              <w:keepLines/>
            </w:pPr>
            <w:r>
              <w:rPr>
                <w:rFonts w:eastAsia="Times New Roman" w:cs="Arial"/>
                <w:iCs/>
              </w:rPr>
              <w:t>P</w:t>
            </w:r>
            <w:r w:rsidRPr="00C703B6">
              <w:rPr>
                <w:rFonts w:eastAsia="Times New Roman" w:cs="Arial"/>
                <w:iCs/>
              </w:rPr>
              <w:t xml:space="preserve">atients with </w:t>
            </w:r>
            <w:r w:rsidRPr="00C703B6">
              <w:rPr>
                <w:rFonts w:eastAsia="Times New Roman" w:cs="Arial"/>
                <w:i/>
                <w:iCs/>
              </w:rPr>
              <w:t>EGFR</w:t>
            </w:r>
            <w:r w:rsidRPr="00C703B6">
              <w:rPr>
                <w:rFonts w:eastAsia="Times New Roman" w:cs="Arial"/>
                <w:iCs/>
              </w:rPr>
              <w:t xml:space="preserve"> ex20ins variant advanced NSCLC, ≥ 1 prior treatment lines</w:t>
            </w:r>
          </w:p>
        </w:tc>
        <w:tc>
          <w:tcPr>
            <w:tcW w:w="537" w:type="pct"/>
            <w:vAlign w:val="center"/>
            <w:hideMark/>
          </w:tcPr>
          <w:p w14:paraId="1227A656" w14:textId="77777777" w:rsidR="007D2393" w:rsidRDefault="007D2393" w:rsidP="00474919">
            <w:pPr>
              <w:pStyle w:val="TableText0"/>
              <w:keepLines/>
            </w:pPr>
            <w:r w:rsidRPr="0058000B">
              <w:rPr>
                <w:rFonts w:eastAsia="Times New Roman" w:cs="Arial"/>
              </w:rPr>
              <w:t>PFS, OS</w:t>
            </w:r>
          </w:p>
        </w:tc>
        <w:tc>
          <w:tcPr>
            <w:tcW w:w="501" w:type="pct"/>
            <w:vAlign w:val="center"/>
            <w:hideMark/>
          </w:tcPr>
          <w:p w14:paraId="1624EF70" w14:textId="77777777" w:rsidR="007D2393" w:rsidRDefault="007D2393" w:rsidP="00474919">
            <w:pPr>
              <w:pStyle w:val="TableText0"/>
              <w:keepLines/>
            </w:pPr>
            <w:r w:rsidRPr="0058000B">
              <w:rPr>
                <w:rFonts w:eastAsia="Times New Roman" w:cs="Arial"/>
              </w:rPr>
              <w:t>OS, PFS, TTD</w:t>
            </w:r>
          </w:p>
        </w:tc>
      </w:tr>
      <w:tr w:rsidR="007D2393" w14:paraId="46EACAB5" w14:textId="77777777" w:rsidTr="007D2393">
        <w:tc>
          <w:tcPr>
            <w:tcW w:w="598" w:type="pct"/>
            <w:vAlign w:val="center"/>
          </w:tcPr>
          <w:p w14:paraId="4C451FB5" w14:textId="77777777" w:rsidR="007D2393" w:rsidRDefault="007D2393" w:rsidP="00474919">
            <w:pPr>
              <w:keepNext/>
              <w:keepLines/>
              <w:widowControl w:val="0"/>
              <w:spacing w:before="40" w:after="40" w:line="256" w:lineRule="auto"/>
              <w:rPr>
                <w:rFonts w:ascii="Arial Narrow" w:hAnsi="Arial Narrow" w:cs="Arial"/>
                <w:sz w:val="20"/>
              </w:rPr>
            </w:pPr>
            <w:r>
              <w:rPr>
                <w:rFonts w:ascii="Arial Narrow" w:hAnsi="Arial Narrow" w:cs="Arial"/>
                <w:sz w:val="20"/>
              </w:rPr>
              <w:t>Study 5002</w:t>
            </w:r>
          </w:p>
        </w:tc>
        <w:tc>
          <w:tcPr>
            <w:tcW w:w="284" w:type="pct"/>
            <w:vAlign w:val="center"/>
          </w:tcPr>
          <w:p w14:paraId="12DE4031" w14:textId="77777777" w:rsidR="007D2393" w:rsidRPr="0078378F" w:rsidRDefault="007D2393" w:rsidP="00474919">
            <w:pPr>
              <w:pStyle w:val="TableText0"/>
              <w:keepLines/>
              <w:jc w:val="center"/>
              <w:rPr>
                <w:rFonts w:eastAsia="Times New Roman" w:cs="Arial"/>
                <w:vertAlign w:val="superscript"/>
              </w:rPr>
            </w:pPr>
            <w:r>
              <w:rPr>
                <w:rFonts w:eastAsia="Times New Roman" w:cs="Arial"/>
              </w:rPr>
              <w:t>50</w:t>
            </w:r>
            <w:r>
              <w:rPr>
                <w:rFonts w:eastAsia="Times New Roman" w:cs="Arial"/>
                <w:vertAlign w:val="superscript"/>
              </w:rPr>
              <w:t>c</w:t>
            </w:r>
          </w:p>
        </w:tc>
        <w:tc>
          <w:tcPr>
            <w:tcW w:w="734" w:type="pct"/>
            <w:vAlign w:val="center"/>
          </w:tcPr>
          <w:p w14:paraId="73515EAE" w14:textId="77777777" w:rsidR="007D2393" w:rsidRDefault="007D2393" w:rsidP="00474919">
            <w:pPr>
              <w:keepNext/>
              <w:keepLines/>
              <w:widowControl w:val="0"/>
              <w:spacing w:before="40" w:after="40" w:line="256" w:lineRule="auto"/>
              <w:rPr>
                <w:rFonts w:ascii="Arial Narrow" w:hAnsi="Arial Narrow" w:cs="Arial"/>
                <w:sz w:val="20"/>
              </w:rPr>
            </w:pPr>
            <w:r>
              <w:rPr>
                <w:rFonts w:ascii="Arial Narrow" w:hAnsi="Arial Narrow" w:cs="Arial"/>
                <w:sz w:val="20"/>
              </w:rPr>
              <w:t>Retrospective cohort study</w:t>
            </w:r>
          </w:p>
        </w:tc>
        <w:tc>
          <w:tcPr>
            <w:tcW w:w="1154" w:type="pct"/>
            <w:vAlign w:val="center"/>
          </w:tcPr>
          <w:p w14:paraId="13AA32F9" w14:textId="77777777" w:rsidR="007D2393" w:rsidRPr="00440A1E" w:rsidRDefault="007D2393" w:rsidP="00474919">
            <w:pPr>
              <w:pStyle w:val="TableText0"/>
              <w:keepLines/>
              <w:rPr>
                <w:rFonts w:eastAsia="Times New Roman" w:cs="Arial"/>
              </w:rPr>
            </w:pPr>
            <w:r w:rsidRPr="00440A1E">
              <w:rPr>
                <w:rFonts w:eastAsia="Times New Roman" w:cs="Arial"/>
              </w:rPr>
              <w:t>High</w:t>
            </w:r>
          </w:p>
        </w:tc>
        <w:tc>
          <w:tcPr>
            <w:tcW w:w="1192" w:type="pct"/>
            <w:vAlign w:val="center"/>
          </w:tcPr>
          <w:p w14:paraId="03723461" w14:textId="77777777" w:rsidR="007D2393" w:rsidRDefault="007D2393" w:rsidP="00474919">
            <w:pPr>
              <w:pStyle w:val="TableText0"/>
              <w:keepLines/>
              <w:rPr>
                <w:rFonts w:eastAsia="Times New Roman" w:cs="Arial"/>
                <w:iCs/>
              </w:rPr>
            </w:pPr>
            <w:r>
              <w:rPr>
                <w:rFonts w:eastAsia="Times New Roman" w:cs="Arial"/>
                <w:iCs/>
              </w:rPr>
              <w:t>P</w:t>
            </w:r>
            <w:r w:rsidRPr="00C703B6">
              <w:rPr>
                <w:rFonts w:eastAsia="Times New Roman" w:cs="Arial"/>
                <w:iCs/>
              </w:rPr>
              <w:t xml:space="preserve">atients with </w:t>
            </w:r>
            <w:r w:rsidRPr="00C703B6">
              <w:rPr>
                <w:rFonts w:eastAsia="Times New Roman" w:cs="Arial"/>
                <w:i/>
                <w:iCs/>
              </w:rPr>
              <w:t>EGFR</w:t>
            </w:r>
            <w:r w:rsidRPr="00C703B6">
              <w:rPr>
                <w:rFonts w:eastAsia="Times New Roman" w:cs="Arial"/>
                <w:iCs/>
              </w:rPr>
              <w:t xml:space="preserve"> ex20ins variant advanced NSCLC, ≥ 1 prior treatment lines</w:t>
            </w:r>
          </w:p>
        </w:tc>
        <w:tc>
          <w:tcPr>
            <w:tcW w:w="537" w:type="pct"/>
            <w:vAlign w:val="center"/>
          </w:tcPr>
          <w:p w14:paraId="4F503060" w14:textId="77777777" w:rsidR="007D2393" w:rsidRPr="0058000B" w:rsidRDefault="007D2393" w:rsidP="00474919">
            <w:pPr>
              <w:pStyle w:val="TableText0"/>
              <w:keepLines/>
              <w:rPr>
                <w:rFonts w:eastAsia="Times New Roman" w:cs="Arial"/>
              </w:rPr>
            </w:pPr>
            <w:r w:rsidRPr="0058000B">
              <w:rPr>
                <w:rFonts w:eastAsia="Times New Roman" w:cs="Arial"/>
              </w:rPr>
              <w:t>PFS, OS</w:t>
            </w:r>
            <w:r>
              <w:rPr>
                <w:rFonts w:eastAsia="Times New Roman" w:cs="Arial"/>
              </w:rPr>
              <w:t>, ORR</w:t>
            </w:r>
          </w:p>
        </w:tc>
        <w:tc>
          <w:tcPr>
            <w:tcW w:w="501" w:type="pct"/>
            <w:vAlign w:val="center"/>
          </w:tcPr>
          <w:p w14:paraId="525CA31F" w14:textId="77777777" w:rsidR="007D2393" w:rsidRPr="00426C96" w:rsidRDefault="00961AF6" w:rsidP="00474919">
            <w:pPr>
              <w:pStyle w:val="TableText0"/>
              <w:keepLines/>
              <w:rPr>
                <w:rFonts w:eastAsia="Times New Roman" w:cs="Arial"/>
                <w:vertAlign w:val="superscript"/>
              </w:rPr>
            </w:pPr>
            <w:r w:rsidRPr="0058000B">
              <w:rPr>
                <w:rFonts w:eastAsia="Times New Roman" w:cs="Arial"/>
              </w:rPr>
              <w:t>OS, PFS, TTD</w:t>
            </w:r>
            <w:r w:rsidR="00426C96">
              <w:rPr>
                <w:rFonts w:eastAsia="Times New Roman" w:cs="Arial"/>
                <w:vertAlign w:val="superscript"/>
              </w:rPr>
              <w:t>d</w:t>
            </w:r>
          </w:p>
        </w:tc>
      </w:tr>
    </w:tbl>
    <w:p w14:paraId="386F518E" w14:textId="77777777" w:rsidR="00D77A26" w:rsidRDefault="00160D41" w:rsidP="00474919">
      <w:pPr>
        <w:pStyle w:val="TableFooter"/>
        <w:keepNext/>
        <w:keepLines/>
      </w:pPr>
      <w:r w:rsidRPr="0078378F">
        <w:t xml:space="preserve">Source: </w:t>
      </w:r>
      <w:r w:rsidR="0078378F" w:rsidRPr="0078378F">
        <w:t>Compiled during the evaluation based on Sections 2.3-2.5 of the submission</w:t>
      </w:r>
      <w:r w:rsidRPr="0078378F">
        <w:t>.</w:t>
      </w:r>
    </w:p>
    <w:p w14:paraId="21987939" w14:textId="1FBC1C48" w:rsidR="00D77A26" w:rsidRPr="00961AF6" w:rsidRDefault="00D77A26" w:rsidP="00474919">
      <w:pPr>
        <w:pStyle w:val="TableFooter"/>
        <w:keepNext/>
        <w:keepLines/>
      </w:pPr>
      <w:r>
        <w:t>DCO = data cut-off; DOR</w:t>
      </w:r>
      <w:r w:rsidR="00F66348">
        <w:t xml:space="preserve"> </w:t>
      </w:r>
      <w:r>
        <w:t>=</w:t>
      </w:r>
      <w:r w:rsidR="00F66348">
        <w:t xml:space="preserve"> </w:t>
      </w:r>
      <w:r>
        <w:t xml:space="preserve">duration of response; </w:t>
      </w:r>
      <w:r w:rsidRPr="00C703B6">
        <w:rPr>
          <w:i/>
        </w:rPr>
        <w:t>EGFR</w:t>
      </w:r>
      <w:r w:rsidR="00F66348">
        <w:rPr>
          <w:i/>
        </w:rPr>
        <w:t xml:space="preserve"> </w:t>
      </w:r>
      <w:r w:rsidRPr="00C703B6">
        <w:t>=</w:t>
      </w:r>
      <w:r w:rsidR="00F66348">
        <w:t xml:space="preserve"> </w:t>
      </w:r>
      <w:r w:rsidRPr="00C703B6">
        <w:t xml:space="preserve">epidermal growth factor receptor; </w:t>
      </w:r>
      <w:r>
        <w:t>ex20ins</w:t>
      </w:r>
      <w:r w:rsidR="00F66348">
        <w:t xml:space="preserve"> </w:t>
      </w:r>
      <w:r>
        <w:t>=</w:t>
      </w:r>
      <w:r w:rsidR="00F66348">
        <w:t xml:space="preserve"> </w:t>
      </w:r>
      <w:r>
        <w:t>exon 20 insertion; NSCLC</w:t>
      </w:r>
      <w:r w:rsidR="00F66348">
        <w:t xml:space="preserve"> </w:t>
      </w:r>
      <w:r>
        <w:t>=</w:t>
      </w:r>
      <w:r w:rsidR="00F66348">
        <w:t xml:space="preserve"> </w:t>
      </w:r>
      <w:r>
        <w:t>non-small cell lung cancer; cORR</w:t>
      </w:r>
      <w:r w:rsidR="00F66348">
        <w:t xml:space="preserve"> </w:t>
      </w:r>
      <w:r>
        <w:t>=</w:t>
      </w:r>
      <w:r w:rsidR="00F66348">
        <w:t xml:space="preserve"> </w:t>
      </w:r>
      <w:r>
        <w:t xml:space="preserve">confirmed objective response rate by </w:t>
      </w:r>
      <w:r w:rsidRPr="00D44F83">
        <w:t xml:space="preserve">Response Evaluation </w:t>
      </w:r>
      <w:r w:rsidRPr="00961AF6">
        <w:t>Criteria in Solid Tumours (RECIST v1.1); OS</w:t>
      </w:r>
      <w:r w:rsidR="00F66348">
        <w:t xml:space="preserve"> </w:t>
      </w:r>
      <w:r w:rsidRPr="00961AF6">
        <w:t>=</w:t>
      </w:r>
      <w:r w:rsidR="00F66348">
        <w:t xml:space="preserve"> </w:t>
      </w:r>
      <w:r w:rsidRPr="00961AF6">
        <w:t>overall survival; PFS</w:t>
      </w:r>
      <w:r w:rsidR="00F66348">
        <w:t xml:space="preserve"> </w:t>
      </w:r>
      <w:r w:rsidRPr="00961AF6">
        <w:t>=</w:t>
      </w:r>
      <w:r w:rsidR="00F66348">
        <w:t xml:space="preserve"> </w:t>
      </w:r>
      <w:r w:rsidRPr="00961AF6">
        <w:t>progression-free survival; PPP</w:t>
      </w:r>
      <w:r w:rsidR="00F66348">
        <w:t xml:space="preserve"> </w:t>
      </w:r>
      <w:r w:rsidRPr="00961AF6">
        <w:t>=</w:t>
      </w:r>
      <w:r w:rsidR="00F66348">
        <w:t xml:space="preserve"> </w:t>
      </w:r>
      <w:r w:rsidRPr="00961AF6">
        <w:t>pooled prior platinum; SOC</w:t>
      </w:r>
      <w:r w:rsidR="00F66348">
        <w:t xml:space="preserve"> </w:t>
      </w:r>
      <w:r w:rsidRPr="00961AF6">
        <w:t>=</w:t>
      </w:r>
      <w:r w:rsidR="00F66348">
        <w:t xml:space="preserve"> </w:t>
      </w:r>
      <w:r w:rsidRPr="00961AF6">
        <w:t>standard of care; TTD</w:t>
      </w:r>
      <w:r w:rsidR="00F66348">
        <w:t xml:space="preserve"> </w:t>
      </w:r>
      <w:r w:rsidRPr="00961AF6">
        <w:t>=</w:t>
      </w:r>
      <w:r w:rsidR="00F66348">
        <w:t xml:space="preserve"> </w:t>
      </w:r>
      <w:r w:rsidRPr="00961AF6">
        <w:t>time to treatment discontinuation.</w:t>
      </w:r>
    </w:p>
    <w:p w14:paraId="716F41DE" w14:textId="77777777" w:rsidR="00C703B6" w:rsidRPr="00961AF6" w:rsidRDefault="00160D41" w:rsidP="00474919">
      <w:pPr>
        <w:pStyle w:val="TableFooter"/>
        <w:keepNext/>
        <w:keepLines/>
      </w:pPr>
      <w:r w:rsidRPr="00961AF6">
        <w:rPr>
          <w:vertAlign w:val="superscript"/>
        </w:rPr>
        <w:t>a</w:t>
      </w:r>
      <w:r w:rsidR="00C703B6" w:rsidRPr="00961AF6">
        <w:t xml:space="preserve">Selected from three parts of Study 101 based on the following criteria: platinum pre-treated patients with </w:t>
      </w:r>
      <w:r w:rsidR="00C703B6" w:rsidRPr="00961AF6">
        <w:rPr>
          <w:i/>
        </w:rPr>
        <w:t>EGFR</w:t>
      </w:r>
      <w:r w:rsidR="00C703B6" w:rsidRPr="00961AF6">
        <w:t xml:space="preserve"> ex20ins variant NSCLC who received the recommended mobocertinib dose of 160 mg once daily. Median treatment duration</w:t>
      </w:r>
      <w:r w:rsidR="0078378F" w:rsidRPr="00961AF6">
        <w:t xml:space="preserve"> of 7.4</w:t>
      </w:r>
      <w:r w:rsidR="00C703B6" w:rsidRPr="00961AF6">
        <w:t xml:space="preserve"> months</w:t>
      </w:r>
      <w:r w:rsidR="005F265D">
        <w:t>.</w:t>
      </w:r>
    </w:p>
    <w:p w14:paraId="543ECA66" w14:textId="77777777" w:rsidR="00160D41" w:rsidRDefault="00160D41" w:rsidP="00474919">
      <w:pPr>
        <w:pStyle w:val="TableFooter"/>
        <w:keepNext/>
        <w:keepLines/>
      </w:pPr>
      <w:r w:rsidRPr="00961AF6">
        <w:rPr>
          <w:vertAlign w:val="superscript"/>
        </w:rPr>
        <w:t>b</w:t>
      </w:r>
      <w:r w:rsidR="0078378F" w:rsidRPr="00961AF6">
        <w:t>German chart review; observation period 2013−2019</w:t>
      </w:r>
      <w:r w:rsidRPr="00961AF6">
        <w:t>.</w:t>
      </w:r>
    </w:p>
    <w:p w14:paraId="07E78280" w14:textId="77777777" w:rsidR="0078378F" w:rsidRDefault="0078378F" w:rsidP="00474919">
      <w:pPr>
        <w:pStyle w:val="TableFooter"/>
        <w:keepNext/>
        <w:keepLines/>
      </w:pPr>
      <w:r>
        <w:rPr>
          <w:vertAlign w:val="superscript"/>
        </w:rPr>
        <w:t>c</w:t>
      </w:r>
      <w:r>
        <w:t>US Flatiron registry data</w:t>
      </w:r>
      <w:r w:rsidRPr="0078378F">
        <w:t>; observation period 201</w:t>
      </w:r>
      <w:r>
        <w:t>1</w:t>
      </w:r>
      <w:r w:rsidRPr="0078378F">
        <w:t>−20</w:t>
      </w:r>
      <w:r>
        <w:t>20</w:t>
      </w:r>
      <w:r w:rsidRPr="0078378F">
        <w:t>.</w:t>
      </w:r>
    </w:p>
    <w:p w14:paraId="57861B00" w14:textId="77777777" w:rsidR="00426C96" w:rsidRPr="00426C96" w:rsidRDefault="00426C96" w:rsidP="00A465C9">
      <w:pPr>
        <w:pStyle w:val="TableFooter"/>
        <w:keepNext/>
        <w:keepLines/>
        <w:spacing w:after="240"/>
      </w:pPr>
      <w:r>
        <w:rPr>
          <w:vertAlign w:val="superscript"/>
        </w:rPr>
        <w:t xml:space="preserve">d </w:t>
      </w:r>
      <w:r>
        <w:t>Study 5002 was only used in the sensitivity analysis</w:t>
      </w:r>
      <w:r w:rsidR="005F265D">
        <w:t>.</w:t>
      </w:r>
    </w:p>
    <w:p w14:paraId="38BAB596" w14:textId="3CDC7026" w:rsidR="00C90B02" w:rsidRPr="00A36D96" w:rsidRDefault="00C90B02" w:rsidP="000711EA">
      <w:pPr>
        <w:pStyle w:val="3-BodyText"/>
        <w:rPr>
          <w:lang w:val="en-GB"/>
        </w:rPr>
      </w:pPr>
      <w:r w:rsidRPr="00A36D96">
        <w:rPr>
          <w:lang w:val="en-GB"/>
        </w:rPr>
        <w:t xml:space="preserve">The retrospective cohort populations were ‘trimmed’ based on inclusion/exclusion criteria from Study 101 to improve overlap with the PPP population. Broadly, patients were selected from the comparator studies if </w:t>
      </w:r>
      <w:r>
        <w:rPr>
          <w:lang w:val="en-GB"/>
        </w:rPr>
        <w:t xml:space="preserve">i) </w:t>
      </w:r>
      <w:r w:rsidR="00635563" w:rsidRPr="00A36D96">
        <w:rPr>
          <w:lang w:val="en-GB"/>
        </w:rPr>
        <w:t xml:space="preserve">they </w:t>
      </w:r>
      <w:r w:rsidRPr="00A36D96">
        <w:rPr>
          <w:lang w:val="en-GB"/>
        </w:rPr>
        <w:t>had</w:t>
      </w:r>
      <w:r w:rsidRPr="00A36D96">
        <w:rPr>
          <w:lang w:val="de-DE"/>
        </w:rPr>
        <w:t xml:space="preserve"> initiated a line of therapy after they had a confirmed diagnosis of advanced NSCLC</w:t>
      </w:r>
      <w:r>
        <w:rPr>
          <w:lang w:val="de-DE"/>
        </w:rPr>
        <w:t>,</w:t>
      </w:r>
      <w:r w:rsidRPr="00A36D96">
        <w:rPr>
          <w:lang w:val="de-DE"/>
        </w:rPr>
        <w:t xml:space="preserve"> and </w:t>
      </w:r>
      <w:r>
        <w:rPr>
          <w:lang w:val="de-DE"/>
        </w:rPr>
        <w:t>ii) their tumours ha</w:t>
      </w:r>
      <w:r w:rsidR="00831A47">
        <w:rPr>
          <w:lang w:val="de-DE"/>
        </w:rPr>
        <w:t>r</w:t>
      </w:r>
      <w:r>
        <w:rPr>
          <w:lang w:val="de-DE"/>
        </w:rPr>
        <w:t>bo</w:t>
      </w:r>
      <w:r w:rsidR="00831A47">
        <w:rPr>
          <w:lang w:val="de-DE"/>
        </w:rPr>
        <w:t>u</w:t>
      </w:r>
      <w:r>
        <w:rPr>
          <w:lang w:val="de-DE"/>
        </w:rPr>
        <w:t>red a</w:t>
      </w:r>
      <w:r w:rsidR="005F265D">
        <w:rPr>
          <w:lang w:val="de-DE"/>
        </w:rPr>
        <w:t>n</w:t>
      </w:r>
      <w:r>
        <w:rPr>
          <w:lang w:val="de-DE"/>
        </w:rPr>
        <w:t xml:space="preserve"> </w:t>
      </w:r>
      <w:r w:rsidRPr="00A36D96">
        <w:rPr>
          <w:i/>
        </w:rPr>
        <w:t>EGFR</w:t>
      </w:r>
      <w:r w:rsidRPr="00D23F7B">
        <w:t xml:space="preserve"> ex20ins variant.</w:t>
      </w:r>
      <w:r w:rsidRPr="00A36D96">
        <w:rPr>
          <w:lang w:val="en-GB"/>
        </w:rPr>
        <w:t xml:space="preserve"> Patients were excluded from the indirect comparison analysis if they had an </w:t>
      </w:r>
      <w:r>
        <w:rPr>
          <w:lang w:val="en-GB"/>
        </w:rPr>
        <w:t>Eastern Cooperative Oncology Group (</w:t>
      </w:r>
      <w:r w:rsidRPr="00A36D96">
        <w:rPr>
          <w:lang w:val="en-GB"/>
        </w:rPr>
        <w:t>ECOG</w:t>
      </w:r>
      <w:r>
        <w:rPr>
          <w:lang w:val="en-GB"/>
        </w:rPr>
        <w:t>)</w:t>
      </w:r>
      <w:r w:rsidRPr="00A36D96">
        <w:rPr>
          <w:lang w:val="en-GB"/>
        </w:rPr>
        <w:t xml:space="preserve"> performance status of ≥</w:t>
      </w:r>
      <w:proofErr w:type="gramStart"/>
      <w:r w:rsidRPr="00A36D96">
        <w:rPr>
          <w:lang w:val="en-GB"/>
        </w:rPr>
        <w:t>2, and</w:t>
      </w:r>
      <w:proofErr w:type="gramEnd"/>
      <w:r w:rsidRPr="00A36D96">
        <w:rPr>
          <w:lang w:val="en-GB"/>
        </w:rPr>
        <w:t xml:space="preserve"> had received 3 or more regimens of systemic anticancer </w:t>
      </w:r>
      <w:r w:rsidRPr="00A36D96">
        <w:rPr>
          <w:lang w:val="en-GB"/>
        </w:rPr>
        <w:lastRenderedPageBreak/>
        <w:t xml:space="preserve">chemotherapies for advanced NSCLC before the index therapy date (therapy following PBC). Patients who had experienced prior response to treatment with an </w:t>
      </w:r>
      <w:r w:rsidRPr="00A36D96">
        <w:rPr>
          <w:i/>
          <w:lang w:val="en-GB"/>
        </w:rPr>
        <w:t>EGFR</w:t>
      </w:r>
      <w:r w:rsidRPr="00A36D96">
        <w:rPr>
          <w:lang w:val="en-GB"/>
        </w:rPr>
        <w:t xml:space="preserve"> TKI before the index therapy date were excluded in Study 5002. </w:t>
      </w:r>
      <w:r w:rsidR="00D04CA9" w:rsidRPr="00957154">
        <w:rPr>
          <w:lang w:val="en-GB"/>
        </w:rPr>
        <w:t>The evaluation noted that</w:t>
      </w:r>
      <w:r w:rsidR="00D04CA9">
        <w:rPr>
          <w:lang w:val="en-GB"/>
        </w:rPr>
        <w:t xml:space="preserve"> </w:t>
      </w:r>
      <w:r w:rsidR="00D04CA9">
        <w:rPr>
          <w:iCs/>
          <w:lang w:val="en-GB"/>
        </w:rPr>
        <w:t>i</w:t>
      </w:r>
      <w:r w:rsidRPr="00D04CA9">
        <w:rPr>
          <w:iCs/>
          <w:lang w:val="en-GB"/>
        </w:rPr>
        <w:t>t is unclear from the submission whether this exclusion criterion was also applied to Study 5008.</w:t>
      </w:r>
      <w:r w:rsidRPr="00611715">
        <w:rPr>
          <w:i/>
          <w:snapToGrid/>
          <w:lang w:val="en-GB"/>
        </w:rPr>
        <w:t xml:space="preserve"> </w:t>
      </w:r>
    </w:p>
    <w:p w14:paraId="083AC2CD" w14:textId="6E1E1022" w:rsidR="00AA490B" w:rsidRPr="00AA490B" w:rsidRDefault="00AA490B" w:rsidP="002869EB">
      <w:pPr>
        <w:pStyle w:val="3-BodyText"/>
      </w:pPr>
      <w:r w:rsidRPr="00C7767E">
        <w:rPr>
          <w:lang w:val="en-GB"/>
        </w:rPr>
        <w:t xml:space="preserve">Study 5008 was selected to represent the main SOC study in the base case of the economic evaluation based on “better applicability” to the Australian healthcare setting in terms of the treatments included in the SOC arm. </w:t>
      </w:r>
      <w:r w:rsidRPr="00957154">
        <w:rPr>
          <w:lang w:val="en-GB"/>
        </w:rPr>
        <w:fldChar w:fldCharType="begin"/>
      </w:r>
      <w:r w:rsidRPr="00957154">
        <w:rPr>
          <w:lang w:val="en-GB"/>
        </w:rPr>
        <w:instrText xml:space="preserve"> REF _Ref116654723 \h  \* MERGEFORMAT </w:instrText>
      </w:r>
      <w:r w:rsidRPr="00957154">
        <w:rPr>
          <w:lang w:val="en-GB"/>
        </w:rPr>
      </w:r>
      <w:r w:rsidRPr="00957154">
        <w:rPr>
          <w:lang w:val="en-GB"/>
        </w:rPr>
        <w:fldChar w:fldCharType="separate"/>
      </w:r>
      <w:r w:rsidR="001635D4" w:rsidRPr="001635D4">
        <w:rPr>
          <w:lang w:val="en-GB"/>
        </w:rPr>
        <w:t>Table 4</w:t>
      </w:r>
      <w:r w:rsidRPr="00957154">
        <w:rPr>
          <w:lang w:val="en-GB"/>
        </w:rPr>
        <w:fldChar w:fldCharType="end"/>
      </w:r>
      <w:r w:rsidRPr="00957154">
        <w:rPr>
          <w:lang w:val="en-GB"/>
        </w:rPr>
        <w:t xml:space="preserve"> shows the composition of index therapies for comparator studies 5008 and 5002. </w:t>
      </w:r>
      <w:r w:rsidRPr="00C7767E">
        <w:rPr>
          <w:lang w:val="en-GB"/>
        </w:rPr>
        <w:t>The submission stated that for the two comparator studies, there was more use of ICI monotherapy in Study 5002 compared with Study 5008 (40% vs 9%), while there was less use of EGFR TKIs (20% vs 37%) or chemotherapy in combination with a monoclonal antibody (8% vs 16%), respectively. The submission</w:t>
      </w:r>
      <w:r w:rsidRPr="00C7767E">
        <w:t xml:space="preserve"> considered the distribution of SOC treatments in Study 5008 to be more applicable to</w:t>
      </w:r>
      <w:r w:rsidRPr="00AA490B">
        <w:t xml:space="preserve"> the Australian setting as immunotherapies are not commonly used in the </w:t>
      </w:r>
      <w:proofErr w:type="gramStart"/>
      <w:r w:rsidRPr="00AA490B">
        <w:t>second-line</w:t>
      </w:r>
      <w:proofErr w:type="gramEnd"/>
      <w:r w:rsidRPr="00AA490B">
        <w:t xml:space="preserve"> in this population. </w:t>
      </w:r>
    </w:p>
    <w:p w14:paraId="514FF7A1" w14:textId="55B5735D" w:rsidR="00AA490B" w:rsidRPr="00957154" w:rsidRDefault="00AA490B" w:rsidP="000D2A9A">
      <w:pPr>
        <w:pStyle w:val="3-BodyText"/>
        <w:numPr>
          <w:ilvl w:val="0"/>
          <w:numId w:val="0"/>
        </w:numPr>
        <w:spacing w:after="0"/>
        <w:rPr>
          <w:rFonts w:ascii="Arial Narrow" w:hAnsi="Arial Narrow"/>
          <w:b/>
          <w:bCs/>
          <w:sz w:val="20"/>
          <w:szCs w:val="20"/>
        </w:rPr>
      </w:pPr>
      <w:bookmarkStart w:id="28" w:name="_Ref116654723"/>
      <w:r w:rsidRPr="00957154">
        <w:rPr>
          <w:rFonts w:ascii="Arial Narrow" w:hAnsi="Arial Narrow"/>
          <w:b/>
          <w:bCs/>
          <w:sz w:val="20"/>
          <w:szCs w:val="20"/>
        </w:rPr>
        <w:t xml:space="preserve">Table </w:t>
      </w:r>
      <w:r w:rsidRPr="00957154">
        <w:rPr>
          <w:rFonts w:ascii="Arial Narrow" w:hAnsi="Arial Narrow"/>
          <w:b/>
          <w:bCs/>
          <w:sz w:val="20"/>
          <w:szCs w:val="20"/>
        </w:rPr>
        <w:fldChar w:fldCharType="begin"/>
      </w:r>
      <w:r w:rsidRPr="00957154">
        <w:rPr>
          <w:rFonts w:ascii="Arial Narrow" w:hAnsi="Arial Narrow"/>
          <w:b/>
          <w:bCs/>
          <w:sz w:val="20"/>
          <w:szCs w:val="20"/>
        </w:rPr>
        <w:instrText xml:space="preserve"> SEQ Table \* ARABIC </w:instrText>
      </w:r>
      <w:r w:rsidRPr="00957154">
        <w:rPr>
          <w:rFonts w:ascii="Arial Narrow" w:hAnsi="Arial Narrow"/>
          <w:b/>
          <w:bCs/>
          <w:sz w:val="20"/>
          <w:szCs w:val="20"/>
        </w:rPr>
        <w:fldChar w:fldCharType="separate"/>
      </w:r>
      <w:r w:rsidR="001635D4">
        <w:rPr>
          <w:rFonts w:ascii="Arial Narrow" w:hAnsi="Arial Narrow"/>
          <w:b/>
          <w:bCs/>
          <w:noProof/>
          <w:sz w:val="20"/>
          <w:szCs w:val="20"/>
        </w:rPr>
        <w:t>4</w:t>
      </w:r>
      <w:r w:rsidRPr="00957154">
        <w:rPr>
          <w:rFonts w:ascii="Arial Narrow" w:hAnsi="Arial Narrow"/>
          <w:b/>
          <w:bCs/>
          <w:sz w:val="20"/>
          <w:szCs w:val="20"/>
        </w:rPr>
        <w:fldChar w:fldCharType="end"/>
      </w:r>
      <w:bookmarkEnd w:id="28"/>
      <w:r w:rsidRPr="00957154">
        <w:rPr>
          <w:rFonts w:ascii="Arial Narrow" w:hAnsi="Arial Narrow"/>
          <w:b/>
          <w:bCs/>
          <w:sz w:val="20"/>
          <w:szCs w:val="20"/>
        </w:rPr>
        <w:t xml:space="preserve">: Index </w:t>
      </w:r>
      <w:proofErr w:type="spellStart"/>
      <w:r w:rsidR="00831A47">
        <w:rPr>
          <w:rFonts w:ascii="Arial Narrow" w:hAnsi="Arial Narrow"/>
          <w:b/>
          <w:bCs/>
          <w:sz w:val="20"/>
          <w:szCs w:val="20"/>
        </w:rPr>
        <w:t>therapy</w:t>
      </w:r>
      <w:r w:rsidR="00831A47" w:rsidRPr="00831A47">
        <w:rPr>
          <w:rFonts w:ascii="Arial Narrow" w:hAnsi="Arial Narrow"/>
          <w:b/>
          <w:bCs/>
          <w:sz w:val="20"/>
          <w:szCs w:val="20"/>
          <w:vertAlign w:val="superscript"/>
        </w:rPr>
        <w:t>a</w:t>
      </w:r>
      <w:proofErr w:type="spellEnd"/>
      <w:r w:rsidR="00831A47" w:rsidRPr="00957154">
        <w:rPr>
          <w:rFonts w:ascii="Arial Narrow" w:hAnsi="Arial Narrow"/>
          <w:b/>
          <w:bCs/>
          <w:sz w:val="20"/>
          <w:szCs w:val="20"/>
        </w:rPr>
        <w:t xml:space="preserve"> </w:t>
      </w:r>
      <w:r w:rsidRPr="00957154">
        <w:rPr>
          <w:rFonts w:ascii="Arial Narrow" w:hAnsi="Arial Narrow"/>
          <w:b/>
          <w:bCs/>
          <w:sz w:val="20"/>
          <w:szCs w:val="20"/>
        </w:rPr>
        <w:t>received by patients in studies 5008 and 5002</w:t>
      </w:r>
    </w:p>
    <w:tbl>
      <w:tblPr>
        <w:tblStyle w:val="TableGrid"/>
        <w:tblW w:w="0" w:type="auto"/>
        <w:jc w:val="center"/>
        <w:tblLook w:val="04A0" w:firstRow="1" w:lastRow="0" w:firstColumn="1" w:lastColumn="0" w:noHBand="0" w:noVBand="1"/>
      </w:tblPr>
      <w:tblGrid>
        <w:gridCol w:w="3005"/>
        <w:gridCol w:w="3006"/>
        <w:gridCol w:w="3006"/>
      </w:tblGrid>
      <w:tr w:rsidR="00AA490B" w:rsidRPr="00957154" w14:paraId="4F6E4289" w14:textId="77777777" w:rsidTr="00B048A8">
        <w:trPr>
          <w:jc w:val="center"/>
        </w:trPr>
        <w:tc>
          <w:tcPr>
            <w:tcW w:w="3005" w:type="dxa"/>
            <w:vAlign w:val="center"/>
          </w:tcPr>
          <w:p w14:paraId="03DBCE6F" w14:textId="77777777" w:rsidR="00AA490B" w:rsidRPr="00957154" w:rsidRDefault="00AA490B" w:rsidP="000D2A9A">
            <w:pPr>
              <w:pStyle w:val="3-BodyText"/>
              <w:numPr>
                <w:ilvl w:val="0"/>
                <w:numId w:val="0"/>
              </w:numPr>
              <w:spacing w:after="0"/>
              <w:jc w:val="left"/>
              <w:rPr>
                <w:rFonts w:ascii="Arial Narrow" w:hAnsi="Arial Narrow"/>
                <w:sz w:val="20"/>
                <w:szCs w:val="20"/>
              </w:rPr>
            </w:pPr>
          </w:p>
        </w:tc>
        <w:tc>
          <w:tcPr>
            <w:tcW w:w="3006" w:type="dxa"/>
            <w:vAlign w:val="center"/>
          </w:tcPr>
          <w:p w14:paraId="1204BDCB" w14:textId="77777777" w:rsidR="003627B6" w:rsidRDefault="00AA490B" w:rsidP="000D2A9A">
            <w:pPr>
              <w:pStyle w:val="3-BodyText"/>
              <w:numPr>
                <w:ilvl w:val="0"/>
                <w:numId w:val="0"/>
              </w:numPr>
              <w:spacing w:after="0"/>
              <w:jc w:val="center"/>
              <w:rPr>
                <w:rFonts w:ascii="Arial Narrow" w:hAnsi="Arial Narrow"/>
                <w:b/>
                <w:bCs/>
                <w:sz w:val="20"/>
                <w:szCs w:val="20"/>
              </w:rPr>
            </w:pPr>
            <w:r w:rsidRPr="00957154">
              <w:rPr>
                <w:rFonts w:ascii="Arial Narrow" w:hAnsi="Arial Narrow"/>
                <w:b/>
                <w:bCs/>
                <w:sz w:val="20"/>
                <w:szCs w:val="20"/>
              </w:rPr>
              <w:t xml:space="preserve">Study 5008 </w:t>
            </w:r>
          </w:p>
          <w:p w14:paraId="228B1DDE" w14:textId="1E5084D6" w:rsidR="00AA490B" w:rsidRPr="00957154" w:rsidRDefault="00AA490B" w:rsidP="000D2A9A">
            <w:pPr>
              <w:pStyle w:val="3-BodyText"/>
              <w:numPr>
                <w:ilvl w:val="0"/>
                <w:numId w:val="0"/>
              </w:numPr>
              <w:spacing w:after="0"/>
              <w:jc w:val="center"/>
              <w:rPr>
                <w:rFonts w:ascii="Arial Narrow" w:hAnsi="Arial Narrow"/>
                <w:b/>
                <w:bCs/>
                <w:sz w:val="20"/>
                <w:szCs w:val="20"/>
              </w:rPr>
            </w:pPr>
            <w:r w:rsidRPr="00957154">
              <w:rPr>
                <w:rFonts w:ascii="Arial Narrow" w:hAnsi="Arial Narrow"/>
                <w:b/>
                <w:bCs/>
                <w:sz w:val="20"/>
                <w:szCs w:val="20"/>
              </w:rPr>
              <w:t>(base case in submission)</w:t>
            </w:r>
          </w:p>
          <w:p w14:paraId="4E058133" w14:textId="77777777" w:rsidR="00AA490B" w:rsidRPr="00957154" w:rsidRDefault="00AA490B" w:rsidP="000D2A9A">
            <w:pPr>
              <w:pStyle w:val="3-BodyText"/>
              <w:numPr>
                <w:ilvl w:val="0"/>
                <w:numId w:val="0"/>
              </w:numPr>
              <w:spacing w:after="0"/>
              <w:jc w:val="center"/>
              <w:rPr>
                <w:rFonts w:ascii="Arial Narrow" w:hAnsi="Arial Narrow"/>
                <w:b/>
                <w:bCs/>
                <w:sz w:val="20"/>
                <w:szCs w:val="20"/>
              </w:rPr>
            </w:pPr>
            <w:r w:rsidRPr="00957154">
              <w:rPr>
                <w:rFonts w:ascii="Arial Narrow" w:hAnsi="Arial Narrow"/>
                <w:b/>
                <w:bCs/>
                <w:sz w:val="20"/>
                <w:szCs w:val="20"/>
              </w:rPr>
              <w:t>N = 43</w:t>
            </w:r>
          </w:p>
          <w:p w14:paraId="443A5A2B" w14:textId="77777777" w:rsidR="00AA490B" w:rsidRPr="00957154" w:rsidRDefault="00AA490B" w:rsidP="000D2A9A">
            <w:pPr>
              <w:pStyle w:val="3-BodyText"/>
              <w:numPr>
                <w:ilvl w:val="0"/>
                <w:numId w:val="0"/>
              </w:numPr>
              <w:spacing w:after="0"/>
              <w:jc w:val="center"/>
              <w:rPr>
                <w:rFonts w:ascii="Arial Narrow" w:hAnsi="Arial Narrow"/>
                <w:b/>
                <w:bCs/>
                <w:sz w:val="20"/>
                <w:szCs w:val="20"/>
              </w:rPr>
            </w:pPr>
            <w:r w:rsidRPr="00957154">
              <w:rPr>
                <w:rFonts w:ascii="Arial Narrow" w:hAnsi="Arial Narrow"/>
                <w:b/>
                <w:bCs/>
                <w:sz w:val="20"/>
                <w:szCs w:val="20"/>
              </w:rPr>
              <w:t>n (%)</w:t>
            </w:r>
          </w:p>
        </w:tc>
        <w:tc>
          <w:tcPr>
            <w:tcW w:w="3006" w:type="dxa"/>
            <w:vAlign w:val="center"/>
          </w:tcPr>
          <w:p w14:paraId="0DA1F8E5" w14:textId="77777777" w:rsidR="00AA490B" w:rsidRPr="00957154" w:rsidRDefault="00AA490B" w:rsidP="000D2A9A">
            <w:pPr>
              <w:pStyle w:val="3-BodyText"/>
              <w:numPr>
                <w:ilvl w:val="0"/>
                <w:numId w:val="0"/>
              </w:numPr>
              <w:spacing w:after="0"/>
              <w:jc w:val="center"/>
              <w:rPr>
                <w:rFonts w:ascii="Arial Narrow" w:hAnsi="Arial Narrow"/>
                <w:b/>
                <w:bCs/>
                <w:sz w:val="20"/>
                <w:szCs w:val="20"/>
              </w:rPr>
            </w:pPr>
            <w:r w:rsidRPr="00957154">
              <w:rPr>
                <w:rFonts w:ascii="Arial Narrow" w:hAnsi="Arial Narrow"/>
                <w:b/>
                <w:bCs/>
                <w:sz w:val="20"/>
                <w:szCs w:val="20"/>
              </w:rPr>
              <w:t>Study 5002</w:t>
            </w:r>
          </w:p>
          <w:p w14:paraId="19D6116E" w14:textId="77777777" w:rsidR="00AA490B" w:rsidRPr="00957154" w:rsidRDefault="00AA490B" w:rsidP="000D2A9A">
            <w:pPr>
              <w:pStyle w:val="3-BodyText"/>
              <w:numPr>
                <w:ilvl w:val="0"/>
                <w:numId w:val="0"/>
              </w:numPr>
              <w:spacing w:after="0"/>
              <w:jc w:val="center"/>
              <w:rPr>
                <w:rFonts w:ascii="Arial Narrow" w:hAnsi="Arial Narrow"/>
                <w:b/>
                <w:bCs/>
                <w:sz w:val="20"/>
                <w:szCs w:val="20"/>
              </w:rPr>
            </w:pPr>
            <w:r w:rsidRPr="00957154">
              <w:rPr>
                <w:rFonts w:ascii="Arial Narrow" w:hAnsi="Arial Narrow"/>
                <w:b/>
                <w:bCs/>
                <w:sz w:val="20"/>
                <w:szCs w:val="20"/>
              </w:rPr>
              <w:t>N = 50</w:t>
            </w:r>
          </w:p>
          <w:p w14:paraId="44677131" w14:textId="77777777" w:rsidR="00AA490B" w:rsidRPr="00957154" w:rsidRDefault="00AA490B" w:rsidP="000D2A9A">
            <w:pPr>
              <w:pStyle w:val="3-BodyText"/>
              <w:numPr>
                <w:ilvl w:val="0"/>
                <w:numId w:val="0"/>
              </w:numPr>
              <w:spacing w:after="0"/>
              <w:jc w:val="center"/>
              <w:rPr>
                <w:rFonts w:ascii="Arial Narrow" w:hAnsi="Arial Narrow"/>
                <w:b/>
                <w:bCs/>
                <w:sz w:val="20"/>
                <w:szCs w:val="20"/>
              </w:rPr>
            </w:pPr>
            <w:r w:rsidRPr="00957154">
              <w:rPr>
                <w:rFonts w:ascii="Arial Narrow" w:hAnsi="Arial Narrow"/>
                <w:b/>
                <w:bCs/>
                <w:sz w:val="20"/>
                <w:szCs w:val="20"/>
              </w:rPr>
              <w:t>n (%)</w:t>
            </w:r>
          </w:p>
        </w:tc>
      </w:tr>
      <w:tr w:rsidR="00AA490B" w:rsidRPr="00957154" w14:paraId="33B52DC7" w14:textId="77777777" w:rsidTr="00B048A8">
        <w:trPr>
          <w:jc w:val="center"/>
        </w:trPr>
        <w:tc>
          <w:tcPr>
            <w:tcW w:w="3005" w:type="dxa"/>
            <w:vAlign w:val="center"/>
          </w:tcPr>
          <w:p w14:paraId="53FB6486" w14:textId="77777777" w:rsidR="00AA490B" w:rsidRPr="00957154" w:rsidRDefault="00AA490B" w:rsidP="000D2A9A">
            <w:pPr>
              <w:pStyle w:val="3-BodyText"/>
              <w:numPr>
                <w:ilvl w:val="0"/>
                <w:numId w:val="0"/>
              </w:numPr>
              <w:spacing w:after="0"/>
              <w:jc w:val="left"/>
              <w:rPr>
                <w:rFonts w:ascii="Arial Narrow" w:hAnsi="Arial Narrow"/>
                <w:b/>
                <w:bCs/>
                <w:sz w:val="20"/>
                <w:szCs w:val="20"/>
              </w:rPr>
            </w:pPr>
            <w:r w:rsidRPr="00957154">
              <w:rPr>
                <w:rFonts w:ascii="Arial Narrow" w:hAnsi="Arial Narrow"/>
                <w:b/>
                <w:bCs/>
                <w:sz w:val="20"/>
                <w:szCs w:val="20"/>
              </w:rPr>
              <w:t>ICI monotherapy</w:t>
            </w:r>
          </w:p>
        </w:tc>
        <w:tc>
          <w:tcPr>
            <w:tcW w:w="3006" w:type="dxa"/>
            <w:vAlign w:val="center"/>
          </w:tcPr>
          <w:p w14:paraId="6E4C51F4" w14:textId="100D335C" w:rsidR="00AA490B" w:rsidRPr="00957154" w:rsidRDefault="00AA490B" w:rsidP="000D2A9A">
            <w:pPr>
              <w:pStyle w:val="3-BodyText"/>
              <w:numPr>
                <w:ilvl w:val="0"/>
                <w:numId w:val="0"/>
              </w:numPr>
              <w:spacing w:after="0"/>
              <w:jc w:val="center"/>
              <w:rPr>
                <w:rFonts w:ascii="Arial Narrow" w:hAnsi="Arial Narrow"/>
                <w:sz w:val="20"/>
                <w:szCs w:val="20"/>
              </w:rPr>
            </w:pPr>
            <w:r w:rsidRPr="00957154">
              <w:rPr>
                <w:rFonts w:ascii="Arial Narrow" w:hAnsi="Arial Narrow"/>
                <w:sz w:val="20"/>
                <w:szCs w:val="20"/>
              </w:rPr>
              <w:t>4 (9.3)</w:t>
            </w:r>
          </w:p>
        </w:tc>
        <w:tc>
          <w:tcPr>
            <w:tcW w:w="3006" w:type="dxa"/>
            <w:vAlign w:val="center"/>
          </w:tcPr>
          <w:p w14:paraId="00F0DF5A" w14:textId="77777777" w:rsidR="00AA490B" w:rsidRPr="00957154" w:rsidRDefault="00AA490B" w:rsidP="000D2A9A">
            <w:pPr>
              <w:pStyle w:val="3-BodyText"/>
              <w:numPr>
                <w:ilvl w:val="0"/>
                <w:numId w:val="0"/>
              </w:numPr>
              <w:spacing w:after="0"/>
              <w:jc w:val="center"/>
              <w:rPr>
                <w:rFonts w:ascii="Arial Narrow" w:hAnsi="Arial Narrow"/>
                <w:sz w:val="20"/>
                <w:szCs w:val="20"/>
              </w:rPr>
            </w:pPr>
            <w:r w:rsidRPr="00957154">
              <w:rPr>
                <w:rFonts w:ascii="Arial Narrow" w:hAnsi="Arial Narrow"/>
                <w:sz w:val="20"/>
                <w:szCs w:val="20"/>
              </w:rPr>
              <w:t>20 (40.0)</w:t>
            </w:r>
          </w:p>
        </w:tc>
      </w:tr>
      <w:tr w:rsidR="00AA490B" w:rsidRPr="00957154" w14:paraId="1C572535" w14:textId="77777777" w:rsidTr="00B048A8">
        <w:trPr>
          <w:jc w:val="center"/>
        </w:trPr>
        <w:tc>
          <w:tcPr>
            <w:tcW w:w="3005" w:type="dxa"/>
            <w:vAlign w:val="center"/>
          </w:tcPr>
          <w:p w14:paraId="48A9F9F8" w14:textId="77777777" w:rsidR="00AA490B" w:rsidRPr="00957154" w:rsidRDefault="00AA490B" w:rsidP="000D2A9A">
            <w:pPr>
              <w:pStyle w:val="3-BodyText"/>
              <w:numPr>
                <w:ilvl w:val="0"/>
                <w:numId w:val="0"/>
              </w:numPr>
              <w:spacing w:after="0"/>
              <w:jc w:val="left"/>
              <w:rPr>
                <w:rFonts w:ascii="Arial Narrow" w:hAnsi="Arial Narrow"/>
                <w:b/>
                <w:bCs/>
                <w:sz w:val="20"/>
                <w:szCs w:val="20"/>
              </w:rPr>
            </w:pPr>
            <w:r w:rsidRPr="00957154">
              <w:rPr>
                <w:rFonts w:ascii="Arial Narrow" w:hAnsi="Arial Narrow"/>
                <w:b/>
                <w:bCs/>
                <w:sz w:val="20"/>
                <w:szCs w:val="20"/>
              </w:rPr>
              <w:t>EGFR TKI</w:t>
            </w:r>
          </w:p>
        </w:tc>
        <w:tc>
          <w:tcPr>
            <w:tcW w:w="3006" w:type="dxa"/>
            <w:vAlign w:val="center"/>
          </w:tcPr>
          <w:p w14:paraId="3BE779CC" w14:textId="77777777" w:rsidR="00AA490B" w:rsidRPr="00957154" w:rsidRDefault="00AA490B" w:rsidP="000D2A9A">
            <w:pPr>
              <w:pStyle w:val="3-BodyText"/>
              <w:numPr>
                <w:ilvl w:val="0"/>
                <w:numId w:val="0"/>
              </w:numPr>
              <w:spacing w:after="0"/>
              <w:jc w:val="center"/>
              <w:rPr>
                <w:rFonts w:ascii="Arial Narrow" w:hAnsi="Arial Narrow"/>
                <w:sz w:val="20"/>
                <w:szCs w:val="20"/>
              </w:rPr>
            </w:pPr>
            <w:r w:rsidRPr="00957154">
              <w:rPr>
                <w:rFonts w:ascii="Arial Narrow" w:hAnsi="Arial Narrow"/>
                <w:sz w:val="20"/>
                <w:szCs w:val="20"/>
              </w:rPr>
              <w:t>16 (37.2)</w:t>
            </w:r>
          </w:p>
        </w:tc>
        <w:tc>
          <w:tcPr>
            <w:tcW w:w="3006" w:type="dxa"/>
            <w:vAlign w:val="center"/>
          </w:tcPr>
          <w:p w14:paraId="3A38490C" w14:textId="77777777" w:rsidR="00AA490B" w:rsidRPr="00957154" w:rsidRDefault="00AA490B" w:rsidP="000D2A9A">
            <w:pPr>
              <w:pStyle w:val="3-BodyText"/>
              <w:numPr>
                <w:ilvl w:val="0"/>
                <w:numId w:val="0"/>
              </w:numPr>
              <w:spacing w:after="0"/>
              <w:jc w:val="center"/>
              <w:rPr>
                <w:rFonts w:ascii="Arial Narrow" w:hAnsi="Arial Narrow"/>
                <w:sz w:val="20"/>
                <w:szCs w:val="20"/>
              </w:rPr>
            </w:pPr>
            <w:r w:rsidRPr="00957154">
              <w:rPr>
                <w:rFonts w:ascii="Arial Narrow" w:hAnsi="Arial Narrow"/>
                <w:sz w:val="20"/>
                <w:szCs w:val="20"/>
              </w:rPr>
              <w:t>10 (20.0)</w:t>
            </w:r>
          </w:p>
        </w:tc>
      </w:tr>
      <w:tr w:rsidR="00AA490B" w:rsidRPr="00957154" w14:paraId="0B7CCAD2" w14:textId="77777777" w:rsidTr="00B048A8">
        <w:trPr>
          <w:jc w:val="center"/>
        </w:trPr>
        <w:tc>
          <w:tcPr>
            <w:tcW w:w="3005" w:type="dxa"/>
            <w:vAlign w:val="center"/>
          </w:tcPr>
          <w:p w14:paraId="563B1F8B" w14:textId="4612ABAF" w:rsidR="00AA490B" w:rsidRPr="00957154" w:rsidRDefault="00AA490B" w:rsidP="000D2A9A">
            <w:pPr>
              <w:pStyle w:val="3-BodyText"/>
              <w:numPr>
                <w:ilvl w:val="0"/>
                <w:numId w:val="0"/>
              </w:numPr>
              <w:spacing w:after="0"/>
              <w:jc w:val="left"/>
              <w:rPr>
                <w:rFonts w:ascii="Arial Narrow" w:hAnsi="Arial Narrow"/>
                <w:b/>
                <w:bCs/>
                <w:sz w:val="20"/>
                <w:szCs w:val="20"/>
              </w:rPr>
            </w:pPr>
            <w:r w:rsidRPr="00957154">
              <w:rPr>
                <w:rFonts w:ascii="Arial Narrow" w:hAnsi="Arial Narrow"/>
                <w:b/>
                <w:bCs/>
                <w:sz w:val="20"/>
                <w:szCs w:val="20"/>
              </w:rPr>
              <w:t>Non-PB chemotherapy</w:t>
            </w:r>
          </w:p>
        </w:tc>
        <w:tc>
          <w:tcPr>
            <w:tcW w:w="3006" w:type="dxa"/>
            <w:vAlign w:val="center"/>
          </w:tcPr>
          <w:p w14:paraId="353607AA" w14:textId="77777777" w:rsidR="00AA490B" w:rsidRPr="00957154" w:rsidRDefault="00AA490B" w:rsidP="000D2A9A">
            <w:pPr>
              <w:pStyle w:val="3-BodyText"/>
              <w:numPr>
                <w:ilvl w:val="0"/>
                <w:numId w:val="0"/>
              </w:numPr>
              <w:spacing w:after="0"/>
              <w:jc w:val="center"/>
              <w:rPr>
                <w:rFonts w:ascii="Arial Narrow" w:hAnsi="Arial Narrow"/>
                <w:sz w:val="20"/>
                <w:szCs w:val="20"/>
              </w:rPr>
            </w:pPr>
            <w:r w:rsidRPr="00957154">
              <w:rPr>
                <w:rFonts w:ascii="Arial Narrow" w:hAnsi="Arial Narrow"/>
                <w:sz w:val="20"/>
                <w:szCs w:val="20"/>
              </w:rPr>
              <w:t>8 (18.6)</w:t>
            </w:r>
          </w:p>
        </w:tc>
        <w:tc>
          <w:tcPr>
            <w:tcW w:w="3006" w:type="dxa"/>
            <w:vAlign w:val="center"/>
          </w:tcPr>
          <w:p w14:paraId="74D0DB5F" w14:textId="77777777" w:rsidR="00AA490B" w:rsidRPr="00957154" w:rsidRDefault="00AA490B" w:rsidP="000D2A9A">
            <w:pPr>
              <w:pStyle w:val="3-BodyText"/>
              <w:numPr>
                <w:ilvl w:val="0"/>
                <w:numId w:val="0"/>
              </w:numPr>
              <w:spacing w:after="0"/>
              <w:jc w:val="center"/>
              <w:rPr>
                <w:rFonts w:ascii="Arial Narrow" w:hAnsi="Arial Narrow"/>
                <w:sz w:val="20"/>
                <w:szCs w:val="20"/>
              </w:rPr>
            </w:pPr>
            <w:r w:rsidRPr="00957154">
              <w:rPr>
                <w:rFonts w:ascii="Arial Narrow" w:hAnsi="Arial Narrow"/>
                <w:sz w:val="20"/>
                <w:szCs w:val="20"/>
              </w:rPr>
              <w:t>7 (14.0)</w:t>
            </w:r>
          </w:p>
        </w:tc>
      </w:tr>
      <w:tr w:rsidR="00AA490B" w:rsidRPr="00957154" w14:paraId="654F77DF" w14:textId="77777777" w:rsidTr="00B048A8">
        <w:trPr>
          <w:jc w:val="center"/>
        </w:trPr>
        <w:tc>
          <w:tcPr>
            <w:tcW w:w="3005" w:type="dxa"/>
            <w:vAlign w:val="center"/>
          </w:tcPr>
          <w:p w14:paraId="4D7D7EC7" w14:textId="55512E71" w:rsidR="00AA490B" w:rsidRPr="00957154" w:rsidRDefault="00AA490B" w:rsidP="000D2A9A">
            <w:pPr>
              <w:pStyle w:val="3-BodyText"/>
              <w:numPr>
                <w:ilvl w:val="0"/>
                <w:numId w:val="0"/>
              </w:numPr>
              <w:spacing w:after="0"/>
              <w:jc w:val="left"/>
              <w:rPr>
                <w:rFonts w:ascii="Arial Narrow" w:hAnsi="Arial Narrow"/>
                <w:b/>
                <w:bCs/>
                <w:sz w:val="20"/>
                <w:szCs w:val="20"/>
              </w:rPr>
            </w:pPr>
            <w:r w:rsidRPr="00957154">
              <w:rPr>
                <w:rFonts w:ascii="Arial Narrow" w:hAnsi="Arial Narrow"/>
                <w:b/>
                <w:bCs/>
                <w:sz w:val="20"/>
                <w:szCs w:val="20"/>
              </w:rPr>
              <w:t>Non-PB chemotherapy + MAb</w:t>
            </w:r>
          </w:p>
        </w:tc>
        <w:tc>
          <w:tcPr>
            <w:tcW w:w="3006" w:type="dxa"/>
            <w:vAlign w:val="center"/>
          </w:tcPr>
          <w:p w14:paraId="627583BD" w14:textId="77777777" w:rsidR="00AA490B" w:rsidRPr="00957154" w:rsidRDefault="00AA490B" w:rsidP="000D2A9A">
            <w:pPr>
              <w:pStyle w:val="3-BodyText"/>
              <w:numPr>
                <w:ilvl w:val="0"/>
                <w:numId w:val="0"/>
              </w:numPr>
              <w:spacing w:after="0"/>
              <w:jc w:val="center"/>
              <w:rPr>
                <w:rFonts w:ascii="Arial Narrow" w:hAnsi="Arial Narrow"/>
                <w:sz w:val="20"/>
                <w:szCs w:val="20"/>
              </w:rPr>
            </w:pPr>
            <w:r w:rsidRPr="00957154">
              <w:rPr>
                <w:rFonts w:ascii="Arial Narrow" w:hAnsi="Arial Narrow"/>
                <w:sz w:val="20"/>
                <w:szCs w:val="20"/>
              </w:rPr>
              <w:t>7 (16.3)</w:t>
            </w:r>
          </w:p>
        </w:tc>
        <w:tc>
          <w:tcPr>
            <w:tcW w:w="3006" w:type="dxa"/>
            <w:vAlign w:val="center"/>
          </w:tcPr>
          <w:p w14:paraId="514BD5A2" w14:textId="77777777" w:rsidR="00AA490B" w:rsidRPr="00957154" w:rsidRDefault="00AA490B" w:rsidP="000D2A9A">
            <w:pPr>
              <w:pStyle w:val="3-BodyText"/>
              <w:numPr>
                <w:ilvl w:val="0"/>
                <w:numId w:val="0"/>
              </w:numPr>
              <w:spacing w:after="0"/>
              <w:jc w:val="center"/>
              <w:rPr>
                <w:rFonts w:ascii="Arial Narrow" w:hAnsi="Arial Narrow"/>
                <w:sz w:val="20"/>
                <w:szCs w:val="20"/>
              </w:rPr>
            </w:pPr>
            <w:r w:rsidRPr="00957154">
              <w:rPr>
                <w:rFonts w:ascii="Arial Narrow" w:hAnsi="Arial Narrow"/>
                <w:sz w:val="20"/>
                <w:szCs w:val="20"/>
              </w:rPr>
              <w:t>4 (8.0)</w:t>
            </w:r>
          </w:p>
        </w:tc>
      </w:tr>
      <w:tr w:rsidR="00AA490B" w:rsidRPr="00957154" w14:paraId="15BD31DE" w14:textId="77777777" w:rsidTr="00B048A8">
        <w:trPr>
          <w:jc w:val="center"/>
        </w:trPr>
        <w:tc>
          <w:tcPr>
            <w:tcW w:w="3005" w:type="dxa"/>
            <w:vAlign w:val="center"/>
          </w:tcPr>
          <w:p w14:paraId="34B6A5EA" w14:textId="5A78F410" w:rsidR="00AA490B" w:rsidRPr="00957154" w:rsidRDefault="00AA490B" w:rsidP="000D2A9A">
            <w:pPr>
              <w:pStyle w:val="3-BodyText"/>
              <w:numPr>
                <w:ilvl w:val="0"/>
                <w:numId w:val="0"/>
              </w:numPr>
              <w:spacing w:after="0"/>
              <w:jc w:val="left"/>
              <w:rPr>
                <w:rFonts w:ascii="Arial Narrow" w:hAnsi="Arial Narrow"/>
                <w:b/>
                <w:bCs/>
                <w:sz w:val="20"/>
                <w:szCs w:val="20"/>
              </w:rPr>
            </w:pPr>
            <w:proofErr w:type="spellStart"/>
            <w:r w:rsidRPr="00957154">
              <w:rPr>
                <w:rFonts w:ascii="Arial Narrow" w:hAnsi="Arial Narrow"/>
                <w:b/>
                <w:bCs/>
                <w:sz w:val="20"/>
                <w:szCs w:val="20"/>
              </w:rPr>
              <w:t>Other</w:t>
            </w:r>
            <w:r w:rsidRPr="00957154">
              <w:rPr>
                <w:rFonts w:ascii="Arial Narrow" w:hAnsi="Arial Narrow"/>
                <w:b/>
                <w:bCs/>
                <w:sz w:val="20"/>
                <w:szCs w:val="20"/>
                <w:vertAlign w:val="superscript"/>
              </w:rPr>
              <w:t>b</w:t>
            </w:r>
            <w:proofErr w:type="spellEnd"/>
          </w:p>
        </w:tc>
        <w:tc>
          <w:tcPr>
            <w:tcW w:w="3006" w:type="dxa"/>
            <w:vAlign w:val="center"/>
          </w:tcPr>
          <w:p w14:paraId="5E07DE2B" w14:textId="77777777" w:rsidR="00AA490B" w:rsidRPr="00957154" w:rsidRDefault="00AA490B" w:rsidP="000D2A9A">
            <w:pPr>
              <w:pStyle w:val="3-BodyText"/>
              <w:numPr>
                <w:ilvl w:val="0"/>
                <w:numId w:val="0"/>
              </w:numPr>
              <w:spacing w:after="0"/>
              <w:jc w:val="center"/>
              <w:rPr>
                <w:rFonts w:ascii="Arial Narrow" w:hAnsi="Arial Narrow"/>
                <w:sz w:val="20"/>
                <w:szCs w:val="20"/>
              </w:rPr>
            </w:pPr>
            <w:r w:rsidRPr="00957154">
              <w:rPr>
                <w:rFonts w:ascii="Arial Narrow" w:hAnsi="Arial Narrow"/>
                <w:sz w:val="20"/>
                <w:szCs w:val="20"/>
              </w:rPr>
              <w:t>8 (18.6)</w:t>
            </w:r>
          </w:p>
        </w:tc>
        <w:tc>
          <w:tcPr>
            <w:tcW w:w="3006" w:type="dxa"/>
            <w:vAlign w:val="center"/>
          </w:tcPr>
          <w:p w14:paraId="6EE3017E" w14:textId="77777777" w:rsidR="00AA490B" w:rsidRPr="00957154" w:rsidRDefault="00AA490B" w:rsidP="000D2A9A">
            <w:pPr>
              <w:pStyle w:val="3-BodyText"/>
              <w:numPr>
                <w:ilvl w:val="0"/>
                <w:numId w:val="0"/>
              </w:numPr>
              <w:spacing w:after="0"/>
              <w:jc w:val="center"/>
              <w:rPr>
                <w:rFonts w:ascii="Arial Narrow" w:hAnsi="Arial Narrow"/>
                <w:sz w:val="20"/>
                <w:szCs w:val="20"/>
              </w:rPr>
            </w:pPr>
            <w:r w:rsidRPr="00957154">
              <w:rPr>
                <w:rFonts w:ascii="Arial Narrow" w:hAnsi="Arial Narrow"/>
                <w:sz w:val="20"/>
                <w:szCs w:val="20"/>
              </w:rPr>
              <w:t>9 (18.0)</w:t>
            </w:r>
          </w:p>
        </w:tc>
      </w:tr>
      <w:tr w:rsidR="00AA490B" w:rsidRPr="00957154" w14:paraId="4878153A" w14:textId="77777777" w:rsidTr="00B048A8">
        <w:trPr>
          <w:jc w:val="center"/>
        </w:trPr>
        <w:tc>
          <w:tcPr>
            <w:tcW w:w="3005" w:type="dxa"/>
            <w:vAlign w:val="center"/>
          </w:tcPr>
          <w:p w14:paraId="162EC521" w14:textId="77777777" w:rsidR="00AA490B" w:rsidRPr="00957154" w:rsidRDefault="00AA490B" w:rsidP="000D2A9A">
            <w:pPr>
              <w:pStyle w:val="3-BodyText"/>
              <w:numPr>
                <w:ilvl w:val="0"/>
                <w:numId w:val="0"/>
              </w:numPr>
              <w:spacing w:after="0"/>
              <w:jc w:val="right"/>
              <w:rPr>
                <w:rFonts w:ascii="Arial Narrow" w:hAnsi="Arial Narrow"/>
                <w:b/>
                <w:bCs/>
                <w:sz w:val="20"/>
                <w:szCs w:val="20"/>
              </w:rPr>
            </w:pPr>
            <w:r w:rsidRPr="00957154">
              <w:rPr>
                <w:rFonts w:ascii="Arial Narrow" w:hAnsi="Arial Narrow"/>
                <w:b/>
                <w:bCs/>
                <w:sz w:val="20"/>
                <w:szCs w:val="20"/>
              </w:rPr>
              <w:t>Total</w:t>
            </w:r>
          </w:p>
        </w:tc>
        <w:tc>
          <w:tcPr>
            <w:tcW w:w="3006" w:type="dxa"/>
            <w:vAlign w:val="center"/>
          </w:tcPr>
          <w:p w14:paraId="1B4D2E4D" w14:textId="77777777" w:rsidR="00AA490B" w:rsidRPr="00957154" w:rsidRDefault="00AA490B" w:rsidP="000D2A9A">
            <w:pPr>
              <w:pStyle w:val="3-BodyText"/>
              <w:numPr>
                <w:ilvl w:val="0"/>
                <w:numId w:val="0"/>
              </w:numPr>
              <w:spacing w:after="0"/>
              <w:jc w:val="center"/>
              <w:rPr>
                <w:rFonts w:ascii="Arial Narrow" w:hAnsi="Arial Narrow"/>
                <w:b/>
                <w:bCs/>
                <w:sz w:val="20"/>
                <w:szCs w:val="20"/>
              </w:rPr>
            </w:pPr>
            <w:r w:rsidRPr="00957154">
              <w:rPr>
                <w:rFonts w:ascii="Arial Narrow" w:hAnsi="Arial Narrow"/>
                <w:b/>
                <w:bCs/>
                <w:sz w:val="20"/>
                <w:szCs w:val="20"/>
              </w:rPr>
              <w:t>43 (100.0)</w:t>
            </w:r>
          </w:p>
        </w:tc>
        <w:tc>
          <w:tcPr>
            <w:tcW w:w="3006" w:type="dxa"/>
            <w:vAlign w:val="center"/>
          </w:tcPr>
          <w:p w14:paraId="7AF5F2FF" w14:textId="77777777" w:rsidR="00AA490B" w:rsidRPr="00957154" w:rsidRDefault="00AA490B" w:rsidP="000D2A9A">
            <w:pPr>
              <w:pStyle w:val="3-BodyText"/>
              <w:numPr>
                <w:ilvl w:val="0"/>
                <w:numId w:val="0"/>
              </w:numPr>
              <w:spacing w:after="0"/>
              <w:jc w:val="center"/>
              <w:rPr>
                <w:rFonts w:ascii="Arial Narrow" w:hAnsi="Arial Narrow"/>
                <w:b/>
                <w:bCs/>
                <w:sz w:val="20"/>
                <w:szCs w:val="20"/>
              </w:rPr>
            </w:pPr>
            <w:r w:rsidRPr="00957154">
              <w:rPr>
                <w:rFonts w:ascii="Arial Narrow" w:hAnsi="Arial Narrow"/>
                <w:b/>
                <w:bCs/>
                <w:sz w:val="20"/>
                <w:szCs w:val="20"/>
              </w:rPr>
              <w:t>50 (100.0)</w:t>
            </w:r>
          </w:p>
        </w:tc>
      </w:tr>
    </w:tbl>
    <w:p w14:paraId="41D31DD3" w14:textId="77777777" w:rsidR="00AA490B" w:rsidRPr="00957154" w:rsidRDefault="00AA490B" w:rsidP="000D2A9A">
      <w:pPr>
        <w:pStyle w:val="TableFooter"/>
        <w:keepNext/>
        <w:keepLines/>
      </w:pPr>
      <w:r w:rsidRPr="00957154">
        <w:t xml:space="preserve">Source: Modified from Tables 2-21 p110 and 2-43 p163 of the submission. </w:t>
      </w:r>
    </w:p>
    <w:p w14:paraId="5B2BF3A1" w14:textId="1F4F77E6" w:rsidR="00AA490B" w:rsidRPr="00957154" w:rsidRDefault="00AA490B" w:rsidP="000D2A9A">
      <w:pPr>
        <w:pStyle w:val="TableFooter"/>
        <w:keepNext/>
        <w:keepLines/>
      </w:pPr>
      <w:r w:rsidRPr="00957154">
        <w:t>EGFR</w:t>
      </w:r>
      <w:r w:rsidR="00F66348">
        <w:t xml:space="preserve"> </w:t>
      </w:r>
      <w:r w:rsidRPr="00957154">
        <w:t>=</w:t>
      </w:r>
      <w:r w:rsidR="00F66348">
        <w:t xml:space="preserve"> </w:t>
      </w:r>
      <w:r w:rsidRPr="00957154">
        <w:t>epidermal growth factor receptor; ICI</w:t>
      </w:r>
      <w:r w:rsidR="00F66348">
        <w:t xml:space="preserve"> </w:t>
      </w:r>
      <w:r w:rsidRPr="00957154">
        <w:t>=</w:t>
      </w:r>
      <w:r w:rsidR="00F66348">
        <w:t xml:space="preserve"> </w:t>
      </w:r>
      <w:r w:rsidRPr="00957154">
        <w:t>immune checkpoint inhibitor; MAb</w:t>
      </w:r>
      <w:r w:rsidR="00F66348">
        <w:t xml:space="preserve"> </w:t>
      </w:r>
      <w:r w:rsidRPr="00957154">
        <w:t>=</w:t>
      </w:r>
      <w:r w:rsidR="00F66348">
        <w:t xml:space="preserve"> </w:t>
      </w:r>
      <w:r w:rsidRPr="00957154">
        <w:t>monoclonal antibody; PB</w:t>
      </w:r>
      <w:r w:rsidR="00F66348">
        <w:t xml:space="preserve"> </w:t>
      </w:r>
      <w:r w:rsidRPr="00957154">
        <w:t>=</w:t>
      </w:r>
      <w:r w:rsidR="00F66348">
        <w:t xml:space="preserve"> </w:t>
      </w:r>
      <w:r w:rsidRPr="00957154">
        <w:t>platinum based; TKI</w:t>
      </w:r>
      <w:r w:rsidR="00F66348">
        <w:t xml:space="preserve"> </w:t>
      </w:r>
      <w:r w:rsidRPr="00957154">
        <w:t>=</w:t>
      </w:r>
      <w:r w:rsidR="00F66348">
        <w:t xml:space="preserve"> </w:t>
      </w:r>
      <w:r w:rsidRPr="00957154">
        <w:t>tyrosine kinase inhibitor.</w:t>
      </w:r>
    </w:p>
    <w:p w14:paraId="402E485F" w14:textId="77777777" w:rsidR="00AA490B" w:rsidRPr="00957154" w:rsidRDefault="00AA490B" w:rsidP="000D2A9A">
      <w:pPr>
        <w:pStyle w:val="TableFooter"/>
        <w:keepNext/>
        <w:keepLines/>
      </w:pPr>
      <w:proofErr w:type="spellStart"/>
      <w:r w:rsidRPr="00957154">
        <w:rPr>
          <w:vertAlign w:val="superscript"/>
        </w:rPr>
        <w:t>a</w:t>
      </w:r>
      <w:proofErr w:type="spellEnd"/>
      <w:r w:rsidRPr="00957154">
        <w:t xml:space="preserve"> Index line of therapy defined as the therapy initiated immediately after PBC.</w:t>
      </w:r>
    </w:p>
    <w:p w14:paraId="3FE7BD8D" w14:textId="2411F8FA" w:rsidR="00AA490B" w:rsidRPr="00957154" w:rsidRDefault="00AA490B" w:rsidP="000D2A9A">
      <w:pPr>
        <w:pStyle w:val="TableFooter"/>
        <w:keepNext/>
        <w:keepLines/>
      </w:pPr>
      <w:r w:rsidRPr="00957154">
        <w:rPr>
          <w:vertAlign w:val="superscript"/>
        </w:rPr>
        <w:t>b</w:t>
      </w:r>
      <w:r w:rsidRPr="00957154">
        <w:t xml:space="preserve"> Comprised PBC + non-PBC ± ICI or MAb.</w:t>
      </w:r>
    </w:p>
    <w:p w14:paraId="60894285" w14:textId="77777777" w:rsidR="00C7767E" w:rsidRPr="00AA490B" w:rsidRDefault="00C7767E" w:rsidP="000D2A9A">
      <w:pPr>
        <w:pStyle w:val="TableFooter"/>
        <w:keepNext/>
        <w:keepLines/>
        <w:rPr>
          <w:i/>
        </w:rPr>
      </w:pPr>
    </w:p>
    <w:p w14:paraId="59EAB3D9" w14:textId="5658212A" w:rsidR="00D011CB" w:rsidRPr="003627B6" w:rsidRDefault="00D011CB" w:rsidP="000711EA">
      <w:pPr>
        <w:pStyle w:val="3-BodyText"/>
        <w:rPr>
          <w:iCs/>
        </w:rPr>
      </w:pPr>
      <w:r w:rsidRPr="003627B6">
        <w:rPr>
          <w:iCs/>
        </w:rPr>
        <w:t>The evaluation noted that, compared to mobocertinib Study 101, patients in Stud</w:t>
      </w:r>
      <w:r w:rsidR="0012091E">
        <w:rPr>
          <w:iCs/>
        </w:rPr>
        <w:t>ies</w:t>
      </w:r>
      <w:r w:rsidRPr="003627B6">
        <w:rPr>
          <w:iCs/>
        </w:rPr>
        <w:t xml:space="preserve"> 5008</w:t>
      </w:r>
      <w:r w:rsidR="0012091E">
        <w:rPr>
          <w:iCs/>
        </w:rPr>
        <w:t xml:space="preserve"> and 5002</w:t>
      </w:r>
      <w:r w:rsidRPr="003627B6">
        <w:rPr>
          <w:iCs/>
        </w:rPr>
        <w:t xml:space="preserve"> may have had a poorer prognosis and were less fit, as follows:</w:t>
      </w:r>
    </w:p>
    <w:p w14:paraId="6DD504D8" w14:textId="7EDE23EC" w:rsidR="00C90B02" w:rsidRPr="00AA490B" w:rsidRDefault="00D011CB" w:rsidP="008D68A8">
      <w:pPr>
        <w:pStyle w:val="3-BodyText"/>
        <w:numPr>
          <w:ilvl w:val="0"/>
          <w:numId w:val="18"/>
        </w:numPr>
        <w:ind w:left="993" w:hanging="284"/>
        <w:rPr>
          <w:i/>
        </w:rPr>
      </w:pPr>
      <w:r w:rsidRPr="00957154">
        <w:t>In contrast to Study 101</w:t>
      </w:r>
      <w:r w:rsidR="00C90B02" w:rsidRPr="00957154">
        <w:t>,</w:t>
      </w:r>
      <w:r w:rsidR="00C90B02" w:rsidRPr="00AA490B">
        <w:t xml:space="preserve"> the</w:t>
      </w:r>
      <w:r w:rsidRPr="00AA490B">
        <w:t xml:space="preserve"> Study 5008</w:t>
      </w:r>
      <w:r w:rsidR="00C90B02" w:rsidRPr="00AA490B">
        <w:t xml:space="preserve"> cohort selected for the indirect comparison did not exclude patients with a ≤3-month life expectancy or those with suboptimal laboratory values for hepatic, haematology, and bone marrow functions. The submission </w:t>
      </w:r>
      <w:r w:rsidR="005C4EB8">
        <w:t>stated</w:t>
      </w:r>
      <w:r w:rsidR="005C4EB8" w:rsidRPr="00AA490B">
        <w:t xml:space="preserve"> </w:t>
      </w:r>
      <w:r w:rsidR="00C90B02" w:rsidRPr="00AA490B">
        <w:t>that as the selected SOC patients with an ECOG performance status of ≥2 were excluded, this is unlikely to have resulted in selection bias</w:t>
      </w:r>
      <w:r w:rsidR="001E5C55" w:rsidRPr="00AA490B">
        <w:t xml:space="preserve">; </w:t>
      </w:r>
      <w:r w:rsidR="001E5C55" w:rsidRPr="00957154">
        <w:t>however, the evaluation noted that for Study 5008, there were missing ECOG data for 42% of patients (21/50)</w:t>
      </w:r>
      <w:r w:rsidR="00C90B02" w:rsidRPr="00957154">
        <w:t xml:space="preserve">. </w:t>
      </w:r>
      <w:r w:rsidR="005C4EB8">
        <w:t xml:space="preserve">Similar to Study 5008, a </w:t>
      </w:r>
      <w:r w:rsidR="00C90B02" w:rsidRPr="00AA490B">
        <w:t>minimum life expectancy of &gt;3</w:t>
      </w:r>
      <w:r w:rsidR="005F265D" w:rsidRPr="00AA490B">
        <w:t xml:space="preserve"> </w:t>
      </w:r>
      <w:r w:rsidR="00C90B02" w:rsidRPr="00AA490B">
        <w:t>months</w:t>
      </w:r>
      <w:r w:rsidR="005C4EB8" w:rsidRPr="005C4EB8">
        <w:t xml:space="preserve"> </w:t>
      </w:r>
      <w:r w:rsidR="005C4EB8" w:rsidRPr="00AA490B">
        <w:t>could not be applied</w:t>
      </w:r>
      <w:r w:rsidR="005C4EB8">
        <w:t xml:space="preserve"> to Study 5002</w:t>
      </w:r>
      <w:r w:rsidR="00C90B02" w:rsidRPr="00AA490B">
        <w:t xml:space="preserve">. </w:t>
      </w:r>
    </w:p>
    <w:p w14:paraId="0BD3C626" w14:textId="1B4BA093" w:rsidR="00E97EFD" w:rsidRPr="00AA490B" w:rsidRDefault="00E97EFD" w:rsidP="008D68A8">
      <w:pPr>
        <w:pStyle w:val="3-BodyText"/>
        <w:numPr>
          <w:ilvl w:val="0"/>
          <w:numId w:val="18"/>
        </w:numPr>
        <w:ind w:left="993" w:hanging="284"/>
        <w:rPr>
          <w:i/>
        </w:rPr>
      </w:pPr>
      <w:r w:rsidRPr="00AA490B" w:rsidDel="009C69E1">
        <w:rPr>
          <w:iCs/>
          <w:lang w:val="en-GB"/>
        </w:rPr>
        <w:t xml:space="preserve">Baseline characteristics of patients included in the Study 5008 were collected at diagnosis of NSCLC or study entry, and thus might represent patient status in the </w:t>
      </w:r>
      <w:proofErr w:type="gramStart"/>
      <w:r w:rsidRPr="00AA490B" w:rsidDel="009C69E1">
        <w:rPr>
          <w:iCs/>
          <w:lang w:val="en-GB"/>
        </w:rPr>
        <w:t>first-line</w:t>
      </w:r>
      <w:proofErr w:type="gramEnd"/>
      <w:r w:rsidRPr="00AA490B" w:rsidDel="009C69E1">
        <w:rPr>
          <w:iCs/>
          <w:lang w:val="en-GB"/>
        </w:rPr>
        <w:t xml:space="preserve"> setting and not at the start of the patient’s index therapy</w:t>
      </w:r>
      <w:r w:rsidRPr="00AA490B">
        <w:rPr>
          <w:iCs/>
          <w:lang w:val="en-GB"/>
        </w:rPr>
        <w:t xml:space="preserve"> (i.e., the relevant </w:t>
      </w:r>
      <w:r w:rsidRPr="00AA490B">
        <w:rPr>
          <w:iCs/>
          <w:lang w:val="en-GB"/>
        </w:rPr>
        <w:lastRenderedPageBreak/>
        <w:t>line of therapy following PBC)</w:t>
      </w:r>
      <w:r w:rsidRPr="00AA490B" w:rsidDel="009C69E1">
        <w:rPr>
          <w:iCs/>
          <w:lang w:val="en-GB"/>
        </w:rPr>
        <w:t>. For the majority of patients (93%) in Study 5008, an average of 11.3 months had elapsed between start of the first-line treatment recorded in the study</w:t>
      </w:r>
      <w:r w:rsidRPr="00AA490B">
        <w:rPr>
          <w:iCs/>
          <w:lang w:val="en-GB"/>
        </w:rPr>
        <w:t xml:space="preserve"> (</w:t>
      </w:r>
      <w:r w:rsidRPr="00AA490B" w:rsidDel="009C69E1">
        <w:rPr>
          <w:iCs/>
          <w:lang w:val="en-GB"/>
        </w:rPr>
        <w:t xml:space="preserve">and hence collection of the baseline </w:t>
      </w:r>
      <w:r w:rsidRPr="00AA490B">
        <w:rPr>
          <w:iCs/>
          <w:lang w:val="en-GB"/>
        </w:rPr>
        <w:t>data)</w:t>
      </w:r>
      <w:r w:rsidRPr="00AA490B" w:rsidDel="009C69E1">
        <w:rPr>
          <w:iCs/>
          <w:lang w:val="en-GB"/>
        </w:rPr>
        <w:t xml:space="preserve"> and the index line</w:t>
      </w:r>
      <w:r w:rsidRPr="00AA490B">
        <w:rPr>
          <w:iCs/>
          <w:lang w:val="en-GB"/>
        </w:rPr>
        <w:t xml:space="preserve"> of therapy (therapy following PBC)</w:t>
      </w:r>
      <w:r w:rsidRPr="00AA490B" w:rsidDel="009C69E1">
        <w:rPr>
          <w:iCs/>
          <w:lang w:val="en-GB"/>
        </w:rPr>
        <w:t>. Some changes may have occurred in these patients over this period of time such as worsening in ECOG performance status and disease stage, and increased incidence in brain metastasis</w:t>
      </w:r>
      <w:r w:rsidRPr="00AA490B" w:rsidDel="009C69E1">
        <w:rPr>
          <w:iCs/>
          <w:lang w:val="en-US"/>
        </w:rPr>
        <w:t>.</w:t>
      </w:r>
    </w:p>
    <w:p w14:paraId="2027CC01" w14:textId="43F3E3DF" w:rsidR="00C90B02" w:rsidRPr="00440A1E" w:rsidRDefault="007E0B26" w:rsidP="000711EA">
      <w:pPr>
        <w:pStyle w:val="3-BodyText"/>
        <w:rPr>
          <w:iCs/>
        </w:rPr>
      </w:pPr>
      <w:r w:rsidRPr="00957154">
        <w:rPr>
          <w:iCs/>
          <w:snapToGrid/>
          <w:lang w:val="en-GB"/>
        </w:rPr>
        <w:t>The evaluation considered that</w:t>
      </w:r>
      <w:r>
        <w:rPr>
          <w:iCs/>
          <w:snapToGrid/>
          <w:lang w:val="en-GB"/>
        </w:rPr>
        <w:t xml:space="preserve"> t</w:t>
      </w:r>
      <w:r w:rsidR="00C90B02" w:rsidRPr="00440A1E">
        <w:rPr>
          <w:iCs/>
          <w:snapToGrid/>
          <w:lang w:val="en-GB"/>
        </w:rPr>
        <w:t>here was insufficient information on the retrospective selection approach</w:t>
      </w:r>
      <w:r w:rsidR="008066F8">
        <w:rPr>
          <w:iCs/>
          <w:snapToGrid/>
          <w:lang w:val="en-GB"/>
        </w:rPr>
        <w:t xml:space="preserve"> for Studies 5008 and 5002</w:t>
      </w:r>
      <w:r w:rsidR="00C90B02" w:rsidRPr="00440A1E">
        <w:rPr>
          <w:iCs/>
          <w:snapToGrid/>
          <w:lang w:val="en-GB"/>
        </w:rPr>
        <w:t xml:space="preserve"> taken in terms of i) the number of patients excluded from the comparator studies based on each specific exclusion criterion</w:t>
      </w:r>
      <w:r w:rsidR="008066F8">
        <w:rPr>
          <w:iCs/>
          <w:snapToGrid/>
          <w:lang w:val="en-GB"/>
        </w:rPr>
        <w:t xml:space="preserve"> from Study 101</w:t>
      </w:r>
      <w:r w:rsidR="00C90B02" w:rsidRPr="00440A1E">
        <w:rPr>
          <w:iCs/>
          <w:snapToGrid/>
          <w:lang w:val="en-GB"/>
        </w:rPr>
        <w:t xml:space="preserve">, and their overall prognostic profile compared to </w:t>
      </w:r>
      <w:r w:rsidR="00635563" w:rsidRPr="00440A1E">
        <w:rPr>
          <w:iCs/>
          <w:snapToGrid/>
          <w:lang w:val="en-GB"/>
        </w:rPr>
        <w:t xml:space="preserve">that of the </w:t>
      </w:r>
      <w:r w:rsidR="00C90B02" w:rsidRPr="00440A1E">
        <w:rPr>
          <w:iCs/>
          <w:snapToGrid/>
          <w:lang w:val="en-GB"/>
        </w:rPr>
        <w:t xml:space="preserve">included patients, and ii) the full list of eligibility criteria that could not be applied </w:t>
      </w:r>
      <w:r w:rsidR="00D64D3D" w:rsidRPr="00440A1E">
        <w:rPr>
          <w:iCs/>
          <w:snapToGrid/>
          <w:lang w:val="en-GB"/>
        </w:rPr>
        <w:t xml:space="preserve">due to lack of information </w:t>
      </w:r>
      <w:r w:rsidR="008066F8">
        <w:rPr>
          <w:iCs/>
          <w:snapToGrid/>
          <w:lang w:val="en-GB"/>
        </w:rPr>
        <w:t>about</w:t>
      </w:r>
      <w:r w:rsidR="00D64D3D" w:rsidRPr="00440A1E">
        <w:rPr>
          <w:iCs/>
          <w:snapToGrid/>
          <w:lang w:val="en-GB"/>
        </w:rPr>
        <w:t xml:space="preserve"> the </w:t>
      </w:r>
      <w:r w:rsidR="00C90B02" w:rsidRPr="00440A1E">
        <w:rPr>
          <w:iCs/>
          <w:snapToGrid/>
          <w:lang w:val="en-GB"/>
        </w:rPr>
        <w:t>‘real world’ data</w:t>
      </w:r>
      <w:r w:rsidR="00D64D3D" w:rsidRPr="00440A1E">
        <w:rPr>
          <w:iCs/>
          <w:snapToGrid/>
          <w:lang w:val="en-GB"/>
        </w:rPr>
        <w:t>.</w:t>
      </w:r>
      <w:r w:rsidR="00C90B02" w:rsidRPr="00440A1E">
        <w:rPr>
          <w:iCs/>
          <w:snapToGrid/>
          <w:lang w:val="en-GB"/>
        </w:rPr>
        <w:t xml:space="preserve"> The risk of selection bias in establishing the ‘SOC’ cohorts was considered high.</w:t>
      </w:r>
    </w:p>
    <w:p w14:paraId="7E53AAB1" w14:textId="2479E7E6" w:rsidR="00C90B02" w:rsidRPr="00E97EFD" w:rsidRDefault="00C90B02" w:rsidP="00B048A8">
      <w:pPr>
        <w:pStyle w:val="3-BodyText"/>
        <w:rPr>
          <w:lang w:val="en-GB"/>
        </w:rPr>
      </w:pPr>
      <w:r w:rsidRPr="00E97EFD">
        <w:rPr>
          <w:iCs/>
          <w:lang w:val="en-GB"/>
        </w:rPr>
        <w:t>The selected patient cohorts from the comparator studies had small sample sizes (N=43 in Study 5008 and N=50 in Study 5002). This limited the number of variables that could have been adjusted for in the IPTW analyses and also the reliability of the results.</w:t>
      </w:r>
    </w:p>
    <w:p w14:paraId="6AC841AF" w14:textId="77777777" w:rsidR="00C90B02" w:rsidRDefault="00C90B02" w:rsidP="000711EA">
      <w:pPr>
        <w:pStyle w:val="3-BodyText"/>
      </w:pPr>
      <w:r w:rsidRPr="005D6152">
        <w:t xml:space="preserve">For Study 101 </w:t>
      </w:r>
      <w:r w:rsidRPr="00D66D6A">
        <w:rPr>
          <w:i/>
        </w:rPr>
        <w:t>versus</w:t>
      </w:r>
      <w:r w:rsidRPr="005D6152">
        <w:t xml:space="preserve"> Study 5008, before weighting, there were more Asian</w:t>
      </w:r>
      <w:r>
        <w:t xml:space="preserve"> patients</w:t>
      </w:r>
      <w:r w:rsidRPr="005D6152">
        <w:t xml:space="preserve"> (59.6% vs. 7%), patients with no history of smoking (71.1% vs. 41.8%), and patients with more than 1 prior line of therapy (58.8% vs. 7.0%). The mean time since diagnosis of advanced NSCLC disease was also longer in the mobocertinib </w:t>
      </w:r>
      <w:r>
        <w:t>cohort</w:t>
      </w:r>
      <w:r w:rsidRPr="005D6152">
        <w:t xml:space="preserve"> (15.7</w:t>
      </w:r>
      <w:r>
        <w:t xml:space="preserve"> months</w:t>
      </w:r>
      <w:r w:rsidRPr="005D6152">
        <w:t xml:space="preserve"> vs. 11.8 months)</w:t>
      </w:r>
      <w:r>
        <w:t>.</w:t>
      </w:r>
    </w:p>
    <w:p w14:paraId="1F8CBA4E" w14:textId="3700FFC9" w:rsidR="00C90B02" w:rsidRDefault="00C90B02" w:rsidP="000711EA">
      <w:pPr>
        <w:pStyle w:val="3-BodyText"/>
      </w:pPr>
      <w:r w:rsidRPr="001254A6">
        <w:t xml:space="preserve">For Study 101 </w:t>
      </w:r>
      <w:r w:rsidRPr="00775DB2">
        <w:rPr>
          <w:i/>
        </w:rPr>
        <w:t>versus</w:t>
      </w:r>
      <w:r w:rsidRPr="001254A6">
        <w:t xml:space="preserve"> Study 5002, before weighting, there were more Asian</w:t>
      </w:r>
      <w:r w:rsidR="00662E45">
        <w:t xml:space="preserve"> patients</w:t>
      </w:r>
      <w:r w:rsidRPr="001254A6">
        <w:t xml:space="preserve"> (59.6% vs. 8%), patients with no history of smoking (71.1% vs. 58.0%), and patients with more than 1 prior line of therapy (58.8% vs. 4.0%).</w:t>
      </w:r>
      <w:r w:rsidRPr="00C638E1">
        <w:t xml:space="preserve"> </w:t>
      </w:r>
      <w:r w:rsidRPr="001254A6">
        <w:t xml:space="preserve">The mean time since diagnosis of advanced NSCLC disease was also longer in the mobocertinib </w:t>
      </w:r>
      <w:r>
        <w:t>cohort</w:t>
      </w:r>
      <w:r w:rsidRPr="001254A6">
        <w:t xml:space="preserve"> (15.7 vs. 11.8 months).</w:t>
      </w:r>
    </w:p>
    <w:p w14:paraId="74D4132E" w14:textId="4DF04C0E" w:rsidR="00C90B02" w:rsidRDefault="00C90B02" w:rsidP="000711EA">
      <w:pPr>
        <w:pStyle w:val="3-BodyText"/>
      </w:pPr>
      <w:r w:rsidRPr="005E14F5">
        <w:t xml:space="preserve">Adjustment </w:t>
      </w:r>
      <w:r>
        <w:t xml:space="preserve">using IPTW method </w:t>
      </w:r>
      <w:r w:rsidRPr="005E14F5">
        <w:t xml:space="preserve">reduced imbalances </w:t>
      </w:r>
      <w:r>
        <w:t xml:space="preserve">between Study 101 and Study 5008/Study 5002 </w:t>
      </w:r>
      <w:r w:rsidRPr="005E14F5">
        <w:t>in most factors included in the weight estimations</w:t>
      </w:r>
      <w:r w:rsidRPr="005D6152">
        <w:t xml:space="preserve">. </w:t>
      </w:r>
      <w:r w:rsidRPr="00440A1E">
        <w:rPr>
          <w:iCs/>
        </w:rPr>
        <w:t xml:space="preserve">The submission did not present a discussion on the IPTW inflated sample sizes of the “pseudo population” in Study 5008 (from 43 to 114.2) and Study 5002 (from 50 to 107.6). Weighting creates a pseudo-population containing ‘replications’ of individuals and thus the sample size becomes artificially inflated. As a result, correlation is induced within the comparator cohort and there is a resulting lack of independence. It is unclear from the submission whether the IPTW weights were stabilised to account for </w:t>
      </w:r>
      <w:r w:rsidR="00BD0DCF" w:rsidRPr="00440A1E">
        <w:rPr>
          <w:iCs/>
        </w:rPr>
        <w:t xml:space="preserve">extreme weighting and </w:t>
      </w:r>
      <w:r w:rsidRPr="00440A1E">
        <w:rPr>
          <w:iCs/>
        </w:rPr>
        <w:t>the inflated sample size.</w:t>
      </w:r>
      <w:r>
        <w:rPr>
          <w:i/>
        </w:rPr>
        <w:t xml:space="preserve"> </w:t>
      </w:r>
    </w:p>
    <w:p w14:paraId="06F0CB8B" w14:textId="42E5C2CA" w:rsidR="00B139D8" w:rsidRPr="00B139D8" w:rsidRDefault="00B139D8" w:rsidP="000711EA">
      <w:pPr>
        <w:pStyle w:val="3-BodyText"/>
      </w:pPr>
      <w:r>
        <w:t>Patient charac</w:t>
      </w:r>
      <w:r w:rsidRPr="00B139D8">
        <w:t xml:space="preserve">teristics that were adjusted for in the IPTW are summarised in </w:t>
      </w:r>
      <w:r>
        <w:fldChar w:fldCharType="begin"/>
      </w:r>
      <w:r>
        <w:instrText xml:space="preserve"> REF _Ref113790821 \h </w:instrText>
      </w:r>
      <w:r>
        <w:fldChar w:fldCharType="separate"/>
      </w:r>
      <w:r w:rsidR="001635D4">
        <w:t xml:space="preserve">Table </w:t>
      </w:r>
      <w:r w:rsidR="001635D4">
        <w:rPr>
          <w:noProof/>
        </w:rPr>
        <w:t>5</w:t>
      </w:r>
      <w:r>
        <w:fldChar w:fldCharType="end"/>
      </w:r>
      <w:r w:rsidR="00251D3F">
        <w:t>.</w:t>
      </w:r>
    </w:p>
    <w:p w14:paraId="5EBD4279" w14:textId="5DCFB8EA" w:rsidR="00B139D8" w:rsidRDefault="00B139D8" w:rsidP="00B139D8">
      <w:pPr>
        <w:pStyle w:val="Caption"/>
      </w:pPr>
      <w:bookmarkStart w:id="29" w:name="_Ref113790821"/>
      <w:r>
        <w:lastRenderedPageBreak/>
        <w:t xml:space="preserve">Table </w:t>
      </w:r>
      <w:r w:rsidR="001635D4">
        <w:fldChar w:fldCharType="begin"/>
      </w:r>
      <w:r w:rsidR="001635D4">
        <w:instrText xml:space="preserve"> SEQ Table \* </w:instrText>
      </w:r>
      <w:r w:rsidR="001635D4">
        <w:instrText xml:space="preserve">ARABIC </w:instrText>
      </w:r>
      <w:r w:rsidR="001635D4">
        <w:fldChar w:fldCharType="separate"/>
      </w:r>
      <w:r w:rsidR="001635D4">
        <w:rPr>
          <w:noProof/>
        </w:rPr>
        <w:t>5</w:t>
      </w:r>
      <w:r w:rsidR="001635D4">
        <w:rPr>
          <w:noProof/>
        </w:rPr>
        <w:fldChar w:fldCharType="end"/>
      </w:r>
      <w:bookmarkEnd w:id="29"/>
      <w:r>
        <w:t xml:space="preserve">: Patient characteristics in Study 5008 and Study 5002 adjusted for in the IPTW analyses </w:t>
      </w:r>
    </w:p>
    <w:tbl>
      <w:tblPr>
        <w:tblStyle w:val="HTATableshaded"/>
        <w:tblW w:w="5000" w:type="pct"/>
        <w:tblLook w:val="04A0" w:firstRow="1" w:lastRow="0" w:firstColumn="1" w:lastColumn="0" w:noHBand="0" w:noVBand="1"/>
      </w:tblPr>
      <w:tblGrid>
        <w:gridCol w:w="3326"/>
        <w:gridCol w:w="2775"/>
        <w:gridCol w:w="2916"/>
      </w:tblGrid>
      <w:tr w:rsidR="00B139D8" w:rsidRPr="00551C17" w14:paraId="4656F4D8" w14:textId="77777777" w:rsidTr="00B139D8">
        <w:trPr>
          <w:cnfStyle w:val="100000000000" w:firstRow="1" w:lastRow="0" w:firstColumn="0" w:lastColumn="0" w:oddVBand="0" w:evenVBand="0" w:oddHBand="0" w:evenHBand="0" w:firstRowFirstColumn="0" w:firstRowLastColumn="0" w:lastRowFirstColumn="0" w:lastRowLastColumn="0"/>
          <w:tblHeader/>
        </w:trPr>
        <w:tc>
          <w:tcPr>
            <w:tcW w:w="1844" w:type="pct"/>
            <w:shd w:val="clear" w:color="auto" w:fill="auto"/>
          </w:tcPr>
          <w:p w14:paraId="1DAC17E4" w14:textId="77777777" w:rsidR="00B139D8" w:rsidRPr="00551C17" w:rsidRDefault="00B139D8" w:rsidP="00BF7759">
            <w:pPr>
              <w:pStyle w:val="Tabletext"/>
              <w:keepNext/>
              <w:rPr>
                <w:b/>
              </w:rPr>
            </w:pPr>
            <w:r w:rsidRPr="00551C17">
              <w:rPr>
                <w:b/>
              </w:rPr>
              <w:t xml:space="preserve">Prognostic </w:t>
            </w:r>
          </w:p>
        </w:tc>
        <w:tc>
          <w:tcPr>
            <w:tcW w:w="1539" w:type="pct"/>
            <w:shd w:val="clear" w:color="auto" w:fill="auto"/>
          </w:tcPr>
          <w:p w14:paraId="6E1D49EF" w14:textId="77777777" w:rsidR="00B139D8" w:rsidRPr="00551C17" w:rsidRDefault="00B139D8" w:rsidP="00BF7759">
            <w:pPr>
              <w:pStyle w:val="Tabletext"/>
              <w:keepNext/>
              <w:rPr>
                <w:b/>
              </w:rPr>
            </w:pPr>
            <w:r w:rsidRPr="00551C17">
              <w:rPr>
                <w:b/>
              </w:rPr>
              <w:t>Mobocertinib vs. Study 5008</w:t>
            </w:r>
            <w:r>
              <w:rPr>
                <w:b/>
              </w:rPr>
              <w:t xml:space="preserve"> (Germany)</w:t>
            </w:r>
          </w:p>
        </w:tc>
        <w:tc>
          <w:tcPr>
            <w:tcW w:w="1617" w:type="pct"/>
            <w:shd w:val="clear" w:color="auto" w:fill="auto"/>
          </w:tcPr>
          <w:p w14:paraId="089C4D7A" w14:textId="77777777" w:rsidR="009D2359" w:rsidRDefault="00B139D8" w:rsidP="00BF7759">
            <w:pPr>
              <w:pStyle w:val="Tabletext"/>
              <w:keepNext/>
              <w:rPr>
                <w:b/>
              </w:rPr>
            </w:pPr>
            <w:r w:rsidRPr="00551C17">
              <w:rPr>
                <w:b/>
              </w:rPr>
              <w:t>Mobocertinib vs. Study 5002</w:t>
            </w:r>
            <w:r>
              <w:rPr>
                <w:b/>
              </w:rPr>
              <w:t xml:space="preserve"> </w:t>
            </w:r>
          </w:p>
          <w:p w14:paraId="74AA5A4B" w14:textId="3C61A24E" w:rsidR="00B139D8" w:rsidRPr="00551C17" w:rsidRDefault="00B139D8" w:rsidP="00BF7759">
            <w:pPr>
              <w:pStyle w:val="Tabletext"/>
              <w:keepNext/>
              <w:rPr>
                <w:b/>
              </w:rPr>
            </w:pPr>
            <w:r>
              <w:rPr>
                <w:b/>
              </w:rPr>
              <w:t>(</w:t>
            </w:r>
            <w:r w:rsidRPr="00551C17">
              <w:rPr>
                <w:b/>
              </w:rPr>
              <w:t xml:space="preserve">US </w:t>
            </w:r>
            <w:r>
              <w:rPr>
                <w:b/>
              </w:rPr>
              <w:t>Flatiron database</w:t>
            </w:r>
            <w:r w:rsidRPr="00551C17">
              <w:rPr>
                <w:b/>
              </w:rPr>
              <w:t>)</w:t>
            </w:r>
          </w:p>
        </w:tc>
      </w:tr>
      <w:tr w:rsidR="00B139D8" w:rsidRPr="00551C17" w14:paraId="287C1D2B" w14:textId="77777777" w:rsidTr="00BF7759">
        <w:tc>
          <w:tcPr>
            <w:tcW w:w="5000" w:type="pct"/>
            <w:gridSpan w:val="3"/>
            <w:shd w:val="clear" w:color="auto" w:fill="auto"/>
          </w:tcPr>
          <w:p w14:paraId="10FBD737" w14:textId="77777777" w:rsidR="00B139D8" w:rsidRPr="00551C17" w:rsidRDefault="00B139D8" w:rsidP="00BF7759">
            <w:pPr>
              <w:pStyle w:val="Tabletext"/>
              <w:keepNext/>
            </w:pPr>
            <w:r w:rsidRPr="00551C17">
              <w:rPr>
                <w:b/>
              </w:rPr>
              <w:t>Included (adjusted in the IPTW analyses)</w:t>
            </w:r>
          </w:p>
        </w:tc>
      </w:tr>
      <w:tr w:rsidR="00B139D8" w:rsidRPr="00551C17" w14:paraId="1DD92881" w14:textId="77777777" w:rsidTr="00B139D8">
        <w:tc>
          <w:tcPr>
            <w:tcW w:w="1844" w:type="pct"/>
          </w:tcPr>
          <w:p w14:paraId="3C77B956" w14:textId="77777777" w:rsidR="00B139D8" w:rsidRPr="00551C17" w:rsidRDefault="00B139D8" w:rsidP="00BF7759">
            <w:pPr>
              <w:pStyle w:val="Tabletext"/>
              <w:keepNext/>
            </w:pPr>
            <w:r w:rsidRPr="00551C17">
              <w:t>Mean age</w:t>
            </w:r>
          </w:p>
        </w:tc>
        <w:tc>
          <w:tcPr>
            <w:tcW w:w="1539" w:type="pct"/>
            <w:tcBorders>
              <w:right w:val="single" w:sz="4" w:space="0" w:color="auto"/>
            </w:tcBorders>
          </w:tcPr>
          <w:p w14:paraId="580DF35B" w14:textId="77777777" w:rsidR="00B139D8" w:rsidRPr="00551C17" w:rsidRDefault="00B139D8" w:rsidP="00BF7759">
            <w:pPr>
              <w:pStyle w:val="Tabletext"/>
              <w:keepNext/>
            </w:pPr>
            <w:r w:rsidRPr="00551C17">
              <w:rPr>
                <w:rFonts w:eastAsiaTheme="minorHAnsi"/>
              </w:rPr>
              <w:sym w:font="Wingdings 2" w:char="F050"/>
            </w:r>
          </w:p>
        </w:tc>
        <w:tc>
          <w:tcPr>
            <w:tcW w:w="1617" w:type="pct"/>
            <w:tcBorders>
              <w:left w:val="single" w:sz="4" w:space="0" w:color="auto"/>
            </w:tcBorders>
          </w:tcPr>
          <w:p w14:paraId="2A3DBF1B" w14:textId="77777777" w:rsidR="00B139D8" w:rsidRPr="00551C17" w:rsidRDefault="00B139D8" w:rsidP="00BF7759">
            <w:pPr>
              <w:pStyle w:val="Tabletext"/>
              <w:keepNext/>
            </w:pPr>
            <w:r w:rsidRPr="00551C17">
              <w:rPr>
                <w:rFonts w:eastAsiaTheme="minorHAnsi"/>
              </w:rPr>
              <w:sym w:font="Wingdings 2" w:char="F050"/>
            </w:r>
          </w:p>
        </w:tc>
      </w:tr>
      <w:tr w:rsidR="00B139D8" w:rsidRPr="00551C17" w14:paraId="472A7EEC" w14:textId="77777777" w:rsidTr="00B139D8">
        <w:tc>
          <w:tcPr>
            <w:tcW w:w="1844" w:type="pct"/>
          </w:tcPr>
          <w:p w14:paraId="2EF3B175" w14:textId="77777777" w:rsidR="00B139D8" w:rsidRPr="00551C17" w:rsidRDefault="00B139D8" w:rsidP="00BF7759">
            <w:pPr>
              <w:pStyle w:val="Tabletext"/>
              <w:keepNext/>
            </w:pPr>
            <w:r w:rsidRPr="00551C17">
              <w:t>Gender (female)</w:t>
            </w:r>
          </w:p>
        </w:tc>
        <w:tc>
          <w:tcPr>
            <w:tcW w:w="1539" w:type="pct"/>
            <w:tcBorders>
              <w:right w:val="single" w:sz="4" w:space="0" w:color="auto"/>
            </w:tcBorders>
          </w:tcPr>
          <w:p w14:paraId="55EBB21D" w14:textId="77777777" w:rsidR="00B139D8" w:rsidRPr="00551C17" w:rsidRDefault="00B139D8" w:rsidP="00BF7759">
            <w:pPr>
              <w:pStyle w:val="Tabletext"/>
              <w:keepNext/>
            </w:pPr>
            <w:r w:rsidRPr="00551C17">
              <w:rPr>
                <w:rFonts w:eastAsiaTheme="minorHAnsi"/>
              </w:rPr>
              <w:sym w:font="Wingdings 2" w:char="F050"/>
            </w:r>
          </w:p>
        </w:tc>
        <w:tc>
          <w:tcPr>
            <w:tcW w:w="1617" w:type="pct"/>
            <w:tcBorders>
              <w:left w:val="single" w:sz="4" w:space="0" w:color="auto"/>
            </w:tcBorders>
          </w:tcPr>
          <w:p w14:paraId="4E1CEFDB" w14:textId="77777777" w:rsidR="00B139D8" w:rsidRPr="00551C17" w:rsidRDefault="00B139D8" w:rsidP="00BF7759">
            <w:pPr>
              <w:pStyle w:val="Tabletext"/>
              <w:keepNext/>
            </w:pPr>
            <w:r w:rsidRPr="00551C17">
              <w:rPr>
                <w:rFonts w:eastAsiaTheme="minorHAnsi"/>
              </w:rPr>
              <w:sym w:font="Wingdings 2" w:char="F050"/>
            </w:r>
          </w:p>
        </w:tc>
      </w:tr>
      <w:tr w:rsidR="00B139D8" w:rsidRPr="00551C17" w14:paraId="11066D8F" w14:textId="77777777" w:rsidTr="00B139D8">
        <w:tc>
          <w:tcPr>
            <w:tcW w:w="1844" w:type="pct"/>
          </w:tcPr>
          <w:p w14:paraId="4453FFD2" w14:textId="77777777" w:rsidR="00B139D8" w:rsidRPr="00551C17" w:rsidRDefault="00B139D8" w:rsidP="00BF7759">
            <w:pPr>
              <w:pStyle w:val="Tabletext"/>
              <w:keepNext/>
            </w:pPr>
            <w:r w:rsidRPr="00551C17">
              <w:t>Smoking status (no smoking)</w:t>
            </w:r>
          </w:p>
        </w:tc>
        <w:tc>
          <w:tcPr>
            <w:tcW w:w="1539" w:type="pct"/>
          </w:tcPr>
          <w:p w14:paraId="6589FE31" w14:textId="77777777" w:rsidR="00B139D8" w:rsidRPr="00551C17" w:rsidRDefault="00B139D8" w:rsidP="00BF7759">
            <w:pPr>
              <w:pStyle w:val="Tabletext"/>
              <w:keepNext/>
            </w:pPr>
            <w:r w:rsidRPr="00551C17">
              <w:rPr>
                <w:rFonts w:eastAsiaTheme="minorHAnsi"/>
              </w:rPr>
              <w:sym w:font="Wingdings 2" w:char="F050"/>
            </w:r>
          </w:p>
        </w:tc>
        <w:tc>
          <w:tcPr>
            <w:tcW w:w="1617" w:type="pct"/>
          </w:tcPr>
          <w:p w14:paraId="79E99502" w14:textId="77777777" w:rsidR="00B139D8" w:rsidRPr="00551C17" w:rsidRDefault="00B139D8" w:rsidP="00BF7759">
            <w:pPr>
              <w:pStyle w:val="Tabletext"/>
              <w:keepNext/>
            </w:pPr>
            <w:r w:rsidRPr="00551C17">
              <w:rPr>
                <w:rFonts w:eastAsiaTheme="minorHAnsi"/>
              </w:rPr>
              <w:sym w:font="Wingdings 2" w:char="F050"/>
            </w:r>
          </w:p>
        </w:tc>
      </w:tr>
      <w:tr w:rsidR="00B139D8" w:rsidRPr="00551C17" w14:paraId="07033BA4" w14:textId="77777777" w:rsidTr="00B139D8">
        <w:tc>
          <w:tcPr>
            <w:tcW w:w="1844" w:type="pct"/>
          </w:tcPr>
          <w:p w14:paraId="3EA5B5EE" w14:textId="77777777" w:rsidR="00B139D8" w:rsidRPr="00551C17" w:rsidRDefault="00B139D8" w:rsidP="00BF7759">
            <w:pPr>
              <w:pStyle w:val="Tabletext"/>
              <w:keepNext/>
            </w:pPr>
            <w:r w:rsidRPr="00551C17">
              <w:t>Brain metastases (no brain metastases)</w:t>
            </w:r>
          </w:p>
        </w:tc>
        <w:tc>
          <w:tcPr>
            <w:tcW w:w="1539" w:type="pct"/>
          </w:tcPr>
          <w:p w14:paraId="76414107" w14:textId="77777777" w:rsidR="00B139D8" w:rsidRPr="00551C17" w:rsidRDefault="00B139D8" w:rsidP="00BF7759">
            <w:pPr>
              <w:pStyle w:val="Tabletext"/>
              <w:keepNext/>
            </w:pPr>
            <w:r w:rsidRPr="00551C17">
              <w:rPr>
                <w:rFonts w:eastAsiaTheme="minorHAnsi"/>
              </w:rPr>
              <w:sym w:font="Wingdings 2" w:char="F050"/>
            </w:r>
          </w:p>
        </w:tc>
        <w:tc>
          <w:tcPr>
            <w:tcW w:w="1617" w:type="pct"/>
          </w:tcPr>
          <w:p w14:paraId="40689404" w14:textId="77777777" w:rsidR="00B139D8" w:rsidRPr="00551C17" w:rsidRDefault="00B139D8" w:rsidP="00BF7759">
            <w:pPr>
              <w:pStyle w:val="Tabletext"/>
              <w:keepNext/>
            </w:pPr>
            <w:r w:rsidRPr="00551C17">
              <w:rPr>
                <w:rFonts w:eastAsiaTheme="minorHAnsi"/>
              </w:rPr>
              <w:sym w:font="Wingdings 2" w:char="F050"/>
            </w:r>
          </w:p>
        </w:tc>
      </w:tr>
      <w:tr w:rsidR="00B139D8" w:rsidRPr="00551C17" w14:paraId="3C846B7B" w14:textId="77777777" w:rsidTr="00B139D8">
        <w:tc>
          <w:tcPr>
            <w:tcW w:w="1844" w:type="pct"/>
          </w:tcPr>
          <w:p w14:paraId="2213C26B" w14:textId="77777777" w:rsidR="00B139D8" w:rsidRPr="00551C17" w:rsidRDefault="00B139D8" w:rsidP="00BF7759">
            <w:pPr>
              <w:pStyle w:val="Tabletext"/>
              <w:keepNext/>
            </w:pPr>
            <w:r w:rsidRPr="00551C17">
              <w:t xml:space="preserve">Mean time since advanced diagnosis </w:t>
            </w:r>
          </w:p>
        </w:tc>
        <w:tc>
          <w:tcPr>
            <w:tcW w:w="1539" w:type="pct"/>
          </w:tcPr>
          <w:p w14:paraId="6B16536B" w14:textId="77777777" w:rsidR="00B139D8" w:rsidRPr="00551C17" w:rsidRDefault="00B139D8" w:rsidP="00BF7759">
            <w:pPr>
              <w:pStyle w:val="Tabletext"/>
              <w:keepNext/>
            </w:pPr>
            <w:r w:rsidRPr="00551C17">
              <w:rPr>
                <w:rFonts w:eastAsiaTheme="minorHAnsi"/>
              </w:rPr>
              <w:sym w:font="Wingdings 2" w:char="F050"/>
            </w:r>
          </w:p>
        </w:tc>
        <w:tc>
          <w:tcPr>
            <w:tcW w:w="1617" w:type="pct"/>
          </w:tcPr>
          <w:p w14:paraId="528B13D3" w14:textId="77777777" w:rsidR="00B139D8" w:rsidRPr="00551C17" w:rsidRDefault="00B139D8" w:rsidP="00BF7759">
            <w:pPr>
              <w:pStyle w:val="Tabletext"/>
              <w:keepNext/>
            </w:pPr>
            <w:r w:rsidRPr="00551C17">
              <w:rPr>
                <w:rFonts w:eastAsiaTheme="minorHAnsi"/>
              </w:rPr>
              <w:sym w:font="Wingdings 2" w:char="F050"/>
            </w:r>
            <w:r w:rsidRPr="00551C17">
              <w:rPr>
                <w:rFonts w:eastAsiaTheme="minorHAnsi"/>
              </w:rPr>
              <w:t xml:space="preserve"> </w:t>
            </w:r>
          </w:p>
        </w:tc>
      </w:tr>
      <w:tr w:rsidR="00B139D8" w:rsidRPr="00551C17" w14:paraId="6E18919A" w14:textId="77777777" w:rsidTr="00B139D8">
        <w:tc>
          <w:tcPr>
            <w:tcW w:w="1844" w:type="pct"/>
          </w:tcPr>
          <w:p w14:paraId="3F1C21C1" w14:textId="77777777" w:rsidR="00B139D8" w:rsidRPr="00551C17" w:rsidRDefault="00B139D8" w:rsidP="00BF7759">
            <w:pPr>
              <w:pStyle w:val="Tabletext"/>
              <w:keepNext/>
            </w:pPr>
            <w:r w:rsidRPr="00551C17">
              <w:t xml:space="preserve">ECOG </w:t>
            </w:r>
            <w:r>
              <w:t>performance status = 1</w:t>
            </w:r>
          </w:p>
        </w:tc>
        <w:tc>
          <w:tcPr>
            <w:tcW w:w="1539" w:type="pct"/>
          </w:tcPr>
          <w:p w14:paraId="3547BB50" w14:textId="77777777" w:rsidR="00B139D8" w:rsidRPr="00551C17" w:rsidRDefault="00B139D8" w:rsidP="00BF7759">
            <w:pPr>
              <w:pStyle w:val="Tabletext"/>
              <w:keepNext/>
            </w:pPr>
            <w:r w:rsidRPr="00551C17">
              <w:rPr>
                <w:rFonts w:eastAsiaTheme="minorHAnsi"/>
              </w:rPr>
              <w:sym w:font="Wingdings 2" w:char="F050"/>
            </w:r>
          </w:p>
        </w:tc>
        <w:tc>
          <w:tcPr>
            <w:tcW w:w="1617" w:type="pct"/>
          </w:tcPr>
          <w:p w14:paraId="1BE9A982" w14:textId="77777777" w:rsidR="00B139D8" w:rsidRPr="00551C17" w:rsidRDefault="00B139D8" w:rsidP="00B139D8">
            <w:pPr>
              <w:pStyle w:val="Tabletext"/>
              <w:keepNext/>
            </w:pPr>
            <w:r w:rsidRPr="00551C17">
              <w:t>X</w:t>
            </w:r>
            <w:r>
              <w:t xml:space="preserve"> </w:t>
            </w:r>
            <w:r w:rsidRPr="00551C17">
              <w:t>(due to missing data)</w:t>
            </w:r>
          </w:p>
        </w:tc>
      </w:tr>
    </w:tbl>
    <w:p w14:paraId="3F96B5AF" w14:textId="77777777" w:rsidR="00B139D8" w:rsidRDefault="00B139D8" w:rsidP="00B139D8">
      <w:pPr>
        <w:pStyle w:val="TableFooter"/>
      </w:pPr>
      <w:r>
        <w:t>Source: Table 2-35, p148 of the submission</w:t>
      </w:r>
    </w:p>
    <w:p w14:paraId="13C4D46B" w14:textId="4CF91110" w:rsidR="00B139D8" w:rsidRDefault="00B139D8" w:rsidP="00B139D8">
      <w:pPr>
        <w:pStyle w:val="TableFooter"/>
      </w:pPr>
      <w:r>
        <w:t>ECOG</w:t>
      </w:r>
      <w:r w:rsidR="00F66348">
        <w:t xml:space="preserve"> </w:t>
      </w:r>
      <w:r>
        <w:t>=</w:t>
      </w:r>
      <w:r w:rsidR="00F66348">
        <w:t xml:space="preserve"> </w:t>
      </w:r>
      <w:r w:rsidRPr="00A928C9">
        <w:t>Eastern Cooperative Oncology Group</w:t>
      </w:r>
      <w:r>
        <w:t>; IPTW</w:t>
      </w:r>
      <w:r w:rsidR="00F66348">
        <w:t xml:space="preserve"> </w:t>
      </w:r>
      <w:r>
        <w:t>=</w:t>
      </w:r>
      <w:r w:rsidR="00F66348">
        <w:t xml:space="preserve"> </w:t>
      </w:r>
      <w:r>
        <w:t>i</w:t>
      </w:r>
      <w:r w:rsidRPr="00A928C9">
        <w:t>nverse probability treatment weighting</w:t>
      </w:r>
      <w:r>
        <w:t>; US</w:t>
      </w:r>
      <w:r w:rsidR="00F66348">
        <w:t xml:space="preserve"> </w:t>
      </w:r>
      <w:r>
        <w:t>=</w:t>
      </w:r>
      <w:r w:rsidR="00F66348">
        <w:t xml:space="preserve"> </w:t>
      </w:r>
      <w:r>
        <w:t>United States.</w:t>
      </w:r>
    </w:p>
    <w:p w14:paraId="0115B82F" w14:textId="77777777" w:rsidR="00B139D8" w:rsidRPr="00B139D8" w:rsidRDefault="00B139D8" w:rsidP="00B139D8">
      <w:pPr>
        <w:pStyle w:val="TableFooter"/>
      </w:pPr>
    </w:p>
    <w:p w14:paraId="3947961A" w14:textId="77777777" w:rsidR="00C90B02" w:rsidRPr="007135FB" w:rsidRDefault="00C90B02" w:rsidP="000711EA">
      <w:pPr>
        <w:pStyle w:val="3-BodyText"/>
        <w:rPr>
          <w:iCs/>
        </w:rPr>
      </w:pPr>
      <w:r w:rsidRPr="007135FB">
        <w:rPr>
          <w:iCs/>
        </w:rPr>
        <w:t xml:space="preserve">There were large differences in patient characteristics between Study 101 and the selected cohorts from Studies 5008 and 5002 </w:t>
      </w:r>
      <w:r w:rsidR="00461A9F" w:rsidRPr="007135FB">
        <w:rPr>
          <w:iCs/>
        </w:rPr>
        <w:t xml:space="preserve">that </w:t>
      </w:r>
      <w:r w:rsidRPr="007135FB">
        <w:rPr>
          <w:iCs/>
        </w:rPr>
        <w:t xml:space="preserve">were not adjusted for in the IPTW analysis. These included (non-exhaustive) </w:t>
      </w:r>
      <w:r w:rsidR="00461A9F" w:rsidRPr="007135FB">
        <w:rPr>
          <w:iCs/>
        </w:rPr>
        <w:t xml:space="preserve">(i) </w:t>
      </w:r>
      <w:r w:rsidRPr="007135FB">
        <w:rPr>
          <w:iCs/>
        </w:rPr>
        <w:t xml:space="preserve">number of prior lines of therapy (approximately half of patients received mobocertinib as a third-line or later-line treatment whereas &gt;90% of patients selected from Study 5008 and Study 5002 were at the second-treatment line setting), and </w:t>
      </w:r>
      <w:r w:rsidR="00461A9F" w:rsidRPr="007135FB">
        <w:rPr>
          <w:iCs/>
        </w:rPr>
        <w:t xml:space="preserve">(ii) </w:t>
      </w:r>
      <w:r w:rsidRPr="007135FB">
        <w:rPr>
          <w:iCs/>
        </w:rPr>
        <w:t>Asian patients (60% of mobocertinib treated patients versus 7-8% in the comparator cohorts).</w:t>
      </w:r>
      <w:r w:rsidR="00461A9F" w:rsidRPr="007135FB">
        <w:rPr>
          <w:iCs/>
        </w:rPr>
        <w:t xml:space="preserve"> </w:t>
      </w:r>
    </w:p>
    <w:p w14:paraId="027FC3DB" w14:textId="42422146" w:rsidR="0018536B" w:rsidRPr="0018536B" w:rsidRDefault="009F652D" w:rsidP="000711EA">
      <w:pPr>
        <w:pStyle w:val="3-BodyText"/>
        <w:rPr>
          <w:iCs/>
        </w:rPr>
      </w:pPr>
      <w:r w:rsidRPr="007135FB">
        <w:rPr>
          <w:iCs/>
        </w:rPr>
        <w:t>Exploratory a</w:t>
      </w:r>
      <w:r w:rsidR="00C90B02" w:rsidRPr="007135FB">
        <w:rPr>
          <w:iCs/>
        </w:rPr>
        <w:t xml:space="preserve">nalyses </w:t>
      </w:r>
      <w:r w:rsidR="00C90B02" w:rsidRPr="007135FB">
        <w:rPr>
          <w:iCs/>
          <w:lang w:val="en-US"/>
        </w:rPr>
        <w:t>conducted on the PPP cohort from Study 101</w:t>
      </w:r>
      <w:r w:rsidRPr="007135FB">
        <w:rPr>
          <w:iCs/>
          <w:lang w:val="en-US"/>
        </w:rPr>
        <w:t>,</w:t>
      </w:r>
      <w:r w:rsidR="00C90B02" w:rsidRPr="007135FB">
        <w:rPr>
          <w:iCs/>
          <w:lang w:val="en-US"/>
        </w:rPr>
        <w:t xml:space="preserve"> to examine the relationship between baseline characteristics and the outcomes of OS, PFS and ORR, indicated </w:t>
      </w:r>
      <w:r w:rsidRPr="007135FB">
        <w:rPr>
          <w:iCs/>
          <w:lang w:val="en-US"/>
        </w:rPr>
        <w:t xml:space="preserve">that </w:t>
      </w:r>
      <w:r w:rsidR="00C90B02" w:rsidRPr="007135FB">
        <w:rPr>
          <w:iCs/>
          <w:lang w:val="en-US"/>
        </w:rPr>
        <w:t>survival benefit with mobocertinib was</w:t>
      </w:r>
      <w:r w:rsidR="0018536B">
        <w:rPr>
          <w:iCs/>
          <w:lang w:val="en-US"/>
        </w:rPr>
        <w:t>:</w:t>
      </w:r>
      <w:r w:rsidR="00C90B02" w:rsidRPr="007135FB">
        <w:rPr>
          <w:iCs/>
          <w:lang w:val="en-US"/>
        </w:rPr>
        <w:t xml:space="preserve"> </w:t>
      </w:r>
    </w:p>
    <w:p w14:paraId="36860DC5" w14:textId="2CCA4625" w:rsidR="0018536B" w:rsidRDefault="0018536B" w:rsidP="008D68A8">
      <w:pPr>
        <w:pStyle w:val="3-BodyText"/>
        <w:numPr>
          <w:ilvl w:val="0"/>
          <w:numId w:val="19"/>
        </w:numPr>
        <w:rPr>
          <w:iCs/>
          <w:lang w:val="en-US"/>
        </w:rPr>
      </w:pPr>
      <w:r>
        <w:rPr>
          <w:iCs/>
          <w:lang w:val="en-US"/>
        </w:rPr>
        <w:t>W</w:t>
      </w:r>
      <w:r w:rsidR="00C90B02" w:rsidRPr="007135FB">
        <w:rPr>
          <w:iCs/>
          <w:lang w:val="en-US"/>
        </w:rPr>
        <w:t xml:space="preserve">orse in </w:t>
      </w:r>
      <w:proofErr w:type="spellStart"/>
      <w:r w:rsidR="00C90B02" w:rsidRPr="007135FB">
        <w:rPr>
          <w:iCs/>
          <w:lang w:val="en-US"/>
        </w:rPr>
        <w:t>non-Asian</w:t>
      </w:r>
      <w:proofErr w:type="spellEnd"/>
      <w:r w:rsidR="00C90B02" w:rsidRPr="007135FB">
        <w:rPr>
          <w:iCs/>
          <w:lang w:val="en-US"/>
        </w:rPr>
        <w:t xml:space="preserve"> patients compared with Asian patients (hazard ratio (</w:t>
      </w:r>
      <w:r w:rsidR="00C90B02" w:rsidRPr="007135FB">
        <w:rPr>
          <w:rFonts w:cstheme="minorHAnsi"/>
          <w:iCs/>
        </w:rPr>
        <w:t>HR)=2.04; p=0.025</w:t>
      </w:r>
      <w:r w:rsidR="00C90B02" w:rsidRPr="007135FB">
        <w:rPr>
          <w:iCs/>
          <w:lang w:val="en-US"/>
        </w:rPr>
        <w:t>)</w:t>
      </w:r>
      <w:r>
        <w:rPr>
          <w:iCs/>
          <w:lang w:val="en-US"/>
        </w:rPr>
        <w:t xml:space="preserve">. </w:t>
      </w:r>
    </w:p>
    <w:p w14:paraId="0A5631AD" w14:textId="5DD0598C" w:rsidR="00C90B02" w:rsidRPr="0018536B" w:rsidRDefault="0018536B" w:rsidP="008D68A8">
      <w:pPr>
        <w:pStyle w:val="3-BodyText"/>
        <w:numPr>
          <w:ilvl w:val="0"/>
          <w:numId w:val="19"/>
        </w:numPr>
        <w:rPr>
          <w:iCs/>
          <w:lang w:val="en-US"/>
        </w:rPr>
      </w:pPr>
      <w:r>
        <w:rPr>
          <w:iCs/>
          <w:lang w:val="en-US"/>
        </w:rPr>
        <w:t>B</w:t>
      </w:r>
      <w:r w:rsidR="00C90B02" w:rsidRPr="007135FB">
        <w:rPr>
          <w:iCs/>
          <w:lang w:val="en-US"/>
        </w:rPr>
        <w:t xml:space="preserve">etter in patients who had received </w:t>
      </w:r>
      <w:r w:rsidR="00C90B02" w:rsidRPr="007135FB">
        <w:rPr>
          <w:iCs/>
          <w:lang w:val="en-GB"/>
        </w:rPr>
        <w:t xml:space="preserve">two prior lines of therapy compared to </w:t>
      </w:r>
      <w:r w:rsidR="00C90B02" w:rsidRPr="007135FB">
        <w:rPr>
          <w:iCs/>
          <w:lang w:val="en-US"/>
        </w:rPr>
        <w:t xml:space="preserve">one prior line of therapy </w:t>
      </w:r>
      <w:r w:rsidR="00C90B02" w:rsidRPr="007135FB">
        <w:rPr>
          <w:iCs/>
          <w:lang w:val="en-GB"/>
        </w:rPr>
        <w:t>(HR=0.46; p=0.036). This was considered probably due to fitter patients being more likely to be offered additional therapy.</w:t>
      </w:r>
    </w:p>
    <w:p w14:paraId="27BC6AB4" w14:textId="4B107BD0" w:rsidR="007D2393" w:rsidRPr="00957154" w:rsidRDefault="00C90B02" w:rsidP="000711EA">
      <w:pPr>
        <w:pStyle w:val="3-BodyText"/>
        <w:rPr>
          <w:rStyle w:val="Strong"/>
          <w:iCs w:val="0"/>
          <w:lang w:val="en-GB"/>
        </w:rPr>
      </w:pPr>
      <w:r w:rsidRPr="007135FB" w:rsidDel="00B33F0D">
        <w:rPr>
          <w:iCs/>
          <w:lang w:val="en-GB"/>
        </w:rPr>
        <w:t xml:space="preserve">There is a high risk of residual confounding due to other unobserved/unmeasured patient/disease characteristics across the mobocertinib and comparator data sets. </w:t>
      </w:r>
      <w:r w:rsidRPr="007135FB" w:rsidDel="00B33F0D">
        <w:rPr>
          <w:iCs/>
        </w:rPr>
        <w:t xml:space="preserve">There was no information from Studies 5008 and 5002 on </w:t>
      </w:r>
      <w:proofErr w:type="spellStart"/>
      <w:r w:rsidRPr="007135FB" w:rsidDel="00B33F0D">
        <w:rPr>
          <w:iCs/>
        </w:rPr>
        <w:t>pri</w:t>
      </w:r>
      <w:proofErr w:type="spellEnd"/>
      <w:r w:rsidR="001D14B2" w:rsidRPr="007135FB">
        <w:rPr>
          <w:iCs/>
          <w:lang w:val="en-GB"/>
        </w:rPr>
        <w:t xml:space="preserve">or use of </w:t>
      </w:r>
      <w:r w:rsidRPr="007135FB" w:rsidDel="00B33F0D">
        <w:rPr>
          <w:iCs/>
          <w:lang w:val="en-GB"/>
        </w:rPr>
        <w:t xml:space="preserve">chemoradiotherapy and surgery (± adjuvant chemotherapy) in early-stage disease, which was considered to be an important prognostic factor. </w:t>
      </w:r>
      <w:r w:rsidR="006D2225" w:rsidRPr="00957154">
        <w:rPr>
          <w:iCs/>
          <w:lang w:val="en-GB"/>
        </w:rPr>
        <w:t>As stated</w:t>
      </w:r>
      <w:r w:rsidR="006D2225">
        <w:rPr>
          <w:iCs/>
          <w:lang w:val="en-GB"/>
        </w:rPr>
        <w:t>, d</w:t>
      </w:r>
      <w:r w:rsidRPr="007135FB">
        <w:rPr>
          <w:iCs/>
          <w:lang w:val="en-GB"/>
        </w:rPr>
        <w:t>ata on ECOG performance status were missing in</w:t>
      </w:r>
      <w:r w:rsidRPr="007135FB" w:rsidDel="00B33F0D">
        <w:rPr>
          <w:iCs/>
          <w:lang w:val="en-GB"/>
        </w:rPr>
        <w:t xml:space="preserve"> 42% of patients in Study 5002. </w:t>
      </w:r>
      <w:r w:rsidRPr="007135FB" w:rsidDel="00B33F0D">
        <w:rPr>
          <w:iCs/>
        </w:rPr>
        <w:t>The residual bias due to covariates</w:t>
      </w:r>
      <w:r w:rsidRPr="007135FB">
        <w:rPr>
          <w:iCs/>
        </w:rPr>
        <w:t xml:space="preserve"> which were not accounted for</w:t>
      </w:r>
      <w:r w:rsidRPr="007135FB" w:rsidDel="00B33F0D">
        <w:rPr>
          <w:iCs/>
        </w:rPr>
        <w:t>, and the extent of this bias, remains unknown.</w:t>
      </w:r>
      <w:r w:rsidR="006D2225">
        <w:rPr>
          <w:iCs/>
        </w:rPr>
        <w:t xml:space="preserve"> </w:t>
      </w:r>
      <w:r w:rsidR="006D2225" w:rsidRPr="00957154">
        <w:rPr>
          <w:iCs/>
        </w:rPr>
        <w:t xml:space="preserve">However, the PSCR </w:t>
      </w:r>
      <w:r w:rsidR="00531F1A" w:rsidRPr="00957154">
        <w:rPr>
          <w:iCs/>
        </w:rPr>
        <w:t>stated</w:t>
      </w:r>
      <w:r w:rsidR="006D2225" w:rsidRPr="00957154">
        <w:rPr>
          <w:iCs/>
        </w:rPr>
        <w:t xml:space="preserve"> that </w:t>
      </w:r>
      <w:r w:rsidR="006D2225" w:rsidRPr="00957154">
        <w:rPr>
          <w:rStyle w:val="Strong"/>
          <w:iCs w:val="0"/>
        </w:rPr>
        <w:t>adjustments for the known confounders had only a small impact on the comparative survival benefits and it is reasonable to expect that the unknown confounders would likely have a smaller impact.</w:t>
      </w:r>
    </w:p>
    <w:p w14:paraId="3AEF3830" w14:textId="06486DB9" w:rsidR="00B745E3" w:rsidRDefault="00775DB2" w:rsidP="00760000">
      <w:pPr>
        <w:pStyle w:val="3-BodyText"/>
        <w:rPr>
          <w:iCs/>
        </w:rPr>
      </w:pPr>
      <w:r w:rsidRPr="00A465C9">
        <w:t xml:space="preserve">The </w:t>
      </w:r>
      <w:r w:rsidRPr="00957154">
        <w:rPr>
          <w:iCs/>
        </w:rPr>
        <w:t>evaluation considered that the</w:t>
      </w:r>
      <w:r w:rsidRPr="00A465C9">
        <w:t xml:space="preserve"> arguments presented in the submission for the choice of Study 5008 over Study 5002 were not reasonable. Overall, </w:t>
      </w:r>
      <w:r w:rsidRPr="00A465C9">
        <w:rPr>
          <w:i/>
        </w:rPr>
        <w:t>EGFR</w:t>
      </w:r>
      <w:r w:rsidRPr="00A465C9">
        <w:t xml:space="preserve"> TKIs and ICI</w:t>
      </w:r>
      <w:r w:rsidR="00047BFA">
        <w:t xml:space="preserve"> monotherapy</w:t>
      </w:r>
      <w:r w:rsidRPr="00A465C9">
        <w:t xml:space="preserve"> made up</w:t>
      </w:r>
      <w:r w:rsidR="00047BFA">
        <w:t xml:space="preserve"> approximately</w:t>
      </w:r>
      <w:r w:rsidRPr="00A465C9">
        <w:t xml:space="preserve"> 50%-60% of the treatments received in Studies 5008 and 5002</w:t>
      </w:r>
      <w:r w:rsidR="00047BFA">
        <w:t xml:space="preserve"> (</w:t>
      </w:r>
      <w:r w:rsidR="00047BFA" w:rsidRPr="00047BFA">
        <w:rPr>
          <w:rFonts w:cstheme="minorHAnsi"/>
        </w:rPr>
        <w:fldChar w:fldCharType="begin"/>
      </w:r>
      <w:r w:rsidR="00047BFA" w:rsidRPr="00047BFA">
        <w:rPr>
          <w:rFonts w:cstheme="minorHAnsi"/>
        </w:rPr>
        <w:instrText xml:space="preserve"> REF _Ref116654723 \h  \* MERGEFORMAT </w:instrText>
      </w:r>
      <w:r w:rsidR="00047BFA" w:rsidRPr="00047BFA">
        <w:rPr>
          <w:rFonts w:cstheme="minorHAnsi"/>
        </w:rPr>
      </w:r>
      <w:r w:rsidR="00047BFA" w:rsidRPr="00047BFA">
        <w:rPr>
          <w:rFonts w:cstheme="minorHAnsi"/>
        </w:rPr>
        <w:fldChar w:fldCharType="separate"/>
      </w:r>
      <w:r w:rsidR="001635D4" w:rsidRPr="001635D4">
        <w:rPr>
          <w:rFonts w:cstheme="minorHAnsi"/>
        </w:rPr>
        <w:t xml:space="preserve">Table </w:t>
      </w:r>
      <w:r w:rsidR="001635D4" w:rsidRPr="001635D4">
        <w:rPr>
          <w:rFonts w:cstheme="minorHAnsi"/>
          <w:noProof/>
        </w:rPr>
        <w:t>4</w:t>
      </w:r>
      <w:r w:rsidR="00047BFA" w:rsidRPr="00047BFA">
        <w:rPr>
          <w:rFonts w:cstheme="minorHAnsi"/>
        </w:rPr>
        <w:fldChar w:fldCharType="end"/>
      </w:r>
      <w:r w:rsidR="00047BFA">
        <w:t>)</w:t>
      </w:r>
      <w:r w:rsidRPr="00A465C9">
        <w:t xml:space="preserve">; the extent of use of these agents in the refractory setting in </w:t>
      </w:r>
      <w:r w:rsidRPr="00A465C9">
        <w:lastRenderedPageBreak/>
        <w:t xml:space="preserve">Australian clinical practice is expected to be quite </w:t>
      </w:r>
      <w:r w:rsidRPr="00F62E82">
        <w:t>limited</w:t>
      </w:r>
      <w:r w:rsidR="00047BFA" w:rsidRPr="00F62E82">
        <w:t xml:space="preserve"> (paragraph </w:t>
      </w:r>
      <w:r w:rsidR="00047BFA" w:rsidRPr="00F62E82">
        <w:fldChar w:fldCharType="begin"/>
      </w:r>
      <w:r w:rsidR="00047BFA" w:rsidRPr="00F62E82">
        <w:instrText xml:space="preserve"> REF _Ref120390431 \r \h  \* MERGEFORMAT </w:instrText>
      </w:r>
      <w:r w:rsidR="00047BFA" w:rsidRPr="00F62E82">
        <w:fldChar w:fldCharType="separate"/>
      </w:r>
      <w:r w:rsidR="001635D4">
        <w:t>5.2</w:t>
      </w:r>
      <w:r w:rsidR="00047BFA" w:rsidRPr="00F62E82">
        <w:fldChar w:fldCharType="end"/>
      </w:r>
      <w:r w:rsidR="00047BFA" w:rsidRPr="00F62E82">
        <w:t>)</w:t>
      </w:r>
      <w:r w:rsidRPr="00F62E82">
        <w:t xml:space="preserve">. </w:t>
      </w:r>
      <w:r w:rsidR="00C9341A" w:rsidRPr="00F62E82">
        <w:t>Therefore</w:t>
      </w:r>
      <w:r w:rsidR="00C9341A">
        <w:t>, b</w:t>
      </w:r>
      <w:r w:rsidRPr="00A465C9">
        <w:t xml:space="preserve">oth studies have limited applicability in terms of SOC treatments to current Australian clinical practice. </w:t>
      </w:r>
      <w:r w:rsidRPr="00957154">
        <w:rPr>
          <w:iCs/>
        </w:rPr>
        <w:t>While the ESC had substantial reservations about the applicability of both the comparator studies, given that neither study</w:t>
      </w:r>
      <w:r w:rsidR="005159E6" w:rsidRPr="00957154">
        <w:rPr>
          <w:iCs/>
        </w:rPr>
        <w:t xml:space="preserve"> provided</w:t>
      </w:r>
      <w:r w:rsidRPr="00957154">
        <w:rPr>
          <w:iCs/>
        </w:rPr>
        <w:t xml:space="preserve"> a pure effect of chemotherapy-based treatments for a group of patients with a similar treatment history to Study 101, it considered that a comparison of mobocertinib with pooled results from </w:t>
      </w:r>
      <w:r w:rsidR="005159E6" w:rsidRPr="00957154">
        <w:rPr>
          <w:iCs/>
        </w:rPr>
        <w:t>S</w:t>
      </w:r>
      <w:r w:rsidRPr="00957154">
        <w:rPr>
          <w:iCs/>
        </w:rPr>
        <w:t>tudies 5008 and 5002 may be more reasonable than a comparison with either study alone.</w:t>
      </w:r>
      <w:r w:rsidR="005F665F">
        <w:rPr>
          <w:iCs/>
        </w:rPr>
        <w:t xml:space="preserve"> The Pre-PBAC response acknowledged the ESC’s view and provided an IPTW analysis using pooled efficacy data from Studies 5008 and </w:t>
      </w:r>
      <w:r w:rsidR="005F665F" w:rsidRPr="00F62E82">
        <w:rPr>
          <w:iCs/>
        </w:rPr>
        <w:t>5002</w:t>
      </w:r>
      <w:r w:rsidR="0058032C" w:rsidRPr="00F62E82">
        <w:rPr>
          <w:iCs/>
        </w:rPr>
        <w:t xml:space="preserve"> (paragraph </w:t>
      </w:r>
      <w:r w:rsidR="00216516" w:rsidRPr="00F62E82">
        <w:rPr>
          <w:iCs/>
        </w:rPr>
        <w:fldChar w:fldCharType="begin"/>
      </w:r>
      <w:r w:rsidR="00216516" w:rsidRPr="00F62E82">
        <w:rPr>
          <w:iCs/>
        </w:rPr>
        <w:instrText xml:space="preserve"> REF _Ref120391544 \r \h </w:instrText>
      </w:r>
      <w:r w:rsidR="00F62E82">
        <w:rPr>
          <w:iCs/>
        </w:rPr>
        <w:instrText xml:space="preserve"> \* MERGEFORMAT </w:instrText>
      </w:r>
      <w:r w:rsidR="00216516" w:rsidRPr="00F62E82">
        <w:rPr>
          <w:iCs/>
        </w:rPr>
      </w:r>
      <w:r w:rsidR="00216516" w:rsidRPr="00F62E82">
        <w:rPr>
          <w:iCs/>
        </w:rPr>
        <w:fldChar w:fldCharType="separate"/>
      </w:r>
      <w:r w:rsidR="001635D4">
        <w:rPr>
          <w:iCs/>
        </w:rPr>
        <w:t>6.33</w:t>
      </w:r>
      <w:r w:rsidR="00216516" w:rsidRPr="00F62E82">
        <w:rPr>
          <w:iCs/>
        </w:rPr>
        <w:fldChar w:fldCharType="end"/>
      </w:r>
      <w:r w:rsidR="0058032C" w:rsidRPr="00F62E82">
        <w:rPr>
          <w:iCs/>
        </w:rPr>
        <w:t>)</w:t>
      </w:r>
      <w:r w:rsidR="005F665F" w:rsidRPr="00F62E82">
        <w:rPr>
          <w:iCs/>
        </w:rPr>
        <w:t>.</w:t>
      </w:r>
    </w:p>
    <w:p w14:paraId="41C92FDE" w14:textId="77777777" w:rsidR="00B60939" w:rsidRPr="00B16E09" w:rsidRDefault="00B60939" w:rsidP="00AE61B0">
      <w:pPr>
        <w:pStyle w:val="4-SubsectionHeading"/>
        <w:keepLines/>
      </w:pPr>
      <w:bookmarkStart w:id="30" w:name="_Toc22897641"/>
      <w:bookmarkStart w:id="31" w:name="_Toc113895842"/>
      <w:r w:rsidRPr="00B16E09">
        <w:t>Comparative effectiveness</w:t>
      </w:r>
      <w:bookmarkEnd w:id="30"/>
      <w:bookmarkEnd w:id="31"/>
    </w:p>
    <w:p w14:paraId="386D9C57" w14:textId="2C8A2AF4" w:rsidR="001C7C2E" w:rsidRPr="001C7C2E" w:rsidRDefault="001C7C2E" w:rsidP="00AE61B0">
      <w:pPr>
        <w:pStyle w:val="3-BodyText"/>
        <w:keepNext/>
        <w:keepLines/>
        <w:numPr>
          <w:ilvl w:val="0"/>
          <w:numId w:val="0"/>
        </w:numPr>
        <w:ind w:left="720" w:hanging="720"/>
        <w:rPr>
          <w:b/>
          <w:bCs/>
          <w:i/>
          <w:iCs/>
        </w:rPr>
      </w:pPr>
      <w:r w:rsidRPr="001C7C2E">
        <w:rPr>
          <w:b/>
          <w:bCs/>
          <w:i/>
          <w:iCs/>
        </w:rPr>
        <w:t>Response rates in Studies 101, 5008 and 5002</w:t>
      </w:r>
    </w:p>
    <w:p w14:paraId="5E3E3F20" w14:textId="6DE18EE7" w:rsidR="00E5251D" w:rsidRDefault="00E5251D" w:rsidP="00AE61B0">
      <w:pPr>
        <w:pStyle w:val="3-BodyText"/>
        <w:keepNext/>
        <w:keepLines/>
      </w:pPr>
      <w:r>
        <w:t>Results for response</w:t>
      </w:r>
      <w:r w:rsidR="00F21466">
        <w:t xml:space="preserve"> rates</w:t>
      </w:r>
      <w:r>
        <w:t xml:space="preserve"> in Study 101 are summarised in </w:t>
      </w:r>
      <w:r>
        <w:fldChar w:fldCharType="begin"/>
      </w:r>
      <w:r>
        <w:instrText xml:space="preserve"> REF _Ref113797231 \h </w:instrText>
      </w:r>
      <w:r>
        <w:fldChar w:fldCharType="separate"/>
      </w:r>
      <w:r w:rsidR="001635D4">
        <w:t xml:space="preserve">Table </w:t>
      </w:r>
      <w:r w:rsidR="001635D4">
        <w:rPr>
          <w:noProof/>
        </w:rPr>
        <w:t>6</w:t>
      </w:r>
      <w:r>
        <w:fldChar w:fldCharType="end"/>
      </w:r>
      <w:r>
        <w:t>.</w:t>
      </w:r>
    </w:p>
    <w:p w14:paraId="1508998D" w14:textId="3F338A53" w:rsidR="00E5251D" w:rsidRDefault="00E5251D" w:rsidP="00AE61B0">
      <w:pPr>
        <w:pStyle w:val="Caption"/>
      </w:pPr>
      <w:bookmarkStart w:id="32" w:name="_Ref113797231"/>
      <w:r>
        <w:t xml:space="preserve">Table </w:t>
      </w:r>
      <w:r w:rsidR="001635D4">
        <w:fldChar w:fldCharType="begin"/>
      </w:r>
      <w:r w:rsidR="001635D4">
        <w:instrText xml:space="preserve"> SEQ Table \* ARABIC </w:instrText>
      </w:r>
      <w:r w:rsidR="001635D4">
        <w:fldChar w:fldCharType="separate"/>
      </w:r>
      <w:r w:rsidR="001635D4">
        <w:rPr>
          <w:noProof/>
        </w:rPr>
        <w:t>6</w:t>
      </w:r>
      <w:r w:rsidR="001635D4">
        <w:rPr>
          <w:noProof/>
        </w:rPr>
        <w:fldChar w:fldCharType="end"/>
      </w:r>
      <w:bookmarkEnd w:id="32"/>
      <w:r>
        <w:t xml:space="preserve">: Summary of cORR and best overall confirmed response by IRC and </w:t>
      </w:r>
      <w:r w:rsidR="00DB0CCF">
        <w:t>investigator</w:t>
      </w:r>
      <w:r>
        <w:t xml:space="preserve"> assessment</w:t>
      </w:r>
      <w:r w:rsidR="00DB0CCF">
        <w:t>s</w:t>
      </w:r>
      <w:r>
        <w:t xml:space="preserve"> – Study 101 PPP cohort</w:t>
      </w:r>
    </w:p>
    <w:tbl>
      <w:tblPr>
        <w:tblStyle w:val="HTATableshaded"/>
        <w:tblW w:w="0" w:type="auto"/>
        <w:tblLook w:val="04A0" w:firstRow="1" w:lastRow="0" w:firstColumn="1" w:lastColumn="0" w:noHBand="0" w:noVBand="1"/>
      </w:tblPr>
      <w:tblGrid>
        <w:gridCol w:w="4390"/>
        <w:gridCol w:w="2551"/>
        <w:gridCol w:w="2075"/>
      </w:tblGrid>
      <w:tr w:rsidR="00E5251D" w:rsidRPr="0007244C" w14:paraId="14D368FC" w14:textId="77777777" w:rsidTr="009A29DE">
        <w:trPr>
          <w:cnfStyle w:val="100000000000" w:firstRow="1" w:lastRow="0" w:firstColumn="0" w:lastColumn="0" w:oddVBand="0" w:evenVBand="0" w:oddHBand="0" w:evenHBand="0" w:firstRowFirstColumn="0" w:firstRowLastColumn="0" w:lastRowFirstColumn="0" w:lastRowLastColumn="0"/>
        </w:trPr>
        <w:tc>
          <w:tcPr>
            <w:tcW w:w="4390" w:type="dxa"/>
            <w:shd w:val="clear" w:color="auto" w:fill="auto"/>
          </w:tcPr>
          <w:p w14:paraId="05F7716B" w14:textId="77777777" w:rsidR="00E5251D" w:rsidRPr="0007244C" w:rsidRDefault="00E5251D" w:rsidP="00AE61B0">
            <w:pPr>
              <w:pStyle w:val="Tabletext"/>
              <w:keepNext/>
              <w:keepLines/>
              <w:rPr>
                <w:b/>
              </w:rPr>
            </w:pPr>
            <w:r w:rsidRPr="0007244C">
              <w:rPr>
                <w:b/>
              </w:rPr>
              <w:t xml:space="preserve">Endpoint </w:t>
            </w:r>
          </w:p>
        </w:tc>
        <w:tc>
          <w:tcPr>
            <w:tcW w:w="2551" w:type="dxa"/>
            <w:shd w:val="clear" w:color="auto" w:fill="auto"/>
          </w:tcPr>
          <w:p w14:paraId="00C6DC62" w14:textId="77777777" w:rsidR="00E5251D" w:rsidRPr="0007244C" w:rsidRDefault="00E5251D" w:rsidP="00AE61B0">
            <w:pPr>
              <w:pStyle w:val="Tabletext"/>
              <w:keepNext/>
              <w:keepLines/>
              <w:rPr>
                <w:b/>
              </w:rPr>
            </w:pPr>
            <w:r w:rsidRPr="0007244C">
              <w:rPr>
                <w:b/>
              </w:rPr>
              <w:t>IRC (N = 114)</w:t>
            </w:r>
          </w:p>
        </w:tc>
        <w:tc>
          <w:tcPr>
            <w:tcW w:w="2075" w:type="dxa"/>
            <w:shd w:val="clear" w:color="auto" w:fill="auto"/>
          </w:tcPr>
          <w:p w14:paraId="68014C27" w14:textId="77777777" w:rsidR="00E5251D" w:rsidRPr="0007244C" w:rsidRDefault="00E5251D" w:rsidP="00AE61B0">
            <w:pPr>
              <w:pStyle w:val="Tabletext"/>
              <w:keepNext/>
              <w:keepLines/>
              <w:rPr>
                <w:b/>
              </w:rPr>
            </w:pPr>
            <w:r w:rsidRPr="0007244C">
              <w:rPr>
                <w:b/>
              </w:rPr>
              <w:t>Investigator (N=114)</w:t>
            </w:r>
          </w:p>
        </w:tc>
      </w:tr>
      <w:tr w:rsidR="00E5251D" w:rsidRPr="0007244C" w14:paraId="61449831" w14:textId="77777777" w:rsidTr="009A29DE">
        <w:tc>
          <w:tcPr>
            <w:tcW w:w="4390" w:type="dxa"/>
          </w:tcPr>
          <w:p w14:paraId="0D6F514F" w14:textId="77777777" w:rsidR="00E5251D" w:rsidRPr="0007244C" w:rsidRDefault="00E5251D" w:rsidP="00AE61B0">
            <w:pPr>
              <w:pStyle w:val="Tabletext"/>
              <w:keepNext/>
              <w:keepLines/>
            </w:pPr>
            <w:r w:rsidRPr="0007244C">
              <w:t>Best overall confirmed response, n (%)</w:t>
            </w:r>
            <w:r w:rsidRPr="0007244C">
              <w:rPr>
                <w:vertAlign w:val="superscript"/>
              </w:rPr>
              <w:t>a</w:t>
            </w:r>
          </w:p>
        </w:tc>
        <w:tc>
          <w:tcPr>
            <w:tcW w:w="2551" w:type="dxa"/>
          </w:tcPr>
          <w:p w14:paraId="028EFB4D" w14:textId="77777777" w:rsidR="00E5251D" w:rsidRPr="0007244C" w:rsidRDefault="00E5251D" w:rsidP="00AE61B0">
            <w:pPr>
              <w:pStyle w:val="Tabletext"/>
              <w:keepNext/>
              <w:keepLines/>
            </w:pPr>
          </w:p>
        </w:tc>
        <w:tc>
          <w:tcPr>
            <w:tcW w:w="2075" w:type="dxa"/>
          </w:tcPr>
          <w:p w14:paraId="424B63E8" w14:textId="77777777" w:rsidR="00E5251D" w:rsidRPr="0007244C" w:rsidRDefault="00E5251D" w:rsidP="00AE61B0">
            <w:pPr>
              <w:pStyle w:val="Tabletext"/>
              <w:keepNext/>
              <w:keepLines/>
            </w:pPr>
          </w:p>
        </w:tc>
      </w:tr>
      <w:tr w:rsidR="00E5251D" w:rsidRPr="0007244C" w14:paraId="40F83263" w14:textId="77777777" w:rsidTr="009A29DE">
        <w:tc>
          <w:tcPr>
            <w:tcW w:w="4390" w:type="dxa"/>
          </w:tcPr>
          <w:p w14:paraId="1F8F89A3" w14:textId="77777777" w:rsidR="00E5251D" w:rsidRPr="0007244C" w:rsidRDefault="00E5251D" w:rsidP="00AE61B0">
            <w:pPr>
              <w:pStyle w:val="Tabletext"/>
              <w:keepNext/>
              <w:keepLines/>
            </w:pPr>
            <w:r w:rsidRPr="0007244C">
              <w:t xml:space="preserve">    CR</w:t>
            </w:r>
          </w:p>
        </w:tc>
        <w:tc>
          <w:tcPr>
            <w:tcW w:w="2551" w:type="dxa"/>
          </w:tcPr>
          <w:p w14:paraId="609FF307" w14:textId="77777777" w:rsidR="00E5251D" w:rsidRPr="0007244C" w:rsidRDefault="00E5251D" w:rsidP="00AE61B0">
            <w:pPr>
              <w:pStyle w:val="Tabletext"/>
              <w:keepNext/>
              <w:keepLines/>
            </w:pPr>
            <w:r w:rsidRPr="0007244C">
              <w:t>1 (0.87)</w:t>
            </w:r>
          </w:p>
        </w:tc>
        <w:tc>
          <w:tcPr>
            <w:tcW w:w="2075" w:type="dxa"/>
          </w:tcPr>
          <w:p w14:paraId="733B31F3" w14:textId="77777777" w:rsidR="00E5251D" w:rsidRPr="0007244C" w:rsidRDefault="00E5251D" w:rsidP="00AE61B0">
            <w:pPr>
              <w:pStyle w:val="Tabletext"/>
              <w:keepNext/>
              <w:keepLines/>
            </w:pPr>
            <w:r w:rsidRPr="0007244C">
              <w:t>1 (0.87)</w:t>
            </w:r>
          </w:p>
        </w:tc>
      </w:tr>
      <w:tr w:rsidR="00E5251D" w:rsidRPr="0007244C" w14:paraId="7EBF3239" w14:textId="77777777" w:rsidTr="009A29DE">
        <w:tc>
          <w:tcPr>
            <w:tcW w:w="4390" w:type="dxa"/>
          </w:tcPr>
          <w:p w14:paraId="0CB1C43A" w14:textId="77777777" w:rsidR="00E5251D" w:rsidRPr="0007244C" w:rsidRDefault="00E5251D" w:rsidP="00AE61B0">
            <w:pPr>
              <w:pStyle w:val="Tabletext"/>
              <w:keepNext/>
              <w:keepLines/>
            </w:pPr>
            <w:r w:rsidRPr="0007244C">
              <w:t xml:space="preserve">    PR</w:t>
            </w:r>
          </w:p>
        </w:tc>
        <w:tc>
          <w:tcPr>
            <w:tcW w:w="2551" w:type="dxa"/>
          </w:tcPr>
          <w:p w14:paraId="1AC1AAC2" w14:textId="77777777" w:rsidR="00E5251D" w:rsidRPr="0007244C" w:rsidRDefault="00E5251D" w:rsidP="00AE61B0">
            <w:pPr>
              <w:pStyle w:val="Tabletext"/>
              <w:keepNext/>
              <w:keepLines/>
            </w:pPr>
            <w:r w:rsidRPr="0007244C">
              <w:t>31 (27.2)</w:t>
            </w:r>
          </w:p>
        </w:tc>
        <w:tc>
          <w:tcPr>
            <w:tcW w:w="2075" w:type="dxa"/>
          </w:tcPr>
          <w:p w14:paraId="12C0851C" w14:textId="51E55E92" w:rsidR="00E5251D" w:rsidRPr="0007244C" w:rsidRDefault="00E5251D" w:rsidP="00AE61B0">
            <w:pPr>
              <w:pStyle w:val="Tabletext"/>
              <w:keepNext/>
              <w:keepLines/>
            </w:pPr>
            <w:r w:rsidRPr="0007244C">
              <w:t>39 (</w:t>
            </w:r>
            <w:r w:rsidR="003E49F7">
              <w:t>3</w:t>
            </w:r>
            <w:r w:rsidRPr="0007244C">
              <w:t>4.2)</w:t>
            </w:r>
          </w:p>
        </w:tc>
      </w:tr>
      <w:tr w:rsidR="00E5251D" w:rsidRPr="0007244C" w14:paraId="28617D58" w14:textId="77777777" w:rsidTr="009A29DE">
        <w:tc>
          <w:tcPr>
            <w:tcW w:w="4390" w:type="dxa"/>
          </w:tcPr>
          <w:p w14:paraId="07F6B79C" w14:textId="77777777" w:rsidR="00E5251D" w:rsidRPr="0007244C" w:rsidRDefault="00E5251D" w:rsidP="00AE61B0">
            <w:pPr>
              <w:pStyle w:val="Tabletext"/>
              <w:keepNext/>
              <w:keepLines/>
            </w:pPr>
            <w:r>
              <w:t xml:space="preserve">    </w:t>
            </w:r>
            <w:r w:rsidRPr="0007244C">
              <w:t>SD</w:t>
            </w:r>
          </w:p>
        </w:tc>
        <w:tc>
          <w:tcPr>
            <w:tcW w:w="2551" w:type="dxa"/>
          </w:tcPr>
          <w:p w14:paraId="1EEE9BBD" w14:textId="77777777" w:rsidR="00E5251D" w:rsidRPr="0007244C" w:rsidRDefault="00E5251D" w:rsidP="00AE61B0">
            <w:pPr>
              <w:pStyle w:val="Tabletext"/>
              <w:keepNext/>
              <w:keepLines/>
            </w:pPr>
            <w:r w:rsidRPr="0007244C">
              <w:t>57 (50.0)</w:t>
            </w:r>
          </w:p>
        </w:tc>
        <w:tc>
          <w:tcPr>
            <w:tcW w:w="2075" w:type="dxa"/>
          </w:tcPr>
          <w:p w14:paraId="42D960C0" w14:textId="77777777" w:rsidR="00E5251D" w:rsidRPr="0007244C" w:rsidRDefault="00E5251D" w:rsidP="00AE61B0">
            <w:pPr>
              <w:pStyle w:val="Tabletext"/>
              <w:keepNext/>
              <w:keepLines/>
            </w:pPr>
            <w:r w:rsidRPr="0007244C">
              <w:t>49 (43.0)</w:t>
            </w:r>
          </w:p>
        </w:tc>
      </w:tr>
      <w:tr w:rsidR="00E5251D" w:rsidRPr="0007244C" w14:paraId="71C9FCE7" w14:textId="77777777" w:rsidTr="009A29DE">
        <w:tc>
          <w:tcPr>
            <w:tcW w:w="4390" w:type="dxa"/>
          </w:tcPr>
          <w:p w14:paraId="3F125968" w14:textId="77777777" w:rsidR="00E5251D" w:rsidRPr="0007244C" w:rsidRDefault="00E5251D" w:rsidP="00AE61B0">
            <w:pPr>
              <w:pStyle w:val="Tabletext"/>
              <w:keepNext/>
              <w:keepLines/>
            </w:pPr>
            <w:r w:rsidRPr="0007244C">
              <w:t xml:space="preserve">    PD</w:t>
            </w:r>
          </w:p>
        </w:tc>
        <w:tc>
          <w:tcPr>
            <w:tcW w:w="2551" w:type="dxa"/>
          </w:tcPr>
          <w:p w14:paraId="3DFCCCB7" w14:textId="77777777" w:rsidR="00E5251D" w:rsidRPr="0007244C" w:rsidRDefault="00E5251D" w:rsidP="00AE61B0">
            <w:pPr>
              <w:pStyle w:val="Tabletext"/>
              <w:keepNext/>
              <w:keepLines/>
            </w:pPr>
            <w:r w:rsidRPr="0007244C">
              <w:t>14 (12.3)</w:t>
            </w:r>
          </w:p>
        </w:tc>
        <w:tc>
          <w:tcPr>
            <w:tcW w:w="2075" w:type="dxa"/>
          </w:tcPr>
          <w:p w14:paraId="26464B78" w14:textId="77777777" w:rsidR="00E5251D" w:rsidRPr="0007244C" w:rsidRDefault="00E5251D" w:rsidP="00AE61B0">
            <w:pPr>
              <w:pStyle w:val="Tabletext"/>
              <w:keepNext/>
              <w:keepLines/>
            </w:pPr>
            <w:r w:rsidRPr="0007244C">
              <w:t>14 (12.3)</w:t>
            </w:r>
          </w:p>
        </w:tc>
      </w:tr>
      <w:tr w:rsidR="00E5251D" w:rsidRPr="0007244C" w14:paraId="60A25C53" w14:textId="77777777" w:rsidTr="009A29DE">
        <w:tc>
          <w:tcPr>
            <w:tcW w:w="4390" w:type="dxa"/>
          </w:tcPr>
          <w:p w14:paraId="6CF8209A" w14:textId="77777777" w:rsidR="00E5251D" w:rsidRPr="0007244C" w:rsidRDefault="00E5251D" w:rsidP="00AE61B0">
            <w:pPr>
              <w:pStyle w:val="Tabletext"/>
              <w:keepNext/>
              <w:keepLines/>
            </w:pPr>
            <w:r w:rsidRPr="0007244C">
              <w:t xml:space="preserve">    NE</w:t>
            </w:r>
          </w:p>
        </w:tc>
        <w:tc>
          <w:tcPr>
            <w:tcW w:w="2551" w:type="dxa"/>
          </w:tcPr>
          <w:p w14:paraId="0607A95D" w14:textId="77777777" w:rsidR="00E5251D" w:rsidRPr="0007244C" w:rsidRDefault="00E5251D" w:rsidP="00AE61B0">
            <w:pPr>
              <w:pStyle w:val="Tabletext"/>
              <w:keepNext/>
              <w:keepLines/>
            </w:pPr>
            <w:r w:rsidRPr="0007244C">
              <w:t>11 (9.6)</w:t>
            </w:r>
          </w:p>
        </w:tc>
        <w:tc>
          <w:tcPr>
            <w:tcW w:w="2075" w:type="dxa"/>
          </w:tcPr>
          <w:p w14:paraId="6EF8FA2C" w14:textId="77777777" w:rsidR="00E5251D" w:rsidRPr="0007244C" w:rsidRDefault="00E5251D" w:rsidP="00AE61B0">
            <w:pPr>
              <w:pStyle w:val="Tabletext"/>
              <w:keepNext/>
              <w:keepLines/>
            </w:pPr>
            <w:r w:rsidRPr="0007244C">
              <w:t>11 (9.6)</w:t>
            </w:r>
          </w:p>
        </w:tc>
      </w:tr>
      <w:tr w:rsidR="00E5251D" w:rsidRPr="0007244C" w14:paraId="78034D06" w14:textId="77777777" w:rsidTr="009A29DE">
        <w:tc>
          <w:tcPr>
            <w:tcW w:w="4390" w:type="dxa"/>
          </w:tcPr>
          <w:p w14:paraId="4FBCBD2F" w14:textId="77777777" w:rsidR="00E5251D" w:rsidRPr="0007244C" w:rsidRDefault="00E5251D" w:rsidP="00AE61B0">
            <w:pPr>
              <w:pStyle w:val="Tabletext"/>
              <w:keepNext/>
              <w:keepLines/>
            </w:pPr>
            <w:r w:rsidRPr="0007244C">
              <w:t>cORR</w:t>
            </w:r>
            <w:r w:rsidRPr="0007244C">
              <w:rPr>
                <w:vertAlign w:val="superscript"/>
              </w:rPr>
              <w:t>b</w:t>
            </w:r>
            <w:r w:rsidRPr="0007244C">
              <w:t>, n (%) [95% CI]</w:t>
            </w:r>
            <w:r w:rsidRPr="0007244C">
              <w:rPr>
                <w:vertAlign w:val="superscript"/>
              </w:rPr>
              <w:t>d</w:t>
            </w:r>
          </w:p>
        </w:tc>
        <w:tc>
          <w:tcPr>
            <w:tcW w:w="2551" w:type="dxa"/>
          </w:tcPr>
          <w:p w14:paraId="16B29688" w14:textId="77777777" w:rsidR="00E5251D" w:rsidRPr="0007244C" w:rsidRDefault="00E5251D" w:rsidP="00AE61B0">
            <w:pPr>
              <w:pStyle w:val="Tabletext"/>
              <w:keepNext/>
              <w:keepLines/>
            </w:pPr>
            <w:r w:rsidRPr="0007244C">
              <w:t>32 (28.1) [20.1, 37.3]</w:t>
            </w:r>
          </w:p>
        </w:tc>
        <w:tc>
          <w:tcPr>
            <w:tcW w:w="2075" w:type="dxa"/>
          </w:tcPr>
          <w:p w14:paraId="5C45ACCE" w14:textId="77777777" w:rsidR="00E5251D" w:rsidRPr="0007244C" w:rsidRDefault="00E5251D" w:rsidP="00AE61B0">
            <w:pPr>
              <w:pStyle w:val="Tabletext"/>
              <w:keepNext/>
              <w:keepLines/>
            </w:pPr>
            <w:r w:rsidRPr="0007244C">
              <w:t>40 (35.1) [26.4, 44.6]</w:t>
            </w:r>
          </w:p>
        </w:tc>
      </w:tr>
      <w:tr w:rsidR="00E5251D" w:rsidRPr="0007244C" w14:paraId="61BBBFC0" w14:textId="77777777" w:rsidTr="009A29DE">
        <w:tc>
          <w:tcPr>
            <w:tcW w:w="4390" w:type="dxa"/>
          </w:tcPr>
          <w:p w14:paraId="31AED87D" w14:textId="77777777" w:rsidR="00E5251D" w:rsidRPr="0007244C" w:rsidRDefault="00E5251D" w:rsidP="00AE61B0">
            <w:pPr>
              <w:pStyle w:val="Tabletext"/>
              <w:keepNext/>
              <w:keepLines/>
            </w:pPr>
            <w:r w:rsidRPr="0007244C">
              <w:t>cDCR</w:t>
            </w:r>
            <w:r>
              <w:rPr>
                <w:vertAlign w:val="superscript"/>
              </w:rPr>
              <w:t>c</w:t>
            </w:r>
            <w:r w:rsidRPr="0007244C">
              <w:t>, n (%) [95% CI]</w:t>
            </w:r>
            <w:r w:rsidRPr="0007244C">
              <w:rPr>
                <w:vertAlign w:val="superscript"/>
              </w:rPr>
              <w:t>d</w:t>
            </w:r>
          </w:p>
        </w:tc>
        <w:tc>
          <w:tcPr>
            <w:tcW w:w="2551" w:type="dxa"/>
          </w:tcPr>
          <w:p w14:paraId="1BB41040" w14:textId="77777777" w:rsidR="00E5251D" w:rsidRPr="0007244C" w:rsidRDefault="00E5251D" w:rsidP="00AE61B0">
            <w:pPr>
              <w:pStyle w:val="Tabletext"/>
              <w:keepNext/>
              <w:keepLines/>
            </w:pPr>
            <w:r w:rsidRPr="0007244C">
              <w:t>89 (78.1) [69.4, 85.3]</w:t>
            </w:r>
          </w:p>
        </w:tc>
        <w:tc>
          <w:tcPr>
            <w:tcW w:w="2075" w:type="dxa"/>
          </w:tcPr>
          <w:p w14:paraId="65E01CBF" w14:textId="77777777" w:rsidR="00E5251D" w:rsidRPr="0007244C" w:rsidRDefault="00E5251D" w:rsidP="00AE61B0">
            <w:pPr>
              <w:pStyle w:val="Tabletext"/>
              <w:keepNext/>
              <w:keepLines/>
            </w:pPr>
            <w:r w:rsidRPr="0007244C">
              <w:t>90 (78.9) [70.3, 86.0]</w:t>
            </w:r>
          </w:p>
        </w:tc>
      </w:tr>
    </w:tbl>
    <w:p w14:paraId="7AB805F5" w14:textId="77777777" w:rsidR="00E5251D" w:rsidRDefault="00E5251D" w:rsidP="00AE61B0">
      <w:pPr>
        <w:pStyle w:val="TableFooter"/>
        <w:keepNext/>
        <w:keepLines/>
      </w:pPr>
      <w:r w:rsidRPr="00FF1396">
        <w:t xml:space="preserve">Source: </w:t>
      </w:r>
      <w:r>
        <w:t>Table 2-28, p130 of the submission</w:t>
      </w:r>
    </w:p>
    <w:p w14:paraId="00C986B6" w14:textId="7605C9AB" w:rsidR="00E5251D" w:rsidRPr="0007244C" w:rsidRDefault="00E5251D" w:rsidP="00AE61B0">
      <w:pPr>
        <w:pStyle w:val="TableFooter"/>
        <w:keepNext/>
        <w:keepLines/>
      </w:pPr>
      <w:r>
        <w:t>cDCR</w:t>
      </w:r>
      <w:r w:rsidR="00F66348">
        <w:t xml:space="preserve"> </w:t>
      </w:r>
      <w:r>
        <w:t>=</w:t>
      </w:r>
      <w:r w:rsidR="00F66348">
        <w:t xml:space="preserve"> </w:t>
      </w:r>
      <w:r>
        <w:t>confirmed disease control rate; c</w:t>
      </w:r>
      <w:r w:rsidRPr="0007244C">
        <w:t>ORR</w:t>
      </w:r>
      <w:r w:rsidR="00F66348">
        <w:t xml:space="preserve"> </w:t>
      </w:r>
      <w:r>
        <w:t>=</w:t>
      </w:r>
      <w:r w:rsidR="00F66348">
        <w:t xml:space="preserve"> </w:t>
      </w:r>
      <w:r w:rsidRPr="0007244C">
        <w:t>confirmed objective response rate; CR</w:t>
      </w:r>
      <w:r w:rsidR="00F66348">
        <w:t xml:space="preserve"> </w:t>
      </w:r>
      <w:r>
        <w:t>=</w:t>
      </w:r>
      <w:r w:rsidR="00F66348">
        <w:t xml:space="preserve"> </w:t>
      </w:r>
      <w:r w:rsidRPr="0007244C">
        <w:t>complete response; IRC</w:t>
      </w:r>
      <w:r w:rsidR="00F66348">
        <w:t xml:space="preserve"> </w:t>
      </w:r>
      <w:r>
        <w:t>=</w:t>
      </w:r>
      <w:r w:rsidR="00F66348">
        <w:t xml:space="preserve"> </w:t>
      </w:r>
      <w:r w:rsidRPr="0007244C">
        <w:t>independent review committee; NE</w:t>
      </w:r>
      <w:r w:rsidR="00F66348">
        <w:t xml:space="preserve"> </w:t>
      </w:r>
      <w:r>
        <w:t>=</w:t>
      </w:r>
      <w:r w:rsidR="00F66348">
        <w:t xml:space="preserve"> </w:t>
      </w:r>
      <w:r w:rsidRPr="0007244C">
        <w:t xml:space="preserve">not evaluable; </w:t>
      </w:r>
      <w:r>
        <w:t>PPP</w:t>
      </w:r>
      <w:r w:rsidR="00F66348">
        <w:t xml:space="preserve"> </w:t>
      </w:r>
      <w:r>
        <w:t>=</w:t>
      </w:r>
      <w:r w:rsidR="00F66348">
        <w:t xml:space="preserve"> </w:t>
      </w:r>
      <w:r>
        <w:t xml:space="preserve">pooled prior platinum; </w:t>
      </w:r>
      <w:r w:rsidRPr="0007244C">
        <w:t>PD</w:t>
      </w:r>
      <w:r w:rsidR="00F66348">
        <w:t xml:space="preserve"> </w:t>
      </w:r>
      <w:r>
        <w:t>=</w:t>
      </w:r>
      <w:r w:rsidR="00F66348">
        <w:t xml:space="preserve"> </w:t>
      </w:r>
      <w:r w:rsidRPr="0007244C">
        <w:t>progressive disease; PR</w:t>
      </w:r>
      <w:r w:rsidR="00F66348">
        <w:t xml:space="preserve"> </w:t>
      </w:r>
      <w:r>
        <w:t>=</w:t>
      </w:r>
      <w:r w:rsidR="00F66348">
        <w:t xml:space="preserve"> </w:t>
      </w:r>
      <w:r w:rsidRPr="0007244C">
        <w:t>partial response; QD</w:t>
      </w:r>
      <w:r w:rsidR="00F66348">
        <w:t xml:space="preserve"> </w:t>
      </w:r>
      <w:r>
        <w:t>=</w:t>
      </w:r>
      <w:r w:rsidR="00F66348">
        <w:t xml:space="preserve"> </w:t>
      </w:r>
      <w:r w:rsidRPr="0007244C">
        <w:t>once daily; RECIST</w:t>
      </w:r>
      <w:r w:rsidR="00F66348">
        <w:t xml:space="preserve"> </w:t>
      </w:r>
      <w:r>
        <w:t>=</w:t>
      </w:r>
      <w:r w:rsidR="00F66348">
        <w:t xml:space="preserve"> </w:t>
      </w:r>
      <w:r w:rsidRPr="0007244C">
        <w:t>Response Evaluation Criteria in Solid Tumours; SD</w:t>
      </w:r>
      <w:r w:rsidR="00F66348">
        <w:t xml:space="preserve"> </w:t>
      </w:r>
      <w:r>
        <w:t>=</w:t>
      </w:r>
      <w:r w:rsidR="00F66348">
        <w:t xml:space="preserve"> </w:t>
      </w:r>
      <w:r w:rsidRPr="0007244C">
        <w:t>stable disease.</w:t>
      </w:r>
    </w:p>
    <w:p w14:paraId="4E41AD96" w14:textId="77777777" w:rsidR="00E5251D" w:rsidRPr="0007244C" w:rsidRDefault="00E5251D" w:rsidP="00AE61B0">
      <w:pPr>
        <w:pStyle w:val="TableFooter"/>
        <w:keepNext/>
        <w:keepLines/>
      </w:pPr>
      <w:r w:rsidRPr="0007244C">
        <w:t>Data cutoff: 01 November 20</w:t>
      </w:r>
      <w:r>
        <w:t>21; Median follow-up 25.8 months.</w:t>
      </w:r>
      <w:r w:rsidRPr="0007244C">
        <w:t xml:space="preserve"> </w:t>
      </w:r>
    </w:p>
    <w:p w14:paraId="48AD398C" w14:textId="77777777" w:rsidR="00E5251D" w:rsidRPr="0007244C" w:rsidRDefault="00E5251D" w:rsidP="00AE61B0">
      <w:pPr>
        <w:pStyle w:val="TableFooter"/>
        <w:keepNext/>
        <w:keepLines/>
      </w:pPr>
      <w:proofErr w:type="spellStart"/>
      <w:r w:rsidRPr="0007244C">
        <w:rPr>
          <w:vertAlign w:val="superscript"/>
        </w:rPr>
        <w:t>a</w:t>
      </w:r>
      <w:proofErr w:type="spellEnd"/>
      <w:r w:rsidRPr="0007244C">
        <w:t xml:space="preserve"> Assessed using RECIST v1.1; counts only include patients with confirmed response. A best overall response of SD must have been observed at least 6 weeks after first study drug administration.</w:t>
      </w:r>
    </w:p>
    <w:p w14:paraId="38857DEF" w14:textId="77777777" w:rsidR="00E5251D" w:rsidRPr="0007244C" w:rsidRDefault="00E5251D" w:rsidP="00AE61B0">
      <w:pPr>
        <w:pStyle w:val="TableFooter"/>
        <w:keepNext/>
        <w:keepLines/>
      </w:pPr>
      <w:r w:rsidRPr="0007244C">
        <w:rPr>
          <w:vertAlign w:val="superscript"/>
        </w:rPr>
        <w:t>b</w:t>
      </w:r>
      <w:r w:rsidRPr="0007244C">
        <w:t xml:space="preserve"> cORR is defined as the proportion of the patients who are confirmed to have achieved CR or PR after the initiation of study drug. Confirmed responses are those that persist on repeat imaging 4 weeks (allowing a minus 3-day time window) or more after initial response.</w:t>
      </w:r>
    </w:p>
    <w:p w14:paraId="743D1E00" w14:textId="77777777" w:rsidR="00E5251D" w:rsidRPr="0007244C" w:rsidRDefault="00E5251D" w:rsidP="00AE61B0">
      <w:pPr>
        <w:pStyle w:val="TableFooter"/>
        <w:keepNext/>
        <w:keepLines/>
      </w:pPr>
      <w:r w:rsidRPr="0007244C">
        <w:rPr>
          <w:vertAlign w:val="superscript"/>
        </w:rPr>
        <w:t>c</w:t>
      </w:r>
      <w:r w:rsidRPr="0007244C">
        <w:t xml:space="preserve"> Disease control rate (DCR) is defined as the proportion of patients who are confirmed to have achieved CR or PR or have a best overall response as SD for 6 weeks (allowing a minus 3-day time window) or more after initiation of the study drug using RECIST v1.1.</w:t>
      </w:r>
    </w:p>
    <w:p w14:paraId="67B4E095" w14:textId="5D88CE01" w:rsidR="00E5251D" w:rsidRDefault="00E5251D" w:rsidP="00AE61B0">
      <w:pPr>
        <w:pStyle w:val="TableFooter"/>
        <w:keepNext/>
        <w:keepLines/>
      </w:pPr>
      <w:r w:rsidRPr="0007244C">
        <w:rPr>
          <w:vertAlign w:val="superscript"/>
        </w:rPr>
        <w:t>d</w:t>
      </w:r>
      <w:r w:rsidRPr="0007244C">
        <w:t xml:space="preserve"> Exact Clopper-Pearson CIs of the percentage</w:t>
      </w:r>
      <w:r w:rsidR="00C0073D">
        <w:t>.</w:t>
      </w:r>
    </w:p>
    <w:p w14:paraId="21189444" w14:textId="77777777" w:rsidR="00E5251D" w:rsidRDefault="00E5251D" w:rsidP="00E5251D">
      <w:pPr>
        <w:pStyle w:val="TableFooter"/>
      </w:pPr>
    </w:p>
    <w:p w14:paraId="46FCA9E7" w14:textId="784F14F5" w:rsidR="009B5ABA" w:rsidRPr="003E49F7" w:rsidRDefault="009B5ABA" w:rsidP="009B5ABA">
      <w:pPr>
        <w:pStyle w:val="3-BodyText"/>
      </w:pPr>
      <w:r>
        <w:t xml:space="preserve">For Study 101, with a median follow-up time of 25.8 months at the November 2021 data cutoff, confirmed ORR (cORR) as assessed by an independent review committee (IRC) was 28.1%. The </w:t>
      </w:r>
      <w:r w:rsidRPr="003E49F7">
        <w:t xml:space="preserve">median time to first response by IRC assessment was 1.87 months. Only one patient </w:t>
      </w:r>
      <w:r w:rsidR="00DB0CCF" w:rsidRPr="003E49F7">
        <w:t xml:space="preserve">(0.9%) </w:t>
      </w:r>
      <w:r w:rsidRPr="003E49F7">
        <w:t xml:space="preserve">achieved a complete response (CR), 31 patients (27.2%) achieved a partial response (PR), and 57 patients (50.0%) maintained stable disease (SD) (observed ≥6 weeks after first study drug administration). The remaining </w:t>
      </w:r>
      <w:r w:rsidR="00D15CAD" w:rsidRPr="003E49F7">
        <w:t>21.9% of patients either had progressive disease (12.3%) or were not evaluable (9.6%)</w:t>
      </w:r>
      <w:r w:rsidRPr="003E49F7">
        <w:t xml:space="preserve">. </w:t>
      </w:r>
    </w:p>
    <w:p w14:paraId="0DCE29F5" w14:textId="1FAFD5A1" w:rsidR="00D15CAD" w:rsidRDefault="00A93FCD" w:rsidP="000711EA">
      <w:pPr>
        <w:pStyle w:val="3-BodyText"/>
        <w:rPr>
          <w:iCs/>
        </w:rPr>
      </w:pPr>
      <w:r w:rsidRPr="003E49F7">
        <w:rPr>
          <w:iCs/>
        </w:rPr>
        <w:lastRenderedPageBreak/>
        <w:t>In</w:t>
      </w:r>
      <w:r w:rsidR="00D15CAD" w:rsidRPr="003E49F7">
        <w:rPr>
          <w:iCs/>
        </w:rPr>
        <w:t xml:space="preserve"> Study 5002, </w:t>
      </w:r>
      <w:r w:rsidRPr="003E49F7">
        <w:rPr>
          <w:iCs/>
        </w:rPr>
        <w:t>for study-aligned patients and prior platinum study</w:t>
      </w:r>
      <w:r w:rsidRPr="007135FB">
        <w:rPr>
          <w:iCs/>
        </w:rPr>
        <w:t>-aligned patients who received any treatment type in the second-line or greater setting, confirmed real-world ORR (crwORR) was 11% and 14%, respectively. For Study 5008, the submission noted that no patient achieved a</w:t>
      </w:r>
      <w:r w:rsidR="00C56068">
        <w:rPr>
          <w:iCs/>
        </w:rPr>
        <w:t xml:space="preserve"> response</w:t>
      </w:r>
      <w:r w:rsidRPr="007135FB">
        <w:rPr>
          <w:iCs/>
        </w:rPr>
        <w:t xml:space="preserve">. </w:t>
      </w:r>
    </w:p>
    <w:p w14:paraId="1DD62353" w14:textId="3BE8BF43" w:rsidR="001C7C2E" w:rsidRPr="001C7C2E" w:rsidRDefault="001C7C2E" w:rsidP="001C7C2E">
      <w:pPr>
        <w:pStyle w:val="3-BodyText"/>
        <w:numPr>
          <w:ilvl w:val="0"/>
          <w:numId w:val="0"/>
        </w:numPr>
        <w:rPr>
          <w:b/>
          <w:bCs/>
          <w:i/>
          <w:iCs/>
        </w:rPr>
      </w:pPr>
      <w:r w:rsidRPr="001C7C2E">
        <w:rPr>
          <w:b/>
          <w:bCs/>
          <w:i/>
          <w:iCs/>
        </w:rPr>
        <w:t xml:space="preserve">Mobocertinib (Study 101) versus SOC (Study 5008) </w:t>
      </w:r>
    </w:p>
    <w:p w14:paraId="2E45A92A" w14:textId="791C228B" w:rsidR="00785F4D" w:rsidRPr="007135FB" w:rsidRDefault="00780704" w:rsidP="000711EA">
      <w:pPr>
        <w:pStyle w:val="3-BodyText"/>
        <w:rPr>
          <w:iCs/>
        </w:rPr>
      </w:pPr>
      <w:r>
        <w:t xml:space="preserve">Results of the </w:t>
      </w:r>
      <w:r w:rsidR="009072EB">
        <w:t xml:space="preserve">unadjusted and </w:t>
      </w:r>
      <w:r w:rsidR="00724C80">
        <w:t>IPTW-based indirect comparison</w:t>
      </w:r>
      <w:r w:rsidR="009072EB">
        <w:t>s</w:t>
      </w:r>
      <w:r w:rsidR="00724C80">
        <w:t xml:space="preserve"> </w:t>
      </w:r>
      <w:r>
        <w:t xml:space="preserve">between Study 101 and Study 5008 are presented in </w:t>
      </w:r>
      <w:r w:rsidR="001D58EB">
        <w:fldChar w:fldCharType="begin"/>
      </w:r>
      <w:r w:rsidR="001D58EB">
        <w:instrText xml:space="preserve"> REF _Ref112591372 \h </w:instrText>
      </w:r>
      <w:r w:rsidR="001D58EB">
        <w:fldChar w:fldCharType="separate"/>
      </w:r>
      <w:r w:rsidR="001635D4">
        <w:t xml:space="preserve">Table </w:t>
      </w:r>
      <w:r w:rsidR="001635D4">
        <w:rPr>
          <w:noProof/>
        </w:rPr>
        <w:t>7</w:t>
      </w:r>
      <w:r w:rsidR="001D58EB">
        <w:fldChar w:fldCharType="end"/>
      </w:r>
      <w:r w:rsidR="001D58EB">
        <w:t>. Kaplan-Meier (</w:t>
      </w:r>
      <w:r w:rsidR="001D58EB" w:rsidRPr="001D58EB">
        <w:t>KM</w:t>
      </w:r>
      <w:r w:rsidR="001D58EB">
        <w:t>)</w:t>
      </w:r>
      <w:r w:rsidR="001D58EB" w:rsidRPr="001D58EB">
        <w:t xml:space="preserve"> plots for OS</w:t>
      </w:r>
      <w:r w:rsidR="001D58EB">
        <w:t xml:space="preserve"> and </w:t>
      </w:r>
      <w:r w:rsidR="001D58EB" w:rsidRPr="001D58EB">
        <w:t xml:space="preserve">PFS </w:t>
      </w:r>
      <w:r w:rsidR="001D58EB">
        <w:t>(</w:t>
      </w:r>
      <w:r w:rsidR="001D58EB" w:rsidRPr="001D58EB">
        <w:t>investigator</w:t>
      </w:r>
      <w:r w:rsidR="005D2CAF">
        <w:t>-based</w:t>
      </w:r>
      <w:r w:rsidR="001D58EB">
        <w:t xml:space="preserve">) are presented in </w:t>
      </w:r>
      <w:r w:rsidR="001D58EB">
        <w:fldChar w:fldCharType="begin"/>
      </w:r>
      <w:r w:rsidR="001D58EB">
        <w:instrText xml:space="preserve"> REF _Ref112591443 \h </w:instrText>
      </w:r>
      <w:r w:rsidR="001D58EB">
        <w:fldChar w:fldCharType="separate"/>
      </w:r>
      <w:r w:rsidR="001635D4">
        <w:t xml:space="preserve">Figure </w:t>
      </w:r>
      <w:r w:rsidR="001635D4">
        <w:rPr>
          <w:noProof/>
        </w:rPr>
        <w:t>1</w:t>
      </w:r>
      <w:r w:rsidR="001D58EB">
        <w:fldChar w:fldCharType="end"/>
      </w:r>
      <w:r w:rsidR="001D58EB">
        <w:t xml:space="preserve"> and</w:t>
      </w:r>
      <w:r w:rsidR="005D2CAF">
        <w:t xml:space="preserve"> </w:t>
      </w:r>
      <w:r w:rsidR="005D2CAF">
        <w:fldChar w:fldCharType="begin"/>
      </w:r>
      <w:r w:rsidR="005D2CAF">
        <w:instrText xml:space="preserve"> REF _Ref112592149 \h </w:instrText>
      </w:r>
      <w:r w:rsidR="005D2CAF">
        <w:fldChar w:fldCharType="separate"/>
      </w:r>
      <w:r w:rsidR="001635D4">
        <w:t xml:space="preserve">Figure </w:t>
      </w:r>
      <w:r w:rsidR="001635D4">
        <w:rPr>
          <w:noProof/>
        </w:rPr>
        <w:t>2</w:t>
      </w:r>
      <w:r w:rsidR="005D2CAF">
        <w:fldChar w:fldCharType="end"/>
      </w:r>
      <w:r w:rsidR="00691D4F">
        <w:t>, respectively.</w:t>
      </w:r>
      <w:r w:rsidR="00B44346">
        <w:t xml:space="preserve"> </w:t>
      </w:r>
      <w:r w:rsidR="00B44346" w:rsidRPr="007135FB">
        <w:rPr>
          <w:iCs/>
          <w:lang w:val="en-GB"/>
        </w:rPr>
        <w:t xml:space="preserve">Interpretation of the indirect comparison results should consider that i) no multiplicity adjustments were seemingly made for the computation of </w:t>
      </w:r>
      <w:r w:rsidR="006006C7" w:rsidRPr="007135FB">
        <w:rPr>
          <w:iCs/>
          <w:lang w:val="en-GB"/>
        </w:rPr>
        <w:t>confidence intervals (</w:t>
      </w:r>
      <w:r w:rsidR="00BD0DCF" w:rsidRPr="007135FB">
        <w:rPr>
          <w:iCs/>
          <w:lang w:val="en-GB"/>
        </w:rPr>
        <w:t>C</w:t>
      </w:r>
      <w:r w:rsidR="006006C7" w:rsidRPr="007135FB">
        <w:rPr>
          <w:iCs/>
          <w:lang w:val="en-GB"/>
        </w:rPr>
        <w:t>I</w:t>
      </w:r>
      <w:r w:rsidR="00BD0DCF" w:rsidRPr="007135FB">
        <w:rPr>
          <w:iCs/>
          <w:lang w:val="en-GB"/>
        </w:rPr>
        <w:t>s</w:t>
      </w:r>
      <w:r w:rsidR="006006C7" w:rsidRPr="007135FB">
        <w:rPr>
          <w:iCs/>
          <w:lang w:val="en-GB"/>
        </w:rPr>
        <w:t>)</w:t>
      </w:r>
      <w:r w:rsidR="00B44346" w:rsidRPr="007135FB">
        <w:rPr>
          <w:iCs/>
          <w:lang w:val="en-GB"/>
        </w:rPr>
        <w:t xml:space="preserve"> and p-values, ii) no imputation was apparently planned for missing data, and iii) these analyses do not represent formal statistical hypotheses testing and are essentially exploratory.</w:t>
      </w:r>
    </w:p>
    <w:p w14:paraId="417777BD" w14:textId="72954EAC" w:rsidR="00724C80" w:rsidRPr="00EA768C" w:rsidRDefault="00724C80" w:rsidP="001A283A">
      <w:pPr>
        <w:pStyle w:val="Caption"/>
        <w:rPr>
          <w:rFonts w:asciiTheme="minorHAnsi" w:hAnsiTheme="minorHAnsi" w:cstheme="minorHAnsi"/>
        </w:rPr>
      </w:pPr>
      <w:bookmarkStart w:id="33" w:name="_Ref112591372"/>
      <w:r>
        <w:t xml:space="preserve">Table </w:t>
      </w:r>
      <w:r w:rsidR="001635D4">
        <w:fldChar w:fldCharType="begin"/>
      </w:r>
      <w:r w:rsidR="001635D4">
        <w:instrText xml:space="preserve"> SEQ Table \* ARABIC </w:instrText>
      </w:r>
      <w:r w:rsidR="001635D4">
        <w:fldChar w:fldCharType="separate"/>
      </w:r>
      <w:r w:rsidR="001635D4">
        <w:rPr>
          <w:noProof/>
        </w:rPr>
        <w:t>7</w:t>
      </w:r>
      <w:r w:rsidR="001635D4">
        <w:rPr>
          <w:noProof/>
        </w:rPr>
        <w:fldChar w:fldCharType="end"/>
      </w:r>
      <w:bookmarkEnd w:id="33"/>
      <w:r>
        <w:t xml:space="preserve">: </w:t>
      </w:r>
      <w:r w:rsidRPr="00EA768C">
        <w:t xml:space="preserve">Summary of the indirect comparison results – </w:t>
      </w:r>
      <w:r>
        <w:t xml:space="preserve">Study 101 PPP cohort </w:t>
      </w:r>
      <w:r w:rsidRPr="00EA768C">
        <w:t>versus Study 5008</w:t>
      </w:r>
      <w:r>
        <w:t xml:space="preserve"> cohort</w:t>
      </w:r>
    </w:p>
    <w:tbl>
      <w:tblPr>
        <w:tblStyle w:val="TableGrid"/>
        <w:tblW w:w="5000" w:type="pct"/>
        <w:tblLook w:val="0420" w:firstRow="1" w:lastRow="0" w:firstColumn="0" w:lastColumn="0" w:noHBand="0" w:noVBand="1"/>
      </w:tblPr>
      <w:tblGrid>
        <w:gridCol w:w="3824"/>
        <w:gridCol w:w="2126"/>
        <w:gridCol w:w="1558"/>
        <w:gridCol w:w="1509"/>
      </w:tblGrid>
      <w:tr w:rsidR="00724C80" w:rsidRPr="00EA768C" w14:paraId="2E9401F1" w14:textId="77777777" w:rsidTr="0015122B">
        <w:tc>
          <w:tcPr>
            <w:tcW w:w="2120" w:type="pct"/>
          </w:tcPr>
          <w:p w14:paraId="1F397271" w14:textId="77777777" w:rsidR="00724C80" w:rsidRPr="00EA768C" w:rsidRDefault="00724C80" w:rsidP="001A283A">
            <w:pPr>
              <w:pStyle w:val="Tabletext"/>
              <w:keepNext/>
              <w:keepLines/>
            </w:pPr>
          </w:p>
        </w:tc>
        <w:tc>
          <w:tcPr>
            <w:tcW w:w="1179" w:type="pct"/>
          </w:tcPr>
          <w:p w14:paraId="79E81849" w14:textId="77777777" w:rsidR="00724C80" w:rsidRPr="00EA768C" w:rsidRDefault="00724C80" w:rsidP="001A283A">
            <w:pPr>
              <w:pStyle w:val="Tabletext"/>
              <w:keepNext/>
              <w:keepLines/>
              <w:rPr>
                <w:b/>
              </w:rPr>
            </w:pPr>
            <w:r w:rsidRPr="00EA768C">
              <w:rPr>
                <w:rFonts w:eastAsia="Arial"/>
                <w:b/>
              </w:rPr>
              <w:t>OS</w:t>
            </w:r>
          </w:p>
        </w:tc>
        <w:tc>
          <w:tcPr>
            <w:tcW w:w="864" w:type="pct"/>
          </w:tcPr>
          <w:p w14:paraId="57F8B469" w14:textId="77777777" w:rsidR="00724C80" w:rsidRPr="00EA768C" w:rsidRDefault="00724C80" w:rsidP="001A283A">
            <w:pPr>
              <w:pStyle w:val="Tabletext"/>
              <w:keepNext/>
              <w:keepLines/>
              <w:rPr>
                <w:b/>
              </w:rPr>
            </w:pPr>
            <w:r w:rsidRPr="00EA768C">
              <w:rPr>
                <w:rFonts w:eastAsia="Arial"/>
                <w:b/>
              </w:rPr>
              <w:t>PFS-INV</w:t>
            </w:r>
          </w:p>
        </w:tc>
        <w:tc>
          <w:tcPr>
            <w:tcW w:w="837" w:type="pct"/>
          </w:tcPr>
          <w:p w14:paraId="7B2DFEC7" w14:textId="77777777" w:rsidR="00724C80" w:rsidRPr="00EA768C" w:rsidRDefault="00724C80" w:rsidP="001A283A">
            <w:pPr>
              <w:pStyle w:val="Tabletext"/>
              <w:keepNext/>
              <w:keepLines/>
              <w:rPr>
                <w:b/>
              </w:rPr>
            </w:pPr>
            <w:r w:rsidRPr="00EA768C">
              <w:rPr>
                <w:rFonts w:eastAsia="Arial"/>
                <w:b/>
              </w:rPr>
              <w:t>PFS-IRC</w:t>
            </w:r>
          </w:p>
        </w:tc>
      </w:tr>
      <w:tr w:rsidR="00724C80" w:rsidRPr="00EA768C" w14:paraId="6D57BE42" w14:textId="77777777" w:rsidTr="0015122B">
        <w:tc>
          <w:tcPr>
            <w:tcW w:w="2120" w:type="pct"/>
          </w:tcPr>
          <w:p w14:paraId="7F1B58E2" w14:textId="77777777" w:rsidR="00724C80" w:rsidRPr="00EA768C" w:rsidRDefault="00724C80" w:rsidP="001A283A">
            <w:pPr>
              <w:pStyle w:val="Tabletext"/>
              <w:keepNext/>
              <w:keepLines/>
            </w:pPr>
            <w:r w:rsidRPr="00EA768C">
              <w:rPr>
                <w:rFonts w:eastAsia="Arial"/>
              </w:rPr>
              <w:t>Median duration mobocertinib</w:t>
            </w:r>
            <w:r w:rsidR="004C66D1">
              <w:rPr>
                <w:rFonts w:eastAsia="Arial"/>
              </w:rPr>
              <w:t xml:space="preserve"> in Study 101 (N=114)</w:t>
            </w:r>
            <w:r w:rsidRPr="00EA768C">
              <w:rPr>
                <w:rFonts w:eastAsia="Arial"/>
              </w:rPr>
              <w:t>, months (95% CI)</w:t>
            </w:r>
          </w:p>
        </w:tc>
        <w:tc>
          <w:tcPr>
            <w:tcW w:w="1179" w:type="pct"/>
          </w:tcPr>
          <w:p w14:paraId="572DCA3D" w14:textId="77777777" w:rsidR="00724C80" w:rsidRPr="00EA768C" w:rsidRDefault="00724C80" w:rsidP="001A283A">
            <w:pPr>
              <w:pStyle w:val="Tabletext"/>
              <w:keepNext/>
              <w:keepLines/>
            </w:pPr>
            <w:r w:rsidRPr="00EA768C">
              <w:rPr>
                <w:rFonts w:eastAsia="Arial"/>
              </w:rPr>
              <w:t>20.17 (14.88, 25.26)</w:t>
            </w:r>
          </w:p>
        </w:tc>
        <w:tc>
          <w:tcPr>
            <w:tcW w:w="864" w:type="pct"/>
          </w:tcPr>
          <w:p w14:paraId="12B474FB" w14:textId="77777777" w:rsidR="00724C80" w:rsidRPr="00EA768C" w:rsidRDefault="00724C80" w:rsidP="001A283A">
            <w:pPr>
              <w:pStyle w:val="Tabletext"/>
              <w:keepNext/>
              <w:keepLines/>
            </w:pPr>
            <w:r w:rsidRPr="00EA768C">
              <w:rPr>
                <w:rFonts w:eastAsia="Arial"/>
              </w:rPr>
              <w:t>7.33 (5.55, 8.83)</w:t>
            </w:r>
          </w:p>
        </w:tc>
        <w:tc>
          <w:tcPr>
            <w:tcW w:w="837" w:type="pct"/>
          </w:tcPr>
          <w:p w14:paraId="2FF88D76" w14:textId="77777777" w:rsidR="00724C80" w:rsidRPr="00EA768C" w:rsidRDefault="00724C80" w:rsidP="001A283A">
            <w:pPr>
              <w:pStyle w:val="Tabletext"/>
              <w:keepNext/>
              <w:keepLines/>
            </w:pPr>
            <w:r w:rsidRPr="00EA768C">
              <w:rPr>
                <w:rFonts w:eastAsia="Arial"/>
              </w:rPr>
              <w:t>7.29 (5.52, 9.23)</w:t>
            </w:r>
          </w:p>
        </w:tc>
      </w:tr>
      <w:tr w:rsidR="001408BF" w:rsidRPr="00EA768C" w14:paraId="0C22937F" w14:textId="77777777" w:rsidTr="001408BF">
        <w:tc>
          <w:tcPr>
            <w:tcW w:w="2120" w:type="pct"/>
          </w:tcPr>
          <w:p w14:paraId="5A2AD460" w14:textId="77777777" w:rsidR="001408BF" w:rsidRPr="00EA768C" w:rsidRDefault="001408BF" w:rsidP="001A283A">
            <w:pPr>
              <w:pStyle w:val="Tabletext"/>
              <w:keepNext/>
              <w:keepLines/>
            </w:pPr>
            <w:r w:rsidRPr="00EA768C">
              <w:rPr>
                <w:rFonts w:eastAsia="Arial"/>
              </w:rPr>
              <w:t xml:space="preserve">Unadjusted median duration </w:t>
            </w:r>
            <w:r>
              <w:rPr>
                <w:rFonts w:eastAsia="Arial"/>
              </w:rPr>
              <w:t xml:space="preserve">in </w:t>
            </w:r>
            <w:r w:rsidRPr="00EA768C">
              <w:rPr>
                <w:rFonts w:eastAsia="Arial"/>
              </w:rPr>
              <w:t>Study 5008</w:t>
            </w:r>
            <w:r>
              <w:rPr>
                <w:rFonts w:eastAsia="Arial"/>
              </w:rPr>
              <w:t xml:space="preserve"> (N=43)</w:t>
            </w:r>
            <w:r w:rsidRPr="00EA768C">
              <w:rPr>
                <w:rFonts w:eastAsia="Arial"/>
              </w:rPr>
              <w:t>, months (95% CI)</w:t>
            </w:r>
          </w:p>
        </w:tc>
        <w:tc>
          <w:tcPr>
            <w:tcW w:w="1179" w:type="pct"/>
          </w:tcPr>
          <w:p w14:paraId="38223E04" w14:textId="77777777" w:rsidR="001408BF" w:rsidRPr="00EA768C" w:rsidRDefault="001408BF" w:rsidP="001A283A">
            <w:pPr>
              <w:pStyle w:val="Tabletext"/>
              <w:keepNext/>
              <w:keepLines/>
            </w:pPr>
            <w:r w:rsidRPr="00EA768C">
              <w:rPr>
                <w:rFonts w:eastAsia="Arial"/>
              </w:rPr>
              <w:t>11.27 ( 8.87, 14.45)</w:t>
            </w:r>
          </w:p>
        </w:tc>
        <w:tc>
          <w:tcPr>
            <w:tcW w:w="1" w:type="pct"/>
            <w:gridSpan w:val="2"/>
          </w:tcPr>
          <w:p w14:paraId="14B202D0" w14:textId="77777777" w:rsidR="001408BF" w:rsidRPr="00EA768C" w:rsidRDefault="001408BF" w:rsidP="001408BF">
            <w:pPr>
              <w:pStyle w:val="Tabletext"/>
              <w:keepNext/>
              <w:keepLines/>
              <w:jc w:val="center"/>
            </w:pPr>
            <w:r w:rsidRPr="00EA768C">
              <w:rPr>
                <w:rFonts w:eastAsia="Arial"/>
              </w:rPr>
              <w:t>3.02 (2.04, 4.37)</w:t>
            </w:r>
          </w:p>
        </w:tc>
      </w:tr>
      <w:tr w:rsidR="001408BF" w:rsidRPr="00EA768C" w14:paraId="1FE8048F" w14:textId="77777777" w:rsidTr="001408BF">
        <w:tc>
          <w:tcPr>
            <w:tcW w:w="2120" w:type="pct"/>
          </w:tcPr>
          <w:p w14:paraId="25812FE0" w14:textId="77777777" w:rsidR="001408BF" w:rsidRPr="00EA768C" w:rsidRDefault="001408BF" w:rsidP="001408BF">
            <w:pPr>
              <w:pStyle w:val="Tabletext"/>
              <w:keepNext/>
              <w:keepLines/>
            </w:pPr>
            <w:r>
              <w:rPr>
                <w:rFonts w:eastAsia="Arial"/>
              </w:rPr>
              <w:t>A</w:t>
            </w:r>
            <w:r w:rsidRPr="00EA768C">
              <w:rPr>
                <w:rFonts w:eastAsia="Arial"/>
              </w:rPr>
              <w:t>djusted IPTW median duration Study 5008 (95% CI)</w:t>
            </w:r>
          </w:p>
        </w:tc>
        <w:tc>
          <w:tcPr>
            <w:tcW w:w="1179" w:type="pct"/>
          </w:tcPr>
          <w:p w14:paraId="68167BD0" w14:textId="456F469E" w:rsidR="001408BF" w:rsidRPr="00EA768C" w:rsidRDefault="001408BF" w:rsidP="001A283A">
            <w:pPr>
              <w:pStyle w:val="Tabletext"/>
              <w:keepNext/>
              <w:keepLines/>
            </w:pPr>
            <w:r w:rsidRPr="00EA768C">
              <w:rPr>
                <w:rFonts w:eastAsia="Arial"/>
              </w:rPr>
              <w:t>9.76 (4.30, 13.70)</w:t>
            </w:r>
          </w:p>
        </w:tc>
        <w:tc>
          <w:tcPr>
            <w:tcW w:w="1701" w:type="pct"/>
            <w:gridSpan w:val="2"/>
          </w:tcPr>
          <w:p w14:paraId="4198D9CA" w14:textId="77777777" w:rsidR="001408BF" w:rsidRPr="00EA768C" w:rsidRDefault="001408BF" w:rsidP="001408BF">
            <w:pPr>
              <w:pStyle w:val="Tabletext"/>
              <w:keepNext/>
              <w:keepLines/>
              <w:jc w:val="center"/>
            </w:pPr>
            <w:r w:rsidRPr="00EA768C">
              <w:rPr>
                <w:rFonts w:eastAsia="Arial"/>
              </w:rPr>
              <w:t>2.60</w:t>
            </w:r>
            <w:r>
              <w:rPr>
                <w:rFonts w:eastAsia="Arial"/>
              </w:rPr>
              <w:t xml:space="preserve"> </w:t>
            </w:r>
            <w:r w:rsidRPr="00EA768C">
              <w:rPr>
                <w:rFonts w:eastAsia="Arial"/>
              </w:rPr>
              <w:t>(1.54, 5.55)</w:t>
            </w:r>
          </w:p>
        </w:tc>
      </w:tr>
      <w:tr w:rsidR="00724C80" w:rsidRPr="00EA768C" w14:paraId="5D33B35A" w14:textId="77777777" w:rsidTr="0015122B">
        <w:tc>
          <w:tcPr>
            <w:tcW w:w="2120" w:type="pct"/>
            <w:tcBorders>
              <w:bottom w:val="single" w:sz="4" w:space="0" w:color="auto"/>
            </w:tcBorders>
          </w:tcPr>
          <w:p w14:paraId="2303A430" w14:textId="77777777" w:rsidR="00724C80" w:rsidRPr="00EA768C" w:rsidRDefault="00724C80" w:rsidP="001A283A">
            <w:pPr>
              <w:pStyle w:val="Tabletext"/>
              <w:keepNext/>
              <w:keepLines/>
              <w:rPr>
                <w:b/>
              </w:rPr>
            </w:pPr>
            <w:r w:rsidRPr="00EA768C">
              <w:rPr>
                <w:rFonts w:eastAsia="Arial"/>
                <w:b/>
              </w:rPr>
              <w:t>Unadjusted HR mobocertinib vs. Study 5008, (95% CI) [Log-rank p-</w:t>
            </w:r>
            <w:r>
              <w:rPr>
                <w:rFonts w:eastAsia="Arial"/>
                <w:b/>
              </w:rPr>
              <w:t>v</w:t>
            </w:r>
            <w:r w:rsidRPr="00EA768C">
              <w:rPr>
                <w:rFonts w:eastAsia="Arial"/>
                <w:b/>
              </w:rPr>
              <w:t>alue]</w:t>
            </w:r>
          </w:p>
        </w:tc>
        <w:tc>
          <w:tcPr>
            <w:tcW w:w="1179" w:type="pct"/>
            <w:tcBorders>
              <w:bottom w:val="single" w:sz="4" w:space="0" w:color="auto"/>
            </w:tcBorders>
          </w:tcPr>
          <w:p w14:paraId="5DBE8ECA" w14:textId="77777777" w:rsidR="00724C80" w:rsidRPr="00EA768C" w:rsidRDefault="00724C80" w:rsidP="001A283A">
            <w:pPr>
              <w:pStyle w:val="Tabletext"/>
              <w:keepNext/>
              <w:keepLines/>
              <w:rPr>
                <w:rFonts w:eastAsia="Arial"/>
                <w:b/>
              </w:rPr>
            </w:pPr>
            <w:r w:rsidRPr="00EA768C">
              <w:rPr>
                <w:rFonts w:eastAsia="Arial"/>
                <w:b/>
              </w:rPr>
              <w:t>0.50 (0.32, 0.76)</w:t>
            </w:r>
          </w:p>
          <w:p w14:paraId="7278D4EA" w14:textId="77777777" w:rsidR="00724C80" w:rsidRPr="00EA768C" w:rsidRDefault="00724C80" w:rsidP="001A283A">
            <w:pPr>
              <w:pStyle w:val="Tabletext"/>
              <w:keepNext/>
              <w:keepLines/>
              <w:rPr>
                <w:b/>
              </w:rPr>
            </w:pPr>
            <w:r w:rsidRPr="00EA768C">
              <w:rPr>
                <w:rFonts w:eastAsia="Arial"/>
                <w:b/>
              </w:rPr>
              <w:t>[0.0009]</w:t>
            </w:r>
          </w:p>
        </w:tc>
        <w:tc>
          <w:tcPr>
            <w:tcW w:w="864" w:type="pct"/>
            <w:tcBorders>
              <w:bottom w:val="single" w:sz="4" w:space="0" w:color="auto"/>
            </w:tcBorders>
          </w:tcPr>
          <w:p w14:paraId="208D06AD" w14:textId="77777777" w:rsidR="00724C80" w:rsidRPr="00EA768C" w:rsidRDefault="00724C80" w:rsidP="001A283A">
            <w:pPr>
              <w:pStyle w:val="Tabletext"/>
              <w:keepNext/>
              <w:keepLines/>
              <w:rPr>
                <w:b/>
              </w:rPr>
            </w:pPr>
            <w:r w:rsidRPr="00EA768C">
              <w:rPr>
                <w:rFonts w:eastAsia="Arial"/>
                <w:b/>
              </w:rPr>
              <w:t>0.34 (0.22, 0.51) [&lt;0.0001]</w:t>
            </w:r>
          </w:p>
        </w:tc>
        <w:tc>
          <w:tcPr>
            <w:tcW w:w="837" w:type="pct"/>
            <w:tcBorders>
              <w:bottom w:val="single" w:sz="4" w:space="0" w:color="auto"/>
            </w:tcBorders>
          </w:tcPr>
          <w:p w14:paraId="5D45E374" w14:textId="77777777" w:rsidR="00724C80" w:rsidRPr="00EA768C" w:rsidRDefault="00724C80" w:rsidP="001A283A">
            <w:pPr>
              <w:pStyle w:val="Tabletext"/>
              <w:keepNext/>
              <w:keepLines/>
              <w:rPr>
                <w:b/>
              </w:rPr>
            </w:pPr>
            <w:r w:rsidRPr="00EA768C">
              <w:rPr>
                <w:rFonts w:eastAsia="Arial"/>
                <w:b/>
              </w:rPr>
              <w:t>0.32 (0.22, 0.49) [&lt;0.0001]</w:t>
            </w:r>
          </w:p>
        </w:tc>
      </w:tr>
      <w:tr w:rsidR="00724C80" w14:paraId="2F1A3388" w14:textId="77777777" w:rsidTr="0015122B">
        <w:tc>
          <w:tcPr>
            <w:tcW w:w="2120" w:type="pct"/>
            <w:tcBorders>
              <w:bottom w:val="single" w:sz="4" w:space="0" w:color="auto"/>
            </w:tcBorders>
          </w:tcPr>
          <w:p w14:paraId="23747836" w14:textId="77777777" w:rsidR="00724C80" w:rsidRPr="00EA768C" w:rsidRDefault="001408BF" w:rsidP="001408BF">
            <w:pPr>
              <w:pStyle w:val="Tabletext"/>
              <w:keepNext/>
              <w:keepLines/>
              <w:rPr>
                <w:b/>
              </w:rPr>
            </w:pPr>
            <w:r>
              <w:rPr>
                <w:rFonts w:eastAsia="Arial"/>
                <w:b/>
              </w:rPr>
              <w:t>A</w:t>
            </w:r>
            <w:r w:rsidRPr="00EA768C">
              <w:rPr>
                <w:rFonts w:eastAsia="Arial"/>
                <w:b/>
              </w:rPr>
              <w:t xml:space="preserve">djusted </w:t>
            </w:r>
            <w:r w:rsidR="00724C80" w:rsidRPr="00EA768C">
              <w:rPr>
                <w:rFonts w:eastAsia="Arial"/>
                <w:b/>
              </w:rPr>
              <w:t>IPTW HR of mobocertinib vs. Study 5008 (95% CI) [Log-rank p-</w:t>
            </w:r>
            <w:r w:rsidR="00724C80">
              <w:rPr>
                <w:rFonts w:eastAsia="Arial"/>
                <w:b/>
              </w:rPr>
              <w:t>v</w:t>
            </w:r>
            <w:r w:rsidR="00724C80" w:rsidRPr="00EA768C">
              <w:rPr>
                <w:rFonts w:eastAsia="Arial"/>
                <w:b/>
              </w:rPr>
              <w:t>alue]</w:t>
            </w:r>
          </w:p>
        </w:tc>
        <w:tc>
          <w:tcPr>
            <w:tcW w:w="1179" w:type="pct"/>
            <w:tcBorders>
              <w:bottom w:val="single" w:sz="4" w:space="0" w:color="auto"/>
            </w:tcBorders>
          </w:tcPr>
          <w:p w14:paraId="46347467" w14:textId="77777777" w:rsidR="00B44346" w:rsidRDefault="00724C80" w:rsidP="001A283A">
            <w:pPr>
              <w:pStyle w:val="Tabletext"/>
              <w:keepNext/>
              <w:keepLines/>
              <w:rPr>
                <w:rFonts w:eastAsia="Arial"/>
                <w:b/>
              </w:rPr>
            </w:pPr>
            <w:r w:rsidRPr="00EA768C">
              <w:rPr>
                <w:rFonts w:eastAsia="Arial"/>
                <w:b/>
              </w:rPr>
              <w:t>0.42 (0.26, 0.69)</w:t>
            </w:r>
          </w:p>
          <w:p w14:paraId="65626384" w14:textId="77777777" w:rsidR="00724C80" w:rsidRPr="00EA768C" w:rsidRDefault="00724C80" w:rsidP="001A283A">
            <w:pPr>
              <w:pStyle w:val="Tabletext"/>
              <w:keepNext/>
              <w:keepLines/>
              <w:rPr>
                <w:b/>
              </w:rPr>
            </w:pPr>
            <w:r w:rsidRPr="00EA768C">
              <w:rPr>
                <w:rFonts w:eastAsia="Arial"/>
                <w:b/>
              </w:rPr>
              <w:t>[0.0025]</w:t>
            </w:r>
          </w:p>
        </w:tc>
        <w:tc>
          <w:tcPr>
            <w:tcW w:w="864" w:type="pct"/>
            <w:tcBorders>
              <w:bottom w:val="single" w:sz="4" w:space="0" w:color="auto"/>
            </w:tcBorders>
          </w:tcPr>
          <w:p w14:paraId="0A909F77" w14:textId="77777777" w:rsidR="00724C80" w:rsidRPr="00EA768C" w:rsidRDefault="00724C80" w:rsidP="001A283A">
            <w:pPr>
              <w:pStyle w:val="Tabletext"/>
              <w:keepNext/>
              <w:keepLines/>
              <w:rPr>
                <w:b/>
              </w:rPr>
            </w:pPr>
            <w:r w:rsidRPr="00EA768C">
              <w:rPr>
                <w:rFonts w:eastAsia="Arial"/>
                <w:b/>
              </w:rPr>
              <w:t>0.28 (0.18, 0.43) [&lt;0.0001]</w:t>
            </w:r>
          </w:p>
        </w:tc>
        <w:tc>
          <w:tcPr>
            <w:tcW w:w="837" w:type="pct"/>
            <w:tcBorders>
              <w:bottom w:val="single" w:sz="4" w:space="0" w:color="auto"/>
            </w:tcBorders>
          </w:tcPr>
          <w:p w14:paraId="694249E8" w14:textId="77777777" w:rsidR="00724C80" w:rsidRPr="005034DC" w:rsidRDefault="00724C80" w:rsidP="001A283A">
            <w:pPr>
              <w:pStyle w:val="Tabletext"/>
              <w:keepNext/>
              <w:keepLines/>
              <w:rPr>
                <w:b/>
              </w:rPr>
            </w:pPr>
            <w:r w:rsidRPr="00EA768C">
              <w:rPr>
                <w:rFonts w:eastAsia="Arial"/>
                <w:b/>
              </w:rPr>
              <w:t>0.27 (0.17, 0.43) [&lt;0.0001]</w:t>
            </w:r>
            <w:r w:rsidRPr="005034DC">
              <w:rPr>
                <w:rFonts w:eastAsia="Arial"/>
                <w:b/>
              </w:rPr>
              <w:t xml:space="preserve"> </w:t>
            </w:r>
          </w:p>
        </w:tc>
      </w:tr>
    </w:tbl>
    <w:p w14:paraId="1B37B19D" w14:textId="77777777" w:rsidR="00724C80" w:rsidRDefault="00BD0DCF" w:rsidP="001A283A">
      <w:pPr>
        <w:pStyle w:val="TableFooter"/>
        <w:keepNext/>
        <w:keepLines/>
        <w:rPr>
          <w:lang w:val="en-US"/>
        </w:rPr>
      </w:pPr>
      <w:r>
        <w:rPr>
          <w:lang w:val="en-US"/>
        </w:rPr>
        <w:t xml:space="preserve">Source: </w:t>
      </w:r>
      <w:r w:rsidR="00724C80">
        <w:rPr>
          <w:lang w:val="en-US"/>
        </w:rPr>
        <w:t>Table 8, Attachment 2.11 accompanying the submission.</w:t>
      </w:r>
    </w:p>
    <w:p w14:paraId="42A59945" w14:textId="02FC7D01" w:rsidR="00724C80" w:rsidRDefault="00B44346" w:rsidP="001A283A">
      <w:pPr>
        <w:pStyle w:val="TableFooter"/>
        <w:keepNext/>
        <w:keepLines/>
        <w:rPr>
          <w:lang w:val="en-US"/>
        </w:rPr>
      </w:pPr>
      <w:r>
        <w:rPr>
          <w:lang w:val="en-US"/>
        </w:rPr>
        <w:t>CI</w:t>
      </w:r>
      <w:r w:rsidR="00F66348">
        <w:rPr>
          <w:lang w:val="en-US"/>
        </w:rPr>
        <w:t xml:space="preserve"> </w:t>
      </w:r>
      <w:r w:rsidR="00BD0DCF">
        <w:rPr>
          <w:lang w:val="en-US"/>
        </w:rPr>
        <w:t>=</w:t>
      </w:r>
      <w:r w:rsidR="00F66348">
        <w:rPr>
          <w:lang w:val="en-US"/>
        </w:rPr>
        <w:t xml:space="preserve"> </w:t>
      </w:r>
      <w:r>
        <w:rPr>
          <w:lang w:val="en-US"/>
        </w:rPr>
        <w:t xml:space="preserve">confidence interval; </w:t>
      </w:r>
      <w:r w:rsidR="00724C80">
        <w:rPr>
          <w:lang w:val="en-US"/>
        </w:rPr>
        <w:t>HR</w:t>
      </w:r>
      <w:r w:rsidR="00F66348">
        <w:rPr>
          <w:lang w:val="en-US"/>
        </w:rPr>
        <w:t xml:space="preserve"> </w:t>
      </w:r>
      <w:r w:rsidR="00724C80">
        <w:rPr>
          <w:lang w:val="en-US"/>
        </w:rPr>
        <w:t>=</w:t>
      </w:r>
      <w:r w:rsidR="00F66348">
        <w:rPr>
          <w:lang w:val="en-US"/>
        </w:rPr>
        <w:t xml:space="preserve"> </w:t>
      </w:r>
      <w:r w:rsidR="00724C80">
        <w:rPr>
          <w:lang w:val="en-US"/>
        </w:rPr>
        <w:t xml:space="preserve">hazard ratio; </w:t>
      </w:r>
      <w:r w:rsidR="00724C80" w:rsidRPr="003B023C">
        <w:rPr>
          <w:lang w:val="en-US"/>
        </w:rPr>
        <w:t>INV</w:t>
      </w:r>
      <w:r w:rsidR="00F66348">
        <w:rPr>
          <w:lang w:val="en-US"/>
        </w:rPr>
        <w:t xml:space="preserve"> </w:t>
      </w:r>
      <w:r w:rsidR="00724C80" w:rsidRPr="003B023C">
        <w:rPr>
          <w:lang w:val="en-US"/>
        </w:rPr>
        <w:t>=</w:t>
      </w:r>
      <w:r w:rsidR="00F66348">
        <w:rPr>
          <w:lang w:val="en-US"/>
        </w:rPr>
        <w:t xml:space="preserve"> </w:t>
      </w:r>
      <w:r w:rsidR="00724C80" w:rsidRPr="003B023C">
        <w:rPr>
          <w:lang w:val="en-US"/>
        </w:rPr>
        <w:t xml:space="preserve">investigator; </w:t>
      </w:r>
      <w:r>
        <w:rPr>
          <w:lang w:val="en-US"/>
        </w:rPr>
        <w:t>IPTW</w:t>
      </w:r>
      <w:r w:rsidR="00F66348">
        <w:rPr>
          <w:lang w:val="en-US"/>
        </w:rPr>
        <w:t xml:space="preserve"> </w:t>
      </w:r>
      <w:r>
        <w:rPr>
          <w:lang w:val="en-US"/>
        </w:rPr>
        <w:t>=</w:t>
      </w:r>
      <w:r w:rsidR="00F66348">
        <w:rPr>
          <w:lang w:val="en-US"/>
        </w:rPr>
        <w:t xml:space="preserve"> </w:t>
      </w:r>
      <w:r>
        <w:rPr>
          <w:lang w:val="en-US"/>
        </w:rPr>
        <w:t xml:space="preserve">inverse probability treatment weighting; </w:t>
      </w:r>
      <w:r w:rsidR="00724C80">
        <w:rPr>
          <w:lang w:val="en-US"/>
        </w:rPr>
        <w:t>IRC</w:t>
      </w:r>
      <w:r w:rsidR="00F66348">
        <w:rPr>
          <w:lang w:val="en-US"/>
        </w:rPr>
        <w:t xml:space="preserve"> </w:t>
      </w:r>
      <w:r w:rsidR="00724C80">
        <w:rPr>
          <w:lang w:val="en-US"/>
        </w:rPr>
        <w:t>=</w:t>
      </w:r>
      <w:r w:rsidR="00F66348">
        <w:rPr>
          <w:lang w:val="en-US"/>
        </w:rPr>
        <w:t xml:space="preserve"> </w:t>
      </w:r>
      <w:r w:rsidR="00724C80">
        <w:rPr>
          <w:lang w:val="en-US"/>
        </w:rPr>
        <w:t xml:space="preserve">independent review committee; </w:t>
      </w:r>
      <w:r w:rsidR="00724C80" w:rsidRPr="003B023C">
        <w:rPr>
          <w:lang w:val="en-US"/>
        </w:rPr>
        <w:t>OS</w:t>
      </w:r>
      <w:r w:rsidR="00F66348">
        <w:rPr>
          <w:lang w:val="en-US"/>
        </w:rPr>
        <w:t xml:space="preserve"> </w:t>
      </w:r>
      <w:r w:rsidR="00724C80" w:rsidRPr="003B023C">
        <w:rPr>
          <w:lang w:val="en-US"/>
        </w:rPr>
        <w:t>=</w:t>
      </w:r>
      <w:r w:rsidR="00F66348">
        <w:rPr>
          <w:lang w:val="en-US"/>
        </w:rPr>
        <w:t xml:space="preserve"> </w:t>
      </w:r>
      <w:r w:rsidR="00724C80" w:rsidRPr="003B023C">
        <w:rPr>
          <w:lang w:val="en-US"/>
        </w:rPr>
        <w:t>overall survival; PFS</w:t>
      </w:r>
      <w:r w:rsidR="00F66348">
        <w:rPr>
          <w:lang w:val="en-US"/>
        </w:rPr>
        <w:t xml:space="preserve"> </w:t>
      </w:r>
      <w:r w:rsidR="00724C80" w:rsidRPr="003B023C">
        <w:rPr>
          <w:lang w:val="en-US"/>
        </w:rPr>
        <w:t>=</w:t>
      </w:r>
      <w:r w:rsidR="00F66348">
        <w:rPr>
          <w:lang w:val="en-US"/>
        </w:rPr>
        <w:t xml:space="preserve"> </w:t>
      </w:r>
      <w:r w:rsidR="00724C80" w:rsidRPr="003B023C">
        <w:rPr>
          <w:lang w:val="en-US"/>
        </w:rPr>
        <w:t>progression-free</w:t>
      </w:r>
      <w:r w:rsidR="00724C80">
        <w:rPr>
          <w:lang w:val="en-US"/>
        </w:rPr>
        <w:t xml:space="preserve"> survival</w:t>
      </w:r>
    </w:p>
    <w:p w14:paraId="65F5BF9C" w14:textId="77777777" w:rsidR="00724C80" w:rsidRDefault="00724C80" w:rsidP="001A283A">
      <w:pPr>
        <w:pStyle w:val="TableFooter"/>
        <w:keepNext/>
        <w:keepLines/>
        <w:rPr>
          <w:lang w:val="en-US"/>
        </w:rPr>
      </w:pPr>
      <w:r>
        <w:rPr>
          <w:lang w:val="en-US"/>
        </w:rPr>
        <w:t xml:space="preserve">Notes: Mobocertinib data were based on the November 2021 data cutoff for Study 101. </w:t>
      </w:r>
      <w:r w:rsidR="001D58EB">
        <w:rPr>
          <w:lang w:val="en-US"/>
        </w:rPr>
        <w:t>Median duration of follow-up 25.8 months</w:t>
      </w:r>
      <w:r w:rsidR="00691D4F">
        <w:rPr>
          <w:lang w:val="en-US"/>
        </w:rPr>
        <w:t xml:space="preserve">. </w:t>
      </w:r>
      <w:r w:rsidR="00BD0DCF">
        <w:rPr>
          <w:lang w:val="en-US"/>
        </w:rPr>
        <w:t>The</w:t>
      </w:r>
      <w:r w:rsidR="00691D4F">
        <w:rPr>
          <w:lang w:val="en-US"/>
        </w:rPr>
        <w:t xml:space="preserve"> median duration of follow was </w:t>
      </w:r>
      <w:r w:rsidR="00BD0DCF">
        <w:rPr>
          <w:lang w:val="en-US"/>
        </w:rPr>
        <w:t xml:space="preserve">not </w:t>
      </w:r>
      <w:r w:rsidR="00691D4F">
        <w:rPr>
          <w:lang w:val="en-US"/>
        </w:rPr>
        <w:t>provided for Study 5008.</w:t>
      </w:r>
    </w:p>
    <w:p w14:paraId="1FC4B1D2" w14:textId="77777777" w:rsidR="00724C80" w:rsidRPr="00B44346" w:rsidRDefault="00724C80" w:rsidP="001A283A">
      <w:pPr>
        <w:pStyle w:val="TableFooter"/>
        <w:keepNext/>
        <w:keepLines/>
        <w:rPr>
          <w:lang w:val="en-US"/>
        </w:rPr>
      </w:pPr>
      <w:r w:rsidRPr="00B44346">
        <w:rPr>
          <w:b/>
          <w:lang w:val="en-US"/>
        </w:rPr>
        <w:t xml:space="preserve">Bolded </w:t>
      </w:r>
      <w:proofErr w:type="gramStart"/>
      <w:r w:rsidRPr="00B44346">
        <w:rPr>
          <w:b/>
          <w:lang w:val="en-US"/>
        </w:rPr>
        <w:t>font</w:t>
      </w:r>
      <w:proofErr w:type="gramEnd"/>
      <w:r w:rsidRPr="00B44346">
        <w:rPr>
          <w:b/>
          <w:lang w:val="en-US"/>
        </w:rPr>
        <w:t xml:space="preserve"> represent statistically significant results</w:t>
      </w:r>
      <w:r w:rsidRPr="00B44346">
        <w:rPr>
          <w:lang w:val="en-US"/>
        </w:rPr>
        <w:t>.</w:t>
      </w:r>
    </w:p>
    <w:p w14:paraId="57E67937" w14:textId="77777777" w:rsidR="00724C80" w:rsidRDefault="00724C80" w:rsidP="000711EA">
      <w:pPr>
        <w:pStyle w:val="TableFooter"/>
      </w:pPr>
    </w:p>
    <w:p w14:paraId="3FC50819" w14:textId="0868F120" w:rsidR="00724C80" w:rsidRDefault="00724C80" w:rsidP="009072EB">
      <w:pPr>
        <w:pStyle w:val="Caption"/>
        <w:keepLines w:val="0"/>
      </w:pPr>
      <w:bookmarkStart w:id="34" w:name="_Ref112591443"/>
      <w:r>
        <w:lastRenderedPageBreak/>
        <w:t xml:space="preserve">Figure </w:t>
      </w:r>
      <w:r w:rsidR="001635D4">
        <w:fldChar w:fldCharType="begin"/>
      </w:r>
      <w:r w:rsidR="001635D4">
        <w:instrText xml:space="preserve"> SEQ Figure \* ARABIC </w:instrText>
      </w:r>
      <w:r w:rsidR="001635D4">
        <w:fldChar w:fldCharType="separate"/>
      </w:r>
      <w:r w:rsidR="001635D4">
        <w:rPr>
          <w:noProof/>
        </w:rPr>
        <w:t>1</w:t>
      </w:r>
      <w:r w:rsidR="001635D4">
        <w:rPr>
          <w:noProof/>
        </w:rPr>
        <w:fldChar w:fldCharType="end"/>
      </w:r>
      <w:bookmarkEnd w:id="34"/>
      <w:r>
        <w:t xml:space="preserve">: KM plot of OS for mobocertinib (observed) vs. Study 5008 (observed and weighted) </w:t>
      </w:r>
    </w:p>
    <w:p w14:paraId="04D48E1D" w14:textId="77777777" w:rsidR="00724C80" w:rsidRDefault="00724C80" w:rsidP="000711EA">
      <w:pPr>
        <w:pStyle w:val="BodyText"/>
      </w:pPr>
      <w:r w:rsidRPr="00A63955">
        <w:rPr>
          <w:noProof/>
        </w:rPr>
        <w:drawing>
          <wp:inline distT="0" distB="0" distL="0" distR="0" wp14:anchorId="6AE0A5D5" wp14:editId="54A26FD1">
            <wp:extent cx="5667375" cy="3571875"/>
            <wp:effectExtent l="0" t="0" r="9525" b="9525"/>
            <wp:docPr id="23" name="Picture 23" descr="Figure 1: KM plot of OS for mobocertinib (observed) vs. Study 5008 (observed and we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1: KM plot of OS for mobocertinib (observed) vs. Study 5008 (observed and weighted) "/>
                    <pic:cNvPicPr/>
                  </pic:nvPicPr>
                  <pic:blipFill>
                    <a:blip r:embed="rId8"/>
                    <a:stretch>
                      <a:fillRect/>
                    </a:stretch>
                  </pic:blipFill>
                  <pic:spPr>
                    <a:xfrm>
                      <a:off x="0" y="0"/>
                      <a:ext cx="5667375" cy="3571875"/>
                    </a:xfrm>
                    <a:prstGeom prst="rect">
                      <a:avLst/>
                    </a:prstGeom>
                  </pic:spPr>
                </pic:pic>
              </a:graphicData>
            </a:graphic>
          </wp:inline>
        </w:drawing>
      </w:r>
    </w:p>
    <w:p w14:paraId="695C98A5" w14:textId="77777777" w:rsidR="00724C80" w:rsidRDefault="00724C80" w:rsidP="000711EA">
      <w:pPr>
        <w:pStyle w:val="TableFooter"/>
      </w:pPr>
      <w:r>
        <w:t>Source: Figure 2-15, p152 of the submission.</w:t>
      </w:r>
    </w:p>
    <w:p w14:paraId="2058CEEE" w14:textId="484CF374" w:rsidR="00724C80" w:rsidRPr="00FD1AB4" w:rsidRDefault="00724C80" w:rsidP="000711EA">
      <w:pPr>
        <w:pStyle w:val="TableFooter"/>
      </w:pPr>
      <w:r w:rsidRPr="00FD1AB4">
        <w:t>KM</w:t>
      </w:r>
      <w:r w:rsidR="00F66348">
        <w:t xml:space="preserve"> </w:t>
      </w:r>
      <w:r w:rsidRPr="00FD1AB4">
        <w:t>=</w:t>
      </w:r>
      <w:r w:rsidR="00F66348">
        <w:t xml:space="preserve"> </w:t>
      </w:r>
      <w:r w:rsidRPr="00FD1AB4">
        <w:t>Kaplan-Meier; OS =</w:t>
      </w:r>
      <w:r w:rsidR="00F66348">
        <w:t xml:space="preserve"> </w:t>
      </w:r>
      <w:r w:rsidRPr="00FD1AB4">
        <w:t>overall survival</w:t>
      </w:r>
    </w:p>
    <w:p w14:paraId="0A0743E6" w14:textId="77777777" w:rsidR="00724C80" w:rsidRPr="00F906AB" w:rsidRDefault="00724C80" w:rsidP="000711EA">
      <w:pPr>
        <w:rPr>
          <w:rFonts w:asciiTheme="minorHAnsi" w:hAnsiTheme="minorHAnsi" w:cstheme="minorHAnsi"/>
          <w:sz w:val="16"/>
          <w:szCs w:val="16"/>
          <w:lang w:val="en-GB"/>
        </w:rPr>
      </w:pPr>
    </w:p>
    <w:p w14:paraId="377A9F06" w14:textId="43BB320E" w:rsidR="00724C80" w:rsidRPr="00B25993" w:rsidRDefault="00724C80" w:rsidP="00B25993">
      <w:pPr>
        <w:pStyle w:val="Caption"/>
      </w:pPr>
      <w:bookmarkStart w:id="35" w:name="_Ref112592149"/>
      <w:r>
        <w:lastRenderedPageBreak/>
        <w:t xml:space="preserve">Figure </w:t>
      </w:r>
      <w:r w:rsidR="001635D4">
        <w:fldChar w:fldCharType="begin"/>
      </w:r>
      <w:r w:rsidR="001635D4">
        <w:instrText xml:space="preserve"> SEQ Figure \* ARABIC </w:instrText>
      </w:r>
      <w:r w:rsidR="001635D4">
        <w:fldChar w:fldCharType="separate"/>
      </w:r>
      <w:r w:rsidR="001635D4">
        <w:rPr>
          <w:noProof/>
        </w:rPr>
        <w:t>2</w:t>
      </w:r>
      <w:r w:rsidR="001635D4">
        <w:rPr>
          <w:noProof/>
        </w:rPr>
        <w:fldChar w:fldCharType="end"/>
      </w:r>
      <w:bookmarkEnd w:id="35"/>
      <w:r>
        <w:t xml:space="preserve">: KM plot of PFS-INV for mobocertinib (observed) vs. Study 5008 (observed and weighted) </w:t>
      </w:r>
    </w:p>
    <w:p w14:paraId="76337A79" w14:textId="77777777" w:rsidR="00724C80" w:rsidRDefault="00724C80" w:rsidP="00B25993">
      <w:pPr>
        <w:pStyle w:val="BodyText"/>
        <w:keepNext/>
        <w:keepLines/>
        <w:jc w:val="center"/>
      </w:pPr>
      <w:r>
        <w:rPr>
          <w:noProof/>
        </w:rPr>
        <w:drawing>
          <wp:inline distT="0" distB="0" distL="0" distR="0" wp14:anchorId="04CE0EC7" wp14:editId="72EF81CC">
            <wp:extent cx="5591175" cy="3209925"/>
            <wp:effectExtent l="0" t="0" r="9525" b="9525"/>
            <wp:docPr id="27" name="Picture 27" descr="Figure 2: KM plot of PFS-INV for mobocertinib (observed) vs. Study 5008 (observed and we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Figure 2: KM plot of PFS-INV for mobocertinib (observed) vs. Study 5008 (observed and weighted) "/>
                    <pic:cNvPicPr/>
                  </pic:nvPicPr>
                  <pic:blipFill>
                    <a:blip r:embed="rId9"/>
                    <a:stretch>
                      <a:fillRect/>
                    </a:stretch>
                  </pic:blipFill>
                  <pic:spPr>
                    <a:xfrm>
                      <a:off x="0" y="0"/>
                      <a:ext cx="5591175" cy="3209925"/>
                    </a:xfrm>
                    <a:prstGeom prst="rect">
                      <a:avLst/>
                    </a:prstGeom>
                  </pic:spPr>
                </pic:pic>
              </a:graphicData>
            </a:graphic>
          </wp:inline>
        </w:drawing>
      </w:r>
    </w:p>
    <w:p w14:paraId="2FEE773C" w14:textId="77777777" w:rsidR="00724C80" w:rsidRDefault="00724C80" w:rsidP="00B25993">
      <w:pPr>
        <w:pStyle w:val="TableFooter"/>
        <w:keepNext/>
        <w:keepLines/>
      </w:pPr>
      <w:r>
        <w:t>Source: Figure 2-16, p153 of the submission.</w:t>
      </w:r>
    </w:p>
    <w:p w14:paraId="6A60F543" w14:textId="720AF3D9" w:rsidR="00724C80" w:rsidRDefault="00724C80" w:rsidP="00B25993">
      <w:pPr>
        <w:pStyle w:val="TableFooter"/>
        <w:keepNext/>
        <w:keepLines/>
        <w:rPr>
          <w:lang w:val="en-US"/>
        </w:rPr>
      </w:pPr>
      <w:r w:rsidRPr="00FD1AB4">
        <w:t>KM</w:t>
      </w:r>
      <w:r w:rsidR="00F66348">
        <w:t xml:space="preserve"> </w:t>
      </w:r>
      <w:r w:rsidRPr="00FD1AB4">
        <w:t>=</w:t>
      </w:r>
      <w:r w:rsidR="00F66348">
        <w:t xml:space="preserve"> </w:t>
      </w:r>
      <w:r w:rsidRPr="00FD1AB4">
        <w:t xml:space="preserve">Kaplan-Meier; </w:t>
      </w:r>
      <w:r>
        <w:t>PFS-</w:t>
      </w:r>
      <w:r w:rsidRPr="003B023C">
        <w:rPr>
          <w:lang w:val="en-US"/>
        </w:rPr>
        <w:t>INV</w:t>
      </w:r>
      <w:r w:rsidR="00F66348">
        <w:rPr>
          <w:lang w:val="en-US"/>
        </w:rPr>
        <w:t xml:space="preserve"> </w:t>
      </w:r>
      <w:r w:rsidRPr="003B023C">
        <w:rPr>
          <w:lang w:val="en-US"/>
        </w:rPr>
        <w:t>=</w:t>
      </w:r>
      <w:r w:rsidR="00F66348">
        <w:rPr>
          <w:lang w:val="en-US"/>
        </w:rPr>
        <w:t xml:space="preserve"> </w:t>
      </w:r>
      <w:r>
        <w:rPr>
          <w:lang w:val="en-US"/>
        </w:rPr>
        <w:t xml:space="preserve">progression free survival as assessed by </w:t>
      </w:r>
      <w:r w:rsidRPr="003B023C">
        <w:rPr>
          <w:lang w:val="en-US"/>
        </w:rPr>
        <w:t>investigator</w:t>
      </w:r>
    </w:p>
    <w:p w14:paraId="24ADFB96" w14:textId="77777777" w:rsidR="00724C80" w:rsidRDefault="00724C80" w:rsidP="00B25993">
      <w:pPr>
        <w:keepNext/>
        <w:keepLines/>
        <w:rPr>
          <w:rFonts w:asciiTheme="minorHAnsi" w:hAnsiTheme="minorHAnsi" w:cstheme="minorHAnsi"/>
          <w:lang w:val="en-GB"/>
        </w:rPr>
      </w:pPr>
    </w:p>
    <w:p w14:paraId="419960B7" w14:textId="3575B864" w:rsidR="00724C80" w:rsidRDefault="001D58EB" w:rsidP="000711EA">
      <w:pPr>
        <w:pStyle w:val="3-BodyText"/>
      </w:pPr>
      <w:r>
        <w:t>Based on a median duration of follow-up of 25.8 months in Study 101, t</w:t>
      </w:r>
      <w:r w:rsidR="00724C80">
        <w:t xml:space="preserve">he median duration of OS was 20.2 months (95% CI: 14.9, 25.3) in the </w:t>
      </w:r>
      <w:r>
        <w:t>Study 101 PPP cohort</w:t>
      </w:r>
      <w:r w:rsidR="00724C80">
        <w:t xml:space="preserve"> (events observed in 57.9% [66/114]) compared </w:t>
      </w:r>
      <w:r w:rsidR="00B44346">
        <w:t>to</w:t>
      </w:r>
      <w:r w:rsidR="00724C80">
        <w:t xml:space="preserve"> 11.3 months (95% CI: 8.9, 14.5) in Study 5008 (events observed in 74.4% [32/43]). Before </w:t>
      </w:r>
      <w:r w:rsidR="00C56068" w:rsidRPr="00C80828">
        <w:t>IPTW</w:t>
      </w:r>
      <w:r w:rsidR="00C56068">
        <w:t xml:space="preserve"> </w:t>
      </w:r>
      <w:r w:rsidR="00724C80">
        <w:t>adjustment, the HR was 0.50 representing a statistically significant 50% reduction in the hazard of death associated with mobocertinib compared to treatments received in Study 5008. After adjustment, the median OS decreased to 9.8 months in the Study 5008 cohort which corresponded to a statistically significant 58% reduction in the hazard of death associated with mobocertinib (HR=0.42</w:t>
      </w:r>
      <w:r>
        <w:t xml:space="preserve">; 95% CI: </w:t>
      </w:r>
      <w:r w:rsidRPr="001D58EB">
        <w:t>0.26, 0.69</w:t>
      </w:r>
      <w:r w:rsidR="00724C80">
        <w:t>).</w:t>
      </w:r>
    </w:p>
    <w:p w14:paraId="3420214D" w14:textId="2C53256B" w:rsidR="00724C80" w:rsidRDefault="001D58EB" w:rsidP="000711EA">
      <w:pPr>
        <w:pStyle w:val="3-BodyText"/>
        <w:rPr>
          <w:iCs/>
        </w:rPr>
      </w:pPr>
      <w:r w:rsidRPr="00BD0DCF">
        <w:t xml:space="preserve">The median duration of PFS </w:t>
      </w:r>
      <w:r w:rsidR="000374FC" w:rsidRPr="00BD0DCF">
        <w:t>in the mobocertinib cohort wa</w:t>
      </w:r>
      <w:r w:rsidRPr="00BD0DCF">
        <w:t xml:space="preserve">s </w:t>
      </w:r>
      <w:r w:rsidR="000374FC" w:rsidRPr="00BD0DCF">
        <w:t>similar between investigator- and IRC-based assessments (</w:t>
      </w:r>
      <w:r w:rsidRPr="00BD0DCF">
        <w:t>approximately 7.3 months</w:t>
      </w:r>
      <w:r w:rsidR="000374FC" w:rsidRPr="00BD0DCF">
        <w:t>)</w:t>
      </w:r>
      <w:r w:rsidRPr="00BD0DCF">
        <w:t xml:space="preserve">. </w:t>
      </w:r>
      <w:r w:rsidRPr="007135FB">
        <w:rPr>
          <w:iCs/>
        </w:rPr>
        <w:t xml:space="preserve">Given the retrospective design of Study 5008, there </w:t>
      </w:r>
      <w:r w:rsidR="000374FC" w:rsidRPr="007135FB">
        <w:rPr>
          <w:iCs/>
        </w:rPr>
        <w:t>were</w:t>
      </w:r>
      <w:r w:rsidRPr="007135FB">
        <w:rPr>
          <w:iCs/>
        </w:rPr>
        <w:t xml:space="preserve"> no </w:t>
      </w:r>
      <w:r w:rsidR="00F43968" w:rsidRPr="007135FB">
        <w:rPr>
          <w:iCs/>
        </w:rPr>
        <w:t>IRC-based</w:t>
      </w:r>
      <w:r w:rsidR="00B44346" w:rsidRPr="007135FB">
        <w:rPr>
          <w:iCs/>
        </w:rPr>
        <w:t xml:space="preserve"> or investigator</w:t>
      </w:r>
      <w:r w:rsidR="00F43968" w:rsidRPr="007135FB">
        <w:rPr>
          <w:iCs/>
        </w:rPr>
        <w:t xml:space="preserve">-based </w:t>
      </w:r>
      <w:r w:rsidR="00B44346" w:rsidRPr="007135FB">
        <w:rPr>
          <w:iCs/>
        </w:rPr>
        <w:t>assessment</w:t>
      </w:r>
      <w:r w:rsidR="00F43968" w:rsidRPr="007135FB">
        <w:rPr>
          <w:iCs/>
        </w:rPr>
        <w:t>s</w:t>
      </w:r>
      <w:r w:rsidR="00B44346" w:rsidRPr="007135FB">
        <w:rPr>
          <w:iCs/>
        </w:rPr>
        <w:t xml:space="preserve"> </w:t>
      </w:r>
      <w:r w:rsidR="00F43968" w:rsidRPr="007135FB">
        <w:rPr>
          <w:iCs/>
        </w:rPr>
        <w:t>for</w:t>
      </w:r>
      <w:r w:rsidRPr="007135FB">
        <w:rPr>
          <w:iCs/>
        </w:rPr>
        <w:t xml:space="preserve"> PFS. </w:t>
      </w:r>
      <w:r w:rsidR="00B43576" w:rsidRPr="007135FB">
        <w:rPr>
          <w:iCs/>
        </w:rPr>
        <w:t>Adjustment resulted in a slight decrease in the median PFS duration in Study 5008 from 3.02 months to 2.60 months. The reduction in hazard of progression or death associated with mobocertinib was approximately 70%, which was statistically significant, and similar across unadjusted and adjusted analyses.</w:t>
      </w:r>
    </w:p>
    <w:p w14:paraId="0CCF3A2A" w14:textId="31FB3903" w:rsidR="00903A1F" w:rsidRPr="007135FB" w:rsidRDefault="00903A1F" w:rsidP="00903A1F">
      <w:pPr>
        <w:pStyle w:val="3-BodyText"/>
        <w:numPr>
          <w:ilvl w:val="0"/>
          <w:numId w:val="0"/>
        </w:numPr>
        <w:rPr>
          <w:iCs/>
        </w:rPr>
      </w:pPr>
      <w:r w:rsidRPr="001C7C2E">
        <w:rPr>
          <w:b/>
          <w:bCs/>
          <w:i/>
          <w:iCs/>
        </w:rPr>
        <w:t>Mobocertinib (Study 101) versus SOC (Study 500</w:t>
      </w:r>
      <w:r>
        <w:rPr>
          <w:b/>
          <w:bCs/>
          <w:i/>
          <w:iCs/>
        </w:rPr>
        <w:t>2</w:t>
      </w:r>
      <w:r w:rsidRPr="001C7C2E">
        <w:rPr>
          <w:b/>
          <w:bCs/>
          <w:i/>
          <w:iCs/>
        </w:rPr>
        <w:t>)</w:t>
      </w:r>
    </w:p>
    <w:p w14:paraId="4FAA5220" w14:textId="02E1DAC3" w:rsidR="00691D4F" w:rsidRDefault="00691D4F" w:rsidP="000711EA">
      <w:pPr>
        <w:pStyle w:val="3-BodyText"/>
      </w:pPr>
      <w:r>
        <w:t xml:space="preserve">Results of the IPTW-based indirect comparison between Study 101 and Study 5002 are presented in </w:t>
      </w:r>
      <w:r>
        <w:fldChar w:fldCharType="begin"/>
      </w:r>
      <w:r>
        <w:instrText xml:space="preserve"> REF _Ref112592034 \h </w:instrText>
      </w:r>
      <w:r>
        <w:fldChar w:fldCharType="separate"/>
      </w:r>
      <w:r w:rsidR="001635D4">
        <w:t xml:space="preserve">Table </w:t>
      </w:r>
      <w:r w:rsidR="001635D4">
        <w:rPr>
          <w:noProof/>
        </w:rPr>
        <w:t>8</w:t>
      </w:r>
      <w:r>
        <w:fldChar w:fldCharType="end"/>
      </w:r>
      <w:r>
        <w:t xml:space="preserve">. </w:t>
      </w:r>
      <w:r w:rsidRPr="001D58EB">
        <w:t xml:space="preserve">KM plots for </w:t>
      </w:r>
      <w:r w:rsidRPr="005D2CAF">
        <w:t>OS and PFS (investigator</w:t>
      </w:r>
      <w:r w:rsidR="005D2CAF" w:rsidRPr="005D2CAF">
        <w:t>-based</w:t>
      </w:r>
      <w:r w:rsidRPr="005D2CAF">
        <w:t xml:space="preserve">) are presented in </w:t>
      </w:r>
      <w:r w:rsidRPr="005D2CAF">
        <w:fldChar w:fldCharType="begin"/>
      </w:r>
      <w:r w:rsidRPr="005D2CAF">
        <w:instrText xml:space="preserve"> REF _Ref112592072 \h </w:instrText>
      </w:r>
      <w:r w:rsidRPr="005D2CAF">
        <w:fldChar w:fldCharType="separate"/>
      </w:r>
      <w:r w:rsidR="001635D4">
        <w:t xml:space="preserve">Figure </w:t>
      </w:r>
      <w:r w:rsidR="001635D4">
        <w:rPr>
          <w:noProof/>
        </w:rPr>
        <w:t>3</w:t>
      </w:r>
      <w:r w:rsidRPr="005D2CAF">
        <w:fldChar w:fldCharType="end"/>
      </w:r>
      <w:r w:rsidR="005D2CAF" w:rsidRPr="005D2CAF">
        <w:t xml:space="preserve"> and </w:t>
      </w:r>
      <w:r w:rsidRPr="005D2CAF">
        <w:fldChar w:fldCharType="begin"/>
      </w:r>
      <w:r w:rsidRPr="005D2CAF">
        <w:instrText xml:space="preserve"> REF _Ref112592062 \h </w:instrText>
      </w:r>
      <w:r w:rsidRPr="005D2CAF">
        <w:fldChar w:fldCharType="separate"/>
      </w:r>
      <w:r w:rsidR="001635D4">
        <w:t xml:space="preserve">Figure </w:t>
      </w:r>
      <w:r w:rsidR="001635D4">
        <w:rPr>
          <w:noProof/>
        </w:rPr>
        <w:t>4</w:t>
      </w:r>
      <w:r w:rsidRPr="005D2CAF">
        <w:fldChar w:fldCharType="end"/>
      </w:r>
      <w:r w:rsidRPr="005D2CAF">
        <w:t>, respectively.</w:t>
      </w:r>
    </w:p>
    <w:p w14:paraId="541D7695" w14:textId="42F20DB7" w:rsidR="005D2CAF" w:rsidRPr="007135FB" w:rsidRDefault="00C56068" w:rsidP="000711EA">
      <w:pPr>
        <w:pStyle w:val="3-BodyText"/>
        <w:rPr>
          <w:iCs/>
        </w:rPr>
      </w:pPr>
      <w:r w:rsidRPr="00957154">
        <w:rPr>
          <w:iCs/>
        </w:rPr>
        <w:lastRenderedPageBreak/>
        <w:t>The evaluation noted that</w:t>
      </w:r>
      <w:r>
        <w:rPr>
          <w:iCs/>
        </w:rPr>
        <w:t xml:space="preserve"> s</w:t>
      </w:r>
      <w:r w:rsidR="005D2CAF" w:rsidRPr="007135FB">
        <w:rPr>
          <w:iCs/>
        </w:rPr>
        <w:t xml:space="preserve">ome of the results </w:t>
      </w:r>
      <w:r w:rsidR="00B44346" w:rsidRPr="007135FB">
        <w:rPr>
          <w:iCs/>
        </w:rPr>
        <w:t>presented in the submission</w:t>
      </w:r>
      <w:r w:rsidR="00FC325A" w:rsidRPr="007135FB">
        <w:rPr>
          <w:iCs/>
        </w:rPr>
        <w:t>’s main body</w:t>
      </w:r>
      <w:r w:rsidR="00B44346" w:rsidRPr="007135FB">
        <w:rPr>
          <w:iCs/>
        </w:rPr>
        <w:t xml:space="preserve"> </w:t>
      </w:r>
      <w:r w:rsidR="005D2CAF" w:rsidRPr="007135FB">
        <w:rPr>
          <w:iCs/>
        </w:rPr>
        <w:t xml:space="preserve">could not be verified from the </w:t>
      </w:r>
      <w:r w:rsidR="00FC325A" w:rsidRPr="007135FB">
        <w:rPr>
          <w:iCs/>
        </w:rPr>
        <w:t xml:space="preserve">submission’s </w:t>
      </w:r>
      <w:r w:rsidR="00B44346" w:rsidRPr="007135FB">
        <w:rPr>
          <w:iCs/>
        </w:rPr>
        <w:t xml:space="preserve">cited </w:t>
      </w:r>
      <w:r w:rsidR="005D2CAF" w:rsidRPr="007135FB">
        <w:rPr>
          <w:iCs/>
        </w:rPr>
        <w:t>source</w:t>
      </w:r>
      <w:r w:rsidR="00FC325A" w:rsidRPr="007135FB">
        <w:rPr>
          <w:iCs/>
        </w:rPr>
        <w:t xml:space="preserve"> </w:t>
      </w:r>
      <w:r w:rsidR="005D2CAF" w:rsidRPr="007135FB">
        <w:rPr>
          <w:iCs/>
        </w:rPr>
        <w:t xml:space="preserve">As </w:t>
      </w:r>
      <w:r w:rsidR="00CF7B6D" w:rsidRPr="007135FB">
        <w:rPr>
          <w:iCs/>
        </w:rPr>
        <w:t xml:space="preserve">the </w:t>
      </w:r>
      <w:r w:rsidR="005D2CAF" w:rsidRPr="007135FB">
        <w:rPr>
          <w:iCs/>
        </w:rPr>
        <w:t xml:space="preserve">PFS results appeared consistent across all sections of </w:t>
      </w:r>
      <w:r w:rsidR="00CF7B6D" w:rsidRPr="007135FB">
        <w:rPr>
          <w:iCs/>
        </w:rPr>
        <w:t xml:space="preserve">the </w:t>
      </w:r>
      <w:r w:rsidR="00FC325A" w:rsidRPr="007135FB">
        <w:rPr>
          <w:iCs/>
        </w:rPr>
        <w:t>source</w:t>
      </w:r>
      <w:r w:rsidR="004B384B">
        <w:rPr>
          <w:iCs/>
        </w:rPr>
        <w:t xml:space="preserve"> document</w:t>
      </w:r>
      <w:r w:rsidR="00FC325A" w:rsidRPr="007135FB">
        <w:rPr>
          <w:iCs/>
        </w:rPr>
        <w:t xml:space="preserve">, </w:t>
      </w:r>
      <w:r w:rsidR="005D2CAF" w:rsidRPr="007135FB">
        <w:rPr>
          <w:iCs/>
        </w:rPr>
        <w:t xml:space="preserve">they were considered to be more accurate </w:t>
      </w:r>
      <w:r w:rsidR="00CF7B6D" w:rsidRPr="007135FB">
        <w:rPr>
          <w:iCs/>
        </w:rPr>
        <w:t xml:space="preserve">and are summarised in </w:t>
      </w:r>
      <w:r w:rsidR="00CF7B6D" w:rsidRPr="007135FB">
        <w:rPr>
          <w:iCs/>
        </w:rPr>
        <w:fldChar w:fldCharType="begin"/>
      </w:r>
      <w:r w:rsidR="00CF7B6D" w:rsidRPr="007135FB">
        <w:rPr>
          <w:iCs/>
        </w:rPr>
        <w:instrText xml:space="preserve"> REF _Ref112592034 \h  \* MERGEFORMAT </w:instrText>
      </w:r>
      <w:r w:rsidR="00CF7B6D" w:rsidRPr="007135FB">
        <w:rPr>
          <w:iCs/>
        </w:rPr>
      </w:r>
      <w:r w:rsidR="00CF7B6D" w:rsidRPr="007135FB">
        <w:rPr>
          <w:iCs/>
        </w:rPr>
        <w:fldChar w:fldCharType="separate"/>
      </w:r>
      <w:r w:rsidR="001635D4" w:rsidRPr="001635D4">
        <w:rPr>
          <w:iCs/>
        </w:rPr>
        <w:t xml:space="preserve">Table </w:t>
      </w:r>
      <w:r w:rsidR="001635D4" w:rsidRPr="001635D4">
        <w:rPr>
          <w:iCs/>
          <w:noProof/>
        </w:rPr>
        <w:t>8</w:t>
      </w:r>
      <w:r w:rsidR="00CF7B6D" w:rsidRPr="007135FB">
        <w:rPr>
          <w:iCs/>
        </w:rPr>
        <w:fldChar w:fldCharType="end"/>
      </w:r>
      <w:r w:rsidR="005D2CAF" w:rsidRPr="007135FB">
        <w:rPr>
          <w:iCs/>
        </w:rPr>
        <w:t>.</w:t>
      </w:r>
    </w:p>
    <w:p w14:paraId="095B0D9F" w14:textId="296EBC0F" w:rsidR="00691D4F" w:rsidRPr="00813789" w:rsidRDefault="00691D4F" w:rsidP="00DD0323">
      <w:pPr>
        <w:pStyle w:val="TableFigureHeading"/>
        <w:keepLines/>
        <w:rPr>
          <w:rFonts w:cstheme="minorHAnsi"/>
        </w:rPr>
      </w:pPr>
      <w:bookmarkStart w:id="36" w:name="_Ref112592034"/>
      <w:r>
        <w:t xml:space="preserve">Table </w:t>
      </w:r>
      <w:r w:rsidR="001635D4">
        <w:fldChar w:fldCharType="begin"/>
      </w:r>
      <w:r w:rsidR="001635D4">
        <w:instrText xml:space="preserve"> SEQ Table \* ARABIC </w:instrText>
      </w:r>
      <w:r w:rsidR="001635D4">
        <w:fldChar w:fldCharType="separate"/>
      </w:r>
      <w:r w:rsidR="001635D4">
        <w:rPr>
          <w:noProof/>
        </w:rPr>
        <w:t>8</w:t>
      </w:r>
      <w:r w:rsidR="001635D4">
        <w:rPr>
          <w:noProof/>
        </w:rPr>
        <w:fldChar w:fldCharType="end"/>
      </w:r>
      <w:bookmarkEnd w:id="36"/>
      <w:r>
        <w:t xml:space="preserve">: </w:t>
      </w:r>
      <w:r w:rsidRPr="00813789">
        <w:t>Summary of the indirect comparison results – Mobocertinib versus Study 5002</w:t>
      </w:r>
    </w:p>
    <w:tbl>
      <w:tblPr>
        <w:tblStyle w:val="TableGrid"/>
        <w:tblW w:w="5000" w:type="pct"/>
        <w:tblLook w:val="0420" w:firstRow="1" w:lastRow="0" w:firstColumn="0" w:lastColumn="0" w:noHBand="0" w:noVBand="1"/>
      </w:tblPr>
      <w:tblGrid>
        <w:gridCol w:w="4107"/>
        <w:gridCol w:w="1702"/>
        <w:gridCol w:w="1558"/>
        <w:gridCol w:w="1650"/>
      </w:tblGrid>
      <w:tr w:rsidR="00691D4F" w:rsidRPr="00813789" w14:paraId="36C9E99E" w14:textId="77777777" w:rsidTr="00956A40">
        <w:tc>
          <w:tcPr>
            <w:tcW w:w="2277" w:type="pct"/>
          </w:tcPr>
          <w:p w14:paraId="052637ED" w14:textId="77777777" w:rsidR="00691D4F" w:rsidRPr="00813789" w:rsidRDefault="00691D4F" w:rsidP="00DD0323">
            <w:pPr>
              <w:pStyle w:val="Tabletext"/>
              <w:keepNext/>
              <w:keepLines/>
            </w:pPr>
          </w:p>
        </w:tc>
        <w:tc>
          <w:tcPr>
            <w:tcW w:w="944" w:type="pct"/>
          </w:tcPr>
          <w:p w14:paraId="263C2430" w14:textId="77777777" w:rsidR="00691D4F" w:rsidRPr="00813789" w:rsidRDefault="00691D4F" w:rsidP="00DD0323">
            <w:pPr>
              <w:pStyle w:val="Tabletext"/>
              <w:keepNext/>
              <w:keepLines/>
              <w:rPr>
                <w:b/>
              </w:rPr>
            </w:pPr>
            <w:r w:rsidRPr="00813789">
              <w:rPr>
                <w:rFonts w:eastAsia="Arial"/>
                <w:b/>
              </w:rPr>
              <w:t>OS</w:t>
            </w:r>
          </w:p>
        </w:tc>
        <w:tc>
          <w:tcPr>
            <w:tcW w:w="864" w:type="pct"/>
          </w:tcPr>
          <w:p w14:paraId="6C451BE7" w14:textId="77777777" w:rsidR="00691D4F" w:rsidRPr="00813789" w:rsidRDefault="00691D4F" w:rsidP="00DD0323">
            <w:pPr>
              <w:pStyle w:val="Tabletext"/>
              <w:keepNext/>
              <w:keepLines/>
              <w:rPr>
                <w:b/>
              </w:rPr>
            </w:pPr>
            <w:r w:rsidRPr="00813789">
              <w:rPr>
                <w:rFonts w:eastAsia="Arial"/>
                <w:b/>
              </w:rPr>
              <w:t>PFS-INV</w:t>
            </w:r>
          </w:p>
        </w:tc>
        <w:tc>
          <w:tcPr>
            <w:tcW w:w="915" w:type="pct"/>
          </w:tcPr>
          <w:p w14:paraId="324C5E49" w14:textId="77777777" w:rsidR="00691D4F" w:rsidRPr="00813789" w:rsidRDefault="00691D4F" w:rsidP="00DD0323">
            <w:pPr>
              <w:pStyle w:val="Tabletext"/>
              <w:keepNext/>
              <w:keepLines/>
              <w:rPr>
                <w:b/>
              </w:rPr>
            </w:pPr>
            <w:r w:rsidRPr="00813789">
              <w:rPr>
                <w:rFonts w:eastAsia="Arial"/>
                <w:b/>
              </w:rPr>
              <w:t>PFS-IRC</w:t>
            </w:r>
          </w:p>
        </w:tc>
      </w:tr>
      <w:tr w:rsidR="00691D4F" w:rsidRPr="00813789" w14:paraId="17ADEEA4" w14:textId="77777777" w:rsidTr="00956A40">
        <w:tc>
          <w:tcPr>
            <w:tcW w:w="2277" w:type="pct"/>
          </w:tcPr>
          <w:p w14:paraId="7B1416BB" w14:textId="77777777" w:rsidR="00691D4F" w:rsidRPr="00813789" w:rsidRDefault="00691D4F" w:rsidP="00DD0323">
            <w:pPr>
              <w:pStyle w:val="Tabletext"/>
              <w:keepNext/>
              <w:keepLines/>
            </w:pPr>
            <w:r w:rsidRPr="00813789">
              <w:rPr>
                <w:rFonts w:eastAsia="Arial"/>
              </w:rPr>
              <w:t>Median duration mobocertinib, months (95% CI)</w:t>
            </w:r>
          </w:p>
        </w:tc>
        <w:tc>
          <w:tcPr>
            <w:tcW w:w="944" w:type="pct"/>
          </w:tcPr>
          <w:p w14:paraId="4CB8F6F3" w14:textId="77777777" w:rsidR="00691D4F" w:rsidRPr="00813789" w:rsidRDefault="00691D4F" w:rsidP="00DD0323">
            <w:pPr>
              <w:pStyle w:val="Tabletext"/>
              <w:keepNext/>
              <w:keepLines/>
            </w:pPr>
            <w:r w:rsidRPr="00813789">
              <w:rPr>
                <w:rFonts w:eastAsia="Arial"/>
              </w:rPr>
              <w:t>20.17 (14.88, 25.26)</w:t>
            </w:r>
          </w:p>
        </w:tc>
        <w:tc>
          <w:tcPr>
            <w:tcW w:w="864" w:type="pct"/>
          </w:tcPr>
          <w:p w14:paraId="6EE69B38" w14:textId="77777777" w:rsidR="00691D4F" w:rsidRPr="00813789" w:rsidRDefault="00691D4F" w:rsidP="00DD0323">
            <w:pPr>
              <w:pStyle w:val="Tabletext"/>
              <w:keepNext/>
              <w:keepLines/>
            </w:pPr>
            <w:r w:rsidRPr="00813789">
              <w:rPr>
                <w:rFonts w:eastAsia="Arial"/>
              </w:rPr>
              <w:t>7.33 (5.55, 8.83)</w:t>
            </w:r>
          </w:p>
        </w:tc>
        <w:tc>
          <w:tcPr>
            <w:tcW w:w="915" w:type="pct"/>
          </w:tcPr>
          <w:p w14:paraId="1FDDB678" w14:textId="77777777" w:rsidR="00691D4F" w:rsidRPr="00813789" w:rsidRDefault="00691D4F" w:rsidP="00DD0323">
            <w:pPr>
              <w:pStyle w:val="Tabletext"/>
              <w:keepNext/>
              <w:keepLines/>
            </w:pPr>
            <w:r w:rsidRPr="00813789">
              <w:rPr>
                <w:rFonts w:eastAsia="Arial"/>
              </w:rPr>
              <w:t>7.29 (5.52, 9.23)</w:t>
            </w:r>
          </w:p>
        </w:tc>
      </w:tr>
      <w:tr w:rsidR="006B1FED" w:rsidRPr="00813789" w14:paraId="5773DDB4" w14:textId="77777777" w:rsidTr="00956A40">
        <w:tc>
          <w:tcPr>
            <w:tcW w:w="2277" w:type="pct"/>
          </w:tcPr>
          <w:p w14:paraId="06A8C347" w14:textId="77777777" w:rsidR="006B1FED" w:rsidRPr="00813789" w:rsidRDefault="006B1FED" w:rsidP="00DD0323">
            <w:pPr>
              <w:pStyle w:val="Tabletext"/>
              <w:keepNext/>
              <w:keepLines/>
            </w:pPr>
            <w:r w:rsidRPr="00813789">
              <w:rPr>
                <w:rFonts w:eastAsia="Arial"/>
              </w:rPr>
              <w:t>Unadjusted median duration Study 5002, months (95% CI)</w:t>
            </w:r>
          </w:p>
        </w:tc>
        <w:tc>
          <w:tcPr>
            <w:tcW w:w="944" w:type="pct"/>
          </w:tcPr>
          <w:p w14:paraId="13582907" w14:textId="77777777" w:rsidR="006B1FED" w:rsidRPr="00813789" w:rsidRDefault="006B1FED" w:rsidP="00DD0323">
            <w:pPr>
              <w:pStyle w:val="Tabletext"/>
              <w:keepNext/>
              <w:keepLines/>
            </w:pPr>
            <w:r w:rsidRPr="00813789">
              <w:rPr>
                <w:rFonts w:eastAsia="Arial"/>
              </w:rPr>
              <w:t>11.47 (7.89, 16.56)</w:t>
            </w:r>
          </w:p>
        </w:tc>
        <w:tc>
          <w:tcPr>
            <w:tcW w:w="1779" w:type="pct"/>
            <w:gridSpan w:val="2"/>
          </w:tcPr>
          <w:p w14:paraId="382AA7CB" w14:textId="77777777" w:rsidR="006B1FED" w:rsidRPr="00FF6C76" w:rsidRDefault="006B1FED" w:rsidP="00DD0323">
            <w:pPr>
              <w:pStyle w:val="Tabletext"/>
              <w:keepNext/>
              <w:keepLines/>
              <w:jc w:val="center"/>
            </w:pPr>
            <w:r w:rsidRPr="00FF6C76">
              <w:rPr>
                <w:rFonts w:eastAsia="Arial"/>
              </w:rPr>
              <w:t>3.25 (2.30, 5.91)</w:t>
            </w:r>
          </w:p>
        </w:tc>
      </w:tr>
      <w:tr w:rsidR="006B1FED" w:rsidRPr="00813789" w14:paraId="1334122D" w14:textId="77777777" w:rsidTr="00956A40">
        <w:tc>
          <w:tcPr>
            <w:tcW w:w="2277" w:type="pct"/>
          </w:tcPr>
          <w:p w14:paraId="130D1CC2" w14:textId="77777777" w:rsidR="006B1FED" w:rsidRPr="00813789" w:rsidRDefault="006B1FED" w:rsidP="00DD0323">
            <w:pPr>
              <w:pStyle w:val="Tabletext"/>
              <w:keepNext/>
              <w:keepLines/>
            </w:pPr>
            <w:r w:rsidRPr="00813789">
              <w:rPr>
                <w:rFonts w:eastAsia="Arial"/>
              </w:rPr>
              <w:t>IPTW adjusted median duration Study 5002 (95% CI)</w:t>
            </w:r>
          </w:p>
        </w:tc>
        <w:tc>
          <w:tcPr>
            <w:tcW w:w="944" w:type="pct"/>
          </w:tcPr>
          <w:p w14:paraId="7914F432" w14:textId="77777777" w:rsidR="006B1FED" w:rsidRPr="00813789" w:rsidRDefault="006B1FED" w:rsidP="00DD0323">
            <w:pPr>
              <w:pStyle w:val="Tabletext"/>
              <w:keepNext/>
              <w:keepLines/>
            </w:pPr>
            <w:r w:rsidRPr="00813789">
              <w:rPr>
                <w:rFonts w:eastAsia="Arial"/>
              </w:rPr>
              <w:t>12.42 (7.10, 16.56)</w:t>
            </w:r>
          </w:p>
        </w:tc>
        <w:tc>
          <w:tcPr>
            <w:tcW w:w="1779" w:type="pct"/>
            <w:gridSpan w:val="2"/>
          </w:tcPr>
          <w:p w14:paraId="33E92B6F" w14:textId="77777777" w:rsidR="006B1FED" w:rsidRPr="00FF6C76" w:rsidRDefault="006B1FED" w:rsidP="00DD0323">
            <w:pPr>
              <w:pStyle w:val="Tabletext"/>
              <w:keepNext/>
              <w:keepLines/>
              <w:jc w:val="center"/>
            </w:pPr>
            <w:r w:rsidRPr="00FF6C76">
              <w:rPr>
                <w:rFonts w:eastAsia="Arial"/>
              </w:rPr>
              <w:t>3.25</w:t>
            </w:r>
            <w:r>
              <w:rPr>
                <w:rFonts w:eastAsia="Arial"/>
              </w:rPr>
              <w:t xml:space="preserve"> </w:t>
            </w:r>
            <w:r w:rsidRPr="00FF6C76">
              <w:rPr>
                <w:rFonts w:eastAsia="Arial"/>
              </w:rPr>
              <w:t>(2.17, 7.33)</w:t>
            </w:r>
          </w:p>
        </w:tc>
      </w:tr>
      <w:tr w:rsidR="00691D4F" w:rsidRPr="00813789" w14:paraId="4513BCD0" w14:textId="77777777" w:rsidTr="00956A40">
        <w:tc>
          <w:tcPr>
            <w:tcW w:w="2277" w:type="pct"/>
            <w:tcBorders>
              <w:bottom w:val="single" w:sz="4" w:space="0" w:color="auto"/>
            </w:tcBorders>
          </w:tcPr>
          <w:p w14:paraId="4FA9FB73" w14:textId="77777777" w:rsidR="00691D4F" w:rsidRPr="00813789" w:rsidRDefault="00691D4F" w:rsidP="00DD0323">
            <w:pPr>
              <w:pStyle w:val="Tabletext"/>
              <w:keepNext/>
              <w:keepLines/>
              <w:rPr>
                <w:b/>
              </w:rPr>
            </w:pPr>
            <w:r w:rsidRPr="00813789">
              <w:rPr>
                <w:rFonts w:eastAsia="Arial"/>
                <w:b/>
              </w:rPr>
              <w:t>Unadjusted HR mobocertinib vs. Study 5008, (95% CI) [Log-rank p-</w:t>
            </w:r>
            <w:r>
              <w:rPr>
                <w:rFonts w:eastAsia="Arial"/>
                <w:b/>
              </w:rPr>
              <w:t>v</w:t>
            </w:r>
            <w:r w:rsidRPr="00813789">
              <w:rPr>
                <w:rFonts w:eastAsia="Arial"/>
                <w:b/>
              </w:rPr>
              <w:t>alue]</w:t>
            </w:r>
          </w:p>
        </w:tc>
        <w:tc>
          <w:tcPr>
            <w:tcW w:w="944" w:type="pct"/>
            <w:tcBorders>
              <w:bottom w:val="single" w:sz="4" w:space="0" w:color="auto"/>
            </w:tcBorders>
          </w:tcPr>
          <w:p w14:paraId="47203FF8" w14:textId="77777777" w:rsidR="00691D4F" w:rsidRPr="00813789" w:rsidRDefault="00691D4F" w:rsidP="00DD0323">
            <w:pPr>
              <w:pStyle w:val="Tabletext"/>
              <w:keepNext/>
              <w:keepLines/>
              <w:rPr>
                <w:rFonts w:eastAsia="Arial"/>
                <w:b/>
              </w:rPr>
            </w:pPr>
            <w:r w:rsidRPr="00813789">
              <w:rPr>
                <w:rFonts w:eastAsia="Arial"/>
                <w:b/>
              </w:rPr>
              <w:t>0.58 (0.38, 0.88)</w:t>
            </w:r>
          </w:p>
          <w:p w14:paraId="3B42FB17" w14:textId="77777777" w:rsidR="00691D4F" w:rsidRPr="00FF6C76" w:rsidRDefault="00691D4F" w:rsidP="00DD0323">
            <w:pPr>
              <w:pStyle w:val="Tabletext"/>
              <w:keepNext/>
              <w:keepLines/>
              <w:rPr>
                <w:b/>
                <w:vertAlign w:val="superscript"/>
              </w:rPr>
            </w:pPr>
            <w:r w:rsidRPr="00813789">
              <w:rPr>
                <w:rFonts w:eastAsia="Arial"/>
                <w:b/>
              </w:rPr>
              <w:t>[0.0120]</w:t>
            </w:r>
          </w:p>
        </w:tc>
        <w:tc>
          <w:tcPr>
            <w:tcW w:w="864" w:type="pct"/>
            <w:tcBorders>
              <w:bottom w:val="single" w:sz="4" w:space="0" w:color="auto"/>
            </w:tcBorders>
          </w:tcPr>
          <w:p w14:paraId="13A76DB6" w14:textId="77777777" w:rsidR="00691D4F" w:rsidRPr="00813789" w:rsidRDefault="00691D4F" w:rsidP="00DD0323">
            <w:pPr>
              <w:pStyle w:val="Tabletext"/>
              <w:keepNext/>
              <w:keepLines/>
              <w:rPr>
                <w:b/>
              </w:rPr>
            </w:pPr>
            <w:r w:rsidRPr="00813789">
              <w:rPr>
                <w:rFonts w:eastAsia="Arial"/>
                <w:b/>
              </w:rPr>
              <w:t>0.57 (0.37, 0.89) [0.0099]</w:t>
            </w:r>
          </w:p>
        </w:tc>
        <w:tc>
          <w:tcPr>
            <w:tcW w:w="915" w:type="pct"/>
            <w:tcBorders>
              <w:bottom w:val="single" w:sz="4" w:space="0" w:color="auto"/>
            </w:tcBorders>
          </w:tcPr>
          <w:p w14:paraId="1928961E" w14:textId="77777777" w:rsidR="00691D4F" w:rsidRPr="00813789" w:rsidRDefault="00691D4F" w:rsidP="00DD0323">
            <w:pPr>
              <w:pStyle w:val="Tabletext"/>
              <w:keepNext/>
              <w:keepLines/>
              <w:rPr>
                <w:b/>
              </w:rPr>
            </w:pPr>
            <w:r w:rsidRPr="00813789">
              <w:rPr>
                <w:rFonts w:eastAsia="Arial"/>
                <w:b/>
              </w:rPr>
              <w:t>0.58 (0.36, 0.93)</w:t>
            </w:r>
            <w:r>
              <w:rPr>
                <w:rFonts w:eastAsia="Arial"/>
                <w:b/>
                <w:vertAlign w:val="superscript"/>
              </w:rPr>
              <w:t>b</w:t>
            </w:r>
            <w:r w:rsidRPr="00813789">
              <w:rPr>
                <w:rFonts w:eastAsia="Arial"/>
                <w:b/>
              </w:rPr>
              <w:t xml:space="preserve"> [0.0187]</w:t>
            </w:r>
          </w:p>
        </w:tc>
      </w:tr>
      <w:tr w:rsidR="00691D4F" w:rsidRPr="00813789" w14:paraId="79AC2058" w14:textId="77777777" w:rsidTr="00956A40">
        <w:tc>
          <w:tcPr>
            <w:tcW w:w="2277" w:type="pct"/>
            <w:tcBorders>
              <w:bottom w:val="single" w:sz="4" w:space="0" w:color="auto"/>
            </w:tcBorders>
          </w:tcPr>
          <w:p w14:paraId="213F4F15" w14:textId="77777777" w:rsidR="00691D4F" w:rsidRPr="00813789" w:rsidRDefault="00691D4F" w:rsidP="00DD0323">
            <w:pPr>
              <w:pStyle w:val="Tabletext"/>
              <w:keepNext/>
              <w:keepLines/>
              <w:rPr>
                <w:b/>
              </w:rPr>
            </w:pPr>
            <w:r w:rsidRPr="00813789">
              <w:rPr>
                <w:rFonts w:eastAsia="Arial"/>
                <w:b/>
              </w:rPr>
              <w:t>IPTW adjusted HR of mobocertinib vs. Study 5002 (95% CI) [Log-rank p-</w:t>
            </w:r>
            <w:r>
              <w:rPr>
                <w:rFonts w:eastAsia="Arial"/>
                <w:b/>
              </w:rPr>
              <w:t>v</w:t>
            </w:r>
            <w:r w:rsidRPr="00813789">
              <w:rPr>
                <w:rFonts w:eastAsia="Arial"/>
                <w:b/>
              </w:rPr>
              <w:t>alue]</w:t>
            </w:r>
          </w:p>
        </w:tc>
        <w:tc>
          <w:tcPr>
            <w:tcW w:w="944" w:type="pct"/>
            <w:tcBorders>
              <w:bottom w:val="single" w:sz="4" w:space="0" w:color="auto"/>
            </w:tcBorders>
          </w:tcPr>
          <w:p w14:paraId="14C9921A" w14:textId="77777777" w:rsidR="00691D4F" w:rsidRPr="00813789" w:rsidRDefault="00691D4F" w:rsidP="00DD0323">
            <w:pPr>
              <w:pStyle w:val="Tabletext"/>
              <w:keepNext/>
              <w:keepLines/>
              <w:rPr>
                <w:b/>
              </w:rPr>
            </w:pPr>
            <w:r w:rsidRPr="00813789">
              <w:rPr>
                <w:rFonts w:eastAsia="Arial"/>
                <w:b/>
              </w:rPr>
              <w:t>0.56 (0.37, 0.84)</w:t>
            </w:r>
            <w:r>
              <w:rPr>
                <w:rFonts w:eastAsia="Arial"/>
                <w:b/>
                <w:vertAlign w:val="superscript"/>
              </w:rPr>
              <w:t>a</w:t>
            </w:r>
            <w:r w:rsidRPr="00813789">
              <w:rPr>
                <w:rFonts w:eastAsia="Arial"/>
                <w:b/>
              </w:rPr>
              <w:t xml:space="preserve"> [0.0095]</w:t>
            </w:r>
          </w:p>
        </w:tc>
        <w:tc>
          <w:tcPr>
            <w:tcW w:w="864" w:type="pct"/>
            <w:tcBorders>
              <w:bottom w:val="single" w:sz="4" w:space="0" w:color="auto"/>
            </w:tcBorders>
          </w:tcPr>
          <w:p w14:paraId="13F6AF23" w14:textId="77777777" w:rsidR="00691D4F" w:rsidRPr="00813789" w:rsidRDefault="00691D4F" w:rsidP="00DD0323">
            <w:pPr>
              <w:pStyle w:val="Tabletext"/>
              <w:keepNext/>
              <w:keepLines/>
              <w:rPr>
                <w:b/>
              </w:rPr>
            </w:pPr>
            <w:r w:rsidRPr="00813789">
              <w:rPr>
                <w:rFonts w:eastAsia="Arial"/>
                <w:b/>
              </w:rPr>
              <w:t>0.58 (0.37, 0.91) [0.0207]</w:t>
            </w:r>
          </w:p>
        </w:tc>
        <w:tc>
          <w:tcPr>
            <w:tcW w:w="915" w:type="pct"/>
            <w:tcBorders>
              <w:bottom w:val="single" w:sz="4" w:space="0" w:color="auto"/>
            </w:tcBorders>
          </w:tcPr>
          <w:p w14:paraId="79A99453" w14:textId="77777777" w:rsidR="00691D4F" w:rsidRPr="00813789" w:rsidRDefault="00691D4F" w:rsidP="00DD0323">
            <w:pPr>
              <w:pStyle w:val="Tabletext"/>
              <w:keepNext/>
              <w:keepLines/>
              <w:rPr>
                <w:b/>
              </w:rPr>
            </w:pPr>
            <w:r w:rsidRPr="00813789">
              <w:rPr>
                <w:rFonts w:eastAsia="Arial"/>
                <w:b/>
              </w:rPr>
              <w:t>0.59 (0.37, 0.95)</w:t>
            </w:r>
            <w:r>
              <w:rPr>
                <w:rFonts w:eastAsia="Arial"/>
                <w:b/>
                <w:vertAlign w:val="superscript"/>
              </w:rPr>
              <w:t>b</w:t>
            </w:r>
            <w:r w:rsidRPr="00813789">
              <w:rPr>
                <w:rFonts w:eastAsia="Arial"/>
                <w:b/>
              </w:rPr>
              <w:t xml:space="preserve"> [0.0326] </w:t>
            </w:r>
          </w:p>
        </w:tc>
      </w:tr>
    </w:tbl>
    <w:p w14:paraId="5B61DB42" w14:textId="77777777" w:rsidR="00BD0DCF" w:rsidRPr="00A14306" w:rsidRDefault="00BD0DCF" w:rsidP="00DD0323">
      <w:pPr>
        <w:pStyle w:val="TableFooter"/>
        <w:keepNext/>
        <w:keepLines/>
      </w:pPr>
      <w:r>
        <w:t xml:space="preserve">Source: </w:t>
      </w:r>
      <w:r w:rsidRPr="00A14306">
        <w:t>Table 8, Attachment 2.14 accompanying the submission.</w:t>
      </w:r>
    </w:p>
    <w:p w14:paraId="54256697" w14:textId="21C41F75" w:rsidR="00BD0DCF" w:rsidRPr="00A14306" w:rsidRDefault="00BD0DCF" w:rsidP="00DD0323">
      <w:pPr>
        <w:pStyle w:val="TableFooter"/>
        <w:keepNext/>
        <w:keepLines/>
      </w:pPr>
      <w:r>
        <w:rPr>
          <w:lang w:val="en-US"/>
        </w:rPr>
        <w:t>CI</w:t>
      </w:r>
      <w:r w:rsidR="00F66348">
        <w:rPr>
          <w:lang w:val="en-US"/>
        </w:rPr>
        <w:t xml:space="preserve"> </w:t>
      </w:r>
      <w:r>
        <w:rPr>
          <w:lang w:val="en-US"/>
        </w:rPr>
        <w:t>=</w:t>
      </w:r>
      <w:r w:rsidR="00F66348">
        <w:rPr>
          <w:lang w:val="en-US"/>
        </w:rPr>
        <w:t xml:space="preserve"> </w:t>
      </w:r>
      <w:r>
        <w:rPr>
          <w:lang w:val="en-US"/>
        </w:rPr>
        <w:t>confidence interval</w:t>
      </w:r>
      <w:r>
        <w:t xml:space="preserve">; </w:t>
      </w:r>
      <w:r w:rsidRPr="00A14306">
        <w:t>HR</w:t>
      </w:r>
      <w:r w:rsidR="00F66348">
        <w:t xml:space="preserve"> </w:t>
      </w:r>
      <w:r w:rsidRPr="00A14306">
        <w:t>=</w:t>
      </w:r>
      <w:r w:rsidR="00F66348">
        <w:t xml:space="preserve"> </w:t>
      </w:r>
      <w:r w:rsidRPr="00A14306">
        <w:t>hazard ratio; INV</w:t>
      </w:r>
      <w:r w:rsidR="00F66348">
        <w:t xml:space="preserve"> </w:t>
      </w:r>
      <w:r w:rsidRPr="00A14306">
        <w:t>=</w:t>
      </w:r>
      <w:r w:rsidR="00F66348">
        <w:t xml:space="preserve"> </w:t>
      </w:r>
      <w:r w:rsidRPr="00A14306">
        <w:t>investigator; IRC</w:t>
      </w:r>
      <w:r w:rsidR="00F66348">
        <w:t xml:space="preserve"> </w:t>
      </w:r>
      <w:r w:rsidRPr="00A14306">
        <w:t>=</w:t>
      </w:r>
      <w:r w:rsidR="00F66348">
        <w:t xml:space="preserve"> </w:t>
      </w:r>
      <w:r w:rsidRPr="00A14306">
        <w:t>independent review committee; IPTW</w:t>
      </w:r>
      <w:r w:rsidR="00F66348">
        <w:t xml:space="preserve"> </w:t>
      </w:r>
      <w:r w:rsidRPr="00A14306">
        <w:t>=</w:t>
      </w:r>
      <w:r w:rsidR="00F66348">
        <w:t xml:space="preserve"> </w:t>
      </w:r>
      <w:r w:rsidRPr="00A14306">
        <w:t>inverse probability treatment weighting; OS</w:t>
      </w:r>
      <w:r w:rsidR="00F66348">
        <w:t xml:space="preserve"> </w:t>
      </w:r>
      <w:r w:rsidRPr="00A14306">
        <w:t>=</w:t>
      </w:r>
      <w:r w:rsidR="00F66348">
        <w:t xml:space="preserve"> </w:t>
      </w:r>
      <w:r w:rsidRPr="00A14306">
        <w:t>overall survival; PFS</w:t>
      </w:r>
      <w:r w:rsidR="00F66348">
        <w:t xml:space="preserve"> </w:t>
      </w:r>
      <w:r w:rsidRPr="00A14306">
        <w:t>=</w:t>
      </w:r>
      <w:r w:rsidR="00F66348">
        <w:t xml:space="preserve"> </w:t>
      </w:r>
      <w:r w:rsidRPr="00A14306">
        <w:t>progression-free survival.</w:t>
      </w:r>
    </w:p>
    <w:p w14:paraId="39DD931C" w14:textId="77777777" w:rsidR="00BD0DCF" w:rsidRDefault="00BD0DCF" w:rsidP="00DD0323">
      <w:pPr>
        <w:pStyle w:val="TableFooter"/>
        <w:keepNext/>
        <w:keepLines/>
        <w:rPr>
          <w:lang w:val="en-US"/>
        </w:rPr>
      </w:pPr>
      <w:r>
        <w:rPr>
          <w:vertAlign w:val="superscript"/>
        </w:rPr>
        <w:t>a</w:t>
      </w:r>
      <w:r>
        <w:t xml:space="preserve">Adjusted OS HR presented in the submission (Table 2-39, p157) was </w:t>
      </w:r>
      <w:r w:rsidRPr="00FF6C76">
        <w:rPr>
          <w:lang w:val="en-US"/>
        </w:rPr>
        <w:t>0.5994 (</w:t>
      </w:r>
      <w:r>
        <w:rPr>
          <w:lang w:val="en-US"/>
        </w:rPr>
        <w:t xml:space="preserve">95% CI: </w:t>
      </w:r>
      <w:r w:rsidRPr="00FF6C76">
        <w:rPr>
          <w:lang w:val="en-US"/>
        </w:rPr>
        <w:t>0.3833, 0.9374)</w:t>
      </w:r>
      <w:r>
        <w:rPr>
          <w:lang w:val="en-US"/>
        </w:rPr>
        <w:t>.</w:t>
      </w:r>
    </w:p>
    <w:p w14:paraId="0461745D" w14:textId="77777777" w:rsidR="00BD0DCF" w:rsidRPr="00FF6C76" w:rsidRDefault="00BD0DCF" w:rsidP="00DD0323">
      <w:pPr>
        <w:pStyle w:val="TableFooter"/>
        <w:keepNext/>
        <w:keepLines/>
        <w:rPr>
          <w:lang w:val="en-US"/>
        </w:rPr>
      </w:pPr>
      <w:r>
        <w:rPr>
          <w:vertAlign w:val="superscript"/>
        </w:rPr>
        <w:t>b</w:t>
      </w:r>
      <w:r>
        <w:t xml:space="preserve">Unadjusted and adjusted PFS-IRC HRs presented in the submission (Table 2-39, p158) were </w:t>
      </w:r>
      <w:r w:rsidRPr="00FF6C76">
        <w:rPr>
          <w:lang w:val="en-US"/>
        </w:rPr>
        <w:t>0.7005 (</w:t>
      </w:r>
      <w:r>
        <w:rPr>
          <w:lang w:val="en-US"/>
        </w:rPr>
        <w:t xml:space="preserve">95% CI: </w:t>
      </w:r>
      <w:r w:rsidRPr="00FF6C76">
        <w:rPr>
          <w:lang w:val="en-US"/>
        </w:rPr>
        <w:t>0.4158, 1.1801)</w:t>
      </w:r>
      <w:r>
        <w:rPr>
          <w:lang w:val="en-US"/>
        </w:rPr>
        <w:t xml:space="preserve"> and </w:t>
      </w:r>
      <w:r w:rsidRPr="00FF6C76">
        <w:rPr>
          <w:lang w:val="en-US"/>
        </w:rPr>
        <w:t>0.7134 (</w:t>
      </w:r>
      <w:r>
        <w:rPr>
          <w:lang w:val="en-US"/>
        </w:rPr>
        <w:t xml:space="preserve">95% CI: </w:t>
      </w:r>
      <w:r w:rsidRPr="00FF6C76">
        <w:rPr>
          <w:lang w:val="en-US"/>
        </w:rPr>
        <w:t>0.4167, 1.2212)</w:t>
      </w:r>
      <w:r>
        <w:rPr>
          <w:lang w:val="en-US"/>
        </w:rPr>
        <w:t>, respectively.</w:t>
      </w:r>
    </w:p>
    <w:p w14:paraId="29B9C96F" w14:textId="77777777" w:rsidR="00BD0DCF" w:rsidRDefault="00BD0DCF" w:rsidP="00DD0323">
      <w:pPr>
        <w:pStyle w:val="TableFooter"/>
        <w:keepNext/>
        <w:keepLines/>
      </w:pPr>
      <w:r>
        <w:t xml:space="preserve">Notes: </w:t>
      </w:r>
      <w:r w:rsidRPr="00A14306">
        <w:t>Mobocertinib data were based on the November 2021 data cutoff for Study 101</w:t>
      </w:r>
      <w:r>
        <w:t xml:space="preserve">. </w:t>
      </w:r>
      <w:r>
        <w:rPr>
          <w:lang w:val="en-US"/>
        </w:rPr>
        <w:t>Median duration of follow-up was 25.8 months. Data on median duration of follow-up in Study 5002 was not provided.</w:t>
      </w:r>
    </w:p>
    <w:p w14:paraId="57718343" w14:textId="77777777" w:rsidR="00DA3167" w:rsidRPr="00BD0DCF" w:rsidRDefault="00BD0DCF" w:rsidP="00DD0323">
      <w:pPr>
        <w:pStyle w:val="TableFooter"/>
        <w:keepNext/>
        <w:keepLines/>
        <w:rPr>
          <w:b/>
        </w:rPr>
      </w:pPr>
      <w:r w:rsidRPr="00BD0DCF">
        <w:rPr>
          <w:b/>
          <w:lang w:val="en-US"/>
        </w:rPr>
        <w:t>Bolded font represents statistically significant results</w:t>
      </w:r>
    </w:p>
    <w:p w14:paraId="38C5764F" w14:textId="77777777" w:rsidR="00691D4F" w:rsidRDefault="00691D4F" w:rsidP="000711EA">
      <w:pPr>
        <w:pStyle w:val="Caption"/>
        <w:keepNext w:val="0"/>
        <w:keepLines w:val="0"/>
        <w:rPr>
          <w:rFonts w:asciiTheme="minorHAnsi" w:hAnsiTheme="minorHAnsi" w:cstheme="minorHAnsi"/>
        </w:rPr>
      </w:pPr>
    </w:p>
    <w:p w14:paraId="0A588DCB" w14:textId="0504097C" w:rsidR="00691D4F" w:rsidRPr="00813789" w:rsidRDefault="00691D4F" w:rsidP="000711EA">
      <w:pPr>
        <w:pStyle w:val="TableFigureHeading"/>
        <w:keepNext w:val="0"/>
        <w:rPr>
          <w:lang w:val="en-GB"/>
        </w:rPr>
      </w:pPr>
      <w:bookmarkStart w:id="37" w:name="_Ref112592072"/>
      <w:r>
        <w:t xml:space="preserve">Figure </w:t>
      </w:r>
      <w:r w:rsidR="001635D4">
        <w:fldChar w:fldCharType="begin"/>
      </w:r>
      <w:r w:rsidR="001635D4">
        <w:instrText xml:space="preserve"> SEQ Figure \* ARABIC </w:instrText>
      </w:r>
      <w:r w:rsidR="001635D4">
        <w:fldChar w:fldCharType="separate"/>
      </w:r>
      <w:r w:rsidR="001635D4">
        <w:rPr>
          <w:noProof/>
        </w:rPr>
        <w:t>3</w:t>
      </w:r>
      <w:r w:rsidR="001635D4">
        <w:rPr>
          <w:noProof/>
        </w:rPr>
        <w:fldChar w:fldCharType="end"/>
      </w:r>
      <w:bookmarkEnd w:id="37"/>
      <w:r>
        <w:t xml:space="preserve">: </w:t>
      </w:r>
      <w:r w:rsidRPr="00813789">
        <w:t>KM plot of OS for mobocertinib (observed) vs. Study 5002 (observed and weighted)</w:t>
      </w:r>
    </w:p>
    <w:p w14:paraId="0244571A" w14:textId="77777777" w:rsidR="00691D4F" w:rsidRDefault="00691D4F" w:rsidP="009072EB">
      <w:pPr>
        <w:pStyle w:val="BodyText"/>
      </w:pPr>
      <w:r>
        <w:rPr>
          <w:noProof/>
        </w:rPr>
        <w:drawing>
          <wp:inline distT="0" distB="0" distL="0" distR="0" wp14:anchorId="1F20E145" wp14:editId="287529FB">
            <wp:extent cx="5827594" cy="3056255"/>
            <wp:effectExtent l="0" t="0" r="1905" b="0"/>
            <wp:docPr id="30" name="Picture 30" descr="Figure 3: KM plot of OS for mobocertinib (observed) vs. Study 5002 (observed and we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Figure 3: KM plot of OS for mobocertinib (observed) vs. Study 5002 (observed and weighted)"/>
                    <pic:cNvPicPr/>
                  </pic:nvPicPr>
                  <pic:blipFill>
                    <a:blip r:embed="rId10"/>
                    <a:stretch>
                      <a:fillRect/>
                    </a:stretch>
                  </pic:blipFill>
                  <pic:spPr>
                    <a:xfrm>
                      <a:off x="0" y="0"/>
                      <a:ext cx="5893167" cy="3090645"/>
                    </a:xfrm>
                    <a:prstGeom prst="rect">
                      <a:avLst/>
                    </a:prstGeom>
                  </pic:spPr>
                </pic:pic>
              </a:graphicData>
            </a:graphic>
          </wp:inline>
        </w:drawing>
      </w:r>
    </w:p>
    <w:p w14:paraId="12CE3652" w14:textId="77777777" w:rsidR="00691D4F" w:rsidRPr="00A14306" w:rsidRDefault="00691D4F" w:rsidP="000711EA">
      <w:pPr>
        <w:pStyle w:val="TableFooter"/>
      </w:pPr>
      <w:r w:rsidRPr="00A14306">
        <w:t>Source: Figure 2-18, p156 of the submission.</w:t>
      </w:r>
    </w:p>
    <w:p w14:paraId="0C06B246" w14:textId="2A2173E3" w:rsidR="00691D4F" w:rsidRPr="00A14306" w:rsidRDefault="00691D4F" w:rsidP="000711EA">
      <w:pPr>
        <w:pStyle w:val="TableFooter"/>
      </w:pPr>
      <w:r w:rsidRPr="00A14306">
        <w:t>KM</w:t>
      </w:r>
      <w:r w:rsidR="00F66348">
        <w:t xml:space="preserve"> </w:t>
      </w:r>
      <w:r w:rsidRPr="00A14306">
        <w:t>=</w:t>
      </w:r>
      <w:r w:rsidR="00F66348">
        <w:t xml:space="preserve"> </w:t>
      </w:r>
      <w:r w:rsidRPr="00A14306">
        <w:t>Kaplan-Meier; OS =</w:t>
      </w:r>
      <w:r w:rsidR="00F66348">
        <w:t xml:space="preserve"> </w:t>
      </w:r>
      <w:r w:rsidRPr="00A14306">
        <w:t>overall survival</w:t>
      </w:r>
    </w:p>
    <w:p w14:paraId="77F1E0AC" w14:textId="77777777" w:rsidR="00691D4F" w:rsidRDefault="00691D4F" w:rsidP="000711EA">
      <w:pPr>
        <w:rPr>
          <w:rFonts w:asciiTheme="minorHAnsi" w:hAnsiTheme="minorHAnsi" w:cstheme="minorHAnsi"/>
        </w:rPr>
      </w:pPr>
    </w:p>
    <w:p w14:paraId="15451DFF" w14:textId="1D68023B" w:rsidR="00691D4F" w:rsidRDefault="00691D4F" w:rsidP="009072EB">
      <w:pPr>
        <w:pStyle w:val="TableFigureHeading"/>
        <w:rPr>
          <w:rFonts w:asciiTheme="minorHAnsi" w:hAnsiTheme="minorHAnsi" w:cstheme="minorHAnsi"/>
        </w:rPr>
      </w:pPr>
      <w:bookmarkStart w:id="38" w:name="_Ref112592062"/>
      <w:r>
        <w:lastRenderedPageBreak/>
        <w:t xml:space="preserve">Figure </w:t>
      </w:r>
      <w:r w:rsidR="001635D4">
        <w:fldChar w:fldCharType="begin"/>
      </w:r>
      <w:r w:rsidR="001635D4">
        <w:instrText xml:space="preserve"> SEQ Figure \* ARABIC </w:instrText>
      </w:r>
      <w:r w:rsidR="001635D4">
        <w:fldChar w:fldCharType="separate"/>
      </w:r>
      <w:r w:rsidR="001635D4">
        <w:rPr>
          <w:noProof/>
        </w:rPr>
        <w:t>4</w:t>
      </w:r>
      <w:r w:rsidR="001635D4">
        <w:rPr>
          <w:noProof/>
        </w:rPr>
        <w:fldChar w:fldCharType="end"/>
      </w:r>
      <w:bookmarkEnd w:id="38"/>
      <w:r>
        <w:t>: KM plot of PFS-INV for mobocertinib (observed) vs. Study 5002 (observed and weighted)</w:t>
      </w:r>
    </w:p>
    <w:p w14:paraId="179C8EB0" w14:textId="77777777" w:rsidR="00691D4F" w:rsidRDefault="00691D4F" w:rsidP="009072EB">
      <w:pPr>
        <w:pStyle w:val="BodyText"/>
      </w:pPr>
      <w:r>
        <w:rPr>
          <w:noProof/>
        </w:rPr>
        <w:drawing>
          <wp:inline distT="0" distB="0" distL="0" distR="0" wp14:anchorId="767393F0" wp14:editId="5A8BDC49">
            <wp:extent cx="5725236" cy="3254076"/>
            <wp:effectExtent l="0" t="0" r="8890" b="3810"/>
            <wp:docPr id="31" name="Picture 31" descr="Figure 4: KM plot of PFS-INV for mobocertinib (observed) vs. Study 5002 (observed and we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Figure 4: KM plot of PFS-INV for mobocertinib (observed) vs. Study 5002 (observed and weighted)"/>
                    <pic:cNvPicPr/>
                  </pic:nvPicPr>
                  <pic:blipFill>
                    <a:blip r:embed="rId11"/>
                    <a:stretch>
                      <a:fillRect/>
                    </a:stretch>
                  </pic:blipFill>
                  <pic:spPr>
                    <a:xfrm>
                      <a:off x="0" y="0"/>
                      <a:ext cx="5834258" cy="3316041"/>
                    </a:xfrm>
                    <a:prstGeom prst="rect">
                      <a:avLst/>
                    </a:prstGeom>
                  </pic:spPr>
                </pic:pic>
              </a:graphicData>
            </a:graphic>
          </wp:inline>
        </w:drawing>
      </w:r>
    </w:p>
    <w:p w14:paraId="6C1AC19D" w14:textId="77777777" w:rsidR="00691D4F" w:rsidRPr="00A14306" w:rsidRDefault="00691D4F" w:rsidP="000711EA">
      <w:pPr>
        <w:pStyle w:val="TableFooter"/>
      </w:pPr>
      <w:r w:rsidRPr="00A14306">
        <w:t>Source: Figure 2-19, p156 of the submission.</w:t>
      </w:r>
    </w:p>
    <w:p w14:paraId="59828F68" w14:textId="51A802EF" w:rsidR="00691D4F" w:rsidRPr="00A14306" w:rsidRDefault="00691D4F" w:rsidP="000711EA">
      <w:pPr>
        <w:pStyle w:val="TableFooter"/>
      </w:pPr>
      <w:r w:rsidRPr="00A14306">
        <w:t>KM</w:t>
      </w:r>
      <w:r w:rsidR="00F66348">
        <w:t xml:space="preserve"> </w:t>
      </w:r>
      <w:r w:rsidRPr="00A14306">
        <w:t>=</w:t>
      </w:r>
      <w:r w:rsidR="00F66348">
        <w:t xml:space="preserve"> </w:t>
      </w:r>
      <w:r w:rsidRPr="00A14306">
        <w:t>Kaplan-Meier; PFS-INV</w:t>
      </w:r>
      <w:r w:rsidR="00F66348">
        <w:t xml:space="preserve"> </w:t>
      </w:r>
      <w:r w:rsidRPr="00A14306">
        <w:t>=</w:t>
      </w:r>
      <w:r w:rsidR="00F66348">
        <w:t xml:space="preserve"> </w:t>
      </w:r>
      <w:r w:rsidRPr="00A14306">
        <w:t>progression free survival as assessed by investigator</w:t>
      </w:r>
    </w:p>
    <w:p w14:paraId="00C46DDD" w14:textId="77777777" w:rsidR="00691D4F" w:rsidRPr="00691D4F" w:rsidRDefault="00691D4F" w:rsidP="0059695A">
      <w:pPr>
        <w:pStyle w:val="3-BodyText"/>
        <w:numPr>
          <w:ilvl w:val="0"/>
          <w:numId w:val="0"/>
        </w:numPr>
      </w:pPr>
    </w:p>
    <w:p w14:paraId="0AB76C0A" w14:textId="77777777" w:rsidR="005D2CAF" w:rsidRPr="007135FB" w:rsidRDefault="005D2CAF" w:rsidP="000711EA">
      <w:pPr>
        <w:pStyle w:val="3-BodyText"/>
        <w:rPr>
          <w:iCs/>
        </w:rPr>
      </w:pPr>
      <w:r w:rsidRPr="005D2CAF">
        <w:t>Based on a median duration of follow-up of 25.8 months in Study 101, the median duration of OS was 20.2 months (95% CI: 14.9, 25.3) in the mobocertinib group compared with 11.5 months (95% CI: 7.9, 16.6) in Study 5002.</w:t>
      </w:r>
      <w:r w:rsidRPr="005D2CAF">
        <w:rPr>
          <w:i/>
        </w:rPr>
        <w:t xml:space="preserve"> </w:t>
      </w:r>
      <w:r w:rsidRPr="00CB2BB8">
        <w:t>Before weight adjustment, the HR was 0.58 corresponding to a statistically significant 42% reduction in the hazard of death associated with mobocertinib compared to SOC treatments received in Study 5002. After adjustment, the reduction in hazard of death associated with mobocertinib was similar to the unadjusted hazard reduction (44%) which was also statistically significant.</w:t>
      </w:r>
      <w:r w:rsidRPr="00CB2BB8">
        <w:rPr>
          <w:i/>
        </w:rPr>
        <w:t xml:space="preserve"> </w:t>
      </w:r>
      <w:r w:rsidRPr="007135FB">
        <w:rPr>
          <w:iCs/>
        </w:rPr>
        <w:t>Noteworthy is that after weighting, the median OS in Study 5002 increased by approximately 1 month to 12.4 months.</w:t>
      </w:r>
    </w:p>
    <w:p w14:paraId="31AC05BB" w14:textId="2948C3BC" w:rsidR="00DD0463" w:rsidRPr="002A1654" w:rsidRDefault="005D2CAF" w:rsidP="00DD0463">
      <w:pPr>
        <w:pStyle w:val="3-BodyText"/>
      </w:pPr>
      <w:r w:rsidRPr="007135FB">
        <w:rPr>
          <w:iCs/>
        </w:rPr>
        <w:t xml:space="preserve">PFS results in the mobocertinib group were similar between investigator and independent review assessments (median duration of approximately 7.3 months). </w:t>
      </w:r>
      <w:r w:rsidR="004C429B" w:rsidRPr="007135FB">
        <w:rPr>
          <w:iCs/>
        </w:rPr>
        <w:t>There were no IRC-based or investigator-based assessments for PFS given the retrospective nature of Study 5002.</w:t>
      </w:r>
      <w:r w:rsidR="004C429B" w:rsidRPr="004C429B">
        <w:rPr>
          <w:i/>
        </w:rPr>
        <w:t xml:space="preserve"> </w:t>
      </w:r>
      <w:r w:rsidRPr="00CB2BB8">
        <w:t>The unadjusted and adjusted median PFS durations (as assessed by investigator) were similar (3.3 months). The reduction in hazard of progression or death associated with mobocertinib</w:t>
      </w:r>
      <w:r w:rsidR="004807A8" w:rsidRPr="00CB2BB8">
        <w:t xml:space="preserve"> compared with </w:t>
      </w:r>
      <w:r w:rsidRPr="00CB2BB8">
        <w:t>Study 5002</w:t>
      </w:r>
      <w:r w:rsidR="004807A8" w:rsidRPr="00CB2BB8">
        <w:t xml:space="preserve"> (40%)</w:t>
      </w:r>
      <w:r w:rsidRPr="00CB2BB8">
        <w:t xml:space="preserve"> </w:t>
      </w:r>
      <w:r w:rsidR="004807A8" w:rsidRPr="00CB2BB8">
        <w:t xml:space="preserve">was statistically significant, and </w:t>
      </w:r>
      <w:r w:rsidRPr="00CB2BB8">
        <w:t>similar across unadjusted and adjusted analyses</w:t>
      </w:r>
      <w:r w:rsidR="004807A8" w:rsidRPr="00CB2BB8">
        <w:t xml:space="preserve">, </w:t>
      </w:r>
      <w:r w:rsidR="004C429B" w:rsidRPr="00CB2BB8">
        <w:t>regardless of whether PFS was investigator-based or IRC-</w:t>
      </w:r>
      <w:r w:rsidR="004C429B" w:rsidRPr="0006457E">
        <w:t>based</w:t>
      </w:r>
      <w:r w:rsidR="0006457E" w:rsidRPr="0006457E">
        <w:t xml:space="preserve"> (with respect to mobocertinib)</w:t>
      </w:r>
      <w:r w:rsidR="004C429B" w:rsidRPr="0006457E">
        <w:t>.</w:t>
      </w:r>
      <w:r w:rsidR="00CB2BB8" w:rsidRPr="00CB2BB8">
        <w:t xml:space="preserve"> </w:t>
      </w:r>
      <w:r w:rsidR="00CB2BB8" w:rsidRPr="007135FB">
        <w:rPr>
          <w:iCs/>
        </w:rPr>
        <w:t xml:space="preserve">However, the PFS HR results should be interpreted with caution, as </w:t>
      </w:r>
      <w:r w:rsidR="00CB2BB8" w:rsidRPr="007135FB">
        <w:rPr>
          <w:iCs/>
          <w:lang w:val="en-US"/>
        </w:rPr>
        <w:t>the</w:t>
      </w:r>
      <w:r w:rsidR="00DC6DE9" w:rsidRPr="007135FB">
        <w:rPr>
          <w:iCs/>
          <w:lang w:val="en-US"/>
        </w:rPr>
        <w:t xml:space="preserve"> proportional hazards</w:t>
      </w:r>
      <w:r w:rsidR="00CB2BB8" w:rsidRPr="007135FB">
        <w:rPr>
          <w:iCs/>
          <w:lang w:val="en-US"/>
        </w:rPr>
        <w:t xml:space="preserve"> </w:t>
      </w:r>
      <w:r w:rsidR="00DC6DE9" w:rsidRPr="007135FB">
        <w:rPr>
          <w:iCs/>
          <w:lang w:val="en-US"/>
        </w:rPr>
        <w:t>(</w:t>
      </w:r>
      <w:r w:rsidR="00CB2BB8" w:rsidRPr="007135FB">
        <w:rPr>
          <w:iCs/>
          <w:lang w:val="en-US"/>
        </w:rPr>
        <w:t>PH</w:t>
      </w:r>
      <w:r w:rsidR="00DC6DE9" w:rsidRPr="007135FB">
        <w:rPr>
          <w:iCs/>
          <w:lang w:val="en-US"/>
        </w:rPr>
        <w:t>)</w:t>
      </w:r>
      <w:r w:rsidR="00CB2BB8" w:rsidRPr="007135FB">
        <w:rPr>
          <w:iCs/>
          <w:lang w:val="en-US"/>
        </w:rPr>
        <w:t xml:space="preserve"> assumption appears to have been violated for PFS as assessed by investigator (p=0.03) and IRC (p&lt;0.01), based on Log-cumulative hazards plots as a function of time and global tests for Schoenfeld residuals.</w:t>
      </w:r>
    </w:p>
    <w:p w14:paraId="6789DDBC" w14:textId="08F2D828" w:rsidR="002A1654" w:rsidRPr="002A1654" w:rsidRDefault="002A1654" w:rsidP="002A1654">
      <w:pPr>
        <w:pStyle w:val="3-BodyText"/>
        <w:numPr>
          <w:ilvl w:val="0"/>
          <w:numId w:val="0"/>
        </w:numPr>
      </w:pPr>
      <w:r w:rsidRPr="001C7C2E">
        <w:rPr>
          <w:b/>
          <w:bCs/>
          <w:i/>
          <w:iCs/>
        </w:rPr>
        <w:lastRenderedPageBreak/>
        <w:t>Mobocertinib (Study 101) versus SOC (</w:t>
      </w:r>
      <w:r>
        <w:rPr>
          <w:b/>
          <w:bCs/>
          <w:i/>
          <w:iCs/>
        </w:rPr>
        <w:t xml:space="preserve">pooled </w:t>
      </w:r>
      <w:r w:rsidRPr="001C7C2E">
        <w:rPr>
          <w:b/>
          <w:bCs/>
          <w:i/>
          <w:iCs/>
        </w:rPr>
        <w:t>Stud</w:t>
      </w:r>
      <w:r>
        <w:rPr>
          <w:b/>
          <w:bCs/>
          <w:i/>
          <w:iCs/>
        </w:rPr>
        <w:t>ies</w:t>
      </w:r>
      <w:r w:rsidRPr="001C7C2E">
        <w:rPr>
          <w:b/>
          <w:bCs/>
          <w:i/>
          <w:iCs/>
        </w:rPr>
        <w:t xml:space="preserve"> 5008</w:t>
      </w:r>
      <w:r>
        <w:rPr>
          <w:b/>
          <w:bCs/>
          <w:i/>
          <w:iCs/>
        </w:rPr>
        <w:t xml:space="preserve"> and 5002</w:t>
      </w:r>
      <w:r w:rsidRPr="001C7C2E">
        <w:rPr>
          <w:b/>
          <w:bCs/>
          <w:i/>
          <w:iCs/>
        </w:rPr>
        <w:t>)</w:t>
      </w:r>
    </w:p>
    <w:p w14:paraId="71650B46" w14:textId="0DA97A24" w:rsidR="00760000" w:rsidRPr="00BD7E1B" w:rsidRDefault="002A1654" w:rsidP="00BD7E1B">
      <w:pPr>
        <w:pStyle w:val="3-BodyText"/>
      </w:pPr>
      <w:bookmarkStart w:id="39" w:name="_Ref120391544"/>
      <w:r>
        <w:rPr>
          <w:iCs/>
          <w:lang w:val="en-US"/>
        </w:rPr>
        <w:t>The Pre-PBAC response provided</w:t>
      </w:r>
      <w:bookmarkEnd w:id="39"/>
      <w:r w:rsidR="00DF5AE5">
        <w:rPr>
          <w:iCs/>
          <w:lang w:val="en-US"/>
        </w:rPr>
        <w:t xml:space="preserve"> </w:t>
      </w:r>
      <w:r w:rsidR="00BD7E1B">
        <w:rPr>
          <w:iCs/>
        </w:rPr>
        <w:t xml:space="preserve">an IPTW analysis using pooled efficacy data from Studies 5008 and 5002. </w:t>
      </w:r>
      <w:r w:rsidR="00B3008D">
        <w:rPr>
          <w:iCs/>
        </w:rPr>
        <w:t>The response stated that d</w:t>
      </w:r>
      <w:r w:rsidR="00BD7E1B" w:rsidRPr="00BD7E1B">
        <w:rPr>
          <w:iCs/>
        </w:rPr>
        <w:t xml:space="preserve">ue to differences in the baseline characteristics collected in each dataset, the analysis adjusts for a different set of variables (age, sex, smoking status, brain metastasis at baseline and time from advanced diagnosis and histology) compared to the two </w:t>
      </w:r>
      <w:r w:rsidR="00BD7E1B">
        <w:rPr>
          <w:iCs/>
        </w:rPr>
        <w:t>separate 5008 and 5002</w:t>
      </w:r>
      <w:r w:rsidR="00BD7E1B" w:rsidRPr="00BD7E1B">
        <w:rPr>
          <w:iCs/>
        </w:rPr>
        <w:t xml:space="preserve"> analyses. Compared to the median OS of 20.2 months (95% CI: 14.88, 25.26) for patients treated with mobocertinib in Study 101, the median OS in the pooled SOC group was 11.4 months (95% CI: 8.9, 14.1) before weighting and 11.4 months (95% CI: 8.0, 13.6) after weighting</w:t>
      </w:r>
      <w:r w:rsidR="00BD7E1B">
        <w:rPr>
          <w:iCs/>
        </w:rPr>
        <w:t xml:space="preserve">, </w:t>
      </w:r>
      <w:r w:rsidR="00BD7E1B" w:rsidRPr="00BD7E1B">
        <w:rPr>
          <w:iCs/>
        </w:rPr>
        <w:t>reflect</w:t>
      </w:r>
      <w:r w:rsidR="00BD7E1B">
        <w:rPr>
          <w:iCs/>
        </w:rPr>
        <w:t>ing</w:t>
      </w:r>
      <w:r w:rsidR="00BD7E1B" w:rsidRPr="00BD7E1B">
        <w:rPr>
          <w:iCs/>
        </w:rPr>
        <w:t xml:space="preserve"> an improvement in OS of 8.8 </w:t>
      </w:r>
      <w:r w:rsidR="00BD7E1B" w:rsidRPr="005952BE">
        <w:rPr>
          <w:iCs/>
        </w:rPr>
        <w:t>months</w:t>
      </w:r>
      <w:r w:rsidR="00AC3D78" w:rsidRPr="005952BE">
        <w:rPr>
          <w:iCs/>
        </w:rPr>
        <w:t xml:space="preserve"> (</w:t>
      </w:r>
      <w:r w:rsidR="005952BE" w:rsidRPr="005952BE">
        <w:rPr>
          <w:iCs/>
        </w:rPr>
        <w:fldChar w:fldCharType="begin"/>
      </w:r>
      <w:r w:rsidR="005952BE" w:rsidRPr="005952BE">
        <w:rPr>
          <w:iCs/>
        </w:rPr>
        <w:instrText xml:space="preserve"> REF _Ref120395615 \h </w:instrText>
      </w:r>
      <w:r w:rsidR="005952BE">
        <w:rPr>
          <w:iCs/>
        </w:rPr>
        <w:instrText xml:space="preserve"> \* MERGEFORMAT </w:instrText>
      </w:r>
      <w:r w:rsidR="005952BE" w:rsidRPr="005952BE">
        <w:rPr>
          <w:iCs/>
        </w:rPr>
      </w:r>
      <w:r w:rsidR="005952BE" w:rsidRPr="005952BE">
        <w:rPr>
          <w:iCs/>
        </w:rPr>
        <w:fldChar w:fldCharType="separate"/>
      </w:r>
      <w:r w:rsidR="001635D4">
        <w:t xml:space="preserve">Table </w:t>
      </w:r>
      <w:r w:rsidR="001635D4">
        <w:rPr>
          <w:noProof/>
        </w:rPr>
        <w:t>9</w:t>
      </w:r>
      <w:r w:rsidR="005952BE" w:rsidRPr="005952BE">
        <w:rPr>
          <w:iCs/>
        </w:rPr>
        <w:fldChar w:fldCharType="end"/>
      </w:r>
      <w:r w:rsidR="00AC3D78" w:rsidRPr="005952BE">
        <w:rPr>
          <w:iCs/>
        </w:rPr>
        <w:t xml:space="preserve"> and </w:t>
      </w:r>
      <w:r w:rsidR="005952BE" w:rsidRPr="005952BE">
        <w:rPr>
          <w:iCs/>
        </w:rPr>
        <w:fldChar w:fldCharType="begin"/>
      </w:r>
      <w:r w:rsidR="005952BE" w:rsidRPr="005952BE">
        <w:rPr>
          <w:iCs/>
        </w:rPr>
        <w:instrText xml:space="preserve"> REF _Ref120395635 \h </w:instrText>
      </w:r>
      <w:r w:rsidR="005952BE">
        <w:rPr>
          <w:iCs/>
        </w:rPr>
        <w:instrText xml:space="preserve"> \* MERGEFORMAT </w:instrText>
      </w:r>
      <w:r w:rsidR="005952BE" w:rsidRPr="005952BE">
        <w:rPr>
          <w:iCs/>
        </w:rPr>
      </w:r>
      <w:r w:rsidR="005952BE" w:rsidRPr="005952BE">
        <w:rPr>
          <w:iCs/>
        </w:rPr>
        <w:fldChar w:fldCharType="separate"/>
      </w:r>
      <w:r w:rsidR="001635D4">
        <w:t xml:space="preserve">Figure </w:t>
      </w:r>
      <w:r w:rsidR="001635D4">
        <w:rPr>
          <w:noProof/>
        </w:rPr>
        <w:t>5</w:t>
      </w:r>
      <w:r w:rsidR="005952BE" w:rsidRPr="005952BE">
        <w:rPr>
          <w:iCs/>
        </w:rPr>
        <w:fldChar w:fldCharType="end"/>
      </w:r>
      <w:r w:rsidR="00AC3D78" w:rsidRPr="005952BE">
        <w:rPr>
          <w:iCs/>
        </w:rPr>
        <w:t>)</w:t>
      </w:r>
      <w:r w:rsidR="00BD7E1B" w:rsidRPr="005952BE">
        <w:rPr>
          <w:iCs/>
        </w:rPr>
        <w:t>. This compares</w:t>
      </w:r>
      <w:r w:rsidR="00BD7E1B">
        <w:rPr>
          <w:iCs/>
        </w:rPr>
        <w:t xml:space="preserve"> to adjusted IPTW median OS of </w:t>
      </w:r>
      <w:r w:rsidR="00BD7E1B" w:rsidRPr="00EA768C">
        <w:rPr>
          <w:rFonts w:eastAsia="Arial"/>
        </w:rPr>
        <w:t>9.76</w:t>
      </w:r>
      <w:r w:rsidR="00BD7E1B">
        <w:rPr>
          <w:rFonts w:eastAsia="Arial"/>
        </w:rPr>
        <w:t xml:space="preserve"> months </w:t>
      </w:r>
      <w:r w:rsidR="00BD7E1B" w:rsidRPr="00EA768C">
        <w:rPr>
          <w:rFonts w:eastAsia="Arial"/>
        </w:rPr>
        <w:t>(</w:t>
      </w:r>
      <w:r w:rsidR="00BD7E1B" w:rsidRPr="00BD7E1B">
        <w:rPr>
          <w:iCs/>
        </w:rPr>
        <w:t xml:space="preserve">95% CI: </w:t>
      </w:r>
      <w:r w:rsidR="00BD7E1B" w:rsidRPr="00EA768C">
        <w:rPr>
          <w:rFonts w:eastAsia="Arial"/>
        </w:rPr>
        <w:t>4.30, 13.70)</w:t>
      </w:r>
      <w:r w:rsidR="00BD7E1B">
        <w:rPr>
          <w:rFonts w:eastAsia="Arial"/>
        </w:rPr>
        <w:t xml:space="preserve"> in Study 5008</w:t>
      </w:r>
      <w:r w:rsidR="00D64EDD">
        <w:rPr>
          <w:rFonts w:eastAsia="Arial"/>
        </w:rPr>
        <w:t xml:space="preserve"> (</w:t>
      </w:r>
      <w:r w:rsidR="00D64EDD">
        <w:rPr>
          <w:rFonts w:eastAsia="Arial"/>
        </w:rPr>
        <w:fldChar w:fldCharType="begin"/>
      </w:r>
      <w:r w:rsidR="00D64EDD">
        <w:rPr>
          <w:rFonts w:eastAsia="Arial"/>
        </w:rPr>
        <w:instrText xml:space="preserve"> REF _Ref112591372 \h </w:instrText>
      </w:r>
      <w:r w:rsidR="00D64EDD">
        <w:rPr>
          <w:rFonts w:eastAsia="Arial"/>
        </w:rPr>
      </w:r>
      <w:r w:rsidR="00D64EDD">
        <w:rPr>
          <w:rFonts w:eastAsia="Arial"/>
        </w:rPr>
        <w:fldChar w:fldCharType="separate"/>
      </w:r>
      <w:r w:rsidR="001635D4">
        <w:t xml:space="preserve">Table </w:t>
      </w:r>
      <w:r w:rsidR="001635D4">
        <w:rPr>
          <w:noProof/>
        </w:rPr>
        <w:t>7</w:t>
      </w:r>
      <w:r w:rsidR="00D64EDD">
        <w:rPr>
          <w:rFonts w:eastAsia="Arial"/>
        </w:rPr>
        <w:fldChar w:fldCharType="end"/>
      </w:r>
      <w:r w:rsidR="00D64EDD">
        <w:rPr>
          <w:rFonts w:eastAsia="Arial"/>
        </w:rPr>
        <w:t>)</w:t>
      </w:r>
      <w:r w:rsidR="00BD7E1B">
        <w:rPr>
          <w:rFonts w:eastAsia="Arial"/>
        </w:rPr>
        <w:t xml:space="preserve"> and </w:t>
      </w:r>
      <w:r w:rsidR="00074E06" w:rsidRPr="00813789">
        <w:rPr>
          <w:rFonts w:eastAsia="Arial"/>
        </w:rPr>
        <w:t>12.42</w:t>
      </w:r>
      <w:r w:rsidR="00074E06">
        <w:rPr>
          <w:rFonts w:eastAsia="Arial"/>
        </w:rPr>
        <w:t xml:space="preserve"> months</w:t>
      </w:r>
      <w:r w:rsidR="00074E06" w:rsidRPr="00813789">
        <w:rPr>
          <w:rFonts w:eastAsia="Arial"/>
        </w:rPr>
        <w:t xml:space="preserve"> (</w:t>
      </w:r>
      <w:r w:rsidR="00074E06" w:rsidRPr="00BD7E1B">
        <w:rPr>
          <w:iCs/>
        </w:rPr>
        <w:t xml:space="preserve">95% CI: </w:t>
      </w:r>
      <w:r w:rsidR="00074E06" w:rsidRPr="00813789">
        <w:rPr>
          <w:rFonts w:eastAsia="Arial"/>
        </w:rPr>
        <w:t>7.10, 16.56)</w:t>
      </w:r>
      <w:r w:rsidR="00074E06">
        <w:rPr>
          <w:rFonts w:eastAsia="Arial"/>
        </w:rPr>
        <w:t xml:space="preserve"> in Study 5002</w:t>
      </w:r>
      <w:r w:rsidR="00D64EDD">
        <w:rPr>
          <w:rFonts w:eastAsia="Arial"/>
        </w:rPr>
        <w:t xml:space="preserve"> (</w:t>
      </w:r>
      <w:r w:rsidR="00D64EDD">
        <w:rPr>
          <w:rFonts w:eastAsia="Arial"/>
        </w:rPr>
        <w:fldChar w:fldCharType="begin"/>
      </w:r>
      <w:r w:rsidR="00D64EDD">
        <w:rPr>
          <w:rFonts w:eastAsia="Arial"/>
        </w:rPr>
        <w:instrText xml:space="preserve"> REF _Ref112592034 \h </w:instrText>
      </w:r>
      <w:r w:rsidR="00D64EDD">
        <w:rPr>
          <w:rFonts w:eastAsia="Arial"/>
        </w:rPr>
      </w:r>
      <w:r w:rsidR="00D64EDD">
        <w:rPr>
          <w:rFonts w:eastAsia="Arial"/>
        </w:rPr>
        <w:fldChar w:fldCharType="separate"/>
      </w:r>
      <w:r w:rsidR="001635D4">
        <w:t xml:space="preserve">Table </w:t>
      </w:r>
      <w:r w:rsidR="001635D4">
        <w:rPr>
          <w:noProof/>
        </w:rPr>
        <w:t>8</w:t>
      </w:r>
      <w:r w:rsidR="00D64EDD">
        <w:rPr>
          <w:rFonts w:eastAsia="Arial"/>
        </w:rPr>
        <w:fldChar w:fldCharType="end"/>
      </w:r>
      <w:r w:rsidR="00D64EDD">
        <w:rPr>
          <w:rFonts w:eastAsia="Arial"/>
        </w:rPr>
        <w:t>)</w:t>
      </w:r>
      <w:r w:rsidR="00074E06">
        <w:rPr>
          <w:rFonts w:eastAsia="Arial"/>
        </w:rPr>
        <w:t>.</w:t>
      </w:r>
      <w:r w:rsidR="00BD7E1B">
        <w:rPr>
          <w:iCs/>
        </w:rPr>
        <w:t xml:space="preserve"> </w:t>
      </w:r>
      <w:r w:rsidR="00BD7E1B" w:rsidRPr="00BD7E1B">
        <w:rPr>
          <w:iCs/>
        </w:rPr>
        <w:t>As would be expected, pooling the results has the effect of narrowing the confidence intervals.</w:t>
      </w:r>
      <w:r w:rsidR="003F051A">
        <w:rPr>
          <w:iCs/>
        </w:rPr>
        <w:t xml:space="preserve"> This update in the </w:t>
      </w:r>
      <w:r w:rsidR="003F051A">
        <w:rPr>
          <w:iCs/>
          <w:lang w:val="en-US"/>
        </w:rPr>
        <w:t>Pre-PBAC response</w:t>
      </w:r>
      <w:r w:rsidR="003F051A">
        <w:rPr>
          <w:iCs/>
        </w:rPr>
        <w:t xml:space="preserve"> was not independently evaluated.</w:t>
      </w:r>
    </w:p>
    <w:p w14:paraId="15D74710" w14:textId="2F9F3514" w:rsidR="00D42478" w:rsidRDefault="00D42478" w:rsidP="00D42478">
      <w:pPr>
        <w:pStyle w:val="Caption"/>
        <w:jc w:val="left"/>
      </w:pPr>
      <w:bookmarkStart w:id="40" w:name="_Ref120395615"/>
      <w:r>
        <w:t xml:space="preserve">Table </w:t>
      </w:r>
      <w:r w:rsidR="001635D4">
        <w:fldChar w:fldCharType="begin"/>
      </w:r>
      <w:r w:rsidR="001635D4">
        <w:instrText xml:space="preserve"> SEQ Table \* ARABIC </w:instrText>
      </w:r>
      <w:r w:rsidR="001635D4">
        <w:fldChar w:fldCharType="separate"/>
      </w:r>
      <w:r w:rsidR="001635D4">
        <w:rPr>
          <w:noProof/>
        </w:rPr>
        <w:t>9</w:t>
      </w:r>
      <w:r w:rsidR="001635D4">
        <w:rPr>
          <w:noProof/>
        </w:rPr>
        <w:fldChar w:fldCharType="end"/>
      </w:r>
      <w:bookmarkEnd w:id="40"/>
      <w:r>
        <w:t>: Comparison of survival data for mobocertinib vs pooled SOC (Study 5002 and Study 5008)</w:t>
      </w:r>
    </w:p>
    <w:tbl>
      <w:tblPr>
        <w:tblStyle w:val="TableGrid"/>
        <w:tblW w:w="0" w:type="auto"/>
        <w:tblLook w:val="04A0" w:firstRow="1" w:lastRow="0" w:firstColumn="1" w:lastColumn="0" w:noHBand="0" w:noVBand="1"/>
      </w:tblPr>
      <w:tblGrid>
        <w:gridCol w:w="2254"/>
        <w:gridCol w:w="1427"/>
        <w:gridCol w:w="2668"/>
        <w:gridCol w:w="2668"/>
      </w:tblGrid>
      <w:tr w:rsidR="00D42478" w14:paraId="58D9B5A0" w14:textId="77777777" w:rsidTr="00EE00C5">
        <w:tc>
          <w:tcPr>
            <w:tcW w:w="2254" w:type="dxa"/>
          </w:tcPr>
          <w:p w14:paraId="2566FD8C" w14:textId="102B69B7" w:rsidR="00D42478" w:rsidRDefault="00D42478" w:rsidP="00D42478">
            <w:pPr>
              <w:pStyle w:val="In-tableHeading"/>
              <w:rPr>
                <w:lang w:val="en-AU"/>
              </w:rPr>
            </w:pPr>
            <w:r>
              <w:rPr>
                <w:lang w:val="en-AU"/>
              </w:rPr>
              <w:t>Outcome</w:t>
            </w:r>
          </w:p>
        </w:tc>
        <w:tc>
          <w:tcPr>
            <w:tcW w:w="1427" w:type="dxa"/>
          </w:tcPr>
          <w:p w14:paraId="7B19995B" w14:textId="2385F743" w:rsidR="00D42478" w:rsidRDefault="007232FE" w:rsidP="007232FE">
            <w:pPr>
              <w:pStyle w:val="In-tableHeading"/>
              <w:jc w:val="center"/>
              <w:rPr>
                <w:lang w:val="en-AU"/>
              </w:rPr>
            </w:pPr>
            <w:r>
              <w:rPr>
                <w:lang w:val="en-AU"/>
              </w:rPr>
              <w:t>Mobocertinib</w:t>
            </w:r>
          </w:p>
        </w:tc>
        <w:tc>
          <w:tcPr>
            <w:tcW w:w="2668" w:type="dxa"/>
          </w:tcPr>
          <w:p w14:paraId="201D2C6D" w14:textId="5C15A4E4" w:rsidR="00D42478" w:rsidRDefault="00EE00C5" w:rsidP="007232FE">
            <w:pPr>
              <w:pStyle w:val="In-tableHeading"/>
              <w:jc w:val="center"/>
              <w:rPr>
                <w:lang w:val="en-AU"/>
              </w:rPr>
            </w:pPr>
            <w:r>
              <w:rPr>
                <w:lang w:val="en-AU"/>
              </w:rPr>
              <w:t xml:space="preserve">Pooled </w:t>
            </w:r>
            <w:r w:rsidR="007232FE">
              <w:rPr>
                <w:lang w:val="en-AU"/>
              </w:rPr>
              <w:t>SOC before weighting</w:t>
            </w:r>
          </w:p>
        </w:tc>
        <w:tc>
          <w:tcPr>
            <w:tcW w:w="2668" w:type="dxa"/>
          </w:tcPr>
          <w:p w14:paraId="1A3E0886" w14:textId="4241425C" w:rsidR="00D42478" w:rsidRDefault="00EE00C5" w:rsidP="007232FE">
            <w:pPr>
              <w:pStyle w:val="In-tableHeading"/>
              <w:jc w:val="center"/>
              <w:rPr>
                <w:lang w:val="en-AU"/>
              </w:rPr>
            </w:pPr>
            <w:r>
              <w:rPr>
                <w:lang w:val="en-AU"/>
              </w:rPr>
              <w:t xml:space="preserve">Pooled </w:t>
            </w:r>
            <w:r w:rsidR="007232FE">
              <w:rPr>
                <w:lang w:val="en-AU"/>
              </w:rPr>
              <w:t>SOC after weighting</w:t>
            </w:r>
          </w:p>
        </w:tc>
      </w:tr>
      <w:tr w:rsidR="00D42478" w14:paraId="049D5E15" w14:textId="77777777" w:rsidTr="00EE00C5">
        <w:tc>
          <w:tcPr>
            <w:tcW w:w="2254" w:type="dxa"/>
          </w:tcPr>
          <w:p w14:paraId="331996C3" w14:textId="0CC025D6" w:rsidR="00D42478" w:rsidRDefault="007232FE" w:rsidP="00D42478">
            <w:pPr>
              <w:pStyle w:val="In-tableHeading"/>
              <w:rPr>
                <w:lang w:val="en-AU"/>
              </w:rPr>
            </w:pPr>
            <w:r>
              <w:rPr>
                <w:lang w:val="en-AU"/>
              </w:rPr>
              <w:t>Median OS (95% CI)</w:t>
            </w:r>
          </w:p>
        </w:tc>
        <w:tc>
          <w:tcPr>
            <w:tcW w:w="1427" w:type="dxa"/>
          </w:tcPr>
          <w:p w14:paraId="77B9964C" w14:textId="5ABC6431" w:rsidR="00D42478" w:rsidRPr="007232FE" w:rsidRDefault="007232FE" w:rsidP="007232FE">
            <w:pPr>
              <w:pStyle w:val="In-tableHeading"/>
              <w:jc w:val="center"/>
              <w:rPr>
                <w:b w:val="0"/>
                <w:bCs/>
                <w:lang w:val="en-AU"/>
              </w:rPr>
            </w:pPr>
            <w:r w:rsidRPr="007232FE">
              <w:rPr>
                <w:b w:val="0"/>
                <w:bCs/>
                <w:lang w:val="en-AU"/>
              </w:rPr>
              <w:t>20.2 (14.9, 25.3)</w:t>
            </w:r>
          </w:p>
        </w:tc>
        <w:tc>
          <w:tcPr>
            <w:tcW w:w="2668" w:type="dxa"/>
          </w:tcPr>
          <w:p w14:paraId="25C7CB2F" w14:textId="13D47510" w:rsidR="00D42478" w:rsidRPr="007232FE" w:rsidRDefault="00466F33" w:rsidP="007232FE">
            <w:pPr>
              <w:pStyle w:val="In-tableHeading"/>
              <w:jc w:val="center"/>
              <w:rPr>
                <w:b w:val="0"/>
                <w:bCs/>
                <w:lang w:val="en-AU"/>
              </w:rPr>
            </w:pPr>
            <w:r>
              <w:rPr>
                <w:b w:val="0"/>
                <w:bCs/>
                <w:lang w:val="en-AU"/>
              </w:rPr>
              <w:t>11.4 (8.9, 14.1)</w:t>
            </w:r>
          </w:p>
        </w:tc>
        <w:tc>
          <w:tcPr>
            <w:tcW w:w="2668" w:type="dxa"/>
          </w:tcPr>
          <w:p w14:paraId="7CCAA15D" w14:textId="654EFC56" w:rsidR="00D42478" w:rsidRPr="007232FE" w:rsidRDefault="00466F33" w:rsidP="007232FE">
            <w:pPr>
              <w:pStyle w:val="In-tableHeading"/>
              <w:jc w:val="center"/>
              <w:rPr>
                <w:b w:val="0"/>
                <w:bCs/>
                <w:lang w:val="en-AU"/>
              </w:rPr>
            </w:pPr>
            <w:r>
              <w:rPr>
                <w:b w:val="0"/>
                <w:bCs/>
                <w:lang w:val="en-AU"/>
              </w:rPr>
              <w:t>11.4 (8.0, 13.6)</w:t>
            </w:r>
          </w:p>
        </w:tc>
      </w:tr>
      <w:tr w:rsidR="00D42478" w14:paraId="489BA4D8" w14:textId="77777777" w:rsidTr="00EE00C5">
        <w:tc>
          <w:tcPr>
            <w:tcW w:w="2254" w:type="dxa"/>
          </w:tcPr>
          <w:p w14:paraId="242EF152" w14:textId="6392C91F" w:rsidR="00D42478" w:rsidRDefault="007232FE" w:rsidP="00D42478">
            <w:pPr>
              <w:pStyle w:val="In-tableHeading"/>
              <w:rPr>
                <w:lang w:val="en-AU"/>
              </w:rPr>
            </w:pPr>
            <w:r>
              <w:rPr>
                <w:lang w:val="en-AU"/>
              </w:rPr>
              <w:t>Median PFS-INV (95% CI)</w:t>
            </w:r>
          </w:p>
        </w:tc>
        <w:tc>
          <w:tcPr>
            <w:tcW w:w="1427" w:type="dxa"/>
          </w:tcPr>
          <w:p w14:paraId="37EC9847" w14:textId="67F74F61" w:rsidR="00D42478" w:rsidRPr="007232FE" w:rsidRDefault="007232FE" w:rsidP="007232FE">
            <w:pPr>
              <w:pStyle w:val="In-tableHeading"/>
              <w:jc w:val="center"/>
              <w:rPr>
                <w:b w:val="0"/>
                <w:bCs/>
                <w:lang w:val="en-AU"/>
              </w:rPr>
            </w:pPr>
            <w:r>
              <w:rPr>
                <w:b w:val="0"/>
                <w:bCs/>
                <w:lang w:val="en-AU"/>
              </w:rPr>
              <w:t>7.3 (5.6, 8.8)</w:t>
            </w:r>
          </w:p>
        </w:tc>
        <w:tc>
          <w:tcPr>
            <w:tcW w:w="2668" w:type="dxa"/>
          </w:tcPr>
          <w:p w14:paraId="0A9AAC32" w14:textId="23272BDF" w:rsidR="00D42478" w:rsidRPr="007232FE" w:rsidRDefault="00466F33" w:rsidP="007232FE">
            <w:pPr>
              <w:pStyle w:val="In-tableHeading"/>
              <w:jc w:val="center"/>
              <w:rPr>
                <w:b w:val="0"/>
                <w:bCs/>
                <w:lang w:val="en-AU"/>
              </w:rPr>
            </w:pPr>
            <w:r>
              <w:rPr>
                <w:b w:val="0"/>
                <w:bCs/>
                <w:lang w:val="en-AU"/>
              </w:rPr>
              <w:t>3.0 (2.5, 4.3)</w:t>
            </w:r>
          </w:p>
        </w:tc>
        <w:tc>
          <w:tcPr>
            <w:tcW w:w="2668" w:type="dxa"/>
          </w:tcPr>
          <w:p w14:paraId="6ACCA9D1" w14:textId="7E878565" w:rsidR="00D42478" w:rsidRPr="007232FE" w:rsidRDefault="00466F33" w:rsidP="007232FE">
            <w:pPr>
              <w:pStyle w:val="In-tableHeading"/>
              <w:jc w:val="center"/>
              <w:rPr>
                <w:b w:val="0"/>
                <w:bCs/>
                <w:lang w:val="en-AU"/>
              </w:rPr>
            </w:pPr>
            <w:r>
              <w:rPr>
                <w:b w:val="0"/>
                <w:bCs/>
                <w:lang w:val="en-AU"/>
              </w:rPr>
              <w:t>2.9 (2.2, 4.4)</w:t>
            </w:r>
          </w:p>
        </w:tc>
      </w:tr>
      <w:tr w:rsidR="00466F33" w14:paraId="4E9AAC9F" w14:textId="77777777" w:rsidTr="00EE00C5">
        <w:tc>
          <w:tcPr>
            <w:tcW w:w="2254" w:type="dxa"/>
          </w:tcPr>
          <w:p w14:paraId="160FDE4B" w14:textId="455F76DD" w:rsidR="00466F33" w:rsidRDefault="00466F33" w:rsidP="00466F33">
            <w:pPr>
              <w:pStyle w:val="In-tableHeading"/>
              <w:rPr>
                <w:lang w:val="en-AU"/>
              </w:rPr>
            </w:pPr>
            <w:r>
              <w:rPr>
                <w:lang w:val="en-AU"/>
              </w:rPr>
              <w:t>Median PFS-IRC (95% CI)</w:t>
            </w:r>
          </w:p>
        </w:tc>
        <w:tc>
          <w:tcPr>
            <w:tcW w:w="1427" w:type="dxa"/>
          </w:tcPr>
          <w:p w14:paraId="79CFA554" w14:textId="17B4C1A9" w:rsidR="00466F33" w:rsidRPr="007232FE" w:rsidRDefault="00466F33" w:rsidP="00466F33">
            <w:pPr>
              <w:pStyle w:val="In-tableHeading"/>
              <w:jc w:val="center"/>
              <w:rPr>
                <w:b w:val="0"/>
                <w:bCs/>
                <w:lang w:val="en-AU"/>
              </w:rPr>
            </w:pPr>
            <w:r>
              <w:rPr>
                <w:b w:val="0"/>
                <w:bCs/>
                <w:lang w:val="en-AU"/>
              </w:rPr>
              <w:t>7.3 (5.5, 9.2)</w:t>
            </w:r>
          </w:p>
        </w:tc>
        <w:tc>
          <w:tcPr>
            <w:tcW w:w="2668" w:type="dxa"/>
          </w:tcPr>
          <w:p w14:paraId="2E068FA9" w14:textId="4109C071" w:rsidR="00466F33" w:rsidRPr="007232FE" w:rsidRDefault="00466F33" w:rsidP="00466F33">
            <w:pPr>
              <w:pStyle w:val="In-tableHeading"/>
              <w:jc w:val="center"/>
              <w:rPr>
                <w:b w:val="0"/>
                <w:bCs/>
                <w:lang w:val="en-AU"/>
              </w:rPr>
            </w:pPr>
            <w:r>
              <w:rPr>
                <w:b w:val="0"/>
                <w:bCs/>
                <w:lang w:val="en-AU"/>
              </w:rPr>
              <w:t>3.0 (2.5, 4.3)</w:t>
            </w:r>
          </w:p>
        </w:tc>
        <w:tc>
          <w:tcPr>
            <w:tcW w:w="2668" w:type="dxa"/>
          </w:tcPr>
          <w:p w14:paraId="4CC221E2" w14:textId="3B23C4C1" w:rsidR="00466F33" w:rsidRPr="007232FE" w:rsidRDefault="00466F33" w:rsidP="00466F33">
            <w:pPr>
              <w:pStyle w:val="In-tableHeading"/>
              <w:jc w:val="center"/>
              <w:rPr>
                <w:b w:val="0"/>
                <w:bCs/>
                <w:lang w:val="en-AU"/>
              </w:rPr>
            </w:pPr>
            <w:r>
              <w:rPr>
                <w:b w:val="0"/>
                <w:bCs/>
                <w:lang w:val="en-AU"/>
              </w:rPr>
              <w:t>2.9 (2.2, 4.4)</w:t>
            </w:r>
          </w:p>
        </w:tc>
      </w:tr>
    </w:tbl>
    <w:p w14:paraId="7A993BEF" w14:textId="75429190" w:rsidR="00D42478" w:rsidRDefault="00D42478" w:rsidP="00D42478">
      <w:pPr>
        <w:pStyle w:val="TableFooter"/>
        <w:keepNext/>
        <w:keepLines/>
      </w:pPr>
      <w:r>
        <w:t xml:space="preserve">Source: </w:t>
      </w:r>
      <w:r w:rsidRPr="00A14306">
        <w:t xml:space="preserve">Table </w:t>
      </w:r>
      <w:r>
        <w:t>1</w:t>
      </w:r>
      <w:r w:rsidRPr="00A14306">
        <w:t xml:space="preserve">, </w:t>
      </w:r>
      <w:r>
        <w:t>Pre-PBAC Response</w:t>
      </w:r>
      <w:r w:rsidRPr="00A14306">
        <w:t>.</w:t>
      </w:r>
    </w:p>
    <w:p w14:paraId="5F346B25" w14:textId="41EA271B" w:rsidR="00760000" w:rsidRDefault="00D42478" w:rsidP="00D42478">
      <w:pPr>
        <w:pStyle w:val="TableFooter"/>
        <w:keepNext/>
        <w:keepLines/>
      </w:pPr>
      <w:r>
        <w:rPr>
          <w:lang w:val="en-US"/>
        </w:rPr>
        <w:t>C</w:t>
      </w:r>
      <w:r w:rsidR="00F66348">
        <w:rPr>
          <w:lang w:val="en-US"/>
        </w:rPr>
        <w:t xml:space="preserve"> </w:t>
      </w:r>
      <w:r>
        <w:rPr>
          <w:lang w:val="en-US"/>
        </w:rPr>
        <w:t>I=</w:t>
      </w:r>
      <w:r w:rsidR="00F66348">
        <w:rPr>
          <w:lang w:val="en-US"/>
        </w:rPr>
        <w:t xml:space="preserve"> </w:t>
      </w:r>
      <w:r>
        <w:rPr>
          <w:lang w:val="en-US"/>
        </w:rPr>
        <w:t>confidence interval</w:t>
      </w:r>
      <w:r>
        <w:t xml:space="preserve">; </w:t>
      </w:r>
      <w:r w:rsidRPr="00A14306">
        <w:t>INV</w:t>
      </w:r>
      <w:r w:rsidR="00F66348">
        <w:t xml:space="preserve"> </w:t>
      </w:r>
      <w:r w:rsidRPr="00A14306">
        <w:t>=</w:t>
      </w:r>
      <w:r w:rsidR="00F66348">
        <w:t xml:space="preserve"> </w:t>
      </w:r>
      <w:r w:rsidRPr="00A14306">
        <w:t>investigator; IRC</w:t>
      </w:r>
      <w:r w:rsidR="00F66348">
        <w:t xml:space="preserve"> </w:t>
      </w:r>
      <w:r w:rsidRPr="00A14306">
        <w:t>=</w:t>
      </w:r>
      <w:r w:rsidR="00F66348">
        <w:t xml:space="preserve"> </w:t>
      </w:r>
      <w:r w:rsidRPr="00A14306">
        <w:t>independent review committee; IPTW</w:t>
      </w:r>
      <w:r w:rsidR="00F66348">
        <w:t xml:space="preserve"> </w:t>
      </w:r>
      <w:r w:rsidRPr="00A14306">
        <w:t>=</w:t>
      </w:r>
      <w:r w:rsidR="00F66348">
        <w:t xml:space="preserve"> </w:t>
      </w:r>
      <w:r w:rsidRPr="00A14306">
        <w:t>inverse probability treatment weighting; OS=overall survival; PFS</w:t>
      </w:r>
      <w:r w:rsidR="00F66348">
        <w:t xml:space="preserve"> </w:t>
      </w:r>
      <w:r w:rsidRPr="00A14306">
        <w:t>=</w:t>
      </w:r>
      <w:r w:rsidR="00F66348">
        <w:t xml:space="preserve"> </w:t>
      </w:r>
      <w:r w:rsidRPr="00A14306">
        <w:t>progression-free survival</w:t>
      </w:r>
      <w:r>
        <w:t>; SOC</w:t>
      </w:r>
      <w:r w:rsidR="00F66348">
        <w:t xml:space="preserve"> </w:t>
      </w:r>
      <w:r>
        <w:t>=</w:t>
      </w:r>
      <w:r w:rsidR="00F66348">
        <w:t xml:space="preserve"> </w:t>
      </w:r>
      <w:r>
        <w:t>standard of care</w:t>
      </w:r>
      <w:r w:rsidRPr="00A14306">
        <w:t>.</w:t>
      </w:r>
    </w:p>
    <w:p w14:paraId="2526B7F1" w14:textId="3FCC52A8" w:rsidR="00760000" w:rsidRDefault="00760000" w:rsidP="00760000">
      <w:pPr>
        <w:pStyle w:val="3-BodyText"/>
        <w:numPr>
          <w:ilvl w:val="0"/>
          <w:numId w:val="0"/>
        </w:numPr>
      </w:pPr>
    </w:p>
    <w:p w14:paraId="1C8BD585" w14:textId="55AA6A09" w:rsidR="00466F33" w:rsidRDefault="00466F33" w:rsidP="00466F33">
      <w:pPr>
        <w:pStyle w:val="Caption"/>
        <w:jc w:val="left"/>
      </w:pPr>
      <w:bookmarkStart w:id="41" w:name="_Ref120395635"/>
      <w:r>
        <w:lastRenderedPageBreak/>
        <w:t xml:space="preserve">Figure </w:t>
      </w:r>
      <w:r w:rsidR="001635D4">
        <w:fldChar w:fldCharType="begin"/>
      </w:r>
      <w:r w:rsidR="001635D4">
        <w:instrText xml:space="preserve"> SEQ Figure \* ARABIC </w:instrText>
      </w:r>
      <w:r w:rsidR="001635D4">
        <w:fldChar w:fldCharType="separate"/>
      </w:r>
      <w:r w:rsidR="001635D4">
        <w:rPr>
          <w:noProof/>
        </w:rPr>
        <w:t>5</w:t>
      </w:r>
      <w:r w:rsidR="001635D4">
        <w:rPr>
          <w:noProof/>
        </w:rPr>
        <w:fldChar w:fldCharType="end"/>
      </w:r>
      <w:bookmarkEnd w:id="41"/>
      <w:r>
        <w:t xml:space="preserve">: </w:t>
      </w:r>
      <w:r w:rsidRPr="00813789">
        <w:t xml:space="preserve">KM plot of OS for mobocertinib (observed) vs. </w:t>
      </w:r>
      <w:r>
        <w:t xml:space="preserve">pooled </w:t>
      </w:r>
      <w:r w:rsidRPr="00813789">
        <w:t>Stud</w:t>
      </w:r>
      <w:r>
        <w:t>ies</w:t>
      </w:r>
      <w:r w:rsidRPr="00813789">
        <w:t xml:space="preserve"> 500</w:t>
      </w:r>
      <w:r>
        <w:t>8 and 5002</w:t>
      </w:r>
      <w:r w:rsidRPr="00813789">
        <w:t xml:space="preserve"> </w:t>
      </w:r>
      <w:r w:rsidRPr="001021B6">
        <w:t>(observed and weighted)</w:t>
      </w:r>
    </w:p>
    <w:p w14:paraId="46B23867" w14:textId="002A5221" w:rsidR="00466F33" w:rsidRPr="00466F33" w:rsidRDefault="001021B6" w:rsidP="00466F33">
      <w:pPr>
        <w:pStyle w:val="In-tableHeading"/>
        <w:rPr>
          <w:lang w:val="en-AU"/>
        </w:rPr>
      </w:pPr>
      <w:r w:rsidRPr="001021B6">
        <w:rPr>
          <w:noProof/>
        </w:rPr>
        <w:drawing>
          <wp:inline distT="0" distB="0" distL="0" distR="0" wp14:anchorId="729D7EE6" wp14:editId="27C795A8">
            <wp:extent cx="5732145" cy="3938905"/>
            <wp:effectExtent l="0" t="0" r="1905" b="4445"/>
            <wp:docPr id="9" name="Picture 9" descr="Figure 5: KM plot of OS for mobocertinib (observed) vs. pooled Studies 5008 and 5002 (observed and we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5: KM plot of OS for mobocertinib (observed) vs. pooled Studies 5008 and 5002 (observed and weighted)"/>
                    <pic:cNvPicPr/>
                  </pic:nvPicPr>
                  <pic:blipFill>
                    <a:blip r:embed="rId12"/>
                    <a:stretch>
                      <a:fillRect/>
                    </a:stretch>
                  </pic:blipFill>
                  <pic:spPr>
                    <a:xfrm>
                      <a:off x="0" y="0"/>
                      <a:ext cx="5732145" cy="3938905"/>
                    </a:xfrm>
                    <a:prstGeom prst="rect">
                      <a:avLst/>
                    </a:prstGeom>
                  </pic:spPr>
                </pic:pic>
              </a:graphicData>
            </a:graphic>
          </wp:inline>
        </w:drawing>
      </w:r>
    </w:p>
    <w:p w14:paraId="2B2901EF" w14:textId="657DA1A2" w:rsidR="00466F33" w:rsidRPr="00A14306" w:rsidRDefault="00466F33" w:rsidP="00466F33">
      <w:pPr>
        <w:pStyle w:val="TableFooter"/>
      </w:pPr>
      <w:r w:rsidRPr="00A14306">
        <w:t xml:space="preserve">Source: </w:t>
      </w:r>
      <w:r>
        <w:t>Figure</w:t>
      </w:r>
      <w:r w:rsidRPr="00A14306">
        <w:t xml:space="preserve"> </w:t>
      </w:r>
      <w:r>
        <w:t>1</w:t>
      </w:r>
      <w:r w:rsidRPr="00A14306">
        <w:t xml:space="preserve">, </w:t>
      </w:r>
      <w:r>
        <w:t>Pre-PBAC Response</w:t>
      </w:r>
      <w:r w:rsidRPr="00A14306">
        <w:t>.</w:t>
      </w:r>
    </w:p>
    <w:p w14:paraId="5F3BF022" w14:textId="77420155" w:rsidR="00466F33" w:rsidRPr="00A14306" w:rsidRDefault="00466F33" w:rsidP="00466F33">
      <w:pPr>
        <w:pStyle w:val="TableFooter"/>
      </w:pPr>
      <w:r w:rsidRPr="00A14306">
        <w:t>KM</w:t>
      </w:r>
      <w:r w:rsidR="00F66348">
        <w:t xml:space="preserve"> </w:t>
      </w:r>
      <w:r w:rsidRPr="00A14306">
        <w:t>=</w:t>
      </w:r>
      <w:r w:rsidR="00F66348">
        <w:t xml:space="preserve"> </w:t>
      </w:r>
      <w:r w:rsidRPr="00A14306">
        <w:t>Kaplan-Meier; OS</w:t>
      </w:r>
      <w:r w:rsidR="00F66348">
        <w:t xml:space="preserve"> </w:t>
      </w:r>
      <w:r w:rsidRPr="00A14306">
        <w:t>=</w:t>
      </w:r>
      <w:r w:rsidR="00F66348">
        <w:t xml:space="preserve"> </w:t>
      </w:r>
      <w:r w:rsidRPr="00A14306">
        <w:t>overall survival</w:t>
      </w:r>
    </w:p>
    <w:p w14:paraId="7A4D9772" w14:textId="726C9F2F" w:rsidR="001021B6" w:rsidRPr="00CB2BB8" w:rsidRDefault="001021B6" w:rsidP="00760000">
      <w:pPr>
        <w:pStyle w:val="3-BodyText"/>
        <w:numPr>
          <w:ilvl w:val="0"/>
          <w:numId w:val="0"/>
        </w:numPr>
      </w:pPr>
    </w:p>
    <w:p w14:paraId="6CB9B3A3" w14:textId="31C34465" w:rsidR="00B60939" w:rsidRPr="00C9624D" w:rsidRDefault="00097DA5" w:rsidP="00057D7C">
      <w:pPr>
        <w:pStyle w:val="4-SubsectionHeading"/>
        <w:keepNext w:val="0"/>
      </w:pPr>
      <w:bookmarkStart w:id="42" w:name="_Toc22897642"/>
      <w:bookmarkStart w:id="43" w:name="_Toc113895843"/>
      <w:r>
        <w:t>Mobocertinib</w:t>
      </w:r>
      <w:r w:rsidRPr="00C9624D">
        <w:t xml:space="preserve"> </w:t>
      </w:r>
      <w:r w:rsidR="00B60939" w:rsidRPr="00C9624D">
        <w:t>harms</w:t>
      </w:r>
      <w:bookmarkEnd w:id="42"/>
      <w:bookmarkEnd w:id="43"/>
    </w:p>
    <w:p w14:paraId="2B2D63DC" w14:textId="3A386E9F" w:rsidR="0059695A" w:rsidRDefault="00EC2A12" w:rsidP="00057D7C">
      <w:pPr>
        <w:pStyle w:val="3-BodyText"/>
        <w:rPr>
          <w:iCs/>
        </w:rPr>
      </w:pPr>
      <w:r w:rsidRPr="007135FB">
        <w:t xml:space="preserve">No indirect </w:t>
      </w:r>
      <w:r w:rsidR="009C125F" w:rsidRPr="007135FB">
        <w:t xml:space="preserve">comparisons were </w:t>
      </w:r>
      <w:r w:rsidRPr="007135FB">
        <w:t>conducted for assessing comparative safety.</w:t>
      </w:r>
      <w:r w:rsidR="002D7449" w:rsidRPr="002D7449">
        <w:rPr>
          <w:i/>
          <w:iCs/>
        </w:rPr>
        <w:t xml:space="preserve"> </w:t>
      </w:r>
      <w:r w:rsidR="002D7449">
        <w:rPr>
          <w:iCs/>
        </w:rPr>
        <w:fldChar w:fldCharType="begin"/>
      </w:r>
      <w:r w:rsidR="002D7449">
        <w:rPr>
          <w:i/>
          <w:iCs/>
        </w:rPr>
        <w:instrText xml:space="preserve"> REF _Ref112593965 \h </w:instrText>
      </w:r>
      <w:r w:rsidR="002D7449">
        <w:rPr>
          <w:iCs/>
        </w:rPr>
      </w:r>
      <w:r w:rsidR="002D7449">
        <w:rPr>
          <w:iCs/>
        </w:rPr>
        <w:fldChar w:fldCharType="separate"/>
      </w:r>
      <w:r w:rsidR="001635D4">
        <w:t xml:space="preserve">Table </w:t>
      </w:r>
      <w:r w:rsidR="001635D4">
        <w:rPr>
          <w:noProof/>
        </w:rPr>
        <w:t>10</w:t>
      </w:r>
      <w:r w:rsidR="002D7449">
        <w:rPr>
          <w:iCs/>
        </w:rPr>
        <w:fldChar w:fldCharType="end"/>
      </w:r>
      <w:r w:rsidR="002D7449">
        <w:rPr>
          <w:iCs/>
        </w:rPr>
        <w:t xml:space="preserve"> summarises overall adverse events (AEs) from the Study 101 PPP cohort.</w:t>
      </w:r>
    </w:p>
    <w:p w14:paraId="20E32BA9" w14:textId="77777777" w:rsidR="0059695A" w:rsidRDefault="0059695A">
      <w:pPr>
        <w:rPr>
          <w:rFonts w:asciiTheme="minorHAnsi" w:hAnsiTheme="minorHAnsi" w:cs="Arial"/>
          <w:iCs/>
          <w:snapToGrid w:val="0"/>
        </w:rPr>
      </w:pPr>
      <w:r>
        <w:rPr>
          <w:iCs/>
        </w:rPr>
        <w:br w:type="page"/>
      </w:r>
    </w:p>
    <w:p w14:paraId="075CBB47" w14:textId="78D809E3" w:rsidR="00EC2A12" w:rsidRDefault="00EC2A12" w:rsidP="00057D7C">
      <w:pPr>
        <w:pStyle w:val="Caption"/>
        <w:keepNext w:val="0"/>
        <w:keepLines w:val="0"/>
      </w:pPr>
      <w:bookmarkStart w:id="44" w:name="_Ref112593965"/>
      <w:r>
        <w:lastRenderedPageBreak/>
        <w:t xml:space="preserve">Table </w:t>
      </w:r>
      <w:r w:rsidR="001635D4">
        <w:fldChar w:fldCharType="begin"/>
      </w:r>
      <w:r w:rsidR="001635D4">
        <w:instrText xml:space="preserve"> SEQ Table \* ARABIC </w:instrText>
      </w:r>
      <w:r w:rsidR="001635D4">
        <w:fldChar w:fldCharType="separate"/>
      </w:r>
      <w:r w:rsidR="001635D4">
        <w:rPr>
          <w:noProof/>
        </w:rPr>
        <w:t>10</w:t>
      </w:r>
      <w:r w:rsidR="001635D4">
        <w:rPr>
          <w:noProof/>
        </w:rPr>
        <w:fldChar w:fldCharType="end"/>
      </w:r>
      <w:bookmarkEnd w:id="44"/>
      <w:r>
        <w:t>: Summary of overall AEs (any grade or Grade ≥3) – Study 101 PPP cohort</w:t>
      </w:r>
      <w:r w:rsidR="006B1FED">
        <w:t xml:space="preserve"> (N=114)</w:t>
      </w:r>
    </w:p>
    <w:tbl>
      <w:tblPr>
        <w:tblStyle w:val="HTATableshaded"/>
        <w:tblW w:w="5000" w:type="pct"/>
        <w:tblLook w:val="04A0" w:firstRow="1" w:lastRow="0" w:firstColumn="1" w:lastColumn="0" w:noHBand="0" w:noVBand="1"/>
      </w:tblPr>
      <w:tblGrid>
        <w:gridCol w:w="4705"/>
        <w:gridCol w:w="2157"/>
        <w:gridCol w:w="2155"/>
      </w:tblGrid>
      <w:tr w:rsidR="00EC2A12" w:rsidRPr="00CF173B" w14:paraId="10A33C7B" w14:textId="77777777" w:rsidTr="0015122B">
        <w:trPr>
          <w:cnfStyle w:val="100000000000" w:firstRow="1" w:lastRow="0" w:firstColumn="0" w:lastColumn="0" w:oddVBand="0" w:evenVBand="0" w:oddHBand="0" w:evenHBand="0" w:firstRowFirstColumn="0" w:firstRowLastColumn="0" w:lastRowFirstColumn="0" w:lastRowLastColumn="0"/>
          <w:cantSplit/>
          <w:trHeight w:val="205"/>
        </w:trPr>
        <w:tc>
          <w:tcPr>
            <w:tcW w:w="2609" w:type="pct"/>
            <w:shd w:val="clear" w:color="auto" w:fill="auto"/>
          </w:tcPr>
          <w:p w14:paraId="0B8949CB" w14:textId="77777777" w:rsidR="00EC2A12" w:rsidRPr="00CF173B" w:rsidRDefault="00EC2A12" w:rsidP="00057D7C">
            <w:pPr>
              <w:pStyle w:val="Tabletext"/>
              <w:rPr>
                <w:b/>
              </w:rPr>
            </w:pPr>
            <w:r w:rsidRPr="00CF173B">
              <w:rPr>
                <w:b/>
              </w:rPr>
              <w:t>AE, n (%)</w:t>
            </w:r>
          </w:p>
        </w:tc>
        <w:tc>
          <w:tcPr>
            <w:tcW w:w="1196" w:type="pct"/>
            <w:shd w:val="clear" w:color="auto" w:fill="auto"/>
          </w:tcPr>
          <w:p w14:paraId="2CE0B0A9" w14:textId="77777777" w:rsidR="00EC2A12" w:rsidRPr="004434A5" w:rsidRDefault="00EC2A12" w:rsidP="00057D7C">
            <w:pPr>
              <w:pStyle w:val="Tabletext"/>
              <w:rPr>
                <w:b/>
              </w:rPr>
            </w:pPr>
            <w:r w:rsidRPr="004434A5">
              <w:rPr>
                <w:b/>
              </w:rPr>
              <w:t xml:space="preserve">Any </w:t>
            </w:r>
            <w:r>
              <w:rPr>
                <w:b/>
              </w:rPr>
              <w:t>g</w:t>
            </w:r>
            <w:r w:rsidRPr="004434A5">
              <w:rPr>
                <w:b/>
              </w:rPr>
              <w:t xml:space="preserve">rade </w:t>
            </w:r>
          </w:p>
        </w:tc>
        <w:tc>
          <w:tcPr>
            <w:tcW w:w="1195" w:type="pct"/>
            <w:shd w:val="clear" w:color="auto" w:fill="auto"/>
          </w:tcPr>
          <w:p w14:paraId="42E61AE9" w14:textId="77777777" w:rsidR="00EC2A12" w:rsidRPr="004434A5" w:rsidRDefault="00EC2A12" w:rsidP="00057D7C">
            <w:pPr>
              <w:pStyle w:val="Tabletext"/>
              <w:rPr>
                <w:b/>
              </w:rPr>
            </w:pPr>
            <w:r w:rsidRPr="004434A5">
              <w:rPr>
                <w:b/>
              </w:rPr>
              <w:t>Grade ≥3</w:t>
            </w:r>
          </w:p>
        </w:tc>
      </w:tr>
      <w:tr w:rsidR="00EC2A12" w:rsidRPr="00CF173B" w14:paraId="2042FB74" w14:textId="77777777" w:rsidTr="0015122B">
        <w:trPr>
          <w:cantSplit/>
        </w:trPr>
        <w:tc>
          <w:tcPr>
            <w:tcW w:w="2609" w:type="pct"/>
          </w:tcPr>
          <w:p w14:paraId="6153FA5F" w14:textId="77777777" w:rsidR="00EC2A12" w:rsidRPr="00CF173B" w:rsidRDefault="00EC2A12" w:rsidP="00057D7C">
            <w:pPr>
              <w:pStyle w:val="Tabletext"/>
            </w:pPr>
            <w:r w:rsidRPr="00CF173B">
              <w:t>Any TEAE</w:t>
            </w:r>
            <w:r w:rsidRPr="004434A5">
              <w:rPr>
                <w:vertAlign w:val="superscript"/>
              </w:rPr>
              <w:t>a</w:t>
            </w:r>
            <w:r w:rsidRPr="00CF173B">
              <w:t xml:space="preserve"> </w:t>
            </w:r>
          </w:p>
        </w:tc>
        <w:tc>
          <w:tcPr>
            <w:tcW w:w="1196" w:type="pct"/>
          </w:tcPr>
          <w:p w14:paraId="6DB8F77C" w14:textId="77777777" w:rsidR="00EC2A12" w:rsidRPr="00CF173B" w:rsidRDefault="00EC2A12" w:rsidP="00057D7C">
            <w:pPr>
              <w:pStyle w:val="Tabletext"/>
            </w:pPr>
            <w:r w:rsidRPr="00CF173B">
              <w:t>114 (100)</w:t>
            </w:r>
          </w:p>
        </w:tc>
        <w:tc>
          <w:tcPr>
            <w:tcW w:w="1195" w:type="pct"/>
          </w:tcPr>
          <w:p w14:paraId="6BFB3C3E" w14:textId="77777777" w:rsidR="00EC2A12" w:rsidRPr="00CF173B" w:rsidRDefault="00EC2A12" w:rsidP="00057D7C">
            <w:pPr>
              <w:pStyle w:val="Tabletext"/>
            </w:pPr>
            <w:r w:rsidRPr="00CF173B">
              <w:t>86 (75)</w:t>
            </w:r>
          </w:p>
        </w:tc>
      </w:tr>
      <w:tr w:rsidR="00EC2A12" w:rsidRPr="00CF173B" w14:paraId="3018C884" w14:textId="77777777" w:rsidTr="0015122B">
        <w:trPr>
          <w:cantSplit/>
        </w:trPr>
        <w:tc>
          <w:tcPr>
            <w:tcW w:w="2609" w:type="pct"/>
          </w:tcPr>
          <w:p w14:paraId="44B55E64" w14:textId="77777777" w:rsidR="00EC2A12" w:rsidRPr="00CF173B" w:rsidRDefault="00EC2A12" w:rsidP="00057D7C">
            <w:pPr>
              <w:pStyle w:val="Tabletext"/>
            </w:pPr>
            <w:r w:rsidRPr="00CF173B">
              <w:t xml:space="preserve">  Drug-related </w:t>
            </w:r>
          </w:p>
        </w:tc>
        <w:tc>
          <w:tcPr>
            <w:tcW w:w="1196" w:type="pct"/>
          </w:tcPr>
          <w:p w14:paraId="7CF30694" w14:textId="77777777" w:rsidR="00EC2A12" w:rsidRPr="00CF173B" w:rsidRDefault="00EC2A12" w:rsidP="00057D7C">
            <w:pPr>
              <w:pStyle w:val="Tabletext"/>
            </w:pPr>
            <w:r w:rsidRPr="00CF173B">
              <w:t>113 (99)</w:t>
            </w:r>
          </w:p>
        </w:tc>
        <w:tc>
          <w:tcPr>
            <w:tcW w:w="1195" w:type="pct"/>
          </w:tcPr>
          <w:p w14:paraId="12505D52" w14:textId="77777777" w:rsidR="00EC2A12" w:rsidRPr="00CF173B" w:rsidRDefault="00EC2A12" w:rsidP="00057D7C">
            <w:pPr>
              <w:pStyle w:val="Tabletext"/>
            </w:pPr>
            <w:r w:rsidRPr="00CF173B">
              <w:t>59 (52)</w:t>
            </w:r>
          </w:p>
        </w:tc>
      </w:tr>
      <w:tr w:rsidR="00EC2A12" w:rsidRPr="00CF173B" w14:paraId="6DACC548" w14:textId="77777777" w:rsidTr="0015122B">
        <w:trPr>
          <w:cantSplit/>
        </w:trPr>
        <w:tc>
          <w:tcPr>
            <w:tcW w:w="2609" w:type="pct"/>
          </w:tcPr>
          <w:p w14:paraId="41D12C7F" w14:textId="77777777" w:rsidR="00EC2A12" w:rsidRPr="00CF173B" w:rsidRDefault="00EC2A12" w:rsidP="00057D7C">
            <w:pPr>
              <w:pStyle w:val="Tabletext"/>
            </w:pPr>
            <w:r w:rsidRPr="00CF173B">
              <w:t xml:space="preserve">  Leading to treatment discontinuation</w:t>
            </w:r>
          </w:p>
        </w:tc>
        <w:tc>
          <w:tcPr>
            <w:tcW w:w="1196" w:type="pct"/>
          </w:tcPr>
          <w:p w14:paraId="10A4D4FD" w14:textId="77777777" w:rsidR="00EC2A12" w:rsidRPr="00CF173B" w:rsidRDefault="00EC2A12" w:rsidP="00057D7C">
            <w:pPr>
              <w:pStyle w:val="Tabletext"/>
            </w:pPr>
            <w:r w:rsidRPr="00CF173B">
              <w:t>21 (18)</w:t>
            </w:r>
          </w:p>
        </w:tc>
        <w:tc>
          <w:tcPr>
            <w:tcW w:w="1195" w:type="pct"/>
          </w:tcPr>
          <w:p w14:paraId="1E8BA103" w14:textId="77777777" w:rsidR="00EC2A12" w:rsidRPr="00CF173B" w:rsidRDefault="00EC2A12" w:rsidP="00057D7C">
            <w:pPr>
              <w:pStyle w:val="Tabletext"/>
            </w:pPr>
            <w:r w:rsidRPr="00CF173B">
              <w:t>NA</w:t>
            </w:r>
            <w:r w:rsidRPr="005B44B6">
              <w:rPr>
                <w:vertAlign w:val="superscript"/>
              </w:rPr>
              <w:t>c</w:t>
            </w:r>
          </w:p>
        </w:tc>
      </w:tr>
      <w:tr w:rsidR="00EC2A12" w:rsidRPr="00CF173B" w14:paraId="196FC321" w14:textId="77777777" w:rsidTr="0015122B">
        <w:trPr>
          <w:cantSplit/>
        </w:trPr>
        <w:tc>
          <w:tcPr>
            <w:tcW w:w="2609" w:type="pct"/>
          </w:tcPr>
          <w:p w14:paraId="18194927" w14:textId="77777777" w:rsidR="00EC2A12" w:rsidRPr="00CF173B" w:rsidRDefault="00EC2A12" w:rsidP="00057D7C">
            <w:pPr>
              <w:pStyle w:val="Tabletext"/>
            </w:pPr>
            <w:r w:rsidRPr="00CF173B">
              <w:t xml:space="preserve">  Leading to dose reduction </w:t>
            </w:r>
          </w:p>
        </w:tc>
        <w:tc>
          <w:tcPr>
            <w:tcW w:w="1196" w:type="pct"/>
          </w:tcPr>
          <w:p w14:paraId="1D182986" w14:textId="77777777" w:rsidR="00EC2A12" w:rsidRPr="00CF173B" w:rsidRDefault="00EC2A12" w:rsidP="00057D7C">
            <w:pPr>
              <w:pStyle w:val="Tabletext"/>
            </w:pPr>
            <w:r w:rsidRPr="00CF173B">
              <w:t>31 (27)</w:t>
            </w:r>
          </w:p>
        </w:tc>
        <w:tc>
          <w:tcPr>
            <w:tcW w:w="1195" w:type="pct"/>
          </w:tcPr>
          <w:p w14:paraId="42FDB0AD" w14:textId="77777777" w:rsidR="00EC2A12" w:rsidRPr="00CF173B" w:rsidRDefault="00EC2A12" w:rsidP="00057D7C">
            <w:pPr>
              <w:pStyle w:val="Tabletext"/>
            </w:pPr>
            <w:r w:rsidRPr="00CF173B">
              <w:t>NA</w:t>
            </w:r>
            <w:r w:rsidRPr="005B44B6">
              <w:rPr>
                <w:vertAlign w:val="superscript"/>
              </w:rPr>
              <w:t>c</w:t>
            </w:r>
          </w:p>
        </w:tc>
      </w:tr>
      <w:tr w:rsidR="00EC2A12" w:rsidRPr="00CF173B" w14:paraId="5157CB82" w14:textId="77777777" w:rsidTr="0015122B">
        <w:trPr>
          <w:cantSplit/>
        </w:trPr>
        <w:tc>
          <w:tcPr>
            <w:tcW w:w="2609" w:type="pct"/>
          </w:tcPr>
          <w:p w14:paraId="6F9D7A23" w14:textId="77777777" w:rsidR="00EC2A12" w:rsidRPr="00CF173B" w:rsidRDefault="00EC2A12" w:rsidP="00057D7C">
            <w:pPr>
              <w:pStyle w:val="Tabletext"/>
            </w:pPr>
            <w:r w:rsidRPr="00CF173B">
              <w:t>Any TESAE</w:t>
            </w:r>
          </w:p>
        </w:tc>
        <w:tc>
          <w:tcPr>
            <w:tcW w:w="1196" w:type="pct"/>
          </w:tcPr>
          <w:p w14:paraId="076396EA" w14:textId="77777777" w:rsidR="00EC2A12" w:rsidRPr="00CF173B" w:rsidRDefault="00EC2A12" w:rsidP="00057D7C">
            <w:pPr>
              <w:pStyle w:val="Tabletext"/>
            </w:pPr>
            <w:r w:rsidRPr="00CF173B">
              <w:t>60 (53)</w:t>
            </w:r>
          </w:p>
        </w:tc>
        <w:tc>
          <w:tcPr>
            <w:tcW w:w="1195" w:type="pct"/>
          </w:tcPr>
          <w:p w14:paraId="12A14EC6" w14:textId="77777777" w:rsidR="00EC2A12" w:rsidRPr="00CF173B" w:rsidRDefault="00EC2A12" w:rsidP="00057D7C">
            <w:pPr>
              <w:pStyle w:val="Tabletext"/>
            </w:pPr>
            <w:r w:rsidRPr="00CF173B">
              <w:t>55 (48)</w:t>
            </w:r>
          </w:p>
        </w:tc>
      </w:tr>
      <w:tr w:rsidR="00EC2A12" w:rsidRPr="00CF173B" w14:paraId="17446E76" w14:textId="77777777" w:rsidTr="0015122B">
        <w:trPr>
          <w:cantSplit/>
        </w:trPr>
        <w:tc>
          <w:tcPr>
            <w:tcW w:w="2609" w:type="pct"/>
          </w:tcPr>
          <w:p w14:paraId="3027224E" w14:textId="77777777" w:rsidR="00EC2A12" w:rsidRPr="00CF173B" w:rsidRDefault="00EC2A12" w:rsidP="00057D7C">
            <w:pPr>
              <w:pStyle w:val="Tabletext"/>
            </w:pPr>
            <w:r w:rsidRPr="00CF173B">
              <w:t xml:space="preserve">  Drug-related </w:t>
            </w:r>
          </w:p>
        </w:tc>
        <w:tc>
          <w:tcPr>
            <w:tcW w:w="1196" w:type="pct"/>
          </w:tcPr>
          <w:p w14:paraId="685BC946" w14:textId="77777777" w:rsidR="00EC2A12" w:rsidRPr="00CF173B" w:rsidRDefault="00EC2A12" w:rsidP="00057D7C">
            <w:pPr>
              <w:pStyle w:val="Tabletext"/>
            </w:pPr>
            <w:r w:rsidRPr="00CF173B">
              <w:t>22 (19)</w:t>
            </w:r>
          </w:p>
        </w:tc>
        <w:tc>
          <w:tcPr>
            <w:tcW w:w="1195" w:type="pct"/>
          </w:tcPr>
          <w:p w14:paraId="24457273" w14:textId="77777777" w:rsidR="00EC2A12" w:rsidRPr="00CF173B" w:rsidRDefault="00EC2A12" w:rsidP="00057D7C">
            <w:pPr>
              <w:pStyle w:val="Tabletext"/>
            </w:pPr>
            <w:r w:rsidRPr="00CF173B">
              <w:t>20 (18)</w:t>
            </w:r>
          </w:p>
        </w:tc>
      </w:tr>
      <w:tr w:rsidR="00EC2A12" w:rsidRPr="00CF173B" w14:paraId="53786930" w14:textId="77777777" w:rsidTr="0015122B">
        <w:trPr>
          <w:cantSplit/>
        </w:trPr>
        <w:tc>
          <w:tcPr>
            <w:tcW w:w="2609" w:type="pct"/>
          </w:tcPr>
          <w:p w14:paraId="374E5FB0" w14:textId="77777777" w:rsidR="00EC2A12" w:rsidRPr="00CF173B" w:rsidRDefault="00EC2A12" w:rsidP="00057D7C">
            <w:pPr>
              <w:pStyle w:val="Tabletext"/>
            </w:pPr>
            <w:r w:rsidRPr="00CF173B">
              <w:t xml:space="preserve">  Leading to treatment discontinuation </w:t>
            </w:r>
          </w:p>
        </w:tc>
        <w:tc>
          <w:tcPr>
            <w:tcW w:w="1196" w:type="pct"/>
          </w:tcPr>
          <w:p w14:paraId="54B9ACF7" w14:textId="77777777" w:rsidR="00EC2A12" w:rsidRPr="00CF173B" w:rsidRDefault="00EC2A12" w:rsidP="00057D7C">
            <w:pPr>
              <w:pStyle w:val="Tabletext"/>
            </w:pPr>
            <w:r w:rsidRPr="00CF173B">
              <w:t>11 (10)</w:t>
            </w:r>
          </w:p>
        </w:tc>
        <w:tc>
          <w:tcPr>
            <w:tcW w:w="1195" w:type="pct"/>
          </w:tcPr>
          <w:p w14:paraId="722D6B40" w14:textId="77777777" w:rsidR="00EC2A12" w:rsidRPr="00CF173B" w:rsidRDefault="00EC2A12" w:rsidP="00057D7C">
            <w:pPr>
              <w:pStyle w:val="Tabletext"/>
            </w:pPr>
            <w:r w:rsidRPr="00CF173B">
              <w:t>NA</w:t>
            </w:r>
            <w:r w:rsidRPr="005B44B6">
              <w:rPr>
                <w:vertAlign w:val="superscript"/>
              </w:rPr>
              <w:t>c</w:t>
            </w:r>
          </w:p>
        </w:tc>
      </w:tr>
      <w:tr w:rsidR="00EC2A12" w:rsidRPr="00CF173B" w14:paraId="1739677F" w14:textId="77777777" w:rsidTr="0015122B">
        <w:trPr>
          <w:cantSplit/>
        </w:trPr>
        <w:tc>
          <w:tcPr>
            <w:tcW w:w="2609" w:type="pct"/>
          </w:tcPr>
          <w:p w14:paraId="4D6848DA" w14:textId="77777777" w:rsidR="00EC2A12" w:rsidRPr="00CF173B" w:rsidRDefault="00EC2A12" w:rsidP="00057D7C">
            <w:pPr>
              <w:pStyle w:val="Tabletext"/>
            </w:pPr>
            <w:r w:rsidRPr="00CF173B">
              <w:t xml:space="preserve">  Leading to dose reduction </w:t>
            </w:r>
          </w:p>
        </w:tc>
        <w:tc>
          <w:tcPr>
            <w:tcW w:w="1196" w:type="pct"/>
          </w:tcPr>
          <w:p w14:paraId="34BFBB0C" w14:textId="77777777" w:rsidR="00EC2A12" w:rsidRPr="00CF173B" w:rsidRDefault="00EC2A12" w:rsidP="00057D7C">
            <w:pPr>
              <w:pStyle w:val="Tabletext"/>
            </w:pPr>
            <w:r w:rsidRPr="00CF173B">
              <w:t>3 (3)</w:t>
            </w:r>
          </w:p>
        </w:tc>
        <w:tc>
          <w:tcPr>
            <w:tcW w:w="1195" w:type="pct"/>
          </w:tcPr>
          <w:p w14:paraId="3A778BC2" w14:textId="77777777" w:rsidR="00EC2A12" w:rsidRPr="00CF173B" w:rsidRDefault="00EC2A12" w:rsidP="00057D7C">
            <w:pPr>
              <w:pStyle w:val="Tabletext"/>
            </w:pPr>
            <w:r w:rsidRPr="00CF173B">
              <w:t>NA</w:t>
            </w:r>
            <w:r w:rsidRPr="005B44B6">
              <w:rPr>
                <w:vertAlign w:val="superscript"/>
              </w:rPr>
              <w:t>c</w:t>
            </w:r>
          </w:p>
        </w:tc>
      </w:tr>
      <w:tr w:rsidR="00EC2A12" w:rsidRPr="00CF173B" w14:paraId="3DB2A1D7" w14:textId="77777777" w:rsidTr="0015122B">
        <w:trPr>
          <w:cantSplit/>
        </w:trPr>
        <w:tc>
          <w:tcPr>
            <w:tcW w:w="2609" w:type="pct"/>
          </w:tcPr>
          <w:p w14:paraId="10443AB2" w14:textId="77777777" w:rsidR="00EC2A12" w:rsidRPr="00CF173B" w:rsidRDefault="00EC2A12" w:rsidP="00057D7C">
            <w:pPr>
              <w:pStyle w:val="Tabletext"/>
            </w:pPr>
            <w:r w:rsidRPr="00CF173B">
              <w:t>Death</w:t>
            </w:r>
            <w:r>
              <w:t>s</w:t>
            </w:r>
            <w:r w:rsidRPr="005B44B6">
              <w:rPr>
                <w:vertAlign w:val="superscript"/>
              </w:rPr>
              <w:t>b</w:t>
            </w:r>
          </w:p>
        </w:tc>
        <w:tc>
          <w:tcPr>
            <w:tcW w:w="2391" w:type="pct"/>
            <w:gridSpan w:val="2"/>
          </w:tcPr>
          <w:p w14:paraId="248C840D" w14:textId="77777777" w:rsidR="00EC2A12" w:rsidRPr="00CF173B" w:rsidRDefault="00EC2A12" w:rsidP="00057D7C">
            <w:pPr>
              <w:pStyle w:val="Tabletext"/>
            </w:pPr>
            <w:r w:rsidRPr="00CF173B">
              <w:t>15 (13)</w:t>
            </w:r>
          </w:p>
        </w:tc>
      </w:tr>
    </w:tbl>
    <w:p w14:paraId="08F79B03" w14:textId="77777777" w:rsidR="00EC2A12" w:rsidRDefault="00EC2A12" w:rsidP="00057D7C">
      <w:pPr>
        <w:pStyle w:val="TableFooter"/>
      </w:pPr>
      <w:r w:rsidRPr="00FF1396">
        <w:t>Source</w:t>
      </w:r>
      <w:r>
        <w:t>: Table 2-33, pp138 of the submission</w:t>
      </w:r>
    </w:p>
    <w:p w14:paraId="1E0276C4" w14:textId="4226989B" w:rsidR="00EC2A12" w:rsidRPr="005E7B60" w:rsidRDefault="00EC2A12" w:rsidP="00057D7C">
      <w:pPr>
        <w:pStyle w:val="TableFooter"/>
      </w:pPr>
      <w:r>
        <w:t>AE</w:t>
      </w:r>
      <w:r w:rsidR="00F66348">
        <w:t xml:space="preserve"> </w:t>
      </w:r>
      <w:r>
        <w:t>=</w:t>
      </w:r>
      <w:r w:rsidR="00F66348">
        <w:t xml:space="preserve"> </w:t>
      </w:r>
      <w:r>
        <w:t>adverse event; NA</w:t>
      </w:r>
      <w:r w:rsidR="00F66348">
        <w:t xml:space="preserve"> </w:t>
      </w:r>
      <w:r>
        <w:t>=</w:t>
      </w:r>
      <w:r w:rsidR="00F66348">
        <w:t xml:space="preserve"> </w:t>
      </w:r>
      <w:r>
        <w:t>not available/applicable; PPP</w:t>
      </w:r>
      <w:r w:rsidR="00F66348">
        <w:t xml:space="preserve"> </w:t>
      </w:r>
      <w:r>
        <w:t>=</w:t>
      </w:r>
      <w:r w:rsidR="00F66348">
        <w:t xml:space="preserve"> </w:t>
      </w:r>
      <w:r>
        <w:t xml:space="preserve">pooled prior platinum; </w:t>
      </w:r>
      <w:r w:rsidRPr="005E7B60">
        <w:t>TEAE</w:t>
      </w:r>
      <w:r w:rsidR="00F66348">
        <w:t xml:space="preserve"> </w:t>
      </w:r>
      <w:r w:rsidRPr="005E7B60">
        <w:t>=</w:t>
      </w:r>
      <w:r w:rsidR="00F66348">
        <w:t xml:space="preserve"> </w:t>
      </w:r>
      <w:r w:rsidRPr="005E7B60">
        <w:t>treatment-emergent adverse event; TESAE</w:t>
      </w:r>
      <w:r w:rsidR="00F66348">
        <w:t xml:space="preserve"> </w:t>
      </w:r>
      <w:r w:rsidRPr="005E7B60">
        <w:t>=</w:t>
      </w:r>
      <w:r w:rsidR="00F66348">
        <w:t xml:space="preserve"> </w:t>
      </w:r>
      <w:r w:rsidRPr="005E7B60">
        <w:t>treatment-emergent serious adverse event.</w:t>
      </w:r>
    </w:p>
    <w:p w14:paraId="5F930B47" w14:textId="77777777" w:rsidR="00EC2A12" w:rsidRPr="005E7B60" w:rsidRDefault="00EC2A12" w:rsidP="00057D7C">
      <w:pPr>
        <w:pStyle w:val="TableFooter"/>
      </w:pPr>
      <w:r w:rsidRPr="005E7B60">
        <w:t xml:space="preserve">Data cutoff: 01 November 2021. </w:t>
      </w:r>
    </w:p>
    <w:p w14:paraId="272486F9" w14:textId="3BAC4D59" w:rsidR="00EC2A12" w:rsidRPr="005E7B60" w:rsidRDefault="00EC2A12" w:rsidP="00057D7C">
      <w:pPr>
        <w:pStyle w:val="TableFooter"/>
      </w:pPr>
      <w:r w:rsidRPr="005E7B60">
        <w:rPr>
          <w:vertAlign w:val="superscript"/>
        </w:rPr>
        <w:t xml:space="preserve">a </w:t>
      </w:r>
      <w:r w:rsidRPr="005E7B60">
        <w:t>TEAE</w:t>
      </w:r>
      <w:r>
        <w:t>s</w:t>
      </w:r>
      <w:r w:rsidRPr="005E7B60">
        <w:t xml:space="preserve"> are all AEs with an onset date on or after the first dose date and within 30 days of last dose of study drug. AEs </w:t>
      </w:r>
      <w:r>
        <w:t>were</w:t>
      </w:r>
      <w:r w:rsidRPr="005E7B60">
        <w:t xml:space="preserve"> graded according to </w:t>
      </w:r>
      <w:r>
        <w:t xml:space="preserve">the National Clinical Institute </w:t>
      </w:r>
      <w:hyperlink r:id="rId13" w:history="1">
        <w:r w:rsidRPr="005E7B60">
          <w:t>Common Terminology Criteria for Adverse Events</w:t>
        </w:r>
        <w:r>
          <w:t xml:space="preserve"> </w:t>
        </w:r>
      </w:hyperlink>
      <w:r>
        <w:t>(</w:t>
      </w:r>
      <w:r w:rsidRPr="005E7B60">
        <w:t>NCI CTCAE</w:t>
      </w:r>
      <w:r>
        <w:t xml:space="preserve">) v5.0. </w:t>
      </w:r>
      <w:r w:rsidRPr="005E7B60">
        <w:t xml:space="preserve">Patients </w:t>
      </w:r>
      <w:r>
        <w:t>were</w:t>
      </w:r>
      <w:r w:rsidRPr="005E7B60">
        <w:t xml:space="preserve"> counted only once in their most severe category. </w:t>
      </w:r>
      <w:r w:rsidRPr="005E7B60">
        <w:rPr>
          <w:lang w:val="en"/>
        </w:rPr>
        <w:t>Medical Dictionary for Regulatory Activities</w:t>
      </w:r>
      <w:r w:rsidRPr="005E7B60">
        <w:t xml:space="preserve"> </w:t>
      </w:r>
      <w:r>
        <w:t>(</w:t>
      </w:r>
      <w:r w:rsidRPr="005E7B60">
        <w:t>MedDRA</w:t>
      </w:r>
      <w:r>
        <w:t>)</w:t>
      </w:r>
      <w:r w:rsidRPr="005E7B60">
        <w:t xml:space="preserve"> Dictionary (Version 24.0) was used for coding AEs.</w:t>
      </w:r>
    </w:p>
    <w:p w14:paraId="3F5AD2AD" w14:textId="77777777" w:rsidR="00EC2A12" w:rsidRPr="005E7B60" w:rsidRDefault="00EC2A12" w:rsidP="00057D7C">
      <w:pPr>
        <w:pStyle w:val="TableFooter"/>
      </w:pPr>
      <w:r w:rsidRPr="005E7B60">
        <w:rPr>
          <w:vertAlign w:val="superscript"/>
        </w:rPr>
        <w:t xml:space="preserve">b </w:t>
      </w:r>
      <w:r w:rsidRPr="005E7B60">
        <w:t>Death within 30 days of last dose.</w:t>
      </w:r>
    </w:p>
    <w:p w14:paraId="1A5116FC" w14:textId="77777777" w:rsidR="00B60939" w:rsidRDefault="00EC2A12" w:rsidP="00057D7C">
      <w:pPr>
        <w:pStyle w:val="TableFooter"/>
      </w:pPr>
      <w:r w:rsidRPr="004434A5">
        <w:rPr>
          <w:vertAlign w:val="superscript"/>
        </w:rPr>
        <w:t>c</w:t>
      </w:r>
      <w:r>
        <w:t xml:space="preserve"> Not evaluated by AE grade</w:t>
      </w:r>
      <w:r w:rsidR="00895D29">
        <w:t>.</w:t>
      </w:r>
    </w:p>
    <w:p w14:paraId="33EB76BF" w14:textId="77777777" w:rsidR="002D7449" w:rsidRDefault="002D7449" w:rsidP="00057D7C">
      <w:pPr>
        <w:pStyle w:val="BodyText"/>
      </w:pPr>
    </w:p>
    <w:p w14:paraId="6B3755E0" w14:textId="51EFA504" w:rsidR="002D7449" w:rsidRPr="002D7449" w:rsidRDefault="0064563B" w:rsidP="000711EA">
      <w:pPr>
        <w:pStyle w:val="3-BodyText"/>
      </w:pPr>
      <w:r w:rsidRPr="002D7449">
        <w:t xml:space="preserve">Treated patients were followed for </w:t>
      </w:r>
      <w:r>
        <w:t>treatment emergent AEs (</w:t>
      </w:r>
      <w:r w:rsidRPr="002D7449">
        <w:t>TEAEs</w:t>
      </w:r>
      <w:r>
        <w:t>)</w:t>
      </w:r>
      <w:r w:rsidRPr="002D7449">
        <w:t xml:space="preserve"> up to 30 days after last dose of study drug.</w:t>
      </w:r>
      <w:r w:rsidR="001D5585">
        <w:t xml:space="preserve"> </w:t>
      </w:r>
      <w:r w:rsidR="002D7449" w:rsidRPr="002D7449">
        <w:t xml:space="preserve">The median time on treatment at the November 2021 data cutoff was 7.38 months. </w:t>
      </w:r>
    </w:p>
    <w:p w14:paraId="44E66012" w14:textId="77777777" w:rsidR="0064563B" w:rsidRPr="0064563B" w:rsidRDefault="0064563B" w:rsidP="000711EA">
      <w:pPr>
        <w:pStyle w:val="3-BodyText"/>
      </w:pPr>
      <w:r w:rsidRPr="0064563B">
        <w:t>The most frequently reported TEAEs of any grade (&gt;30% of patients) included diarrhoea (93%), rash (47%), decreased appetite (45%), vomiting (43%), nausea (40%), paronychia (39%), blood creatinine increased (35%), anaemia (34%), and dry skin (33%).</w:t>
      </w:r>
    </w:p>
    <w:p w14:paraId="55006961" w14:textId="1CDBC48C" w:rsidR="0064563B" w:rsidRPr="0064563B" w:rsidRDefault="002D7449" w:rsidP="000711EA">
      <w:pPr>
        <w:pStyle w:val="3-BodyText"/>
      </w:pPr>
      <w:r w:rsidRPr="0064563B">
        <w:t xml:space="preserve">The majority of patients (75%) experienced </w:t>
      </w:r>
      <w:r w:rsidR="0064563B">
        <w:t xml:space="preserve">a </w:t>
      </w:r>
      <w:r w:rsidR="0064563B">
        <w:rPr>
          <w:rFonts w:cstheme="minorHAnsi"/>
        </w:rPr>
        <w:t>≥</w:t>
      </w:r>
      <w:r w:rsidRPr="0064563B">
        <w:t xml:space="preserve">Grade 3 TEAE with 52% of </w:t>
      </w:r>
      <w:r w:rsidR="0064563B">
        <w:t xml:space="preserve">events </w:t>
      </w:r>
      <w:r w:rsidRPr="0064563B">
        <w:t>considered to be drug-related.</w:t>
      </w:r>
      <w:r w:rsidR="0064563B">
        <w:t xml:space="preserve"> </w:t>
      </w:r>
      <w:r w:rsidR="0064563B" w:rsidRPr="0064563B">
        <w:t>The most common Grade ≥3 TEAE events occurring in ≥5% of the study population included diarrhoea (24%); electrocardiogram (ECG) QT prolonged (8%); hypertension (7%); anaemia (6%); and nausea, amylase increased, and dyspnoea (5% each).</w:t>
      </w:r>
    </w:p>
    <w:p w14:paraId="0BD79C16" w14:textId="77777777" w:rsidR="002D7449" w:rsidRPr="0064563B" w:rsidRDefault="00CC3D38" w:rsidP="000711EA">
      <w:pPr>
        <w:pStyle w:val="3-BodyText"/>
      </w:pPr>
      <w:r>
        <w:t xml:space="preserve">A total of </w:t>
      </w:r>
      <w:r w:rsidRPr="00CC3D38">
        <w:t xml:space="preserve">60 patients (53%) reported </w:t>
      </w:r>
      <w:r w:rsidR="006006C7">
        <w:t>treatment-emergent serious AEs (</w:t>
      </w:r>
      <w:r w:rsidRPr="00CC3D38">
        <w:t>TESAEs</w:t>
      </w:r>
      <w:r w:rsidR="006006C7">
        <w:t>)</w:t>
      </w:r>
      <w:r w:rsidRPr="00CC3D38">
        <w:t xml:space="preserve">. </w:t>
      </w:r>
      <w:r w:rsidR="002D7449" w:rsidRPr="0064563B">
        <w:t>TESAEs that were of Grade ≥3 occurred in almost half of the patients (48%). Of these, approximately 20% were considered to be drug-related. TESAEs of any grade leading to treatment discontinuation occurred in 10 patients (11%).</w:t>
      </w:r>
    </w:p>
    <w:p w14:paraId="698BB668" w14:textId="77777777" w:rsidR="002D7449" w:rsidRPr="0064563B" w:rsidRDefault="002D7449" w:rsidP="000711EA">
      <w:pPr>
        <w:pStyle w:val="3-BodyText"/>
      </w:pPr>
      <w:r w:rsidRPr="0064563B">
        <w:t xml:space="preserve">There were a total of 15 on-study deaths (13% of patients) with 14 deaths considered to be related to underlying disease. One of the 15 deaths was caused by cardiac failure deemed related to mobocertinib. </w:t>
      </w:r>
    </w:p>
    <w:p w14:paraId="2FE19963" w14:textId="2D76AAF5" w:rsidR="002D7449" w:rsidRPr="007135FB" w:rsidRDefault="002D7449" w:rsidP="000711EA">
      <w:pPr>
        <w:pStyle w:val="3-BodyText"/>
        <w:rPr>
          <w:iCs/>
        </w:rPr>
      </w:pPr>
      <w:r w:rsidRPr="007135FB">
        <w:rPr>
          <w:iCs/>
        </w:rPr>
        <w:t xml:space="preserve">The safety profile of mobocertinib appeared to be similar to that of other </w:t>
      </w:r>
      <w:r w:rsidRPr="007135FB">
        <w:rPr>
          <w:i/>
        </w:rPr>
        <w:t>EGFR</w:t>
      </w:r>
      <w:r w:rsidRPr="007135FB">
        <w:rPr>
          <w:iCs/>
        </w:rPr>
        <w:t xml:space="preserve"> inhibitors which is typically characterised by </w:t>
      </w:r>
      <w:r w:rsidR="006D509E" w:rsidRPr="007135FB">
        <w:rPr>
          <w:iCs/>
        </w:rPr>
        <w:t>gastrointestinal (</w:t>
      </w:r>
      <w:r w:rsidRPr="007135FB">
        <w:rPr>
          <w:iCs/>
        </w:rPr>
        <w:t>GI</w:t>
      </w:r>
      <w:r w:rsidR="006D509E" w:rsidRPr="007135FB">
        <w:rPr>
          <w:iCs/>
        </w:rPr>
        <w:t xml:space="preserve">)-related </w:t>
      </w:r>
      <w:r w:rsidRPr="007135FB">
        <w:rPr>
          <w:iCs/>
        </w:rPr>
        <w:t>and cutaneous-related AEs.</w:t>
      </w:r>
    </w:p>
    <w:p w14:paraId="7CC62A20" w14:textId="360FF30C" w:rsidR="007B0E1B" w:rsidRPr="007135FB" w:rsidRDefault="007B0E1B" w:rsidP="000711EA">
      <w:pPr>
        <w:pStyle w:val="3-BodyText"/>
        <w:rPr>
          <w:iCs/>
        </w:rPr>
      </w:pPr>
      <w:r w:rsidRPr="007135FB">
        <w:rPr>
          <w:iCs/>
        </w:rPr>
        <w:lastRenderedPageBreak/>
        <w:t xml:space="preserve">It was noted in the TGA </w:t>
      </w:r>
      <w:r w:rsidR="00B060FA">
        <w:rPr>
          <w:iCs/>
        </w:rPr>
        <w:t>D</w:t>
      </w:r>
      <w:r w:rsidRPr="007135FB">
        <w:rPr>
          <w:iCs/>
        </w:rPr>
        <w:t>elegate’s Overview for mobocertinib (PM-2021-02546-1-4) that based on a larger safety dataset for Study 101 (N=256; data cutoff May 2020), serious AEs occurred in 41% of patients in the pooled safety population.</w:t>
      </w:r>
    </w:p>
    <w:p w14:paraId="594B128C" w14:textId="015CD0B2" w:rsidR="002D7449" w:rsidRPr="007135FB" w:rsidRDefault="002D7449" w:rsidP="000711EA">
      <w:pPr>
        <w:pStyle w:val="3-BodyText"/>
        <w:rPr>
          <w:iCs/>
        </w:rPr>
      </w:pPr>
      <w:r w:rsidRPr="007135FB">
        <w:rPr>
          <w:iCs/>
        </w:rPr>
        <w:t>Interpretation of the safety data from Study 101 should be made in the context of the open label design and stringent exclusion criteria of Study 101 (such as patients with a history of interstitial lung disease (ILD), drug-related or radiation-related pneumonitis that required steroid treatment, or active cardiovascular disease/prolonged QTc interval). The safety data from Study 101 are likely to underestimate the safety of mobocertinib in clinical practice.</w:t>
      </w:r>
    </w:p>
    <w:p w14:paraId="60BEEA98" w14:textId="7A6D0373" w:rsidR="008C0255" w:rsidRPr="00D86231" w:rsidRDefault="008C0255" w:rsidP="000711EA">
      <w:pPr>
        <w:pStyle w:val="3-BodyText"/>
      </w:pPr>
      <w:r w:rsidRPr="007135FB">
        <w:rPr>
          <w:iCs/>
        </w:rPr>
        <w:t>The FDA Product labe</w:t>
      </w:r>
      <w:r w:rsidR="001D5585" w:rsidRPr="007135FB">
        <w:rPr>
          <w:iCs/>
        </w:rPr>
        <w:t>l</w:t>
      </w:r>
      <w:r w:rsidRPr="007135FB">
        <w:rPr>
          <w:iCs/>
        </w:rPr>
        <w:t>ling includes a boxed warning for QTc prolongation and Torsades de Pointes, and warnings for ILD/pneumonitis, cardiac toxicity, and diarrhoea. The TGA Product Information also includes special warnings and precautions for use for these events.</w:t>
      </w:r>
    </w:p>
    <w:p w14:paraId="737DBB2D" w14:textId="77777777" w:rsidR="007F1017" w:rsidRPr="00C9624D" w:rsidRDefault="007F1017" w:rsidP="000711EA">
      <w:pPr>
        <w:pStyle w:val="4-SubsectionHeading"/>
        <w:keepNext w:val="0"/>
      </w:pPr>
      <w:bookmarkStart w:id="45" w:name="_Toc22897643"/>
      <w:bookmarkStart w:id="46" w:name="_Toc113895844"/>
      <w:r w:rsidRPr="00C9624D">
        <w:t>Benefits/harms</w:t>
      </w:r>
      <w:bookmarkEnd w:id="45"/>
      <w:bookmarkEnd w:id="46"/>
    </w:p>
    <w:p w14:paraId="65D88580" w14:textId="0D5D51DD" w:rsidR="00FC1884" w:rsidRPr="002B2AD8" w:rsidRDefault="00B379A4" w:rsidP="000711EA">
      <w:pPr>
        <w:pStyle w:val="3-BodyText"/>
        <w:rPr>
          <w:iCs/>
        </w:rPr>
      </w:pPr>
      <w:r w:rsidRPr="007135FB">
        <w:rPr>
          <w:iCs/>
          <w:snapToGrid/>
        </w:rPr>
        <w:t>The results of the unanchored IPTW-based indirect comparison</w:t>
      </w:r>
      <w:r w:rsidR="007B0E1B" w:rsidRPr="007135FB">
        <w:rPr>
          <w:iCs/>
          <w:snapToGrid/>
        </w:rPr>
        <w:t>s</w:t>
      </w:r>
      <w:r w:rsidRPr="007135FB">
        <w:rPr>
          <w:iCs/>
          <w:snapToGrid/>
        </w:rPr>
        <w:t xml:space="preserve"> were associated with a high risk of bias and there were important </w:t>
      </w:r>
      <w:r w:rsidR="007B0E1B" w:rsidRPr="007135FB">
        <w:rPr>
          <w:iCs/>
          <w:snapToGrid/>
        </w:rPr>
        <w:t>observed</w:t>
      </w:r>
      <w:r w:rsidRPr="007135FB">
        <w:rPr>
          <w:iCs/>
          <w:snapToGrid/>
        </w:rPr>
        <w:t xml:space="preserve"> differences between the studies that could not be adjusted for, and the impact of unknown confounders remain</w:t>
      </w:r>
      <w:r w:rsidR="007B0E1B" w:rsidRPr="007135FB">
        <w:rPr>
          <w:iCs/>
          <w:snapToGrid/>
        </w:rPr>
        <w:t>ed</w:t>
      </w:r>
      <w:r w:rsidRPr="007135FB">
        <w:rPr>
          <w:iCs/>
          <w:snapToGrid/>
        </w:rPr>
        <w:t xml:space="preserve"> unclear. These and several </w:t>
      </w:r>
      <w:r w:rsidR="007B0E1B" w:rsidRPr="007135FB">
        <w:rPr>
          <w:iCs/>
          <w:snapToGrid/>
        </w:rPr>
        <w:t xml:space="preserve">other </w:t>
      </w:r>
      <w:r w:rsidRPr="007135FB">
        <w:rPr>
          <w:iCs/>
          <w:snapToGrid/>
        </w:rPr>
        <w:t>limitations</w:t>
      </w:r>
      <w:r w:rsidR="007B0E1B" w:rsidRPr="007135FB">
        <w:rPr>
          <w:iCs/>
          <w:snapToGrid/>
        </w:rPr>
        <w:t>,</w:t>
      </w:r>
      <w:r w:rsidRPr="007135FB">
        <w:rPr>
          <w:iCs/>
          <w:snapToGrid/>
        </w:rPr>
        <w:t xml:space="preserve"> including </w:t>
      </w:r>
      <w:r w:rsidR="007B0E1B" w:rsidRPr="007135FB">
        <w:rPr>
          <w:iCs/>
          <w:snapToGrid/>
        </w:rPr>
        <w:t xml:space="preserve">the </w:t>
      </w:r>
      <w:r w:rsidRPr="007135FB">
        <w:rPr>
          <w:iCs/>
          <w:snapToGrid/>
        </w:rPr>
        <w:t xml:space="preserve">applicability of </w:t>
      </w:r>
      <w:r w:rsidR="007B0E1B" w:rsidRPr="007135FB">
        <w:rPr>
          <w:iCs/>
          <w:snapToGrid/>
        </w:rPr>
        <w:t>S</w:t>
      </w:r>
      <w:r w:rsidRPr="007135FB">
        <w:rPr>
          <w:iCs/>
          <w:snapToGrid/>
        </w:rPr>
        <w:t xml:space="preserve">tudies </w:t>
      </w:r>
      <w:r w:rsidR="007B0E1B" w:rsidRPr="007135FB">
        <w:rPr>
          <w:iCs/>
          <w:snapToGrid/>
        </w:rPr>
        <w:t xml:space="preserve">5008 and 5002 </w:t>
      </w:r>
      <w:r w:rsidRPr="007135FB">
        <w:rPr>
          <w:iCs/>
          <w:snapToGrid/>
        </w:rPr>
        <w:t>to current Australian clinical practice</w:t>
      </w:r>
      <w:r w:rsidR="007B0E1B" w:rsidRPr="007135FB">
        <w:rPr>
          <w:iCs/>
          <w:snapToGrid/>
        </w:rPr>
        <w:t>,</w:t>
      </w:r>
      <w:r w:rsidRPr="007135FB">
        <w:rPr>
          <w:iCs/>
          <w:snapToGrid/>
        </w:rPr>
        <w:t xml:space="preserve"> lead to a high level of uncertainty </w:t>
      </w:r>
      <w:r w:rsidR="00CC3D38" w:rsidRPr="007135FB">
        <w:rPr>
          <w:iCs/>
          <w:snapToGrid/>
        </w:rPr>
        <w:t>regarding</w:t>
      </w:r>
      <w:r w:rsidRPr="007135FB">
        <w:rPr>
          <w:iCs/>
          <w:snapToGrid/>
        </w:rPr>
        <w:t xml:space="preserve"> the magnitude of any incremental </w:t>
      </w:r>
      <w:r w:rsidR="00CC3D38" w:rsidRPr="007135FB">
        <w:rPr>
          <w:iCs/>
          <w:snapToGrid/>
        </w:rPr>
        <w:t>benefit</w:t>
      </w:r>
      <w:r w:rsidRPr="007135FB">
        <w:rPr>
          <w:iCs/>
          <w:snapToGrid/>
        </w:rPr>
        <w:t xml:space="preserve"> </w:t>
      </w:r>
      <w:r w:rsidR="00CC3D38" w:rsidRPr="007135FB">
        <w:rPr>
          <w:iCs/>
          <w:snapToGrid/>
        </w:rPr>
        <w:t>associated with</w:t>
      </w:r>
      <w:r w:rsidRPr="007135FB">
        <w:rPr>
          <w:iCs/>
          <w:snapToGrid/>
        </w:rPr>
        <w:t xml:space="preserve"> mobocertinib</w:t>
      </w:r>
      <w:r w:rsidR="00CC3D38" w:rsidRPr="007135FB">
        <w:rPr>
          <w:iCs/>
          <w:snapToGrid/>
        </w:rPr>
        <w:t xml:space="preserve"> over SOC</w:t>
      </w:r>
      <w:r w:rsidRPr="007135FB">
        <w:rPr>
          <w:iCs/>
          <w:snapToGrid/>
        </w:rPr>
        <w:t>. There were no formal comparison</w:t>
      </w:r>
      <w:r w:rsidR="007B0E1B" w:rsidRPr="007135FB">
        <w:rPr>
          <w:iCs/>
          <w:snapToGrid/>
        </w:rPr>
        <w:t>s</w:t>
      </w:r>
      <w:r w:rsidRPr="007135FB">
        <w:rPr>
          <w:iCs/>
          <w:snapToGrid/>
        </w:rPr>
        <w:t xml:space="preserve"> made for safety</w:t>
      </w:r>
      <w:r w:rsidR="0041058F" w:rsidRPr="007135FB">
        <w:rPr>
          <w:iCs/>
          <w:snapToGrid/>
        </w:rPr>
        <w:t>,</w:t>
      </w:r>
      <w:r w:rsidRPr="007135FB">
        <w:rPr>
          <w:iCs/>
          <w:snapToGrid/>
        </w:rPr>
        <w:t xml:space="preserve"> noting that a claim of non-inferior safety was made in the submission. Accordingly, a benefits/harms table has not been presented</w:t>
      </w:r>
      <w:r w:rsidR="0085309D" w:rsidRPr="007135FB">
        <w:rPr>
          <w:iCs/>
          <w:snapToGrid/>
          <w:lang w:val="en-US"/>
        </w:rPr>
        <w:t>.</w:t>
      </w:r>
    </w:p>
    <w:p w14:paraId="3E8677FC" w14:textId="256265D5" w:rsidR="00B60939" w:rsidRPr="00C9624D" w:rsidRDefault="00B60939" w:rsidP="00144CC5">
      <w:pPr>
        <w:pStyle w:val="4-SubsectionHeading"/>
        <w:keepLines/>
      </w:pPr>
      <w:bookmarkStart w:id="47" w:name="_Toc22897644"/>
      <w:bookmarkStart w:id="48" w:name="_Toc113895845"/>
      <w:r w:rsidRPr="00C9624D">
        <w:t>Clinical claim</w:t>
      </w:r>
      <w:bookmarkEnd w:id="47"/>
      <w:bookmarkEnd w:id="48"/>
    </w:p>
    <w:p w14:paraId="47B5DB62" w14:textId="77777777" w:rsidR="00B379A4" w:rsidRDefault="00B379A4" w:rsidP="00144CC5">
      <w:pPr>
        <w:pStyle w:val="3-BodyText"/>
        <w:keepNext/>
        <w:keepLines/>
        <w:rPr>
          <w:rFonts w:eastAsia="Calibri"/>
        </w:rPr>
      </w:pPr>
      <w:r w:rsidRPr="00B379A4">
        <w:rPr>
          <w:rFonts w:eastAsia="Calibri"/>
        </w:rPr>
        <w:t>The submission described mobocertinib as superior in terms of effectiveness compared with SOC and non-inferior in terms of safety, with a manageable safety profile, compared to SOC</w:t>
      </w:r>
      <w:r>
        <w:rPr>
          <w:rFonts w:eastAsia="Calibri"/>
        </w:rPr>
        <w:t>.</w:t>
      </w:r>
    </w:p>
    <w:p w14:paraId="26AE1A77" w14:textId="4998A9F0" w:rsidR="00CC210D" w:rsidRPr="00F96F9C" w:rsidRDefault="00FB23B5" w:rsidP="00F96F9C">
      <w:pPr>
        <w:pStyle w:val="3-BodyText"/>
        <w:rPr>
          <w:rFonts w:eastAsia="Calibri"/>
        </w:rPr>
      </w:pPr>
      <w:r w:rsidRPr="00957154">
        <w:rPr>
          <w:rFonts w:eastAsia="Calibri"/>
        </w:rPr>
        <w:t>The evaluation considered the</w:t>
      </w:r>
      <w:r w:rsidR="004617E5" w:rsidRPr="00957154">
        <w:rPr>
          <w:rFonts w:eastAsia="Calibri"/>
        </w:rPr>
        <w:t xml:space="preserve"> effectiveness</w:t>
      </w:r>
      <w:r w:rsidR="005F7588" w:rsidRPr="00957154">
        <w:rPr>
          <w:rFonts w:eastAsia="Calibri"/>
        </w:rPr>
        <w:t xml:space="preserve"> claim </w:t>
      </w:r>
      <w:r w:rsidRPr="00957154">
        <w:rPr>
          <w:rFonts w:eastAsia="Calibri"/>
        </w:rPr>
        <w:t>to be</w:t>
      </w:r>
      <w:r w:rsidR="005F7588" w:rsidRPr="007135FB">
        <w:rPr>
          <w:rFonts w:eastAsia="Calibri"/>
        </w:rPr>
        <w:t xml:space="preserve"> </w:t>
      </w:r>
      <w:r w:rsidR="008D176A" w:rsidRPr="007135FB">
        <w:rPr>
          <w:rFonts w:eastAsia="Calibri"/>
        </w:rPr>
        <w:t>uncertain</w:t>
      </w:r>
      <w:r w:rsidR="00CC210D" w:rsidRPr="007135FB">
        <w:rPr>
          <w:rFonts w:eastAsia="Calibri"/>
        </w:rPr>
        <w:t>. The evidence indicated that mobocertinib may be s</w:t>
      </w:r>
      <w:r w:rsidR="00CC210D" w:rsidRPr="00F96F9C">
        <w:rPr>
          <w:rFonts w:eastAsia="Calibri"/>
        </w:rPr>
        <w:t>uperior, in terms of PFS and OS, to SOC. However, the evidence was inadequate to support a robust quantification of the magnitude of incremental benefit.</w:t>
      </w:r>
      <w:r w:rsidR="007C70FF" w:rsidRPr="00F96F9C">
        <w:rPr>
          <w:rFonts w:eastAsia="Calibri"/>
        </w:rPr>
        <w:t xml:space="preserve"> </w:t>
      </w:r>
      <w:r w:rsidR="00CC210D" w:rsidRPr="00F96F9C">
        <w:rPr>
          <w:rFonts w:eastAsia="Calibri"/>
        </w:rPr>
        <w:t>Results of the IPTW-based indirect comparisons were associated with a high risk of bias and were unreliable:</w:t>
      </w:r>
    </w:p>
    <w:p w14:paraId="003A153C" w14:textId="77777777" w:rsidR="00CC210D" w:rsidRPr="007135FB" w:rsidRDefault="00CC210D" w:rsidP="008D68A8">
      <w:pPr>
        <w:pStyle w:val="3-BodyText"/>
        <w:numPr>
          <w:ilvl w:val="0"/>
          <w:numId w:val="13"/>
        </w:numPr>
        <w:rPr>
          <w:rFonts w:eastAsia="Calibri"/>
        </w:rPr>
      </w:pPr>
      <w:r w:rsidRPr="007135FB">
        <w:rPr>
          <w:rFonts w:eastAsia="Calibri"/>
        </w:rPr>
        <w:t xml:space="preserve">The study design differed between Study 101 (prospective) and Studies 5008 and 5002 (retrospective). There were also large imbalances for some characteristics between Study 101 and the retrospective cohort studies that could not be adjusted for (such as Asian race and number of prior lines of therapy). </w:t>
      </w:r>
      <w:r w:rsidRPr="007135FB">
        <w:rPr>
          <w:rFonts w:eastAsia="Calibri"/>
          <w:lang w:val="en-GB"/>
        </w:rPr>
        <w:t xml:space="preserve">In addition, there was a high risk of residual confounding due to other unobserved/unmeasured patient and study characteristics across the mobocertinib and retrospective cohort data sets. For Study 5008, baseline characteristics were collected at study initiation </w:t>
      </w:r>
      <w:r w:rsidR="00CC3D38" w:rsidRPr="007135FB">
        <w:rPr>
          <w:rFonts w:eastAsia="Calibri"/>
          <w:lang w:val="en-GB"/>
        </w:rPr>
        <w:t>rather than</w:t>
      </w:r>
      <w:r w:rsidRPr="007135FB">
        <w:rPr>
          <w:rFonts w:eastAsia="Calibri"/>
          <w:lang w:val="en-GB"/>
        </w:rPr>
        <w:t xml:space="preserve"> at the index line </w:t>
      </w:r>
      <w:r w:rsidRPr="007135FB">
        <w:rPr>
          <w:rFonts w:eastAsia="Calibri"/>
          <w:lang w:val="en-GB"/>
        </w:rPr>
        <w:lastRenderedPageBreak/>
        <w:t>following failure on PBC</w:t>
      </w:r>
      <w:r w:rsidR="007556C5" w:rsidRPr="007135FB">
        <w:rPr>
          <w:rFonts w:eastAsia="Calibri"/>
          <w:lang w:val="en-GB"/>
        </w:rPr>
        <w:t xml:space="preserve">. At index line, </w:t>
      </w:r>
      <w:r w:rsidRPr="007135FB">
        <w:rPr>
          <w:rFonts w:eastAsia="Calibri"/>
          <w:lang w:val="en-GB"/>
        </w:rPr>
        <w:t xml:space="preserve">the health status of patients would </w:t>
      </w:r>
      <w:r w:rsidR="007556C5" w:rsidRPr="007135FB">
        <w:rPr>
          <w:rFonts w:eastAsia="Calibri"/>
          <w:lang w:val="en-GB"/>
        </w:rPr>
        <w:t xml:space="preserve">most </w:t>
      </w:r>
      <w:r w:rsidRPr="007135FB">
        <w:rPr>
          <w:rFonts w:eastAsia="Calibri"/>
          <w:lang w:val="en-GB"/>
        </w:rPr>
        <w:t>l</w:t>
      </w:r>
      <w:r w:rsidR="00D7173B" w:rsidRPr="007135FB">
        <w:rPr>
          <w:rFonts w:eastAsia="Calibri"/>
          <w:lang w:val="en-GB"/>
        </w:rPr>
        <w:t>ikely have deteriorated.</w:t>
      </w:r>
    </w:p>
    <w:p w14:paraId="4F4D55A5" w14:textId="1CEBD214" w:rsidR="00D7173B" w:rsidRPr="00957154" w:rsidRDefault="00D7173B" w:rsidP="008D68A8">
      <w:pPr>
        <w:pStyle w:val="3-BodyText"/>
        <w:numPr>
          <w:ilvl w:val="0"/>
          <w:numId w:val="13"/>
        </w:numPr>
        <w:rPr>
          <w:rFonts w:eastAsia="Calibri"/>
        </w:rPr>
      </w:pPr>
      <w:r w:rsidRPr="007135FB">
        <w:rPr>
          <w:rFonts w:eastAsia="Calibri"/>
          <w:lang w:val="en-GB"/>
        </w:rPr>
        <w:t xml:space="preserve">The retrospective cohort studies had small sample sizes (N = 43-50) which potentially limited the number of variables that could have been adjusted for and the precision of the IPTW-based indirect estimates of treatment effect. The </w:t>
      </w:r>
      <w:r w:rsidR="00F96F9C">
        <w:rPr>
          <w:rFonts w:eastAsia="Calibri"/>
          <w:lang w:val="en-GB"/>
        </w:rPr>
        <w:t>effective sample sizes</w:t>
      </w:r>
      <w:r w:rsidRPr="007135FB">
        <w:rPr>
          <w:rFonts w:eastAsia="Calibri"/>
          <w:lang w:val="en-GB"/>
        </w:rPr>
        <w:t xml:space="preserve"> were substantially reduced from the original sample</w:t>
      </w:r>
      <w:r w:rsidR="00F96F9C">
        <w:rPr>
          <w:rFonts w:eastAsia="Calibri"/>
          <w:lang w:val="en-GB"/>
        </w:rPr>
        <w:t xml:space="preserve"> size</w:t>
      </w:r>
      <w:r w:rsidRPr="007135FB">
        <w:rPr>
          <w:rFonts w:eastAsia="Calibri"/>
          <w:lang w:val="en-GB"/>
        </w:rPr>
        <w:t>s</w:t>
      </w:r>
      <w:r w:rsidR="00F96F9C">
        <w:rPr>
          <w:rFonts w:eastAsia="Calibri"/>
          <w:lang w:val="en-GB"/>
        </w:rPr>
        <w:t>,</w:t>
      </w:r>
      <w:r w:rsidRPr="007135FB">
        <w:rPr>
          <w:rFonts w:eastAsia="Calibri"/>
          <w:lang w:val="en-GB"/>
        </w:rPr>
        <w:t xml:space="preserve"> especially for Study 5008. </w:t>
      </w:r>
      <w:r w:rsidR="00531F1A" w:rsidRPr="00957154">
        <w:rPr>
          <w:rFonts w:eastAsia="Calibri"/>
          <w:lang w:val="en-GB"/>
        </w:rPr>
        <w:t>The PSCR noted that the relevant patient population comprises less than 100 incident patients annually with a life expectancy of less than 12 months, and that the IPTW analyses reflect what is possible with the available evidence and are likely to provide estimates of treatment effect that are reasonable for the size of the patient population and the level of clinical need.</w:t>
      </w:r>
    </w:p>
    <w:p w14:paraId="64DB7348" w14:textId="7544D196" w:rsidR="005F7588" w:rsidRPr="007135FB" w:rsidRDefault="00D7173B" w:rsidP="008D68A8">
      <w:pPr>
        <w:pStyle w:val="3-BodyText"/>
        <w:numPr>
          <w:ilvl w:val="0"/>
          <w:numId w:val="13"/>
        </w:numPr>
        <w:rPr>
          <w:rFonts w:eastAsia="Calibri"/>
        </w:rPr>
      </w:pPr>
      <w:r w:rsidRPr="007135FB">
        <w:rPr>
          <w:rFonts w:eastAsia="Calibri"/>
          <w:i/>
          <w:iCs/>
        </w:rPr>
        <w:t>EGFR</w:t>
      </w:r>
      <w:r w:rsidRPr="007135FB">
        <w:rPr>
          <w:rFonts w:eastAsia="Calibri"/>
        </w:rPr>
        <w:t xml:space="preserve"> TKIs and ICI</w:t>
      </w:r>
      <w:r w:rsidR="00487256">
        <w:rPr>
          <w:rFonts w:eastAsia="Calibri"/>
        </w:rPr>
        <w:t xml:space="preserve"> monotherapy</w:t>
      </w:r>
      <w:r w:rsidRPr="007135FB">
        <w:rPr>
          <w:rFonts w:eastAsia="Calibri"/>
        </w:rPr>
        <w:t xml:space="preserve"> made up 50%-60% of the treatments received in Studies 5008 and 5002. The extent of use of these agents </w:t>
      </w:r>
      <w:r w:rsidR="007556C5" w:rsidRPr="007135FB">
        <w:rPr>
          <w:rFonts w:eastAsia="Calibri"/>
        </w:rPr>
        <w:t xml:space="preserve">in Australian clinical practice, </w:t>
      </w:r>
      <w:r w:rsidRPr="007135FB">
        <w:rPr>
          <w:rFonts w:eastAsia="Calibri"/>
        </w:rPr>
        <w:t>for the proposed indication</w:t>
      </w:r>
      <w:r w:rsidR="007556C5" w:rsidRPr="007135FB">
        <w:rPr>
          <w:rFonts w:eastAsia="Calibri"/>
        </w:rPr>
        <w:t>,</w:t>
      </w:r>
      <w:r w:rsidRPr="007135FB">
        <w:rPr>
          <w:rFonts w:eastAsia="Calibri"/>
        </w:rPr>
        <w:t xml:space="preserve"> is expected to be limited. As a result, the magnitude of the indirect estimates of treatment benefit may also </w:t>
      </w:r>
      <w:r w:rsidR="007556C5" w:rsidRPr="007135FB">
        <w:rPr>
          <w:rFonts w:eastAsia="Calibri"/>
        </w:rPr>
        <w:t>have limited ap</w:t>
      </w:r>
      <w:r w:rsidR="002A737B" w:rsidRPr="007135FB">
        <w:rPr>
          <w:rFonts w:eastAsia="Calibri"/>
        </w:rPr>
        <w:t>p</w:t>
      </w:r>
      <w:r w:rsidR="007556C5" w:rsidRPr="007135FB">
        <w:rPr>
          <w:rFonts w:eastAsia="Calibri"/>
        </w:rPr>
        <w:t>licability</w:t>
      </w:r>
      <w:r w:rsidR="003F4908" w:rsidRPr="007135FB">
        <w:rPr>
          <w:rFonts w:eastAsia="Calibri"/>
        </w:rPr>
        <w:t>.</w:t>
      </w:r>
    </w:p>
    <w:p w14:paraId="51E27F4D" w14:textId="6C2964C5" w:rsidR="003F4908" w:rsidRDefault="003F4908" w:rsidP="000711EA">
      <w:pPr>
        <w:pStyle w:val="3-BodyText"/>
        <w:rPr>
          <w:rFonts w:eastAsia="Calibri"/>
        </w:rPr>
      </w:pPr>
      <w:r w:rsidRPr="007135FB">
        <w:rPr>
          <w:rFonts w:eastAsia="Calibri"/>
        </w:rPr>
        <w:t xml:space="preserve">No formal indirect comparisons of safety were presented. The nature of the evidence does not allow for a claim of non-inferiority to be made. Overall, a different safety profile for mobocertinib compared to chemotherapy or immunotherapy would be expected. The </w:t>
      </w:r>
      <w:r w:rsidR="007556C5" w:rsidRPr="007135FB">
        <w:rPr>
          <w:rFonts w:eastAsia="Calibri"/>
        </w:rPr>
        <w:t>safety</w:t>
      </w:r>
      <w:r w:rsidRPr="007135FB">
        <w:rPr>
          <w:rFonts w:eastAsia="Calibri"/>
        </w:rPr>
        <w:t xml:space="preserve"> profile of mobocertinib is in keeping with toxicities observed with other </w:t>
      </w:r>
      <w:r w:rsidRPr="007135FB">
        <w:rPr>
          <w:rFonts w:eastAsia="Calibri"/>
          <w:i/>
          <w:iCs/>
        </w:rPr>
        <w:t>EGFR</w:t>
      </w:r>
      <w:r w:rsidRPr="007135FB">
        <w:rPr>
          <w:rFonts w:eastAsia="Calibri"/>
        </w:rPr>
        <w:t xml:space="preserve"> TKIs, most commonly GI and skin toxicities. Less common </w:t>
      </w:r>
      <w:r w:rsidR="001E1194">
        <w:rPr>
          <w:rFonts w:eastAsia="Calibri"/>
        </w:rPr>
        <w:t>(</w:t>
      </w:r>
      <w:r w:rsidRPr="007135FB">
        <w:rPr>
          <w:rFonts w:eastAsia="Calibri"/>
        </w:rPr>
        <w:t>but serious and potentially fatal</w:t>
      </w:r>
      <w:r w:rsidR="001E1194">
        <w:rPr>
          <w:rFonts w:eastAsia="Calibri"/>
        </w:rPr>
        <w:t>)</w:t>
      </w:r>
      <w:r w:rsidRPr="007135FB">
        <w:rPr>
          <w:rFonts w:eastAsia="Calibri"/>
        </w:rPr>
        <w:t xml:space="preserve"> toxicities that may be associated with mobocertinib</w:t>
      </w:r>
      <w:r w:rsidR="004617E5" w:rsidRPr="007135FB">
        <w:rPr>
          <w:rFonts w:eastAsia="Calibri"/>
        </w:rPr>
        <w:t>,</w:t>
      </w:r>
      <w:r w:rsidRPr="007135FB">
        <w:rPr>
          <w:rFonts w:eastAsia="Calibri"/>
        </w:rPr>
        <w:t xml:space="preserve"> include QT prolongation and Torsades de Pointes, ILD/pneumonitis and cardiac failure.</w:t>
      </w:r>
    </w:p>
    <w:p w14:paraId="2E6D4B57" w14:textId="77777777" w:rsidR="00CE7BEE" w:rsidRDefault="00651228" w:rsidP="007D5A17">
      <w:pPr>
        <w:pStyle w:val="3-BodyText"/>
        <w:rPr>
          <w:rFonts w:eastAsia="Calibri"/>
        </w:rPr>
      </w:pPr>
      <w:r w:rsidRPr="00957154">
        <w:rPr>
          <w:rFonts w:eastAsia="Calibri"/>
        </w:rPr>
        <w:t>T</w:t>
      </w:r>
      <w:r w:rsidR="00780687" w:rsidRPr="00957154">
        <w:rPr>
          <w:rFonts w:eastAsia="Calibri"/>
        </w:rPr>
        <w:t>he ESC agreed with the evaluation that it is difficult to interpret the magnitude of benefit of mobocertinib</w:t>
      </w:r>
      <w:r w:rsidRPr="00957154">
        <w:rPr>
          <w:rFonts w:eastAsia="Calibri"/>
        </w:rPr>
        <w:t>, and that the imbalances in the IPTW may create significant bias in the results whereby the true effect of this bias is unknown. With respect to the submission’s clinical claim, the ESC considered that it is unclear but likely that mobocertinib is more effective than current SOC at improving PFS and extending OS, and similarly it is unclear but likely that mobocertinib has a</w:t>
      </w:r>
      <w:r w:rsidR="00E829BC" w:rsidRPr="00957154">
        <w:rPr>
          <w:rFonts w:eastAsia="Calibri"/>
        </w:rPr>
        <w:t>n</w:t>
      </w:r>
      <w:r w:rsidRPr="00957154">
        <w:rPr>
          <w:rFonts w:eastAsia="Calibri"/>
        </w:rPr>
        <w:t xml:space="preserve"> acceptable safety profile that is </w:t>
      </w:r>
      <w:r w:rsidR="000166F1" w:rsidRPr="00957154">
        <w:rPr>
          <w:rFonts w:eastAsia="Calibri"/>
        </w:rPr>
        <w:t>similar to other TKIs. With respect to the therapy expected to be replaced by mobocertinib, t</w:t>
      </w:r>
      <w:r w:rsidRPr="00957154">
        <w:rPr>
          <w:rFonts w:eastAsia="Calibri"/>
        </w:rPr>
        <w:t>he ESC considered that mobocertinib is likely</w:t>
      </w:r>
      <w:r w:rsidR="00612D41" w:rsidRPr="00957154">
        <w:rPr>
          <w:rFonts w:eastAsia="Calibri"/>
        </w:rPr>
        <w:t>, although not confirmed,</w:t>
      </w:r>
      <w:r w:rsidRPr="00957154">
        <w:rPr>
          <w:rFonts w:eastAsia="Calibri"/>
        </w:rPr>
        <w:t xml:space="preserve"> to be better overall than conventional chemotherapy in this setting. </w:t>
      </w:r>
    </w:p>
    <w:p w14:paraId="0A01A604" w14:textId="6603BBD8" w:rsidR="007D5A17" w:rsidRPr="00EF6087" w:rsidRDefault="00913A4E" w:rsidP="00EF6087">
      <w:pPr>
        <w:pStyle w:val="3-BodyText"/>
        <w:rPr>
          <w:rFonts w:eastAsia="Calibri"/>
        </w:rPr>
      </w:pPr>
      <w:r>
        <w:t xml:space="preserve">The PBAC agreed with the evaluation and the ESC, that the submission’s claim of superior effectiveness was very uncertain, due to a high risk of bias and small sample sizes, and that </w:t>
      </w:r>
      <w:r w:rsidR="00057D7C">
        <w:t>inflating</w:t>
      </w:r>
      <w:r>
        <w:t xml:space="preserve"> the populations </w:t>
      </w:r>
      <w:r w:rsidR="00ED185D">
        <w:t xml:space="preserve">(using IPTW methodology) </w:t>
      </w:r>
      <w:r>
        <w:t xml:space="preserve">had risk of exacerbating the potential biases. While the PBAC acknowledged that mobocertinib may be better than conventional chemotherapy in this setting, it did not consider that the submission had adequately demonstrated this in terms of the evidence presented against SOC, where the majority of SOC treatments comprised </w:t>
      </w:r>
      <w:r w:rsidRPr="00CE7BEE">
        <w:rPr>
          <w:i/>
          <w:iCs/>
        </w:rPr>
        <w:t>EGFR</w:t>
      </w:r>
      <w:r>
        <w:t xml:space="preserve"> TKIs and ICI monotherapy, not chemotherapy. </w:t>
      </w:r>
      <w:r w:rsidR="00035EA2">
        <w:t xml:space="preserve">The PBAC noted the submission did not present a </w:t>
      </w:r>
      <w:r w:rsidR="00035EA2">
        <w:lastRenderedPageBreak/>
        <w:t xml:space="preserve">safety comparison of </w:t>
      </w:r>
      <w:r w:rsidR="00240E34">
        <w:t>mobocertinib</w:t>
      </w:r>
      <w:r w:rsidR="00035EA2">
        <w:t xml:space="preserve"> against SOC, and considered that mobocertinib may have a “different” safety profile that is not non-inferior to SOC.</w:t>
      </w:r>
    </w:p>
    <w:p w14:paraId="5563EA75" w14:textId="77777777" w:rsidR="00B60939" w:rsidRPr="00C9624D" w:rsidRDefault="00B60939" w:rsidP="000711EA">
      <w:pPr>
        <w:pStyle w:val="4-SubsectionHeading"/>
        <w:keepNext w:val="0"/>
      </w:pPr>
      <w:bookmarkStart w:id="49" w:name="_Toc22897645"/>
      <w:bookmarkStart w:id="50" w:name="_Toc113895846"/>
      <w:r w:rsidRPr="00F22634">
        <w:t>Economic analysis</w:t>
      </w:r>
      <w:bookmarkEnd w:id="49"/>
      <w:bookmarkEnd w:id="50"/>
      <w:r w:rsidR="00491B3A" w:rsidRPr="00C9624D">
        <w:t xml:space="preserve"> </w:t>
      </w:r>
    </w:p>
    <w:p w14:paraId="0EC8E69E" w14:textId="04AA6649" w:rsidR="00194A61" w:rsidRPr="00126679" w:rsidRDefault="00194A61" w:rsidP="00194A61">
      <w:pPr>
        <w:pStyle w:val="3-BodyText"/>
        <w:rPr>
          <w:b/>
          <w:bCs/>
          <w:lang w:val="en-US"/>
        </w:rPr>
      </w:pPr>
      <w:bookmarkStart w:id="51" w:name="_Ref104804865"/>
      <w:bookmarkStart w:id="52" w:name="_Toc22897646"/>
      <w:r>
        <w:t xml:space="preserve">The submission presented a stepped economic evaluation comparing mobocertinib versus SOC for the treatment of </w:t>
      </w:r>
      <w:r w:rsidRPr="00496303">
        <w:t xml:space="preserve">patients with locally </w:t>
      </w:r>
      <w:r w:rsidRPr="00126679">
        <w:t xml:space="preserve">advanced or metastatic (Stage IIIB-IV) NSCLC with </w:t>
      </w:r>
      <w:r w:rsidRPr="00126679">
        <w:rPr>
          <w:i/>
        </w:rPr>
        <w:t>EGFR</w:t>
      </w:r>
      <w:r w:rsidRPr="00126679">
        <w:t xml:space="preserve"> ex20ins mutations who have previously received platinum-based chemotherapy (PBC) based on </w:t>
      </w:r>
      <w:r>
        <w:t xml:space="preserve">an </w:t>
      </w:r>
      <w:r w:rsidRPr="00126679">
        <w:t xml:space="preserve">indirect comparison of </w:t>
      </w:r>
      <w:r>
        <w:t xml:space="preserve">retrospective cohort </w:t>
      </w:r>
      <w:r w:rsidRPr="00126679">
        <w:t xml:space="preserve">studies. </w:t>
      </w:r>
      <w:r>
        <w:t>A c</w:t>
      </w:r>
      <w:r w:rsidRPr="00126679">
        <w:t xml:space="preserve">ost-effectiveness analysis and a cost-utility analysis were presented measuring outcomes in terms of life years (LYs) gained and quality-adjusted life years (QALYs) gained, respectively. The key components of the economic evaluation and justifications for the approach provided by the submission are presented in </w:t>
      </w:r>
      <w:r w:rsidRPr="00126679">
        <w:fldChar w:fldCharType="begin"/>
      </w:r>
      <w:r w:rsidRPr="00126679">
        <w:instrText xml:space="preserve"> REF _Ref112215950 \h </w:instrText>
      </w:r>
      <w:r w:rsidRPr="00126679">
        <w:fldChar w:fldCharType="separate"/>
      </w:r>
      <w:r w:rsidR="001635D4">
        <w:t xml:space="preserve">Table </w:t>
      </w:r>
      <w:r w:rsidR="001635D4">
        <w:rPr>
          <w:noProof/>
        </w:rPr>
        <w:t>11</w:t>
      </w:r>
      <w:r w:rsidRPr="00126679">
        <w:fldChar w:fldCharType="end"/>
      </w:r>
      <w:r w:rsidRPr="00126679">
        <w:t>.</w:t>
      </w:r>
    </w:p>
    <w:p w14:paraId="4C43EDD3" w14:textId="0F0D4D6A" w:rsidR="00194A61" w:rsidRDefault="00194A61" w:rsidP="00194A61">
      <w:pPr>
        <w:pStyle w:val="Caption"/>
        <w:jc w:val="left"/>
        <w:rPr>
          <w:rStyle w:val="CommentReference"/>
          <w:b/>
          <w:szCs w:val="24"/>
        </w:rPr>
      </w:pPr>
      <w:bookmarkStart w:id="53" w:name="_Ref112215950"/>
      <w:r>
        <w:lastRenderedPageBreak/>
        <w:t xml:space="preserve">Table </w:t>
      </w:r>
      <w:r w:rsidR="001635D4">
        <w:fldChar w:fldCharType="begin"/>
      </w:r>
      <w:r w:rsidR="001635D4">
        <w:instrText xml:space="preserve"> SEQ Table \* ARABIC </w:instrText>
      </w:r>
      <w:r w:rsidR="001635D4">
        <w:fldChar w:fldCharType="separate"/>
      </w:r>
      <w:r w:rsidR="001635D4">
        <w:rPr>
          <w:noProof/>
        </w:rPr>
        <w:t>11</w:t>
      </w:r>
      <w:r w:rsidR="001635D4">
        <w:rPr>
          <w:noProof/>
        </w:rPr>
        <w:fldChar w:fldCharType="end"/>
      </w:r>
      <w:bookmarkEnd w:id="53"/>
      <w:r>
        <w:t>:</w:t>
      </w:r>
      <w:r w:rsidRPr="00641FB3">
        <w:rPr>
          <w:rStyle w:val="CommentReference"/>
          <w:b/>
          <w:szCs w:val="24"/>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92"/>
        <w:gridCol w:w="5625"/>
      </w:tblGrid>
      <w:tr w:rsidR="00194A61" w:rsidRPr="00E05630" w14:paraId="1A938324" w14:textId="77777777" w:rsidTr="00AC6F83">
        <w:trPr>
          <w:tblHeader/>
        </w:trPr>
        <w:tc>
          <w:tcPr>
            <w:tcW w:w="1881" w:type="pct"/>
            <w:vAlign w:val="center"/>
          </w:tcPr>
          <w:p w14:paraId="65079ADB" w14:textId="77777777" w:rsidR="00194A61" w:rsidRPr="00E05630" w:rsidRDefault="00194A61" w:rsidP="00AC6F83">
            <w:pPr>
              <w:pStyle w:val="In-tableHeading"/>
              <w:keepLines/>
              <w:widowControl w:val="0"/>
              <w:jc w:val="center"/>
            </w:pPr>
            <w:r w:rsidRPr="00E05630">
              <w:t>Component</w:t>
            </w:r>
          </w:p>
        </w:tc>
        <w:tc>
          <w:tcPr>
            <w:tcW w:w="3119" w:type="pct"/>
          </w:tcPr>
          <w:p w14:paraId="6FCCB047" w14:textId="77777777" w:rsidR="00194A61" w:rsidRPr="00E05630" w:rsidRDefault="00194A61" w:rsidP="00AC6F83">
            <w:pPr>
              <w:pStyle w:val="In-tableHeading"/>
              <w:keepLines/>
              <w:widowControl w:val="0"/>
              <w:jc w:val="center"/>
            </w:pPr>
            <w:r w:rsidRPr="00E05630">
              <w:t>Description</w:t>
            </w:r>
          </w:p>
        </w:tc>
      </w:tr>
      <w:tr w:rsidR="00194A61" w:rsidRPr="004E2ADC" w14:paraId="0C55ADBE" w14:textId="77777777" w:rsidTr="00AC6F83">
        <w:tc>
          <w:tcPr>
            <w:tcW w:w="1881" w:type="pct"/>
            <w:vAlign w:val="center"/>
          </w:tcPr>
          <w:p w14:paraId="281AAC8F" w14:textId="77777777" w:rsidR="00194A61" w:rsidRPr="004E2ADC" w:rsidRDefault="00194A61" w:rsidP="00AC6F83">
            <w:pPr>
              <w:pStyle w:val="TableText0"/>
              <w:keepLines/>
              <w:widowControl w:val="0"/>
            </w:pPr>
            <w:r>
              <w:t>Type of analysis</w:t>
            </w:r>
          </w:p>
        </w:tc>
        <w:tc>
          <w:tcPr>
            <w:tcW w:w="3119" w:type="pct"/>
          </w:tcPr>
          <w:p w14:paraId="225AB16F" w14:textId="77777777" w:rsidR="00194A61" w:rsidRPr="004E2ADC" w:rsidRDefault="00194A61" w:rsidP="00AC6F83">
            <w:pPr>
              <w:pStyle w:val="TableText0"/>
              <w:keepLines/>
              <w:widowControl w:val="0"/>
            </w:pPr>
            <w:r>
              <w:t>Cost-utility analysis</w:t>
            </w:r>
          </w:p>
        </w:tc>
      </w:tr>
      <w:tr w:rsidR="00194A61" w:rsidRPr="004E2ADC" w14:paraId="27864F36" w14:textId="77777777" w:rsidTr="00AC6F83">
        <w:tc>
          <w:tcPr>
            <w:tcW w:w="1881" w:type="pct"/>
            <w:vAlign w:val="center"/>
          </w:tcPr>
          <w:p w14:paraId="4DF71143" w14:textId="77777777" w:rsidR="00194A61" w:rsidRPr="004E2ADC" w:rsidRDefault="00194A61" w:rsidP="00AC6F83">
            <w:pPr>
              <w:pStyle w:val="TableText0"/>
              <w:keepLines/>
              <w:widowControl w:val="0"/>
            </w:pPr>
            <w:r>
              <w:t>Outcomes</w:t>
            </w:r>
          </w:p>
        </w:tc>
        <w:tc>
          <w:tcPr>
            <w:tcW w:w="3119" w:type="pct"/>
          </w:tcPr>
          <w:p w14:paraId="1A5E1CDF" w14:textId="77777777" w:rsidR="00194A61" w:rsidRPr="004E2ADC" w:rsidRDefault="00194A61" w:rsidP="00AC6F83">
            <w:pPr>
              <w:pStyle w:val="TableText0"/>
              <w:keepLines/>
              <w:widowControl w:val="0"/>
            </w:pPr>
            <w:r>
              <w:t xml:space="preserve">Life years </w:t>
            </w:r>
            <w:proofErr w:type="gramStart"/>
            <w:r>
              <w:t>gained,</w:t>
            </w:r>
            <w:proofErr w:type="gramEnd"/>
            <w:r>
              <w:t xml:space="preserve"> quality-adjusted life years gained</w:t>
            </w:r>
          </w:p>
        </w:tc>
      </w:tr>
      <w:tr w:rsidR="00194A61" w:rsidRPr="004E2ADC" w14:paraId="16CD14D2" w14:textId="77777777" w:rsidTr="00AC6F83">
        <w:tc>
          <w:tcPr>
            <w:tcW w:w="1881" w:type="pct"/>
            <w:vAlign w:val="center"/>
          </w:tcPr>
          <w:p w14:paraId="669986EF" w14:textId="77777777" w:rsidR="00194A61" w:rsidRPr="004E2ADC" w:rsidRDefault="00194A61" w:rsidP="00AC6F83">
            <w:pPr>
              <w:pStyle w:val="TableText0"/>
              <w:keepLines/>
              <w:widowControl w:val="0"/>
            </w:pPr>
            <w:r>
              <w:t>Time horizon</w:t>
            </w:r>
          </w:p>
        </w:tc>
        <w:tc>
          <w:tcPr>
            <w:tcW w:w="3119" w:type="pct"/>
          </w:tcPr>
          <w:p w14:paraId="2ADA6122" w14:textId="77777777" w:rsidR="00194A61" w:rsidRPr="004E2ADC" w:rsidRDefault="00194A61" w:rsidP="00AC6F83">
            <w:pPr>
              <w:pStyle w:val="TableText0"/>
              <w:keepLines/>
              <w:widowControl w:val="0"/>
            </w:pPr>
            <w:r>
              <w:t>5 years</w:t>
            </w:r>
          </w:p>
        </w:tc>
      </w:tr>
      <w:tr w:rsidR="00194A61" w:rsidRPr="004E2ADC" w14:paraId="3D82282F" w14:textId="77777777" w:rsidTr="00AC6F83">
        <w:tc>
          <w:tcPr>
            <w:tcW w:w="1881" w:type="pct"/>
            <w:vAlign w:val="center"/>
          </w:tcPr>
          <w:p w14:paraId="54A469FF" w14:textId="77777777" w:rsidR="00194A61" w:rsidRPr="004E2ADC" w:rsidRDefault="00194A61" w:rsidP="00AC6F83">
            <w:pPr>
              <w:pStyle w:val="TableText0"/>
              <w:keepLines/>
              <w:widowControl w:val="0"/>
            </w:pPr>
            <w:r>
              <w:t>Methods used to generate results</w:t>
            </w:r>
          </w:p>
        </w:tc>
        <w:tc>
          <w:tcPr>
            <w:tcW w:w="3119" w:type="pct"/>
          </w:tcPr>
          <w:p w14:paraId="42832DD5" w14:textId="77777777" w:rsidR="00194A61" w:rsidRPr="004E2ADC" w:rsidRDefault="00194A61" w:rsidP="00AC6F83">
            <w:pPr>
              <w:pStyle w:val="TableText0"/>
              <w:keepLines/>
              <w:widowControl w:val="0"/>
            </w:pPr>
            <w:r>
              <w:t>Three health state partitioned survival model</w:t>
            </w:r>
          </w:p>
        </w:tc>
      </w:tr>
      <w:tr w:rsidR="00194A61" w:rsidRPr="004E2ADC" w14:paraId="70213DA9" w14:textId="77777777" w:rsidTr="00AC6F83">
        <w:tc>
          <w:tcPr>
            <w:tcW w:w="1881" w:type="pct"/>
            <w:vAlign w:val="center"/>
          </w:tcPr>
          <w:p w14:paraId="454C6AD1" w14:textId="77777777" w:rsidR="00194A61" w:rsidRPr="004E2ADC" w:rsidRDefault="00194A61" w:rsidP="00AC6F83">
            <w:pPr>
              <w:pStyle w:val="TableText0"/>
              <w:keepLines/>
              <w:widowControl w:val="0"/>
            </w:pPr>
            <w:r>
              <w:t>Health states</w:t>
            </w:r>
          </w:p>
        </w:tc>
        <w:tc>
          <w:tcPr>
            <w:tcW w:w="3119" w:type="pct"/>
          </w:tcPr>
          <w:p w14:paraId="1FAAA24E" w14:textId="77777777" w:rsidR="00194A61" w:rsidRPr="004E2ADC" w:rsidRDefault="00194A61" w:rsidP="00AC6F83">
            <w:pPr>
              <w:pStyle w:val="TableText0"/>
              <w:keepLines/>
              <w:widowControl w:val="0"/>
            </w:pPr>
            <w:r w:rsidRPr="00E20872">
              <w:t>Progression-free; Progressed disease; Dead</w:t>
            </w:r>
          </w:p>
        </w:tc>
      </w:tr>
      <w:tr w:rsidR="00194A61" w:rsidRPr="004E2ADC" w14:paraId="2AF55042" w14:textId="77777777" w:rsidTr="00AC6F83">
        <w:tc>
          <w:tcPr>
            <w:tcW w:w="1881" w:type="pct"/>
            <w:vAlign w:val="center"/>
          </w:tcPr>
          <w:p w14:paraId="4647667E" w14:textId="77777777" w:rsidR="00194A61" w:rsidRPr="004E2ADC" w:rsidRDefault="00194A61" w:rsidP="00AC6F83">
            <w:pPr>
              <w:pStyle w:val="TableText0"/>
              <w:keepLines/>
              <w:widowControl w:val="0"/>
            </w:pPr>
            <w:r>
              <w:t>Cycle length</w:t>
            </w:r>
          </w:p>
        </w:tc>
        <w:tc>
          <w:tcPr>
            <w:tcW w:w="3119" w:type="pct"/>
          </w:tcPr>
          <w:p w14:paraId="3C33D168" w14:textId="77777777" w:rsidR="00194A61" w:rsidRPr="004E2ADC" w:rsidRDefault="00194A61" w:rsidP="00AC6F83">
            <w:pPr>
              <w:pStyle w:val="TableText0"/>
              <w:keepLines/>
              <w:widowControl w:val="0"/>
            </w:pPr>
            <w:r>
              <w:t xml:space="preserve">28 days - </w:t>
            </w:r>
            <w:r>
              <w:rPr>
                <w:lang w:val="en-CA"/>
              </w:rPr>
              <w:t>reflects the duration of treatment per pack of mobocertinib dispensed.</w:t>
            </w:r>
          </w:p>
        </w:tc>
      </w:tr>
      <w:tr w:rsidR="00194A61" w:rsidRPr="004E2ADC" w14:paraId="7D0E4314" w14:textId="77777777" w:rsidTr="00AC6F83">
        <w:tc>
          <w:tcPr>
            <w:tcW w:w="1881" w:type="pct"/>
            <w:vAlign w:val="center"/>
          </w:tcPr>
          <w:p w14:paraId="2014C6C6" w14:textId="77777777" w:rsidR="00194A61" w:rsidRPr="004E2ADC" w:rsidRDefault="00194A61" w:rsidP="00AC6F83">
            <w:pPr>
              <w:pStyle w:val="TableText0"/>
              <w:keepLines/>
              <w:widowControl w:val="0"/>
            </w:pPr>
            <w:r>
              <w:t>Health state allocation</w:t>
            </w:r>
          </w:p>
        </w:tc>
        <w:tc>
          <w:tcPr>
            <w:tcW w:w="3119" w:type="pct"/>
          </w:tcPr>
          <w:p w14:paraId="581A68C1" w14:textId="77777777" w:rsidR="00194A61" w:rsidRDefault="00194A61" w:rsidP="00AC6F83">
            <w:pPr>
              <w:pStyle w:val="TableText0"/>
              <w:keepLines/>
              <w:widowControl w:val="0"/>
            </w:pPr>
            <w:r>
              <w:t>Mobocertinib</w:t>
            </w:r>
            <w:r w:rsidRPr="00B94E94">
              <w:t xml:space="preserve"> arm: PFS</w:t>
            </w:r>
            <w:r>
              <w:t xml:space="preserve"> (IRC)</w:t>
            </w:r>
            <w:r w:rsidRPr="00B94E94">
              <w:t xml:space="preserve"> and OS</w:t>
            </w:r>
            <w:r>
              <w:t xml:space="preserve"> </w:t>
            </w:r>
            <w:r w:rsidRPr="00B94E94">
              <w:t xml:space="preserve">from </w:t>
            </w:r>
            <w:r>
              <w:t>Study 101 (PPP cohort).</w:t>
            </w:r>
          </w:p>
          <w:p w14:paraId="08319141" w14:textId="77777777" w:rsidR="00194A61" w:rsidRDefault="00194A61" w:rsidP="00AC6F83">
            <w:pPr>
              <w:pStyle w:val="TableText0"/>
              <w:keepLines/>
              <w:widowControl w:val="0"/>
            </w:pPr>
          </w:p>
          <w:p w14:paraId="709E159F" w14:textId="0ED8BC2B" w:rsidR="00194A61" w:rsidRDefault="00194A61" w:rsidP="00AC6F83">
            <w:pPr>
              <w:pStyle w:val="TableText0"/>
              <w:keepLines/>
              <w:widowControl w:val="0"/>
            </w:pPr>
            <w:r>
              <w:t>SOC arm:</w:t>
            </w:r>
            <w:r w:rsidR="00E829BC">
              <w:t xml:space="preserve"> IPTW-</w:t>
            </w:r>
            <w:r>
              <w:t>adjusted PFS and OS from Study 5008 (Germany) in the base case;</w:t>
            </w:r>
            <w:r w:rsidR="00E829BC">
              <w:t xml:space="preserve"> IPTW-</w:t>
            </w:r>
            <w:r>
              <w:t xml:space="preserve">adjusted PFS and OS </w:t>
            </w:r>
            <w:r w:rsidRPr="00474BAA">
              <w:t xml:space="preserve">data from the </w:t>
            </w:r>
            <w:r>
              <w:t>Study 5002 (USA)</w:t>
            </w:r>
            <w:r w:rsidRPr="00474BAA">
              <w:t xml:space="preserve"> is used in sensitivity analysis</w:t>
            </w:r>
            <w:r>
              <w:t>.</w:t>
            </w:r>
          </w:p>
          <w:p w14:paraId="37456A5D" w14:textId="17FD137F" w:rsidR="00194A61" w:rsidRPr="004E2ADC" w:rsidRDefault="00194A61" w:rsidP="00AC6F83">
            <w:pPr>
              <w:pStyle w:val="TableText0"/>
              <w:keepLines/>
              <w:widowControl w:val="0"/>
            </w:pPr>
          </w:p>
        </w:tc>
      </w:tr>
      <w:tr w:rsidR="00194A61" w:rsidRPr="004E2ADC" w14:paraId="49487D5D" w14:textId="77777777" w:rsidTr="00AC6F83">
        <w:tc>
          <w:tcPr>
            <w:tcW w:w="1881" w:type="pct"/>
            <w:vAlign w:val="center"/>
          </w:tcPr>
          <w:p w14:paraId="2730598B" w14:textId="77777777" w:rsidR="00194A61" w:rsidRDefault="00194A61" w:rsidP="00AC6F83">
            <w:pPr>
              <w:pStyle w:val="TableText0"/>
              <w:keepLines/>
              <w:widowControl w:val="0"/>
            </w:pPr>
            <w:r>
              <w:t>Extrapolation method</w:t>
            </w:r>
          </w:p>
        </w:tc>
        <w:tc>
          <w:tcPr>
            <w:tcW w:w="3119" w:type="pct"/>
          </w:tcPr>
          <w:p w14:paraId="04E7E5F8" w14:textId="4045B31B" w:rsidR="00194A61" w:rsidRDefault="00194A61" w:rsidP="00AC6F83">
            <w:pPr>
              <w:pStyle w:val="TableText0"/>
              <w:keepLines/>
              <w:widowControl w:val="0"/>
            </w:pPr>
            <w:r>
              <w:t xml:space="preserve">KM data are used up until trial follow-up (36 months) and extrapolated out to the modelled time horizon. </w:t>
            </w:r>
          </w:p>
          <w:p w14:paraId="4F6DFE9C" w14:textId="77777777" w:rsidR="00194A61" w:rsidRDefault="00194A61" w:rsidP="00AC6F83">
            <w:pPr>
              <w:pStyle w:val="TableText0"/>
              <w:keepLines/>
              <w:widowControl w:val="0"/>
            </w:pPr>
          </w:p>
          <w:p w14:paraId="49CD8442" w14:textId="77777777" w:rsidR="00194A61" w:rsidRDefault="00194A61" w:rsidP="00AC6F83">
            <w:pPr>
              <w:pStyle w:val="TableText0"/>
              <w:keepLines/>
              <w:widowControl w:val="0"/>
            </w:pPr>
            <w:r>
              <w:t>The selection of parametric curve in the base case was based on the visual fit to the KM curves as well as clinical validity of the extrapolations.</w:t>
            </w:r>
          </w:p>
          <w:p w14:paraId="6C57ACCB" w14:textId="77777777" w:rsidR="00194A61" w:rsidRDefault="00194A61" w:rsidP="00AC6F83">
            <w:pPr>
              <w:pStyle w:val="TableText0"/>
              <w:keepLines/>
              <w:widowControl w:val="0"/>
            </w:pPr>
          </w:p>
          <w:p w14:paraId="7A8CD942" w14:textId="77777777" w:rsidR="00194A61" w:rsidRDefault="00194A61" w:rsidP="00AC6F83">
            <w:pPr>
              <w:pStyle w:val="TableText0"/>
              <w:keepLines/>
              <w:widowControl w:val="0"/>
            </w:pPr>
            <w:r>
              <w:t>For all extrapolations, the Weibull parametric function is used in the base case.</w:t>
            </w:r>
          </w:p>
          <w:p w14:paraId="0877C060" w14:textId="77777777" w:rsidR="00194A61" w:rsidRDefault="00194A61" w:rsidP="00AC6F83">
            <w:pPr>
              <w:pStyle w:val="TableText0"/>
              <w:keepLines/>
              <w:widowControl w:val="0"/>
            </w:pPr>
          </w:p>
          <w:p w14:paraId="6BD457CE" w14:textId="77777777" w:rsidR="00194A61" w:rsidRDefault="00194A61" w:rsidP="00AC6F83">
            <w:pPr>
              <w:pStyle w:val="TableText0"/>
              <w:keepLines/>
              <w:widowControl w:val="0"/>
            </w:pPr>
            <w:r>
              <w:t>Convergence – curves are forced to converge from 36 months to 5-year time horizon.</w:t>
            </w:r>
          </w:p>
          <w:p w14:paraId="751BDF0A" w14:textId="4C396A14" w:rsidR="00E81731" w:rsidRDefault="00E81731" w:rsidP="00AC6F83">
            <w:pPr>
              <w:pStyle w:val="TableText0"/>
              <w:keepLines/>
              <w:widowControl w:val="0"/>
            </w:pPr>
          </w:p>
        </w:tc>
      </w:tr>
      <w:tr w:rsidR="00194A61" w:rsidRPr="004E2ADC" w14:paraId="0A35D2A0" w14:textId="77777777" w:rsidTr="00AC6F83">
        <w:tc>
          <w:tcPr>
            <w:tcW w:w="1881" w:type="pct"/>
            <w:vAlign w:val="center"/>
          </w:tcPr>
          <w:p w14:paraId="7CFE4700" w14:textId="77777777" w:rsidR="00194A61" w:rsidRDefault="00194A61" w:rsidP="00AC6F83">
            <w:pPr>
              <w:pStyle w:val="TableText0"/>
              <w:keepLines/>
              <w:widowControl w:val="0"/>
            </w:pPr>
            <w:r>
              <w:t>Utilities</w:t>
            </w:r>
          </w:p>
        </w:tc>
        <w:tc>
          <w:tcPr>
            <w:tcW w:w="3119" w:type="pct"/>
          </w:tcPr>
          <w:p w14:paraId="41F6D29F" w14:textId="77777777" w:rsidR="00194A61" w:rsidRDefault="00194A61" w:rsidP="00AC6F83">
            <w:pPr>
              <w:pStyle w:val="TableText0"/>
              <w:keepLines/>
              <w:widowControl w:val="0"/>
            </w:pPr>
            <w:r>
              <w:t xml:space="preserve">Utilities derived from </w:t>
            </w:r>
            <w:r w:rsidRPr="00C622E5">
              <w:t>Part 3</w:t>
            </w:r>
            <w:r>
              <w:rPr>
                <w:vertAlign w:val="superscript"/>
              </w:rPr>
              <w:t>a</w:t>
            </w:r>
            <w:r w:rsidRPr="00C622E5">
              <w:t xml:space="preserve"> of </w:t>
            </w:r>
            <w:r>
              <w:t>S</w:t>
            </w:r>
            <w:r w:rsidRPr="00C622E5">
              <w:t xml:space="preserve">tudy 101 (EXCLAIM) were applied across </w:t>
            </w:r>
            <w:r>
              <w:t>both arms</w:t>
            </w:r>
            <w:r w:rsidRPr="00C622E5">
              <w:t xml:space="preserve"> of the model.</w:t>
            </w:r>
          </w:p>
          <w:p w14:paraId="7DABAB78" w14:textId="77777777" w:rsidR="00194A61" w:rsidRDefault="00194A61" w:rsidP="00AC6F83">
            <w:pPr>
              <w:pStyle w:val="TableText0"/>
              <w:keepLines/>
              <w:widowControl w:val="0"/>
            </w:pPr>
          </w:p>
          <w:p w14:paraId="3DDE0A16" w14:textId="77777777" w:rsidR="00194A61" w:rsidRDefault="00194A61" w:rsidP="00AC6F83">
            <w:pPr>
              <w:pStyle w:val="TableText0"/>
              <w:keepLines/>
              <w:widowControl w:val="0"/>
            </w:pPr>
            <w:r>
              <w:t xml:space="preserve">Utility decrements are applied for Grade ≥3 AEs in each treatment arm. </w:t>
            </w:r>
          </w:p>
        </w:tc>
      </w:tr>
    </w:tbl>
    <w:p w14:paraId="4DDDF56D" w14:textId="77777777" w:rsidR="00194A61" w:rsidRPr="00057E3C" w:rsidRDefault="00194A61" w:rsidP="00194A61">
      <w:pPr>
        <w:pStyle w:val="FooterTableFigure"/>
        <w:keepNext/>
        <w:keepLines/>
        <w:widowControl w:val="0"/>
      </w:pPr>
      <w:r>
        <w:t>Source: Compiled during the evaluation based on Table 3-1, p179 of the submission</w:t>
      </w:r>
    </w:p>
    <w:p w14:paraId="571D445E" w14:textId="3DD78932" w:rsidR="00194A61" w:rsidRDefault="00194A61" w:rsidP="00194A61">
      <w:pPr>
        <w:pStyle w:val="FooterTableFigure"/>
        <w:keepNext/>
        <w:keepLines/>
        <w:widowControl w:val="0"/>
      </w:pPr>
      <w:r>
        <w:t xml:space="preserve">AE = adverse event; </w:t>
      </w:r>
      <w:r w:rsidRPr="00F418C6">
        <w:rPr>
          <w:i/>
        </w:rPr>
        <w:t>EGFR</w:t>
      </w:r>
      <w:r>
        <w:t xml:space="preserve"> = epidermal growth factor receptor; ex20ins = exon 20 insertion; HRQoL = health-related quality of life; IRC = independent review committee; OS = overall survival; PFS = progression free survival; PPP = pooled prior-platinum; SOC = standard of care; </w:t>
      </w:r>
      <w:r w:rsidR="00B048A8">
        <w:t xml:space="preserve">IPTW=inverse probability treatment weighting </w:t>
      </w:r>
      <w:r>
        <w:t>USA = United States of America</w:t>
      </w:r>
    </w:p>
    <w:p w14:paraId="18D4A7F6" w14:textId="1681FB69" w:rsidR="00194A61" w:rsidRDefault="00194A61" w:rsidP="00194A61">
      <w:pPr>
        <w:pStyle w:val="FooterTableFigure"/>
        <w:keepNext/>
        <w:keepLines/>
        <w:widowControl w:val="0"/>
      </w:pPr>
      <w:r w:rsidRPr="00065DDB">
        <w:rPr>
          <w:vertAlign w:val="superscript"/>
        </w:rPr>
        <w:t>a</w:t>
      </w:r>
      <w:r>
        <w:t xml:space="preserve"> </w:t>
      </w:r>
      <w:r w:rsidR="00901B7C" w:rsidRPr="00901B7C">
        <w:t xml:space="preserve">Study 101 included three parts: Part 1 (dose escalation cohort, N=73), Part 2 (expansion cohort, N=136) and Part 3 (extension cohort, N=96). </w:t>
      </w:r>
      <w:r w:rsidR="00901B7C">
        <w:t xml:space="preserve">The </w:t>
      </w:r>
      <w:r w:rsidR="00901B7C" w:rsidRPr="00901B7C">
        <w:t xml:space="preserve">PPP cohort </w:t>
      </w:r>
      <w:r w:rsidR="00901B7C">
        <w:t xml:space="preserve">of Study 101 </w:t>
      </w:r>
      <w:r w:rsidR="00D8689B">
        <w:t xml:space="preserve">(N=114) </w:t>
      </w:r>
      <w:r w:rsidR="00901B7C">
        <w:t xml:space="preserve">were </w:t>
      </w:r>
      <w:r w:rsidR="00D8689B">
        <w:t>mainly from Part 3 (n=86), followed by Part 2 (n=22) and Part 1 (n=6)</w:t>
      </w:r>
      <w:r w:rsidR="00901B7C" w:rsidRPr="00901B7C">
        <w:t>.</w:t>
      </w:r>
    </w:p>
    <w:p w14:paraId="1396B64D" w14:textId="77777777" w:rsidR="00D8689B" w:rsidRDefault="00D8689B" w:rsidP="007A2A2F">
      <w:pPr>
        <w:pStyle w:val="FooterTableFigure"/>
        <w:keepNext/>
        <w:keepLines/>
        <w:widowControl w:val="0"/>
        <w:spacing w:after="0"/>
      </w:pPr>
    </w:p>
    <w:p w14:paraId="26C5B24A" w14:textId="5FACED3F" w:rsidR="00194A61" w:rsidRPr="00B34697" w:rsidRDefault="00194A61" w:rsidP="00194A61">
      <w:pPr>
        <w:pStyle w:val="3-BodyText"/>
      </w:pPr>
      <w:r w:rsidRPr="00B34697">
        <w:t xml:space="preserve">A half cycle correction (HCC) was applied to all costs and outcomes. </w:t>
      </w:r>
      <w:r w:rsidRPr="007135FB">
        <w:rPr>
          <w:iCs/>
        </w:rPr>
        <w:t xml:space="preserve">The submission assumed a half-cycle correction for the time-to-treatment discontinuation (TTD) curve at the start of the cycle which reduced the proportion of patients treated in cycle 1 by 50%. </w:t>
      </w:r>
      <w:r w:rsidR="00F355AD">
        <w:rPr>
          <w:iCs/>
        </w:rPr>
        <w:t>The evaluation considered t</w:t>
      </w:r>
      <w:r w:rsidRPr="007135FB">
        <w:rPr>
          <w:iCs/>
        </w:rPr>
        <w:t xml:space="preserve">his </w:t>
      </w:r>
      <w:r w:rsidR="00F355AD">
        <w:rPr>
          <w:iCs/>
        </w:rPr>
        <w:t>to be</w:t>
      </w:r>
      <w:r w:rsidR="00F355AD" w:rsidRPr="007135FB">
        <w:rPr>
          <w:iCs/>
        </w:rPr>
        <w:t xml:space="preserve"> </w:t>
      </w:r>
      <w:r w:rsidRPr="007135FB">
        <w:rPr>
          <w:iCs/>
        </w:rPr>
        <w:t>inappropriate</w:t>
      </w:r>
      <w:r w:rsidR="00F355AD">
        <w:rPr>
          <w:iCs/>
        </w:rPr>
        <w:t>; a</w:t>
      </w:r>
      <w:r w:rsidRPr="007135FB">
        <w:rPr>
          <w:iCs/>
        </w:rPr>
        <w:t xml:space="preserve">s all patients initiate the treatment at the start of the cycle, HCC may not be required in this context. </w:t>
      </w:r>
      <w:r w:rsidR="00F355AD">
        <w:rPr>
          <w:iCs/>
        </w:rPr>
        <w:t>The evaluation noted that c</w:t>
      </w:r>
      <w:r w:rsidRPr="007135FB">
        <w:rPr>
          <w:iCs/>
        </w:rPr>
        <w:t>orrecting this calculation ha</w:t>
      </w:r>
      <w:r w:rsidR="00ED185D">
        <w:rPr>
          <w:iCs/>
        </w:rPr>
        <w:t>d</w:t>
      </w:r>
      <w:r w:rsidRPr="007135FB">
        <w:rPr>
          <w:iCs/>
        </w:rPr>
        <w:t xml:space="preserve"> only a minimal impact on the </w:t>
      </w:r>
      <w:r w:rsidR="00F355AD" w:rsidRPr="00F355AD">
        <w:rPr>
          <w:iCs/>
        </w:rPr>
        <w:t>incremental cost</w:t>
      </w:r>
      <w:r w:rsidR="00F355AD">
        <w:rPr>
          <w:iCs/>
        </w:rPr>
        <w:t>-</w:t>
      </w:r>
      <w:r w:rsidR="00F355AD" w:rsidRPr="00F355AD">
        <w:rPr>
          <w:iCs/>
        </w:rPr>
        <w:t>effectiveness ratio</w:t>
      </w:r>
      <w:r w:rsidR="00F355AD">
        <w:rPr>
          <w:iCs/>
        </w:rPr>
        <w:t xml:space="preserve"> (</w:t>
      </w:r>
      <w:r w:rsidRPr="007135FB">
        <w:rPr>
          <w:iCs/>
        </w:rPr>
        <w:t>ICER</w:t>
      </w:r>
      <w:r w:rsidR="00F355AD">
        <w:rPr>
          <w:iCs/>
        </w:rPr>
        <w:t>)</w:t>
      </w:r>
      <w:r w:rsidRPr="007135FB">
        <w:rPr>
          <w:iCs/>
        </w:rPr>
        <w:t>.</w:t>
      </w:r>
    </w:p>
    <w:p w14:paraId="095591E2" w14:textId="5A0824B1" w:rsidR="00194A61" w:rsidRPr="00B34697" w:rsidRDefault="00194A61" w:rsidP="00194A61">
      <w:pPr>
        <w:pStyle w:val="3-BodyText"/>
      </w:pPr>
      <w:r w:rsidRPr="00B34697">
        <w:t>The model inputs in the mobocertinib arm were largely derived from Study 101. Due to single arm nature of the study, the submission identified two retrospective cohort studies (Study 5008</w:t>
      </w:r>
      <w:r>
        <w:t xml:space="preserve"> [base case]</w:t>
      </w:r>
      <w:r w:rsidRPr="00B34697">
        <w:t xml:space="preserve"> and Study 5002</w:t>
      </w:r>
      <w:r>
        <w:t xml:space="preserve"> [sensitivity analysis]</w:t>
      </w:r>
      <w:r w:rsidRPr="00B34697">
        <w:t xml:space="preserve">) as relevant sources of input for comparator arm. </w:t>
      </w:r>
    </w:p>
    <w:p w14:paraId="1307D14A" w14:textId="35F2B755" w:rsidR="00194A61" w:rsidRPr="000773FB" w:rsidRDefault="00194A61" w:rsidP="00675796">
      <w:pPr>
        <w:pStyle w:val="3-BodyText"/>
      </w:pPr>
      <w:bookmarkStart w:id="54" w:name="_Ref120535367"/>
      <w:r w:rsidRPr="00B34697">
        <w:t xml:space="preserve">The submission argued that the comparator treatments represented in the SOC studies broadly reflect Australian clinical practice. </w:t>
      </w:r>
      <w:r w:rsidRPr="007135FB">
        <w:rPr>
          <w:iCs/>
        </w:rPr>
        <w:t xml:space="preserve">The SOC studies reported </w:t>
      </w:r>
      <w:r w:rsidRPr="007135FB">
        <w:rPr>
          <w:iCs/>
        </w:rPr>
        <w:lastRenderedPageBreak/>
        <w:t xml:space="preserve">substantial use of immunotherapies and </w:t>
      </w:r>
      <w:r w:rsidRPr="007135FB">
        <w:rPr>
          <w:i/>
        </w:rPr>
        <w:t>EGFR</w:t>
      </w:r>
      <w:r w:rsidRPr="007135FB">
        <w:rPr>
          <w:iCs/>
        </w:rPr>
        <w:t xml:space="preserve"> TKIs. </w:t>
      </w:r>
      <w:r w:rsidR="00D511A4" w:rsidRPr="001E613D">
        <w:rPr>
          <w:iCs/>
        </w:rPr>
        <w:t xml:space="preserve">The evaluation and ESC agreed </w:t>
      </w:r>
      <w:r w:rsidR="00D511A4" w:rsidRPr="00F62E82">
        <w:rPr>
          <w:iCs/>
        </w:rPr>
        <w:t>that</w:t>
      </w:r>
      <w:r w:rsidRPr="00F62E82">
        <w:rPr>
          <w:iCs/>
        </w:rPr>
        <w:t xml:space="preserve"> the use of these therapies is likely to be limited. As discussed </w:t>
      </w:r>
      <w:r w:rsidR="00EA1580" w:rsidRPr="00F62E82">
        <w:rPr>
          <w:iCs/>
        </w:rPr>
        <w:t>(</w:t>
      </w:r>
      <w:r w:rsidR="00CF5377" w:rsidRPr="00F62E82">
        <w:rPr>
          <w:iCs/>
        </w:rPr>
        <w:t>p</w:t>
      </w:r>
      <w:r w:rsidRPr="00F62E82">
        <w:rPr>
          <w:iCs/>
        </w:rPr>
        <w:t xml:space="preserve">aragraphs </w:t>
      </w:r>
      <w:r w:rsidR="001570D2" w:rsidRPr="00F62E82">
        <w:rPr>
          <w:iCs/>
        </w:rPr>
        <w:fldChar w:fldCharType="begin"/>
      </w:r>
      <w:r w:rsidR="001570D2" w:rsidRPr="00F62E82">
        <w:rPr>
          <w:iCs/>
        </w:rPr>
        <w:instrText xml:space="preserve"> REF _Ref113895962 \r \h </w:instrText>
      </w:r>
      <w:r w:rsidR="007135FB" w:rsidRPr="00F62E82">
        <w:rPr>
          <w:iCs/>
          <w:snapToGrid/>
        </w:rPr>
        <w:instrText xml:space="preserve"> \* MERGEFORMAT </w:instrText>
      </w:r>
      <w:r w:rsidR="001570D2" w:rsidRPr="00F62E82">
        <w:rPr>
          <w:iCs/>
        </w:rPr>
      </w:r>
      <w:r w:rsidR="001570D2" w:rsidRPr="00F62E82">
        <w:rPr>
          <w:iCs/>
        </w:rPr>
        <w:fldChar w:fldCharType="separate"/>
      </w:r>
      <w:r w:rsidR="001635D4">
        <w:rPr>
          <w:iCs/>
        </w:rPr>
        <w:t>5.1</w:t>
      </w:r>
      <w:r w:rsidR="001570D2" w:rsidRPr="00F62E82">
        <w:rPr>
          <w:iCs/>
        </w:rPr>
        <w:fldChar w:fldCharType="end"/>
      </w:r>
      <w:r w:rsidRPr="00F62E82">
        <w:rPr>
          <w:iCs/>
          <w:snapToGrid/>
        </w:rPr>
        <w:t xml:space="preserve"> and </w:t>
      </w:r>
      <w:r w:rsidR="001570D2" w:rsidRPr="00F62E82">
        <w:rPr>
          <w:iCs/>
        </w:rPr>
        <w:fldChar w:fldCharType="begin"/>
      </w:r>
      <w:r w:rsidR="001570D2" w:rsidRPr="00F62E82">
        <w:rPr>
          <w:iCs/>
          <w:snapToGrid/>
        </w:rPr>
        <w:instrText xml:space="preserve"> REF _Ref113895977 \r \h </w:instrText>
      </w:r>
      <w:r w:rsidR="007135FB" w:rsidRPr="00F62E82">
        <w:rPr>
          <w:iCs/>
          <w:snapToGrid/>
        </w:rPr>
        <w:instrText xml:space="preserve"> \* MERGEFORMAT </w:instrText>
      </w:r>
      <w:r w:rsidR="001570D2" w:rsidRPr="00F62E82">
        <w:rPr>
          <w:iCs/>
        </w:rPr>
      </w:r>
      <w:r w:rsidR="001570D2" w:rsidRPr="00F62E82">
        <w:rPr>
          <w:iCs/>
        </w:rPr>
        <w:fldChar w:fldCharType="separate"/>
      </w:r>
      <w:r w:rsidR="001635D4">
        <w:rPr>
          <w:iCs/>
          <w:snapToGrid/>
        </w:rPr>
        <w:t>5.2</w:t>
      </w:r>
      <w:r w:rsidR="001570D2" w:rsidRPr="00F62E82">
        <w:rPr>
          <w:iCs/>
        </w:rPr>
        <w:fldChar w:fldCharType="end"/>
      </w:r>
      <w:r w:rsidR="00EA1580" w:rsidRPr="00F62E82">
        <w:rPr>
          <w:iCs/>
        </w:rPr>
        <w:t>)</w:t>
      </w:r>
      <w:r w:rsidRPr="00F62E82">
        <w:rPr>
          <w:iCs/>
          <w:snapToGrid/>
        </w:rPr>
        <w:t>,</w:t>
      </w:r>
      <w:r w:rsidRPr="00F62E82">
        <w:rPr>
          <w:iCs/>
        </w:rPr>
        <w:t xml:space="preserve"> chemotherapy </w:t>
      </w:r>
      <w:r w:rsidRPr="00F62E82">
        <w:rPr>
          <w:iCs/>
          <w:snapToGrid/>
        </w:rPr>
        <w:t>would represent the main comparator for the current submission.</w:t>
      </w:r>
      <w:r w:rsidR="00996818" w:rsidRPr="00F62E82">
        <w:rPr>
          <w:iCs/>
          <w:snapToGrid/>
        </w:rPr>
        <w:t xml:space="preserve"> </w:t>
      </w:r>
      <w:r w:rsidRPr="00F62E82">
        <w:rPr>
          <w:iCs/>
        </w:rPr>
        <w:t>Consequently, the applicability of Studies 5002 and 5008 is unclear</w:t>
      </w:r>
      <w:r w:rsidR="00B92DC0" w:rsidRPr="00F62E82">
        <w:rPr>
          <w:iCs/>
        </w:rPr>
        <w:t xml:space="preserve"> and</w:t>
      </w:r>
      <w:r w:rsidRPr="00F62E82">
        <w:rPr>
          <w:iCs/>
        </w:rPr>
        <w:t xml:space="preserve"> </w:t>
      </w:r>
      <w:r w:rsidRPr="00F62E82">
        <w:rPr>
          <w:rFonts w:cstheme="minorHAnsi"/>
          <w:iCs/>
        </w:rPr>
        <w:t>the costs of EGFR TKIs and immunotherapies are not applicable.</w:t>
      </w:r>
      <w:r w:rsidR="00DE730C" w:rsidRPr="00F62E82">
        <w:rPr>
          <w:rFonts w:cstheme="minorHAnsi"/>
          <w:iCs/>
        </w:rPr>
        <w:t xml:space="preserve"> While the submission adjusted </w:t>
      </w:r>
      <w:r w:rsidR="00DE3F79" w:rsidRPr="00F62E82">
        <w:rPr>
          <w:rFonts w:cstheme="minorHAnsi"/>
        </w:rPr>
        <w:t>the treatment distribution in both</w:t>
      </w:r>
      <w:r w:rsidR="00DE3F79" w:rsidRPr="00CC3C9A">
        <w:rPr>
          <w:rFonts w:cstheme="minorHAnsi"/>
        </w:rPr>
        <w:t xml:space="preserve"> the studies to reflect the clinical practice in Australia</w:t>
      </w:r>
      <w:r w:rsidR="00DE3F79" w:rsidRPr="003200EA">
        <w:rPr>
          <w:rFonts w:cstheme="minorHAnsi"/>
          <w:iCs/>
        </w:rPr>
        <w:t xml:space="preserve">, immunotherapies/EGFR TKIs accounted for about 70% of the included treatments in </w:t>
      </w:r>
      <w:r w:rsidR="00DE3F79" w:rsidRPr="00957154">
        <w:rPr>
          <w:rFonts w:cstheme="minorHAnsi"/>
          <w:iCs/>
        </w:rPr>
        <w:t>both the studies. The evaluation considered treatment distributions (adjusted and unad</w:t>
      </w:r>
      <w:r w:rsidR="00DE3F79" w:rsidRPr="003200EA">
        <w:rPr>
          <w:rFonts w:cstheme="minorHAnsi"/>
          <w:iCs/>
        </w:rPr>
        <w:t>justed) from both the studies are unlikely to reflect Australian clinical practice.</w:t>
      </w:r>
      <w:r w:rsidRPr="00675796">
        <w:rPr>
          <w:rFonts w:cstheme="minorHAnsi"/>
          <w:iCs/>
        </w:rPr>
        <w:t xml:space="preserve"> </w:t>
      </w:r>
      <w:bookmarkEnd w:id="54"/>
      <w:r w:rsidR="000773FB">
        <w:rPr>
          <w:rFonts w:cstheme="minorHAnsi"/>
          <w:iCs/>
        </w:rPr>
        <w:t xml:space="preserve">The evaluation considered </w:t>
      </w:r>
      <w:r w:rsidR="000773FB" w:rsidRPr="000773FB">
        <w:rPr>
          <w:rFonts w:cstheme="minorHAnsi"/>
          <w:iCs/>
        </w:rPr>
        <w:t xml:space="preserve">that </w:t>
      </w:r>
      <w:r w:rsidR="000773FB" w:rsidRPr="000773FB">
        <w:rPr>
          <w:iCs/>
        </w:rPr>
        <w:t xml:space="preserve">limiting the cost of SOC to chemotherapy regimens, which is more likely to be the treatment used in the absence of mobocertinib, may be a reasonable approach. </w:t>
      </w:r>
      <w:r w:rsidR="000773FB" w:rsidRPr="000773FB">
        <w:rPr>
          <w:rFonts w:cstheme="minorHAnsi"/>
          <w:iCs/>
        </w:rPr>
        <w:t>As immunotherapies and targeted therapies are substantially more costly than single agent chemotherapy, applying the costs of these treatments will overestimate the cost of the SOC arm</w:t>
      </w:r>
      <w:r w:rsidR="000773FB">
        <w:rPr>
          <w:rFonts w:cstheme="minorHAnsi"/>
          <w:iCs/>
        </w:rPr>
        <w:t>.</w:t>
      </w:r>
    </w:p>
    <w:p w14:paraId="7DEC3EA0" w14:textId="3A58B5D8" w:rsidR="00194A61" w:rsidRPr="007F0DF8" w:rsidRDefault="00194A61" w:rsidP="00194A61">
      <w:pPr>
        <w:pStyle w:val="3-BodyText"/>
        <w:rPr>
          <w:rFonts w:cstheme="minorHAnsi"/>
          <w:i/>
        </w:rPr>
      </w:pPr>
      <w:r w:rsidRPr="007F0DF8">
        <w:rPr>
          <w:rFonts w:cstheme="minorHAnsi"/>
        </w:rPr>
        <w:t>Independent parametric survival models were fitted to available KM data for mobocertinib and SOC arms for PFS, OS and TTD curves.</w:t>
      </w:r>
      <w:r w:rsidRPr="007F0DF8">
        <w:rPr>
          <w:rFonts w:cstheme="minorHAnsi"/>
          <w:i/>
        </w:rPr>
        <w:t xml:space="preserve"> </w:t>
      </w:r>
      <w:r w:rsidRPr="003200EA">
        <w:rPr>
          <w:rFonts w:cstheme="minorHAnsi"/>
          <w:iCs/>
        </w:rPr>
        <w:t>The selection of parametric functions was not well justified in the submission, and was stated to be assessed on visual fit and clinical validity. The submission stated that goodness-of-fit statistics were not provided as they were not directly comparable across alternative sets of endpoints and/or cohorts. It is unclear how endpoints or cohorts differ for individual KM curves used in the model. Goodness-of-fit statistics are particularly relevant for the mature KM data for the SOC arm in the model.</w:t>
      </w:r>
      <w:r w:rsidRPr="007F0DF8">
        <w:rPr>
          <w:rFonts w:cstheme="minorHAnsi"/>
          <w:i/>
        </w:rPr>
        <w:t xml:space="preserve"> </w:t>
      </w:r>
    </w:p>
    <w:p w14:paraId="6B2B78FB" w14:textId="52D6C1F4" w:rsidR="00194A61" w:rsidRPr="003200EA" w:rsidRDefault="00194A61" w:rsidP="00194A61">
      <w:pPr>
        <w:pStyle w:val="3-BodyText"/>
        <w:rPr>
          <w:rFonts w:cstheme="minorHAnsi"/>
          <w:iCs/>
        </w:rPr>
      </w:pPr>
      <w:r w:rsidRPr="003200EA">
        <w:rPr>
          <w:rFonts w:cstheme="minorHAnsi"/>
          <w:iCs/>
        </w:rPr>
        <w:t xml:space="preserve">Although the approach adopted in the submission for the selection of parametric functions for extrapolation </w:t>
      </w:r>
      <w:r w:rsidR="0037161A">
        <w:rPr>
          <w:rFonts w:cstheme="minorHAnsi"/>
          <w:iCs/>
        </w:rPr>
        <w:t>was</w:t>
      </w:r>
      <w:r w:rsidRPr="003200EA">
        <w:rPr>
          <w:rFonts w:cstheme="minorHAnsi"/>
          <w:iCs/>
        </w:rPr>
        <w:t xml:space="preserve"> both poorly described and poorly justified, the model is not sensitive to the choice of parametric functions used for extrapolation because:</w:t>
      </w:r>
    </w:p>
    <w:p w14:paraId="7DCD34EF" w14:textId="77777777" w:rsidR="00194A61" w:rsidRPr="003200EA" w:rsidRDefault="00194A61" w:rsidP="008D68A8">
      <w:pPr>
        <w:pStyle w:val="3-BodyText"/>
        <w:numPr>
          <w:ilvl w:val="0"/>
          <w:numId w:val="9"/>
        </w:numPr>
        <w:rPr>
          <w:rFonts w:cstheme="minorHAnsi"/>
          <w:iCs/>
        </w:rPr>
      </w:pPr>
      <w:r w:rsidRPr="003200EA">
        <w:rPr>
          <w:rFonts w:cstheme="minorHAnsi"/>
          <w:iCs/>
        </w:rPr>
        <w:t>the observed data are reasonably mature; and,</w:t>
      </w:r>
    </w:p>
    <w:p w14:paraId="4474A97D" w14:textId="77777777" w:rsidR="00194A61" w:rsidRPr="003200EA" w:rsidRDefault="00194A61" w:rsidP="008D68A8">
      <w:pPr>
        <w:pStyle w:val="3-BodyText"/>
        <w:numPr>
          <w:ilvl w:val="0"/>
          <w:numId w:val="9"/>
        </w:numPr>
        <w:rPr>
          <w:iCs/>
        </w:rPr>
      </w:pPr>
      <w:r w:rsidRPr="003200EA">
        <w:rPr>
          <w:iCs/>
        </w:rPr>
        <w:t>the model uses a convergence function from 36 months, which partly replaces the parametric function for PFS and entirely replaces the parametric function for OS and for TTD.</w:t>
      </w:r>
    </w:p>
    <w:p w14:paraId="4A96F335" w14:textId="77777777" w:rsidR="00194A61" w:rsidRPr="002A2759" w:rsidRDefault="00194A61" w:rsidP="00194A61">
      <w:pPr>
        <w:pStyle w:val="3-BodyText"/>
        <w:rPr>
          <w:rFonts w:cstheme="minorHAnsi"/>
        </w:rPr>
      </w:pPr>
      <w:r>
        <w:t xml:space="preserve">In the base case analysis, the submission used the observed (weighted) KM data up until 36 months (39 cycles) in both the arms for OS and PFS. </w:t>
      </w:r>
      <w:r w:rsidRPr="003200EA">
        <w:rPr>
          <w:iCs/>
        </w:rPr>
        <w:t xml:space="preserve">For PFS, as the truncation point (39 cycles) is beyond the available observed data, the operational point of truncation in the model is at the end of the observed data. This is 34 cycles (approximately 31 months) in the mobocertinib arm, and 21 cycles (approximately 19 months) in the SOC arm. There are a large number of cycles towards the end of the KM curves in which the estimated PFS remains unchanged in both arms. Therefore, using all of the observed data (as the model has done) may not be reliable. Using an earlier truncation point of 24 cycles for mobocertinib results in a loss of approximately 3.7% progression free life years (undiscounted). </w:t>
      </w:r>
      <w:r w:rsidRPr="003200EA">
        <w:rPr>
          <w:rFonts w:cstheme="minorHAnsi"/>
          <w:iCs/>
        </w:rPr>
        <w:t>In the SOC arm, this has no impact on the model as the proportion remaining in the progression-free state is close to zero from approximately 10 months onward.</w:t>
      </w:r>
      <w:r w:rsidRPr="003200EA">
        <w:rPr>
          <w:iCs/>
        </w:rPr>
        <w:t xml:space="preserve"> </w:t>
      </w:r>
    </w:p>
    <w:p w14:paraId="1BFD0715" w14:textId="39811C3F" w:rsidR="00194A61" w:rsidRPr="003200EA" w:rsidRDefault="00194A61" w:rsidP="00194A61">
      <w:pPr>
        <w:pStyle w:val="3-BodyText"/>
        <w:rPr>
          <w:iCs/>
        </w:rPr>
      </w:pPr>
      <w:r w:rsidRPr="003200EA">
        <w:rPr>
          <w:iCs/>
        </w:rPr>
        <w:lastRenderedPageBreak/>
        <w:t>A comparison of the trial-based (IPTW</w:t>
      </w:r>
      <w:r w:rsidR="007B565C">
        <w:rPr>
          <w:iCs/>
        </w:rPr>
        <w:t>-adjusted</w:t>
      </w:r>
      <w:r w:rsidRPr="003200EA">
        <w:rPr>
          <w:iCs/>
        </w:rPr>
        <w:t xml:space="preserve"> for the SOC arm) and the modelled survival curves (</w:t>
      </w:r>
      <w:r w:rsidRPr="003200EA">
        <w:rPr>
          <w:iCs/>
        </w:rPr>
        <w:fldChar w:fldCharType="begin"/>
      </w:r>
      <w:r w:rsidRPr="003200EA">
        <w:rPr>
          <w:iCs/>
        </w:rPr>
        <w:instrText xml:space="preserve"> REF _Ref112234793 \h </w:instrText>
      </w:r>
      <w:r w:rsidR="003200EA">
        <w:rPr>
          <w:iCs/>
        </w:rPr>
        <w:instrText xml:space="preserve"> \* MERGEFORMAT </w:instrText>
      </w:r>
      <w:r w:rsidRPr="003200EA">
        <w:rPr>
          <w:iCs/>
        </w:rPr>
      </w:r>
      <w:r w:rsidRPr="003200EA">
        <w:rPr>
          <w:iCs/>
        </w:rPr>
        <w:fldChar w:fldCharType="separate"/>
      </w:r>
      <w:r w:rsidR="001635D4" w:rsidRPr="001635D4">
        <w:rPr>
          <w:iCs/>
        </w:rPr>
        <w:t xml:space="preserve">Figure </w:t>
      </w:r>
      <w:r w:rsidR="001635D4" w:rsidRPr="001635D4">
        <w:rPr>
          <w:iCs/>
          <w:noProof/>
        </w:rPr>
        <w:t>6</w:t>
      </w:r>
      <w:r w:rsidRPr="003200EA">
        <w:rPr>
          <w:iCs/>
        </w:rPr>
        <w:fldChar w:fldCharType="end"/>
      </w:r>
      <w:r w:rsidRPr="003200EA">
        <w:rPr>
          <w:iCs/>
        </w:rPr>
        <w:t>) indicated that the most of the observed trial data have been used to inform the modelled curves, and extrapolation and point of truncation have only a minor impact on the survival outcomes.</w:t>
      </w:r>
    </w:p>
    <w:p w14:paraId="55056767" w14:textId="1CFD418F" w:rsidR="00194A61" w:rsidRDefault="00194A61" w:rsidP="007B565C">
      <w:pPr>
        <w:pStyle w:val="Caption"/>
        <w:rPr>
          <w:i/>
        </w:rPr>
      </w:pPr>
      <w:bookmarkStart w:id="55" w:name="_Ref112234793"/>
      <w:bookmarkStart w:id="56" w:name="_Ref113037455"/>
      <w:r>
        <w:t xml:space="preserve">Figure </w:t>
      </w:r>
      <w:r w:rsidR="001635D4">
        <w:fldChar w:fldCharType="begin"/>
      </w:r>
      <w:r w:rsidR="001635D4">
        <w:instrText xml:space="preserve"> SEQ Figure \* ARABIC </w:instrText>
      </w:r>
      <w:r w:rsidR="001635D4">
        <w:fldChar w:fldCharType="separate"/>
      </w:r>
      <w:r w:rsidR="001635D4">
        <w:rPr>
          <w:noProof/>
        </w:rPr>
        <w:t>6</w:t>
      </w:r>
      <w:r w:rsidR="001635D4">
        <w:rPr>
          <w:noProof/>
        </w:rPr>
        <w:fldChar w:fldCharType="end"/>
      </w:r>
      <w:bookmarkEnd w:id="55"/>
      <w:r>
        <w:t xml:space="preserve">: </w:t>
      </w:r>
      <w:r w:rsidRPr="00D40DBA">
        <w:rPr>
          <w:rStyle w:val="CommentReference"/>
          <w:b/>
          <w:szCs w:val="24"/>
        </w:rPr>
        <w:t xml:space="preserve">Comparison of modelled and trial based </w:t>
      </w:r>
      <w:r>
        <w:rPr>
          <w:rStyle w:val="CommentReference"/>
          <w:b/>
          <w:szCs w:val="24"/>
        </w:rPr>
        <w:t>PFS and OS</w:t>
      </w:r>
      <w:r w:rsidRPr="00D40DBA">
        <w:rPr>
          <w:rStyle w:val="CommentReference"/>
          <w:b/>
          <w:szCs w:val="24"/>
        </w:rPr>
        <w:t xml:space="preserve"> estimates</w:t>
      </w:r>
      <w:bookmarkEnd w:id="56"/>
    </w:p>
    <w:p w14:paraId="4B5CABCA" w14:textId="77777777" w:rsidR="00194A61" w:rsidRDefault="00194A61" w:rsidP="007B565C">
      <w:pPr>
        <w:pStyle w:val="3-BodyText"/>
        <w:keepNext/>
        <w:keepLines/>
        <w:numPr>
          <w:ilvl w:val="0"/>
          <w:numId w:val="0"/>
        </w:numPr>
        <w:rPr>
          <w:i/>
        </w:rPr>
      </w:pPr>
      <w:r>
        <w:rPr>
          <w:i/>
          <w:noProof/>
        </w:rPr>
        <w:drawing>
          <wp:inline distT="0" distB="0" distL="0" distR="0" wp14:anchorId="6C97A262" wp14:editId="2DEF09A5">
            <wp:extent cx="5738884" cy="3458878"/>
            <wp:effectExtent l="0" t="0" r="0" b="8255"/>
            <wp:docPr id="5" name="Picture 5" descr="Figure 6: Comparison of modelled and trial based PFS and OS estim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6: Comparison of modelled and trial based PFS and OS estimat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0583" cy="3465929"/>
                    </a:xfrm>
                    <a:prstGeom prst="rect">
                      <a:avLst/>
                    </a:prstGeom>
                    <a:noFill/>
                  </pic:spPr>
                </pic:pic>
              </a:graphicData>
            </a:graphic>
          </wp:inline>
        </w:drawing>
      </w:r>
    </w:p>
    <w:p w14:paraId="3D374843" w14:textId="77777777" w:rsidR="00194A61" w:rsidRDefault="00194A61" w:rsidP="007B565C">
      <w:pPr>
        <w:pStyle w:val="Tablenotes1"/>
        <w:keepNext/>
        <w:keepLines/>
      </w:pPr>
      <w:r w:rsidRPr="000B00C1">
        <w:t xml:space="preserve">Source: </w:t>
      </w:r>
      <w:r w:rsidRPr="004F7CEF">
        <w:rPr>
          <w:iCs/>
        </w:rPr>
        <w:t>Figure constructed during the evaluation, based on</w:t>
      </w:r>
      <w:r>
        <w:rPr>
          <w:i/>
        </w:rPr>
        <w:t xml:space="preserve"> ‘</w:t>
      </w:r>
      <w:r w:rsidRPr="00F76AA0">
        <w:t>Section 3 CE Model Workbook – Takeda Australia – Mobocertinib</w:t>
      </w:r>
      <w:r>
        <w:t>’ included in the submission.</w:t>
      </w:r>
    </w:p>
    <w:p w14:paraId="0CDC110D" w14:textId="77777777" w:rsidR="00194A61" w:rsidRPr="00555AEB" w:rsidRDefault="00194A61" w:rsidP="007B565C">
      <w:pPr>
        <w:pStyle w:val="Tablenotes1"/>
        <w:keepNext/>
        <w:keepLines/>
      </w:pPr>
      <w:r>
        <w:t>Mobo = mobocertinib; OS = overall survival; PFS = progression free survival</w:t>
      </w:r>
    </w:p>
    <w:p w14:paraId="7186E9F9" w14:textId="61DFD3F6" w:rsidR="00194A61" w:rsidRPr="004C63B2" w:rsidRDefault="00194A61" w:rsidP="00194A61">
      <w:pPr>
        <w:pStyle w:val="3-BodyText"/>
        <w:rPr>
          <w:i/>
        </w:rPr>
      </w:pPr>
      <w:r w:rsidRPr="00D21529">
        <w:t>The economic model uses a mechanism to converge the PFS, OS and TTD curves of the mobocertinib arm with the SOC arm. The base case starts the convergence after 39 cycles (3 years), and reduces PFS, OS and TTD using a linear function to meet the estimate for the SOC arm at 5 years.</w:t>
      </w:r>
      <w:r>
        <w:rPr>
          <w:i/>
        </w:rPr>
        <w:t xml:space="preserve"> </w:t>
      </w:r>
      <w:r w:rsidRPr="003200EA">
        <w:rPr>
          <w:iCs/>
        </w:rPr>
        <w:t>In the absence of the convergence mechanism, progression-free life years are 1.4% lower than with the convergence mechanism in place. The impact of converging the mobocertinib overall survival curve with that of SOC at 5 years results in &lt;0.01% remaining alive at 5 years. In the absence of the convergence, almost 7% of patients in the mobocertinib arm remain alive at 5 years. The decision to converge the overall survival curves is therefore a conservative one, and may underestimate the survival in the mobocertinib arm (</w:t>
      </w:r>
      <w:r w:rsidRPr="003200EA">
        <w:rPr>
          <w:iCs/>
        </w:rPr>
        <w:fldChar w:fldCharType="begin"/>
      </w:r>
      <w:r w:rsidRPr="003200EA">
        <w:rPr>
          <w:iCs/>
        </w:rPr>
        <w:instrText xml:space="preserve"> REF _Ref112765263 \h  \* MERGEFORMAT </w:instrText>
      </w:r>
      <w:r w:rsidRPr="003200EA">
        <w:rPr>
          <w:iCs/>
        </w:rPr>
      </w:r>
      <w:r w:rsidRPr="003200EA">
        <w:rPr>
          <w:iCs/>
        </w:rPr>
        <w:fldChar w:fldCharType="separate"/>
      </w:r>
      <w:r w:rsidR="001635D4" w:rsidRPr="001635D4">
        <w:rPr>
          <w:iCs/>
        </w:rPr>
        <w:t>Figure 7</w:t>
      </w:r>
      <w:r w:rsidRPr="003200EA">
        <w:rPr>
          <w:iCs/>
        </w:rPr>
        <w:fldChar w:fldCharType="end"/>
      </w:r>
      <w:r w:rsidRPr="003200EA">
        <w:rPr>
          <w:iCs/>
        </w:rPr>
        <w:t>).</w:t>
      </w:r>
    </w:p>
    <w:p w14:paraId="5FCAF5E2" w14:textId="3CADB179" w:rsidR="00194A61" w:rsidRPr="00F24867" w:rsidRDefault="00194A61" w:rsidP="00194A61">
      <w:pPr>
        <w:pStyle w:val="Caption"/>
        <w:rPr>
          <w:rStyle w:val="CommentReference"/>
          <w:b/>
          <w:szCs w:val="24"/>
        </w:rPr>
      </w:pPr>
      <w:bookmarkStart w:id="57" w:name="_Ref112765263"/>
      <w:r w:rsidRPr="00F24867">
        <w:rPr>
          <w:rStyle w:val="CommentReference"/>
          <w:b/>
          <w:szCs w:val="24"/>
        </w:rPr>
        <w:lastRenderedPageBreak/>
        <w:t xml:space="preserve">Figure </w:t>
      </w:r>
      <w:r w:rsidRPr="00F24867">
        <w:rPr>
          <w:rStyle w:val="CommentReference"/>
          <w:b/>
          <w:szCs w:val="24"/>
        </w:rPr>
        <w:fldChar w:fldCharType="begin"/>
      </w:r>
      <w:r w:rsidRPr="00F24867">
        <w:rPr>
          <w:rStyle w:val="CommentReference"/>
          <w:b/>
          <w:szCs w:val="24"/>
        </w:rPr>
        <w:instrText xml:space="preserve"> SEQ Figure \* ARABIC </w:instrText>
      </w:r>
      <w:r w:rsidRPr="00F24867">
        <w:rPr>
          <w:rStyle w:val="CommentReference"/>
          <w:b/>
          <w:szCs w:val="24"/>
        </w:rPr>
        <w:fldChar w:fldCharType="separate"/>
      </w:r>
      <w:r w:rsidR="001635D4">
        <w:rPr>
          <w:rStyle w:val="CommentReference"/>
          <w:b/>
          <w:noProof/>
          <w:szCs w:val="24"/>
        </w:rPr>
        <w:t>7</w:t>
      </w:r>
      <w:r w:rsidRPr="00F24867">
        <w:rPr>
          <w:rStyle w:val="CommentReference"/>
          <w:b/>
          <w:szCs w:val="24"/>
        </w:rPr>
        <w:fldChar w:fldCharType="end"/>
      </w:r>
      <w:bookmarkEnd w:id="57"/>
      <w:r w:rsidRPr="00F24867">
        <w:rPr>
          <w:rStyle w:val="CommentReference"/>
          <w:b/>
          <w:szCs w:val="24"/>
        </w:rPr>
        <w:t xml:space="preserve">: Comparison of </w:t>
      </w:r>
      <w:r>
        <w:rPr>
          <w:rStyle w:val="CommentReference"/>
          <w:b/>
          <w:szCs w:val="24"/>
        </w:rPr>
        <w:t xml:space="preserve">modelled </w:t>
      </w:r>
      <w:r w:rsidRPr="00F24867">
        <w:rPr>
          <w:rStyle w:val="CommentReference"/>
          <w:b/>
          <w:szCs w:val="24"/>
        </w:rPr>
        <w:t>overall survival with and without convergence</w:t>
      </w:r>
    </w:p>
    <w:p w14:paraId="0847C5D5" w14:textId="77777777" w:rsidR="00194A61" w:rsidRDefault="00194A61" w:rsidP="00194A61">
      <w:pPr>
        <w:keepNext/>
        <w:keepLines/>
        <w:rPr>
          <w:i/>
        </w:rPr>
      </w:pPr>
      <w:r w:rsidRPr="00495949">
        <w:rPr>
          <w:rFonts w:asciiTheme="minorHAnsi" w:hAnsiTheme="minorHAnsi" w:cstheme="minorHAnsi"/>
          <w:i/>
          <w:noProof/>
        </w:rPr>
        <w:drawing>
          <wp:inline distT="0" distB="0" distL="0" distR="0" wp14:anchorId="212AA029" wp14:editId="43D4974B">
            <wp:extent cx="5724525" cy="3739539"/>
            <wp:effectExtent l="0" t="0" r="0" b="0"/>
            <wp:docPr id="1959018434" name="Picture 1959018434" descr="Figure 7: Comparison of modelled overall survival with and without conver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18434" name="Picture 1959018434" descr="Figure 7: Comparison of modelled overall survival with and without converg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5653" cy="3753341"/>
                    </a:xfrm>
                    <a:prstGeom prst="rect">
                      <a:avLst/>
                    </a:prstGeom>
                    <a:noFill/>
                  </pic:spPr>
                </pic:pic>
              </a:graphicData>
            </a:graphic>
          </wp:inline>
        </w:drawing>
      </w:r>
    </w:p>
    <w:p w14:paraId="447D30FB" w14:textId="77777777" w:rsidR="00194A61" w:rsidRPr="004F7CEF" w:rsidRDefault="00194A61" w:rsidP="00194A61">
      <w:pPr>
        <w:pStyle w:val="FooterTableFigure"/>
        <w:keepNext/>
        <w:keepLines/>
        <w:rPr>
          <w:iCs/>
        </w:rPr>
      </w:pPr>
      <w:r w:rsidRPr="004F7CEF">
        <w:rPr>
          <w:iCs/>
        </w:rPr>
        <w:t>Source: Constructed during the evaluation based on the ‘Section 3 CE Model Workbook – Takeda Australia – Mobocertinib’</w:t>
      </w:r>
    </w:p>
    <w:p w14:paraId="11CCD44B" w14:textId="61783595" w:rsidR="00194A61" w:rsidRDefault="00194A61" w:rsidP="00194A61">
      <w:pPr>
        <w:pStyle w:val="FooterTableFigure"/>
        <w:keepNext/>
        <w:keepLines/>
      </w:pPr>
      <w:r>
        <w:t>KM = Kaplan-Meier; SOC = standard of care</w:t>
      </w:r>
    </w:p>
    <w:p w14:paraId="5BAC6FA4" w14:textId="77777777" w:rsidR="00363606" w:rsidRDefault="00363606" w:rsidP="007A2A2F">
      <w:pPr>
        <w:pStyle w:val="FooterTableFigure"/>
        <w:keepNext/>
        <w:keepLines/>
        <w:spacing w:after="0"/>
      </w:pPr>
    </w:p>
    <w:p w14:paraId="79F9032E" w14:textId="77777777" w:rsidR="00194A61" w:rsidRDefault="00194A61" w:rsidP="00194A61">
      <w:pPr>
        <w:pStyle w:val="3-BodyText"/>
        <w:rPr>
          <w:i/>
        </w:rPr>
      </w:pPr>
      <w:r w:rsidRPr="00D21529">
        <w:t>Utility values used in the model base case were sourced from EQ-5D-5L questionnaires completed in Study 101. The</w:t>
      </w:r>
      <w:r>
        <w:t xml:space="preserve"> same utilities were applied to the mobocertinib and the SOC arms of the model. </w:t>
      </w:r>
      <w:r w:rsidRPr="003200EA">
        <w:rPr>
          <w:iCs/>
        </w:rPr>
        <w:t>The utility analyses conducted to inform the economic model were restricted to patients from Part 3 (EXCLAIM cohort) of Study 101 who had provided a utility score at baseline (N=81). No health related-quality of life (HRQoL) data were collected in Part 1 and Part 2 of the study. Therefore, utility estimates were derived from 71% of the study population. The submission has not discussed whether this is likely to impact the estimates of utilities. The submission did not provide demographic and treatment characteristics of patients excluded from the analyses.</w:t>
      </w:r>
    </w:p>
    <w:p w14:paraId="60FBF5EB" w14:textId="77777777" w:rsidR="00194A61" w:rsidRPr="003200EA" w:rsidRDefault="00194A61" w:rsidP="00194A61">
      <w:pPr>
        <w:pStyle w:val="3-BodyText"/>
        <w:rPr>
          <w:iCs/>
        </w:rPr>
      </w:pPr>
      <w:r w:rsidRPr="003200EA">
        <w:rPr>
          <w:iCs/>
        </w:rPr>
        <w:t>It is unclear from the submission if Australian weights were used to generate utilities from the EQ-5D estimates. While the main body of the submission mentions the application of a set of weights developed for the US, the economics workbook provided with the submission states that EQ-5D-5L data were mapped to Australian utility index scores.</w:t>
      </w:r>
    </w:p>
    <w:p w14:paraId="3D161C1A" w14:textId="77777777" w:rsidR="00194A61" w:rsidRPr="0018118E" w:rsidRDefault="00194A61" w:rsidP="00194A61">
      <w:pPr>
        <w:pStyle w:val="3-BodyText"/>
        <w:rPr>
          <w:i/>
        </w:rPr>
      </w:pPr>
      <w:r w:rsidRPr="00FC20C9">
        <w:t>A mean per cycle utility decrement of 0.0370, derived from the statistical analysis of HRQoL data from Study 101, was used as the average decrement per Grade ≥3 adverse event. The estimate was then applied to the incidence of Grade</w:t>
      </w:r>
      <w:r>
        <w:t xml:space="preserve"> </w:t>
      </w:r>
      <w:r w:rsidRPr="00FC20C9">
        <w:t>≥3 AEs each cycle.</w:t>
      </w:r>
      <w:r w:rsidRPr="0018118E">
        <w:rPr>
          <w:i/>
        </w:rPr>
        <w:t xml:space="preserve"> </w:t>
      </w:r>
      <w:r w:rsidRPr="003200EA">
        <w:rPr>
          <w:iCs/>
        </w:rPr>
        <w:t xml:space="preserve">The submission did not report the compliance rate of responders answering EQ-5D in the trial. If the compliance rate for EQ-5D was low in the study, utility values used in the </w:t>
      </w:r>
      <w:r w:rsidRPr="003200EA">
        <w:rPr>
          <w:iCs/>
        </w:rPr>
        <w:lastRenderedPageBreak/>
        <w:t>study may have been biased. If this reason for non-compliance is AEs, then the adjustment made to the health state utility values may not be reasonable.</w:t>
      </w:r>
    </w:p>
    <w:p w14:paraId="1440E239" w14:textId="77777777" w:rsidR="00194A61" w:rsidRDefault="00194A61" w:rsidP="00194A61">
      <w:pPr>
        <w:pStyle w:val="3-BodyText"/>
      </w:pPr>
      <w:r w:rsidRPr="003824E3">
        <w:t xml:space="preserve">The submission modelled the SOC treatment costs in the base case based on the </w:t>
      </w:r>
      <w:r>
        <w:t xml:space="preserve">treatments received in the included </w:t>
      </w:r>
      <w:r w:rsidRPr="003824E3">
        <w:t xml:space="preserve">retrospective cohort studies (Study 5008 in base case). Two minor adjustments were made to the retrospective cohort based treatment distributions. First, treatment regimens not used in Australian clinical practice were removed and </w:t>
      </w:r>
      <w:r>
        <w:t xml:space="preserve">the </w:t>
      </w:r>
      <w:r w:rsidRPr="003824E3">
        <w:t>remaining treatments were weighted to ensure the total equals 100%. The submission identified the treatment regimens that are not in use in Australian clinical practice based on the</w:t>
      </w:r>
      <w:r>
        <w:t>ir inclusion on</w:t>
      </w:r>
      <w:r w:rsidRPr="003824E3">
        <w:t xml:space="preserve"> eviQ. Second, </w:t>
      </w:r>
      <w:r>
        <w:t xml:space="preserve">the </w:t>
      </w:r>
      <w:r w:rsidRPr="003824E3">
        <w:t xml:space="preserve">distribution of </w:t>
      </w:r>
      <w:r w:rsidRPr="00F418C6">
        <w:rPr>
          <w:i/>
        </w:rPr>
        <w:t>EGFR</w:t>
      </w:r>
      <w:r w:rsidRPr="003824E3">
        <w:t xml:space="preserve"> TKIs was adjusted based on PBS utilisation data of currently available </w:t>
      </w:r>
      <w:r w:rsidRPr="00F418C6">
        <w:rPr>
          <w:i/>
        </w:rPr>
        <w:t>EGFR</w:t>
      </w:r>
      <w:r w:rsidRPr="003824E3">
        <w:t xml:space="preserve"> TKIs for the year 2020/21.</w:t>
      </w:r>
    </w:p>
    <w:p w14:paraId="03B1216D" w14:textId="095EF5DB" w:rsidR="00194A61" w:rsidRPr="003824E3" w:rsidRDefault="00194A61" w:rsidP="00194A61">
      <w:pPr>
        <w:pStyle w:val="3-BodyText"/>
      </w:pPr>
      <w:r w:rsidRPr="00F26EC0">
        <w:t xml:space="preserve">A summary of the key drivers of the model is </w:t>
      </w:r>
      <w:r>
        <w:t>given</w:t>
      </w:r>
      <w:r w:rsidRPr="00F26EC0">
        <w:t xml:space="preserve"> </w:t>
      </w:r>
      <w:r w:rsidRPr="000A2036">
        <w:t>in</w:t>
      </w:r>
      <w:r>
        <w:t xml:space="preserve"> </w:t>
      </w:r>
      <w:r>
        <w:fldChar w:fldCharType="begin"/>
      </w:r>
      <w:r>
        <w:instrText xml:space="preserve"> REF _Ref104805122 \h </w:instrText>
      </w:r>
      <w:r>
        <w:fldChar w:fldCharType="separate"/>
      </w:r>
      <w:r w:rsidR="001635D4">
        <w:t xml:space="preserve">Table </w:t>
      </w:r>
      <w:r w:rsidR="001635D4">
        <w:rPr>
          <w:noProof/>
        </w:rPr>
        <w:t>12</w:t>
      </w:r>
      <w:r>
        <w:fldChar w:fldCharType="end"/>
      </w:r>
      <w:r>
        <w:t>.</w:t>
      </w:r>
    </w:p>
    <w:p w14:paraId="3D5BF37E" w14:textId="3637DCB8" w:rsidR="00194A61" w:rsidRPr="00BB00B3" w:rsidRDefault="00194A61" w:rsidP="00194A61">
      <w:pPr>
        <w:pStyle w:val="Caption"/>
        <w:keepNext w:val="0"/>
        <w:keepLines w:val="0"/>
        <w:jc w:val="left"/>
        <w:rPr>
          <w:rStyle w:val="CommentReference"/>
          <w:b/>
          <w:szCs w:val="24"/>
        </w:rPr>
      </w:pPr>
      <w:bookmarkStart w:id="58" w:name="_Ref104805122"/>
      <w:r>
        <w:t xml:space="preserve">Table </w:t>
      </w:r>
      <w:r w:rsidR="001635D4">
        <w:fldChar w:fldCharType="begin"/>
      </w:r>
      <w:r w:rsidR="001635D4">
        <w:instrText xml:space="preserve"> SEQ Table \* ARABIC </w:instrText>
      </w:r>
      <w:r w:rsidR="001635D4">
        <w:fldChar w:fldCharType="separate"/>
      </w:r>
      <w:r w:rsidR="001635D4">
        <w:rPr>
          <w:noProof/>
        </w:rPr>
        <w:t>12</w:t>
      </w:r>
      <w:r w:rsidR="001635D4">
        <w:rPr>
          <w:noProof/>
        </w:rPr>
        <w:fldChar w:fldCharType="end"/>
      </w:r>
      <w:bookmarkEnd w:id="58"/>
      <w:r>
        <w:t>:</w:t>
      </w:r>
      <w:r w:rsidRPr="00BB00B3">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4110"/>
        <w:gridCol w:w="3068"/>
      </w:tblGrid>
      <w:tr w:rsidR="00194A61" w:rsidRPr="003D1DE4" w14:paraId="10DCB7CD" w14:textId="77777777" w:rsidTr="00AC6F83">
        <w:trPr>
          <w:tblHeader/>
        </w:trPr>
        <w:tc>
          <w:tcPr>
            <w:tcW w:w="1020" w:type="pct"/>
            <w:shd w:val="clear" w:color="auto" w:fill="auto"/>
            <w:vAlign w:val="center"/>
          </w:tcPr>
          <w:p w14:paraId="0B98F8A7" w14:textId="77777777" w:rsidR="00194A61" w:rsidRPr="003D1DE4" w:rsidRDefault="00194A61" w:rsidP="00AC6F83">
            <w:pPr>
              <w:pStyle w:val="In-tableHeading"/>
              <w:keepNext w:val="0"/>
              <w:jc w:val="center"/>
            </w:pPr>
            <w:r w:rsidRPr="003D1DE4">
              <w:t>Description</w:t>
            </w:r>
          </w:p>
        </w:tc>
        <w:tc>
          <w:tcPr>
            <w:tcW w:w="2279" w:type="pct"/>
            <w:shd w:val="clear" w:color="auto" w:fill="auto"/>
            <w:vAlign w:val="center"/>
          </w:tcPr>
          <w:p w14:paraId="0687C3E9" w14:textId="77777777" w:rsidR="00194A61" w:rsidRPr="003D1DE4" w:rsidRDefault="00194A61" w:rsidP="00AC6F83">
            <w:pPr>
              <w:pStyle w:val="In-tableHeading"/>
              <w:keepNext w:val="0"/>
              <w:jc w:val="center"/>
            </w:pPr>
            <w:r w:rsidRPr="003D1DE4">
              <w:t>Method/Value</w:t>
            </w:r>
          </w:p>
        </w:tc>
        <w:tc>
          <w:tcPr>
            <w:tcW w:w="1701" w:type="pct"/>
            <w:shd w:val="clear" w:color="auto" w:fill="auto"/>
            <w:vAlign w:val="center"/>
          </w:tcPr>
          <w:p w14:paraId="21737FB0" w14:textId="77777777" w:rsidR="00194A61" w:rsidRDefault="00194A61" w:rsidP="00AC6F83">
            <w:pPr>
              <w:pStyle w:val="In-tableHeading"/>
              <w:keepNext w:val="0"/>
              <w:jc w:val="center"/>
            </w:pPr>
            <w:r w:rsidRPr="003D1DE4">
              <w:t>Impact</w:t>
            </w:r>
          </w:p>
          <w:p w14:paraId="66F645B2" w14:textId="0125371E" w:rsidR="00194A61" w:rsidRPr="003D1DE4" w:rsidRDefault="00194A61" w:rsidP="00AC6F83">
            <w:pPr>
              <w:pStyle w:val="In-tableHeading"/>
              <w:keepNext w:val="0"/>
              <w:jc w:val="center"/>
            </w:pPr>
            <w:r w:rsidRPr="00354F64">
              <w:rPr>
                <w:rFonts w:cs="Arial"/>
                <w:szCs w:val="20"/>
              </w:rPr>
              <w:t>Base case: $</w:t>
            </w:r>
            <w:r w:rsidR="001D6D9F" w:rsidRPr="001D6D9F">
              <w:rPr>
                <w:rFonts w:cs="Arial"/>
                <w:color w:val="000000"/>
                <w:spacing w:val="95"/>
                <w:szCs w:val="20"/>
                <w:shd w:val="solid" w:color="000000" w:fill="000000"/>
                <w:fitText w:val="180" w:id="-1304677631"/>
                <w14:textFill>
                  <w14:solidFill>
                    <w14:srgbClr w14:val="000000">
                      <w14:alpha w14:val="100000"/>
                    </w14:srgbClr>
                  </w14:solidFill>
                </w14:textFill>
              </w:rPr>
              <w:t>|</w:t>
            </w:r>
            <w:r w:rsidR="001D6D9F" w:rsidRPr="001D6D9F">
              <w:rPr>
                <w:rFonts w:cs="Arial"/>
                <w:color w:val="000000"/>
                <w:szCs w:val="20"/>
                <w:shd w:val="solid" w:color="000000" w:fill="000000"/>
                <w:fitText w:val="180" w:id="-1304677631"/>
                <w14:textFill>
                  <w14:solidFill>
                    <w14:srgbClr w14:val="000000">
                      <w14:alpha w14:val="100000"/>
                    </w14:srgbClr>
                  </w14:solidFill>
                </w14:textFill>
              </w:rPr>
              <w:t>|</w:t>
            </w:r>
            <w:r w:rsidR="00C05FAC">
              <w:rPr>
                <w:rFonts w:cs="Arial"/>
                <w:szCs w:val="20"/>
                <w:vertAlign w:val="superscript"/>
              </w:rPr>
              <w:t>1</w:t>
            </w:r>
            <w:r w:rsidRPr="00354F64">
              <w:rPr>
                <w:rFonts w:cs="Arial"/>
                <w:szCs w:val="20"/>
              </w:rPr>
              <w:t>/</w:t>
            </w:r>
            <w:r w:rsidR="00D958CD">
              <w:rPr>
                <w:rFonts w:cs="Arial"/>
                <w:szCs w:val="20"/>
              </w:rPr>
              <w:t xml:space="preserve"> </w:t>
            </w:r>
            <w:r w:rsidRPr="00354F64">
              <w:rPr>
                <w:rFonts w:cs="Arial"/>
                <w:szCs w:val="20"/>
              </w:rPr>
              <w:t>QALY gained</w:t>
            </w:r>
          </w:p>
        </w:tc>
      </w:tr>
      <w:tr w:rsidR="00194A61" w:rsidRPr="00E2771E" w14:paraId="4670E628" w14:textId="77777777" w:rsidTr="00AC6F83">
        <w:tc>
          <w:tcPr>
            <w:tcW w:w="1020" w:type="pct"/>
            <w:shd w:val="clear" w:color="auto" w:fill="auto"/>
            <w:vAlign w:val="center"/>
          </w:tcPr>
          <w:p w14:paraId="7E83E9CB" w14:textId="77777777" w:rsidR="00194A61" w:rsidRPr="00E2771E" w:rsidRDefault="00194A61" w:rsidP="00AC6F83">
            <w:pPr>
              <w:pStyle w:val="TableText0"/>
              <w:keepNext w:val="0"/>
              <w:rPr>
                <w:lang w:val="en-US"/>
              </w:rPr>
            </w:pPr>
            <w:r>
              <w:rPr>
                <w:lang w:val="en-US"/>
              </w:rPr>
              <w:t>Choice of comparator treatment</w:t>
            </w:r>
          </w:p>
        </w:tc>
        <w:tc>
          <w:tcPr>
            <w:tcW w:w="2279" w:type="pct"/>
            <w:shd w:val="clear" w:color="auto" w:fill="auto"/>
            <w:vAlign w:val="center"/>
          </w:tcPr>
          <w:p w14:paraId="25AD0509" w14:textId="77777777" w:rsidR="00194A61" w:rsidRPr="00CD55C3" w:rsidRDefault="00194A61" w:rsidP="00AC6F83">
            <w:pPr>
              <w:pStyle w:val="TableText0"/>
              <w:keepNext w:val="0"/>
              <w:rPr>
                <w:iCs/>
                <w:lang w:val="en-US"/>
              </w:rPr>
            </w:pPr>
            <w:r w:rsidRPr="00CD55C3">
              <w:rPr>
                <w:iCs/>
                <w:lang w:val="en-US"/>
              </w:rPr>
              <w:t>Basket of treatments incorporating a large proportion of EGFR TKIs and immunotherapies.</w:t>
            </w:r>
          </w:p>
        </w:tc>
        <w:tc>
          <w:tcPr>
            <w:tcW w:w="1701" w:type="pct"/>
            <w:shd w:val="clear" w:color="auto" w:fill="auto"/>
            <w:vAlign w:val="center"/>
          </w:tcPr>
          <w:p w14:paraId="79A70082" w14:textId="77777777" w:rsidR="00194A61" w:rsidRPr="00CD55C3" w:rsidRDefault="00194A61" w:rsidP="00AC6F83">
            <w:pPr>
              <w:pStyle w:val="TableText0"/>
              <w:keepNext w:val="0"/>
              <w:rPr>
                <w:iCs/>
                <w:lang w:val="en-US"/>
              </w:rPr>
            </w:pPr>
            <w:r w:rsidRPr="00CD55C3">
              <w:rPr>
                <w:iCs/>
                <w:lang w:val="en-US"/>
              </w:rPr>
              <w:t>Moderate, favours mobocertinib</w:t>
            </w:r>
          </w:p>
          <w:p w14:paraId="16CB7E0E" w14:textId="77777777" w:rsidR="00194A61" w:rsidRPr="00CD55C3" w:rsidRDefault="00194A61" w:rsidP="00AC6F83">
            <w:pPr>
              <w:pStyle w:val="TableText0"/>
              <w:keepNext w:val="0"/>
              <w:rPr>
                <w:iCs/>
                <w:lang w:val="en-US"/>
              </w:rPr>
            </w:pPr>
          </w:p>
          <w:p w14:paraId="17AF9842" w14:textId="0D2A2C49" w:rsidR="00194A61" w:rsidRPr="00CD55C3" w:rsidRDefault="00194A61" w:rsidP="00AC6F83">
            <w:pPr>
              <w:pStyle w:val="TableText0"/>
              <w:keepNext w:val="0"/>
              <w:rPr>
                <w:iCs/>
                <w:lang w:val="en-US"/>
              </w:rPr>
            </w:pPr>
            <w:r w:rsidRPr="00CD55C3">
              <w:rPr>
                <w:iCs/>
                <w:lang w:val="en-US"/>
              </w:rPr>
              <w:t>Limiting the cost of SOC to only chemotherapy regimens used in the model base case increased ICER to $</w:t>
            </w:r>
            <w:r w:rsidR="001D6D9F" w:rsidRPr="001D6D9F">
              <w:rPr>
                <w:iCs/>
                <w:color w:val="000000"/>
                <w:spacing w:val="53"/>
                <w:shd w:val="solid" w:color="000000" w:fill="000000"/>
                <w:fitText w:val="330" w:id="-1304677630"/>
                <w:lang w:val="en-US"/>
                <w14:textFill>
                  <w14:solidFill>
                    <w14:srgbClr w14:val="000000">
                      <w14:alpha w14:val="100000"/>
                    </w14:srgbClr>
                  </w14:solidFill>
                </w14:textFill>
              </w:rPr>
              <w:t>|||</w:t>
            </w:r>
            <w:r w:rsidR="001D6D9F" w:rsidRPr="001D6D9F">
              <w:rPr>
                <w:iCs/>
                <w:color w:val="000000"/>
                <w:spacing w:val="1"/>
                <w:shd w:val="solid" w:color="000000" w:fill="000000"/>
                <w:fitText w:val="330" w:id="-1304677630"/>
                <w:lang w:val="en-US"/>
                <w14:textFill>
                  <w14:solidFill>
                    <w14:srgbClr w14:val="000000">
                      <w14:alpha w14:val="100000"/>
                    </w14:srgbClr>
                  </w14:solidFill>
                </w14:textFill>
              </w:rPr>
              <w:t>|</w:t>
            </w:r>
            <w:r w:rsidR="00C05FAC">
              <w:rPr>
                <w:iCs/>
                <w:vertAlign w:val="superscript"/>
                <w:lang w:val="en-US"/>
              </w:rPr>
              <w:t>2</w:t>
            </w:r>
            <w:r w:rsidRPr="00CD55C3">
              <w:rPr>
                <w:iCs/>
                <w:lang w:val="en-US"/>
              </w:rPr>
              <w:t>/</w:t>
            </w:r>
            <w:r w:rsidR="00D958CD">
              <w:rPr>
                <w:iCs/>
                <w:lang w:val="en-US"/>
              </w:rPr>
              <w:t xml:space="preserve"> </w:t>
            </w:r>
            <w:r w:rsidRPr="00CD55C3">
              <w:rPr>
                <w:iCs/>
                <w:lang w:val="en-US"/>
              </w:rPr>
              <w:t>QALY gained.</w:t>
            </w:r>
          </w:p>
        </w:tc>
      </w:tr>
      <w:tr w:rsidR="00194A61" w:rsidRPr="00E2771E" w14:paraId="087F6345" w14:textId="77777777" w:rsidTr="00AC6F83">
        <w:tc>
          <w:tcPr>
            <w:tcW w:w="1020" w:type="pct"/>
            <w:shd w:val="clear" w:color="auto" w:fill="auto"/>
            <w:vAlign w:val="center"/>
          </w:tcPr>
          <w:p w14:paraId="743A5FA0" w14:textId="77777777" w:rsidR="00194A61" w:rsidRDefault="00194A61" w:rsidP="00AC6F83">
            <w:pPr>
              <w:pStyle w:val="TableText0"/>
              <w:keepNext w:val="0"/>
              <w:rPr>
                <w:lang w:val="en-US"/>
              </w:rPr>
            </w:pPr>
            <w:r>
              <w:rPr>
                <w:lang w:val="en-US"/>
              </w:rPr>
              <w:t>Choice of Study to inform survival outcome in comparator arm</w:t>
            </w:r>
          </w:p>
        </w:tc>
        <w:tc>
          <w:tcPr>
            <w:tcW w:w="2279" w:type="pct"/>
            <w:shd w:val="clear" w:color="auto" w:fill="auto"/>
            <w:vAlign w:val="center"/>
          </w:tcPr>
          <w:p w14:paraId="7E7367D2" w14:textId="77777777" w:rsidR="00194A61" w:rsidRPr="00CD55C3" w:rsidRDefault="00194A61" w:rsidP="00AC6F83">
            <w:pPr>
              <w:pStyle w:val="TableText0"/>
              <w:keepNext w:val="0"/>
              <w:rPr>
                <w:iCs/>
                <w:lang w:val="en-US"/>
              </w:rPr>
            </w:pPr>
            <w:r w:rsidRPr="00CD55C3">
              <w:rPr>
                <w:iCs/>
                <w:lang w:val="en-US"/>
              </w:rPr>
              <w:t>Survival outcomes in the base case comparator arm were informed by Study 5008 (after weighting).</w:t>
            </w:r>
          </w:p>
        </w:tc>
        <w:tc>
          <w:tcPr>
            <w:tcW w:w="1701" w:type="pct"/>
            <w:shd w:val="clear" w:color="auto" w:fill="auto"/>
            <w:vAlign w:val="center"/>
          </w:tcPr>
          <w:p w14:paraId="2C62D64E" w14:textId="77777777" w:rsidR="00194A61" w:rsidRPr="00CD55C3" w:rsidRDefault="00194A61" w:rsidP="00AC6F83">
            <w:pPr>
              <w:pStyle w:val="TableText0"/>
              <w:keepNext w:val="0"/>
              <w:rPr>
                <w:iCs/>
                <w:lang w:val="en-US"/>
              </w:rPr>
            </w:pPr>
            <w:r w:rsidRPr="00CD55C3">
              <w:rPr>
                <w:iCs/>
                <w:lang w:val="en-US"/>
              </w:rPr>
              <w:t>Moderate, favours mobocertinib</w:t>
            </w:r>
          </w:p>
          <w:p w14:paraId="66C44148" w14:textId="77777777" w:rsidR="00194A61" w:rsidRPr="00CD55C3" w:rsidRDefault="00194A61" w:rsidP="00AC6F83">
            <w:pPr>
              <w:pStyle w:val="TableText0"/>
              <w:keepNext w:val="0"/>
              <w:rPr>
                <w:iCs/>
                <w:lang w:val="en-US"/>
              </w:rPr>
            </w:pPr>
          </w:p>
          <w:p w14:paraId="120943EC" w14:textId="56ADA3D6" w:rsidR="00194A61" w:rsidRPr="00CD55C3" w:rsidRDefault="00194A61" w:rsidP="00AC6F83">
            <w:pPr>
              <w:pStyle w:val="TableText0"/>
              <w:keepNext w:val="0"/>
              <w:rPr>
                <w:iCs/>
                <w:lang w:val="en-US"/>
              </w:rPr>
            </w:pPr>
            <w:r w:rsidRPr="00CD55C3">
              <w:rPr>
                <w:iCs/>
                <w:lang w:val="en-US"/>
              </w:rPr>
              <w:t>Choosing Study 5002 instead of Study 5008 significantly increased ICER to $</w:t>
            </w:r>
            <w:r w:rsidR="001D6D9F" w:rsidRPr="001D6D9F">
              <w:rPr>
                <w:iCs/>
                <w:color w:val="000000"/>
                <w:spacing w:val="53"/>
                <w:shd w:val="solid" w:color="000000" w:fill="000000"/>
                <w:fitText w:val="330" w:id="-1304677629"/>
                <w:lang w:val="en-US"/>
                <w14:textFill>
                  <w14:solidFill>
                    <w14:srgbClr w14:val="000000">
                      <w14:alpha w14:val="100000"/>
                    </w14:srgbClr>
                  </w14:solidFill>
                </w14:textFill>
              </w:rPr>
              <w:t>|||</w:t>
            </w:r>
            <w:r w:rsidR="001D6D9F" w:rsidRPr="001D6D9F">
              <w:rPr>
                <w:iCs/>
                <w:color w:val="000000"/>
                <w:spacing w:val="1"/>
                <w:shd w:val="solid" w:color="000000" w:fill="000000"/>
                <w:fitText w:val="330" w:id="-1304677629"/>
                <w:lang w:val="en-US"/>
                <w14:textFill>
                  <w14:solidFill>
                    <w14:srgbClr w14:val="000000">
                      <w14:alpha w14:val="100000"/>
                    </w14:srgbClr>
                  </w14:solidFill>
                </w14:textFill>
              </w:rPr>
              <w:t>|</w:t>
            </w:r>
            <w:r w:rsidR="00C05FAC">
              <w:rPr>
                <w:iCs/>
                <w:vertAlign w:val="superscript"/>
                <w:lang w:val="en-US"/>
              </w:rPr>
              <w:t>3</w:t>
            </w:r>
            <w:r w:rsidRPr="00CD55C3">
              <w:rPr>
                <w:iCs/>
                <w:lang w:val="en-US"/>
              </w:rPr>
              <w:t>/</w:t>
            </w:r>
            <w:r w:rsidR="00D958CD">
              <w:rPr>
                <w:iCs/>
                <w:lang w:val="en-US"/>
              </w:rPr>
              <w:t xml:space="preserve"> </w:t>
            </w:r>
            <w:r w:rsidRPr="00CD55C3">
              <w:rPr>
                <w:iCs/>
                <w:lang w:val="en-US"/>
              </w:rPr>
              <w:t>QALY gained</w:t>
            </w:r>
            <w:r w:rsidR="002213A3">
              <w:rPr>
                <w:iCs/>
                <w:lang w:val="en-US"/>
              </w:rPr>
              <w:t xml:space="preserve">. </w:t>
            </w:r>
          </w:p>
        </w:tc>
      </w:tr>
    </w:tbl>
    <w:p w14:paraId="1A0FF9D4" w14:textId="77777777" w:rsidR="00194A61" w:rsidRDefault="00194A61" w:rsidP="00194A61">
      <w:pPr>
        <w:pStyle w:val="FooterTableFigure"/>
      </w:pPr>
      <w:r>
        <w:t>Source: Compiled during the evaluation based on Section 3 of the submission</w:t>
      </w:r>
    </w:p>
    <w:p w14:paraId="71EFF07C" w14:textId="0759210C" w:rsidR="00194A61" w:rsidRDefault="00194A61" w:rsidP="00194A61">
      <w:pPr>
        <w:pStyle w:val="FooterTableFigure"/>
      </w:pPr>
      <w:r w:rsidRPr="00F418C6">
        <w:rPr>
          <w:i/>
        </w:rPr>
        <w:t>EGFR</w:t>
      </w:r>
      <w:r>
        <w:t xml:space="preserve"> = epidermal growth factor receptor; ICER = incremental cost-effectiveness ratio; QALY = quality-adjusted life year; SOC = standard of care.</w:t>
      </w:r>
    </w:p>
    <w:p w14:paraId="48524786" w14:textId="77777777" w:rsidR="00C05FAC" w:rsidRPr="009A6D58" w:rsidRDefault="00C05FAC" w:rsidP="00C05FAC">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178ECA3B" w14:textId="49C99583" w:rsidR="00C05FAC" w:rsidRPr="009A6D58" w:rsidRDefault="00C05FAC" w:rsidP="00C05FAC">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C05FAC">
        <w:rPr>
          <w:rFonts w:ascii="Arial Narrow" w:hAnsi="Arial Narrow" w:cs="Arial"/>
          <w:i/>
          <w:sz w:val="18"/>
          <w:szCs w:val="18"/>
        </w:rPr>
        <w:t>$75,000 to &lt; $95,000</w:t>
      </w:r>
    </w:p>
    <w:p w14:paraId="5BF1039C" w14:textId="5516F537" w:rsidR="00C05FAC" w:rsidRPr="009A6D58" w:rsidRDefault="00C05FAC" w:rsidP="00C05FAC">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C05FAC">
        <w:rPr>
          <w:rFonts w:ascii="Arial Narrow" w:hAnsi="Arial Narrow" w:cs="Arial"/>
          <w:i/>
          <w:sz w:val="18"/>
          <w:szCs w:val="18"/>
        </w:rPr>
        <w:t>$115,000 to &lt; $135,000</w:t>
      </w:r>
    </w:p>
    <w:p w14:paraId="48247121" w14:textId="5D10AD77" w:rsidR="00C05FAC" w:rsidRDefault="00C05FAC" w:rsidP="00C05FAC">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C05FAC">
        <w:rPr>
          <w:rFonts w:ascii="Arial Narrow" w:hAnsi="Arial Narrow" w:cs="Arial"/>
          <w:i/>
          <w:sz w:val="18"/>
          <w:szCs w:val="18"/>
        </w:rPr>
        <w:t>$95,000 to &lt; $115,000</w:t>
      </w:r>
    </w:p>
    <w:p w14:paraId="01558169" w14:textId="77777777" w:rsidR="00C05FAC" w:rsidRDefault="00C05FAC" w:rsidP="00194A61">
      <w:pPr>
        <w:pStyle w:val="FooterTableFigure"/>
      </w:pPr>
    </w:p>
    <w:p w14:paraId="1CE9C746" w14:textId="0B61A3BD" w:rsidR="00194A61" w:rsidRDefault="00194A61" w:rsidP="00194A61">
      <w:pPr>
        <w:pStyle w:val="3-BodyText"/>
      </w:pPr>
      <w:r w:rsidRPr="00F26EC0">
        <w:t xml:space="preserve">The results of the stepped economic evaluation presented in the submission </w:t>
      </w:r>
      <w:r>
        <w:t>are summarised</w:t>
      </w:r>
      <w:r w:rsidRPr="00F26EC0">
        <w:t xml:space="preserve"> in</w:t>
      </w:r>
      <w:r>
        <w:t xml:space="preserve"> </w:t>
      </w:r>
      <w:r>
        <w:fldChar w:fldCharType="begin"/>
      </w:r>
      <w:r>
        <w:instrText xml:space="preserve"> REF _Ref104805160 \h </w:instrText>
      </w:r>
      <w:r>
        <w:fldChar w:fldCharType="separate"/>
      </w:r>
      <w:r w:rsidR="001635D4">
        <w:t xml:space="preserve">Table </w:t>
      </w:r>
      <w:r w:rsidR="001635D4">
        <w:rPr>
          <w:noProof/>
        </w:rPr>
        <w:t>13</w:t>
      </w:r>
      <w:r>
        <w:fldChar w:fldCharType="end"/>
      </w:r>
      <w:r>
        <w:t>.</w:t>
      </w:r>
    </w:p>
    <w:p w14:paraId="4F8E9694" w14:textId="5144071F" w:rsidR="00194A61" w:rsidRDefault="00194A61" w:rsidP="00194A61">
      <w:pPr>
        <w:pStyle w:val="Caption"/>
        <w:rPr>
          <w:rStyle w:val="CommentReference"/>
          <w:b/>
          <w:szCs w:val="24"/>
        </w:rPr>
      </w:pPr>
      <w:bookmarkStart w:id="59" w:name="_Ref104805160"/>
      <w:r>
        <w:lastRenderedPageBreak/>
        <w:t xml:space="preserve">Table </w:t>
      </w:r>
      <w:r w:rsidR="001635D4">
        <w:fldChar w:fldCharType="begin"/>
      </w:r>
      <w:r w:rsidR="001635D4">
        <w:instrText xml:space="preserve"> SEQ Table \* ARABIC </w:instrText>
      </w:r>
      <w:r w:rsidR="001635D4">
        <w:fldChar w:fldCharType="separate"/>
      </w:r>
      <w:r w:rsidR="001635D4">
        <w:rPr>
          <w:noProof/>
        </w:rPr>
        <w:t>13</w:t>
      </w:r>
      <w:r w:rsidR="001635D4">
        <w:rPr>
          <w:noProof/>
        </w:rPr>
        <w:fldChar w:fldCharType="end"/>
      </w:r>
      <w:bookmarkEnd w:id="59"/>
      <w:r>
        <w:t>:</w:t>
      </w:r>
      <w:r w:rsidRPr="00BB00B3">
        <w:rPr>
          <w:rStyle w:val="CommentReference"/>
          <w:b/>
          <w:szCs w:val="24"/>
        </w:rPr>
        <w:t xml:space="preserve"> Results of the stepped economic evaluation</w:t>
      </w:r>
      <w:r>
        <w:rPr>
          <w:rStyle w:val="CommentReference"/>
          <w:b/>
          <w:szCs w:val="24"/>
        </w:rPr>
        <w:t xml:space="preserve"> – model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194A61" w:rsidRPr="00CD55C3" w14:paraId="7528157A" w14:textId="77777777" w:rsidTr="00AC6F83">
        <w:trPr>
          <w:tblHeader/>
        </w:trPr>
        <w:tc>
          <w:tcPr>
            <w:tcW w:w="1529" w:type="pct"/>
            <w:vAlign w:val="center"/>
          </w:tcPr>
          <w:p w14:paraId="2C3396EA" w14:textId="77777777" w:rsidR="00194A61" w:rsidRPr="00CD55C3" w:rsidRDefault="00194A61" w:rsidP="00AC6F83">
            <w:pPr>
              <w:pStyle w:val="In-tableHeading"/>
              <w:keepLines/>
              <w:rPr>
                <w:iCs/>
              </w:rPr>
            </w:pPr>
            <w:r w:rsidRPr="00CD55C3">
              <w:rPr>
                <w:iCs/>
              </w:rPr>
              <w:t>Step and component</w:t>
            </w:r>
          </w:p>
        </w:tc>
        <w:tc>
          <w:tcPr>
            <w:tcW w:w="1359" w:type="pct"/>
            <w:vAlign w:val="center"/>
          </w:tcPr>
          <w:p w14:paraId="52315F1B" w14:textId="77777777" w:rsidR="00194A61" w:rsidRPr="00CD55C3" w:rsidRDefault="00194A61" w:rsidP="00AC6F83">
            <w:pPr>
              <w:pStyle w:val="In-tableHeading"/>
              <w:keepLines/>
              <w:jc w:val="center"/>
              <w:rPr>
                <w:iCs/>
              </w:rPr>
            </w:pPr>
            <w:r w:rsidRPr="00CD55C3">
              <w:rPr>
                <w:iCs/>
              </w:rPr>
              <w:t>Mobocertinib</w:t>
            </w:r>
          </w:p>
        </w:tc>
        <w:tc>
          <w:tcPr>
            <w:tcW w:w="1274" w:type="pct"/>
            <w:vAlign w:val="center"/>
          </w:tcPr>
          <w:p w14:paraId="4B1A6F51" w14:textId="77777777" w:rsidR="00194A61" w:rsidRPr="00CD55C3" w:rsidRDefault="00194A61" w:rsidP="00AC6F83">
            <w:pPr>
              <w:pStyle w:val="In-tableHeading"/>
              <w:keepLines/>
              <w:jc w:val="center"/>
              <w:rPr>
                <w:iCs/>
              </w:rPr>
            </w:pPr>
            <w:r w:rsidRPr="00CD55C3">
              <w:rPr>
                <w:iCs/>
              </w:rPr>
              <w:t>Standard of care</w:t>
            </w:r>
          </w:p>
        </w:tc>
        <w:tc>
          <w:tcPr>
            <w:tcW w:w="838" w:type="pct"/>
            <w:vAlign w:val="center"/>
          </w:tcPr>
          <w:p w14:paraId="502D4E77" w14:textId="77777777" w:rsidR="00194A61" w:rsidRPr="00CD55C3" w:rsidRDefault="00194A61" w:rsidP="00AC6F83">
            <w:pPr>
              <w:pStyle w:val="In-tableHeading"/>
              <w:keepLines/>
              <w:jc w:val="center"/>
              <w:rPr>
                <w:iCs/>
              </w:rPr>
            </w:pPr>
            <w:r w:rsidRPr="00CD55C3">
              <w:rPr>
                <w:iCs/>
              </w:rPr>
              <w:t>Increment</w:t>
            </w:r>
          </w:p>
        </w:tc>
      </w:tr>
      <w:tr w:rsidR="00194A61" w:rsidRPr="00CD55C3" w14:paraId="56A96823" w14:textId="77777777" w:rsidTr="00AC6F83">
        <w:tc>
          <w:tcPr>
            <w:tcW w:w="5000" w:type="pct"/>
            <w:gridSpan w:val="4"/>
            <w:vAlign w:val="center"/>
          </w:tcPr>
          <w:p w14:paraId="1DCCD8E4" w14:textId="77777777" w:rsidR="00194A61" w:rsidRPr="00CD55C3" w:rsidRDefault="00194A61" w:rsidP="00AC6F83">
            <w:pPr>
              <w:pStyle w:val="TableText0"/>
              <w:keepLines/>
              <w:rPr>
                <w:b/>
                <w:iCs/>
              </w:rPr>
            </w:pPr>
            <w:r w:rsidRPr="00CD55C3">
              <w:rPr>
                <w:b/>
                <w:iCs/>
              </w:rPr>
              <w:t>Step 1: trial-based costs (including administration costs) and outcomes</w:t>
            </w:r>
          </w:p>
        </w:tc>
      </w:tr>
      <w:tr w:rsidR="00194A61" w:rsidRPr="00CD55C3" w14:paraId="399856F3" w14:textId="77777777" w:rsidTr="001D6D9F">
        <w:tc>
          <w:tcPr>
            <w:tcW w:w="1529" w:type="pct"/>
            <w:vAlign w:val="center"/>
          </w:tcPr>
          <w:p w14:paraId="3C0CE13B" w14:textId="41F81A18" w:rsidR="00194A61" w:rsidRPr="00CD55C3" w:rsidRDefault="00194A61" w:rsidP="00AC6F83">
            <w:pPr>
              <w:pStyle w:val="TableText0"/>
              <w:keepLines/>
              <w:rPr>
                <w:rFonts w:ascii="Times" w:hAnsi="Times"/>
                <w:iCs/>
              </w:rPr>
            </w:pPr>
            <w:r w:rsidRPr="00CD55C3">
              <w:rPr>
                <w:iCs/>
              </w:rPr>
              <w:t>Costs</w:t>
            </w:r>
            <w:r w:rsidR="00127962">
              <w:rPr>
                <w:iCs/>
              </w:rPr>
              <w:t xml:space="preserve"> ($)</w:t>
            </w:r>
          </w:p>
        </w:tc>
        <w:tc>
          <w:tcPr>
            <w:tcW w:w="1359" w:type="pct"/>
            <w:shd w:val="solid" w:color="000000" w:fill="000000"/>
            <w:vAlign w:val="center"/>
          </w:tcPr>
          <w:p w14:paraId="55295818" w14:textId="1D185886" w:rsidR="00194A61" w:rsidRPr="00CD55C3" w:rsidRDefault="001D6D9F" w:rsidP="00AC6F83">
            <w:pPr>
              <w:pStyle w:val="TableText0"/>
              <w:keepLines/>
              <w:jc w:val="center"/>
              <w:rPr>
                <w:rFonts w:ascii="Times" w:hAnsi="Times"/>
                <w:iCs/>
              </w:rPr>
            </w:pPr>
            <w:r w:rsidRPr="001D6D9F">
              <w:rPr>
                <w:iCs/>
                <w:color w:val="000000"/>
                <w14:textFill>
                  <w14:solidFill>
                    <w14:srgbClr w14:val="000000">
                      <w14:alpha w14:val="100000"/>
                    </w14:srgbClr>
                  </w14:solidFill>
                </w14:textFill>
              </w:rPr>
              <w:t>|</w:t>
            </w:r>
          </w:p>
        </w:tc>
        <w:tc>
          <w:tcPr>
            <w:tcW w:w="1274" w:type="pct"/>
            <w:vAlign w:val="center"/>
          </w:tcPr>
          <w:p w14:paraId="2E256B62" w14:textId="77777777" w:rsidR="00194A61" w:rsidRPr="00CD55C3" w:rsidRDefault="00194A61" w:rsidP="00AC6F83">
            <w:pPr>
              <w:pStyle w:val="TableText0"/>
              <w:keepLines/>
              <w:jc w:val="center"/>
              <w:rPr>
                <w:rFonts w:ascii="Times" w:hAnsi="Times"/>
                <w:iCs/>
              </w:rPr>
            </w:pPr>
            <w:r w:rsidRPr="00CD55C3">
              <w:rPr>
                <w:iCs/>
              </w:rPr>
              <w:t>$23,167</w:t>
            </w:r>
          </w:p>
        </w:tc>
        <w:tc>
          <w:tcPr>
            <w:tcW w:w="838" w:type="pct"/>
            <w:shd w:val="solid" w:color="000000" w:fill="000000"/>
            <w:vAlign w:val="center"/>
          </w:tcPr>
          <w:p w14:paraId="6C956032" w14:textId="07B296E3" w:rsidR="00194A61" w:rsidRPr="00CD55C3" w:rsidRDefault="001D6D9F" w:rsidP="00AC6F83">
            <w:pPr>
              <w:pStyle w:val="TableText0"/>
              <w:keepLines/>
              <w:jc w:val="center"/>
              <w:rPr>
                <w:rFonts w:ascii="Times" w:hAnsi="Times"/>
                <w:iCs/>
              </w:rPr>
            </w:pPr>
            <w:r w:rsidRPr="001D6D9F">
              <w:rPr>
                <w:iCs/>
                <w:color w:val="000000"/>
                <w14:textFill>
                  <w14:solidFill>
                    <w14:srgbClr w14:val="000000">
                      <w14:alpha w14:val="100000"/>
                    </w14:srgbClr>
                  </w14:solidFill>
                </w14:textFill>
              </w:rPr>
              <w:t>|</w:t>
            </w:r>
          </w:p>
        </w:tc>
      </w:tr>
      <w:tr w:rsidR="00194A61" w:rsidRPr="00CD55C3" w14:paraId="17107A4B" w14:textId="77777777" w:rsidTr="00AC6F83">
        <w:tc>
          <w:tcPr>
            <w:tcW w:w="1529" w:type="pct"/>
            <w:vAlign w:val="center"/>
          </w:tcPr>
          <w:p w14:paraId="244C7AA0" w14:textId="77777777" w:rsidR="00194A61" w:rsidRPr="00CD55C3" w:rsidRDefault="00194A61" w:rsidP="00AC6F83">
            <w:pPr>
              <w:pStyle w:val="TableText0"/>
              <w:keepLines/>
              <w:rPr>
                <w:rFonts w:ascii="Times" w:hAnsi="Times"/>
                <w:iCs/>
              </w:rPr>
            </w:pPr>
            <w:r w:rsidRPr="00CD55C3">
              <w:rPr>
                <w:iCs/>
              </w:rPr>
              <w:t>LYG</w:t>
            </w:r>
          </w:p>
        </w:tc>
        <w:tc>
          <w:tcPr>
            <w:tcW w:w="1359" w:type="pct"/>
            <w:vAlign w:val="center"/>
          </w:tcPr>
          <w:p w14:paraId="25091781" w14:textId="77777777" w:rsidR="00194A61" w:rsidRPr="00CD55C3" w:rsidRDefault="00194A61" w:rsidP="00AC6F83">
            <w:pPr>
              <w:pStyle w:val="TableText0"/>
              <w:keepLines/>
              <w:jc w:val="center"/>
              <w:rPr>
                <w:rFonts w:ascii="Times" w:hAnsi="Times"/>
                <w:iCs/>
              </w:rPr>
            </w:pPr>
            <w:r w:rsidRPr="00CD55C3">
              <w:rPr>
                <w:iCs/>
              </w:rPr>
              <w:t>1.750</w:t>
            </w:r>
          </w:p>
        </w:tc>
        <w:tc>
          <w:tcPr>
            <w:tcW w:w="1274" w:type="pct"/>
            <w:vAlign w:val="center"/>
          </w:tcPr>
          <w:p w14:paraId="68D77F5C" w14:textId="77777777" w:rsidR="00194A61" w:rsidRPr="00CD55C3" w:rsidRDefault="00194A61" w:rsidP="00AC6F83">
            <w:pPr>
              <w:pStyle w:val="TableText0"/>
              <w:keepLines/>
              <w:jc w:val="center"/>
              <w:rPr>
                <w:rFonts w:ascii="Times" w:hAnsi="Times"/>
                <w:iCs/>
              </w:rPr>
            </w:pPr>
            <w:r w:rsidRPr="00CD55C3">
              <w:rPr>
                <w:iCs/>
              </w:rPr>
              <w:t>0.999</w:t>
            </w:r>
          </w:p>
        </w:tc>
        <w:tc>
          <w:tcPr>
            <w:tcW w:w="838" w:type="pct"/>
            <w:vAlign w:val="center"/>
          </w:tcPr>
          <w:p w14:paraId="2E3DE1E9" w14:textId="77777777" w:rsidR="00194A61" w:rsidRPr="00CD55C3" w:rsidRDefault="00194A61" w:rsidP="00AC6F83">
            <w:pPr>
              <w:pStyle w:val="TableText0"/>
              <w:keepLines/>
              <w:jc w:val="center"/>
              <w:rPr>
                <w:iCs/>
              </w:rPr>
            </w:pPr>
            <w:r w:rsidRPr="00CD55C3">
              <w:rPr>
                <w:iCs/>
              </w:rPr>
              <w:t>0.751</w:t>
            </w:r>
          </w:p>
        </w:tc>
      </w:tr>
      <w:tr w:rsidR="00194A61" w:rsidRPr="00CD55C3" w14:paraId="7B3E8FA1" w14:textId="77777777" w:rsidTr="00AC6F83">
        <w:tc>
          <w:tcPr>
            <w:tcW w:w="4162" w:type="pct"/>
            <w:gridSpan w:val="3"/>
            <w:vAlign w:val="center"/>
          </w:tcPr>
          <w:p w14:paraId="6E305022" w14:textId="0C319553" w:rsidR="00194A61" w:rsidRPr="00CD55C3" w:rsidRDefault="00194A61" w:rsidP="00AC6F83">
            <w:pPr>
              <w:pStyle w:val="TableText0"/>
              <w:keepLines/>
              <w:rPr>
                <w:rFonts w:ascii="Times" w:hAnsi="Times"/>
                <w:iCs/>
              </w:rPr>
            </w:pPr>
            <w:r w:rsidRPr="00CD55C3">
              <w:rPr>
                <w:iCs/>
              </w:rPr>
              <w:t>Incremental cost/LYG gained</w:t>
            </w:r>
            <w:r w:rsidR="00127962">
              <w:rPr>
                <w:iCs/>
              </w:rPr>
              <w:t xml:space="preserve"> ($)</w:t>
            </w:r>
          </w:p>
        </w:tc>
        <w:tc>
          <w:tcPr>
            <w:tcW w:w="838" w:type="pct"/>
            <w:vAlign w:val="center"/>
          </w:tcPr>
          <w:p w14:paraId="4E7F0DBB" w14:textId="5BC2CF3A" w:rsidR="00194A61" w:rsidRPr="00127962" w:rsidRDefault="001D6D9F" w:rsidP="00AC6F83">
            <w:pPr>
              <w:pStyle w:val="TableText0"/>
              <w:keepLines/>
              <w:jc w:val="center"/>
              <w:rPr>
                <w:rFonts w:ascii="Times" w:hAnsi="Times"/>
                <w:iCs/>
                <w:vertAlign w:val="superscript"/>
              </w:rPr>
            </w:pPr>
            <w:r w:rsidRPr="001D6D9F">
              <w:rPr>
                <w:iCs/>
                <w:color w:val="000000"/>
                <w:shd w:val="solid" w:color="000000" w:fill="000000"/>
                <w14:textFill>
                  <w14:solidFill>
                    <w14:srgbClr w14:val="000000">
                      <w14:alpha w14:val="100000"/>
                    </w14:srgbClr>
                  </w14:solidFill>
                </w14:textFill>
              </w:rPr>
              <w:t>|</w:t>
            </w:r>
            <w:r w:rsidR="00127962">
              <w:rPr>
                <w:iCs/>
                <w:vertAlign w:val="superscript"/>
              </w:rPr>
              <w:t>1</w:t>
            </w:r>
          </w:p>
        </w:tc>
      </w:tr>
      <w:tr w:rsidR="00194A61" w:rsidRPr="00CD55C3" w14:paraId="1CF037AD" w14:textId="77777777" w:rsidTr="00AC6F83">
        <w:tc>
          <w:tcPr>
            <w:tcW w:w="5000" w:type="pct"/>
            <w:gridSpan w:val="4"/>
            <w:vAlign w:val="center"/>
          </w:tcPr>
          <w:p w14:paraId="2A190562" w14:textId="77777777" w:rsidR="00194A61" w:rsidRPr="00CD55C3" w:rsidRDefault="00194A61" w:rsidP="00AC6F83">
            <w:pPr>
              <w:pStyle w:val="In-tableHeading"/>
              <w:keepLines/>
              <w:rPr>
                <w:iCs/>
              </w:rPr>
            </w:pPr>
            <w:r w:rsidRPr="00CD55C3">
              <w:rPr>
                <w:iCs/>
              </w:rPr>
              <w:t>Step 2: time horizon extended to 5 years</w:t>
            </w:r>
          </w:p>
        </w:tc>
      </w:tr>
      <w:tr w:rsidR="00194A61" w:rsidRPr="00CD55C3" w14:paraId="1ABF6708" w14:textId="77777777" w:rsidTr="001D6D9F">
        <w:tc>
          <w:tcPr>
            <w:tcW w:w="1529" w:type="pct"/>
            <w:vAlign w:val="center"/>
          </w:tcPr>
          <w:p w14:paraId="4694AEBB" w14:textId="653A5483" w:rsidR="00194A61" w:rsidRPr="00CD55C3" w:rsidRDefault="00194A61" w:rsidP="00AC6F83">
            <w:pPr>
              <w:pStyle w:val="TableText0"/>
              <w:keepLines/>
              <w:rPr>
                <w:rFonts w:ascii="Times" w:hAnsi="Times"/>
                <w:iCs/>
              </w:rPr>
            </w:pPr>
            <w:r w:rsidRPr="00CD55C3">
              <w:rPr>
                <w:iCs/>
              </w:rPr>
              <w:t>Costs</w:t>
            </w:r>
            <w:r w:rsidR="00127962">
              <w:rPr>
                <w:iCs/>
              </w:rPr>
              <w:t xml:space="preserve"> ($)</w:t>
            </w:r>
          </w:p>
        </w:tc>
        <w:tc>
          <w:tcPr>
            <w:tcW w:w="1359" w:type="pct"/>
            <w:shd w:val="solid" w:color="000000" w:fill="000000"/>
            <w:vAlign w:val="center"/>
          </w:tcPr>
          <w:p w14:paraId="51000F54" w14:textId="2A93D07C" w:rsidR="00194A61" w:rsidRPr="00CD55C3" w:rsidRDefault="001D6D9F" w:rsidP="00AC6F83">
            <w:pPr>
              <w:pStyle w:val="TableText0"/>
              <w:keepLines/>
              <w:jc w:val="center"/>
              <w:rPr>
                <w:rFonts w:ascii="Times" w:hAnsi="Times"/>
                <w:iCs/>
              </w:rPr>
            </w:pPr>
            <w:r w:rsidRPr="001D6D9F">
              <w:rPr>
                <w:iCs/>
                <w:color w:val="000000"/>
                <w14:textFill>
                  <w14:solidFill>
                    <w14:srgbClr w14:val="000000">
                      <w14:alpha w14:val="100000"/>
                    </w14:srgbClr>
                  </w14:solidFill>
                </w14:textFill>
              </w:rPr>
              <w:t>|</w:t>
            </w:r>
          </w:p>
        </w:tc>
        <w:tc>
          <w:tcPr>
            <w:tcW w:w="1274" w:type="pct"/>
            <w:vAlign w:val="center"/>
          </w:tcPr>
          <w:p w14:paraId="0A58E9BA" w14:textId="77777777" w:rsidR="00194A61" w:rsidRPr="00CD55C3" w:rsidRDefault="00194A61" w:rsidP="00AC6F83">
            <w:pPr>
              <w:pStyle w:val="TableText0"/>
              <w:keepLines/>
              <w:jc w:val="center"/>
              <w:rPr>
                <w:rFonts w:ascii="Times" w:hAnsi="Times"/>
                <w:iCs/>
              </w:rPr>
            </w:pPr>
            <w:r w:rsidRPr="00CD55C3">
              <w:rPr>
                <w:iCs/>
              </w:rPr>
              <w:t>$23,167</w:t>
            </w:r>
          </w:p>
        </w:tc>
        <w:tc>
          <w:tcPr>
            <w:tcW w:w="838" w:type="pct"/>
            <w:shd w:val="solid" w:color="000000" w:fill="000000"/>
            <w:vAlign w:val="center"/>
          </w:tcPr>
          <w:p w14:paraId="100B40BE" w14:textId="275C1C0C" w:rsidR="00194A61" w:rsidRPr="00CD55C3" w:rsidRDefault="001D6D9F" w:rsidP="00AC6F83">
            <w:pPr>
              <w:pStyle w:val="TableText0"/>
              <w:keepLines/>
              <w:jc w:val="center"/>
              <w:rPr>
                <w:rFonts w:ascii="Times" w:hAnsi="Times"/>
                <w:iCs/>
              </w:rPr>
            </w:pPr>
            <w:r w:rsidRPr="001D6D9F">
              <w:rPr>
                <w:iCs/>
                <w:color w:val="000000"/>
                <w14:textFill>
                  <w14:solidFill>
                    <w14:srgbClr w14:val="000000">
                      <w14:alpha w14:val="100000"/>
                    </w14:srgbClr>
                  </w14:solidFill>
                </w14:textFill>
              </w:rPr>
              <w:t>|</w:t>
            </w:r>
          </w:p>
        </w:tc>
      </w:tr>
      <w:tr w:rsidR="00194A61" w:rsidRPr="00CD55C3" w14:paraId="4E185355" w14:textId="77777777" w:rsidTr="00AC6F83">
        <w:tc>
          <w:tcPr>
            <w:tcW w:w="1529" w:type="pct"/>
            <w:vAlign w:val="center"/>
          </w:tcPr>
          <w:p w14:paraId="3BE0659D" w14:textId="77777777" w:rsidR="00194A61" w:rsidRPr="00CD55C3" w:rsidRDefault="00194A61" w:rsidP="00AC6F83">
            <w:pPr>
              <w:pStyle w:val="TableText0"/>
              <w:keepLines/>
              <w:rPr>
                <w:rFonts w:ascii="Times" w:hAnsi="Times"/>
                <w:iCs/>
              </w:rPr>
            </w:pPr>
            <w:r w:rsidRPr="00CD55C3">
              <w:rPr>
                <w:iCs/>
              </w:rPr>
              <w:t>LYG</w:t>
            </w:r>
          </w:p>
        </w:tc>
        <w:tc>
          <w:tcPr>
            <w:tcW w:w="1359" w:type="pct"/>
            <w:vAlign w:val="center"/>
          </w:tcPr>
          <w:p w14:paraId="2AA70B5B" w14:textId="77777777" w:rsidR="00194A61" w:rsidRPr="00CD55C3" w:rsidRDefault="00194A61" w:rsidP="00AC6F83">
            <w:pPr>
              <w:pStyle w:val="TableText0"/>
              <w:keepLines/>
              <w:jc w:val="center"/>
              <w:rPr>
                <w:iCs/>
              </w:rPr>
            </w:pPr>
            <w:r w:rsidRPr="00CD55C3">
              <w:rPr>
                <w:iCs/>
              </w:rPr>
              <w:t>2.014</w:t>
            </w:r>
          </w:p>
        </w:tc>
        <w:tc>
          <w:tcPr>
            <w:tcW w:w="1274" w:type="pct"/>
            <w:vAlign w:val="center"/>
          </w:tcPr>
          <w:p w14:paraId="656B7B4C" w14:textId="77777777" w:rsidR="00194A61" w:rsidRPr="00CD55C3" w:rsidRDefault="00194A61" w:rsidP="00AC6F83">
            <w:pPr>
              <w:pStyle w:val="TableText0"/>
              <w:keepLines/>
              <w:jc w:val="center"/>
              <w:rPr>
                <w:rFonts w:ascii="Times" w:hAnsi="Times"/>
                <w:iCs/>
              </w:rPr>
            </w:pPr>
            <w:r w:rsidRPr="00CD55C3">
              <w:rPr>
                <w:iCs/>
              </w:rPr>
              <w:t>1.006</w:t>
            </w:r>
          </w:p>
        </w:tc>
        <w:tc>
          <w:tcPr>
            <w:tcW w:w="838" w:type="pct"/>
            <w:vAlign w:val="center"/>
          </w:tcPr>
          <w:p w14:paraId="6765F942" w14:textId="77777777" w:rsidR="00194A61" w:rsidRPr="00CD55C3" w:rsidRDefault="00194A61" w:rsidP="00AC6F83">
            <w:pPr>
              <w:pStyle w:val="TableText0"/>
              <w:keepLines/>
              <w:jc w:val="center"/>
              <w:rPr>
                <w:iCs/>
              </w:rPr>
            </w:pPr>
            <w:r w:rsidRPr="00CD55C3">
              <w:rPr>
                <w:iCs/>
              </w:rPr>
              <w:t>1.008</w:t>
            </w:r>
          </w:p>
        </w:tc>
      </w:tr>
      <w:tr w:rsidR="00194A61" w:rsidRPr="00CD55C3" w14:paraId="09FC79B0" w14:textId="77777777" w:rsidTr="00AC6F83">
        <w:tc>
          <w:tcPr>
            <w:tcW w:w="4162" w:type="pct"/>
            <w:gridSpan w:val="3"/>
            <w:vAlign w:val="center"/>
          </w:tcPr>
          <w:p w14:paraId="1641D579" w14:textId="09C90ABF" w:rsidR="00194A61" w:rsidRPr="00CD55C3" w:rsidRDefault="00194A61" w:rsidP="00AC6F83">
            <w:pPr>
              <w:pStyle w:val="TableText0"/>
              <w:keepLines/>
              <w:rPr>
                <w:rFonts w:ascii="Times" w:hAnsi="Times"/>
                <w:iCs/>
              </w:rPr>
            </w:pPr>
            <w:r w:rsidRPr="00CD55C3">
              <w:rPr>
                <w:iCs/>
              </w:rPr>
              <w:t>Incremental cost/LYG gained</w:t>
            </w:r>
            <w:r w:rsidR="00127962">
              <w:rPr>
                <w:iCs/>
              </w:rPr>
              <w:t xml:space="preserve"> ($)</w:t>
            </w:r>
          </w:p>
        </w:tc>
        <w:tc>
          <w:tcPr>
            <w:tcW w:w="838" w:type="pct"/>
            <w:vAlign w:val="center"/>
          </w:tcPr>
          <w:p w14:paraId="76A74484" w14:textId="4BCE54C4" w:rsidR="00194A61" w:rsidRPr="00127962" w:rsidRDefault="001D6D9F" w:rsidP="00AC6F83">
            <w:pPr>
              <w:pStyle w:val="TableText0"/>
              <w:keepLines/>
              <w:jc w:val="center"/>
              <w:rPr>
                <w:rFonts w:ascii="Times" w:hAnsi="Times"/>
                <w:iCs/>
                <w:vertAlign w:val="superscript"/>
              </w:rPr>
            </w:pPr>
            <w:r w:rsidRPr="001D6D9F">
              <w:rPr>
                <w:iCs/>
                <w:color w:val="000000"/>
                <w:shd w:val="solid" w:color="000000" w:fill="000000"/>
                <w14:textFill>
                  <w14:solidFill>
                    <w14:srgbClr w14:val="000000">
                      <w14:alpha w14:val="100000"/>
                    </w14:srgbClr>
                  </w14:solidFill>
                </w14:textFill>
              </w:rPr>
              <w:t>|</w:t>
            </w:r>
            <w:r w:rsidR="00127962">
              <w:rPr>
                <w:iCs/>
                <w:vertAlign w:val="superscript"/>
              </w:rPr>
              <w:t>2</w:t>
            </w:r>
          </w:p>
        </w:tc>
      </w:tr>
      <w:tr w:rsidR="00194A61" w:rsidRPr="00CD55C3" w14:paraId="4785A9A1" w14:textId="77777777" w:rsidTr="00AC6F83">
        <w:tc>
          <w:tcPr>
            <w:tcW w:w="5000" w:type="pct"/>
            <w:gridSpan w:val="4"/>
            <w:vAlign w:val="center"/>
          </w:tcPr>
          <w:p w14:paraId="35D5009F" w14:textId="77777777" w:rsidR="00194A61" w:rsidRPr="00CD55C3" w:rsidRDefault="00194A61" w:rsidP="00AC6F83">
            <w:pPr>
              <w:pStyle w:val="TableText0"/>
              <w:keepLines/>
              <w:rPr>
                <w:b/>
                <w:iCs/>
              </w:rPr>
            </w:pPr>
            <w:r w:rsidRPr="00CD55C3">
              <w:rPr>
                <w:b/>
                <w:iCs/>
              </w:rPr>
              <w:t>Step 3: Convergence applied</w:t>
            </w:r>
          </w:p>
        </w:tc>
      </w:tr>
      <w:tr w:rsidR="00194A61" w:rsidRPr="00CD55C3" w14:paraId="5B1AEA88" w14:textId="77777777" w:rsidTr="001D6D9F">
        <w:tc>
          <w:tcPr>
            <w:tcW w:w="1529" w:type="pct"/>
            <w:vAlign w:val="center"/>
          </w:tcPr>
          <w:p w14:paraId="6DC96578" w14:textId="00ADFD1C" w:rsidR="00194A61" w:rsidRPr="00CD55C3" w:rsidRDefault="00194A61" w:rsidP="00AC6F83">
            <w:pPr>
              <w:pStyle w:val="TableText0"/>
              <w:keepLines/>
              <w:rPr>
                <w:iCs/>
              </w:rPr>
            </w:pPr>
            <w:r w:rsidRPr="00CD55C3">
              <w:rPr>
                <w:iCs/>
              </w:rPr>
              <w:t>Costs</w:t>
            </w:r>
            <w:r w:rsidR="00127962">
              <w:rPr>
                <w:iCs/>
              </w:rPr>
              <w:t xml:space="preserve"> ($)</w:t>
            </w:r>
          </w:p>
        </w:tc>
        <w:tc>
          <w:tcPr>
            <w:tcW w:w="1359" w:type="pct"/>
            <w:shd w:val="solid" w:color="000000" w:fill="000000"/>
            <w:vAlign w:val="center"/>
          </w:tcPr>
          <w:p w14:paraId="6246A095" w14:textId="62CBEF01" w:rsidR="00194A61" w:rsidRPr="00CD55C3" w:rsidRDefault="001D6D9F" w:rsidP="00AC6F83">
            <w:pPr>
              <w:pStyle w:val="TableText0"/>
              <w:keepLines/>
              <w:jc w:val="center"/>
              <w:rPr>
                <w:iCs/>
              </w:rPr>
            </w:pPr>
            <w:r w:rsidRPr="001D6D9F">
              <w:rPr>
                <w:iCs/>
                <w:color w:val="000000"/>
                <w14:textFill>
                  <w14:solidFill>
                    <w14:srgbClr w14:val="000000">
                      <w14:alpha w14:val="100000"/>
                    </w14:srgbClr>
                  </w14:solidFill>
                </w14:textFill>
              </w:rPr>
              <w:t>|</w:t>
            </w:r>
          </w:p>
        </w:tc>
        <w:tc>
          <w:tcPr>
            <w:tcW w:w="1274" w:type="pct"/>
            <w:vAlign w:val="center"/>
          </w:tcPr>
          <w:p w14:paraId="4A8B54DC" w14:textId="77777777" w:rsidR="00194A61" w:rsidRPr="00CD55C3" w:rsidRDefault="00194A61" w:rsidP="00AC6F83">
            <w:pPr>
              <w:pStyle w:val="TableText0"/>
              <w:keepLines/>
              <w:jc w:val="center"/>
              <w:rPr>
                <w:iCs/>
              </w:rPr>
            </w:pPr>
            <w:r w:rsidRPr="00CD55C3">
              <w:rPr>
                <w:iCs/>
              </w:rPr>
              <w:t>$23,167</w:t>
            </w:r>
          </w:p>
        </w:tc>
        <w:tc>
          <w:tcPr>
            <w:tcW w:w="838" w:type="pct"/>
            <w:shd w:val="solid" w:color="000000" w:fill="000000"/>
            <w:vAlign w:val="center"/>
          </w:tcPr>
          <w:p w14:paraId="5E4368DE" w14:textId="7B8E93B9" w:rsidR="00194A61" w:rsidRPr="00CD55C3" w:rsidRDefault="001D6D9F" w:rsidP="00AC6F83">
            <w:pPr>
              <w:pStyle w:val="TableText0"/>
              <w:keepLines/>
              <w:jc w:val="center"/>
              <w:rPr>
                <w:iCs/>
              </w:rPr>
            </w:pPr>
            <w:r w:rsidRPr="001D6D9F">
              <w:rPr>
                <w:iCs/>
                <w:color w:val="000000"/>
                <w14:textFill>
                  <w14:solidFill>
                    <w14:srgbClr w14:val="000000">
                      <w14:alpha w14:val="100000"/>
                    </w14:srgbClr>
                  </w14:solidFill>
                </w14:textFill>
              </w:rPr>
              <w:t>|</w:t>
            </w:r>
          </w:p>
        </w:tc>
      </w:tr>
      <w:tr w:rsidR="00194A61" w:rsidRPr="00CD55C3" w14:paraId="220F3FAD" w14:textId="77777777" w:rsidTr="00AC6F83">
        <w:tc>
          <w:tcPr>
            <w:tcW w:w="1529" w:type="pct"/>
            <w:vAlign w:val="center"/>
          </w:tcPr>
          <w:p w14:paraId="32A45419" w14:textId="77777777" w:rsidR="00194A61" w:rsidRPr="00CD55C3" w:rsidRDefault="00194A61" w:rsidP="00AC6F83">
            <w:pPr>
              <w:pStyle w:val="TableText0"/>
              <w:keepLines/>
              <w:rPr>
                <w:iCs/>
              </w:rPr>
            </w:pPr>
            <w:r w:rsidRPr="00CD55C3">
              <w:rPr>
                <w:iCs/>
              </w:rPr>
              <w:t>LYG</w:t>
            </w:r>
          </w:p>
        </w:tc>
        <w:tc>
          <w:tcPr>
            <w:tcW w:w="1359" w:type="pct"/>
            <w:vAlign w:val="center"/>
          </w:tcPr>
          <w:p w14:paraId="653B241D" w14:textId="77777777" w:rsidR="00194A61" w:rsidRPr="00CD55C3" w:rsidRDefault="00194A61" w:rsidP="00AC6F83">
            <w:pPr>
              <w:pStyle w:val="TableText0"/>
              <w:keepLines/>
              <w:jc w:val="center"/>
              <w:rPr>
                <w:iCs/>
              </w:rPr>
            </w:pPr>
            <w:r w:rsidRPr="00CD55C3">
              <w:rPr>
                <w:iCs/>
              </w:rPr>
              <w:t>1.976</w:t>
            </w:r>
          </w:p>
        </w:tc>
        <w:tc>
          <w:tcPr>
            <w:tcW w:w="1274" w:type="pct"/>
            <w:vAlign w:val="center"/>
          </w:tcPr>
          <w:p w14:paraId="28E54EFE" w14:textId="77777777" w:rsidR="00194A61" w:rsidRPr="00CD55C3" w:rsidRDefault="00194A61" w:rsidP="00AC6F83">
            <w:pPr>
              <w:pStyle w:val="TableText0"/>
              <w:keepLines/>
              <w:jc w:val="center"/>
              <w:rPr>
                <w:iCs/>
              </w:rPr>
            </w:pPr>
            <w:r w:rsidRPr="00CD55C3">
              <w:rPr>
                <w:iCs/>
              </w:rPr>
              <w:t>1.006</w:t>
            </w:r>
          </w:p>
        </w:tc>
        <w:tc>
          <w:tcPr>
            <w:tcW w:w="838" w:type="pct"/>
            <w:vAlign w:val="center"/>
          </w:tcPr>
          <w:p w14:paraId="001433AE" w14:textId="77777777" w:rsidR="00194A61" w:rsidRPr="00CD55C3" w:rsidRDefault="00194A61" w:rsidP="00AC6F83">
            <w:pPr>
              <w:pStyle w:val="TableText0"/>
              <w:keepLines/>
              <w:jc w:val="center"/>
              <w:rPr>
                <w:iCs/>
              </w:rPr>
            </w:pPr>
            <w:r w:rsidRPr="00CD55C3">
              <w:rPr>
                <w:iCs/>
              </w:rPr>
              <w:t>0.970</w:t>
            </w:r>
          </w:p>
        </w:tc>
      </w:tr>
      <w:tr w:rsidR="00194A61" w:rsidRPr="00CD55C3" w14:paraId="5687D295" w14:textId="77777777" w:rsidTr="00AC6F83">
        <w:tc>
          <w:tcPr>
            <w:tcW w:w="4162" w:type="pct"/>
            <w:gridSpan w:val="3"/>
            <w:vAlign w:val="center"/>
          </w:tcPr>
          <w:p w14:paraId="3E0AA2CC" w14:textId="2DD3C5BC" w:rsidR="00194A61" w:rsidRPr="00CD55C3" w:rsidRDefault="00194A61" w:rsidP="00AC6F83">
            <w:pPr>
              <w:pStyle w:val="TableText0"/>
              <w:keepLines/>
              <w:rPr>
                <w:iCs/>
              </w:rPr>
            </w:pPr>
            <w:r w:rsidRPr="00CD55C3">
              <w:rPr>
                <w:iCs/>
              </w:rPr>
              <w:t>Incremental cost/extra LYG gained</w:t>
            </w:r>
            <w:r w:rsidR="00127962">
              <w:rPr>
                <w:iCs/>
              </w:rPr>
              <w:t xml:space="preserve"> ($)</w:t>
            </w:r>
          </w:p>
        </w:tc>
        <w:tc>
          <w:tcPr>
            <w:tcW w:w="838" w:type="pct"/>
            <w:vAlign w:val="center"/>
          </w:tcPr>
          <w:p w14:paraId="39143025" w14:textId="0F4D064C" w:rsidR="00194A61" w:rsidRPr="00127962" w:rsidRDefault="001D6D9F" w:rsidP="00AC6F83">
            <w:pPr>
              <w:pStyle w:val="TableText0"/>
              <w:keepLines/>
              <w:jc w:val="center"/>
              <w:rPr>
                <w:iCs/>
                <w:vertAlign w:val="superscript"/>
              </w:rPr>
            </w:pPr>
            <w:r w:rsidRPr="001D6D9F">
              <w:rPr>
                <w:iCs/>
                <w:color w:val="000000"/>
                <w:shd w:val="solid" w:color="000000" w:fill="000000"/>
                <w14:textFill>
                  <w14:solidFill>
                    <w14:srgbClr w14:val="000000">
                      <w14:alpha w14:val="100000"/>
                    </w14:srgbClr>
                  </w14:solidFill>
                </w14:textFill>
              </w:rPr>
              <w:t>|</w:t>
            </w:r>
            <w:r w:rsidR="00CB329A">
              <w:rPr>
                <w:iCs/>
                <w:vertAlign w:val="superscript"/>
              </w:rPr>
              <w:t>1</w:t>
            </w:r>
          </w:p>
        </w:tc>
      </w:tr>
      <w:tr w:rsidR="00194A61" w:rsidRPr="00CD55C3" w14:paraId="4A4BE007" w14:textId="77777777" w:rsidTr="001D6D9F">
        <w:tc>
          <w:tcPr>
            <w:tcW w:w="1529" w:type="pct"/>
            <w:vAlign w:val="center"/>
          </w:tcPr>
          <w:p w14:paraId="33A6817C" w14:textId="77777777" w:rsidR="00194A61" w:rsidRPr="00CD55C3" w:rsidRDefault="00194A61" w:rsidP="00AC6F83">
            <w:pPr>
              <w:pStyle w:val="TableText0"/>
              <w:keepLines/>
              <w:rPr>
                <w:b/>
                <w:iCs/>
              </w:rPr>
            </w:pPr>
            <w:r w:rsidRPr="00CD55C3">
              <w:rPr>
                <w:b/>
                <w:iCs/>
              </w:rPr>
              <w:t>Step 4: discounting (5%) included</w:t>
            </w:r>
          </w:p>
        </w:tc>
        <w:tc>
          <w:tcPr>
            <w:tcW w:w="1359" w:type="pct"/>
            <w:tcBorders>
              <w:bottom w:val="single" w:sz="4" w:space="0" w:color="auto"/>
            </w:tcBorders>
            <w:vAlign w:val="center"/>
          </w:tcPr>
          <w:p w14:paraId="15C24658" w14:textId="77777777" w:rsidR="00194A61" w:rsidRPr="00CD55C3" w:rsidRDefault="00194A61" w:rsidP="00AC6F83">
            <w:pPr>
              <w:pStyle w:val="TableText0"/>
              <w:keepLines/>
              <w:jc w:val="center"/>
              <w:rPr>
                <w:iCs/>
              </w:rPr>
            </w:pPr>
          </w:p>
        </w:tc>
        <w:tc>
          <w:tcPr>
            <w:tcW w:w="1274" w:type="pct"/>
            <w:vAlign w:val="center"/>
          </w:tcPr>
          <w:p w14:paraId="59115EB5" w14:textId="77777777" w:rsidR="00194A61" w:rsidRPr="00CD55C3" w:rsidRDefault="00194A61" w:rsidP="00AC6F83">
            <w:pPr>
              <w:pStyle w:val="TableText0"/>
              <w:keepLines/>
              <w:jc w:val="center"/>
              <w:rPr>
                <w:iCs/>
              </w:rPr>
            </w:pPr>
          </w:p>
        </w:tc>
        <w:tc>
          <w:tcPr>
            <w:tcW w:w="838" w:type="pct"/>
            <w:tcBorders>
              <w:bottom w:val="single" w:sz="4" w:space="0" w:color="auto"/>
            </w:tcBorders>
            <w:vAlign w:val="center"/>
          </w:tcPr>
          <w:p w14:paraId="0A6B1D33" w14:textId="77777777" w:rsidR="00194A61" w:rsidRPr="00CD55C3" w:rsidRDefault="00194A61" w:rsidP="00AC6F83">
            <w:pPr>
              <w:pStyle w:val="TableText0"/>
              <w:keepLines/>
              <w:jc w:val="center"/>
              <w:rPr>
                <w:iCs/>
              </w:rPr>
            </w:pPr>
          </w:p>
        </w:tc>
      </w:tr>
      <w:tr w:rsidR="00194A61" w:rsidRPr="00CD55C3" w14:paraId="61577904" w14:textId="77777777" w:rsidTr="001D6D9F">
        <w:tc>
          <w:tcPr>
            <w:tcW w:w="1529" w:type="pct"/>
            <w:vAlign w:val="center"/>
          </w:tcPr>
          <w:p w14:paraId="5BDE56B7" w14:textId="3055775E" w:rsidR="00194A61" w:rsidRPr="00CD55C3" w:rsidRDefault="00194A61" w:rsidP="00AC6F83">
            <w:pPr>
              <w:pStyle w:val="TableText0"/>
              <w:keepLines/>
              <w:rPr>
                <w:iCs/>
              </w:rPr>
            </w:pPr>
            <w:r w:rsidRPr="00CD55C3">
              <w:rPr>
                <w:iCs/>
              </w:rPr>
              <w:t>Costs</w:t>
            </w:r>
            <w:r w:rsidR="00127962">
              <w:rPr>
                <w:iCs/>
              </w:rPr>
              <w:t xml:space="preserve"> ($)</w:t>
            </w:r>
          </w:p>
        </w:tc>
        <w:tc>
          <w:tcPr>
            <w:tcW w:w="1359" w:type="pct"/>
            <w:shd w:val="solid" w:color="000000" w:fill="000000"/>
            <w:vAlign w:val="center"/>
          </w:tcPr>
          <w:p w14:paraId="7BB19314" w14:textId="1A9AB196" w:rsidR="00194A61" w:rsidRPr="00CD55C3" w:rsidRDefault="001D6D9F" w:rsidP="00AC6F83">
            <w:pPr>
              <w:pStyle w:val="TableText0"/>
              <w:keepLines/>
              <w:jc w:val="center"/>
              <w:rPr>
                <w:iCs/>
              </w:rPr>
            </w:pPr>
            <w:r w:rsidRPr="001D6D9F">
              <w:rPr>
                <w:iCs/>
                <w:color w:val="000000"/>
                <w14:textFill>
                  <w14:solidFill>
                    <w14:srgbClr w14:val="000000">
                      <w14:alpha w14:val="100000"/>
                    </w14:srgbClr>
                  </w14:solidFill>
                </w14:textFill>
              </w:rPr>
              <w:t>|</w:t>
            </w:r>
          </w:p>
        </w:tc>
        <w:tc>
          <w:tcPr>
            <w:tcW w:w="1274" w:type="pct"/>
            <w:vAlign w:val="center"/>
          </w:tcPr>
          <w:p w14:paraId="666455FB" w14:textId="77777777" w:rsidR="00194A61" w:rsidRPr="00CD55C3" w:rsidRDefault="00194A61" w:rsidP="00AC6F83">
            <w:pPr>
              <w:pStyle w:val="TableText0"/>
              <w:keepLines/>
              <w:jc w:val="center"/>
              <w:rPr>
                <w:iCs/>
              </w:rPr>
            </w:pPr>
            <w:r w:rsidRPr="00CD55C3">
              <w:rPr>
                <w:iCs/>
              </w:rPr>
              <w:t>$22,685</w:t>
            </w:r>
          </w:p>
        </w:tc>
        <w:tc>
          <w:tcPr>
            <w:tcW w:w="838" w:type="pct"/>
            <w:shd w:val="solid" w:color="000000" w:fill="000000"/>
            <w:vAlign w:val="center"/>
          </w:tcPr>
          <w:p w14:paraId="324377CB" w14:textId="53C6EBBD" w:rsidR="00194A61" w:rsidRPr="00CD55C3" w:rsidRDefault="001D6D9F" w:rsidP="00AC6F83">
            <w:pPr>
              <w:pStyle w:val="TableText0"/>
              <w:keepLines/>
              <w:jc w:val="center"/>
              <w:rPr>
                <w:iCs/>
              </w:rPr>
            </w:pPr>
            <w:r w:rsidRPr="001D6D9F">
              <w:rPr>
                <w:iCs/>
                <w:color w:val="000000"/>
                <w14:textFill>
                  <w14:solidFill>
                    <w14:srgbClr w14:val="000000">
                      <w14:alpha w14:val="100000"/>
                    </w14:srgbClr>
                  </w14:solidFill>
                </w14:textFill>
              </w:rPr>
              <w:t>|</w:t>
            </w:r>
          </w:p>
        </w:tc>
      </w:tr>
      <w:tr w:rsidR="00194A61" w:rsidRPr="00CD55C3" w14:paraId="2967C253" w14:textId="77777777" w:rsidTr="00AC6F83">
        <w:tc>
          <w:tcPr>
            <w:tcW w:w="1529" w:type="pct"/>
            <w:vAlign w:val="center"/>
          </w:tcPr>
          <w:p w14:paraId="73CA7939" w14:textId="77777777" w:rsidR="00194A61" w:rsidRPr="00CD55C3" w:rsidRDefault="00194A61" w:rsidP="00AC6F83">
            <w:pPr>
              <w:pStyle w:val="TableText0"/>
              <w:keepLines/>
              <w:rPr>
                <w:rFonts w:ascii="Times" w:hAnsi="Times"/>
                <w:iCs/>
              </w:rPr>
            </w:pPr>
            <w:r w:rsidRPr="00CD55C3">
              <w:rPr>
                <w:iCs/>
              </w:rPr>
              <w:t>LYG</w:t>
            </w:r>
          </w:p>
        </w:tc>
        <w:tc>
          <w:tcPr>
            <w:tcW w:w="1359" w:type="pct"/>
            <w:vAlign w:val="center"/>
          </w:tcPr>
          <w:p w14:paraId="399979B1" w14:textId="77777777" w:rsidR="00194A61" w:rsidRPr="00CD55C3" w:rsidRDefault="00194A61" w:rsidP="00AC6F83">
            <w:pPr>
              <w:pStyle w:val="TableText0"/>
              <w:keepLines/>
              <w:jc w:val="center"/>
              <w:rPr>
                <w:rFonts w:ascii="Times" w:hAnsi="Times"/>
                <w:iCs/>
              </w:rPr>
            </w:pPr>
            <w:r w:rsidRPr="00CD55C3">
              <w:rPr>
                <w:iCs/>
              </w:rPr>
              <w:t>1.844</w:t>
            </w:r>
          </w:p>
        </w:tc>
        <w:tc>
          <w:tcPr>
            <w:tcW w:w="1274" w:type="pct"/>
            <w:vAlign w:val="center"/>
          </w:tcPr>
          <w:p w14:paraId="4FDE4A0D" w14:textId="77777777" w:rsidR="00194A61" w:rsidRPr="00CD55C3" w:rsidRDefault="00194A61" w:rsidP="00AC6F83">
            <w:pPr>
              <w:pStyle w:val="TableText0"/>
              <w:keepLines/>
              <w:jc w:val="center"/>
              <w:rPr>
                <w:rFonts w:ascii="Times" w:hAnsi="Times"/>
                <w:iCs/>
              </w:rPr>
            </w:pPr>
            <w:r w:rsidRPr="00CD55C3">
              <w:rPr>
                <w:iCs/>
              </w:rPr>
              <w:t>0.969</w:t>
            </w:r>
          </w:p>
        </w:tc>
        <w:tc>
          <w:tcPr>
            <w:tcW w:w="838" w:type="pct"/>
            <w:vAlign w:val="center"/>
          </w:tcPr>
          <w:p w14:paraId="1DCBAAE5" w14:textId="77777777" w:rsidR="00194A61" w:rsidRPr="00CD55C3" w:rsidRDefault="00194A61" w:rsidP="00AC6F83">
            <w:pPr>
              <w:pStyle w:val="TableText0"/>
              <w:keepLines/>
              <w:jc w:val="center"/>
              <w:rPr>
                <w:iCs/>
              </w:rPr>
            </w:pPr>
            <w:r w:rsidRPr="00CD55C3">
              <w:rPr>
                <w:iCs/>
              </w:rPr>
              <w:t>0.874</w:t>
            </w:r>
          </w:p>
        </w:tc>
      </w:tr>
      <w:tr w:rsidR="00194A61" w:rsidRPr="00CD55C3" w14:paraId="3C10892E" w14:textId="77777777" w:rsidTr="00AC6F83">
        <w:tc>
          <w:tcPr>
            <w:tcW w:w="4162" w:type="pct"/>
            <w:gridSpan w:val="3"/>
            <w:vAlign w:val="center"/>
          </w:tcPr>
          <w:p w14:paraId="0C96A74C" w14:textId="59D12DB9" w:rsidR="00194A61" w:rsidRPr="00CD55C3" w:rsidRDefault="00194A61" w:rsidP="00AC6F83">
            <w:pPr>
              <w:pStyle w:val="TableText0"/>
              <w:keepLines/>
              <w:rPr>
                <w:rFonts w:ascii="Times" w:hAnsi="Times"/>
                <w:iCs/>
              </w:rPr>
            </w:pPr>
            <w:r w:rsidRPr="00CD55C3">
              <w:rPr>
                <w:iCs/>
              </w:rPr>
              <w:t>Incremental cost/extra LYG gained</w:t>
            </w:r>
            <w:r w:rsidR="00127962">
              <w:rPr>
                <w:iCs/>
              </w:rPr>
              <w:t xml:space="preserve"> ($)</w:t>
            </w:r>
          </w:p>
        </w:tc>
        <w:tc>
          <w:tcPr>
            <w:tcW w:w="838" w:type="pct"/>
            <w:vAlign w:val="center"/>
          </w:tcPr>
          <w:p w14:paraId="0A9CCA7B" w14:textId="6B911106" w:rsidR="00194A61" w:rsidRPr="00127962" w:rsidRDefault="001D6D9F" w:rsidP="00AC6F83">
            <w:pPr>
              <w:pStyle w:val="TableText0"/>
              <w:keepLines/>
              <w:jc w:val="center"/>
              <w:rPr>
                <w:rFonts w:ascii="Times" w:hAnsi="Times"/>
                <w:iCs/>
                <w:vertAlign w:val="superscript"/>
              </w:rPr>
            </w:pPr>
            <w:r w:rsidRPr="001D6D9F">
              <w:rPr>
                <w:iCs/>
                <w:color w:val="000000"/>
                <w:shd w:val="solid" w:color="000000" w:fill="000000"/>
                <w14:textFill>
                  <w14:solidFill>
                    <w14:srgbClr w14:val="000000">
                      <w14:alpha w14:val="100000"/>
                    </w14:srgbClr>
                  </w14:solidFill>
                </w14:textFill>
              </w:rPr>
              <w:t>|</w:t>
            </w:r>
            <w:r w:rsidR="00CB329A">
              <w:rPr>
                <w:iCs/>
                <w:vertAlign w:val="superscript"/>
              </w:rPr>
              <w:t>1</w:t>
            </w:r>
          </w:p>
        </w:tc>
      </w:tr>
      <w:tr w:rsidR="00194A61" w:rsidRPr="00CD55C3" w14:paraId="74634CBD" w14:textId="77777777" w:rsidTr="00AC6F83">
        <w:tc>
          <w:tcPr>
            <w:tcW w:w="5000" w:type="pct"/>
            <w:gridSpan w:val="4"/>
            <w:vAlign w:val="center"/>
          </w:tcPr>
          <w:p w14:paraId="616B81E6" w14:textId="77777777" w:rsidR="00194A61" w:rsidRPr="00CD55C3" w:rsidRDefault="00194A61" w:rsidP="00AC6F83">
            <w:pPr>
              <w:pStyle w:val="In-tableHeading"/>
              <w:keepLines/>
              <w:rPr>
                <w:iCs/>
              </w:rPr>
            </w:pPr>
            <w:r w:rsidRPr="00CD55C3">
              <w:rPr>
                <w:iCs/>
              </w:rPr>
              <w:t>Step 5: utility weights applied</w:t>
            </w:r>
          </w:p>
        </w:tc>
      </w:tr>
      <w:tr w:rsidR="00194A61" w:rsidRPr="00CD55C3" w14:paraId="2DFFFD90" w14:textId="77777777" w:rsidTr="001D6D9F">
        <w:tc>
          <w:tcPr>
            <w:tcW w:w="1529" w:type="pct"/>
            <w:vAlign w:val="center"/>
          </w:tcPr>
          <w:p w14:paraId="2083D5FD" w14:textId="48D3E8DD" w:rsidR="00194A61" w:rsidRPr="00CD55C3" w:rsidRDefault="00194A61" w:rsidP="00AC6F83">
            <w:pPr>
              <w:pStyle w:val="TableText0"/>
              <w:keepLines/>
              <w:rPr>
                <w:rFonts w:ascii="Times" w:hAnsi="Times"/>
                <w:iCs/>
              </w:rPr>
            </w:pPr>
            <w:r w:rsidRPr="00CD55C3">
              <w:rPr>
                <w:iCs/>
              </w:rPr>
              <w:t>Costs</w:t>
            </w:r>
            <w:r w:rsidR="00127962">
              <w:rPr>
                <w:iCs/>
              </w:rPr>
              <w:t xml:space="preserve"> ($)</w:t>
            </w:r>
          </w:p>
        </w:tc>
        <w:tc>
          <w:tcPr>
            <w:tcW w:w="1359" w:type="pct"/>
            <w:shd w:val="solid" w:color="000000" w:fill="000000"/>
            <w:vAlign w:val="center"/>
          </w:tcPr>
          <w:p w14:paraId="7CB510F7" w14:textId="136721A4" w:rsidR="00194A61" w:rsidRPr="00CD55C3" w:rsidRDefault="001D6D9F" w:rsidP="00AC6F83">
            <w:pPr>
              <w:pStyle w:val="TableText0"/>
              <w:keepLines/>
              <w:jc w:val="center"/>
              <w:rPr>
                <w:rFonts w:ascii="Times" w:hAnsi="Times"/>
                <w:iCs/>
              </w:rPr>
            </w:pPr>
            <w:r w:rsidRPr="001D6D9F">
              <w:rPr>
                <w:iCs/>
                <w:color w:val="000000"/>
                <w14:textFill>
                  <w14:solidFill>
                    <w14:srgbClr w14:val="000000">
                      <w14:alpha w14:val="100000"/>
                    </w14:srgbClr>
                  </w14:solidFill>
                </w14:textFill>
              </w:rPr>
              <w:t>|</w:t>
            </w:r>
          </w:p>
        </w:tc>
        <w:tc>
          <w:tcPr>
            <w:tcW w:w="1274" w:type="pct"/>
            <w:vAlign w:val="center"/>
          </w:tcPr>
          <w:p w14:paraId="4958CD90" w14:textId="77777777" w:rsidR="00194A61" w:rsidRPr="00CD55C3" w:rsidRDefault="00194A61" w:rsidP="00AC6F83">
            <w:pPr>
              <w:pStyle w:val="TableText0"/>
              <w:keepLines/>
              <w:jc w:val="center"/>
              <w:rPr>
                <w:rFonts w:ascii="Times" w:hAnsi="Times"/>
                <w:iCs/>
              </w:rPr>
            </w:pPr>
            <w:r w:rsidRPr="00CD55C3">
              <w:rPr>
                <w:iCs/>
              </w:rPr>
              <w:t>$22,685</w:t>
            </w:r>
          </w:p>
        </w:tc>
        <w:tc>
          <w:tcPr>
            <w:tcW w:w="838" w:type="pct"/>
            <w:shd w:val="solid" w:color="000000" w:fill="000000"/>
            <w:vAlign w:val="center"/>
          </w:tcPr>
          <w:p w14:paraId="6ED2F4A3" w14:textId="268F11ED" w:rsidR="00194A61" w:rsidRPr="00CD55C3" w:rsidRDefault="001D6D9F" w:rsidP="00AC6F83">
            <w:pPr>
              <w:pStyle w:val="TableText0"/>
              <w:keepLines/>
              <w:jc w:val="center"/>
              <w:rPr>
                <w:rFonts w:ascii="Times" w:hAnsi="Times"/>
                <w:iCs/>
              </w:rPr>
            </w:pPr>
            <w:r w:rsidRPr="001D6D9F">
              <w:rPr>
                <w:iCs/>
                <w:color w:val="000000"/>
                <w14:textFill>
                  <w14:solidFill>
                    <w14:srgbClr w14:val="000000">
                      <w14:alpha w14:val="100000"/>
                    </w14:srgbClr>
                  </w14:solidFill>
                </w14:textFill>
              </w:rPr>
              <w:t>|</w:t>
            </w:r>
          </w:p>
        </w:tc>
      </w:tr>
      <w:tr w:rsidR="00194A61" w:rsidRPr="00CD55C3" w14:paraId="1D59F578" w14:textId="77777777" w:rsidTr="00AC6F83">
        <w:tc>
          <w:tcPr>
            <w:tcW w:w="1529" w:type="pct"/>
            <w:vAlign w:val="center"/>
          </w:tcPr>
          <w:p w14:paraId="50AF49F7" w14:textId="77777777" w:rsidR="00194A61" w:rsidRPr="00CD55C3" w:rsidRDefault="00194A61" w:rsidP="00AC6F83">
            <w:pPr>
              <w:pStyle w:val="TableText0"/>
              <w:keepLines/>
              <w:rPr>
                <w:rFonts w:ascii="Times" w:hAnsi="Times"/>
                <w:iCs/>
              </w:rPr>
            </w:pPr>
            <w:r w:rsidRPr="00CD55C3">
              <w:rPr>
                <w:iCs/>
              </w:rPr>
              <w:t>QALYs</w:t>
            </w:r>
          </w:p>
        </w:tc>
        <w:tc>
          <w:tcPr>
            <w:tcW w:w="1359" w:type="pct"/>
            <w:vAlign w:val="center"/>
          </w:tcPr>
          <w:p w14:paraId="6FB55B99" w14:textId="77777777" w:rsidR="00194A61" w:rsidRPr="00CD55C3" w:rsidRDefault="00194A61" w:rsidP="00AC6F83">
            <w:pPr>
              <w:pStyle w:val="TableText0"/>
              <w:keepLines/>
              <w:jc w:val="center"/>
              <w:rPr>
                <w:rFonts w:ascii="Times" w:hAnsi="Times"/>
                <w:iCs/>
              </w:rPr>
            </w:pPr>
            <w:r w:rsidRPr="00CD55C3">
              <w:rPr>
                <w:iCs/>
              </w:rPr>
              <w:t>1.515</w:t>
            </w:r>
          </w:p>
        </w:tc>
        <w:tc>
          <w:tcPr>
            <w:tcW w:w="1274" w:type="pct"/>
            <w:vAlign w:val="center"/>
          </w:tcPr>
          <w:p w14:paraId="1B87F8BE" w14:textId="77777777" w:rsidR="00194A61" w:rsidRPr="00CD55C3" w:rsidRDefault="00194A61" w:rsidP="00AC6F83">
            <w:pPr>
              <w:pStyle w:val="TableText0"/>
              <w:keepLines/>
              <w:jc w:val="center"/>
              <w:rPr>
                <w:rFonts w:ascii="Times" w:hAnsi="Times"/>
                <w:iCs/>
              </w:rPr>
            </w:pPr>
            <w:r w:rsidRPr="00CD55C3">
              <w:rPr>
                <w:iCs/>
              </w:rPr>
              <w:t>0.782</w:t>
            </w:r>
          </w:p>
        </w:tc>
        <w:tc>
          <w:tcPr>
            <w:tcW w:w="838" w:type="pct"/>
            <w:vAlign w:val="center"/>
          </w:tcPr>
          <w:p w14:paraId="4A5E43C0" w14:textId="77777777" w:rsidR="00194A61" w:rsidRPr="00CD55C3" w:rsidRDefault="00194A61" w:rsidP="00AC6F83">
            <w:pPr>
              <w:pStyle w:val="TableText0"/>
              <w:keepLines/>
              <w:jc w:val="center"/>
              <w:rPr>
                <w:iCs/>
              </w:rPr>
            </w:pPr>
            <w:r w:rsidRPr="00CD55C3">
              <w:rPr>
                <w:iCs/>
              </w:rPr>
              <w:t>0.733</w:t>
            </w:r>
          </w:p>
        </w:tc>
      </w:tr>
      <w:tr w:rsidR="00194A61" w:rsidRPr="00CD55C3" w14:paraId="52915182" w14:textId="77777777" w:rsidTr="00AC6F83">
        <w:tc>
          <w:tcPr>
            <w:tcW w:w="4162" w:type="pct"/>
            <w:gridSpan w:val="3"/>
            <w:vAlign w:val="center"/>
          </w:tcPr>
          <w:p w14:paraId="1F2AB278" w14:textId="04992F92" w:rsidR="00194A61" w:rsidRPr="00CD55C3" w:rsidRDefault="00194A61" w:rsidP="00AC6F83">
            <w:pPr>
              <w:pStyle w:val="TableText0"/>
              <w:keepLines/>
              <w:rPr>
                <w:rFonts w:ascii="Times" w:hAnsi="Times"/>
                <w:iCs/>
              </w:rPr>
            </w:pPr>
            <w:r w:rsidRPr="00CD55C3">
              <w:rPr>
                <w:iCs/>
              </w:rPr>
              <w:t>Incremental cost/</w:t>
            </w:r>
            <w:r w:rsidR="00D958CD">
              <w:rPr>
                <w:iCs/>
              </w:rPr>
              <w:t xml:space="preserve"> </w:t>
            </w:r>
            <w:r w:rsidRPr="00CD55C3">
              <w:rPr>
                <w:iCs/>
              </w:rPr>
              <w:t>QALY gained</w:t>
            </w:r>
            <w:r w:rsidR="00127962">
              <w:rPr>
                <w:iCs/>
              </w:rPr>
              <w:t xml:space="preserve"> ($)</w:t>
            </w:r>
          </w:p>
        </w:tc>
        <w:tc>
          <w:tcPr>
            <w:tcW w:w="838" w:type="pct"/>
            <w:vAlign w:val="center"/>
          </w:tcPr>
          <w:p w14:paraId="440D7013" w14:textId="740E1266" w:rsidR="00194A61" w:rsidRPr="00127962" w:rsidRDefault="001D6D9F" w:rsidP="00AC6F83">
            <w:pPr>
              <w:pStyle w:val="TableText0"/>
              <w:keepLines/>
              <w:jc w:val="center"/>
              <w:rPr>
                <w:rFonts w:ascii="Times" w:hAnsi="Times"/>
                <w:iCs/>
                <w:vertAlign w:val="superscript"/>
              </w:rPr>
            </w:pPr>
            <w:r w:rsidRPr="001D6D9F">
              <w:rPr>
                <w:iCs/>
                <w:color w:val="000000"/>
                <w:shd w:val="solid" w:color="000000" w:fill="000000"/>
                <w14:textFill>
                  <w14:solidFill>
                    <w14:srgbClr w14:val="000000">
                      <w14:alpha w14:val="100000"/>
                    </w14:srgbClr>
                  </w14:solidFill>
                </w14:textFill>
              </w:rPr>
              <w:t>|</w:t>
            </w:r>
            <w:r w:rsidR="00127962">
              <w:rPr>
                <w:iCs/>
                <w:vertAlign w:val="superscript"/>
              </w:rPr>
              <w:t>1</w:t>
            </w:r>
          </w:p>
        </w:tc>
      </w:tr>
      <w:tr w:rsidR="00194A61" w:rsidRPr="00CD55C3" w14:paraId="4E603733" w14:textId="77777777" w:rsidTr="00AC6F83">
        <w:tc>
          <w:tcPr>
            <w:tcW w:w="5000" w:type="pct"/>
            <w:gridSpan w:val="4"/>
            <w:vAlign w:val="center"/>
          </w:tcPr>
          <w:p w14:paraId="2BF0C271" w14:textId="77777777" w:rsidR="00194A61" w:rsidRPr="00CD55C3" w:rsidRDefault="00194A61" w:rsidP="00AC6F83">
            <w:pPr>
              <w:pStyle w:val="In-tableHeading"/>
              <w:keepLines/>
              <w:rPr>
                <w:iCs/>
              </w:rPr>
            </w:pPr>
            <w:r w:rsidRPr="00CD55C3">
              <w:rPr>
                <w:iCs/>
              </w:rPr>
              <w:t>Step 6: incorporation of costs and utility decrements associated with AEs, disease management and subsequent treatment</w:t>
            </w:r>
          </w:p>
        </w:tc>
      </w:tr>
      <w:tr w:rsidR="00194A61" w:rsidRPr="00CD55C3" w14:paraId="5A408CAD" w14:textId="77777777" w:rsidTr="001D6D9F">
        <w:tc>
          <w:tcPr>
            <w:tcW w:w="1529" w:type="pct"/>
            <w:vAlign w:val="center"/>
          </w:tcPr>
          <w:p w14:paraId="5C328AAC" w14:textId="03C299E2" w:rsidR="00194A61" w:rsidRPr="00CD55C3" w:rsidRDefault="00194A61" w:rsidP="00AC6F83">
            <w:pPr>
              <w:pStyle w:val="TableText0"/>
              <w:keepLines/>
              <w:rPr>
                <w:rFonts w:ascii="Times" w:hAnsi="Times"/>
                <w:iCs/>
              </w:rPr>
            </w:pPr>
            <w:r w:rsidRPr="00CD55C3">
              <w:rPr>
                <w:iCs/>
              </w:rPr>
              <w:t>Costs</w:t>
            </w:r>
            <w:r w:rsidR="00127962">
              <w:rPr>
                <w:iCs/>
              </w:rPr>
              <w:t xml:space="preserve"> ($)</w:t>
            </w:r>
          </w:p>
        </w:tc>
        <w:tc>
          <w:tcPr>
            <w:tcW w:w="1359" w:type="pct"/>
            <w:shd w:val="solid" w:color="000000" w:fill="000000"/>
            <w:vAlign w:val="center"/>
          </w:tcPr>
          <w:p w14:paraId="19FEDEF3" w14:textId="6C682CC3" w:rsidR="00194A61" w:rsidRPr="00CD55C3" w:rsidRDefault="001D6D9F" w:rsidP="00AC6F83">
            <w:pPr>
              <w:pStyle w:val="TableText0"/>
              <w:keepLines/>
              <w:jc w:val="center"/>
              <w:rPr>
                <w:rFonts w:ascii="Times" w:hAnsi="Times"/>
                <w:iCs/>
              </w:rPr>
            </w:pPr>
            <w:r w:rsidRPr="001D6D9F">
              <w:rPr>
                <w:iCs/>
                <w:color w:val="000000"/>
                <w14:textFill>
                  <w14:solidFill>
                    <w14:srgbClr w14:val="000000">
                      <w14:alpha w14:val="100000"/>
                    </w14:srgbClr>
                  </w14:solidFill>
                </w14:textFill>
              </w:rPr>
              <w:t>|</w:t>
            </w:r>
          </w:p>
        </w:tc>
        <w:tc>
          <w:tcPr>
            <w:tcW w:w="1274" w:type="pct"/>
            <w:vAlign w:val="center"/>
          </w:tcPr>
          <w:p w14:paraId="61BBCA6C" w14:textId="77777777" w:rsidR="00194A61" w:rsidRPr="00CD55C3" w:rsidRDefault="00194A61" w:rsidP="00AC6F83">
            <w:pPr>
              <w:pStyle w:val="TableText0"/>
              <w:keepLines/>
              <w:jc w:val="center"/>
              <w:rPr>
                <w:rFonts w:ascii="Times" w:hAnsi="Times"/>
                <w:iCs/>
              </w:rPr>
            </w:pPr>
            <w:r w:rsidRPr="00CD55C3">
              <w:rPr>
                <w:iCs/>
              </w:rPr>
              <w:t>$74,075</w:t>
            </w:r>
          </w:p>
        </w:tc>
        <w:tc>
          <w:tcPr>
            <w:tcW w:w="838" w:type="pct"/>
            <w:shd w:val="solid" w:color="000000" w:fill="000000"/>
            <w:vAlign w:val="center"/>
          </w:tcPr>
          <w:p w14:paraId="7C516946" w14:textId="536B8C84" w:rsidR="00194A61" w:rsidRPr="00CD55C3" w:rsidRDefault="001D6D9F" w:rsidP="00AC6F83">
            <w:pPr>
              <w:pStyle w:val="TableText0"/>
              <w:keepLines/>
              <w:jc w:val="center"/>
              <w:rPr>
                <w:rFonts w:ascii="Times" w:hAnsi="Times"/>
                <w:iCs/>
              </w:rPr>
            </w:pPr>
            <w:r w:rsidRPr="001D6D9F">
              <w:rPr>
                <w:iCs/>
                <w:color w:val="000000"/>
                <w14:textFill>
                  <w14:solidFill>
                    <w14:srgbClr w14:val="000000">
                      <w14:alpha w14:val="100000"/>
                    </w14:srgbClr>
                  </w14:solidFill>
                </w14:textFill>
              </w:rPr>
              <w:t>|</w:t>
            </w:r>
          </w:p>
        </w:tc>
      </w:tr>
      <w:tr w:rsidR="00194A61" w:rsidRPr="00CD55C3" w14:paraId="1B816BEA" w14:textId="77777777" w:rsidTr="00AC6F83">
        <w:tc>
          <w:tcPr>
            <w:tcW w:w="1529" w:type="pct"/>
            <w:vAlign w:val="center"/>
          </w:tcPr>
          <w:p w14:paraId="7961B890" w14:textId="77777777" w:rsidR="00194A61" w:rsidRPr="00CD55C3" w:rsidRDefault="00194A61" w:rsidP="00AC6F83">
            <w:pPr>
              <w:pStyle w:val="TableText0"/>
              <w:keepLines/>
              <w:rPr>
                <w:rFonts w:ascii="Times" w:hAnsi="Times"/>
                <w:iCs/>
              </w:rPr>
            </w:pPr>
            <w:r w:rsidRPr="00CD55C3">
              <w:rPr>
                <w:iCs/>
              </w:rPr>
              <w:t>QALYs</w:t>
            </w:r>
          </w:p>
        </w:tc>
        <w:tc>
          <w:tcPr>
            <w:tcW w:w="1359" w:type="pct"/>
            <w:vAlign w:val="center"/>
          </w:tcPr>
          <w:p w14:paraId="34F265D9" w14:textId="77777777" w:rsidR="00194A61" w:rsidRPr="00CD55C3" w:rsidRDefault="00194A61" w:rsidP="00AC6F83">
            <w:pPr>
              <w:pStyle w:val="TableText0"/>
              <w:keepLines/>
              <w:jc w:val="center"/>
              <w:rPr>
                <w:iCs/>
              </w:rPr>
            </w:pPr>
            <w:r w:rsidRPr="00CD55C3">
              <w:rPr>
                <w:iCs/>
              </w:rPr>
              <w:t>1.512</w:t>
            </w:r>
          </w:p>
        </w:tc>
        <w:tc>
          <w:tcPr>
            <w:tcW w:w="1274" w:type="pct"/>
            <w:vAlign w:val="center"/>
          </w:tcPr>
          <w:p w14:paraId="523A0149" w14:textId="77777777" w:rsidR="00194A61" w:rsidRPr="00CD55C3" w:rsidRDefault="00194A61" w:rsidP="00AC6F83">
            <w:pPr>
              <w:pStyle w:val="TableText0"/>
              <w:keepLines/>
              <w:jc w:val="center"/>
              <w:rPr>
                <w:rFonts w:ascii="Times" w:hAnsi="Times"/>
                <w:iCs/>
              </w:rPr>
            </w:pPr>
            <w:r w:rsidRPr="00CD55C3">
              <w:rPr>
                <w:iCs/>
              </w:rPr>
              <w:t>0.781</w:t>
            </w:r>
          </w:p>
        </w:tc>
        <w:tc>
          <w:tcPr>
            <w:tcW w:w="838" w:type="pct"/>
            <w:vAlign w:val="center"/>
          </w:tcPr>
          <w:p w14:paraId="165023FD" w14:textId="77777777" w:rsidR="00194A61" w:rsidRPr="00CD55C3" w:rsidRDefault="00194A61" w:rsidP="00AC6F83">
            <w:pPr>
              <w:pStyle w:val="TableText0"/>
              <w:keepLines/>
              <w:jc w:val="center"/>
              <w:rPr>
                <w:iCs/>
              </w:rPr>
            </w:pPr>
            <w:r w:rsidRPr="00CD55C3">
              <w:rPr>
                <w:iCs/>
              </w:rPr>
              <w:t>0.731</w:t>
            </w:r>
          </w:p>
        </w:tc>
      </w:tr>
      <w:tr w:rsidR="00194A61" w:rsidRPr="00CD55C3" w14:paraId="26D49934" w14:textId="77777777" w:rsidTr="00AC6F83">
        <w:tc>
          <w:tcPr>
            <w:tcW w:w="4162" w:type="pct"/>
            <w:gridSpan w:val="3"/>
            <w:vAlign w:val="center"/>
          </w:tcPr>
          <w:p w14:paraId="4F15C307" w14:textId="5B961C29" w:rsidR="00194A61" w:rsidRPr="00CD55C3" w:rsidRDefault="00194A61" w:rsidP="00AC6F83">
            <w:pPr>
              <w:pStyle w:val="TableText0"/>
              <w:keepLines/>
              <w:rPr>
                <w:rFonts w:ascii="Times" w:hAnsi="Times"/>
                <w:b/>
                <w:iCs/>
              </w:rPr>
            </w:pPr>
            <w:r w:rsidRPr="00CD55C3">
              <w:rPr>
                <w:b/>
                <w:iCs/>
              </w:rPr>
              <w:t>Incremental cost/</w:t>
            </w:r>
            <w:r w:rsidR="00D958CD">
              <w:rPr>
                <w:b/>
                <w:iCs/>
              </w:rPr>
              <w:t xml:space="preserve"> </w:t>
            </w:r>
            <w:r w:rsidRPr="00CD55C3">
              <w:rPr>
                <w:b/>
                <w:iCs/>
              </w:rPr>
              <w:t>QALY gained (base case)</w:t>
            </w:r>
            <w:r w:rsidR="00127962">
              <w:rPr>
                <w:iCs/>
              </w:rPr>
              <w:t xml:space="preserve"> ($)</w:t>
            </w:r>
          </w:p>
        </w:tc>
        <w:tc>
          <w:tcPr>
            <w:tcW w:w="838" w:type="pct"/>
            <w:vAlign w:val="center"/>
          </w:tcPr>
          <w:p w14:paraId="10E7C747" w14:textId="20406BC3" w:rsidR="00194A61" w:rsidRPr="00127962" w:rsidRDefault="001D6D9F" w:rsidP="00AC6F83">
            <w:pPr>
              <w:pStyle w:val="TableText0"/>
              <w:keepLines/>
              <w:jc w:val="center"/>
              <w:rPr>
                <w:rFonts w:ascii="Times" w:hAnsi="Times"/>
                <w:b/>
                <w:iCs/>
                <w:vertAlign w:val="superscript"/>
              </w:rPr>
            </w:pPr>
            <w:r w:rsidRPr="001D6D9F">
              <w:rPr>
                <w:b/>
                <w:iCs/>
                <w:color w:val="000000"/>
                <w:shd w:val="solid" w:color="000000" w:fill="000000"/>
                <w14:textFill>
                  <w14:solidFill>
                    <w14:srgbClr w14:val="000000">
                      <w14:alpha w14:val="100000"/>
                    </w14:srgbClr>
                  </w14:solidFill>
                </w14:textFill>
              </w:rPr>
              <w:t>|</w:t>
            </w:r>
            <w:r w:rsidR="00CB329A">
              <w:rPr>
                <w:b/>
                <w:iCs/>
                <w:vertAlign w:val="superscript"/>
              </w:rPr>
              <w:t>3</w:t>
            </w:r>
          </w:p>
        </w:tc>
      </w:tr>
    </w:tbl>
    <w:p w14:paraId="45063263" w14:textId="77777777" w:rsidR="00194A61" w:rsidRDefault="00194A61" w:rsidP="00194A61">
      <w:pPr>
        <w:pStyle w:val="FooterTableFigure"/>
        <w:keepNext/>
        <w:keepLines/>
      </w:pPr>
      <w:r>
        <w:t xml:space="preserve">Source: Compiled during the evaluation based on </w:t>
      </w:r>
      <w:r w:rsidRPr="00FA2CE5">
        <w:rPr>
          <w:iCs/>
        </w:rPr>
        <w:t xml:space="preserve">the </w:t>
      </w:r>
      <w:r w:rsidRPr="00FA2CE5">
        <w:t>‘</w:t>
      </w:r>
      <w:r w:rsidRPr="00F76AA0">
        <w:t>Section 3 CE Model Workbook – Takeda Australia – Mobocertinib</w:t>
      </w:r>
      <w:r>
        <w:t>’</w:t>
      </w:r>
    </w:p>
    <w:p w14:paraId="19C7D948" w14:textId="5D3C3BA4" w:rsidR="00194A61" w:rsidRDefault="00194A61" w:rsidP="00194A61">
      <w:pPr>
        <w:pStyle w:val="FooterTableFigure"/>
        <w:keepNext/>
        <w:keepLines/>
      </w:pPr>
      <w:r>
        <w:t>LYG = life year gained; QALY = quality-adjusted life year.</w:t>
      </w:r>
    </w:p>
    <w:p w14:paraId="3749A035" w14:textId="77777777" w:rsidR="00CB329A" w:rsidRPr="009A6D58" w:rsidRDefault="00CB329A" w:rsidP="00CB329A">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001363D9" w14:textId="77777777" w:rsidR="00CB329A" w:rsidRDefault="00CB329A" w:rsidP="00CB329A">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CB329A">
        <w:rPr>
          <w:rFonts w:ascii="Arial Narrow" w:hAnsi="Arial Narrow" w:cs="Arial"/>
          <w:i/>
          <w:sz w:val="18"/>
          <w:szCs w:val="18"/>
        </w:rPr>
        <w:t>$55,000 to &lt; $75,000</w:t>
      </w:r>
    </w:p>
    <w:p w14:paraId="2A1C5B7F" w14:textId="5E148827" w:rsidR="00CB329A" w:rsidRPr="009A6D58" w:rsidRDefault="00CB329A" w:rsidP="00CB329A">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CB329A">
        <w:rPr>
          <w:rFonts w:ascii="Arial Narrow" w:hAnsi="Arial Narrow" w:cs="Arial"/>
          <w:i/>
          <w:sz w:val="18"/>
          <w:szCs w:val="18"/>
        </w:rPr>
        <w:t>$45,000 to &lt; $55,000</w:t>
      </w:r>
    </w:p>
    <w:p w14:paraId="35752796" w14:textId="77777777" w:rsidR="00CB329A" w:rsidRPr="00CB329A" w:rsidRDefault="00CB329A" w:rsidP="00CB329A">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CB329A">
        <w:rPr>
          <w:rFonts w:ascii="Arial Narrow" w:hAnsi="Arial Narrow" w:cs="Arial"/>
          <w:i/>
          <w:sz w:val="18"/>
          <w:szCs w:val="18"/>
        </w:rPr>
        <w:t>$75,000 to &lt; $95,000</w:t>
      </w:r>
    </w:p>
    <w:p w14:paraId="22E7666A" w14:textId="77777777" w:rsidR="00194A61" w:rsidRDefault="00194A61" w:rsidP="00194A61"/>
    <w:p w14:paraId="2250C062" w14:textId="50EF151C" w:rsidR="00194A61" w:rsidRPr="00CD55C3" w:rsidRDefault="00194A61" w:rsidP="00194A61">
      <w:pPr>
        <w:pStyle w:val="3-BodyText"/>
        <w:rPr>
          <w:iCs/>
        </w:rPr>
      </w:pPr>
      <w:r w:rsidRPr="00CD55C3">
        <w:rPr>
          <w:iCs/>
        </w:rPr>
        <w:t xml:space="preserve">The steps that had the most impact on the model estimates were the extension of time horizon (Step 2) and addition of costs associated with AEs, subsequent treatments and disease management (Step 6). As depicted in </w:t>
      </w:r>
      <w:r w:rsidRPr="00CD55C3">
        <w:rPr>
          <w:iCs/>
        </w:rPr>
        <w:fldChar w:fldCharType="begin"/>
      </w:r>
      <w:r w:rsidRPr="00CD55C3">
        <w:rPr>
          <w:iCs/>
        </w:rPr>
        <w:instrText xml:space="preserve"> REF _Ref112239122 \h  \* MERGEFORMAT </w:instrText>
      </w:r>
      <w:r w:rsidRPr="00CD55C3">
        <w:rPr>
          <w:iCs/>
        </w:rPr>
      </w:r>
      <w:r w:rsidRPr="00CD55C3">
        <w:rPr>
          <w:iCs/>
        </w:rPr>
        <w:fldChar w:fldCharType="separate"/>
      </w:r>
      <w:r w:rsidR="001635D4" w:rsidRPr="001635D4">
        <w:rPr>
          <w:iCs/>
        </w:rPr>
        <w:t>Figure 8</w:t>
      </w:r>
      <w:r w:rsidRPr="00CD55C3">
        <w:rPr>
          <w:iCs/>
        </w:rPr>
        <w:fldChar w:fldCharType="end"/>
      </w:r>
      <w:r w:rsidRPr="00CD55C3">
        <w:rPr>
          <w:iCs/>
        </w:rPr>
        <w:t>, 20% of the incremental LYs gained were accrued in the extrapolation period. However, the model is not sensitive to varying the extrapolation approach, and a 5 year time horizon is likely reasonable.</w:t>
      </w:r>
    </w:p>
    <w:p w14:paraId="0EF13B35" w14:textId="26944E3A" w:rsidR="00194A61" w:rsidRPr="00E07C3E" w:rsidRDefault="00194A61" w:rsidP="00194A61">
      <w:pPr>
        <w:pStyle w:val="Caption"/>
        <w:rPr>
          <w:rStyle w:val="CommentReference"/>
          <w:b/>
          <w:szCs w:val="24"/>
        </w:rPr>
      </w:pPr>
      <w:bookmarkStart w:id="60" w:name="_Ref112239122"/>
      <w:r w:rsidRPr="00F24867">
        <w:rPr>
          <w:rStyle w:val="CommentReference"/>
          <w:b/>
          <w:szCs w:val="24"/>
        </w:rPr>
        <w:lastRenderedPageBreak/>
        <w:t xml:space="preserve">Figure </w:t>
      </w:r>
      <w:r w:rsidRPr="00F24867">
        <w:rPr>
          <w:rStyle w:val="CommentReference"/>
          <w:b/>
          <w:szCs w:val="24"/>
        </w:rPr>
        <w:fldChar w:fldCharType="begin"/>
      </w:r>
      <w:r w:rsidRPr="00F24867">
        <w:rPr>
          <w:rStyle w:val="CommentReference"/>
          <w:b/>
          <w:szCs w:val="24"/>
        </w:rPr>
        <w:instrText xml:space="preserve"> SEQ Figure \* ARABIC </w:instrText>
      </w:r>
      <w:r w:rsidRPr="00F24867">
        <w:rPr>
          <w:rStyle w:val="CommentReference"/>
          <w:b/>
          <w:szCs w:val="24"/>
        </w:rPr>
        <w:fldChar w:fldCharType="separate"/>
      </w:r>
      <w:r w:rsidR="001635D4">
        <w:rPr>
          <w:rStyle w:val="CommentReference"/>
          <w:b/>
          <w:noProof/>
          <w:szCs w:val="24"/>
        </w:rPr>
        <w:t>8</w:t>
      </w:r>
      <w:r w:rsidRPr="00F24867">
        <w:rPr>
          <w:rStyle w:val="CommentReference"/>
          <w:b/>
          <w:szCs w:val="24"/>
        </w:rPr>
        <w:fldChar w:fldCharType="end"/>
      </w:r>
      <w:bookmarkEnd w:id="60"/>
      <w:r w:rsidRPr="00F24867">
        <w:rPr>
          <w:rStyle w:val="CommentReference"/>
          <w:b/>
          <w:szCs w:val="24"/>
        </w:rPr>
        <w:t>:</w:t>
      </w:r>
      <w:r>
        <w:rPr>
          <w:rStyle w:val="CommentReference"/>
          <w:b/>
          <w:szCs w:val="24"/>
        </w:rPr>
        <w:t xml:space="preserve"> </w:t>
      </w:r>
      <w:r w:rsidRPr="00E07C3E">
        <w:rPr>
          <w:rStyle w:val="CommentReference"/>
          <w:b/>
          <w:szCs w:val="24"/>
        </w:rPr>
        <w:t>Cumulative life years gained over the time horizon of the model (discounted)</w:t>
      </w:r>
    </w:p>
    <w:p w14:paraId="57791E4B" w14:textId="27798B6E" w:rsidR="00194A61" w:rsidRDefault="00194A61" w:rsidP="00194A61">
      <w:pPr>
        <w:pStyle w:val="FooterTableFigure"/>
        <w:keepNext/>
        <w:keepLines/>
      </w:pPr>
      <w:r>
        <w:rPr>
          <w:b/>
          <w:noProof/>
        </w:rPr>
        <w:drawing>
          <wp:inline distT="0" distB="0" distL="0" distR="0" wp14:anchorId="24EAC904" wp14:editId="0CCB7744">
            <wp:extent cx="5715000" cy="3495743"/>
            <wp:effectExtent l="0" t="0" r="0" b="9525"/>
            <wp:docPr id="1959018435" name="Picture 1959018435" descr="Figure 8: Cumulative life years gained over the time horizon of the model (discou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18435" name="Picture 1959018435" descr="Figure 8: Cumulative life years gained over the time horizon of the model (discoun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9129" cy="3504385"/>
                    </a:xfrm>
                    <a:prstGeom prst="rect">
                      <a:avLst/>
                    </a:prstGeom>
                    <a:noFill/>
                  </pic:spPr>
                </pic:pic>
              </a:graphicData>
            </a:graphic>
          </wp:inline>
        </w:drawing>
      </w:r>
    </w:p>
    <w:p w14:paraId="5C8C0C5E" w14:textId="16B816F3" w:rsidR="00194A61" w:rsidRPr="00F14D4B" w:rsidRDefault="00194A61" w:rsidP="00194A61">
      <w:pPr>
        <w:pStyle w:val="FooterTableFigure"/>
        <w:keepNext/>
        <w:keepLines/>
      </w:pPr>
      <w:r w:rsidRPr="00F14D4B">
        <w:t>Source: Constructed during the evaluation, based on the ‘Section 3 CE Model Workbook – Takeda Australia – Mobocertinib’</w:t>
      </w:r>
    </w:p>
    <w:p w14:paraId="03C36C49" w14:textId="0143D09B" w:rsidR="00194A61" w:rsidRDefault="00194A61" w:rsidP="00194A61">
      <w:pPr>
        <w:pStyle w:val="FooterTableFigure"/>
        <w:keepNext/>
        <w:keepLines/>
      </w:pPr>
      <w:r>
        <w:t>LYG = life years gained.</w:t>
      </w:r>
    </w:p>
    <w:p w14:paraId="21A67E9C" w14:textId="77777777" w:rsidR="00363606" w:rsidRPr="005A4F82" w:rsidRDefault="00363606" w:rsidP="007A2A2F">
      <w:pPr>
        <w:pStyle w:val="FooterTableFigure"/>
        <w:keepNext/>
        <w:keepLines/>
        <w:spacing w:after="0"/>
      </w:pPr>
    </w:p>
    <w:p w14:paraId="193D4174" w14:textId="75D5973F" w:rsidR="008166C1" w:rsidRPr="00082513" w:rsidRDefault="008166C1" w:rsidP="008166C1">
      <w:pPr>
        <w:pStyle w:val="3-BodyText"/>
        <w:rPr>
          <w:rFonts w:cstheme="minorHAnsi"/>
        </w:rPr>
      </w:pPr>
      <w:r w:rsidRPr="00082513">
        <w:rPr>
          <w:rFonts w:cstheme="minorHAnsi"/>
        </w:rPr>
        <w:t xml:space="preserve">The submission identified baseline imbalances between the study populations of Study 101 (mobocertinib) and the two retrospective cohort studies (SOC). To address these differences, the submission conducted an indirect treatment comparison (ITC) of mobocertinib versus SOC using IPTW methodology (refer to </w:t>
      </w:r>
      <w:r w:rsidR="00D958CD" w:rsidRPr="00082513">
        <w:rPr>
          <w:rFonts w:cstheme="minorHAnsi"/>
        </w:rPr>
        <w:fldChar w:fldCharType="begin"/>
      </w:r>
      <w:r w:rsidR="00D958CD" w:rsidRPr="00082513">
        <w:rPr>
          <w:rFonts w:cstheme="minorHAnsi"/>
        </w:rPr>
        <w:instrText xml:space="preserve"> REF _Ref112591372 \h  \* MERGEFORMAT </w:instrText>
      </w:r>
      <w:r w:rsidR="00D958CD" w:rsidRPr="00082513">
        <w:rPr>
          <w:rFonts w:cstheme="minorHAnsi"/>
        </w:rPr>
      </w:r>
      <w:r w:rsidR="00D958CD" w:rsidRPr="00082513">
        <w:rPr>
          <w:rFonts w:cstheme="minorHAnsi"/>
        </w:rPr>
        <w:fldChar w:fldCharType="separate"/>
      </w:r>
      <w:r w:rsidR="001635D4">
        <w:t xml:space="preserve">Table </w:t>
      </w:r>
      <w:r w:rsidR="001635D4">
        <w:rPr>
          <w:noProof/>
        </w:rPr>
        <w:t>7</w:t>
      </w:r>
      <w:r w:rsidR="00D958CD" w:rsidRPr="00082513">
        <w:rPr>
          <w:rFonts w:cstheme="minorHAnsi"/>
        </w:rPr>
        <w:fldChar w:fldCharType="end"/>
      </w:r>
      <w:r w:rsidRPr="00082513">
        <w:rPr>
          <w:rFonts w:cstheme="minorHAnsi"/>
        </w:rPr>
        <w:t xml:space="preserve"> for results). </w:t>
      </w:r>
      <w:r w:rsidRPr="00082513">
        <w:rPr>
          <w:rFonts w:cstheme="minorHAnsi"/>
          <w:iCs/>
        </w:rPr>
        <w:t>The submission has only provided weighted OS and PFS survival data in the model, and therefore the effect of weighting on the model results cannot be quantified. As there are considerable concerns relating to the transitivity of the key studies, the validity of the weighting, and the exclusion of patients from the SOC studies prior to weighting, the weighted KM curves are uncertain and may overestimate the incremental PFS and OS attributed to mobocertinib.</w:t>
      </w:r>
    </w:p>
    <w:p w14:paraId="5E04C87E" w14:textId="03C0CA30" w:rsidR="008166C1" w:rsidRPr="00082513" w:rsidRDefault="008166C1" w:rsidP="008166C1">
      <w:pPr>
        <w:pStyle w:val="3-BodyText"/>
        <w:rPr>
          <w:rFonts w:cstheme="minorHAnsi"/>
          <w:iCs/>
        </w:rPr>
      </w:pPr>
      <w:bookmarkStart w:id="61" w:name="_Ref120800252"/>
      <w:r w:rsidRPr="00082513">
        <w:rPr>
          <w:rFonts w:cstheme="minorHAnsi"/>
          <w:iCs/>
        </w:rPr>
        <w:t>In response to these concerns, the PSCR provided IPTW-adjusted and unadjusted KM curves for PFS, OS and TTD in studies 5002 and 5008, and stated that the adjusted and unadjusted curves are highly similar. The PSCR also provided a summary of the ICERs using the unadjusted KM data for both Study 5002 and 5008</w:t>
      </w:r>
      <w:r w:rsidR="00D958CD" w:rsidRPr="00082513">
        <w:rPr>
          <w:rFonts w:cstheme="minorHAnsi"/>
          <w:iCs/>
        </w:rPr>
        <w:t>.</w:t>
      </w:r>
      <w:r w:rsidRPr="00082513">
        <w:rPr>
          <w:rFonts w:cstheme="minorHAnsi"/>
          <w:iCs/>
        </w:rPr>
        <w:t xml:space="preserve"> The PSCR stated that the lack of sensitivity of the model to the choice of comparator dataset and the IPTW adjustments is a direct consequence of the much greater survival gain with mobocertinib versus the SOC data. </w:t>
      </w:r>
      <w:r w:rsidRPr="00082513">
        <w:rPr>
          <w:iCs/>
        </w:rPr>
        <w:t xml:space="preserve">The ESC noted the </w:t>
      </w:r>
      <w:r w:rsidR="00082513">
        <w:rPr>
          <w:iCs/>
        </w:rPr>
        <w:t xml:space="preserve">economic </w:t>
      </w:r>
      <w:r w:rsidRPr="00082513">
        <w:rPr>
          <w:iCs/>
        </w:rPr>
        <w:t xml:space="preserve">analyses presented in the PSCR continued to include the cost of </w:t>
      </w:r>
      <w:r w:rsidRPr="00082513">
        <w:rPr>
          <w:i/>
        </w:rPr>
        <w:t>EGFR</w:t>
      </w:r>
      <w:r w:rsidRPr="00082513">
        <w:rPr>
          <w:iCs/>
        </w:rPr>
        <w:t xml:space="preserve"> TKIs and ICI in the SOC arm</w:t>
      </w:r>
      <w:r w:rsidRPr="00082513">
        <w:rPr>
          <w:rFonts w:cstheme="minorHAnsi"/>
          <w:iCs/>
        </w:rPr>
        <w:t>.</w:t>
      </w:r>
      <w:r w:rsidR="00525FFC" w:rsidRPr="00082513">
        <w:rPr>
          <w:rFonts w:cstheme="minorHAnsi"/>
          <w:iCs/>
        </w:rPr>
        <w:t xml:space="preserve"> </w:t>
      </w:r>
      <w:r w:rsidR="00E26192" w:rsidRPr="00082513">
        <w:rPr>
          <w:rFonts w:cstheme="minorHAnsi"/>
          <w:iCs/>
        </w:rPr>
        <w:t>These analyses were not independently evaluated and have not been presented herein.</w:t>
      </w:r>
      <w:r w:rsidRPr="00082513">
        <w:rPr>
          <w:rFonts w:cstheme="minorHAnsi"/>
          <w:iCs/>
        </w:rPr>
        <w:t xml:space="preserve"> </w:t>
      </w:r>
      <w:bookmarkEnd w:id="61"/>
    </w:p>
    <w:p w14:paraId="15501071" w14:textId="77777777" w:rsidR="00565ED6" w:rsidRPr="00565ED6" w:rsidRDefault="00565ED6" w:rsidP="008166C1">
      <w:pPr>
        <w:pStyle w:val="3-BodyText"/>
        <w:keepNext/>
        <w:keepLines/>
        <w:numPr>
          <w:ilvl w:val="0"/>
          <w:numId w:val="0"/>
        </w:numPr>
        <w:rPr>
          <w:rFonts w:cstheme="minorHAnsi"/>
          <w:i/>
          <w:iCs/>
        </w:rPr>
      </w:pPr>
    </w:p>
    <w:p w14:paraId="41C52448" w14:textId="77777777" w:rsidR="008166C1" w:rsidRPr="00406A21" w:rsidRDefault="008166C1" w:rsidP="008166C1">
      <w:pPr>
        <w:pStyle w:val="3-BodyText"/>
        <w:rPr>
          <w:rFonts w:cstheme="minorHAnsi"/>
          <w:i/>
          <w:iCs/>
        </w:rPr>
      </w:pPr>
      <w:r w:rsidRPr="00406A21">
        <w:rPr>
          <w:rFonts w:cstheme="minorHAnsi"/>
        </w:rPr>
        <w:t xml:space="preserve">The submission modelled costs and survival outcomes in the comparator arm based on Study 5008. The evaluation considered arguments presented in the submission, to support use of Study 5008 in the base case (rather than Study 5002), as representative of SOC in Australian clinical practice, may not be reasonable. </w:t>
      </w:r>
    </w:p>
    <w:p w14:paraId="2CA2EA11" w14:textId="208798EE" w:rsidR="008166C1" w:rsidRPr="00CB329A" w:rsidRDefault="008166C1" w:rsidP="00F07BE3">
      <w:pPr>
        <w:pStyle w:val="3-BodyText"/>
        <w:rPr>
          <w:iCs/>
        </w:rPr>
      </w:pPr>
      <w:r w:rsidRPr="00CB329A">
        <w:rPr>
          <w:rFonts w:cstheme="minorHAnsi"/>
          <w:iCs/>
        </w:rPr>
        <w:t>A comparison of survival outcomes suggest that Study 5002 has better survival outcomes compared to Study 5008 (</w:t>
      </w:r>
      <w:r w:rsidRPr="00CB329A">
        <w:rPr>
          <w:rFonts w:cstheme="minorHAnsi"/>
          <w:iCs/>
        </w:rPr>
        <w:fldChar w:fldCharType="begin"/>
      </w:r>
      <w:r w:rsidRPr="00CB329A">
        <w:rPr>
          <w:rFonts w:cstheme="minorHAnsi"/>
          <w:iCs/>
        </w:rPr>
        <w:instrText xml:space="preserve"> REF _Ref113036685 \h  \* MERGEFORMAT </w:instrText>
      </w:r>
      <w:r w:rsidRPr="00CB329A">
        <w:rPr>
          <w:rFonts w:cstheme="minorHAnsi"/>
          <w:iCs/>
        </w:rPr>
      </w:r>
      <w:r w:rsidRPr="00CB329A">
        <w:rPr>
          <w:rFonts w:cstheme="minorHAnsi"/>
          <w:iCs/>
        </w:rPr>
        <w:fldChar w:fldCharType="separate"/>
      </w:r>
      <w:r w:rsidR="001635D4" w:rsidRPr="001635D4">
        <w:rPr>
          <w:rFonts w:cstheme="minorHAnsi"/>
          <w:iCs/>
        </w:rPr>
        <w:t>Figure 9</w:t>
      </w:r>
      <w:r w:rsidRPr="00CB329A">
        <w:rPr>
          <w:rFonts w:cstheme="minorHAnsi"/>
          <w:iCs/>
        </w:rPr>
        <w:fldChar w:fldCharType="end"/>
      </w:r>
      <w:r w:rsidRPr="00CB329A">
        <w:rPr>
          <w:rFonts w:cstheme="minorHAnsi"/>
          <w:iCs/>
        </w:rPr>
        <w:t>). The ICER is higher (less favourable) when the costs and survival outcomes are based on Study 5002 (</w:t>
      </w:r>
      <w:r w:rsidRPr="00CB329A">
        <w:rPr>
          <w:rFonts w:cstheme="minorHAnsi"/>
          <w:iCs/>
        </w:rPr>
        <w:fldChar w:fldCharType="begin"/>
      </w:r>
      <w:r w:rsidRPr="00CB329A">
        <w:rPr>
          <w:rFonts w:cstheme="minorHAnsi"/>
          <w:iCs/>
        </w:rPr>
        <w:instrText xml:space="preserve"> REF _Ref113037665 \h  \* MERGEFORMAT </w:instrText>
      </w:r>
      <w:r w:rsidRPr="00CB329A">
        <w:rPr>
          <w:rFonts w:cstheme="minorHAnsi"/>
          <w:iCs/>
        </w:rPr>
      </w:r>
      <w:r w:rsidRPr="00CB329A">
        <w:rPr>
          <w:rFonts w:cstheme="minorHAnsi"/>
          <w:iCs/>
        </w:rPr>
        <w:fldChar w:fldCharType="separate"/>
      </w:r>
      <w:r w:rsidR="001635D4" w:rsidRPr="001635D4">
        <w:rPr>
          <w:rFonts w:cstheme="minorHAnsi"/>
          <w:iCs/>
        </w:rPr>
        <w:t>Table 15</w:t>
      </w:r>
      <w:r w:rsidRPr="00CB329A">
        <w:rPr>
          <w:rFonts w:cstheme="minorHAnsi"/>
          <w:iCs/>
        </w:rPr>
        <w:fldChar w:fldCharType="end"/>
      </w:r>
      <w:r w:rsidRPr="00CB329A">
        <w:rPr>
          <w:rFonts w:cstheme="minorHAnsi"/>
          <w:iCs/>
        </w:rPr>
        <w:t xml:space="preserve">). The evaluation considered that, in the absence of any compelling justification to use one particular observational study as the SOC arm in the model, the choice of Study 5008 in the base case favours mobocertinib. The PSCR maintained that </w:t>
      </w:r>
      <w:r w:rsidRPr="00CB329A">
        <w:rPr>
          <w:iCs/>
        </w:rPr>
        <w:t xml:space="preserve">the choice of Study 5008 to inform the economic model was based on a distribution of SOC treatments that was more applicable to the Australian setting than Study 5002. The PSCR noted that an analysis in which both 5008 and 5002 SOC arms are pooled (equal weighting) yielded an ICER of </w:t>
      </w:r>
      <w:r w:rsidR="00CB329A" w:rsidRPr="00CB329A">
        <w:rPr>
          <w:iCs/>
        </w:rPr>
        <w:t xml:space="preserve">$95,000 to &lt; $115,000 </w:t>
      </w:r>
      <w:r w:rsidRPr="00CB329A">
        <w:rPr>
          <w:iCs/>
        </w:rPr>
        <w:t xml:space="preserve">/ QALY. </w:t>
      </w:r>
      <w:r w:rsidR="00A33D5E" w:rsidRPr="00CB329A">
        <w:rPr>
          <w:iCs/>
        </w:rPr>
        <w:t>As for the separate analyses for Studies 5008 and 5002</w:t>
      </w:r>
      <w:r w:rsidR="005F71DB" w:rsidRPr="00CB329A">
        <w:rPr>
          <w:iCs/>
        </w:rPr>
        <w:t xml:space="preserve"> presented in the PSCR</w:t>
      </w:r>
      <w:r w:rsidR="001D390E" w:rsidRPr="00CB329A">
        <w:rPr>
          <w:iCs/>
        </w:rPr>
        <w:t xml:space="preserve"> (paragraph </w:t>
      </w:r>
      <w:r w:rsidR="001D390E" w:rsidRPr="00CB329A">
        <w:rPr>
          <w:iCs/>
        </w:rPr>
        <w:fldChar w:fldCharType="begin"/>
      </w:r>
      <w:r w:rsidR="001D390E" w:rsidRPr="00CB329A">
        <w:rPr>
          <w:iCs/>
        </w:rPr>
        <w:instrText xml:space="preserve"> REF _Ref120800252 \r \h </w:instrText>
      </w:r>
      <w:r w:rsidR="00406A21" w:rsidRPr="00CB329A">
        <w:rPr>
          <w:iCs/>
        </w:rPr>
        <w:instrText xml:space="preserve"> \* MERGEFORMAT </w:instrText>
      </w:r>
      <w:r w:rsidR="001D390E" w:rsidRPr="00CB329A">
        <w:rPr>
          <w:iCs/>
        </w:rPr>
      </w:r>
      <w:r w:rsidR="001D390E" w:rsidRPr="00CB329A">
        <w:rPr>
          <w:iCs/>
        </w:rPr>
        <w:fldChar w:fldCharType="separate"/>
      </w:r>
      <w:r w:rsidR="001635D4">
        <w:rPr>
          <w:iCs/>
        </w:rPr>
        <w:t>6.67</w:t>
      </w:r>
      <w:r w:rsidR="001D390E" w:rsidRPr="00CB329A">
        <w:rPr>
          <w:iCs/>
        </w:rPr>
        <w:fldChar w:fldCharType="end"/>
      </w:r>
      <w:r w:rsidR="001D390E" w:rsidRPr="00CB329A">
        <w:rPr>
          <w:iCs/>
        </w:rPr>
        <w:t>)</w:t>
      </w:r>
      <w:r w:rsidR="00A33D5E" w:rsidRPr="00CB329A">
        <w:rPr>
          <w:iCs/>
        </w:rPr>
        <w:t>, t</w:t>
      </w:r>
      <w:r w:rsidRPr="00CB329A">
        <w:rPr>
          <w:iCs/>
        </w:rPr>
        <w:t>he ESC noted the analyses</w:t>
      </w:r>
      <w:r w:rsidR="00A33D5E" w:rsidRPr="00CB329A">
        <w:rPr>
          <w:iCs/>
        </w:rPr>
        <w:t xml:space="preserve"> for the pooled 5008 and 5002 studies</w:t>
      </w:r>
      <w:r w:rsidRPr="00CB329A">
        <w:rPr>
          <w:iCs/>
        </w:rPr>
        <w:t xml:space="preserve"> continued to include the cost of </w:t>
      </w:r>
      <w:r w:rsidRPr="00CB329A">
        <w:rPr>
          <w:i/>
        </w:rPr>
        <w:t>EGFR</w:t>
      </w:r>
      <w:r w:rsidRPr="00CB329A">
        <w:rPr>
          <w:iCs/>
        </w:rPr>
        <w:t xml:space="preserve"> TKIs and ICI in the SOC cost. </w:t>
      </w:r>
      <w:r w:rsidR="00525FFC" w:rsidRPr="00CB329A">
        <w:rPr>
          <w:rFonts w:cstheme="minorHAnsi"/>
          <w:iCs/>
        </w:rPr>
        <w:t>Th</w:t>
      </w:r>
      <w:r w:rsidR="00A33D5E" w:rsidRPr="00CB329A">
        <w:rPr>
          <w:rFonts w:cstheme="minorHAnsi"/>
          <w:iCs/>
        </w:rPr>
        <w:t>ese</w:t>
      </w:r>
      <w:r w:rsidR="00525FFC" w:rsidRPr="00CB329A">
        <w:rPr>
          <w:rFonts w:cstheme="minorHAnsi"/>
          <w:iCs/>
        </w:rPr>
        <w:t xml:space="preserve"> analys</w:t>
      </w:r>
      <w:r w:rsidR="00A33D5E" w:rsidRPr="00CB329A">
        <w:rPr>
          <w:rFonts w:cstheme="minorHAnsi"/>
          <w:iCs/>
        </w:rPr>
        <w:t>es</w:t>
      </w:r>
      <w:r w:rsidR="00525FFC" w:rsidRPr="00CB329A">
        <w:rPr>
          <w:rFonts w:cstheme="minorHAnsi"/>
          <w:iCs/>
        </w:rPr>
        <w:t xml:space="preserve"> w</w:t>
      </w:r>
      <w:r w:rsidR="00A33D5E" w:rsidRPr="00CB329A">
        <w:rPr>
          <w:rFonts w:cstheme="minorHAnsi"/>
          <w:iCs/>
        </w:rPr>
        <w:t>ere</w:t>
      </w:r>
      <w:r w:rsidR="00525FFC" w:rsidRPr="00CB329A">
        <w:rPr>
          <w:rFonts w:cstheme="minorHAnsi"/>
          <w:iCs/>
        </w:rPr>
        <w:t xml:space="preserve"> not independently evaluated.</w:t>
      </w:r>
    </w:p>
    <w:p w14:paraId="7B1DE2D7" w14:textId="4F727C0C" w:rsidR="00194A61" w:rsidRPr="00CD55C3" w:rsidRDefault="008B5715" w:rsidP="00194A61">
      <w:pPr>
        <w:pStyle w:val="3-BodyText"/>
        <w:rPr>
          <w:iCs/>
        </w:rPr>
      </w:pPr>
      <w:r>
        <w:rPr>
          <w:iCs/>
        </w:rPr>
        <w:t>As described</w:t>
      </w:r>
      <w:r w:rsidR="00406A21">
        <w:rPr>
          <w:iCs/>
        </w:rPr>
        <w:t xml:space="preserve"> above</w:t>
      </w:r>
      <w:r>
        <w:rPr>
          <w:iCs/>
        </w:rPr>
        <w:t>, t</w:t>
      </w:r>
      <w:r w:rsidR="00194A61" w:rsidRPr="00F51A73">
        <w:rPr>
          <w:iCs/>
        </w:rPr>
        <w:t xml:space="preserve">he </w:t>
      </w:r>
      <w:r w:rsidR="00F51A73" w:rsidRPr="00F51A73">
        <w:rPr>
          <w:iCs/>
        </w:rPr>
        <w:t xml:space="preserve">evaluation </w:t>
      </w:r>
      <w:r w:rsidR="00194A61" w:rsidRPr="00F51A73">
        <w:rPr>
          <w:iCs/>
        </w:rPr>
        <w:t>identified</w:t>
      </w:r>
      <w:r w:rsidR="00194A61" w:rsidRPr="00CD55C3">
        <w:rPr>
          <w:iCs/>
        </w:rPr>
        <w:t xml:space="preserve"> several issues with the approaches and assumptions in the model. Therefore, a respecified base case (</w:t>
      </w:r>
      <w:r w:rsidR="00194A61" w:rsidRPr="00CD55C3">
        <w:rPr>
          <w:iCs/>
        </w:rPr>
        <w:fldChar w:fldCharType="begin"/>
      </w:r>
      <w:r w:rsidR="00194A61" w:rsidRPr="00CD55C3">
        <w:rPr>
          <w:iCs/>
        </w:rPr>
        <w:instrText xml:space="preserve"> REF _Ref112238784 \h  \* MERGEFORMAT </w:instrText>
      </w:r>
      <w:r w:rsidR="00194A61" w:rsidRPr="00CD55C3">
        <w:rPr>
          <w:iCs/>
        </w:rPr>
      </w:r>
      <w:r w:rsidR="00194A61" w:rsidRPr="00CD55C3">
        <w:rPr>
          <w:iCs/>
        </w:rPr>
        <w:fldChar w:fldCharType="separate"/>
      </w:r>
      <w:r w:rsidR="001635D4" w:rsidRPr="001635D4">
        <w:rPr>
          <w:iCs/>
        </w:rPr>
        <w:t xml:space="preserve">Table </w:t>
      </w:r>
      <w:r w:rsidR="001635D4" w:rsidRPr="001635D4">
        <w:rPr>
          <w:iCs/>
          <w:noProof/>
        </w:rPr>
        <w:t>14</w:t>
      </w:r>
      <w:r w:rsidR="00194A61" w:rsidRPr="00CD55C3">
        <w:rPr>
          <w:iCs/>
        </w:rPr>
        <w:fldChar w:fldCharType="end"/>
      </w:r>
      <w:r w:rsidR="00194A61" w:rsidRPr="00CD55C3">
        <w:rPr>
          <w:iCs/>
        </w:rPr>
        <w:t xml:space="preserve">) </w:t>
      </w:r>
      <w:r w:rsidR="002213A3">
        <w:rPr>
          <w:iCs/>
        </w:rPr>
        <w:t>was</w:t>
      </w:r>
      <w:r w:rsidR="00194A61" w:rsidRPr="00CD55C3">
        <w:rPr>
          <w:iCs/>
        </w:rPr>
        <w:t xml:space="preserve"> proposed that addresses those issues. The respecified base case altered the submission's base case in the following ways</w:t>
      </w:r>
      <w:r w:rsidR="00E26192">
        <w:rPr>
          <w:iCs/>
        </w:rPr>
        <w:t>:</w:t>
      </w:r>
    </w:p>
    <w:p w14:paraId="44944665" w14:textId="77777777" w:rsidR="00194A61" w:rsidRPr="00CD55C3" w:rsidRDefault="00194A61" w:rsidP="008D68A8">
      <w:pPr>
        <w:pStyle w:val="3-BodyText"/>
        <w:numPr>
          <w:ilvl w:val="0"/>
          <w:numId w:val="8"/>
        </w:numPr>
        <w:rPr>
          <w:iCs/>
        </w:rPr>
      </w:pPr>
      <w:r w:rsidRPr="00CD55C3">
        <w:rPr>
          <w:iCs/>
        </w:rPr>
        <w:t>does not include half-cycle correction in the calculation of treatment costs;</w:t>
      </w:r>
    </w:p>
    <w:p w14:paraId="075D66F0" w14:textId="77777777" w:rsidR="00194A61" w:rsidRPr="00CD55C3" w:rsidRDefault="00194A61" w:rsidP="008D68A8">
      <w:pPr>
        <w:pStyle w:val="3-BodyText"/>
        <w:numPr>
          <w:ilvl w:val="0"/>
          <w:numId w:val="8"/>
        </w:numPr>
        <w:rPr>
          <w:iCs/>
        </w:rPr>
      </w:pPr>
      <w:r w:rsidRPr="00CD55C3">
        <w:rPr>
          <w:iCs/>
        </w:rPr>
        <w:t>limits the cost of treatment in the SOC arm to chemotherapies only;</w:t>
      </w:r>
    </w:p>
    <w:p w14:paraId="2542BB4A" w14:textId="77777777" w:rsidR="00194A61" w:rsidRPr="00CD55C3" w:rsidRDefault="00194A61" w:rsidP="008D68A8">
      <w:pPr>
        <w:pStyle w:val="3-BodyText"/>
        <w:numPr>
          <w:ilvl w:val="0"/>
          <w:numId w:val="8"/>
        </w:numPr>
        <w:rPr>
          <w:iCs/>
        </w:rPr>
      </w:pPr>
      <w:r w:rsidRPr="00CD55C3">
        <w:rPr>
          <w:iCs/>
        </w:rPr>
        <w:t>limits subsequent treatment to only single agent chemotherapies in both arms.</w:t>
      </w:r>
    </w:p>
    <w:p w14:paraId="0C17BEE8" w14:textId="56BDF2E0" w:rsidR="00194A61" w:rsidRPr="00631760" w:rsidRDefault="00194A61" w:rsidP="00251E42">
      <w:pPr>
        <w:pStyle w:val="Caption"/>
        <w:rPr>
          <w:rStyle w:val="CommentReference"/>
          <w:b/>
          <w:szCs w:val="18"/>
        </w:rPr>
      </w:pPr>
      <w:bookmarkStart w:id="62" w:name="_Ref112238784"/>
      <w:r>
        <w:lastRenderedPageBreak/>
        <w:t xml:space="preserve">Table </w:t>
      </w:r>
      <w:r w:rsidR="001635D4">
        <w:fldChar w:fldCharType="begin"/>
      </w:r>
      <w:r w:rsidR="001635D4">
        <w:instrText xml:space="preserve"> SEQ Table \* ARABIC </w:instrText>
      </w:r>
      <w:r w:rsidR="001635D4">
        <w:fldChar w:fldCharType="separate"/>
      </w:r>
      <w:r w:rsidR="001635D4">
        <w:rPr>
          <w:noProof/>
        </w:rPr>
        <w:t>14</w:t>
      </w:r>
      <w:r w:rsidR="001635D4">
        <w:rPr>
          <w:noProof/>
        </w:rPr>
        <w:fldChar w:fldCharType="end"/>
      </w:r>
      <w:bookmarkEnd w:id="62"/>
      <w:r>
        <w:t xml:space="preserve">: </w:t>
      </w:r>
      <w:r w:rsidRPr="005478BD">
        <w:rPr>
          <w:rStyle w:val="CommentReference"/>
          <w:b/>
          <w:szCs w:val="24"/>
        </w:rPr>
        <w:t>Results of the stepped economic evaluation</w:t>
      </w:r>
      <w:r>
        <w:rPr>
          <w:rStyle w:val="CommentReference"/>
          <w:b/>
          <w:szCs w:val="24"/>
        </w:rPr>
        <w:t xml:space="preserve"> – respecified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194A61" w:rsidRPr="00CD55C3" w14:paraId="41897641" w14:textId="77777777" w:rsidTr="00AC6F83">
        <w:trPr>
          <w:tblHeader/>
        </w:trPr>
        <w:tc>
          <w:tcPr>
            <w:tcW w:w="1529" w:type="pct"/>
            <w:vAlign w:val="center"/>
          </w:tcPr>
          <w:p w14:paraId="06038687" w14:textId="77777777" w:rsidR="00194A61" w:rsidRPr="00CD55C3" w:rsidRDefault="00194A61" w:rsidP="00251E42">
            <w:pPr>
              <w:pStyle w:val="In-tableHeading"/>
              <w:keepLines/>
              <w:rPr>
                <w:iCs/>
              </w:rPr>
            </w:pPr>
            <w:r w:rsidRPr="00CD55C3">
              <w:rPr>
                <w:iCs/>
              </w:rPr>
              <w:t>Step and component</w:t>
            </w:r>
          </w:p>
        </w:tc>
        <w:tc>
          <w:tcPr>
            <w:tcW w:w="1359" w:type="pct"/>
            <w:vAlign w:val="center"/>
          </w:tcPr>
          <w:p w14:paraId="504C9E04" w14:textId="77777777" w:rsidR="00194A61" w:rsidRPr="00CD55C3" w:rsidRDefault="00194A61" w:rsidP="00251E42">
            <w:pPr>
              <w:pStyle w:val="In-tableHeading"/>
              <w:keepLines/>
              <w:jc w:val="center"/>
              <w:rPr>
                <w:iCs/>
              </w:rPr>
            </w:pPr>
            <w:r w:rsidRPr="00CD55C3">
              <w:rPr>
                <w:iCs/>
              </w:rPr>
              <w:t>Proposed medicine</w:t>
            </w:r>
          </w:p>
        </w:tc>
        <w:tc>
          <w:tcPr>
            <w:tcW w:w="1274" w:type="pct"/>
            <w:vAlign w:val="center"/>
          </w:tcPr>
          <w:p w14:paraId="2656E967" w14:textId="77777777" w:rsidR="00194A61" w:rsidRPr="00CD55C3" w:rsidRDefault="00194A61" w:rsidP="00251E42">
            <w:pPr>
              <w:pStyle w:val="In-tableHeading"/>
              <w:keepLines/>
              <w:jc w:val="center"/>
              <w:rPr>
                <w:iCs/>
              </w:rPr>
            </w:pPr>
            <w:r w:rsidRPr="00CD55C3">
              <w:rPr>
                <w:iCs/>
              </w:rPr>
              <w:t>Comparator</w:t>
            </w:r>
          </w:p>
        </w:tc>
        <w:tc>
          <w:tcPr>
            <w:tcW w:w="838" w:type="pct"/>
            <w:vAlign w:val="center"/>
          </w:tcPr>
          <w:p w14:paraId="6F44E81C" w14:textId="77777777" w:rsidR="00194A61" w:rsidRPr="00CD55C3" w:rsidRDefault="00194A61" w:rsidP="00251E42">
            <w:pPr>
              <w:pStyle w:val="In-tableHeading"/>
              <w:keepLines/>
              <w:jc w:val="center"/>
              <w:rPr>
                <w:iCs/>
              </w:rPr>
            </w:pPr>
            <w:r w:rsidRPr="00CD55C3">
              <w:rPr>
                <w:iCs/>
              </w:rPr>
              <w:t>Increment</w:t>
            </w:r>
          </w:p>
        </w:tc>
      </w:tr>
      <w:tr w:rsidR="00194A61" w:rsidRPr="00CD55C3" w14:paraId="469DC243" w14:textId="77777777" w:rsidTr="00AC6F83">
        <w:tc>
          <w:tcPr>
            <w:tcW w:w="5000" w:type="pct"/>
            <w:gridSpan w:val="4"/>
            <w:vAlign w:val="center"/>
          </w:tcPr>
          <w:p w14:paraId="518A6DA9" w14:textId="77777777" w:rsidR="00194A61" w:rsidRPr="00CD55C3" w:rsidRDefault="00194A61" w:rsidP="00251E42">
            <w:pPr>
              <w:pStyle w:val="TableText0"/>
              <w:keepLines/>
              <w:rPr>
                <w:b/>
                <w:iCs/>
              </w:rPr>
            </w:pPr>
            <w:r w:rsidRPr="00CD55C3">
              <w:rPr>
                <w:b/>
                <w:iCs/>
              </w:rPr>
              <w:t>Step 1: trial-based costs (including administration costs) and outcomes</w:t>
            </w:r>
          </w:p>
        </w:tc>
      </w:tr>
      <w:tr w:rsidR="00194A61" w:rsidRPr="00CD55C3" w14:paraId="169CBC0D" w14:textId="77777777" w:rsidTr="001D6D9F">
        <w:tc>
          <w:tcPr>
            <w:tcW w:w="1529" w:type="pct"/>
            <w:vAlign w:val="center"/>
          </w:tcPr>
          <w:p w14:paraId="2D326453" w14:textId="35FDB580" w:rsidR="00194A61" w:rsidRPr="00CD55C3" w:rsidRDefault="00194A61" w:rsidP="00251E42">
            <w:pPr>
              <w:pStyle w:val="TableText0"/>
              <w:keepLines/>
              <w:rPr>
                <w:iCs/>
              </w:rPr>
            </w:pPr>
            <w:r w:rsidRPr="00CD55C3">
              <w:rPr>
                <w:iCs/>
              </w:rPr>
              <w:t>Costs</w:t>
            </w:r>
            <w:r w:rsidR="00CB329A">
              <w:rPr>
                <w:iCs/>
              </w:rPr>
              <w:t xml:space="preserve"> ($)</w:t>
            </w:r>
          </w:p>
        </w:tc>
        <w:tc>
          <w:tcPr>
            <w:tcW w:w="1359" w:type="pct"/>
            <w:shd w:val="solid" w:color="000000" w:fill="000000"/>
            <w:vAlign w:val="center"/>
          </w:tcPr>
          <w:p w14:paraId="013F91C8" w14:textId="2FC490A9" w:rsidR="00194A61" w:rsidRPr="00CD55C3" w:rsidRDefault="001D6D9F" w:rsidP="00251E42">
            <w:pPr>
              <w:pStyle w:val="TableText0"/>
              <w:keepLines/>
              <w:jc w:val="center"/>
              <w:rPr>
                <w:iCs/>
              </w:rPr>
            </w:pPr>
            <w:r w:rsidRPr="001D6D9F">
              <w:rPr>
                <w:iCs/>
                <w:color w:val="000000"/>
                <w14:textFill>
                  <w14:solidFill>
                    <w14:srgbClr w14:val="000000">
                      <w14:alpha w14:val="100000"/>
                    </w14:srgbClr>
                  </w14:solidFill>
                </w14:textFill>
              </w:rPr>
              <w:t>|</w:t>
            </w:r>
          </w:p>
        </w:tc>
        <w:tc>
          <w:tcPr>
            <w:tcW w:w="1274" w:type="pct"/>
            <w:vAlign w:val="center"/>
          </w:tcPr>
          <w:p w14:paraId="7EC86006" w14:textId="77777777" w:rsidR="00194A61" w:rsidRPr="00CD55C3" w:rsidRDefault="00194A61" w:rsidP="00251E42">
            <w:pPr>
              <w:pStyle w:val="TableText0"/>
              <w:keepLines/>
              <w:jc w:val="center"/>
              <w:rPr>
                <w:iCs/>
              </w:rPr>
            </w:pPr>
            <w:r w:rsidRPr="00CD55C3">
              <w:rPr>
                <w:iCs/>
              </w:rPr>
              <w:t>$2,137</w:t>
            </w:r>
          </w:p>
        </w:tc>
        <w:tc>
          <w:tcPr>
            <w:tcW w:w="838" w:type="pct"/>
            <w:shd w:val="solid" w:color="000000" w:fill="000000"/>
            <w:vAlign w:val="center"/>
          </w:tcPr>
          <w:p w14:paraId="6818B320" w14:textId="641B8424" w:rsidR="00194A61" w:rsidRPr="00CD55C3" w:rsidRDefault="001D6D9F" w:rsidP="00251E42">
            <w:pPr>
              <w:pStyle w:val="TableText0"/>
              <w:keepLines/>
              <w:jc w:val="center"/>
              <w:rPr>
                <w:iCs/>
              </w:rPr>
            </w:pPr>
            <w:r w:rsidRPr="001D6D9F">
              <w:rPr>
                <w:iCs/>
                <w:color w:val="000000"/>
                <w14:textFill>
                  <w14:solidFill>
                    <w14:srgbClr w14:val="000000">
                      <w14:alpha w14:val="100000"/>
                    </w14:srgbClr>
                  </w14:solidFill>
                </w14:textFill>
              </w:rPr>
              <w:t>|</w:t>
            </w:r>
          </w:p>
        </w:tc>
      </w:tr>
      <w:tr w:rsidR="00194A61" w:rsidRPr="00CD55C3" w14:paraId="1E075FB7" w14:textId="77777777" w:rsidTr="00AC6F83">
        <w:tc>
          <w:tcPr>
            <w:tcW w:w="1529" w:type="pct"/>
            <w:vAlign w:val="center"/>
          </w:tcPr>
          <w:p w14:paraId="15E70801" w14:textId="77777777" w:rsidR="00194A61" w:rsidRPr="00CD55C3" w:rsidRDefault="00194A61" w:rsidP="00251E42">
            <w:pPr>
              <w:pStyle w:val="TableText0"/>
              <w:keepLines/>
              <w:rPr>
                <w:iCs/>
              </w:rPr>
            </w:pPr>
            <w:r w:rsidRPr="00CD55C3">
              <w:rPr>
                <w:iCs/>
              </w:rPr>
              <w:t>LYG</w:t>
            </w:r>
          </w:p>
        </w:tc>
        <w:tc>
          <w:tcPr>
            <w:tcW w:w="1359" w:type="pct"/>
            <w:vAlign w:val="center"/>
          </w:tcPr>
          <w:p w14:paraId="5B2ADA90" w14:textId="77777777" w:rsidR="00194A61" w:rsidRPr="00CD55C3" w:rsidRDefault="00194A61" w:rsidP="00251E42">
            <w:pPr>
              <w:pStyle w:val="TableText0"/>
              <w:keepLines/>
              <w:jc w:val="center"/>
              <w:rPr>
                <w:iCs/>
              </w:rPr>
            </w:pPr>
            <w:r w:rsidRPr="00CD55C3">
              <w:rPr>
                <w:iCs/>
              </w:rPr>
              <w:t>1.750</w:t>
            </w:r>
          </w:p>
        </w:tc>
        <w:tc>
          <w:tcPr>
            <w:tcW w:w="1274" w:type="pct"/>
            <w:vAlign w:val="center"/>
          </w:tcPr>
          <w:p w14:paraId="160FBC1A" w14:textId="77777777" w:rsidR="00194A61" w:rsidRPr="00CD55C3" w:rsidRDefault="00194A61" w:rsidP="00251E42">
            <w:pPr>
              <w:pStyle w:val="TableText0"/>
              <w:keepLines/>
              <w:jc w:val="center"/>
              <w:rPr>
                <w:iCs/>
              </w:rPr>
            </w:pPr>
            <w:r w:rsidRPr="00CD55C3">
              <w:rPr>
                <w:iCs/>
              </w:rPr>
              <w:t>0.999</w:t>
            </w:r>
          </w:p>
        </w:tc>
        <w:tc>
          <w:tcPr>
            <w:tcW w:w="838" w:type="pct"/>
            <w:vAlign w:val="center"/>
          </w:tcPr>
          <w:p w14:paraId="74AFF999" w14:textId="77777777" w:rsidR="00194A61" w:rsidRPr="00CD55C3" w:rsidRDefault="00194A61" w:rsidP="00251E42">
            <w:pPr>
              <w:pStyle w:val="TableText0"/>
              <w:keepLines/>
              <w:jc w:val="center"/>
              <w:rPr>
                <w:iCs/>
              </w:rPr>
            </w:pPr>
            <w:r w:rsidRPr="00CD55C3">
              <w:rPr>
                <w:iCs/>
              </w:rPr>
              <w:t>0.751</w:t>
            </w:r>
          </w:p>
        </w:tc>
      </w:tr>
      <w:tr w:rsidR="00194A61" w:rsidRPr="00CD55C3" w14:paraId="5E7E2CFE" w14:textId="77777777" w:rsidTr="00AC6F83">
        <w:tc>
          <w:tcPr>
            <w:tcW w:w="4162" w:type="pct"/>
            <w:gridSpan w:val="3"/>
            <w:vAlign w:val="center"/>
          </w:tcPr>
          <w:p w14:paraId="1BEFB025" w14:textId="73CC8B44" w:rsidR="00194A61" w:rsidRPr="00CD55C3" w:rsidRDefault="00194A61" w:rsidP="00251E42">
            <w:pPr>
              <w:pStyle w:val="TableText0"/>
              <w:keepLines/>
              <w:rPr>
                <w:iCs/>
              </w:rPr>
            </w:pPr>
            <w:r w:rsidRPr="00CD55C3">
              <w:rPr>
                <w:iCs/>
              </w:rPr>
              <w:t>Incremental cost/LYG gained</w:t>
            </w:r>
            <w:r w:rsidR="00CB329A">
              <w:rPr>
                <w:iCs/>
              </w:rPr>
              <w:t xml:space="preserve"> ($)</w:t>
            </w:r>
          </w:p>
        </w:tc>
        <w:tc>
          <w:tcPr>
            <w:tcW w:w="838" w:type="pct"/>
            <w:vAlign w:val="center"/>
          </w:tcPr>
          <w:p w14:paraId="55454BEA" w14:textId="286BFAA1" w:rsidR="00194A61" w:rsidRPr="00CB329A" w:rsidRDefault="001D6D9F" w:rsidP="00251E42">
            <w:pPr>
              <w:pStyle w:val="TableText0"/>
              <w:keepLines/>
              <w:jc w:val="center"/>
              <w:rPr>
                <w:iCs/>
                <w:vertAlign w:val="superscript"/>
              </w:rPr>
            </w:pPr>
            <w:r w:rsidRPr="001D6D9F">
              <w:rPr>
                <w:iCs/>
                <w:color w:val="000000"/>
                <w:shd w:val="solid" w:color="000000" w:fill="000000"/>
                <w14:textFill>
                  <w14:solidFill>
                    <w14:srgbClr w14:val="000000">
                      <w14:alpha w14:val="100000"/>
                    </w14:srgbClr>
                  </w14:solidFill>
                </w14:textFill>
              </w:rPr>
              <w:t>|</w:t>
            </w:r>
            <w:r w:rsidR="00CB329A">
              <w:rPr>
                <w:iCs/>
                <w:vertAlign w:val="superscript"/>
              </w:rPr>
              <w:t>1</w:t>
            </w:r>
          </w:p>
        </w:tc>
      </w:tr>
      <w:tr w:rsidR="00194A61" w:rsidRPr="00CD55C3" w14:paraId="73B5BD5A" w14:textId="77777777" w:rsidTr="00AC6F83">
        <w:tc>
          <w:tcPr>
            <w:tcW w:w="4162" w:type="pct"/>
            <w:gridSpan w:val="3"/>
            <w:vAlign w:val="center"/>
          </w:tcPr>
          <w:p w14:paraId="2990F613" w14:textId="77777777" w:rsidR="00194A61" w:rsidRPr="00CD55C3" w:rsidRDefault="00194A61" w:rsidP="00251E42">
            <w:pPr>
              <w:pStyle w:val="TableText0"/>
              <w:keepLines/>
              <w:jc w:val="right"/>
              <w:rPr>
                <w:iCs/>
              </w:rPr>
            </w:pPr>
            <w:r w:rsidRPr="00CD55C3">
              <w:rPr>
                <w:iCs/>
              </w:rPr>
              <w:t>Submission base case</w:t>
            </w:r>
          </w:p>
        </w:tc>
        <w:tc>
          <w:tcPr>
            <w:tcW w:w="838" w:type="pct"/>
            <w:vAlign w:val="center"/>
          </w:tcPr>
          <w:p w14:paraId="393CFCA9" w14:textId="4B95AEBE" w:rsidR="00194A61" w:rsidRPr="00CB329A" w:rsidRDefault="001D6D9F" w:rsidP="00251E42">
            <w:pPr>
              <w:pStyle w:val="TableText0"/>
              <w:keepLines/>
              <w:jc w:val="center"/>
              <w:rPr>
                <w:iCs/>
                <w:vertAlign w:val="superscript"/>
              </w:rPr>
            </w:pPr>
            <w:r w:rsidRPr="001D6D9F">
              <w:rPr>
                <w:iCs/>
                <w:color w:val="000000"/>
                <w:shd w:val="solid" w:color="000000" w:fill="000000"/>
                <w14:textFill>
                  <w14:solidFill>
                    <w14:srgbClr w14:val="000000">
                      <w14:alpha w14:val="100000"/>
                    </w14:srgbClr>
                  </w14:solidFill>
                </w14:textFill>
              </w:rPr>
              <w:t>|</w:t>
            </w:r>
            <w:r w:rsidR="00CB329A">
              <w:rPr>
                <w:iCs/>
                <w:vertAlign w:val="superscript"/>
              </w:rPr>
              <w:t>2</w:t>
            </w:r>
          </w:p>
        </w:tc>
      </w:tr>
      <w:tr w:rsidR="00194A61" w:rsidRPr="00CD55C3" w14:paraId="6A29090B" w14:textId="77777777" w:rsidTr="00AC6F83">
        <w:tc>
          <w:tcPr>
            <w:tcW w:w="5000" w:type="pct"/>
            <w:gridSpan w:val="4"/>
            <w:vAlign w:val="center"/>
          </w:tcPr>
          <w:p w14:paraId="1E2E1D5C" w14:textId="77777777" w:rsidR="00194A61" w:rsidRPr="00CD55C3" w:rsidRDefault="00194A61" w:rsidP="00251E42">
            <w:pPr>
              <w:pStyle w:val="In-tableHeading"/>
              <w:keepLines/>
              <w:rPr>
                <w:iCs/>
              </w:rPr>
            </w:pPr>
            <w:r w:rsidRPr="00CD55C3">
              <w:rPr>
                <w:iCs/>
              </w:rPr>
              <w:t>Step 2: time horizon extended to 5 years</w:t>
            </w:r>
          </w:p>
        </w:tc>
      </w:tr>
      <w:tr w:rsidR="00194A61" w:rsidRPr="00CD55C3" w14:paraId="0ECC0CC0" w14:textId="77777777" w:rsidTr="001D6D9F">
        <w:tc>
          <w:tcPr>
            <w:tcW w:w="1529" w:type="pct"/>
            <w:vAlign w:val="center"/>
          </w:tcPr>
          <w:p w14:paraId="434CD4CC" w14:textId="0907B47B" w:rsidR="00194A61" w:rsidRPr="00CD55C3" w:rsidRDefault="00194A61" w:rsidP="00251E42">
            <w:pPr>
              <w:pStyle w:val="TableText0"/>
              <w:keepLines/>
              <w:rPr>
                <w:iCs/>
              </w:rPr>
            </w:pPr>
            <w:r w:rsidRPr="00CD55C3">
              <w:rPr>
                <w:iCs/>
              </w:rPr>
              <w:t>Costs</w:t>
            </w:r>
            <w:r w:rsidR="00CB329A">
              <w:rPr>
                <w:iCs/>
              </w:rPr>
              <w:t xml:space="preserve"> ($)</w:t>
            </w:r>
          </w:p>
        </w:tc>
        <w:tc>
          <w:tcPr>
            <w:tcW w:w="1359" w:type="pct"/>
            <w:shd w:val="solid" w:color="000000" w:fill="000000"/>
            <w:vAlign w:val="center"/>
          </w:tcPr>
          <w:p w14:paraId="758C5BDD" w14:textId="06F898A2" w:rsidR="00194A61" w:rsidRPr="00CD55C3" w:rsidRDefault="001D6D9F" w:rsidP="00251E42">
            <w:pPr>
              <w:pStyle w:val="TableText0"/>
              <w:keepLines/>
              <w:jc w:val="center"/>
              <w:rPr>
                <w:iCs/>
              </w:rPr>
            </w:pPr>
            <w:r w:rsidRPr="001D6D9F">
              <w:rPr>
                <w:iCs/>
                <w:color w:val="000000"/>
                <w14:textFill>
                  <w14:solidFill>
                    <w14:srgbClr w14:val="000000">
                      <w14:alpha w14:val="100000"/>
                    </w14:srgbClr>
                  </w14:solidFill>
                </w14:textFill>
              </w:rPr>
              <w:t>|</w:t>
            </w:r>
          </w:p>
        </w:tc>
        <w:tc>
          <w:tcPr>
            <w:tcW w:w="1274" w:type="pct"/>
            <w:vAlign w:val="center"/>
          </w:tcPr>
          <w:p w14:paraId="24AD319C" w14:textId="77777777" w:rsidR="00194A61" w:rsidRPr="00CD55C3" w:rsidRDefault="00194A61" w:rsidP="00251E42">
            <w:pPr>
              <w:pStyle w:val="TableText0"/>
              <w:keepLines/>
              <w:jc w:val="center"/>
              <w:rPr>
                <w:iCs/>
              </w:rPr>
            </w:pPr>
            <w:r w:rsidRPr="00CD55C3">
              <w:rPr>
                <w:iCs/>
              </w:rPr>
              <w:t>$2,137</w:t>
            </w:r>
          </w:p>
        </w:tc>
        <w:tc>
          <w:tcPr>
            <w:tcW w:w="838" w:type="pct"/>
            <w:shd w:val="solid" w:color="000000" w:fill="000000"/>
            <w:vAlign w:val="center"/>
          </w:tcPr>
          <w:p w14:paraId="2354FF1F" w14:textId="694976F9" w:rsidR="00194A61" w:rsidRPr="00CD55C3" w:rsidRDefault="001D6D9F" w:rsidP="00251E42">
            <w:pPr>
              <w:pStyle w:val="TableText0"/>
              <w:keepLines/>
              <w:jc w:val="center"/>
              <w:rPr>
                <w:iCs/>
              </w:rPr>
            </w:pPr>
            <w:r w:rsidRPr="001D6D9F">
              <w:rPr>
                <w:iCs/>
                <w:color w:val="000000"/>
                <w14:textFill>
                  <w14:solidFill>
                    <w14:srgbClr w14:val="000000">
                      <w14:alpha w14:val="100000"/>
                    </w14:srgbClr>
                  </w14:solidFill>
                </w14:textFill>
              </w:rPr>
              <w:t>|</w:t>
            </w:r>
          </w:p>
        </w:tc>
      </w:tr>
      <w:tr w:rsidR="00194A61" w:rsidRPr="00CD55C3" w14:paraId="273622BE" w14:textId="77777777" w:rsidTr="00AC6F83">
        <w:tc>
          <w:tcPr>
            <w:tcW w:w="1529" w:type="pct"/>
            <w:vAlign w:val="center"/>
          </w:tcPr>
          <w:p w14:paraId="4511D5FA" w14:textId="77777777" w:rsidR="00194A61" w:rsidRPr="00CD55C3" w:rsidRDefault="00194A61" w:rsidP="00251E42">
            <w:pPr>
              <w:pStyle w:val="TableText0"/>
              <w:keepLines/>
              <w:rPr>
                <w:iCs/>
              </w:rPr>
            </w:pPr>
            <w:r w:rsidRPr="00CD55C3">
              <w:rPr>
                <w:iCs/>
              </w:rPr>
              <w:t>LYG</w:t>
            </w:r>
          </w:p>
        </w:tc>
        <w:tc>
          <w:tcPr>
            <w:tcW w:w="1359" w:type="pct"/>
            <w:vAlign w:val="center"/>
          </w:tcPr>
          <w:p w14:paraId="584AA273" w14:textId="77777777" w:rsidR="00194A61" w:rsidRPr="00CD55C3" w:rsidRDefault="00194A61" w:rsidP="00251E42">
            <w:pPr>
              <w:pStyle w:val="TableText0"/>
              <w:keepLines/>
              <w:jc w:val="center"/>
              <w:rPr>
                <w:iCs/>
              </w:rPr>
            </w:pPr>
            <w:r w:rsidRPr="00CD55C3">
              <w:rPr>
                <w:iCs/>
              </w:rPr>
              <w:t>2.014</w:t>
            </w:r>
          </w:p>
        </w:tc>
        <w:tc>
          <w:tcPr>
            <w:tcW w:w="1274" w:type="pct"/>
            <w:vAlign w:val="center"/>
          </w:tcPr>
          <w:p w14:paraId="4246EC52" w14:textId="77777777" w:rsidR="00194A61" w:rsidRPr="00CD55C3" w:rsidRDefault="00194A61" w:rsidP="00251E42">
            <w:pPr>
              <w:pStyle w:val="TableText0"/>
              <w:keepLines/>
              <w:jc w:val="center"/>
              <w:rPr>
                <w:iCs/>
              </w:rPr>
            </w:pPr>
            <w:r w:rsidRPr="00CD55C3">
              <w:rPr>
                <w:iCs/>
              </w:rPr>
              <w:t>1.006</w:t>
            </w:r>
          </w:p>
        </w:tc>
        <w:tc>
          <w:tcPr>
            <w:tcW w:w="838" w:type="pct"/>
            <w:vAlign w:val="center"/>
          </w:tcPr>
          <w:p w14:paraId="35E4D7C3" w14:textId="77777777" w:rsidR="00194A61" w:rsidRPr="00CD55C3" w:rsidRDefault="00194A61" w:rsidP="00251E42">
            <w:pPr>
              <w:pStyle w:val="TableText0"/>
              <w:keepLines/>
              <w:jc w:val="center"/>
              <w:rPr>
                <w:iCs/>
              </w:rPr>
            </w:pPr>
            <w:r w:rsidRPr="00CD55C3">
              <w:rPr>
                <w:iCs/>
              </w:rPr>
              <w:t>1.008</w:t>
            </w:r>
          </w:p>
        </w:tc>
      </w:tr>
      <w:tr w:rsidR="00194A61" w:rsidRPr="00CD55C3" w14:paraId="5AD05265" w14:textId="77777777" w:rsidTr="00AC6F83">
        <w:tc>
          <w:tcPr>
            <w:tcW w:w="4162" w:type="pct"/>
            <w:gridSpan w:val="3"/>
            <w:vAlign w:val="center"/>
          </w:tcPr>
          <w:p w14:paraId="62DF90C3" w14:textId="07A38111" w:rsidR="00194A61" w:rsidRPr="00CD55C3" w:rsidRDefault="00194A61" w:rsidP="00251E42">
            <w:pPr>
              <w:pStyle w:val="TableText0"/>
              <w:keepLines/>
              <w:rPr>
                <w:iCs/>
              </w:rPr>
            </w:pPr>
            <w:r w:rsidRPr="00CD55C3">
              <w:rPr>
                <w:iCs/>
              </w:rPr>
              <w:t>Incremental cost/LYG gained</w:t>
            </w:r>
            <w:r w:rsidR="00CB329A">
              <w:rPr>
                <w:iCs/>
              </w:rPr>
              <w:t xml:space="preserve"> ($)</w:t>
            </w:r>
          </w:p>
        </w:tc>
        <w:tc>
          <w:tcPr>
            <w:tcW w:w="838" w:type="pct"/>
            <w:vAlign w:val="center"/>
          </w:tcPr>
          <w:p w14:paraId="35C17C75" w14:textId="31792FFE" w:rsidR="00194A61" w:rsidRPr="00CB329A" w:rsidRDefault="001D6D9F" w:rsidP="00251E42">
            <w:pPr>
              <w:pStyle w:val="TableText0"/>
              <w:keepLines/>
              <w:jc w:val="center"/>
              <w:rPr>
                <w:iCs/>
                <w:vertAlign w:val="superscript"/>
              </w:rPr>
            </w:pPr>
            <w:r w:rsidRPr="001D6D9F">
              <w:rPr>
                <w:iCs/>
                <w:color w:val="000000"/>
                <w:shd w:val="solid" w:color="000000" w:fill="000000"/>
                <w14:textFill>
                  <w14:solidFill>
                    <w14:srgbClr w14:val="000000">
                      <w14:alpha w14:val="100000"/>
                    </w14:srgbClr>
                  </w14:solidFill>
                </w14:textFill>
              </w:rPr>
              <w:t>|</w:t>
            </w:r>
            <w:r w:rsidR="00CB329A">
              <w:rPr>
                <w:iCs/>
                <w:vertAlign w:val="superscript"/>
              </w:rPr>
              <w:t>3</w:t>
            </w:r>
          </w:p>
        </w:tc>
      </w:tr>
      <w:tr w:rsidR="00194A61" w:rsidRPr="00CD55C3" w14:paraId="36CB47B0" w14:textId="77777777" w:rsidTr="00AC6F83">
        <w:tc>
          <w:tcPr>
            <w:tcW w:w="4162" w:type="pct"/>
            <w:gridSpan w:val="3"/>
            <w:vAlign w:val="center"/>
          </w:tcPr>
          <w:p w14:paraId="04F5C7E2" w14:textId="77777777" w:rsidR="00194A61" w:rsidRPr="00CD55C3" w:rsidRDefault="00194A61" w:rsidP="00251E42">
            <w:pPr>
              <w:pStyle w:val="TableText0"/>
              <w:keepLines/>
              <w:jc w:val="right"/>
              <w:rPr>
                <w:iCs/>
              </w:rPr>
            </w:pPr>
            <w:r w:rsidRPr="00CD55C3">
              <w:rPr>
                <w:iCs/>
              </w:rPr>
              <w:t>Submission base case</w:t>
            </w:r>
          </w:p>
        </w:tc>
        <w:tc>
          <w:tcPr>
            <w:tcW w:w="838" w:type="pct"/>
            <w:vAlign w:val="center"/>
          </w:tcPr>
          <w:p w14:paraId="6401DEC0" w14:textId="0608874F" w:rsidR="00194A61" w:rsidRPr="00CB329A" w:rsidRDefault="001D6D9F" w:rsidP="00251E42">
            <w:pPr>
              <w:pStyle w:val="TableText0"/>
              <w:keepLines/>
              <w:jc w:val="center"/>
              <w:rPr>
                <w:iCs/>
                <w:vertAlign w:val="superscript"/>
              </w:rPr>
            </w:pPr>
            <w:r w:rsidRPr="001D6D9F">
              <w:rPr>
                <w:iCs/>
                <w:color w:val="000000"/>
                <w:shd w:val="solid" w:color="000000" w:fill="000000"/>
                <w14:textFill>
                  <w14:solidFill>
                    <w14:srgbClr w14:val="000000">
                      <w14:alpha w14:val="100000"/>
                    </w14:srgbClr>
                  </w14:solidFill>
                </w14:textFill>
              </w:rPr>
              <w:t>|</w:t>
            </w:r>
            <w:r w:rsidR="00CB329A">
              <w:rPr>
                <w:iCs/>
                <w:vertAlign w:val="superscript"/>
              </w:rPr>
              <w:t>4</w:t>
            </w:r>
          </w:p>
        </w:tc>
      </w:tr>
      <w:tr w:rsidR="00194A61" w:rsidRPr="00CD55C3" w14:paraId="5C2B405F" w14:textId="77777777" w:rsidTr="00AC6F83">
        <w:tc>
          <w:tcPr>
            <w:tcW w:w="5000" w:type="pct"/>
            <w:gridSpan w:val="4"/>
            <w:vAlign w:val="center"/>
          </w:tcPr>
          <w:p w14:paraId="2F89FFE8" w14:textId="77777777" w:rsidR="00194A61" w:rsidRPr="00CD55C3" w:rsidRDefault="00194A61" w:rsidP="00251E42">
            <w:pPr>
              <w:pStyle w:val="TableText0"/>
              <w:keepLines/>
              <w:rPr>
                <w:b/>
                <w:iCs/>
              </w:rPr>
            </w:pPr>
            <w:r w:rsidRPr="00CD55C3">
              <w:rPr>
                <w:b/>
                <w:iCs/>
              </w:rPr>
              <w:t>Step 3: Convergence applied</w:t>
            </w:r>
          </w:p>
        </w:tc>
      </w:tr>
      <w:tr w:rsidR="00194A61" w:rsidRPr="00CD55C3" w14:paraId="46BF8213" w14:textId="77777777" w:rsidTr="001D6D9F">
        <w:tc>
          <w:tcPr>
            <w:tcW w:w="1529" w:type="pct"/>
            <w:vAlign w:val="center"/>
          </w:tcPr>
          <w:p w14:paraId="0251553B" w14:textId="269B2D5D" w:rsidR="00194A61" w:rsidRPr="00CD55C3" w:rsidRDefault="00194A61" w:rsidP="00251E42">
            <w:pPr>
              <w:pStyle w:val="TableText0"/>
              <w:keepLines/>
              <w:rPr>
                <w:iCs/>
              </w:rPr>
            </w:pPr>
            <w:r w:rsidRPr="00CD55C3">
              <w:rPr>
                <w:iCs/>
              </w:rPr>
              <w:t>Costs</w:t>
            </w:r>
            <w:r w:rsidR="00CB329A">
              <w:rPr>
                <w:iCs/>
              </w:rPr>
              <w:t xml:space="preserve"> ($)</w:t>
            </w:r>
          </w:p>
        </w:tc>
        <w:tc>
          <w:tcPr>
            <w:tcW w:w="1359" w:type="pct"/>
            <w:shd w:val="solid" w:color="000000" w:fill="000000"/>
            <w:vAlign w:val="center"/>
          </w:tcPr>
          <w:p w14:paraId="053F6E50" w14:textId="2951CA85" w:rsidR="00194A61" w:rsidRPr="00CD55C3" w:rsidRDefault="001D6D9F" w:rsidP="00251E42">
            <w:pPr>
              <w:pStyle w:val="TableText0"/>
              <w:keepLines/>
              <w:jc w:val="center"/>
              <w:rPr>
                <w:iCs/>
              </w:rPr>
            </w:pPr>
            <w:r w:rsidRPr="001D6D9F">
              <w:rPr>
                <w:iCs/>
                <w:color w:val="000000"/>
                <w14:textFill>
                  <w14:solidFill>
                    <w14:srgbClr w14:val="000000">
                      <w14:alpha w14:val="100000"/>
                    </w14:srgbClr>
                  </w14:solidFill>
                </w14:textFill>
              </w:rPr>
              <w:t>|</w:t>
            </w:r>
          </w:p>
        </w:tc>
        <w:tc>
          <w:tcPr>
            <w:tcW w:w="1274" w:type="pct"/>
            <w:vAlign w:val="center"/>
          </w:tcPr>
          <w:p w14:paraId="6D77972E" w14:textId="77777777" w:rsidR="00194A61" w:rsidRPr="00CD55C3" w:rsidRDefault="00194A61" w:rsidP="00251E42">
            <w:pPr>
              <w:pStyle w:val="TableText0"/>
              <w:keepLines/>
              <w:jc w:val="center"/>
              <w:rPr>
                <w:iCs/>
              </w:rPr>
            </w:pPr>
            <w:r w:rsidRPr="00CD55C3">
              <w:rPr>
                <w:iCs/>
              </w:rPr>
              <w:t>$2,137</w:t>
            </w:r>
          </w:p>
        </w:tc>
        <w:tc>
          <w:tcPr>
            <w:tcW w:w="838" w:type="pct"/>
            <w:shd w:val="solid" w:color="000000" w:fill="000000"/>
            <w:vAlign w:val="center"/>
          </w:tcPr>
          <w:p w14:paraId="1FEF9F50" w14:textId="1DBB110E" w:rsidR="00194A61" w:rsidRPr="00CD55C3" w:rsidRDefault="001D6D9F" w:rsidP="00251E42">
            <w:pPr>
              <w:pStyle w:val="TableText0"/>
              <w:keepLines/>
              <w:jc w:val="center"/>
              <w:rPr>
                <w:iCs/>
              </w:rPr>
            </w:pPr>
            <w:r w:rsidRPr="001D6D9F">
              <w:rPr>
                <w:iCs/>
                <w:color w:val="000000"/>
                <w14:textFill>
                  <w14:solidFill>
                    <w14:srgbClr w14:val="000000">
                      <w14:alpha w14:val="100000"/>
                    </w14:srgbClr>
                  </w14:solidFill>
                </w14:textFill>
              </w:rPr>
              <w:t>|</w:t>
            </w:r>
          </w:p>
        </w:tc>
      </w:tr>
      <w:tr w:rsidR="00194A61" w:rsidRPr="00CD55C3" w14:paraId="64BDF7AF" w14:textId="77777777" w:rsidTr="00AC6F83">
        <w:tc>
          <w:tcPr>
            <w:tcW w:w="1529" w:type="pct"/>
            <w:vAlign w:val="center"/>
          </w:tcPr>
          <w:p w14:paraId="3BEDEDB7" w14:textId="77777777" w:rsidR="00194A61" w:rsidRPr="00CD55C3" w:rsidRDefault="00194A61" w:rsidP="00251E42">
            <w:pPr>
              <w:pStyle w:val="TableText0"/>
              <w:keepLines/>
              <w:rPr>
                <w:iCs/>
              </w:rPr>
            </w:pPr>
            <w:r w:rsidRPr="00CD55C3">
              <w:rPr>
                <w:iCs/>
              </w:rPr>
              <w:t>LYG</w:t>
            </w:r>
          </w:p>
        </w:tc>
        <w:tc>
          <w:tcPr>
            <w:tcW w:w="1359" w:type="pct"/>
            <w:vAlign w:val="center"/>
          </w:tcPr>
          <w:p w14:paraId="31C56504" w14:textId="77777777" w:rsidR="00194A61" w:rsidRPr="00CD55C3" w:rsidRDefault="00194A61" w:rsidP="00251E42">
            <w:pPr>
              <w:pStyle w:val="TableText0"/>
              <w:keepLines/>
              <w:jc w:val="center"/>
              <w:rPr>
                <w:iCs/>
              </w:rPr>
            </w:pPr>
            <w:r w:rsidRPr="00CD55C3">
              <w:rPr>
                <w:iCs/>
              </w:rPr>
              <w:t>1.976</w:t>
            </w:r>
          </w:p>
        </w:tc>
        <w:tc>
          <w:tcPr>
            <w:tcW w:w="1274" w:type="pct"/>
            <w:vAlign w:val="center"/>
          </w:tcPr>
          <w:p w14:paraId="7CC114A1" w14:textId="77777777" w:rsidR="00194A61" w:rsidRPr="00CD55C3" w:rsidRDefault="00194A61" w:rsidP="00251E42">
            <w:pPr>
              <w:pStyle w:val="TableText0"/>
              <w:keepLines/>
              <w:jc w:val="center"/>
              <w:rPr>
                <w:iCs/>
              </w:rPr>
            </w:pPr>
            <w:r w:rsidRPr="00CD55C3">
              <w:rPr>
                <w:iCs/>
              </w:rPr>
              <w:t>1.006</w:t>
            </w:r>
          </w:p>
        </w:tc>
        <w:tc>
          <w:tcPr>
            <w:tcW w:w="838" w:type="pct"/>
            <w:vAlign w:val="center"/>
          </w:tcPr>
          <w:p w14:paraId="16415DF3" w14:textId="77777777" w:rsidR="00194A61" w:rsidRPr="00CD55C3" w:rsidRDefault="00194A61" w:rsidP="00251E42">
            <w:pPr>
              <w:pStyle w:val="TableText0"/>
              <w:keepLines/>
              <w:jc w:val="center"/>
              <w:rPr>
                <w:iCs/>
              </w:rPr>
            </w:pPr>
            <w:r w:rsidRPr="00CD55C3">
              <w:rPr>
                <w:iCs/>
              </w:rPr>
              <w:t>0.970</w:t>
            </w:r>
          </w:p>
        </w:tc>
      </w:tr>
      <w:tr w:rsidR="00194A61" w:rsidRPr="00CD55C3" w14:paraId="509B5332" w14:textId="77777777" w:rsidTr="00AC6F83">
        <w:tc>
          <w:tcPr>
            <w:tcW w:w="4162" w:type="pct"/>
            <w:gridSpan w:val="3"/>
            <w:vAlign w:val="center"/>
          </w:tcPr>
          <w:p w14:paraId="66D3EE8E" w14:textId="2A280780" w:rsidR="00194A61" w:rsidRPr="00CD55C3" w:rsidRDefault="00194A61" w:rsidP="00251E42">
            <w:pPr>
              <w:pStyle w:val="TableText0"/>
              <w:keepLines/>
              <w:rPr>
                <w:iCs/>
              </w:rPr>
            </w:pPr>
            <w:r w:rsidRPr="00CD55C3">
              <w:rPr>
                <w:iCs/>
              </w:rPr>
              <w:t>Incremental cost/extra LYG gained</w:t>
            </w:r>
            <w:r w:rsidR="00CB329A">
              <w:rPr>
                <w:iCs/>
              </w:rPr>
              <w:t xml:space="preserve"> ($)</w:t>
            </w:r>
          </w:p>
        </w:tc>
        <w:tc>
          <w:tcPr>
            <w:tcW w:w="838" w:type="pct"/>
            <w:vAlign w:val="center"/>
          </w:tcPr>
          <w:p w14:paraId="6B73B2B2" w14:textId="7F64BF15" w:rsidR="00194A61" w:rsidRPr="00CB329A" w:rsidRDefault="001D6D9F" w:rsidP="00251E42">
            <w:pPr>
              <w:pStyle w:val="TableText0"/>
              <w:keepLines/>
              <w:jc w:val="center"/>
              <w:rPr>
                <w:iCs/>
                <w:highlight w:val="darkGray"/>
                <w:vertAlign w:val="superscript"/>
              </w:rPr>
            </w:pPr>
            <w:r w:rsidRPr="001D6D9F">
              <w:rPr>
                <w:iCs/>
                <w:color w:val="000000"/>
                <w:shd w:val="solid" w:color="000000" w:fill="000000"/>
                <w14:textFill>
                  <w14:solidFill>
                    <w14:srgbClr w14:val="000000">
                      <w14:alpha w14:val="100000"/>
                    </w14:srgbClr>
                  </w14:solidFill>
                </w14:textFill>
              </w:rPr>
              <w:t>|</w:t>
            </w:r>
            <w:r w:rsidR="00CB329A">
              <w:rPr>
                <w:iCs/>
                <w:vertAlign w:val="superscript"/>
              </w:rPr>
              <w:t>3</w:t>
            </w:r>
          </w:p>
        </w:tc>
      </w:tr>
      <w:tr w:rsidR="00194A61" w:rsidRPr="00CD55C3" w14:paraId="00FED7F0" w14:textId="77777777" w:rsidTr="00AC6F83">
        <w:tc>
          <w:tcPr>
            <w:tcW w:w="4162" w:type="pct"/>
            <w:gridSpan w:val="3"/>
            <w:vAlign w:val="center"/>
          </w:tcPr>
          <w:p w14:paraId="71D37ACE" w14:textId="77777777" w:rsidR="00194A61" w:rsidRPr="00CD55C3" w:rsidRDefault="00194A61" w:rsidP="00251E42">
            <w:pPr>
              <w:pStyle w:val="TableText0"/>
              <w:keepLines/>
              <w:jc w:val="right"/>
              <w:rPr>
                <w:iCs/>
              </w:rPr>
            </w:pPr>
            <w:r w:rsidRPr="00CD55C3">
              <w:rPr>
                <w:iCs/>
              </w:rPr>
              <w:t>Submission base case</w:t>
            </w:r>
          </w:p>
        </w:tc>
        <w:tc>
          <w:tcPr>
            <w:tcW w:w="838" w:type="pct"/>
            <w:vAlign w:val="center"/>
          </w:tcPr>
          <w:p w14:paraId="591B2247" w14:textId="66464052" w:rsidR="00194A61" w:rsidRPr="00CB329A" w:rsidRDefault="001D6D9F" w:rsidP="00251E42">
            <w:pPr>
              <w:pStyle w:val="TableText0"/>
              <w:keepLines/>
              <w:jc w:val="center"/>
              <w:rPr>
                <w:iCs/>
                <w:highlight w:val="darkGray"/>
                <w:vertAlign w:val="superscript"/>
              </w:rPr>
            </w:pPr>
            <w:r w:rsidRPr="001D6D9F">
              <w:rPr>
                <w:iCs/>
                <w:color w:val="000000"/>
                <w:shd w:val="solid" w:color="000000" w:fill="000000"/>
                <w14:textFill>
                  <w14:solidFill>
                    <w14:srgbClr w14:val="000000">
                      <w14:alpha w14:val="100000"/>
                    </w14:srgbClr>
                  </w14:solidFill>
                </w14:textFill>
              </w:rPr>
              <w:t>|</w:t>
            </w:r>
            <w:r w:rsidR="00CB329A" w:rsidRPr="00CB329A">
              <w:rPr>
                <w:iCs/>
                <w:vertAlign w:val="superscript"/>
              </w:rPr>
              <w:t>2</w:t>
            </w:r>
          </w:p>
        </w:tc>
      </w:tr>
      <w:tr w:rsidR="00194A61" w:rsidRPr="00CD55C3" w14:paraId="2B6EE2E1" w14:textId="77777777" w:rsidTr="001D6D9F">
        <w:tc>
          <w:tcPr>
            <w:tcW w:w="1529" w:type="pct"/>
            <w:vAlign w:val="center"/>
          </w:tcPr>
          <w:p w14:paraId="4BAEB301" w14:textId="77777777" w:rsidR="00194A61" w:rsidRPr="00CD55C3" w:rsidRDefault="00194A61" w:rsidP="00251E42">
            <w:pPr>
              <w:pStyle w:val="TableText0"/>
              <w:keepLines/>
              <w:rPr>
                <w:b/>
                <w:iCs/>
              </w:rPr>
            </w:pPr>
            <w:r w:rsidRPr="00CD55C3">
              <w:rPr>
                <w:b/>
                <w:iCs/>
              </w:rPr>
              <w:t>Step 4: discounting (5%) included</w:t>
            </w:r>
          </w:p>
        </w:tc>
        <w:tc>
          <w:tcPr>
            <w:tcW w:w="1359" w:type="pct"/>
            <w:tcBorders>
              <w:bottom w:val="single" w:sz="4" w:space="0" w:color="auto"/>
            </w:tcBorders>
            <w:vAlign w:val="center"/>
          </w:tcPr>
          <w:p w14:paraId="08161CA3" w14:textId="77777777" w:rsidR="00194A61" w:rsidRPr="00CD55C3" w:rsidRDefault="00194A61" w:rsidP="00251E42">
            <w:pPr>
              <w:pStyle w:val="TableText0"/>
              <w:keepLines/>
              <w:jc w:val="center"/>
              <w:rPr>
                <w:iCs/>
              </w:rPr>
            </w:pPr>
          </w:p>
        </w:tc>
        <w:tc>
          <w:tcPr>
            <w:tcW w:w="1274" w:type="pct"/>
            <w:vAlign w:val="center"/>
          </w:tcPr>
          <w:p w14:paraId="53554E0A" w14:textId="77777777" w:rsidR="00194A61" w:rsidRPr="00CD55C3" w:rsidRDefault="00194A61" w:rsidP="00251E42">
            <w:pPr>
              <w:pStyle w:val="TableText0"/>
              <w:keepLines/>
              <w:jc w:val="center"/>
              <w:rPr>
                <w:iCs/>
              </w:rPr>
            </w:pPr>
          </w:p>
        </w:tc>
        <w:tc>
          <w:tcPr>
            <w:tcW w:w="838" w:type="pct"/>
            <w:tcBorders>
              <w:bottom w:val="single" w:sz="4" w:space="0" w:color="auto"/>
            </w:tcBorders>
            <w:vAlign w:val="center"/>
          </w:tcPr>
          <w:p w14:paraId="0A9FB1A6" w14:textId="77777777" w:rsidR="00194A61" w:rsidRPr="00CD55C3" w:rsidRDefault="00194A61" w:rsidP="00251E42">
            <w:pPr>
              <w:pStyle w:val="TableText0"/>
              <w:keepLines/>
              <w:jc w:val="center"/>
              <w:rPr>
                <w:iCs/>
              </w:rPr>
            </w:pPr>
          </w:p>
        </w:tc>
      </w:tr>
      <w:tr w:rsidR="00194A61" w:rsidRPr="00CD55C3" w14:paraId="7B343F8A" w14:textId="77777777" w:rsidTr="001D6D9F">
        <w:tc>
          <w:tcPr>
            <w:tcW w:w="1529" w:type="pct"/>
            <w:vAlign w:val="center"/>
          </w:tcPr>
          <w:p w14:paraId="5802A6B5" w14:textId="5CB4949D" w:rsidR="00194A61" w:rsidRPr="00CD55C3" w:rsidRDefault="00194A61" w:rsidP="00251E42">
            <w:pPr>
              <w:pStyle w:val="TableText0"/>
              <w:keepLines/>
              <w:rPr>
                <w:iCs/>
              </w:rPr>
            </w:pPr>
            <w:r w:rsidRPr="00CD55C3">
              <w:rPr>
                <w:iCs/>
              </w:rPr>
              <w:t>Costs</w:t>
            </w:r>
            <w:r w:rsidR="00CB329A">
              <w:rPr>
                <w:iCs/>
              </w:rPr>
              <w:t xml:space="preserve"> ($)</w:t>
            </w:r>
          </w:p>
        </w:tc>
        <w:tc>
          <w:tcPr>
            <w:tcW w:w="1359" w:type="pct"/>
            <w:shd w:val="solid" w:color="000000" w:fill="000000"/>
            <w:vAlign w:val="center"/>
          </w:tcPr>
          <w:p w14:paraId="78C246D7" w14:textId="13BC2C24" w:rsidR="00194A61" w:rsidRPr="00CD55C3" w:rsidRDefault="001D6D9F" w:rsidP="00251E42">
            <w:pPr>
              <w:pStyle w:val="TableText0"/>
              <w:keepLines/>
              <w:jc w:val="center"/>
              <w:rPr>
                <w:iCs/>
              </w:rPr>
            </w:pPr>
            <w:r w:rsidRPr="001D6D9F">
              <w:rPr>
                <w:iCs/>
                <w:color w:val="000000"/>
                <w14:textFill>
                  <w14:solidFill>
                    <w14:srgbClr w14:val="000000">
                      <w14:alpha w14:val="100000"/>
                    </w14:srgbClr>
                  </w14:solidFill>
                </w14:textFill>
              </w:rPr>
              <w:t>|</w:t>
            </w:r>
          </w:p>
        </w:tc>
        <w:tc>
          <w:tcPr>
            <w:tcW w:w="1274" w:type="pct"/>
            <w:vAlign w:val="center"/>
          </w:tcPr>
          <w:p w14:paraId="5024A52F" w14:textId="77777777" w:rsidR="00194A61" w:rsidRPr="00CD55C3" w:rsidRDefault="00194A61" w:rsidP="00251E42">
            <w:pPr>
              <w:pStyle w:val="TableText0"/>
              <w:keepLines/>
              <w:jc w:val="center"/>
              <w:rPr>
                <w:iCs/>
              </w:rPr>
            </w:pPr>
            <w:r w:rsidRPr="00CD55C3">
              <w:rPr>
                <w:iCs/>
              </w:rPr>
              <w:t>$2,097</w:t>
            </w:r>
          </w:p>
        </w:tc>
        <w:tc>
          <w:tcPr>
            <w:tcW w:w="838" w:type="pct"/>
            <w:shd w:val="solid" w:color="000000" w:fill="000000"/>
            <w:vAlign w:val="center"/>
          </w:tcPr>
          <w:p w14:paraId="28E1D850" w14:textId="167507BA" w:rsidR="00194A61" w:rsidRPr="00CD55C3" w:rsidRDefault="001D6D9F" w:rsidP="00251E42">
            <w:pPr>
              <w:pStyle w:val="TableText0"/>
              <w:keepLines/>
              <w:jc w:val="center"/>
              <w:rPr>
                <w:iCs/>
              </w:rPr>
            </w:pPr>
            <w:r w:rsidRPr="001D6D9F">
              <w:rPr>
                <w:iCs/>
                <w:color w:val="000000"/>
                <w14:textFill>
                  <w14:solidFill>
                    <w14:srgbClr w14:val="000000">
                      <w14:alpha w14:val="100000"/>
                    </w14:srgbClr>
                  </w14:solidFill>
                </w14:textFill>
              </w:rPr>
              <w:t>|</w:t>
            </w:r>
          </w:p>
        </w:tc>
      </w:tr>
      <w:tr w:rsidR="00194A61" w:rsidRPr="00CD55C3" w14:paraId="2825613F" w14:textId="77777777" w:rsidTr="00AC6F83">
        <w:tc>
          <w:tcPr>
            <w:tcW w:w="1529" w:type="pct"/>
            <w:vAlign w:val="center"/>
          </w:tcPr>
          <w:p w14:paraId="1E76801B" w14:textId="77777777" w:rsidR="00194A61" w:rsidRPr="00CD55C3" w:rsidRDefault="00194A61" w:rsidP="00251E42">
            <w:pPr>
              <w:pStyle w:val="TableText0"/>
              <w:keepLines/>
              <w:rPr>
                <w:iCs/>
              </w:rPr>
            </w:pPr>
            <w:r w:rsidRPr="00CD55C3">
              <w:rPr>
                <w:iCs/>
              </w:rPr>
              <w:t>LYG</w:t>
            </w:r>
          </w:p>
        </w:tc>
        <w:tc>
          <w:tcPr>
            <w:tcW w:w="1359" w:type="pct"/>
            <w:vAlign w:val="center"/>
          </w:tcPr>
          <w:p w14:paraId="431D3FBC" w14:textId="77777777" w:rsidR="00194A61" w:rsidRPr="00CD55C3" w:rsidRDefault="00194A61" w:rsidP="00251E42">
            <w:pPr>
              <w:pStyle w:val="TableText0"/>
              <w:keepLines/>
              <w:jc w:val="center"/>
              <w:rPr>
                <w:iCs/>
              </w:rPr>
            </w:pPr>
            <w:r w:rsidRPr="00CD55C3">
              <w:rPr>
                <w:iCs/>
              </w:rPr>
              <w:t>1.844</w:t>
            </w:r>
          </w:p>
        </w:tc>
        <w:tc>
          <w:tcPr>
            <w:tcW w:w="1274" w:type="pct"/>
            <w:vAlign w:val="center"/>
          </w:tcPr>
          <w:p w14:paraId="5422E46A" w14:textId="77777777" w:rsidR="00194A61" w:rsidRPr="00CD55C3" w:rsidRDefault="00194A61" w:rsidP="00251E42">
            <w:pPr>
              <w:pStyle w:val="TableText0"/>
              <w:keepLines/>
              <w:jc w:val="center"/>
              <w:rPr>
                <w:iCs/>
              </w:rPr>
            </w:pPr>
            <w:r w:rsidRPr="00CD55C3">
              <w:rPr>
                <w:iCs/>
              </w:rPr>
              <w:t>0.969</w:t>
            </w:r>
          </w:p>
        </w:tc>
        <w:tc>
          <w:tcPr>
            <w:tcW w:w="838" w:type="pct"/>
            <w:vAlign w:val="center"/>
          </w:tcPr>
          <w:p w14:paraId="59A19D88" w14:textId="77777777" w:rsidR="00194A61" w:rsidRPr="00CD55C3" w:rsidRDefault="00194A61" w:rsidP="00251E42">
            <w:pPr>
              <w:pStyle w:val="TableText0"/>
              <w:keepLines/>
              <w:jc w:val="center"/>
              <w:rPr>
                <w:iCs/>
              </w:rPr>
            </w:pPr>
            <w:r w:rsidRPr="00CD55C3">
              <w:rPr>
                <w:iCs/>
              </w:rPr>
              <w:t>0.874</w:t>
            </w:r>
          </w:p>
        </w:tc>
      </w:tr>
      <w:tr w:rsidR="00194A61" w:rsidRPr="00CD55C3" w14:paraId="6C83074C" w14:textId="77777777" w:rsidTr="00AC6F83">
        <w:tc>
          <w:tcPr>
            <w:tcW w:w="4162" w:type="pct"/>
            <w:gridSpan w:val="3"/>
            <w:vAlign w:val="center"/>
          </w:tcPr>
          <w:p w14:paraId="3D106483" w14:textId="16B62015" w:rsidR="00194A61" w:rsidRPr="00CD55C3" w:rsidRDefault="00194A61" w:rsidP="00251E42">
            <w:pPr>
              <w:pStyle w:val="TableText0"/>
              <w:keepLines/>
              <w:rPr>
                <w:iCs/>
              </w:rPr>
            </w:pPr>
            <w:r w:rsidRPr="00CD55C3">
              <w:rPr>
                <w:iCs/>
              </w:rPr>
              <w:t>Incremental cost/extra LYG gained</w:t>
            </w:r>
            <w:r w:rsidR="00CB329A">
              <w:rPr>
                <w:iCs/>
              </w:rPr>
              <w:t xml:space="preserve"> ($)</w:t>
            </w:r>
          </w:p>
        </w:tc>
        <w:tc>
          <w:tcPr>
            <w:tcW w:w="838" w:type="pct"/>
            <w:vAlign w:val="center"/>
          </w:tcPr>
          <w:p w14:paraId="38ECB907" w14:textId="62A4194F" w:rsidR="00194A61" w:rsidRPr="00CB329A" w:rsidRDefault="001D6D9F" w:rsidP="00251E42">
            <w:pPr>
              <w:pStyle w:val="TableText0"/>
              <w:keepLines/>
              <w:jc w:val="center"/>
              <w:rPr>
                <w:iCs/>
                <w:highlight w:val="darkGray"/>
              </w:rPr>
            </w:pPr>
            <w:r w:rsidRPr="001D6D9F">
              <w:rPr>
                <w:iCs/>
                <w:color w:val="000000"/>
                <w:shd w:val="solid" w:color="000000" w:fill="000000"/>
                <w14:textFill>
                  <w14:solidFill>
                    <w14:srgbClr w14:val="000000">
                      <w14:alpha w14:val="100000"/>
                    </w14:srgbClr>
                  </w14:solidFill>
                </w14:textFill>
              </w:rPr>
              <w:t>|</w:t>
            </w:r>
            <w:r w:rsidR="00CB329A">
              <w:rPr>
                <w:iCs/>
                <w:vertAlign w:val="superscript"/>
              </w:rPr>
              <w:t>3</w:t>
            </w:r>
          </w:p>
        </w:tc>
      </w:tr>
      <w:tr w:rsidR="00194A61" w:rsidRPr="00CD55C3" w14:paraId="18091DFE" w14:textId="77777777" w:rsidTr="00AC6F83">
        <w:tc>
          <w:tcPr>
            <w:tcW w:w="4162" w:type="pct"/>
            <w:gridSpan w:val="3"/>
            <w:vAlign w:val="center"/>
          </w:tcPr>
          <w:p w14:paraId="79BBF2EE" w14:textId="77777777" w:rsidR="00194A61" w:rsidRPr="00CD55C3" w:rsidRDefault="00194A61" w:rsidP="00251E42">
            <w:pPr>
              <w:pStyle w:val="TableText0"/>
              <w:keepLines/>
              <w:jc w:val="right"/>
              <w:rPr>
                <w:iCs/>
              </w:rPr>
            </w:pPr>
            <w:r w:rsidRPr="00CD55C3">
              <w:rPr>
                <w:iCs/>
              </w:rPr>
              <w:t>Submission base case</w:t>
            </w:r>
          </w:p>
        </w:tc>
        <w:tc>
          <w:tcPr>
            <w:tcW w:w="838" w:type="pct"/>
            <w:vAlign w:val="center"/>
          </w:tcPr>
          <w:p w14:paraId="3A638C46" w14:textId="482B4F73" w:rsidR="00194A61" w:rsidRPr="00CB329A" w:rsidRDefault="001D6D9F" w:rsidP="00251E42">
            <w:pPr>
              <w:pStyle w:val="TableText0"/>
              <w:keepLines/>
              <w:jc w:val="center"/>
              <w:rPr>
                <w:iCs/>
                <w:highlight w:val="darkGray"/>
              </w:rPr>
            </w:pPr>
            <w:r w:rsidRPr="001D6D9F">
              <w:rPr>
                <w:iCs/>
                <w:color w:val="000000"/>
                <w:shd w:val="solid" w:color="000000" w:fill="000000"/>
                <w14:textFill>
                  <w14:solidFill>
                    <w14:srgbClr w14:val="000000">
                      <w14:alpha w14:val="100000"/>
                    </w14:srgbClr>
                  </w14:solidFill>
                </w14:textFill>
              </w:rPr>
              <w:t>|</w:t>
            </w:r>
            <w:r w:rsidR="00CB329A" w:rsidRPr="00CB329A">
              <w:rPr>
                <w:iCs/>
                <w:vertAlign w:val="superscript"/>
              </w:rPr>
              <w:t>2</w:t>
            </w:r>
          </w:p>
        </w:tc>
      </w:tr>
      <w:tr w:rsidR="00194A61" w:rsidRPr="00CD55C3" w14:paraId="4345461A" w14:textId="77777777" w:rsidTr="00AC6F83">
        <w:tc>
          <w:tcPr>
            <w:tcW w:w="5000" w:type="pct"/>
            <w:gridSpan w:val="4"/>
            <w:vAlign w:val="center"/>
          </w:tcPr>
          <w:p w14:paraId="30D05478" w14:textId="77777777" w:rsidR="00194A61" w:rsidRPr="00CD55C3" w:rsidRDefault="00194A61" w:rsidP="00251E42">
            <w:pPr>
              <w:pStyle w:val="In-tableHeading"/>
              <w:keepLines/>
              <w:rPr>
                <w:iCs/>
              </w:rPr>
            </w:pPr>
            <w:r w:rsidRPr="00CD55C3">
              <w:rPr>
                <w:iCs/>
              </w:rPr>
              <w:t>Step 5: utility weights applied</w:t>
            </w:r>
          </w:p>
        </w:tc>
      </w:tr>
      <w:tr w:rsidR="00194A61" w:rsidRPr="00CD55C3" w14:paraId="139FD6FC" w14:textId="77777777" w:rsidTr="001D6D9F">
        <w:tc>
          <w:tcPr>
            <w:tcW w:w="1529" w:type="pct"/>
            <w:vAlign w:val="center"/>
          </w:tcPr>
          <w:p w14:paraId="539F2A5C" w14:textId="63F97F52" w:rsidR="00194A61" w:rsidRPr="00CD55C3" w:rsidRDefault="00194A61" w:rsidP="00251E42">
            <w:pPr>
              <w:pStyle w:val="TableText0"/>
              <w:keepLines/>
              <w:rPr>
                <w:iCs/>
              </w:rPr>
            </w:pPr>
            <w:r w:rsidRPr="00CD55C3">
              <w:rPr>
                <w:iCs/>
              </w:rPr>
              <w:t>Costs</w:t>
            </w:r>
            <w:r w:rsidR="00CB329A">
              <w:rPr>
                <w:iCs/>
              </w:rPr>
              <w:t xml:space="preserve"> ($)</w:t>
            </w:r>
          </w:p>
        </w:tc>
        <w:tc>
          <w:tcPr>
            <w:tcW w:w="1359" w:type="pct"/>
            <w:shd w:val="solid" w:color="000000" w:fill="000000"/>
            <w:vAlign w:val="center"/>
          </w:tcPr>
          <w:p w14:paraId="1C29003D" w14:textId="40B39438" w:rsidR="00194A61" w:rsidRPr="00CB329A" w:rsidRDefault="001D6D9F" w:rsidP="00251E42">
            <w:pPr>
              <w:pStyle w:val="TableText0"/>
              <w:keepLines/>
              <w:jc w:val="center"/>
              <w:rPr>
                <w:iCs/>
                <w:highlight w:val="darkGray"/>
              </w:rPr>
            </w:pPr>
            <w:r w:rsidRPr="001D6D9F">
              <w:rPr>
                <w:iCs/>
                <w:color w:val="000000"/>
                <w14:textFill>
                  <w14:solidFill>
                    <w14:srgbClr w14:val="000000">
                      <w14:alpha w14:val="100000"/>
                    </w14:srgbClr>
                  </w14:solidFill>
                </w14:textFill>
              </w:rPr>
              <w:t>|</w:t>
            </w:r>
          </w:p>
        </w:tc>
        <w:tc>
          <w:tcPr>
            <w:tcW w:w="1274" w:type="pct"/>
            <w:vAlign w:val="center"/>
          </w:tcPr>
          <w:p w14:paraId="6BFADE74" w14:textId="77777777" w:rsidR="00194A61" w:rsidRPr="00CD55C3" w:rsidRDefault="00194A61" w:rsidP="00251E42">
            <w:pPr>
              <w:pStyle w:val="TableText0"/>
              <w:keepLines/>
              <w:jc w:val="center"/>
              <w:rPr>
                <w:iCs/>
              </w:rPr>
            </w:pPr>
            <w:r w:rsidRPr="00CD55C3">
              <w:rPr>
                <w:iCs/>
              </w:rPr>
              <w:t>$2,097</w:t>
            </w:r>
          </w:p>
        </w:tc>
        <w:tc>
          <w:tcPr>
            <w:tcW w:w="838" w:type="pct"/>
            <w:shd w:val="solid" w:color="000000" w:fill="000000"/>
            <w:vAlign w:val="center"/>
          </w:tcPr>
          <w:p w14:paraId="1234EE1F" w14:textId="58543B24" w:rsidR="00194A61" w:rsidRPr="00CB329A" w:rsidRDefault="001D6D9F" w:rsidP="00251E42">
            <w:pPr>
              <w:pStyle w:val="TableText0"/>
              <w:keepLines/>
              <w:jc w:val="center"/>
              <w:rPr>
                <w:iCs/>
                <w:highlight w:val="darkGray"/>
              </w:rPr>
            </w:pPr>
            <w:r w:rsidRPr="001D6D9F">
              <w:rPr>
                <w:iCs/>
                <w:color w:val="000000"/>
                <w14:textFill>
                  <w14:solidFill>
                    <w14:srgbClr w14:val="000000">
                      <w14:alpha w14:val="100000"/>
                    </w14:srgbClr>
                  </w14:solidFill>
                </w14:textFill>
              </w:rPr>
              <w:t>|</w:t>
            </w:r>
          </w:p>
        </w:tc>
      </w:tr>
      <w:tr w:rsidR="00194A61" w:rsidRPr="00CD55C3" w14:paraId="6FCE4F93" w14:textId="77777777" w:rsidTr="00AC6F83">
        <w:tc>
          <w:tcPr>
            <w:tcW w:w="1529" w:type="pct"/>
            <w:vAlign w:val="center"/>
          </w:tcPr>
          <w:p w14:paraId="76072C1A" w14:textId="77777777" w:rsidR="00194A61" w:rsidRPr="00CD55C3" w:rsidRDefault="00194A61" w:rsidP="00251E42">
            <w:pPr>
              <w:pStyle w:val="TableText0"/>
              <w:keepLines/>
              <w:rPr>
                <w:iCs/>
              </w:rPr>
            </w:pPr>
            <w:r w:rsidRPr="00CD55C3">
              <w:rPr>
                <w:iCs/>
              </w:rPr>
              <w:t>QALYs</w:t>
            </w:r>
          </w:p>
        </w:tc>
        <w:tc>
          <w:tcPr>
            <w:tcW w:w="1359" w:type="pct"/>
            <w:vAlign w:val="center"/>
          </w:tcPr>
          <w:p w14:paraId="0C33E83F" w14:textId="77777777" w:rsidR="00194A61" w:rsidRPr="00CD55C3" w:rsidRDefault="00194A61" w:rsidP="00251E42">
            <w:pPr>
              <w:pStyle w:val="TableText0"/>
              <w:keepLines/>
              <w:jc w:val="center"/>
              <w:rPr>
                <w:iCs/>
              </w:rPr>
            </w:pPr>
            <w:r w:rsidRPr="00CD55C3">
              <w:rPr>
                <w:iCs/>
              </w:rPr>
              <w:t>1.515</w:t>
            </w:r>
          </w:p>
        </w:tc>
        <w:tc>
          <w:tcPr>
            <w:tcW w:w="1274" w:type="pct"/>
            <w:vAlign w:val="center"/>
          </w:tcPr>
          <w:p w14:paraId="3E6163AC" w14:textId="77777777" w:rsidR="00194A61" w:rsidRPr="00CD55C3" w:rsidRDefault="00194A61" w:rsidP="00251E42">
            <w:pPr>
              <w:pStyle w:val="TableText0"/>
              <w:keepLines/>
              <w:jc w:val="center"/>
              <w:rPr>
                <w:iCs/>
              </w:rPr>
            </w:pPr>
            <w:r w:rsidRPr="00CD55C3">
              <w:rPr>
                <w:iCs/>
              </w:rPr>
              <w:t>0.782</w:t>
            </w:r>
          </w:p>
        </w:tc>
        <w:tc>
          <w:tcPr>
            <w:tcW w:w="838" w:type="pct"/>
            <w:vAlign w:val="center"/>
          </w:tcPr>
          <w:p w14:paraId="39398C76" w14:textId="77777777" w:rsidR="00194A61" w:rsidRPr="00CD55C3" w:rsidRDefault="00194A61" w:rsidP="00251E42">
            <w:pPr>
              <w:pStyle w:val="TableText0"/>
              <w:keepLines/>
              <w:jc w:val="center"/>
              <w:rPr>
                <w:iCs/>
              </w:rPr>
            </w:pPr>
            <w:r w:rsidRPr="00CD55C3">
              <w:rPr>
                <w:iCs/>
              </w:rPr>
              <w:t>0.733</w:t>
            </w:r>
          </w:p>
        </w:tc>
      </w:tr>
      <w:tr w:rsidR="00194A61" w:rsidRPr="00CD55C3" w14:paraId="1F0141F5" w14:textId="77777777" w:rsidTr="00AC6F83">
        <w:tc>
          <w:tcPr>
            <w:tcW w:w="4162" w:type="pct"/>
            <w:gridSpan w:val="3"/>
            <w:vAlign w:val="center"/>
          </w:tcPr>
          <w:p w14:paraId="58CFA9E5" w14:textId="759667BE" w:rsidR="00194A61" w:rsidRPr="00CD55C3" w:rsidRDefault="00194A61" w:rsidP="00251E42">
            <w:pPr>
              <w:pStyle w:val="TableText0"/>
              <w:keepLines/>
              <w:rPr>
                <w:iCs/>
              </w:rPr>
            </w:pPr>
            <w:r w:rsidRPr="00CD55C3">
              <w:rPr>
                <w:iCs/>
              </w:rPr>
              <w:t>Incremental cost/</w:t>
            </w:r>
            <w:r w:rsidR="00D958CD">
              <w:rPr>
                <w:iCs/>
              </w:rPr>
              <w:t xml:space="preserve"> </w:t>
            </w:r>
            <w:r w:rsidRPr="00CD55C3">
              <w:rPr>
                <w:iCs/>
              </w:rPr>
              <w:t>QALY gained</w:t>
            </w:r>
            <w:r w:rsidR="00CB329A">
              <w:rPr>
                <w:iCs/>
              </w:rPr>
              <w:t xml:space="preserve"> ($)</w:t>
            </w:r>
          </w:p>
        </w:tc>
        <w:tc>
          <w:tcPr>
            <w:tcW w:w="838" w:type="pct"/>
            <w:vAlign w:val="center"/>
          </w:tcPr>
          <w:p w14:paraId="31B59AD2" w14:textId="3EBE4A93" w:rsidR="00194A61" w:rsidRPr="00CB329A" w:rsidRDefault="001D6D9F" w:rsidP="00251E42">
            <w:pPr>
              <w:pStyle w:val="TableText0"/>
              <w:keepLines/>
              <w:jc w:val="center"/>
              <w:rPr>
                <w:iCs/>
                <w:highlight w:val="darkGray"/>
              </w:rPr>
            </w:pPr>
            <w:r w:rsidRPr="001D6D9F">
              <w:rPr>
                <w:iCs/>
                <w:color w:val="000000"/>
                <w:shd w:val="solid" w:color="000000" w:fill="000000"/>
                <w14:textFill>
                  <w14:solidFill>
                    <w14:srgbClr w14:val="000000">
                      <w14:alpha w14:val="100000"/>
                    </w14:srgbClr>
                  </w14:solidFill>
                </w14:textFill>
              </w:rPr>
              <w:t>|</w:t>
            </w:r>
            <w:r w:rsidR="00CB329A">
              <w:rPr>
                <w:iCs/>
                <w:vertAlign w:val="superscript"/>
              </w:rPr>
              <w:t>1</w:t>
            </w:r>
          </w:p>
        </w:tc>
      </w:tr>
      <w:tr w:rsidR="00194A61" w:rsidRPr="00CD55C3" w14:paraId="41FB425D" w14:textId="77777777" w:rsidTr="00AC6F83">
        <w:tc>
          <w:tcPr>
            <w:tcW w:w="4162" w:type="pct"/>
            <w:gridSpan w:val="3"/>
            <w:vAlign w:val="center"/>
          </w:tcPr>
          <w:p w14:paraId="0E4C1B6A" w14:textId="77777777" w:rsidR="00194A61" w:rsidRPr="00CD55C3" w:rsidRDefault="00194A61" w:rsidP="00251E42">
            <w:pPr>
              <w:pStyle w:val="TableText0"/>
              <w:keepLines/>
              <w:jc w:val="right"/>
              <w:rPr>
                <w:iCs/>
              </w:rPr>
            </w:pPr>
            <w:r w:rsidRPr="00CD55C3">
              <w:rPr>
                <w:iCs/>
              </w:rPr>
              <w:t>Submission base case</w:t>
            </w:r>
          </w:p>
        </w:tc>
        <w:tc>
          <w:tcPr>
            <w:tcW w:w="838" w:type="pct"/>
            <w:vAlign w:val="center"/>
          </w:tcPr>
          <w:p w14:paraId="18C468F5" w14:textId="4D7703F9" w:rsidR="00194A61" w:rsidRPr="00CB329A" w:rsidRDefault="001D6D9F" w:rsidP="00251E42">
            <w:pPr>
              <w:pStyle w:val="TableText0"/>
              <w:keepLines/>
              <w:jc w:val="center"/>
              <w:rPr>
                <w:iCs/>
                <w:highlight w:val="darkGray"/>
                <w:vertAlign w:val="superscript"/>
              </w:rPr>
            </w:pPr>
            <w:r w:rsidRPr="001D6D9F">
              <w:rPr>
                <w:iCs/>
                <w:color w:val="000000"/>
                <w:shd w:val="solid" w:color="000000" w:fill="000000"/>
                <w14:textFill>
                  <w14:solidFill>
                    <w14:srgbClr w14:val="000000">
                      <w14:alpha w14:val="100000"/>
                    </w14:srgbClr>
                  </w14:solidFill>
                </w14:textFill>
              </w:rPr>
              <w:t>|</w:t>
            </w:r>
            <w:r w:rsidR="00CB329A" w:rsidRPr="00CB329A">
              <w:rPr>
                <w:iCs/>
                <w:vertAlign w:val="superscript"/>
              </w:rPr>
              <w:t>2</w:t>
            </w:r>
          </w:p>
        </w:tc>
      </w:tr>
      <w:tr w:rsidR="00194A61" w:rsidRPr="00CD55C3" w14:paraId="7B68AF44" w14:textId="77777777" w:rsidTr="00AC6F83">
        <w:tc>
          <w:tcPr>
            <w:tcW w:w="5000" w:type="pct"/>
            <w:gridSpan w:val="4"/>
            <w:vAlign w:val="center"/>
          </w:tcPr>
          <w:p w14:paraId="5F2DCEF0" w14:textId="77777777" w:rsidR="00194A61" w:rsidRPr="00CD55C3" w:rsidRDefault="00194A61" w:rsidP="00251E42">
            <w:pPr>
              <w:pStyle w:val="In-tableHeading"/>
              <w:keepLines/>
              <w:rPr>
                <w:iCs/>
              </w:rPr>
            </w:pPr>
            <w:r w:rsidRPr="00CD55C3">
              <w:rPr>
                <w:iCs/>
              </w:rPr>
              <w:t>Step 6: incorporation of costs and utility decrements associated with AEs, disease management and subsequent treatment</w:t>
            </w:r>
          </w:p>
        </w:tc>
      </w:tr>
      <w:tr w:rsidR="00194A61" w:rsidRPr="00CD55C3" w14:paraId="4FE0E43C" w14:textId="77777777" w:rsidTr="001D6D9F">
        <w:tc>
          <w:tcPr>
            <w:tcW w:w="1529" w:type="pct"/>
            <w:vAlign w:val="center"/>
          </w:tcPr>
          <w:p w14:paraId="7A18BAFC" w14:textId="2616E700" w:rsidR="00194A61" w:rsidRPr="00CD55C3" w:rsidRDefault="00194A61" w:rsidP="00251E42">
            <w:pPr>
              <w:pStyle w:val="TableText0"/>
              <w:keepLines/>
              <w:rPr>
                <w:iCs/>
              </w:rPr>
            </w:pPr>
            <w:r w:rsidRPr="00CD55C3">
              <w:rPr>
                <w:iCs/>
              </w:rPr>
              <w:t>Costs</w:t>
            </w:r>
            <w:r w:rsidR="00CB329A">
              <w:rPr>
                <w:iCs/>
              </w:rPr>
              <w:t xml:space="preserve"> ($)</w:t>
            </w:r>
          </w:p>
        </w:tc>
        <w:tc>
          <w:tcPr>
            <w:tcW w:w="1359" w:type="pct"/>
            <w:shd w:val="solid" w:color="000000" w:fill="000000"/>
            <w:vAlign w:val="center"/>
          </w:tcPr>
          <w:p w14:paraId="21CA5C58" w14:textId="104A8F36" w:rsidR="00194A61" w:rsidRPr="00CD55C3" w:rsidRDefault="001D6D9F" w:rsidP="00251E42">
            <w:pPr>
              <w:pStyle w:val="TableText0"/>
              <w:keepLines/>
              <w:jc w:val="center"/>
              <w:rPr>
                <w:iCs/>
              </w:rPr>
            </w:pPr>
            <w:r w:rsidRPr="001D6D9F">
              <w:rPr>
                <w:iCs/>
                <w:color w:val="000000"/>
                <w14:textFill>
                  <w14:solidFill>
                    <w14:srgbClr w14:val="000000">
                      <w14:alpha w14:val="100000"/>
                    </w14:srgbClr>
                  </w14:solidFill>
                </w14:textFill>
              </w:rPr>
              <w:t>|</w:t>
            </w:r>
          </w:p>
        </w:tc>
        <w:tc>
          <w:tcPr>
            <w:tcW w:w="1274" w:type="pct"/>
            <w:vAlign w:val="center"/>
          </w:tcPr>
          <w:p w14:paraId="6B456D1D" w14:textId="77777777" w:rsidR="00194A61" w:rsidRPr="00CD55C3" w:rsidRDefault="00194A61" w:rsidP="00251E42">
            <w:pPr>
              <w:pStyle w:val="TableText0"/>
              <w:keepLines/>
              <w:jc w:val="center"/>
              <w:rPr>
                <w:iCs/>
              </w:rPr>
            </w:pPr>
            <w:r w:rsidRPr="00CD55C3">
              <w:rPr>
                <w:iCs/>
              </w:rPr>
              <w:t>$42,386</w:t>
            </w:r>
          </w:p>
        </w:tc>
        <w:tc>
          <w:tcPr>
            <w:tcW w:w="838" w:type="pct"/>
            <w:shd w:val="solid" w:color="000000" w:fill="000000"/>
            <w:vAlign w:val="center"/>
          </w:tcPr>
          <w:p w14:paraId="6177E6DF" w14:textId="60B61CCE" w:rsidR="00194A61" w:rsidRPr="00CB329A" w:rsidRDefault="001D6D9F" w:rsidP="00251E42">
            <w:pPr>
              <w:pStyle w:val="TableText0"/>
              <w:keepLines/>
              <w:jc w:val="center"/>
              <w:rPr>
                <w:iCs/>
                <w:highlight w:val="darkGray"/>
              </w:rPr>
            </w:pPr>
            <w:r w:rsidRPr="001D6D9F">
              <w:rPr>
                <w:iCs/>
                <w:color w:val="000000"/>
                <w14:textFill>
                  <w14:solidFill>
                    <w14:srgbClr w14:val="000000">
                      <w14:alpha w14:val="100000"/>
                    </w14:srgbClr>
                  </w14:solidFill>
                </w14:textFill>
              </w:rPr>
              <w:t>|</w:t>
            </w:r>
          </w:p>
        </w:tc>
      </w:tr>
      <w:tr w:rsidR="00194A61" w:rsidRPr="00CD55C3" w14:paraId="33E91F45" w14:textId="77777777" w:rsidTr="00AC6F83">
        <w:tc>
          <w:tcPr>
            <w:tcW w:w="1529" w:type="pct"/>
            <w:vAlign w:val="center"/>
          </w:tcPr>
          <w:p w14:paraId="01A0A8DE" w14:textId="77777777" w:rsidR="00194A61" w:rsidRPr="00CD55C3" w:rsidRDefault="00194A61" w:rsidP="00251E42">
            <w:pPr>
              <w:pStyle w:val="TableText0"/>
              <w:keepLines/>
              <w:rPr>
                <w:iCs/>
              </w:rPr>
            </w:pPr>
            <w:r w:rsidRPr="00CD55C3">
              <w:rPr>
                <w:iCs/>
              </w:rPr>
              <w:t>QALYs</w:t>
            </w:r>
          </w:p>
        </w:tc>
        <w:tc>
          <w:tcPr>
            <w:tcW w:w="1359" w:type="pct"/>
            <w:vAlign w:val="center"/>
          </w:tcPr>
          <w:p w14:paraId="0B7B02AD" w14:textId="77777777" w:rsidR="00194A61" w:rsidRPr="00CD55C3" w:rsidRDefault="00194A61" w:rsidP="00251E42">
            <w:pPr>
              <w:pStyle w:val="TableText0"/>
              <w:keepLines/>
              <w:jc w:val="center"/>
              <w:rPr>
                <w:iCs/>
              </w:rPr>
            </w:pPr>
            <w:r w:rsidRPr="00CD55C3">
              <w:rPr>
                <w:iCs/>
              </w:rPr>
              <w:t>1.512</w:t>
            </w:r>
          </w:p>
        </w:tc>
        <w:tc>
          <w:tcPr>
            <w:tcW w:w="1274" w:type="pct"/>
            <w:vAlign w:val="center"/>
          </w:tcPr>
          <w:p w14:paraId="092258E8" w14:textId="77777777" w:rsidR="00194A61" w:rsidRPr="00CD55C3" w:rsidRDefault="00194A61" w:rsidP="00251E42">
            <w:pPr>
              <w:pStyle w:val="TableText0"/>
              <w:keepLines/>
              <w:jc w:val="center"/>
              <w:rPr>
                <w:iCs/>
              </w:rPr>
            </w:pPr>
            <w:r w:rsidRPr="00CD55C3">
              <w:rPr>
                <w:iCs/>
              </w:rPr>
              <w:t>0.781</w:t>
            </w:r>
          </w:p>
        </w:tc>
        <w:tc>
          <w:tcPr>
            <w:tcW w:w="838" w:type="pct"/>
            <w:vAlign w:val="center"/>
          </w:tcPr>
          <w:p w14:paraId="05B961C9" w14:textId="77777777" w:rsidR="00194A61" w:rsidRPr="00CD55C3" w:rsidRDefault="00194A61" w:rsidP="00251E42">
            <w:pPr>
              <w:pStyle w:val="TableText0"/>
              <w:keepLines/>
              <w:jc w:val="center"/>
              <w:rPr>
                <w:iCs/>
              </w:rPr>
            </w:pPr>
            <w:r w:rsidRPr="00CD55C3">
              <w:rPr>
                <w:iCs/>
              </w:rPr>
              <w:t>0.731</w:t>
            </w:r>
          </w:p>
        </w:tc>
      </w:tr>
      <w:tr w:rsidR="00194A61" w:rsidRPr="00CD55C3" w14:paraId="1DC2B3C4" w14:textId="77777777" w:rsidTr="00AC6F83">
        <w:tc>
          <w:tcPr>
            <w:tcW w:w="4162" w:type="pct"/>
            <w:gridSpan w:val="3"/>
            <w:vAlign w:val="center"/>
          </w:tcPr>
          <w:p w14:paraId="11616197" w14:textId="57A8B1F5" w:rsidR="00194A61" w:rsidRPr="00CD55C3" w:rsidRDefault="00194A61" w:rsidP="00251E42">
            <w:pPr>
              <w:pStyle w:val="TableText0"/>
              <w:keepLines/>
              <w:rPr>
                <w:b/>
                <w:iCs/>
              </w:rPr>
            </w:pPr>
            <w:r w:rsidRPr="00CD55C3">
              <w:rPr>
                <w:b/>
                <w:iCs/>
              </w:rPr>
              <w:t>Incremental cost/</w:t>
            </w:r>
            <w:r w:rsidR="00D958CD">
              <w:rPr>
                <w:b/>
                <w:iCs/>
              </w:rPr>
              <w:t xml:space="preserve"> </w:t>
            </w:r>
            <w:r w:rsidRPr="00CD55C3">
              <w:rPr>
                <w:b/>
                <w:iCs/>
              </w:rPr>
              <w:t>QALY gained (base case)</w:t>
            </w:r>
            <w:r w:rsidR="00CB329A">
              <w:rPr>
                <w:iCs/>
              </w:rPr>
              <w:t xml:space="preserve"> ($)</w:t>
            </w:r>
          </w:p>
        </w:tc>
        <w:tc>
          <w:tcPr>
            <w:tcW w:w="838" w:type="pct"/>
            <w:vAlign w:val="center"/>
          </w:tcPr>
          <w:p w14:paraId="5FE98C92" w14:textId="30949434" w:rsidR="00194A61" w:rsidRPr="00CB329A" w:rsidRDefault="001D6D9F" w:rsidP="00251E42">
            <w:pPr>
              <w:pStyle w:val="TableText0"/>
              <w:keepLines/>
              <w:jc w:val="center"/>
              <w:rPr>
                <w:b/>
                <w:iCs/>
                <w:highlight w:val="darkGray"/>
                <w:vertAlign w:val="superscript"/>
              </w:rPr>
            </w:pPr>
            <w:r w:rsidRPr="001D6D9F">
              <w:rPr>
                <w:b/>
                <w:iCs/>
                <w:color w:val="000000"/>
                <w:shd w:val="solid" w:color="000000" w:fill="000000"/>
                <w14:textFill>
                  <w14:solidFill>
                    <w14:srgbClr w14:val="000000">
                      <w14:alpha w14:val="100000"/>
                    </w14:srgbClr>
                  </w14:solidFill>
                </w14:textFill>
              </w:rPr>
              <w:t>|</w:t>
            </w:r>
            <w:r w:rsidR="00CB329A" w:rsidRPr="00CB329A">
              <w:rPr>
                <w:b/>
                <w:iCs/>
                <w:vertAlign w:val="superscript"/>
              </w:rPr>
              <w:t>5</w:t>
            </w:r>
          </w:p>
        </w:tc>
      </w:tr>
      <w:tr w:rsidR="00194A61" w:rsidRPr="00CD55C3" w14:paraId="46DAF11B" w14:textId="77777777" w:rsidTr="00AC6F83">
        <w:tc>
          <w:tcPr>
            <w:tcW w:w="4162" w:type="pct"/>
            <w:gridSpan w:val="3"/>
            <w:vAlign w:val="center"/>
          </w:tcPr>
          <w:p w14:paraId="51772597" w14:textId="77777777" w:rsidR="00194A61" w:rsidRPr="00CD55C3" w:rsidRDefault="00194A61" w:rsidP="00251E42">
            <w:pPr>
              <w:pStyle w:val="TableText0"/>
              <w:keepLines/>
              <w:jc w:val="right"/>
              <w:rPr>
                <w:b/>
                <w:iCs/>
              </w:rPr>
            </w:pPr>
            <w:r w:rsidRPr="00CD55C3">
              <w:rPr>
                <w:iCs/>
              </w:rPr>
              <w:t>Submission base case</w:t>
            </w:r>
          </w:p>
        </w:tc>
        <w:tc>
          <w:tcPr>
            <w:tcW w:w="838" w:type="pct"/>
            <w:vAlign w:val="center"/>
          </w:tcPr>
          <w:p w14:paraId="62EA0551" w14:textId="1A87F587" w:rsidR="00194A61" w:rsidRPr="00CB329A" w:rsidRDefault="001D6D9F" w:rsidP="00251E42">
            <w:pPr>
              <w:pStyle w:val="TableText0"/>
              <w:keepLines/>
              <w:jc w:val="center"/>
              <w:rPr>
                <w:b/>
                <w:iCs/>
                <w:highlight w:val="darkGray"/>
                <w:vertAlign w:val="superscript"/>
              </w:rPr>
            </w:pPr>
            <w:r w:rsidRPr="001D6D9F">
              <w:rPr>
                <w:b/>
                <w:iCs/>
                <w:color w:val="000000"/>
                <w:shd w:val="solid" w:color="000000" w:fill="000000"/>
                <w14:textFill>
                  <w14:solidFill>
                    <w14:srgbClr w14:val="000000">
                      <w14:alpha w14:val="100000"/>
                    </w14:srgbClr>
                  </w14:solidFill>
                </w14:textFill>
              </w:rPr>
              <w:t>|</w:t>
            </w:r>
            <w:r w:rsidR="00CB329A" w:rsidRPr="00CB329A">
              <w:rPr>
                <w:b/>
                <w:iCs/>
                <w:vertAlign w:val="superscript"/>
              </w:rPr>
              <w:t>3</w:t>
            </w:r>
          </w:p>
        </w:tc>
      </w:tr>
    </w:tbl>
    <w:p w14:paraId="58607C3D" w14:textId="77777777" w:rsidR="00194A61" w:rsidRDefault="00194A61" w:rsidP="00251E42">
      <w:pPr>
        <w:pStyle w:val="FooterTableFigure"/>
        <w:keepNext/>
        <w:keepLines/>
      </w:pPr>
      <w:r>
        <w:t xml:space="preserve">Source: Compiled during the evaluation based on </w:t>
      </w:r>
      <w:r w:rsidRPr="00FA2CE5">
        <w:rPr>
          <w:iCs/>
        </w:rPr>
        <w:t xml:space="preserve">the </w:t>
      </w:r>
      <w:r w:rsidRPr="00FA2CE5">
        <w:t>‘</w:t>
      </w:r>
      <w:r w:rsidRPr="00F76AA0">
        <w:t>Section 3 CE Model Workbook – Takeda Australia – Mobocertinib</w:t>
      </w:r>
      <w:r>
        <w:t>’</w:t>
      </w:r>
    </w:p>
    <w:p w14:paraId="088B0B6D" w14:textId="37AEF536" w:rsidR="00194A61" w:rsidRDefault="00194A61" w:rsidP="007A2A2F">
      <w:pPr>
        <w:pStyle w:val="FooterTableFigure"/>
        <w:keepNext/>
        <w:keepLines/>
        <w:spacing w:after="0"/>
      </w:pPr>
      <w:r>
        <w:t>LYG = life year gained; QALY = quality-adjusted life year.</w:t>
      </w:r>
    </w:p>
    <w:p w14:paraId="3A8E91E3" w14:textId="77777777" w:rsidR="00CB329A" w:rsidRPr="009A6D58" w:rsidRDefault="00CB329A" w:rsidP="00DB0368">
      <w:pPr>
        <w:spacing w:before="120"/>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0A7F7355" w14:textId="5DA79FA3" w:rsidR="00CB329A" w:rsidRPr="009A6D58" w:rsidRDefault="00CB329A" w:rsidP="00CB329A">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00363606" w:rsidRPr="00363606">
        <w:rPr>
          <w:rFonts w:ascii="Arial Narrow" w:hAnsi="Arial Narrow" w:cs="Arial"/>
          <w:i/>
          <w:sz w:val="18"/>
          <w:szCs w:val="18"/>
        </w:rPr>
        <w:t>$95,000 to &lt; $115,000</w:t>
      </w:r>
    </w:p>
    <w:p w14:paraId="56782A64" w14:textId="198A14B2" w:rsidR="00CB329A" w:rsidRPr="009A6D58" w:rsidRDefault="00CB329A" w:rsidP="00CB329A">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00363606" w:rsidRPr="00363606">
        <w:rPr>
          <w:rFonts w:ascii="Arial Narrow" w:hAnsi="Arial Narrow" w:cs="Arial"/>
          <w:i/>
          <w:sz w:val="18"/>
          <w:szCs w:val="18"/>
        </w:rPr>
        <w:t>$</w:t>
      </w:r>
      <w:r w:rsidR="00363606">
        <w:rPr>
          <w:rFonts w:ascii="Arial Narrow" w:hAnsi="Arial Narrow" w:cs="Arial"/>
          <w:i/>
          <w:sz w:val="18"/>
          <w:szCs w:val="18"/>
        </w:rPr>
        <w:t>5</w:t>
      </w:r>
      <w:r w:rsidR="00363606" w:rsidRPr="00363606">
        <w:rPr>
          <w:rFonts w:ascii="Arial Narrow" w:hAnsi="Arial Narrow" w:cs="Arial"/>
          <w:i/>
          <w:sz w:val="18"/>
          <w:szCs w:val="18"/>
        </w:rPr>
        <w:t>5,000 to &lt; $</w:t>
      </w:r>
      <w:r w:rsidR="00363606">
        <w:rPr>
          <w:rFonts w:ascii="Arial Narrow" w:hAnsi="Arial Narrow" w:cs="Arial"/>
          <w:i/>
          <w:sz w:val="18"/>
          <w:szCs w:val="18"/>
        </w:rPr>
        <w:t>7</w:t>
      </w:r>
      <w:r w:rsidR="00363606" w:rsidRPr="00363606">
        <w:rPr>
          <w:rFonts w:ascii="Arial Narrow" w:hAnsi="Arial Narrow" w:cs="Arial"/>
          <w:i/>
          <w:sz w:val="18"/>
          <w:szCs w:val="18"/>
        </w:rPr>
        <w:t>5,000</w:t>
      </w:r>
    </w:p>
    <w:p w14:paraId="5AFF261A" w14:textId="6148AC3B" w:rsidR="00CB329A" w:rsidRDefault="00CB329A" w:rsidP="00CB329A">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00363606" w:rsidRPr="00363606">
        <w:rPr>
          <w:rFonts w:ascii="Arial Narrow" w:hAnsi="Arial Narrow" w:cs="Arial"/>
          <w:i/>
          <w:sz w:val="18"/>
          <w:szCs w:val="18"/>
        </w:rPr>
        <w:t>$75,000 to &lt; $95,000</w:t>
      </w:r>
    </w:p>
    <w:p w14:paraId="0965A33E" w14:textId="5AA59D86" w:rsidR="00CB329A" w:rsidRDefault="00CB329A" w:rsidP="00CB329A">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00363606" w:rsidRPr="00363606">
        <w:rPr>
          <w:rFonts w:ascii="Arial Narrow" w:hAnsi="Arial Narrow" w:cs="Arial"/>
          <w:i/>
          <w:sz w:val="18"/>
          <w:szCs w:val="18"/>
        </w:rPr>
        <w:t>$</w:t>
      </w:r>
      <w:r w:rsidR="00363606">
        <w:rPr>
          <w:rFonts w:ascii="Arial Narrow" w:hAnsi="Arial Narrow" w:cs="Arial"/>
          <w:i/>
          <w:sz w:val="18"/>
          <w:szCs w:val="18"/>
        </w:rPr>
        <w:t>4</w:t>
      </w:r>
      <w:r w:rsidR="00363606" w:rsidRPr="00363606">
        <w:rPr>
          <w:rFonts w:ascii="Arial Narrow" w:hAnsi="Arial Narrow" w:cs="Arial"/>
          <w:i/>
          <w:sz w:val="18"/>
          <w:szCs w:val="18"/>
        </w:rPr>
        <w:t>5,000 to &lt; $</w:t>
      </w:r>
      <w:r w:rsidR="00363606">
        <w:rPr>
          <w:rFonts w:ascii="Arial Narrow" w:hAnsi="Arial Narrow" w:cs="Arial"/>
          <w:i/>
          <w:sz w:val="18"/>
          <w:szCs w:val="18"/>
        </w:rPr>
        <w:t>5</w:t>
      </w:r>
      <w:r w:rsidR="00363606" w:rsidRPr="00363606">
        <w:rPr>
          <w:rFonts w:ascii="Arial Narrow" w:hAnsi="Arial Narrow" w:cs="Arial"/>
          <w:i/>
          <w:sz w:val="18"/>
          <w:szCs w:val="18"/>
        </w:rPr>
        <w:t>5,000</w:t>
      </w:r>
    </w:p>
    <w:p w14:paraId="1B34354D" w14:textId="7FE5DFCB" w:rsidR="00CB329A" w:rsidRDefault="00CB329A" w:rsidP="00CB329A">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00363606" w:rsidRPr="00363606">
        <w:rPr>
          <w:rFonts w:ascii="Arial Narrow" w:hAnsi="Arial Narrow" w:cs="Arial"/>
          <w:i/>
          <w:sz w:val="18"/>
          <w:szCs w:val="18"/>
        </w:rPr>
        <w:t>$115,000 to &lt; $135,000</w:t>
      </w:r>
    </w:p>
    <w:p w14:paraId="4E01EA83" w14:textId="77777777" w:rsidR="00CB329A" w:rsidRPr="005A373D" w:rsidRDefault="00CB329A" w:rsidP="007A2A2F">
      <w:pPr>
        <w:pStyle w:val="FooterTableFigure"/>
        <w:keepNext/>
        <w:keepLines/>
        <w:spacing w:after="0"/>
      </w:pPr>
    </w:p>
    <w:p w14:paraId="59421137" w14:textId="1AB7D454" w:rsidR="00194A61" w:rsidRPr="00CD55C3" w:rsidRDefault="00194A61" w:rsidP="00194A61">
      <w:pPr>
        <w:pStyle w:val="3-BodyText"/>
        <w:rPr>
          <w:rFonts w:cstheme="minorHAnsi"/>
          <w:iCs/>
        </w:rPr>
      </w:pPr>
      <w:r w:rsidRPr="00CD55C3">
        <w:rPr>
          <w:iCs/>
        </w:rPr>
        <w:t xml:space="preserve">Limiting the cost of treatment in the comparator arm and subsequent treatments in both arms to chemotherapies and removing half-cycle correction in estimating treatment costs (respecified base-case) results in an ICER of </w:t>
      </w:r>
      <w:r w:rsidR="00363606" w:rsidRPr="00363606">
        <w:rPr>
          <w:iCs/>
        </w:rPr>
        <w:t>$115,000</w:t>
      </w:r>
      <w:r w:rsidR="007A2A2F">
        <w:rPr>
          <w:iCs/>
        </w:rPr>
        <w:t xml:space="preserve"> </w:t>
      </w:r>
      <w:r w:rsidR="00363606" w:rsidRPr="00363606">
        <w:rPr>
          <w:iCs/>
        </w:rPr>
        <w:t>to</w:t>
      </w:r>
      <w:r w:rsidR="007A2A2F">
        <w:rPr>
          <w:iCs/>
        </w:rPr>
        <w:t xml:space="preserve"> </w:t>
      </w:r>
      <w:r w:rsidR="00363606" w:rsidRPr="00363606">
        <w:rPr>
          <w:iCs/>
        </w:rPr>
        <w:t>&lt; $135,000</w:t>
      </w:r>
      <w:r w:rsidRPr="00CD55C3">
        <w:rPr>
          <w:iCs/>
        </w:rPr>
        <w:t>/QALY gained.</w:t>
      </w:r>
    </w:p>
    <w:p w14:paraId="569B42CC" w14:textId="5D480EF9" w:rsidR="00194A61" w:rsidRPr="00EC51B6" w:rsidRDefault="00194A61" w:rsidP="00194A61">
      <w:pPr>
        <w:pStyle w:val="3-BodyText"/>
        <w:rPr>
          <w:rFonts w:cstheme="minorHAnsi"/>
          <w:iCs/>
        </w:rPr>
      </w:pPr>
      <w:r w:rsidRPr="00EC51B6">
        <w:rPr>
          <w:rFonts w:cstheme="minorHAnsi"/>
          <w:iCs/>
        </w:rPr>
        <w:t>A comparison of respecified results using Study 5008</w:t>
      </w:r>
      <w:r w:rsidR="00EC51B6" w:rsidRPr="00EC51B6">
        <w:rPr>
          <w:rFonts w:cstheme="minorHAnsi"/>
          <w:iCs/>
        </w:rPr>
        <w:t xml:space="preserve"> and </w:t>
      </w:r>
      <w:r w:rsidRPr="00EC51B6">
        <w:rPr>
          <w:rFonts w:cstheme="minorHAnsi"/>
          <w:iCs/>
        </w:rPr>
        <w:t>Study 5002</w:t>
      </w:r>
      <w:r w:rsidR="00051D55" w:rsidRPr="00EC51B6">
        <w:rPr>
          <w:rFonts w:cstheme="minorHAnsi"/>
          <w:iCs/>
        </w:rPr>
        <w:t xml:space="preserve"> </w:t>
      </w:r>
      <w:r w:rsidRPr="00EC51B6">
        <w:rPr>
          <w:rFonts w:cstheme="minorHAnsi"/>
          <w:iCs/>
        </w:rPr>
        <w:t xml:space="preserve">is presented in </w:t>
      </w:r>
      <w:r w:rsidRPr="00EC51B6">
        <w:rPr>
          <w:rFonts w:cstheme="minorHAnsi"/>
          <w:iCs/>
        </w:rPr>
        <w:fldChar w:fldCharType="begin"/>
      </w:r>
      <w:r w:rsidRPr="00EC51B6">
        <w:rPr>
          <w:rFonts w:cstheme="minorHAnsi"/>
          <w:iCs/>
        </w:rPr>
        <w:instrText xml:space="preserve"> REF _Ref113037665 \h  \* MERGEFORMAT </w:instrText>
      </w:r>
      <w:r w:rsidRPr="00EC51B6">
        <w:rPr>
          <w:rFonts w:cstheme="minorHAnsi"/>
          <w:iCs/>
        </w:rPr>
      </w:r>
      <w:r w:rsidRPr="00EC51B6">
        <w:rPr>
          <w:rFonts w:cstheme="minorHAnsi"/>
          <w:iCs/>
        </w:rPr>
        <w:fldChar w:fldCharType="separate"/>
      </w:r>
      <w:r w:rsidR="001635D4" w:rsidRPr="001635D4">
        <w:rPr>
          <w:rFonts w:cstheme="minorHAnsi"/>
          <w:iCs/>
        </w:rPr>
        <w:t>Table 15</w:t>
      </w:r>
      <w:r w:rsidRPr="00EC51B6">
        <w:rPr>
          <w:rFonts w:cstheme="minorHAnsi"/>
          <w:iCs/>
        </w:rPr>
        <w:fldChar w:fldCharType="end"/>
      </w:r>
      <w:r w:rsidRPr="00EC51B6">
        <w:rPr>
          <w:rFonts w:cstheme="minorHAnsi"/>
          <w:iCs/>
        </w:rPr>
        <w:t xml:space="preserve">. This indicates modelling treatment costs and survival outcomes based on Study 5002 results in a higher (less favourable) ICER estimate. </w:t>
      </w:r>
      <w:r w:rsidRPr="00EC51B6">
        <w:rPr>
          <w:rFonts w:cstheme="minorHAnsi"/>
          <w:iCs/>
        </w:rPr>
        <w:fldChar w:fldCharType="begin"/>
      </w:r>
      <w:r w:rsidRPr="00EC51B6">
        <w:rPr>
          <w:rFonts w:cstheme="minorHAnsi"/>
          <w:iCs/>
        </w:rPr>
        <w:instrText xml:space="preserve"> REF _Ref113036685 \h  \* MERGEFORMAT </w:instrText>
      </w:r>
      <w:r w:rsidRPr="00EC51B6">
        <w:rPr>
          <w:rFonts w:cstheme="minorHAnsi"/>
          <w:iCs/>
        </w:rPr>
      </w:r>
      <w:r w:rsidRPr="00EC51B6">
        <w:rPr>
          <w:rFonts w:cstheme="minorHAnsi"/>
          <w:iCs/>
        </w:rPr>
        <w:fldChar w:fldCharType="separate"/>
      </w:r>
      <w:r w:rsidR="001635D4" w:rsidRPr="001635D4">
        <w:rPr>
          <w:rFonts w:cstheme="minorHAnsi"/>
          <w:iCs/>
        </w:rPr>
        <w:t>Figure 9</w:t>
      </w:r>
      <w:r w:rsidRPr="00EC51B6">
        <w:rPr>
          <w:rFonts w:cstheme="minorHAnsi"/>
          <w:iCs/>
        </w:rPr>
        <w:fldChar w:fldCharType="end"/>
      </w:r>
      <w:r w:rsidRPr="00EC51B6">
        <w:rPr>
          <w:rFonts w:cstheme="minorHAnsi"/>
          <w:iCs/>
        </w:rPr>
        <w:t xml:space="preserve"> presents the survival outcomes (trial based (after IPTW) and modelled) for Study 5008 and Study 5002. It is evident that survival outcomes are better with Study 5002. This resulted in </w:t>
      </w:r>
      <w:r w:rsidRPr="00EC51B6">
        <w:rPr>
          <w:rFonts w:cstheme="minorHAnsi"/>
          <w:iCs/>
        </w:rPr>
        <w:lastRenderedPageBreak/>
        <w:t xml:space="preserve">a significantly lower incremental QALY gain driving the ICER estimate, despite a small reduction in incremental cost. </w:t>
      </w:r>
    </w:p>
    <w:p w14:paraId="1D5E6175" w14:textId="13142D64" w:rsidR="00194A61" w:rsidRPr="00DE3F79" w:rsidRDefault="00194A61" w:rsidP="00251E42">
      <w:pPr>
        <w:pStyle w:val="Caption"/>
        <w:rPr>
          <w:rStyle w:val="CommentReference"/>
          <w:b/>
          <w:szCs w:val="24"/>
        </w:rPr>
      </w:pPr>
      <w:bookmarkStart w:id="63" w:name="_Ref113037665"/>
      <w:bookmarkStart w:id="64" w:name="_Ref113036746"/>
      <w:r w:rsidRPr="002975D8">
        <w:rPr>
          <w:rStyle w:val="CommentReference"/>
          <w:b/>
          <w:szCs w:val="24"/>
        </w:rPr>
        <w:t xml:space="preserve">Table </w:t>
      </w:r>
      <w:r w:rsidRPr="002975D8">
        <w:rPr>
          <w:rStyle w:val="CommentReference"/>
          <w:b/>
          <w:szCs w:val="24"/>
        </w:rPr>
        <w:fldChar w:fldCharType="begin"/>
      </w:r>
      <w:r w:rsidRPr="002975D8">
        <w:rPr>
          <w:rStyle w:val="CommentReference"/>
          <w:b/>
          <w:szCs w:val="24"/>
        </w:rPr>
        <w:instrText xml:space="preserve"> SEQ Table \* ARABIC </w:instrText>
      </w:r>
      <w:r w:rsidRPr="002975D8">
        <w:rPr>
          <w:rStyle w:val="CommentReference"/>
          <w:b/>
          <w:szCs w:val="24"/>
        </w:rPr>
        <w:fldChar w:fldCharType="separate"/>
      </w:r>
      <w:r w:rsidR="001635D4">
        <w:rPr>
          <w:rStyle w:val="CommentReference"/>
          <w:b/>
          <w:noProof/>
          <w:szCs w:val="24"/>
        </w:rPr>
        <w:t>15</w:t>
      </w:r>
      <w:r w:rsidRPr="002975D8">
        <w:rPr>
          <w:rStyle w:val="CommentReference"/>
          <w:b/>
          <w:szCs w:val="24"/>
        </w:rPr>
        <w:fldChar w:fldCharType="end"/>
      </w:r>
      <w:bookmarkEnd w:id="63"/>
      <w:r w:rsidRPr="002975D8">
        <w:rPr>
          <w:rStyle w:val="CommentReference"/>
          <w:b/>
          <w:szCs w:val="24"/>
        </w:rPr>
        <w:t xml:space="preserve">: </w:t>
      </w:r>
      <w:r w:rsidRPr="001B3841">
        <w:rPr>
          <w:rStyle w:val="CommentReference"/>
          <w:b/>
          <w:szCs w:val="24"/>
        </w:rPr>
        <w:t>Comparison of respecified results using</w:t>
      </w:r>
      <w:r w:rsidR="004955ED">
        <w:rPr>
          <w:rStyle w:val="CommentReference"/>
          <w:b/>
          <w:szCs w:val="24"/>
        </w:rPr>
        <w:t xml:space="preserve"> </w:t>
      </w:r>
      <w:r w:rsidRPr="001B3841">
        <w:rPr>
          <w:rStyle w:val="CommentReference"/>
          <w:b/>
          <w:szCs w:val="24"/>
        </w:rPr>
        <w:t>Study 5008</w:t>
      </w:r>
      <w:r w:rsidR="00051D55">
        <w:rPr>
          <w:rStyle w:val="CommentReference"/>
          <w:b/>
          <w:szCs w:val="24"/>
        </w:rPr>
        <w:t xml:space="preserve">, </w:t>
      </w:r>
      <w:r w:rsidRPr="001B3841">
        <w:rPr>
          <w:rStyle w:val="CommentReference"/>
          <w:b/>
          <w:szCs w:val="24"/>
        </w:rPr>
        <w:t>Study 5002</w:t>
      </w:r>
      <w:bookmarkEnd w:id="64"/>
      <w:r w:rsidR="00051D55">
        <w:rPr>
          <w:rStyle w:val="CommentReference"/>
          <w:b/>
          <w:szCs w:val="24"/>
        </w:rPr>
        <w:t xml:space="preserve"> </w:t>
      </w:r>
      <w:r w:rsidR="004955ED" w:rsidRPr="00DE3F79">
        <w:rPr>
          <w:rStyle w:val="CommentReference"/>
          <w:b/>
          <w:szCs w:val="24"/>
        </w:rPr>
        <w:t>(IPTW-adjusted)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315"/>
        <w:gridCol w:w="2945"/>
        <w:gridCol w:w="2757"/>
      </w:tblGrid>
      <w:tr w:rsidR="00EC51B6" w:rsidRPr="00CD55C3" w14:paraId="0797D4F3" w14:textId="5F3C6F0C" w:rsidTr="001D6D9F">
        <w:trPr>
          <w:tblHeader/>
        </w:trPr>
        <w:tc>
          <w:tcPr>
            <w:tcW w:w="1838" w:type="pct"/>
            <w:vAlign w:val="center"/>
          </w:tcPr>
          <w:p w14:paraId="48CD74B5" w14:textId="77777777" w:rsidR="00EC51B6" w:rsidRPr="00CD55C3" w:rsidRDefault="00EC51B6" w:rsidP="00251E42">
            <w:pPr>
              <w:pStyle w:val="TableText0"/>
              <w:keepLines/>
              <w:rPr>
                <w:b/>
                <w:iCs/>
              </w:rPr>
            </w:pPr>
          </w:p>
        </w:tc>
        <w:tc>
          <w:tcPr>
            <w:tcW w:w="1633" w:type="pct"/>
            <w:tcBorders>
              <w:bottom w:val="single" w:sz="4" w:space="0" w:color="auto"/>
            </w:tcBorders>
            <w:vAlign w:val="center"/>
          </w:tcPr>
          <w:p w14:paraId="0D032E3B" w14:textId="77777777" w:rsidR="00EC51B6" w:rsidRPr="00CD55C3" w:rsidRDefault="00EC51B6" w:rsidP="00251E42">
            <w:pPr>
              <w:pStyle w:val="TableText0"/>
              <w:keepLines/>
              <w:jc w:val="center"/>
              <w:rPr>
                <w:b/>
                <w:iCs/>
              </w:rPr>
            </w:pPr>
            <w:r w:rsidRPr="00CD55C3">
              <w:rPr>
                <w:b/>
                <w:iCs/>
              </w:rPr>
              <w:t>Study 5008</w:t>
            </w:r>
          </w:p>
        </w:tc>
        <w:tc>
          <w:tcPr>
            <w:tcW w:w="1529" w:type="pct"/>
            <w:tcBorders>
              <w:bottom w:val="single" w:sz="4" w:space="0" w:color="auto"/>
            </w:tcBorders>
            <w:vAlign w:val="center"/>
          </w:tcPr>
          <w:p w14:paraId="4E11452E" w14:textId="77777777" w:rsidR="00EC51B6" w:rsidRPr="00CD55C3" w:rsidRDefault="00EC51B6" w:rsidP="00251E42">
            <w:pPr>
              <w:pStyle w:val="TableText0"/>
              <w:keepLines/>
              <w:jc w:val="center"/>
              <w:rPr>
                <w:b/>
                <w:iCs/>
              </w:rPr>
            </w:pPr>
            <w:r w:rsidRPr="00CD55C3">
              <w:rPr>
                <w:b/>
                <w:iCs/>
              </w:rPr>
              <w:t>Study 5002</w:t>
            </w:r>
          </w:p>
        </w:tc>
      </w:tr>
      <w:tr w:rsidR="00EC51B6" w:rsidRPr="00CD55C3" w14:paraId="35230E61" w14:textId="547EC806" w:rsidTr="001D6D9F">
        <w:tc>
          <w:tcPr>
            <w:tcW w:w="1838" w:type="pct"/>
            <w:vAlign w:val="center"/>
          </w:tcPr>
          <w:p w14:paraId="66D11C95" w14:textId="3389F25B" w:rsidR="00EC51B6" w:rsidRPr="00CD55C3" w:rsidRDefault="00EC51B6" w:rsidP="00251E42">
            <w:pPr>
              <w:pStyle w:val="TableText0"/>
              <w:keepLines/>
              <w:rPr>
                <w:iCs/>
              </w:rPr>
            </w:pPr>
            <w:r w:rsidRPr="00CD55C3">
              <w:rPr>
                <w:iCs/>
              </w:rPr>
              <w:t>Incremental cost</w:t>
            </w:r>
            <w:r w:rsidR="00363606">
              <w:rPr>
                <w:iCs/>
              </w:rPr>
              <w:t xml:space="preserve"> ($)</w:t>
            </w:r>
          </w:p>
        </w:tc>
        <w:tc>
          <w:tcPr>
            <w:tcW w:w="1633" w:type="pct"/>
            <w:shd w:val="solid" w:color="000000" w:fill="000000"/>
            <w:vAlign w:val="center"/>
          </w:tcPr>
          <w:p w14:paraId="7F4263B4" w14:textId="14F95CC8" w:rsidR="00EC51B6" w:rsidRPr="00CD55C3" w:rsidRDefault="001D6D9F" w:rsidP="00251E42">
            <w:pPr>
              <w:pStyle w:val="TableText0"/>
              <w:keepLines/>
              <w:jc w:val="center"/>
              <w:rPr>
                <w:iCs/>
              </w:rPr>
            </w:pPr>
            <w:r w:rsidRPr="001D6D9F">
              <w:rPr>
                <w:iCs/>
                <w:color w:val="000000"/>
                <w14:textFill>
                  <w14:solidFill>
                    <w14:srgbClr w14:val="000000">
                      <w14:alpha w14:val="100000"/>
                    </w14:srgbClr>
                  </w14:solidFill>
                </w14:textFill>
              </w:rPr>
              <w:t>|</w:t>
            </w:r>
          </w:p>
        </w:tc>
        <w:tc>
          <w:tcPr>
            <w:tcW w:w="1529" w:type="pct"/>
            <w:shd w:val="solid" w:color="000000" w:fill="000000"/>
            <w:vAlign w:val="center"/>
          </w:tcPr>
          <w:p w14:paraId="30F7FFF4" w14:textId="64CFCFC1" w:rsidR="00EC51B6" w:rsidRPr="00CD55C3" w:rsidRDefault="001D6D9F" w:rsidP="00251E42">
            <w:pPr>
              <w:pStyle w:val="TableText0"/>
              <w:keepLines/>
              <w:jc w:val="center"/>
              <w:rPr>
                <w:iCs/>
              </w:rPr>
            </w:pPr>
            <w:r w:rsidRPr="001D6D9F">
              <w:rPr>
                <w:iCs/>
                <w:color w:val="000000"/>
                <w14:textFill>
                  <w14:solidFill>
                    <w14:srgbClr w14:val="000000">
                      <w14:alpha w14:val="100000"/>
                    </w14:srgbClr>
                  </w14:solidFill>
                </w14:textFill>
              </w:rPr>
              <w:t>|</w:t>
            </w:r>
          </w:p>
        </w:tc>
      </w:tr>
      <w:tr w:rsidR="00EC51B6" w:rsidRPr="00CD55C3" w14:paraId="60C8E58B" w14:textId="216C28C0" w:rsidTr="00EC51B6">
        <w:tc>
          <w:tcPr>
            <w:tcW w:w="1838" w:type="pct"/>
            <w:vAlign w:val="center"/>
          </w:tcPr>
          <w:p w14:paraId="1CEB77CE" w14:textId="77777777" w:rsidR="00EC51B6" w:rsidRPr="00CD55C3" w:rsidRDefault="00EC51B6" w:rsidP="00251E42">
            <w:pPr>
              <w:pStyle w:val="TableText0"/>
              <w:keepLines/>
              <w:rPr>
                <w:iCs/>
              </w:rPr>
            </w:pPr>
            <w:r w:rsidRPr="00CD55C3">
              <w:rPr>
                <w:iCs/>
              </w:rPr>
              <w:t>Incremental QALYs gained</w:t>
            </w:r>
          </w:p>
        </w:tc>
        <w:tc>
          <w:tcPr>
            <w:tcW w:w="1633" w:type="pct"/>
            <w:vAlign w:val="center"/>
          </w:tcPr>
          <w:p w14:paraId="105FE824" w14:textId="77777777" w:rsidR="00EC51B6" w:rsidRPr="00CD55C3" w:rsidRDefault="00EC51B6" w:rsidP="00251E42">
            <w:pPr>
              <w:pStyle w:val="TableText0"/>
              <w:keepLines/>
              <w:jc w:val="center"/>
              <w:rPr>
                <w:iCs/>
              </w:rPr>
            </w:pPr>
            <w:r w:rsidRPr="00CD55C3">
              <w:rPr>
                <w:iCs/>
              </w:rPr>
              <w:t>0.731</w:t>
            </w:r>
          </w:p>
        </w:tc>
        <w:tc>
          <w:tcPr>
            <w:tcW w:w="1529" w:type="pct"/>
            <w:vAlign w:val="center"/>
          </w:tcPr>
          <w:p w14:paraId="4A59596F" w14:textId="77777777" w:rsidR="00EC51B6" w:rsidRPr="00CD55C3" w:rsidRDefault="00EC51B6" w:rsidP="00251E42">
            <w:pPr>
              <w:pStyle w:val="TableText0"/>
              <w:keepLines/>
              <w:jc w:val="center"/>
              <w:rPr>
                <w:iCs/>
              </w:rPr>
            </w:pPr>
            <w:r w:rsidRPr="00CD55C3">
              <w:rPr>
                <w:iCs/>
              </w:rPr>
              <w:t>0.494</w:t>
            </w:r>
          </w:p>
        </w:tc>
      </w:tr>
      <w:tr w:rsidR="00EC51B6" w:rsidRPr="00CD55C3" w14:paraId="2593CC5B" w14:textId="146133C6" w:rsidTr="00EC51B6">
        <w:tc>
          <w:tcPr>
            <w:tcW w:w="1838" w:type="pct"/>
            <w:vAlign w:val="center"/>
          </w:tcPr>
          <w:p w14:paraId="161AE6C2" w14:textId="0F2DAE0A" w:rsidR="00EC51B6" w:rsidRPr="00CD55C3" w:rsidRDefault="00EC51B6" w:rsidP="00251E42">
            <w:pPr>
              <w:pStyle w:val="TableText0"/>
              <w:keepLines/>
              <w:rPr>
                <w:b/>
                <w:iCs/>
              </w:rPr>
            </w:pPr>
            <w:r w:rsidRPr="00CD55C3">
              <w:rPr>
                <w:b/>
                <w:iCs/>
              </w:rPr>
              <w:t>Incremental cost per QALY gained</w:t>
            </w:r>
            <w:r w:rsidR="00363606">
              <w:rPr>
                <w:b/>
                <w:iCs/>
              </w:rPr>
              <w:t xml:space="preserve"> ($)</w:t>
            </w:r>
          </w:p>
        </w:tc>
        <w:tc>
          <w:tcPr>
            <w:tcW w:w="1633" w:type="pct"/>
            <w:vAlign w:val="center"/>
          </w:tcPr>
          <w:p w14:paraId="21134B1D" w14:textId="444CE96A" w:rsidR="00EC51B6" w:rsidRPr="00363606" w:rsidRDefault="001D6D9F" w:rsidP="00251E42">
            <w:pPr>
              <w:pStyle w:val="TableText0"/>
              <w:keepLines/>
              <w:jc w:val="center"/>
              <w:rPr>
                <w:b/>
                <w:iCs/>
                <w:vertAlign w:val="superscript"/>
              </w:rPr>
            </w:pPr>
            <w:r w:rsidRPr="001D6D9F">
              <w:rPr>
                <w:b/>
                <w:iCs/>
                <w:color w:val="000000"/>
                <w:shd w:val="solid" w:color="000000" w:fill="000000"/>
                <w14:textFill>
                  <w14:solidFill>
                    <w14:srgbClr w14:val="000000">
                      <w14:alpha w14:val="100000"/>
                    </w14:srgbClr>
                  </w14:solidFill>
                </w14:textFill>
              </w:rPr>
              <w:t>|</w:t>
            </w:r>
            <w:r w:rsidR="00363606" w:rsidRPr="00363606">
              <w:rPr>
                <w:b/>
                <w:iCs/>
                <w:vertAlign w:val="superscript"/>
              </w:rPr>
              <w:t>1</w:t>
            </w:r>
          </w:p>
        </w:tc>
        <w:tc>
          <w:tcPr>
            <w:tcW w:w="1529" w:type="pct"/>
            <w:vAlign w:val="center"/>
          </w:tcPr>
          <w:p w14:paraId="7C355892" w14:textId="47BAA065" w:rsidR="00EC51B6" w:rsidRPr="00363606" w:rsidRDefault="001D6D9F" w:rsidP="00251E42">
            <w:pPr>
              <w:pStyle w:val="TableText0"/>
              <w:keepLines/>
              <w:jc w:val="center"/>
              <w:rPr>
                <w:b/>
                <w:iCs/>
                <w:vertAlign w:val="superscript"/>
              </w:rPr>
            </w:pPr>
            <w:r w:rsidRPr="001D6D9F">
              <w:rPr>
                <w:b/>
                <w:iCs/>
                <w:color w:val="000000"/>
                <w:shd w:val="solid" w:color="000000" w:fill="000000"/>
                <w14:textFill>
                  <w14:solidFill>
                    <w14:srgbClr w14:val="000000">
                      <w14:alpha w14:val="100000"/>
                    </w14:srgbClr>
                  </w14:solidFill>
                </w14:textFill>
              </w:rPr>
              <w:t>|</w:t>
            </w:r>
            <w:r w:rsidR="00363606">
              <w:rPr>
                <w:b/>
                <w:iCs/>
                <w:vertAlign w:val="superscript"/>
              </w:rPr>
              <w:t>2</w:t>
            </w:r>
          </w:p>
        </w:tc>
      </w:tr>
    </w:tbl>
    <w:p w14:paraId="32138784" w14:textId="77777777" w:rsidR="00194A61" w:rsidRDefault="00194A61" w:rsidP="00251E42">
      <w:pPr>
        <w:pStyle w:val="FooterTableFigure"/>
        <w:keepNext/>
        <w:keepLines/>
      </w:pPr>
      <w:r>
        <w:t xml:space="preserve">Source: Compiled during the evaluation based on </w:t>
      </w:r>
      <w:r w:rsidRPr="002975D8">
        <w:t xml:space="preserve">the </w:t>
      </w:r>
      <w:r w:rsidRPr="00FA2CE5">
        <w:t>‘</w:t>
      </w:r>
      <w:r w:rsidRPr="00F76AA0">
        <w:t>Section 3 CE Model Workbook – Takeda Australia – Mobocertinib</w:t>
      </w:r>
      <w:r>
        <w:t>’</w:t>
      </w:r>
    </w:p>
    <w:p w14:paraId="32429F3B" w14:textId="77777777" w:rsidR="00194A61" w:rsidRDefault="00194A61" w:rsidP="007A2A2F">
      <w:pPr>
        <w:pStyle w:val="FooterTableFigure"/>
        <w:keepNext/>
        <w:keepLines/>
        <w:spacing w:after="0"/>
      </w:pPr>
      <w:r>
        <w:t>QALY = quality-adjusted life year.</w:t>
      </w:r>
    </w:p>
    <w:p w14:paraId="36F30ABE" w14:textId="77777777" w:rsidR="00363606" w:rsidRPr="009A6D58" w:rsidRDefault="00363606" w:rsidP="00DB0368">
      <w:pPr>
        <w:spacing w:before="120"/>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24EFF337" w14:textId="02AB415F" w:rsidR="00363606" w:rsidRPr="009A6D58" w:rsidRDefault="00363606" w:rsidP="00363606">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363606">
        <w:rPr>
          <w:rFonts w:ascii="Arial Narrow" w:hAnsi="Arial Narrow" w:cs="Arial"/>
          <w:i/>
          <w:sz w:val="18"/>
          <w:szCs w:val="18"/>
        </w:rPr>
        <w:t>$115,000 to &lt; $135,000</w:t>
      </w:r>
    </w:p>
    <w:p w14:paraId="245256CE" w14:textId="7DE0F372" w:rsidR="00363606" w:rsidRPr="009A6D58" w:rsidRDefault="00363606" w:rsidP="00363606">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363606">
        <w:rPr>
          <w:rFonts w:ascii="Arial Narrow" w:hAnsi="Arial Narrow" w:cs="Arial"/>
          <w:i/>
          <w:sz w:val="18"/>
          <w:szCs w:val="18"/>
        </w:rPr>
        <w:t>$155,000 to &lt; $255,000</w:t>
      </w:r>
    </w:p>
    <w:p w14:paraId="40E370D4" w14:textId="77777777" w:rsidR="00194A61" w:rsidRDefault="00194A61" w:rsidP="007A2A2F">
      <w:pPr>
        <w:pStyle w:val="FooterTableFigure"/>
        <w:spacing w:after="0"/>
      </w:pPr>
    </w:p>
    <w:p w14:paraId="706C390C" w14:textId="2817F303" w:rsidR="00194A61" w:rsidRDefault="00194A61" w:rsidP="00194A61">
      <w:pPr>
        <w:pStyle w:val="Caption"/>
      </w:pPr>
      <w:bookmarkStart w:id="65" w:name="_Ref113036685"/>
      <w:r>
        <w:t xml:space="preserve">Figure </w:t>
      </w:r>
      <w:r w:rsidR="001635D4">
        <w:fldChar w:fldCharType="begin"/>
      </w:r>
      <w:r w:rsidR="001635D4">
        <w:instrText xml:space="preserve"> SEQ Figure \* ARABIC </w:instrText>
      </w:r>
      <w:r w:rsidR="001635D4">
        <w:fldChar w:fldCharType="separate"/>
      </w:r>
      <w:r w:rsidR="001635D4">
        <w:rPr>
          <w:noProof/>
        </w:rPr>
        <w:t>9</w:t>
      </w:r>
      <w:r w:rsidR="001635D4">
        <w:rPr>
          <w:noProof/>
        </w:rPr>
        <w:fldChar w:fldCharType="end"/>
      </w:r>
      <w:bookmarkEnd w:id="65"/>
      <w:r>
        <w:t xml:space="preserve">: Comparison of survival curves for Study 5008 and Study 5002 </w:t>
      </w:r>
    </w:p>
    <w:p w14:paraId="02D57EDE" w14:textId="034EB174" w:rsidR="00194A61" w:rsidRDefault="00194A61" w:rsidP="00194A61">
      <w:pPr>
        <w:pStyle w:val="Caption"/>
      </w:pPr>
      <w:r>
        <w:rPr>
          <w:noProof/>
        </w:rPr>
        <w:drawing>
          <wp:inline distT="0" distB="0" distL="0" distR="0" wp14:anchorId="3BAD97E7" wp14:editId="3DCAAC78">
            <wp:extent cx="5732060" cy="3824644"/>
            <wp:effectExtent l="0" t="0" r="2540" b="4445"/>
            <wp:docPr id="1959018437" name="Picture 1959018437" descr="Figure 9: Comparison of survival curves for Study 5008 and Stud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18437" name="Picture 1959018437" descr="Figure 9: Comparison of survival curves for Study 5008 and Study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2060" cy="3824644"/>
                    </a:xfrm>
                    <a:prstGeom prst="rect">
                      <a:avLst/>
                    </a:prstGeom>
                    <a:noFill/>
                  </pic:spPr>
                </pic:pic>
              </a:graphicData>
            </a:graphic>
          </wp:inline>
        </w:drawing>
      </w:r>
    </w:p>
    <w:p w14:paraId="5370C7B7" w14:textId="77777777" w:rsidR="00194A61" w:rsidRDefault="00194A61" w:rsidP="00194A61">
      <w:pPr>
        <w:pStyle w:val="FooterTableFigure"/>
        <w:keepNext/>
        <w:keepLines/>
      </w:pPr>
      <w:r w:rsidRPr="000B00C1">
        <w:t xml:space="preserve">Source: </w:t>
      </w:r>
      <w:r w:rsidRPr="002975D8">
        <w:t>Figure constructed during the evaluation, based on ‘</w:t>
      </w:r>
      <w:r w:rsidRPr="00F76AA0">
        <w:t>Section 3 CE Model Workbook – Takeda Australia – Mobocertinib</w:t>
      </w:r>
      <w:r>
        <w:t>’ included in the submission.</w:t>
      </w:r>
    </w:p>
    <w:p w14:paraId="28AA92BF" w14:textId="2722FB26" w:rsidR="00194A61" w:rsidRDefault="00194A61" w:rsidP="00194A61">
      <w:pPr>
        <w:pStyle w:val="FooterTableFigure"/>
        <w:keepNext/>
        <w:keepLines/>
      </w:pPr>
      <w:r>
        <w:t>KM = Kaplan-Meier; OS = overall survival; PFS = progression free survival</w:t>
      </w:r>
    </w:p>
    <w:p w14:paraId="040995C8" w14:textId="77777777" w:rsidR="005D739D" w:rsidRPr="006D6D21" w:rsidRDefault="005D739D" w:rsidP="007A2A2F">
      <w:pPr>
        <w:pStyle w:val="FooterTableFigure"/>
        <w:keepNext/>
        <w:keepLines/>
        <w:spacing w:after="0"/>
      </w:pPr>
    </w:p>
    <w:p w14:paraId="05E827A9" w14:textId="04BD18C9" w:rsidR="009E64BD" w:rsidRPr="00287422" w:rsidRDefault="009E64BD" w:rsidP="00287422">
      <w:pPr>
        <w:pStyle w:val="3-BodyText"/>
        <w:rPr>
          <w:iCs/>
        </w:rPr>
      </w:pPr>
      <w:r>
        <w:rPr>
          <w:iCs/>
        </w:rPr>
        <w:t xml:space="preserve">The </w:t>
      </w:r>
      <w:r w:rsidRPr="009E64BD">
        <w:rPr>
          <w:iCs/>
        </w:rPr>
        <w:t>P</w:t>
      </w:r>
      <w:r>
        <w:rPr>
          <w:iCs/>
        </w:rPr>
        <w:t xml:space="preserve">re-PBAC Response proposed </w:t>
      </w:r>
      <w:r w:rsidR="00B8672B">
        <w:rPr>
          <w:iCs/>
        </w:rPr>
        <w:t xml:space="preserve">a </w:t>
      </w:r>
      <w:r w:rsidR="00287422">
        <w:rPr>
          <w:iCs/>
        </w:rPr>
        <w:t>respecified</w:t>
      </w:r>
      <w:r w:rsidR="00B8672B">
        <w:rPr>
          <w:iCs/>
        </w:rPr>
        <w:t xml:space="preserve"> base case</w:t>
      </w:r>
      <w:r w:rsidR="00287422">
        <w:rPr>
          <w:iCs/>
        </w:rPr>
        <w:t xml:space="preserve"> for the economic model</w:t>
      </w:r>
      <w:r w:rsidR="00B8672B">
        <w:rPr>
          <w:iCs/>
        </w:rPr>
        <w:t>. T</w:t>
      </w:r>
      <w:r w:rsidRPr="009E64BD">
        <w:rPr>
          <w:iCs/>
        </w:rPr>
        <w:t xml:space="preserve">he base case specification </w:t>
      </w:r>
      <w:r w:rsidR="00B8672B">
        <w:rPr>
          <w:iCs/>
        </w:rPr>
        <w:t>was</w:t>
      </w:r>
      <w:r w:rsidRPr="009E64BD">
        <w:rPr>
          <w:iCs/>
        </w:rPr>
        <w:t xml:space="preserve"> updated as follows: </w:t>
      </w:r>
      <w:r w:rsidR="00287422">
        <w:rPr>
          <w:iCs/>
        </w:rPr>
        <w:t>(i) u</w:t>
      </w:r>
      <w:r w:rsidRPr="00287422">
        <w:rPr>
          <w:iCs/>
        </w:rPr>
        <w:t>tilisation of pooled data from Study 5002 and 5008 to inform the model inputs</w:t>
      </w:r>
      <w:r w:rsidR="00287422">
        <w:rPr>
          <w:iCs/>
        </w:rPr>
        <w:t>; (ii) a</w:t>
      </w:r>
      <w:r w:rsidRPr="00287422">
        <w:rPr>
          <w:iCs/>
        </w:rPr>
        <w:t>djustment of SOC to align with Australian clinical practice, as informed by the</w:t>
      </w:r>
      <w:r w:rsidR="00287422">
        <w:rPr>
          <w:iCs/>
        </w:rPr>
        <w:t xml:space="preserve"> Sponsor’s</w:t>
      </w:r>
      <w:r w:rsidRPr="00287422">
        <w:rPr>
          <w:iCs/>
        </w:rPr>
        <w:t xml:space="preserve"> clinical </w:t>
      </w:r>
      <w:r w:rsidR="00287422">
        <w:rPr>
          <w:iCs/>
        </w:rPr>
        <w:t>A</w:t>
      </w:r>
      <w:r w:rsidRPr="00287422">
        <w:rPr>
          <w:iCs/>
        </w:rPr>
        <w:t xml:space="preserve">dvisory </w:t>
      </w:r>
      <w:r w:rsidR="00287422">
        <w:rPr>
          <w:iCs/>
        </w:rPr>
        <w:t>B</w:t>
      </w:r>
      <w:r w:rsidRPr="00287422">
        <w:rPr>
          <w:iCs/>
        </w:rPr>
        <w:t>oard</w:t>
      </w:r>
      <w:r w:rsidR="00287422">
        <w:rPr>
          <w:iCs/>
        </w:rPr>
        <w:t>; (iii) r</w:t>
      </w:r>
      <w:r w:rsidRPr="00287422">
        <w:rPr>
          <w:iCs/>
        </w:rPr>
        <w:t>emoval of half cycle correction from the treatment costs</w:t>
      </w:r>
      <w:r w:rsidR="00287422">
        <w:rPr>
          <w:iCs/>
        </w:rPr>
        <w:t>; (iv) l</w:t>
      </w:r>
      <w:r w:rsidRPr="00287422">
        <w:rPr>
          <w:iCs/>
        </w:rPr>
        <w:t>imiting 3L treatment to chemotherapies only</w:t>
      </w:r>
      <w:r w:rsidR="00287422">
        <w:rPr>
          <w:iCs/>
        </w:rPr>
        <w:t xml:space="preserve">. </w:t>
      </w:r>
      <w:r w:rsidRPr="00287422">
        <w:rPr>
          <w:iCs/>
        </w:rPr>
        <w:t xml:space="preserve">The revised model resulted in an ICER of </w:t>
      </w:r>
      <w:r w:rsidR="00363606" w:rsidRPr="00363606">
        <w:rPr>
          <w:iCs/>
        </w:rPr>
        <w:t>$115,000</w:t>
      </w:r>
      <w:r w:rsidR="00363606">
        <w:rPr>
          <w:iCs/>
        </w:rPr>
        <w:t xml:space="preserve"> </w:t>
      </w:r>
      <w:r w:rsidR="00363606" w:rsidRPr="00363606">
        <w:rPr>
          <w:iCs/>
        </w:rPr>
        <w:t>to</w:t>
      </w:r>
      <w:r w:rsidR="00363606">
        <w:rPr>
          <w:iCs/>
        </w:rPr>
        <w:t xml:space="preserve"> </w:t>
      </w:r>
      <w:r w:rsidR="00363606" w:rsidRPr="00363606">
        <w:rPr>
          <w:iCs/>
        </w:rPr>
        <w:t>&lt; $135,000</w:t>
      </w:r>
      <w:r w:rsidRPr="00287422">
        <w:rPr>
          <w:iCs/>
        </w:rPr>
        <w:t>/QALY gained at the price proposed in the submission (effective ex-manufacture price [EMP] of $</w:t>
      </w:r>
      <w:r w:rsidR="001D6D9F" w:rsidRPr="001635D4">
        <w:rPr>
          <w:iCs/>
          <w:color w:val="000000"/>
          <w:w w:val="15"/>
          <w:shd w:val="solid" w:color="000000" w:fill="000000"/>
          <w:fitText w:val="-20" w:id="-1304677628"/>
          <w14:textFill>
            <w14:solidFill>
              <w14:srgbClr w14:val="000000">
                <w14:alpha w14:val="100000"/>
              </w14:srgbClr>
            </w14:solidFill>
          </w14:textFill>
        </w:rPr>
        <w:t xml:space="preserve">|  </w:t>
      </w:r>
      <w:r w:rsidR="001D6D9F" w:rsidRPr="001635D4">
        <w:rPr>
          <w:iCs/>
          <w:color w:val="000000"/>
          <w:spacing w:val="-69"/>
          <w:w w:val="15"/>
          <w:shd w:val="solid" w:color="000000" w:fill="000000"/>
          <w:fitText w:val="-20" w:id="-1304677628"/>
          <w14:textFill>
            <w14:solidFill>
              <w14:srgbClr w14:val="000000">
                <w14:alpha w14:val="100000"/>
              </w14:srgbClr>
            </w14:solidFill>
          </w14:textFill>
        </w:rPr>
        <w:t>|</w:t>
      </w:r>
      <w:r w:rsidRPr="00287422">
        <w:rPr>
          <w:iCs/>
        </w:rPr>
        <w:t xml:space="preserve">). The Sponsor proposed a reduction to the effective </w:t>
      </w:r>
      <w:r w:rsidRPr="00287422">
        <w:rPr>
          <w:iCs/>
        </w:rPr>
        <w:lastRenderedPageBreak/>
        <w:t>EMP for mobocertinib to $</w:t>
      </w:r>
      <w:r w:rsidR="001D6D9F" w:rsidRPr="001635D4">
        <w:rPr>
          <w:iCs/>
          <w:color w:val="000000"/>
          <w:w w:val="15"/>
          <w:shd w:val="solid" w:color="000000" w:fill="000000"/>
          <w:fitText w:val="-20" w:id="-1304677627"/>
          <w14:textFill>
            <w14:solidFill>
              <w14:srgbClr w14:val="000000">
                <w14:alpha w14:val="100000"/>
              </w14:srgbClr>
            </w14:solidFill>
          </w14:textFill>
        </w:rPr>
        <w:t xml:space="preserve">|  </w:t>
      </w:r>
      <w:r w:rsidR="001D6D9F" w:rsidRPr="001635D4">
        <w:rPr>
          <w:iCs/>
          <w:color w:val="000000"/>
          <w:spacing w:val="-69"/>
          <w:w w:val="15"/>
          <w:shd w:val="solid" w:color="000000" w:fill="000000"/>
          <w:fitText w:val="-20" w:id="-1304677627"/>
          <w14:textFill>
            <w14:solidFill>
              <w14:srgbClr w14:val="000000">
                <w14:alpha w14:val="100000"/>
              </w14:srgbClr>
            </w14:solidFill>
          </w14:textFill>
        </w:rPr>
        <w:t>|</w:t>
      </w:r>
      <w:r w:rsidRPr="00287422">
        <w:rPr>
          <w:iCs/>
        </w:rPr>
        <w:t>; the reduced effective price correspond</w:t>
      </w:r>
      <w:r w:rsidR="00287422">
        <w:rPr>
          <w:iCs/>
        </w:rPr>
        <w:t>s</w:t>
      </w:r>
      <w:r w:rsidRPr="00287422">
        <w:rPr>
          <w:iCs/>
        </w:rPr>
        <w:t xml:space="preserve"> to an ICER in the </w:t>
      </w:r>
      <w:r w:rsidR="0050521A">
        <w:rPr>
          <w:iCs/>
        </w:rPr>
        <w:t xml:space="preserve">Sponsor’s </w:t>
      </w:r>
      <w:r w:rsidRPr="00287422">
        <w:rPr>
          <w:iCs/>
        </w:rPr>
        <w:t xml:space="preserve">revised model of </w:t>
      </w:r>
      <w:r w:rsidR="00363606" w:rsidRPr="00363606">
        <w:rPr>
          <w:iCs/>
        </w:rPr>
        <w:t>$75,000 to &lt; $95,000</w:t>
      </w:r>
      <w:r w:rsidR="00363606">
        <w:rPr>
          <w:iCs/>
        </w:rPr>
        <w:t>/QALY</w:t>
      </w:r>
      <w:r w:rsidRPr="00287422">
        <w:rPr>
          <w:iCs/>
        </w:rPr>
        <w:t>.</w:t>
      </w:r>
      <w:r w:rsidR="00287422">
        <w:rPr>
          <w:iCs/>
        </w:rPr>
        <w:t xml:space="preserve"> The PBAC </w:t>
      </w:r>
      <w:r w:rsidR="00287422" w:rsidRPr="006B7D2C">
        <w:rPr>
          <w:lang w:val="en-GB"/>
        </w:rPr>
        <w:t xml:space="preserve">considered that the resulting ICER of </w:t>
      </w:r>
      <w:r w:rsidR="00363606" w:rsidRPr="00363606">
        <w:t>$75,000 to &lt; $95,000</w:t>
      </w:r>
      <w:r w:rsidR="00363606">
        <w:t xml:space="preserve"> </w:t>
      </w:r>
      <w:r w:rsidR="00287422" w:rsidRPr="006B7D2C">
        <w:rPr>
          <w:lang w:val="en-GB"/>
        </w:rPr>
        <w:t>did not align with the respecified base case proposed by the evaluation and remained unaccep</w:t>
      </w:r>
      <w:r w:rsidR="00287422">
        <w:rPr>
          <w:lang w:val="en-GB"/>
        </w:rPr>
        <w:t>t</w:t>
      </w:r>
      <w:r w:rsidR="00287422" w:rsidRPr="006B7D2C">
        <w:rPr>
          <w:lang w:val="en-GB"/>
        </w:rPr>
        <w:t>ably high</w:t>
      </w:r>
      <w:r w:rsidR="00287422">
        <w:rPr>
          <w:lang w:val="en-GB"/>
        </w:rPr>
        <w:t>.</w:t>
      </w:r>
    </w:p>
    <w:p w14:paraId="32CC7D02" w14:textId="169A7C54" w:rsidR="0059695A" w:rsidRDefault="00194A61" w:rsidP="00194A61">
      <w:pPr>
        <w:pStyle w:val="3-BodyText"/>
        <w:rPr>
          <w:iCs/>
        </w:rPr>
      </w:pPr>
      <w:r w:rsidRPr="00D23D11">
        <w:t>The results of key sensitivity analyses</w:t>
      </w:r>
      <w:r w:rsidR="009E64BD">
        <w:t xml:space="preserve"> using the submission base case</w:t>
      </w:r>
      <w:r w:rsidRPr="00D23D11">
        <w:t xml:space="preserve"> are summarised </w:t>
      </w:r>
      <w:r>
        <w:t xml:space="preserve">in </w:t>
      </w:r>
      <w:r w:rsidR="00034D12">
        <w:fldChar w:fldCharType="begin"/>
      </w:r>
      <w:r w:rsidR="00034D12">
        <w:instrText xml:space="preserve"> REF _Ref113268717 \h </w:instrText>
      </w:r>
      <w:r w:rsidR="00034D12">
        <w:fldChar w:fldCharType="separate"/>
      </w:r>
      <w:r w:rsidR="001635D4">
        <w:t xml:space="preserve">Table </w:t>
      </w:r>
      <w:r w:rsidR="001635D4">
        <w:rPr>
          <w:noProof/>
        </w:rPr>
        <w:t>16</w:t>
      </w:r>
      <w:r w:rsidR="00034D12">
        <w:fldChar w:fldCharType="end"/>
      </w:r>
      <w:r w:rsidRPr="00D23D11">
        <w:t>.</w:t>
      </w:r>
      <w:r>
        <w:t xml:space="preserve"> </w:t>
      </w:r>
      <w:r w:rsidRPr="00CD55C3">
        <w:rPr>
          <w:iCs/>
        </w:rPr>
        <w:t xml:space="preserve">The results were most </w:t>
      </w:r>
      <w:r w:rsidRPr="0037161A">
        <w:rPr>
          <w:iCs/>
        </w:rPr>
        <w:t xml:space="preserve">sensitive </w:t>
      </w:r>
      <w:proofErr w:type="gramStart"/>
      <w:r w:rsidRPr="0037161A">
        <w:rPr>
          <w:iCs/>
        </w:rPr>
        <w:t>to choice</w:t>
      </w:r>
      <w:proofErr w:type="gramEnd"/>
      <w:r w:rsidRPr="0037161A">
        <w:rPr>
          <w:iCs/>
        </w:rPr>
        <w:t xml:space="preserve"> of comparator treatments in SOC arm, distribution of</w:t>
      </w:r>
      <w:r w:rsidR="000E35C9">
        <w:rPr>
          <w:iCs/>
        </w:rPr>
        <w:t xml:space="preserve"> second line</w:t>
      </w:r>
      <w:r w:rsidRPr="0037161A">
        <w:rPr>
          <w:iCs/>
        </w:rPr>
        <w:t xml:space="preserve"> </w:t>
      </w:r>
      <w:r w:rsidR="000E35C9">
        <w:rPr>
          <w:iCs/>
        </w:rPr>
        <w:t>(</w:t>
      </w:r>
      <w:r w:rsidRPr="0037161A">
        <w:rPr>
          <w:iCs/>
        </w:rPr>
        <w:t>2L</w:t>
      </w:r>
      <w:r w:rsidR="000E35C9">
        <w:rPr>
          <w:iCs/>
        </w:rPr>
        <w:t>)</w:t>
      </w:r>
      <w:r w:rsidRPr="0037161A">
        <w:rPr>
          <w:iCs/>
        </w:rPr>
        <w:t xml:space="preserve"> treatments in SOC arm</w:t>
      </w:r>
      <w:r w:rsidR="001D5585" w:rsidRPr="0037161A">
        <w:rPr>
          <w:iCs/>
        </w:rPr>
        <w:t>,</w:t>
      </w:r>
      <w:r w:rsidRPr="0037161A">
        <w:rPr>
          <w:iCs/>
        </w:rPr>
        <w:t xml:space="preserve"> and adjustments made to health state resource costs. The </w:t>
      </w:r>
      <w:r w:rsidR="0037161A" w:rsidRPr="00957154">
        <w:rPr>
          <w:iCs/>
        </w:rPr>
        <w:t>evaluation</w:t>
      </w:r>
      <w:r w:rsidR="0037161A" w:rsidRPr="0037161A">
        <w:rPr>
          <w:iCs/>
        </w:rPr>
        <w:t xml:space="preserve"> </w:t>
      </w:r>
      <w:r w:rsidRPr="0037161A">
        <w:rPr>
          <w:iCs/>
        </w:rPr>
        <w:t>noted that the choice of treatments used in 2L setting for the proposed population is highly uncertain and tested the impact of altering the source and choice of treatments in SOC arms</w:t>
      </w:r>
      <w:r w:rsidRPr="00CD55C3">
        <w:rPr>
          <w:iCs/>
        </w:rPr>
        <w:t>. Choosing Study 5002 instead of Study 5008 significantly increased ICER by 2</w:t>
      </w:r>
      <w:r w:rsidR="00D12AD3">
        <w:rPr>
          <w:iCs/>
        </w:rPr>
        <w:t>2</w:t>
      </w:r>
      <w:r w:rsidRPr="00CD55C3">
        <w:rPr>
          <w:iCs/>
        </w:rPr>
        <w:t>% (</w:t>
      </w:r>
      <w:r w:rsidR="00363606" w:rsidRPr="00363606">
        <w:rPr>
          <w:iCs/>
        </w:rPr>
        <w:t>$95,000 to &lt; $115,000</w:t>
      </w:r>
      <w:r w:rsidRPr="00CD55C3">
        <w:rPr>
          <w:iCs/>
        </w:rPr>
        <w:t xml:space="preserve">/QALY gained compared to </w:t>
      </w:r>
      <w:r w:rsidR="00363606" w:rsidRPr="00363606">
        <w:rPr>
          <w:iCs/>
        </w:rPr>
        <w:t>$75,000 to &lt; $95,000</w:t>
      </w:r>
      <w:r w:rsidRPr="00CD55C3">
        <w:rPr>
          <w:iCs/>
        </w:rPr>
        <w:t>/QALY gained in the base case). Limiting the 2L treatments in SOC to only chemotherapy used in the model increased the ICER by 26% (</w:t>
      </w:r>
      <w:r w:rsidR="00363606" w:rsidRPr="00363606">
        <w:rPr>
          <w:iCs/>
        </w:rPr>
        <w:t>$115,000 to &lt; $135,000</w:t>
      </w:r>
      <w:r w:rsidRPr="00CD55C3">
        <w:rPr>
          <w:iCs/>
        </w:rPr>
        <w:t xml:space="preserve">/QALY gained compared to </w:t>
      </w:r>
      <w:r w:rsidR="00363606" w:rsidRPr="00363606">
        <w:rPr>
          <w:iCs/>
        </w:rPr>
        <w:t>$75,000 to &lt; $95,000</w:t>
      </w:r>
      <w:r w:rsidRPr="00CD55C3">
        <w:rPr>
          <w:iCs/>
        </w:rPr>
        <w:t>/QALY gained in the base case). The choice of subsequent treatments had only a moderate impact on ICER. Limiting the choice of treatment to single agent chemotherapy in 3L setting reduced the ICER by 5%.</w:t>
      </w:r>
    </w:p>
    <w:p w14:paraId="703407AE" w14:textId="77777777" w:rsidR="0059695A" w:rsidRDefault="0059695A">
      <w:pPr>
        <w:rPr>
          <w:rFonts w:asciiTheme="minorHAnsi" w:hAnsiTheme="minorHAnsi" w:cs="Arial"/>
          <w:iCs/>
          <w:snapToGrid w:val="0"/>
        </w:rPr>
      </w:pPr>
      <w:r>
        <w:rPr>
          <w:iCs/>
        </w:rPr>
        <w:br w:type="page"/>
      </w:r>
    </w:p>
    <w:p w14:paraId="7EBB127C" w14:textId="0B53C066" w:rsidR="00194A61" w:rsidRDefault="00194A61" w:rsidP="00820080">
      <w:pPr>
        <w:pStyle w:val="Caption"/>
        <w:keepNext w:val="0"/>
        <w:keepLines w:val="0"/>
        <w:rPr>
          <w:rStyle w:val="CommentReference"/>
          <w:b/>
          <w:szCs w:val="24"/>
        </w:rPr>
      </w:pPr>
      <w:bookmarkStart w:id="66" w:name="_Ref113268717"/>
      <w:r>
        <w:lastRenderedPageBreak/>
        <w:t xml:space="preserve">Table </w:t>
      </w:r>
      <w:r w:rsidR="001635D4">
        <w:fldChar w:fldCharType="begin"/>
      </w:r>
      <w:r w:rsidR="001635D4">
        <w:instrText xml:space="preserve"> SEQ Table </w:instrText>
      </w:r>
      <w:r w:rsidR="001635D4">
        <w:instrText xml:space="preserve">\* ARABIC </w:instrText>
      </w:r>
      <w:r w:rsidR="001635D4">
        <w:fldChar w:fldCharType="separate"/>
      </w:r>
      <w:r w:rsidR="001635D4">
        <w:rPr>
          <w:noProof/>
        </w:rPr>
        <w:t>16</w:t>
      </w:r>
      <w:r w:rsidR="001635D4">
        <w:rPr>
          <w:noProof/>
        </w:rPr>
        <w:fldChar w:fldCharType="end"/>
      </w:r>
      <w:bookmarkEnd w:id="51"/>
      <w:bookmarkEnd w:id="66"/>
      <w:r>
        <w:t>:</w:t>
      </w:r>
      <w:r w:rsidRPr="00BB732D">
        <w:rPr>
          <w:rStyle w:val="CommentReference"/>
          <w:b/>
          <w:szCs w:val="24"/>
        </w:rPr>
        <w:t xml:space="preserve"> Sensitivity analyses</w:t>
      </w:r>
      <w:r>
        <w:rPr>
          <w:rStyle w:val="CommentReference"/>
          <w:b/>
          <w:szCs w:val="24"/>
        </w:rPr>
        <w:t xml:space="preserve"> (using submission base case)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31"/>
        <w:gridCol w:w="1452"/>
        <w:gridCol w:w="1073"/>
        <w:gridCol w:w="1073"/>
      </w:tblGrid>
      <w:tr w:rsidR="00194A61" w:rsidRPr="00264D26" w14:paraId="350E920D" w14:textId="77777777" w:rsidTr="001D6D9F">
        <w:trPr>
          <w:tblHeader/>
        </w:trPr>
        <w:tc>
          <w:tcPr>
            <w:tcW w:w="2267" w:type="pct"/>
          </w:tcPr>
          <w:p w14:paraId="69C11AE7" w14:textId="77777777" w:rsidR="00194A61" w:rsidRPr="00264D26" w:rsidRDefault="00194A61" w:rsidP="00820080">
            <w:pPr>
              <w:pStyle w:val="In-tableHeading"/>
              <w:keepNext w:val="0"/>
            </w:pPr>
            <w:r>
              <w:t>Analyses</w:t>
            </w:r>
          </w:p>
        </w:tc>
        <w:tc>
          <w:tcPr>
            <w:tcW w:w="738" w:type="pct"/>
            <w:tcBorders>
              <w:bottom w:val="single" w:sz="4" w:space="0" w:color="auto"/>
            </w:tcBorders>
          </w:tcPr>
          <w:p w14:paraId="3031F380" w14:textId="34639F4B" w:rsidR="00194A61" w:rsidRPr="00264D26" w:rsidRDefault="00194A61" w:rsidP="00820080">
            <w:pPr>
              <w:pStyle w:val="In-tableHeading"/>
              <w:keepNext w:val="0"/>
              <w:jc w:val="center"/>
            </w:pPr>
            <w:r w:rsidRPr="00264D26">
              <w:t>Incremental cost</w:t>
            </w:r>
            <w:r w:rsidR="00363606">
              <w:t xml:space="preserve"> ($)</w:t>
            </w:r>
          </w:p>
        </w:tc>
        <w:tc>
          <w:tcPr>
            <w:tcW w:w="805" w:type="pct"/>
          </w:tcPr>
          <w:p w14:paraId="07573857" w14:textId="77777777" w:rsidR="00194A61" w:rsidRPr="00264D26" w:rsidRDefault="00194A61" w:rsidP="00820080">
            <w:pPr>
              <w:pStyle w:val="In-tableHeading"/>
              <w:keepNext w:val="0"/>
              <w:jc w:val="center"/>
            </w:pPr>
            <w:r w:rsidRPr="00264D26">
              <w:t>Incremental QALY</w:t>
            </w:r>
          </w:p>
        </w:tc>
        <w:tc>
          <w:tcPr>
            <w:tcW w:w="595" w:type="pct"/>
          </w:tcPr>
          <w:p w14:paraId="381915FB" w14:textId="3C0E7B31" w:rsidR="00194A61" w:rsidRPr="00264D26" w:rsidRDefault="00194A61" w:rsidP="00820080">
            <w:pPr>
              <w:pStyle w:val="In-tableHeading"/>
              <w:keepNext w:val="0"/>
              <w:jc w:val="center"/>
            </w:pPr>
            <w:r w:rsidRPr="00264D26">
              <w:t>ICER</w:t>
            </w:r>
            <w:r w:rsidR="00363606">
              <w:t xml:space="preserve"> ($)</w:t>
            </w:r>
          </w:p>
        </w:tc>
        <w:tc>
          <w:tcPr>
            <w:tcW w:w="595" w:type="pct"/>
          </w:tcPr>
          <w:p w14:paraId="356D16C0" w14:textId="77777777" w:rsidR="00194A61" w:rsidRPr="00264D26" w:rsidRDefault="00194A61" w:rsidP="00820080">
            <w:pPr>
              <w:pStyle w:val="In-tableHeading"/>
              <w:keepNext w:val="0"/>
              <w:jc w:val="center"/>
            </w:pPr>
            <w:r>
              <w:t>%</w:t>
            </w:r>
            <w:proofErr w:type="gramStart"/>
            <w:r>
              <w:t>change</w:t>
            </w:r>
            <w:proofErr w:type="gramEnd"/>
            <w:r>
              <w:t xml:space="preserve"> from base case ICER</w:t>
            </w:r>
          </w:p>
        </w:tc>
      </w:tr>
      <w:tr w:rsidR="00194A61" w:rsidRPr="00264D26" w14:paraId="3FCF5823" w14:textId="77777777" w:rsidTr="001D6D9F">
        <w:tc>
          <w:tcPr>
            <w:tcW w:w="2267" w:type="pct"/>
          </w:tcPr>
          <w:p w14:paraId="0B05CF72" w14:textId="77777777" w:rsidR="00194A61" w:rsidRPr="00656188" w:rsidRDefault="00194A61" w:rsidP="00820080">
            <w:pPr>
              <w:pStyle w:val="TableText0"/>
              <w:keepNext w:val="0"/>
              <w:rPr>
                <w:b/>
              </w:rPr>
            </w:pPr>
            <w:r w:rsidRPr="00656188">
              <w:rPr>
                <w:b/>
              </w:rPr>
              <w:t>Base case</w:t>
            </w:r>
          </w:p>
        </w:tc>
        <w:tc>
          <w:tcPr>
            <w:tcW w:w="738" w:type="pct"/>
            <w:shd w:val="solid" w:color="000000" w:fill="000000"/>
          </w:tcPr>
          <w:p w14:paraId="78F41044" w14:textId="5B5B8E19" w:rsidR="00194A61" w:rsidRPr="00656188" w:rsidRDefault="001D6D9F" w:rsidP="00820080">
            <w:pPr>
              <w:pStyle w:val="TableText0"/>
              <w:keepNext w:val="0"/>
              <w:jc w:val="center"/>
              <w:rPr>
                <w:b/>
              </w:rPr>
            </w:pPr>
            <w:r w:rsidRPr="001D6D9F">
              <w:rPr>
                <w:rFonts w:hint="eastAsia"/>
                <w:b/>
                <w:color w:val="000000"/>
                <w:w w:val="15"/>
                <w:fitText w:val="30" w:id="-1304677626"/>
                <w14:textFill>
                  <w14:solidFill>
                    <w14:srgbClr w14:val="000000">
                      <w14:alpha w14:val="100000"/>
                    </w14:srgbClr>
                  </w14:solidFill>
                </w14:textFill>
              </w:rPr>
              <w:t xml:space="preserve">　</w:t>
            </w:r>
            <w:r w:rsidRPr="001D6D9F">
              <w:rPr>
                <w:b/>
                <w:color w:val="000000"/>
                <w:w w:val="15"/>
                <w:fitText w:val="30" w:id="-1304677626"/>
                <w14:textFill>
                  <w14:solidFill>
                    <w14:srgbClr w14:val="000000">
                      <w14:alpha w14:val="100000"/>
                    </w14:srgbClr>
                  </w14:solidFill>
                </w14:textFill>
              </w:rPr>
              <w:t>|</w:t>
            </w:r>
            <w:r w:rsidRPr="001D6D9F">
              <w:rPr>
                <w:rFonts w:hint="eastAsia"/>
                <w:b/>
                <w:color w:val="000000"/>
                <w:spacing w:val="-36"/>
                <w:w w:val="15"/>
                <w:fitText w:val="30" w:id="-1304677626"/>
                <w14:textFill>
                  <w14:solidFill>
                    <w14:srgbClr w14:val="000000">
                      <w14:alpha w14:val="100000"/>
                    </w14:srgbClr>
                  </w14:solidFill>
                </w14:textFill>
              </w:rPr>
              <w:t xml:space="preserve">　</w:t>
            </w:r>
          </w:p>
        </w:tc>
        <w:tc>
          <w:tcPr>
            <w:tcW w:w="805" w:type="pct"/>
          </w:tcPr>
          <w:p w14:paraId="46210853" w14:textId="77777777" w:rsidR="00194A61" w:rsidRPr="00656188" w:rsidRDefault="00194A61" w:rsidP="00820080">
            <w:pPr>
              <w:pStyle w:val="TableText0"/>
              <w:keepNext w:val="0"/>
              <w:jc w:val="center"/>
              <w:rPr>
                <w:b/>
              </w:rPr>
            </w:pPr>
            <w:r>
              <w:rPr>
                <w:b/>
              </w:rPr>
              <w:t>0.731</w:t>
            </w:r>
          </w:p>
        </w:tc>
        <w:tc>
          <w:tcPr>
            <w:tcW w:w="595" w:type="pct"/>
          </w:tcPr>
          <w:p w14:paraId="7C49294C" w14:textId="399A7A3A" w:rsidR="00194A61" w:rsidRPr="00363606" w:rsidRDefault="001D6D9F" w:rsidP="00820080">
            <w:pPr>
              <w:pStyle w:val="TableText0"/>
              <w:keepNext w:val="0"/>
              <w:jc w:val="center"/>
              <w:rPr>
                <w:b/>
                <w:vertAlign w:val="superscript"/>
              </w:rPr>
            </w:pPr>
            <w:r w:rsidRPr="001D6D9F">
              <w:rPr>
                <w:b/>
                <w:color w:val="000000"/>
                <w:spacing w:val="108"/>
                <w:shd w:val="solid" w:color="000000" w:fill="000000"/>
                <w:fitText w:val="200" w:id="-1304677625"/>
                <w14:textFill>
                  <w14:solidFill>
                    <w14:srgbClr w14:val="000000">
                      <w14:alpha w14:val="100000"/>
                    </w14:srgbClr>
                  </w14:solidFill>
                </w14:textFill>
              </w:rPr>
              <w:t>|</w:t>
            </w:r>
            <w:r w:rsidRPr="001D6D9F">
              <w:rPr>
                <w:b/>
                <w:color w:val="000000"/>
                <w:spacing w:val="1"/>
                <w:shd w:val="solid" w:color="000000" w:fill="000000"/>
                <w:fitText w:val="200" w:id="-1304677625"/>
                <w14:textFill>
                  <w14:solidFill>
                    <w14:srgbClr w14:val="000000">
                      <w14:alpha w14:val="100000"/>
                    </w14:srgbClr>
                  </w14:solidFill>
                </w14:textFill>
              </w:rPr>
              <w:t>|</w:t>
            </w:r>
            <w:r w:rsidR="00363606">
              <w:rPr>
                <w:b/>
                <w:vertAlign w:val="superscript"/>
              </w:rPr>
              <w:t>1</w:t>
            </w:r>
          </w:p>
        </w:tc>
        <w:tc>
          <w:tcPr>
            <w:tcW w:w="595" w:type="pct"/>
          </w:tcPr>
          <w:p w14:paraId="1DC23DF3" w14:textId="77777777" w:rsidR="00194A61" w:rsidRDefault="00194A61" w:rsidP="00820080">
            <w:pPr>
              <w:pStyle w:val="TableText0"/>
              <w:keepNext w:val="0"/>
              <w:jc w:val="center"/>
              <w:rPr>
                <w:b/>
              </w:rPr>
            </w:pPr>
          </w:p>
        </w:tc>
      </w:tr>
      <w:tr w:rsidR="004949CB" w14:paraId="105CB28C" w14:textId="77777777" w:rsidTr="00AC6F83">
        <w:tc>
          <w:tcPr>
            <w:tcW w:w="2267" w:type="pct"/>
          </w:tcPr>
          <w:p w14:paraId="10750DC9" w14:textId="77777777" w:rsidR="004949CB" w:rsidRDefault="004949CB" w:rsidP="00820080">
            <w:pPr>
              <w:pStyle w:val="TableText0"/>
              <w:keepNext w:val="0"/>
            </w:pPr>
            <w:r>
              <w:t>Source of comparator treatments (base case: Study 5008)</w:t>
            </w:r>
          </w:p>
          <w:p w14:paraId="759E8E0A" w14:textId="356F21D8" w:rsidR="004949CB" w:rsidRDefault="004949CB" w:rsidP="00820080">
            <w:pPr>
              <w:pStyle w:val="TableText0"/>
              <w:keepNext w:val="0"/>
              <w:numPr>
                <w:ilvl w:val="0"/>
                <w:numId w:val="21"/>
              </w:numPr>
            </w:pPr>
            <w:r>
              <w:t>Study 5002 – after IPTW</w:t>
            </w:r>
          </w:p>
        </w:tc>
        <w:tc>
          <w:tcPr>
            <w:tcW w:w="738" w:type="pct"/>
          </w:tcPr>
          <w:p w14:paraId="5EBC1469" w14:textId="77777777" w:rsidR="004949CB" w:rsidRPr="00CD55C3" w:rsidRDefault="004949CB" w:rsidP="00820080">
            <w:pPr>
              <w:pStyle w:val="TableText0"/>
              <w:keepNext w:val="0"/>
              <w:jc w:val="center"/>
              <w:rPr>
                <w:iCs/>
              </w:rPr>
            </w:pPr>
          </w:p>
          <w:p w14:paraId="7067E6DE" w14:textId="77777777" w:rsidR="004949CB" w:rsidRPr="00CD55C3" w:rsidRDefault="004949CB" w:rsidP="00820080">
            <w:pPr>
              <w:pStyle w:val="TableText0"/>
              <w:keepNext w:val="0"/>
              <w:jc w:val="center"/>
              <w:rPr>
                <w:iCs/>
              </w:rPr>
            </w:pPr>
          </w:p>
          <w:p w14:paraId="5D10D3F9" w14:textId="262241C5" w:rsidR="004949CB" w:rsidRPr="00CD55C3" w:rsidRDefault="001D6D9F" w:rsidP="00820080">
            <w:pPr>
              <w:pStyle w:val="TableText0"/>
              <w:keepNext w:val="0"/>
              <w:jc w:val="center"/>
              <w:rPr>
                <w:iCs/>
              </w:rPr>
            </w:pPr>
            <w:r w:rsidRPr="001D6D9F">
              <w:rPr>
                <w:iCs/>
                <w:color w:val="000000"/>
                <w:shd w:val="solid" w:color="000000" w:fill="000000"/>
                <w14:textFill>
                  <w14:solidFill>
                    <w14:srgbClr w14:val="000000">
                      <w14:alpha w14:val="100000"/>
                    </w14:srgbClr>
                  </w14:solidFill>
                </w14:textFill>
              </w:rPr>
              <w:t>|</w:t>
            </w:r>
          </w:p>
        </w:tc>
        <w:tc>
          <w:tcPr>
            <w:tcW w:w="805" w:type="pct"/>
          </w:tcPr>
          <w:p w14:paraId="69A0E513" w14:textId="77777777" w:rsidR="004949CB" w:rsidRPr="00CD55C3" w:rsidRDefault="004949CB" w:rsidP="00820080">
            <w:pPr>
              <w:pStyle w:val="TableText0"/>
              <w:keepNext w:val="0"/>
              <w:jc w:val="center"/>
              <w:rPr>
                <w:iCs/>
              </w:rPr>
            </w:pPr>
          </w:p>
          <w:p w14:paraId="5C810023" w14:textId="77777777" w:rsidR="004949CB" w:rsidRPr="00CD55C3" w:rsidRDefault="004949CB" w:rsidP="00820080">
            <w:pPr>
              <w:pStyle w:val="TableText0"/>
              <w:keepNext w:val="0"/>
              <w:jc w:val="center"/>
              <w:rPr>
                <w:iCs/>
              </w:rPr>
            </w:pPr>
          </w:p>
          <w:p w14:paraId="5BEF30AE" w14:textId="77777777" w:rsidR="004949CB" w:rsidRPr="00CD55C3" w:rsidRDefault="004949CB" w:rsidP="00820080">
            <w:pPr>
              <w:pStyle w:val="TableText0"/>
              <w:keepNext w:val="0"/>
              <w:jc w:val="center"/>
              <w:rPr>
                <w:iCs/>
              </w:rPr>
            </w:pPr>
            <w:r w:rsidRPr="00CD55C3">
              <w:rPr>
                <w:iCs/>
              </w:rPr>
              <w:t>0.494</w:t>
            </w:r>
          </w:p>
        </w:tc>
        <w:tc>
          <w:tcPr>
            <w:tcW w:w="595" w:type="pct"/>
          </w:tcPr>
          <w:p w14:paraId="022B679E" w14:textId="77777777" w:rsidR="004949CB" w:rsidRPr="00CD55C3" w:rsidRDefault="004949CB" w:rsidP="00820080">
            <w:pPr>
              <w:pStyle w:val="TableText0"/>
              <w:keepNext w:val="0"/>
              <w:jc w:val="center"/>
              <w:rPr>
                <w:iCs/>
              </w:rPr>
            </w:pPr>
          </w:p>
          <w:p w14:paraId="5632DB29" w14:textId="77777777" w:rsidR="004949CB" w:rsidRPr="00CD55C3" w:rsidRDefault="004949CB" w:rsidP="00820080">
            <w:pPr>
              <w:pStyle w:val="TableText0"/>
              <w:keepNext w:val="0"/>
              <w:jc w:val="center"/>
              <w:rPr>
                <w:iCs/>
              </w:rPr>
            </w:pPr>
          </w:p>
          <w:p w14:paraId="780E87AA" w14:textId="237D0B9F" w:rsidR="004949CB" w:rsidRPr="00363606" w:rsidRDefault="001D6D9F" w:rsidP="00820080">
            <w:pPr>
              <w:pStyle w:val="TableText0"/>
              <w:keepNext w:val="0"/>
              <w:jc w:val="center"/>
              <w:rPr>
                <w:iCs/>
                <w:vertAlign w:val="superscript"/>
              </w:rPr>
            </w:pPr>
            <w:r w:rsidRPr="001D6D9F">
              <w:rPr>
                <w:rFonts w:hint="eastAsia"/>
                <w:iCs/>
                <w:color w:val="000000"/>
                <w:w w:val="33"/>
                <w:shd w:val="solid" w:color="000000" w:fill="000000"/>
                <w:fitText w:val="150" w:id="-1304677624"/>
                <w14:textFill>
                  <w14:solidFill>
                    <w14:srgbClr w14:val="000000">
                      <w14:alpha w14:val="100000"/>
                    </w14:srgbClr>
                  </w14:solidFill>
                </w14:textFill>
              </w:rPr>
              <w:t xml:space="preserve">　</w:t>
            </w:r>
            <w:r w:rsidRPr="001D6D9F">
              <w:rPr>
                <w:iCs/>
                <w:color w:val="000000"/>
                <w:w w:val="33"/>
                <w:shd w:val="solid" w:color="000000" w:fill="000000"/>
                <w:fitText w:val="150" w:id="-1304677624"/>
                <w14:textFill>
                  <w14:solidFill>
                    <w14:srgbClr w14:val="000000">
                      <w14:alpha w14:val="100000"/>
                    </w14:srgbClr>
                  </w14:solidFill>
                </w14:textFill>
              </w:rPr>
              <w:t>|</w:t>
            </w:r>
            <w:r w:rsidRPr="001D6D9F">
              <w:rPr>
                <w:rFonts w:hint="eastAsia"/>
                <w:iCs/>
                <w:color w:val="000000"/>
                <w:spacing w:val="4"/>
                <w:w w:val="33"/>
                <w:shd w:val="solid" w:color="000000" w:fill="000000"/>
                <w:fitText w:val="150" w:id="-1304677624"/>
                <w14:textFill>
                  <w14:solidFill>
                    <w14:srgbClr w14:val="000000">
                      <w14:alpha w14:val="100000"/>
                    </w14:srgbClr>
                  </w14:solidFill>
                </w14:textFill>
              </w:rPr>
              <w:t xml:space="preserve">　</w:t>
            </w:r>
            <w:r w:rsidR="00363606">
              <w:rPr>
                <w:iCs/>
                <w:vertAlign w:val="superscript"/>
              </w:rPr>
              <w:t>2</w:t>
            </w:r>
          </w:p>
        </w:tc>
        <w:tc>
          <w:tcPr>
            <w:tcW w:w="595" w:type="pct"/>
          </w:tcPr>
          <w:p w14:paraId="60777872" w14:textId="77777777" w:rsidR="004949CB" w:rsidRPr="00CD55C3" w:rsidRDefault="004949CB" w:rsidP="00820080">
            <w:pPr>
              <w:pStyle w:val="TableText0"/>
              <w:keepNext w:val="0"/>
              <w:jc w:val="center"/>
              <w:rPr>
                <w:iCs/>
              </w:rPr>
            </w:pPr>
          </w:p>
          <w:p w14:paraId="625498A2" w14:textId="77777777" w:rsidR="004949CB" w:rsidRPr="00CD55C3" w:rsidRDefault="004949CB" w:rsidP="00820080">
            <w:pPr>
              <w:pStyle w:val="TableText0"/>
              <w:keepNext w:val="0"/>
              <w:jc w:val="center"/>
              <w:rPr>
                <w:iCs/>
              </w:rPr>
            </w:pPr>
          </w:p>
          <w:p w14:paraId="62707C48" w14:textId="56CAF206" w:rsidR="004949CB" w:rsidRPr="00CD55C3" w:rsidRDefault="004949CB" w:rsidP="00820080">
            <w:pPr>
              <w:pStyle w:val="TableText0"/>
              <w:keepNext w:val="0"/>
              <w:jc w:val="center"/>
              <w:rPr>
                <w:iCs/>
              </w:rPr>
            </w:pPr>
            <w:r w:rsidRPr="00CD55C3">
              <w:rPr>
                <w:iCs/>
              </w:rPr>
              <w:t>2</w:t>
            </w:r>
            <w:r w:rsidR="00D12AD3">
              <w:rPr>
                <w:iCs/>
              </w:rPr>
              <w:t>2</w:t>
            </w:r>
            <w:r w:rsidRPr="00CD55C3">
              <w:rPr>
                <w:iCs/>
              </w:rPr>
              <w:t>%</w:t>
            </w:r>
          </w:p>
        </w:tc>
      </w:tr>
      <w:tr w:rsidR="004949CB" w14:paraId="41AB8CFE" w14:textId="77777777" w:rsidTr="00AC6F83">
        <w:tc>
          <w:tcPr>
            <w:tcW w:w="2267" w:type="pct"/>
          </w:tcPr>
          <w:p w14:paraId="4F3A56E9" w14:textId="77777777" w:rsidR="004949CB" w:rsidRDefault="004949CB" w:rsidP="00820080">
            <w:pPr>
              <w:pStyle w:val="TableText0"/>
              <w:keepNext w:val="0"/>
            </w:pPr>
            <w:r>
              <w:t>Treatment in SOC arm (base case: All treatment classes based on Study 101)</w:t>
            </w:r>
          </w:p>
          <w:p w14:paraId="0C250F60" w14:textId="13899A1F" w:rsidR="004949CB" w:rsidRDefault="004949CB" w:rsidP="00820080">
            <w:pPr>
              <w:pStyle w:val="TableText0"/>
              <w:keepNext w:val="0"/>
              <w:numPr>
                <w:ilvl w:val="0"/>
                <w:numId w:val="21"/>
              </w:numPr>
            </w:pPr>
            <w:r>
              <w:t>Only chemotherapy (based on Study 101)</w:t>
            </w:r>
          </w:p>
        </w:tc>
        <w:tc>
          <w:tcPr>
            <w:tcW w:w="738" w:type="pct"/>
          </w:tcPr>
          <w:p w14:paraId="04CB8A7B" w14:textId="77777777" w:rsidR="004949CB" w:rsidRPr="00CD55C3" w:rsidRDefault="004949CB" w:rsidP="00820080">
            <w:pPr>
              <w:pStyle w:val="TableText0"/>
              <w:keepNext w:val="0"/>
              <w:jc w:val="center"/>
              <w:rPr>
                <w:iCs/>
              </w:rPr>
            </w:pPr>
          </w:p>
          <w:p w14:paraId="0F8C316E" w14:textId="2A8F06C7" w:rsidR="004949CB" w:rsidRPr="00CD55C3" w:rsidRDefault="001D6D9F" w:rsidP="00820080">
            <w:pPr>
              <w:pStyle w:val="TableText0"/>
              <w:keepNext w:val="0"/>
              <w:jc w:val="center"/>
              <w:rPr>
                <w:iCs/>
              </w:rPr>
            </w:pPr>
            <w:r w:rsidRPr="001D6D9F">
              <w:rPr>
                <w:iCs/>
                <w:color w:val="000000"/>
                <w:shd w:val="solid" w:color="000000" w:fill="000000"/>
                <w14:textFill>
                  <w14:solidFill>
                    <w14:srgbClr w14:val="000000">
                      <w14:alpha w14:val="100000"/>
                    </w14:srgbClr>
                  </w14:solidFill>
                </w14:textFill>
              </w:rPr>
              <w:t>|</w:t>
            </w:r>
          </w:p>
        </w:tc>
        <w:tc>
          <w:tcPr>
            <w:tcW w:w="805" w:type="pct"/>
          </w:tcPr>
          <w:p w14:paraId="10510AE7" w14:textId="77777777" w:rsidR="004949CB" w:rsidRPr="00CD55C3" w:rsidRDefault="004949CB" w:rsidP="00820080">
            <w:pPr>
              <w:pStyle w:val="TableText0"/>
              <w:keepNext w:val="0"/>
              <w:jc w:val="center"/>
              <w:rPr>
                <w:iCs/>
              </w:rPr>
            </w:pPr>
          </w:p>
          <w:p w14:paraId="101BED67" w14:textId="77777777" w:rsidR="004949CB" w:rsidRPr="00CD55C3" w:rsidRDefault="004949CB" w:rsidP="00820080">
            <w:pPr>
              <w:pStyle w:val="TableText0"/>
              <w:keepNext w:val="0"/>
              <w:jc w:val="center"/>
              <w:rPr>
                <w:iCs/>
              </w:rPr>
            </w:pPr>
            <w:r w:rsidRPr="00CD55C3">
              <w:rPr>
                <w:iCs/>
              </w:rPr>
              <w:t>0.731</w:t>
            </w:r>
          </w:p>
        </w:tc>
        <w:tc>
          <w:tcPr>
            <w:tcW w:w="595" w:type="pct"/>
          </w:tcPr>
          <w:p w14:paraId="1A6F45B6" w14:textId="77777777" w:rsidR="004949CB" w:rsidRPr="00CD55C3" w:rsidRDefault="004949CB" w:rsidP="00820080">
            <w:pPr>
              <w:pStyle w:val="TableText0"/>
              <w:keepNext w:val="0"/>
              <w:jc w:val="center"/>
              <w:rPr>
                <w:iCs/>
              </w:rPr>
            </w:pPr>
          </w:p>
          <w:p w14:paraId="39D220EC" w14:textId="6DE53B45" w:rsidR="004949CB" w:rsidRPr="00363606" w:rsidRDefault="001D6D9F" w:rsidP="00820080">
            <w:pPr>
              <w:pStyle w:val="TableText0"/>
              <w:keepNext w:val="0"/>
              <w:jc w:val="center"/>
              <w:rPr>
                <w:iCs/>
                <w:vertAlign w:val="superscript"/>
              </w:rPr>
            </w:pPr>
            <w:r w:rsidRPr="001D6D9F">
              <w:rPr>
                <w:rFonts w:hint="eastAsia"/>
                <w:iCs/>
                <w:color w:val="000000"/>
                <w:w w:val="33"/>
                <w:shd w:val="solid" w:color="000000" w:fill="000000"/>
                <w:fitText w:val="150" w:id="-1304677623"/>
                <w14:textFill>
                  <w14:solidFill>
                    <w14:srgbClr w14:val="000000">
                      <w14:alpha w14:val="100000"/>
                    </w14:srgbClr>
                  </w14:solidFill>
                </w14:textFill>
              </w:rPr>
              <w:t xml:space="preserve">　</w:t>
            </w:r>
            <w:r w:rsidRPr="001D6D9F">
              <w:rPr>
                <w:iCs/>
                <w:color w:val="000000"/>
                <w:w w:val="33"/>
                <w:shd w:val="solid" w:color="000000" w:fill="000000"/>
                <w:fitText w:val="150" w:id="-1304677623"/>
                <w14:textFill>
                  <w14:solidFill>
                    <w14:srgbClr w14:val="000000">
                      <w14:alpha w14:val="100000"/>
                    </w14:srgbClr>
                  </w14:solidFill>
                </w14:textFill>
              </w:rPr>
              <w:t>|</w:t>
            </w:r>
            <w:r w:rsidRPr="001D6D9F">
              <w:rPr>
                <w:rFonts w:hint="eastAsia"/>
                <w:iCs/>
                <w:color w:val="000000"/>
                <w:spacing w:val="4"/>
                <w:w w:val="33"/>
                <w:shd w:val="solid" w:color="000000" w:fill="000000"/>
                <w:fitText w:val="150" w:id="-1304677623"/>
                <w14:textFill>
                  <w14:solidFill>
                    <w14:srgbClr w14:val="000000">
                      <w14:alpha w14:val="100000"/>
                    </w14:srgbClr>
                  </w14:solidFill>
                </w14:textFill>
              </w:rPr>
              <w:t xml:space="preserve">　</w:t>
            </w:r>
            <w:r w:rsidR="00363606">
              <w:rPr>
                <w:iCs/>
                <w:vertAlign w:val="superscript"/>
              </w:rPr>
              <w:t>3</w:t>
            </w:r>
          </w:p>
        </w:tc>
        <w:tc>
          <w:tcPr>
            <w:tcW w:w="595" w:type="pct"/>
          </w:tcPr>
          <w:p w14:paraId="4D45D45A" w14:textId="77777777" w:rsidR="004949CB" w:rsidRPr="00CD55C3" w:rsidRDefault="004949CB" w:rsidP="00820080">
            <w:pPr>
              <w:pStyle w:val="TableText0"/>
              <w:keepNext w:val="0"/>
              <w:jc w:val="center"/>
              <w:rPr>
                <w:iCs/>
              </w:rPr>
            </w:pPr>
          </w:p>
          <w:p w14:paraId="0AF059A4" w14:textId="04B04F69" w:rsidR="004949CB" w:rsidRPr="00CD55C3" w:rsidRDefault="004949CB" w:rsidP="00820080">
            <w:pPr>
              <w:pStyle w:val="TableText0"/>
              <w:keepNext w:val="0"/>
              <w:jc w:val="center"/>
              <w:rPr>
                <w:iCs/>
              </w:rPr>
            </w:pPr>
            <w:r w:rsidRPr="00CD55C3">
              <w:rPr>
                <w:iCs/>
              </w:rPr>
              <w:t>26%</w:t>
            </w:r>
          </w:p>
        </w:tc>
      </w:tr>
      <w:tr w:rsidR="004949CB" w14:paraId="145BC796" w14:textId="77777777" w:rsidTr="00AC6F83">
        <w:tc>
          <w:tcPr>
            <w:tcW w:w="2267" w:type="pct"/>
          </w:tcPr>
          <w:p w14:paraId="6D4CD0C0" w14:textId="77777777" w:rsidR="004949CB" w:rsidRDefault="004949CB" w:rsidP="00820080">
            <w:pPr>
              <w:pStyle w:val="TableText0"/>
              <w:keepNext w:val="0"/>
            </w:pPr>
            <w:r>
              <w:t>Subsequent treatment (base case: All classes of treatments)</w:t>
            </w:r>
          </w:p>
          <w:p w14:paraId="36F145D8" w14:textId="77777777" w:rsidR="004949CB" w:rsidRDefault="004949CB" w:rsidP="00820080">
            <w:pPr>
              <w:pStyle w:val="TableText0"/>
              <w:keepNext w:val="0"/>
              <w:numPr>
                <w:ilvl w:val="0"/>
                <w:numId w:val="21"/>
              </w:numPr>
            </w:pPr>
            <w:r>
              <w:t>Only single agent chemotherapy</w:t>
            </w:r>
          </w:p>
        </w:tc>
        <w:tc>
          <w:tcPr>
            <w:tcW w:w="738" w:type="pct"/>
          </w:tcPr>
          <w:p w14:paraId="61113F1E" w14:textId="77777777" w:rsidR="004949CB" w:rsidRPr="00CD55C3" w:rsidRDefault="004949CB" w:rsidP="00820080">
            <w:pPr>
              <w:pStyle w:val="TableText0"/>
              <w:keepNext w:val="0"/>
              <w:jc w:val="center"/>
              <w:rPr>
                <w:iCs/>
              </w:rPr>
            </w:pPr>
          </w:p>
          <w:p w14:paraId="6DAF3EF5" w14:textId="77777777" w:rsidR="004949CB" w:rsidRPr="00CD55C3" w:rsidRDefault="004949CB" w:rsidP="00820080">
            <w:pPr>
              <w:pStyle w:val="TableText0"/>
              <w:keepNext w:val="0"/>
              <w:jc w:val="center"/>
              <w:rPr>
                <w:iCs/>
              </w:rPr>
            </w:pPr>
          </w:p>
          <w:p w14:paraId="770F2DC5" w14:textId="64269813" w:rsidR="004949CB" w:rsidRPr="00CD55C3" w:rsidRDefault="001D6D9F" w:rsidP="00820080">
            <w:pPr>
              <w:pStyle w:val="TableText0"/>
              <w:keepNext w:val="0"/>
              <w:jc w:val="center"/>
              <w:rPr>
                <w:iCs/>
              </w:rPr>
            </w:pPr>
            <w:r w:rsidRPr="001D6D9F">
              <w:rPr>
                <w:iCs/>
                <w:color w:val="000000"/>
                <w:shd w:val="solid" w:color="000000" w:fill="000000"/>
                <w14:textFill>
                  <w14:solidFill>
                    <w14:srgbClr w14:val="000000">
                      <w14:alpha w14:val="100000"/>
                    </w14:srgbClr>
                  </w14:solidFill>
                </w14:textFill>
              </w:rPr>
              <w:t>|</w:t>
            </w:r>
          </w:p>
        </w:tc>
        <w:tc>
          <w:tcPr>
            <w:tcW w:w="805" w:type="pct"/>
          </w:tcPr>
          <w:p w14:paraId="1C5BC6A5" w14:textId="77777777" w:rsidR="004949CB" w:rsidRPr="00CD55C3" w:rsidRDefault="004949CB" w:rsidP="00820080">
            <w:pPr>
              <w:pStyle w:val="TableText0"/>
              <w:keepNext w:val="0"/>
              <w:jc w:val="center"/>
              <w:rPr>
                <w:iCs/>
              </w:rPr>
            </w:pPr>
          </w:p>
          <w:p w14:paraId="07E066F6" w14:textId="77777777" w:rsidR="004949CB" w:rsidRPr="00CD55C3" w:rsidRDefault="004949CB" w:rsidP="00820080">
            <w:pPr>
              <w:pStyle w:val="TableText0"/>
              <w:keepNext w:val="0"/>
              <w:jc w:val="center"/>
              <w:rPr>
                <w:iCs/>
              </w:rPr>
            </w:pPr>
          </w:p>
          <w:p w14:paraId="46DA95A0" w14:textId="77777777" w:rsidR="004949CB" w:rsidRPr="00CD55C3" w:rsidRDefault="004949CB" w:rsidP="00820080">
            <w:pPr>
              <w:pStyle w:val="TableText0"/>
              <w:keepNext w:val="0"/>
              <w:jc w:val="center"/>
              <w:rPr>
                <w:iCs/>
              </w:rPr>
            </w:pPr>
            <w:r w:rsidRPr="00CD55C3">
              <w:rPr>
                <w:iCs/>
              </w:rPr>
              <w:t>0.731</w:t>
            </w:r>
          </w:p>
        </w:tc>
        <w:tc>
          <w:tcPr>
            <w:tcW w:w="595" w:type="pct"/>
          </w:tcPr>
          <w:p w14:paraId="4AAB060C" w14:textId="77777777" w:rsidR="004949CB" w:rsidRPr="00CD55C3" w:rsidRDefault="004949CB" w:rsidP="00820080">
            <w:pPr>
              <w:pStyle w:val="TableText0"/>
              <w:keepNext w:val="0"/>
              <w:jc w:val="center"/>
              <w:rPr>
                <w:iCs/>
              </w:rPr>
            </w:pPr>
          </w:p>
          <w:p w14:paraId="1E13DBEB" w14:textId="77777777" w:rsidR="004949CB" w:rsidRPr="00CD55C3" w:rsidRDefault="004949CB" w:rsidP="00820080">
            <w:pPr>
              <w:pStyle w:val="TableText0"/>
              <w:keepNext w:val="0"/>
              <w:jc w:val="center"/>
              <w:rPr>
                <w:iCs/>
              </w:rPr>
            </w:pPr>
          </w:p>
          <w:p w14:paraId="7AE88CE0" w14:textId="00637EF9" w:rsidR="004949CB" w:rsidRPr="00363606" w:rsidRDefault="001D6D9F" w:rsidP="00820080">
            <w:pPr>
              <w:pStyle w:val="TableText0"/>
              <w:keepNext w:val="0"/>
              <w:jc w:val="center"/>
              <w:rPr>
                <w:iCs/>
                <w:vertAlign w:val="superscript"/>
              </w:rPr>
            </w:pPr>
            <w:r w:rsidRPr="001D6D9F">
              <w:rPr>
                <w:rFonts w:hint="eastAsia"/>
                <w:iCs/>
                <w:color w:val="000000"/>
                <w:w w:val="33"/>
                <w:shd w:val="solid" w:color="000000" w:fill="000000"/>
                <w:fitText w:val="150" w:id="-1304677622"/>
                <w14:textFill>
                  <w14:solidFill>
                    <w14:srgbClr w14:val="000000">
                      <w14:alpha w14:val="100000"/>
                    </w14:srgbClr>
                  </w14:solidFill>
                </w14:textFill>
              </w:rPr>
              <w:t xml:space="preserve">　</w:t>
            </w:r>
            <w:r w:rsidRPr="001D6D9F">
              <w:rPr>
                <w:iCs/>
                <w:color w:val="000000"/>
                <w:w w:val="33"/>
                <w:shd w:val="solid" w:color="000000" w:fill="000000"/>
                <w:fitText w:val="150" w:id="-1304677622"/>
                <w14:textFill>
                  <w14:solidFill>
                    <w14:srgbClr w14:val="000000">
                      <w14:alpha w14:val="100000"/>
                    </w14:srgbClr>
                  </w14:solidFill>
                </w14:textFill>
              </w:rPr>
              <w:t>|</w:t>
            </w:r>
            <w:r w:rsidRPr="001D6D9F">
              <w:rPr>
                <w:rFonts w:hint="eastAsia"/>
                <w:iCs/>
                <w:color w:val="000000"/>
                <w:spacing w:val="4"/>
                <w:w w:val="33"/>
                <w:shd w:val="solid" w:color="000000" w:fill="000000"/>
                <w:fitText w:val="150" w:id="-1304677622"/>
                <w14:textFill>
                  <w14:solidFill>
                    <w14:srgbClr w14:val="000000">
                      <w14:alpha w14:val="100000"/>
                    </w14:srgbClr>
                  </w14:solidFill>
                </w14:textFill>
              </w:rPr>
              <w:t xml:space="preserve">　</w:t>
            </w:r>
            <w:r w:rsidR="00363606">
              <w:rPr>
                <w:iCs/>
                <w:vertAlign w:val="superscript"/>
              </w:rPr>
              <w:t>1</w:t>
            </w:r>
          </w:p>
        </w:tc>
        <w:tc>
          <w:tcPr>
            <w:tcW w:w="595" w:type="pct"/>
          </w:tcPr>
          <w:p w14:paraId="46716AA8" w14:textId="77777777" w:rsidR="004949CB" w:rsidRPr="00CD55C3" w:rsidRDefault="004949CB" w:rsidP="00820080">
            <w:pPr>
              <w:pStyle w:val="TableText0"/>
              <w:keepNext w:val="0"/>
              <w:jc w:val="center"/>
              <w:rPr>
                <w:iCs/>
              </w:rPr>
            </w:pPr>
          </w:p>
          <w:p w14:paraId="08157D7C" w14:textId="77777777" w:rsidR="004949CB" w:rsidRPr="00CD55C3" w:rsidRDefault="004949CB" w:rsidP="00820080">
            <w:pPr>
              <w:pStyle w:val="TableText0"/>
              <w:keepNext w:val="0"/>
              <w:jc w:val="center"/>
              <w:rPr>
                <w:iCs/>
              </w:rPr>
            </w:pPr>
          </w:p>
          <w:p w14:paraId="3B7BB857" w14:textId="7AE3234B" w:rsidR="004949CB" w:rsidRPr="00CD55C3" w:rsidRDefault="004949CB" w:rsidP="00820080">
            <w:pPr>
              <w:pStyle w:val="TableText0"/>
              <w:keepNext w:val="0"/>
              <w:jc w:val="center"/>
              <w:rPr>
                <w:iCs/>
              </w:rPr>
            </w:pPr>
            <w:r w:rsidRPr="00CD55C3">
              <w:rPr>
                <w:iCs/>
              </w:rPr>
              <w:t>-</w:t>
            </w:r>
            <w:r w:rsidR="00D12AD3">
              <w:rPr>
                <w:iCs/>
              </w:rPr>
              <w:t>5</w:t>
            </w:r>
            <w:r w:rsidRPr="00CD55C3">
              <w:rPr>
                <w:iCs/>
              </w:rPr>
              <w:t>%</w:t>
            </w:r>
          </w:p>
        </w:tc>
      </w:tr>
      <w:tr w:rsidR="004949CB" w14:paraId="069FAF5F" w14:textId="77777777" w:rsidTr="00AC6F83">
        <w:tc>
          <w:tcPr>
            <w:tcW w:w="2267" w:type="pct"/>
          </w:tcPr>
          <w:p w14:paraId="20048123" w14:textId="77777777" w:rsidR="004949CB" w:rsidRDefault="004949CB" w:rsidP="00820080">
            <w:pPr>
              <w:pStyle w:val="TableText0"/>
              <w:keepNext w:val="0"/>
            </w:pPr>
            <w:r>
              <w:t>Health state resource costs (base case: Rate of hospitalisation and outpatient visits adjusted in both health states</w:t>
            </w:r>
            <w:r w:rsidRPr="00573A2B">
              <w:t>)</w:t>
            </w:r>
          </w:p>
          <w:p w14:paraId="67DAE5AB" w14:textId="77777777" w:rsidR="004949CB" w:rsidRDefault="004949CB" w:rsidP="00820080">
            <w:pPr>
              <w:pStyle w:val="TableText0"/>
              <w:keepNext w:val="0"/>
              <w:numPr>
                <w:ilvl w:val="0"/>
                <w:numId w:val="21"/>
              </w:numPr>
            </w:pPr>
            <w:r>
              <w:t>Without adjusting rate of hospitalisation and outpatient visits in progressed disease state</w:t>
            </w:r>
          </w:p>
        </w:tc>
        <w:tc>
          <w:tcPr>
            <w:tcW w:w="738" w:type="pct"/>
          </w:tcPr>
          <w:p w14:paraId="53A9B5AD" w14:textId="77777777" w:rsidR="004949CB" w:rsidRPr="00CD55C3" w:rsidRDefault="004949CB" w:rsidP="00820080">
            <w:pPr>
              <w:pStyle w:val="TableText0"/>
              <w:keepNext w:val="0"/>
              <w:jc w:val="center"/>
              <w:rPr>
                <w:iCs/>
              </w:rPr>
            </w:pPr>
          </w:p>
          <w:p w14:paraId="30AB7E8C" w14:textId="77777777" w:rsidR="004949CB" w:rsidRPr="00CD55C3" w:rsidRDefault="004949CB" w:rsidP="00820080">
            <w:pPr>
              <w:pStyle w:val="TableText0"/>
              <w:keepNext w:val="0"/>
              <w:jc w:val="center"/>
              <w:rPr>
                <w:iCs/>
              </w:rPr>
            </w:pPr>
          </w:p>
          <w:p w14:paraId="3E228C63" w14:textId="77777777" w:rsidR="004949CB" w:rsidRPr="00CD55C3" w:rsidRDefault="004949CB" w:rsidP="00820080">
            <w:pPr>
              <w:pStyle w:val="TableText0"/>
              <w:keepNext w:val="0"/>
              <w:jc w:val="center"/>
              <w:rPr>
                <w:iCs/>
              </w:rPr>
            </w:pPr>
          </w:p>
          <w:p w14:paraId="4E708F66" w14:textId="23BE4D47" w:rsidR="004949CB" w:rsidRPr="00CD55C3" w:rsidRDefault="001D6D9F" w:rsidP="00820080">
            <w:pPr>
              <w:pStyle w:val="TableText0"/>
              <w:keepNext w:val="0"/>
              <w:jc w:val="center"/>
              <w:rPr>
                <w:iCs/>
              </w:rPr>
            </w:pPr>
            <w:r w:rsidRPr="001D6D9F">
              <w:rPr>
                <w:iCs/>
                <w:color w:val="000000"/>
                <w:shd w:val="solid" w:color="000000" w:fill="000000"/>
                <w14:textFill>
                  <w14:solidFill>
                    <w14:srgbClr w14:val="000000">
                      <w14:alpha w14:val="100000"/>
                    </w14:srgbClr>
                  </w14:solidFill>
                </w14:textFill>
              </w:rPr>
              <w:t>|</w:t>
            </w:r>
          </w:p>
        </w:tc>
        <w:tc>
          <w:tcPr>
            <w:tcW w:w="805" w:type="pct"/>
          </w:tcPr>
          <w:p w14:paraId="4F3A294D" w14:textId="77777777" w:rsidR="004949CB" w:rsidRPr="00CD55C3" w:rsidRDefault="004949CB" w:rsidP="00820080">
            <w:pPr>
              <w:pStyle w:val="TableText0"/>
              <w:keepNext w:val="0"/>
              <w:jc w:val="center"/>
              <w:rPr>
                <w:iCs/>
              </w:rPr>
            </w:pPr>
          </w:p>
          <w:p w14:paraId="054F425F" w14:textId="77777777" w:rsidR="004949CB" w:rsidRPr="00CD55C3" w:rsidRDefault="004949CB" w:rsidP="00820080">
            <w:pPr>
              <w:pStyle w:val="TableText0"/>
              <w:keepNext w:val="0"/>
              <w:jc w:val="center"/>
              <w:rPr>
                <w:iCs/>
              </w:rPr>
            </w:pPr>
          </w:p>
          <w:p w14:paraId="4CB1F05B" w14:textId="77777777" w:rsidR="004949CB" w:rsidRPr="00CD55C3" w:rsidRDefault="004949CB" w:rsidP="00820080">
            <w:pPr>
              <w:pStyle w:val="TableText0"/>
              <w:keepNext w:val="0"/>
              <w:jc w:val="center"/>
              <w:rPr>
                <w:iCs/>
              </w:rPr>
            </w:pPr>
          </w:p>
          <w:p w14:paraId="615EB596" w14:textId="77777777" w:rsidR="004949CB" w:rsidRPr="00CD55C3" w:rsidRDefault="004949CB" w:rsidP="00820080">
            <w:pPr>
              <w:pStyle w:val="TableText0"/>
              <w:keepNext w:val="0"/>
              <w:jc w:val="center"/>
              <w:rPr>
                <w:iCs/>
              </w:rPr>
            </w:pPr>
            <w:r w:rsidRPr="00CD55C3">
              <w:rPr>
                <w:iCs/>
              </w:rPr>
              <w:t>0.731</w:t>
            </w:r>
          </w:p>
        </w:tc>
        <w:tc>
          <w:tcPr>
            <w:tcW w:w="595" w:type="pct"/>
          </w:tcPr>
          <w:p w14:paraId="0969363A" w14:textId="77777777" w:rsidR="004949CB" w:rsidRPr="00CD55C3" w:rsidRDefault="004949CB" w:rsidP="00820080">
            <w:pPr>
              <w:pStyle w:val="TableText0"/>
              <w:keepNext w:val="0"/>
              <w:jc w:val="center"/>
              <w:rPr>
                <w:iCs/>
              </w:rPr>
            </w:pPr>
          </w:p>
          <w:p w14:paraId="245216C7" w14:textId="77777777" w:rsidR="004949CB" w:rsidRPr="00CD55C3" w:rsidRDefault="004949CB" w:rsidP="00820080">
            <w:pPr>
              <w:pStyle w:val="TableText0"/>
              <w:keepNext w:val="0"/>
              <w:jc w:val="center"/>
              <w:rPr>
                <w:iCs/>
              </w:rPr>
            </w:pPr>
          </w:p>
          <w:p w14:paraId="7C40A39C" w14:textId="77777777" w:rsidR="004949CB" w:rsidRPr="00CD55C3" w:rsidRDefault="004949CB" w:rsidP="00820080">
            <w:pPr>
              <w:pStyle w:val="TableText0"/>
              <w:keepNext w:val="0"/>
              <w:jc w:val="center"/>
              <w:rPr>
                <w:iCs/>
              </w:rPr>
            </w:pPr>
          </w:p>
          <w:p w14:paraId="56D19746" w14:textId="7FEEBCD4" w:rsidR="004949CB" w:rsidRPr="00363606" w:rsidRDefault="001D6D9F" w:rsidP="00820080">
            <w:pPr>
              <w:pStyle w:val="TableText0"/>
              <w:keepNext w:val="0"/>
              <w:jc w:val="center"/>
              <w:rPr>
                <w:iCs/>
                <w:vertAlign w:val="superscript"/>
              </w:rPr>
            </w:pPr>
            <w:r w:rsidRPr="001D6D9F">
              <w:rPr>
                <w:rFonts w:hint="eastAsia"/>
                <w:iCs/>
                <w:color w:val="000000"/>
                <w:w w:val="33"/>
                <w:shd w:val="solid" w:color="000000" w:fill="000000"/>
                <w:fitText w:val="150" w:id="-1304677621"/>
                <w14:textFill>
                  <w14:solidFill>
                    <w14:srgbClr w14:val="000000">
                      <w14:alpha w14:val="100000"/>
                    </w14:srgbClr>
                  </w14:solidFill>
                </w14:textFill>
              </w:rPr>
              <w:t xml:space="preserve">　</w:t>
            </w:r>
            <w:r w:rsidRPr="001D6D9F">
              <w:rPr>
                <w:iCs/>
                <w:color w:val="000000"/>
                <w:w w:val="33"/>
                <w:shd w:val="solid" w:color="000000" w:fill="000000"/>
                <w:fitText w:val="150" w:id="-1304677621"/>
                <w14:textFill>
                  <w14:solidFill>
                    <w14:srgbClr w14:val="000000">
                      <w14:alpha w14:val="100000"/>
                    </w14:srgbClr>
                  </w14:solidFill>
                </w14:textFill>
              </w:rPr>
              <w:t>|</w:t>
            </w:r>
            <w:r w:rsidRPr="001D6D9F">
              <w:rPr>
                <w:rFonts w:hint="eastAsia"/>
                <w:iCs/>
                <w:color w:val="000000"/>
                <w:spacing w:val="4"/>
                <w:w w:val="33"/>
                <w:shd w:val="solid" w:color="000000" w:fill="000000"/>
                <w:fitText w:val="150" w:id="-1304677621"/>
                <w14:textFill>
                  <w14:solidFill>
                    <w14:srgbClr w14:val="000000">
                      <w14:alpha w14:val="100000"/>
                    </w14:srgbClr>
                  </w14:solidFill>
                </w14:textFill>
              </w:rPr>
              <w:t xml:space="preserve">　</w:t>
            </w:r>
            <w:r w:rsidR="00363606">
              <w:rPr>
                <w:iCs/>
                <w:vertAlign w:val="superscript"/>
              </w:rPr>
              <w:t>2</w:t>
            </w:r>
          </w:p>
        </w:tc>
        <w:tc>
          <w:tcPr>
            <w:tcW w:w="595" w:type="pct"/>
          </w:tcPr>
          <w:p w14:paraId="41A53F28" w14:textId="77777777" w:rsidR="004949CB" w:rsidRPr="00CD55C3" w:rsidRDefault="004949CB" w:rsidP="00820080">
            <w:pPr>
              <w:pStyle w:val="TableText0"/>
              <w:keepNext w:val="0"/>
              <w:jc w:val="center"/>
              <w:rPr>
                <w:iCs/>
              </w:rPr>
            </w:pPr>
          </w:p>
          <w:p w14:paraId="7B74BC7E" w14:textId="77777777" w:rsidR="004949CB" w:rsidRPr="00CD55C3" w:rsidRDefault="004949CB" w:rsidP="00820080">
            <w:pPr>
              <w:pStyle w:val="TableText0"/>
              <w:keepNext w:val="0"/>
              <w:jc w:val="center"/>
              <w:rPr>
                <w:iCs/>
              </w:rPr>
            </w:pPr>
          </w:p>
          <w:p w14:paraId="48701B3E" w14:textId="77777777" w:rsidR="004949CB" w:rsidRPr="00CD55C3" w:rsidRDefault="004949CB" w:rsidP="00820080">
            <w:pPr>
              <w:pStyle w:val="TableText0"/>
              <w:keepNext w:val="0"/>
              <w:jc w:val="center"/>
              <w:rPr>
                <w:iCs/>
              </w:rPr>
            </w:pPr>
          </w:p>
          <w:p w14:paraId="0FD201E7" w14:textId="76CDDE44" w:rsidR="004949CB" w:rsidRPr="00CD55C3" w:rsidRDefault="004949CB" w:rsidP="00820080">
            <w:pPr>
              <w:pStyle w:val="TableText0"/>
              <w:keepNext w:val="0"/>
              <w:jc w:val="center"/>
              <w:rPr>
                <w:iCs/>
              </w:rPr>
            </w:pPr>
            <w:r w:rsidRPr="00CD55C3">
              <w:rPr>
                <w:iCs/>
              </w:rPr>
              <w:t>4</w:t>
            </w:r>
            <w:r w:rsidR="00D12AD3">
              <w:rPr>
                <w:iCs/>
              </w:rPr>
              <w:t>5</w:t>
            </w:r>
            <w:r w:rsidRPr="00CD55C3">
              <w:rPr>
                <w:iCs/>
              </w:rPr>
              <w:t>%</w:t>
            </w:r>
          </w:p>
        </w:tc>
      </w:tr>
      <w:tr w:rsidR="004949CB" w14:paraId="1CE36BC1" w14:textId="77777777" w:rsidTr="00AC6F83">
        <w:tc>
          <w:tcPr>
            <w:tcW w:w="5000" w:type="pct"/>
            <w:gridSpan w:val="5"/>
            <w:vAlign w:val="center"/>
          </w:tcPr>
          <w:p w14:paraId="371788AF" w14:textId="77777777" w:rsidR="004949CB" w:rsidRPr="0092182E" w:rsidRDefault="004949CB" w:rsidP="00820080">
            <w:pPr>
              <w:pStyle w:val="TableText0"/>
              <w:keepNext w:val="0"/>
              <w:rPr>
                <w:i/>
              </w:rPr>
            </w:pPr>
            <w:r>
              <w:t>Discount rate (base case: 5%)</w:t>
            </w:r>
          </w:p>
        </w:tc>
      </w:tr>
      <w:tr w:rsidR="004949CB" w14:paraId="6C715550" w14:textId="77777777" w:rsidTr="001D6D9F">
        <w:tc>
          <w:tcPr>
            <w:tcW w:w="2267" w:type="pct"/>
          </w:tcPr>
          <w:p w14:paraId="5BA99E35" w14:textId="77777777" w:rsidR="004949CB" w:rsidRDefault="004949CB" w:rsidP="00820080">
            <w:pPr>
              <w:pStyle w:val="TableText0"/>
              <w:keepNext w:val="0"/>
              <w:numPr>
                <w:ilvl w:val="0"/>
                <w:numId w:val="21"/>
              </w:numPr>
            </w:pPr>
            <w:r>
              <w:t>0%</w:t>
            </w:r>
          </w:p>
        </w:tc>
        <w:tc>
          <w:tcPr>
            <w:tcW w:w="738" w:type="pct"/>
            <w:tcBorders>
              <w:bottom w:val="single" w:sz="4" w:space="0" w:color="auto"/>
            </w:tcBorders>
            <w:shd w:val="solid" w:color="000000" w:fill="000000"/>
          </w:tcPr>
          <w:p w14:paraId="152741F4" w14:textId="4DF87521" w:rsidR="004949CB" w:rsidRPr="00CD55C3" w:rsidRDefault="001D6D9F" w:rsidP="00820080">
            <w:pPr>
              <w:pStyle w:val="TableText0"/>
              <w:keepNext w:val="0"/>
              <w:jc w:val="center"/>
              <w:rPr>
                <w:iCs/>
              </w:rPr>
            </w:pPr>
            <w:r w:rsidRPr="001D6D9F">
              <w:rPr>
                <w:iCs/>
                <w:color w:val="000000"/>
                <w14:textFill>
                  <w14:solidFill>
                    <w14:srgbClr w14:val="000000">
                      <w14:alpha w14:val="100000"/>
                    </w14:srgbClr>
                  </w14:solidFill>
                </w14:textFill>
              </w:rPr>
              <w:t>|</w:t>
            </w:r>
          </w:p>
        </w:tc>
        <w:tc>
          <w:tcPr>
            <w:tcW w:w="805" w:type="pct"/>
          </w:tcPr>
          <w:p w14:paraId="1E19FA4B" w14:textId="77777777" w:rsidR="004949CB" w:rsidRPr="00CD55C3" w:rsidRDefault="004949CB" w:rsidP="00820080">
            <w:pPr>
              <w:pStyle w:val="TableText0"/>
              <w:keepNext w:val="0"/>
              <w:jc w:val="center"/>
              <w:rPr>
                <w:iCs/>
              </w:rPr>
            </w:pPr>
            <w:r w:rsidRPr="00CD55C3">
              <w:rPr>
                <w:iCs/>
              </w:rPr>
              <w:t>0.810</w:t>
            </w:r>
          </w:p>
        </w:tc>
        <w:tc>
          <w:tcPr>
            <w:tcW w:w="595" w:type="pct"/>
          </w:tcPr>
          <w:p w14:paraId="65A3E21D" w14:textId="004050A4" w:rsidR="004949CB" w:rsidRPr="00363606" w:rsidRDefault="001D6D9F" w:rsidP="00820080">
            <w:pPr>
              <w:pStyle w:val="TableText0"/>
              <w:keepNext w:val="0"/>
              <w:jc w:val="center"/>
              <w:rPr>
                <w:iCs/>
                <w:vertAlign w:val="superscript"/>
              </w:rPr>
            </w:pPr>
            <w:r w:rsidRPr="001D6D9F">
              <w:rPr>
                <w:rFonts w:hint="eastAsia"/>
                <w:iCs/>
                <w:color w:val="000000"/>
                <w:w w:val="33"/>
                <w:shd w:val="solid" w:color="000000" w:fill="000000"/>
                <w:fitText w:val="150" w:id="-1304677620"/>
                <w14:textFill>
                  <w14:solidFill>
                    <w14:srgbClr w14:val="000000">
                      <w14:alpha w14:val="100000"/>
                    </w14:srgbClr>
                  </w14:solidFill>
                </w14:textFill>
              </w:rPr>
              <w:t xml:space="preserve">　</w:t>
            </w:r>
            <w:r w:rsidRPr="001D6D9F">
              <w:rPr>
                <w:iCs/>
                <w:color w:val="000000"/>
                <w:w w:val="33"/>
                <w:shd w:val="solid" w:color="000000" w:fill="000000"/>
                <w:fitText w:val="150" w:id="-1304677620"/>
                <w14:textFill>
                  <w14:solidFill>
                    <w14:srgbClr w14:val="000000">
                      <w14:alpha w14:val="100000"/>
                    </w14:srgbClr>
                  </w14:solidFill>
                </w14:textFill>
              </w:rPr>
              <w:t>|</w:t>
            </w:r>
            <w:r w:rsidRPr="001D6D9F">
              <w:rPr>
                <w:rFonts w:hint="eastAsia"/>
                <w:iCs/>
                <w:color w:val="000000"/>
                <w:spacing w:val="4"/>
                <w:w w:val="33"/>
                <w:shd w:val="solid" w:color="000000" w:fill="000000"/>
                <w:fitText w:val="150" w:id="-1304677620"/>
                <w14:textFill>
                  <w14:solidFill>
                    <w14:srgbClr w14:val="000000">
                      <w14:alpha w14:val="100000"/>
                    </w14:srgbClr>
                  </w14:solidFill>
                </w14:textFill>
              </w:rPr>
              <w:t xml:space="preserve">　</w:t>
            </w:r>
            <w:r w:rsidR="00363606">
              <w:rPr>
                <w:iCs/>
                <w:vertAlign w:val="superscript"/>
              </w:rPr>
              <w:t>1</w:t>
            </w:r>
          </w:p>
        </w:tc>
        <w:tc>
          <w:tcPr>
            <w:tcW w:w="595" w:type="pct"/>
          </w:tcPr>
          <w:p w14:paraId="5B266EB1" w14:textId="6A861F60" w:rsidR="004949CB" w:rsidRPr="00CD55C3" w:rsidRDefault="004949CB" w:rsidP="00820080">
            <w:pPr>
              <w:pStyle w:val="TableText0"/>
              <w:keepNext w:val="0"/>
              <w:jc w:val="center"/>
              <w:rPr>
                <w:iCs/>
              </w:rPr>
            </w:pPr>
            <w:r w:rsidRPr="00CD55C3">
              <w:rPr>
                <w:iCs/>
              </w:rPr>
              <w:t>-0.</w:t>
            </w:r>
            <w:r>
              <w:rPr>
                <w:iCs/>
              </w:rPr>
              <w:t>7</w:t>
            </w:r>
            <w:r w:rsidRPr="00CD55C3">
              <w:rPr>
                <w:iCs/>
              </w:rPr>
              <w:t>%</w:t>
            </w:r>
          </w:p>
        </w:tc>
      </w:tr>
      <w:tr w:rsidR="004949CB" w14:paraId="0652476F" w14:textId="77777777" w:rsidTr="001D6D9F">
        <w:tc>
          <w:tcPr>
            <w:tcW w:w="2267" w:type="pct"/>
          </w:tcPr>
          <w:p w14:paraId="52E2D62C" w14:textId="77777777" w:rsidR="004949CB" w:rsidRDefault="004949CB" w:rsidP="00820080">
            <w:pPr>
              <w:pStyle w:val="TableText0"/>
              <w:keepNext w:val="0"/>
              <w:numPr>
                <w:ilvl w:val="0"/>
                <w:numId w:val="21"/>
              </w:numPr>
            </w:pPr>
            <w:r>
              <w:t>3.5%</w:t>
            </w:r>
          </w:p>
        </w:tc>
        <w:tc>
          <w:tcPr>
            <w:tcW w:w="738" w:type="pct"/>
            <w:shd w:val="solid" w:color="000000" w:fill="000000"/>
          </w:tcPr>
          <w:p w14:paraId="633F366A" w14:textId="6433AA0C" w:rsidR="004949CB" w:rsidRPr="00CD55C3" w:rsidRDefault="001D6D9F" w:rsidP="00820080">
            <w:pPr>
              <w:pStyle w:val="TableText0"/>
              <w:keepNext w:val="0"/>
              <w:jc w:val="center"/>
              <w:rPr>
                <w:iCs/>
              </w:rPr>
            </w:pPr>
            <w:r w:rsidRPr="001D6D9F">
              <w:rPr>
                <w:iCs/>
                <w:color w:val="000000"/>
                <w14:textFill>
                  <w14:solidFill>
                    <w14:srgbClr w14:val="000000">
                      <w14:alpha w14:val="100000"/>
                    </w14:srgbClr>
                  </w14:solidFill>
                </w14:textFill>
              </w:rPr>
              <w:t>|</w:t>
            </w:r>
          </w:p>
        </w:tc>
        <w:tc>
          <w:tcPr>
            <w:tcW w:w="805" w:type="pct"/>
          </w:tcPr>
          <w:p w14:paraId="0B1777F2" w14:textId="77777777" w:rsidR="004949CB" w:rsidRPr="00CD55C3" w:rsidRDefault="004949CB" w:rsidP="00820080">
            <w:pPr>
              <w:pStyle w:val="TableText0"/>
              <w:keepNext w:val="0"/>
              <w:jc w:val="center"/>
              <w:rPr>
                <w:iCs/>
              </w:rPr>
            </w:pPr>
            <w:r w:rsidRPr="00CD55C3">
              <w:rPr>
                <w:iCs/>
              </w:rPr>
              <w:t>0.753</w:t>
            </w:r>
          </w:p>
        </w:tc>
        <w:tc>
          <w:tcPr>
            <w:tcW w:w="595" w:type="pct"/>
          </w:tcPr>
          <w:p w14:paraId="1E6146EC" w14:textId="771761D2" w:rsidR="004949CB" w:rsidRPr="00363606" w:rsidRDefault="001D6D9F" w:rsidP="00820080">
            <w:pPr>
              <w:pStyle w:val="TableText0"/>
              <w:keepNext w:val="0"/>
              <w:jc w:val="center"/>
              <w:rPr>
                <w:iCs/>
                <w:vertAlign w:val="superscript"/>
              </w:rPr>
            </w:pPr>
            <w:r w:rsidRPr="001D6D9F">
              <w:rPr>
                <w:rFonts w:hint="eastAsia"/>
                <w:iCs/>
                <w:color w:val="000000"/>
                <w:w w:val="33"/>
                <w:shd w:val="solid" w:color="000000" w:fill="000000"/>
                <w:fitText w:val="150" w:id="-1304677619"/>
                <w14:textFill>
                  <w14:solidFill>
                    <w14:srgbClr w14:val="000000">
                      <w14:alpha w14:val="100000"/>
                    </w14:srgbClr>
                  </w14:solidFill>
                </w14:textFill>
              </w:rPr>
              <w:t xml:space="preserve">　</w:t>
            </w:r>
            <w:r w:rsidRPr="001D6D9F">
              <w:rPr>
                <w:iCs/>
                <w:color w:val="000000"/>
                <w:w w:val="33"/>
                <w:shd w:val="solid" w:color="000000" w:fill="000000"/>
                <w:fitText w:val="150" w:id="-1304677619"/>
                <w14:textFill>
                  <w14:solidFill>
                    <w14:srgbClr w14:val="000000">
                      <w14:alpha w14:val="100000"/>
                    </w14:srgbClr>
                  </w14:solidFill>
                </w14:textFill>
              </w:rPr>
              <w:t>|</w:t>
            </w:r>
            <w:r w:rsidRPr="001D6D9F">
              <w:rPr>
                <w:rFonts w:hint="eastAsia"/>
                <w:iCs/>
                <w:color w:val="000000"/>
                <w:spacing w:val="4"/>
                <w:w w:val="33"/>
                <w:shd w:val="solid" w:color="000000" w:fill="000000"/>
                <w:fitText w:val="150" w:id="-1304677619"/>
                <w14:textFill>
                  <w14:solidFill>
                    <w14:srgbClr w14:val="000000">
                      <w14:alpha w14:val="100000"/>
                    </w14:srgbClr>
                  </w14:solidFill>
                </w14:textFill>
              </w:rPr>
              <w:t xml:space="preserve">　</w:t>
            </w:r>
            <w:r w:rsidR="00363606">
              <w:rPr>
                <w:iCs/>
                <w:vertAlign w:val="superscript"/>
              </w:rPr>
              <w:t>1</w:t>
            </w:r>
          </w:p>
        </w:tc>
        <w:tc>
          <w:tcPr>
            <w:tcW w:w="595" w:type="pct"/>
          </w:tcPr>
          <w:p w14:paraId="14EA9491" w14:textId="1A108721" w:rsidR="004949CB" w:rsidRPr="00CD55C3" w:rsidRDefault="004949CB" w:rsidP="00820080">
            <w:pPr>
              <w:pStyle w:val="TableText0"/>
              <w:keepNext w:val="0"/>
              <w:jc w:val="center"/>
              <w:rPr>
                <w:iCs/>
              </w:rPr>
            </w:pPr>
            <w:r w:rsidRPr="00CD55C3">
              <w:rPr>
                <w:iCs/>
              </w:rPr>
              <w:t>-0.2%</w:t>
            </w:r>
          </w:p>
        </w:tc>
      </w:tr>
      <w:tr w:rsidR="004949CB" w14:paraId="7F9B3171" w14:textId="77777777" w:rsidTr="00AC6F83">
        <w:tc>
          <w:tcPr>
            <w:tcW w:w="5000" w:type="pct"/>
            <w:gridSpan w:val="5"/>
          </w:tcPr>
          <w:p w14:paraId="1D8B2F1D" w14:textId="77777777" w:rsidR="004949CB" w:rsidRPr="00CD55C3" w:rsidRDefault="004949CB" w:rsidP="00820080">
            <w:pPr>
              <w:pStyle w:val="TableText0"/>
              <w:keepNext w:val="0"/>
              <w:rPr>
                <w:b/>
                <w:iCs/>
              </w:rPr>
            </w:pPr>
            <w:r w:rsidRPr="00CD55C3">
              <w:rPr>
                <w:b/>
                <w:iCs/>
              </w:rPr>
              <w:t>Multivariate analysis</w:t>
            </w:r>
          </w:p>
        </w:tc>
      </w:tr>
      <w:tr w:rsidR="004949CB" w14:paraId="74F775BC" w14:textId="77777777" w:rsidTr="001D6D9F">
        <w:tc>
          <w:tcPr>
            <w:tcW w:w="2267" w:type="pct"/>
          </w:tcPr>
          <w:p w14:paraId="7FC4A7F2" w14:textId="77777777" w:rsidR="004949CB" w:rsidRDefault="004949CB" w:rsidP="00820080">
            <w:pPr>
              <w:pStyle w:val="TableText0"/>
              <w:keepNext w:val="0"/>
            </w:pPr>
            <w:r>
              <w:t xml:space="preserve">2 + 3 + 4 </w:t>
            </w:r>
          </w:p>
        </w:tc>
        <w:tc>
          <w:tcPr>
            <w:tcW w:w="738" w:type="pct"/>
            <w:tcBorders>
              <w:bottom w:val="single" w:sz="4" w:space="0" w:color="auto"/>
            </w:tcBorders>
            <w:shd w:val="solid" w:color="000000" w:fill="000000"/>
          </w:tcPr>
          <w:p w14:paraId="366BDE55" w14:textId="7629D786" w:rsidR="004949CB" w:rsidRPr="00CD55C3" w:rsidRDefault="001D6D9F" w:rsidP="00820080">
            <w:pPr>
              <w:pStyle w:val="TableText0"/>
              <w:keepNext w:val="0"/>
              <w:jc w:val="center"/>
              <w:rPr>
                <w:iCs/>
              </w:rPr>
            </w:pPr>
            <w:r w:rsidRPr="001D6D9F">
              <w:rPr>
                <w:iCs/>
                <w:color w:val="000000"/>
                <w14:textFill>
                  <w14:solidFill>
                    <w14:srgbClr w14:val="000000">
                      <w14:alpha w14:val="100000"/>
                    </w14:srgbClr>
                  </w14:solidFill>
                </w14:textFill>
              </w:rPr>
              <w:t>|</w:t>
            </w:r>
          </w:p>
        </w:tc>
        <w:tc>
          <w:tcPr>
            <w:tcW w:w="805" w:type="pct"/>
          </w:tcPr>
          <w:p w14:paraId="633D409D" w14:textId="77777777" w:rsidR="004949CB" w:rsidRPr="00CD55C3" w:rsidRDefault="004949CB" w:rsidP="00820080">
            <w:pPr>
              <w:pStyle w:val="TableText0"/>
              <w:keepNext w:val="0"/>
              <w:jc w:val="center"/>
              <w:rPr>
                <w:iCs/>
              </w:rPr>
            </w:pPr>
            <w:r w:rsidRPr="00CD55C3">
              <w:rPr>
                <w:iCs/>
              </w:rPr>
              <w:t>0.731</w:t>
            </w:r>
          </w:p>
        </w:tc>
        <w:tc>
          <w:tcPr>
            <w:tcW w:w="595" w:type="pct"/>
          </w:tcPr>
          <w:p w14:paraId="3FE4A9CA" w14:textId="4540BB10" w:rsidR="004949CB" w:rsidRPr="00363606" w:rsidRDefault="001D6D9F" w:rsidP="00820080">
            <w:pPr>
              <w:pStyle w:val="TableText0"/>
              <w:keepNext w:val="0"/>
              <w:jc w:val="center"/>
              <w:rPr>
                <w:iCs/>
                <w:vertAlign w:val="superscript"/>
              </w:rPr>
            </w:pPr>
            <w:r w:rsidRPr="001D6D9F">
              <w:rPr>
                <w:rFonts w:hint="eastAsia"/>
                <w:iCs/>
                <w:color w:val="000000"/>
                <w:w w:val="33"/>
                <w:shd w:val="solid" w:color="000000" w:fill="000000"/>
                <w:fitText w:val="150" w:id="-1304677618"/>
                <w14:textFill>
                  <w14:solidFill>
                    <w14:srgbClr w14:val="000000">
                      <w14:alpha w14:val="100000"/>
                    </w14:srgbClr>
                  </w14:solidFill>
                </w14:textFill>
              </w:rPr>
              <w:t xml:space="preserve">　</w:t>
            </w:r>
            <w:r w:rsidRPr="001D6D9F">
              <w:rPr>
                <w:iCs/>
                <w:color w:val="000000"/>
                <w:w w:val="33"/>
                <w:shd w:val="solid" w:color="000000" w:fill="000000"/>
                <w:fitText w:val="150" w:id="-1304677618"/>
                <w14:textFill>
                  <w14:solidFill>
                    <w14:srgbClr w14:val="000000">
                      <w14:alpha w14:val="100000"/>
                    </w14:srgbClr>
                  </w14:solidFill>
                </w14:textFill>
              </w:rPr>
              <w:t>|</w:t>
            </w:r>
            <w:r w:rsidRPr="001D6D9F">
              <w:rPr>
                <w:rFonts w:hint="eastAsia"/>
                <w:iCs/>
                <w:color w:val="000000"/>
                <w:spacing w:val="4"/>
                <w:w w:val="33"/>
                <w:shd w:val="solid" w:color="000000" w:fill="000000"/>
                <w:fitText w:val="150" w:id="-1304677618"/>
                <w14:textFill>
                  <w14:solidFill>
                    <w14:srgbClr w14:val="000000">
                      <w14:alpha w14:val="100000"/>
                    </w14:srgbClr>
                  </w14:solidFill>
                </w14:textFill>
              </w:rPr>
              <w:t xml:space="preserve">　</w:t>
            </w:r>
            <w:r w:rsidR="00363606">
              <w:rPr>
                <w:iCs/>
                <w:vertAlign w:val="superscript"/>
              </w:rPr>
              <w:t>3</w:t>
            </w:r>
          </w:p>
        </w:tc>
        <w:tc>
          <w:tcPr>
            <w:tcW w:w="595" w:type="pct"/>
          </w:tcPr>
          <w:p w14:paraId="425293A8" w14:textId="52D4D7CE" w:rsidR="004949CB" w:rsidRPr="00CD55C3" w:rsidRDefault="004949CB" w:rsidP="00820080">
            <w:pPr>
              <w:pStyle w:val="TableText0"/>
              <w:keepNext w:val="0"/>
              <w:jc w:val="center"/>
              <w:rPr>
                <w:iCs/>
              </w:rPr>
            </w:pPr>
            <w:r w:rsidRPr="00CD55C3">
              <w:rPr>
                <w:iCs/>
              </w:rPr>
              <w:t>27%</w:t>
            </w:r>
          </w:p>
        </w:tc>
      </w:tr>
      <w:tr w:rsidR="004949CB" w14:paraId="6C409A9C" w14:textId="77777777" w:rsidTr="001D6D9F">
        <w:tc>
          <w:tcPr>
            <w:tcW w:w="2267" w:type="pct"/>
          </w:tcPr>
          <w:p w14:paraId="546CA81A" w14:textId="77777777" w:rsidR="004949CB" w:rsidRDefault="004949CB" w:rsidP="00820080">
            <w:pPr>
              <w:pStyle w:val="TableText0"/>
              <w:keepNext w:val="0"/>
            </w:pPr>
            <w:r>
              <w:t>1 + 2 + 3 + 4</w:t>
            </w:r>
          </w:p>
        </w:tc>
        <w:tc>
          <w:tcPr>
            <w:tcW w:w="738" w:type="pct"/>
            <w:shd w:val="solid" w:color="000000" w:fill="000000"/>
          </w:tcPr>
          <w:p w14:paraId="6779E28E" w14:textId="1E6F86F0" w:rsidR="004949CB" w:rsidRPr="00CD55C3" w:rsidRDefault="001D6D9F" w:rsidP="00820080">
            <w:pPr>
              <w:pStyle w:val="TableText0"/>
              <w:keepNext w:val="0"/>
              <w:jc w:val="center"/>
              <w:rPr>
                <w:iCs/>
              </w:rPr>
            </w:pPr>
            <w:r w:rsidRPr="001D6D9F">
              <w:rPr>
                <w:iCs/>
                <w:color w:val="000000"/>
                <w14:textFill>
                  <w14:solidFill>
                    <w14:srgbClr w14:val="000000">
                      <w14:alpha w14:val="100000"/>
                    </w14:srgbClr>
                  </w14:solidFill>
                </w14:textFill>
              </w:rPr>
              <w:t>|</w:t>
            </w:r>
          </w:p>
        </w:tc>
        <w:tc>
          <w:tcPr>
            <w:tcW w:w="805" w:type="pct"/>
          </w:tcPr>
          <w:p w14:paraId="49F55E1E" w14:textId="77777777" w:rsidR="004949CB" w:rsidRPr="00CD55C3" w:rsidRDefault="004949CB" w:rsidP="00820080">
            <w:pPr>
              <w:pStyle w:val="TableText0"/>
              <w:keepNext w:val="0"/>
              <w:jc w:val="center"/>
              <w:rPr>
                <w:iCs/>
              </w:rPr>
            </w:pPr>
            <w:r w:rsidRPr="00CD55C3">
              <w:rPr>
                <w:iCs/>
              </w:rPr>
              <w:t>0.494</w:t>
            </w:r>
          </w:p>
        </w:tc>
        <w:tc>
          <w:tcPr>
            <w:tcW w:w="595" w:type="pct"/>
          </w:tcPr>
          <w:p w14:paraId="65287A64" w14:textId="5252601A" w:rsidR="004949CB" w:rsidRPr="00363606" w:rsidRDefault="001D6D9F" w:rsidP="00820080">
            <w:pPr>
              <w:pStyle w:val="TableText0"/>
              <w:keepNext w:val="0"/>
              <w:jc w:val="center"/>
              <w:rPr>
                <w:iCs/>
                <w:vertAlign w:val="superscript"/>
              </w:rPr>
            </w:pPr>
            <w:r w:rsidRPr="001D6D9F">
              <w:rPr>
                <w:rFonts w:hint="eastAsia"/>
                <w:iCs/>
                <w:color w:val="000000"/>
                <w:w w:val="33"/>
                <w:shd w:val="solid" w:color="000000" w:fill="000000"/>
                <w:fitText w:val="150" w:id="-1304677617"/>
                <w14:textFill>
                  <w14:solidFill>
                    <w14:srgbClr w14:val="000000">
                      <w14:alpha w14:val="100000"/>
                    </w14:srgbClr>
                  </w14:solidFill>
                </w14:textFill>
              </w:rPr>
              <w:t xml:space="preserve">　</w:t>
            </w:r>
            <w:r w:rsidRPr="001D6D9F">
              <w:rPr>
                <w:iCs/>
                <w:color w:val="000000"/>
                <w:w w:val="33"/>
                <w:shd w:val="solid" w:color="000000" w:fill="000000"/>
                <w:fitText w:val="150" w:id="-1304677617"/>
                <w14:textFill>
                  <w14:solidFill>
                    <w14:srgbClr w14:val="000000">
                      <w14:alpha w14:val="100000"/>
                    </w14:srgbClr>
                  </w14:solidFill>
                </w14:textFill>
              </w:rPr>
              <w:t>|</w:t>
            </w:r>
            <w:r w:rsidRPr="001D6D9F">
              <w:rPr>
                <w:rFonts w:hint="eastAsia"/>
                <w:iCs/>
                <w:color w:val="000000"/>
                <w:spacing w:val="4"/>
                <w:w w:val="33"/>
                <w:shd w:val="solid" w:color="000000" w:fill="000000"/>
                <w:fitText w:val="150" w:id="-1304677617"/>
                <w14:textFill>
                  <w14:solidFill>
                    <w14:srgbClr w14:val="000000">
                      <w14:alpha w14:val="100000"/>
                    </w14:srgbClr>
                  </w14:solidFill>
                </w14:textFill>
              </w:rPr>
              <w:t xml:space="preserve">　</w:t>
            </w:r>
            <w:r w:rsidR="00363606">
              <w:rPr>
                <w:iCs/>
                <w:vertAlign w:val="superscript"/>
              </w:rPr>
              <w:t>4</w:t>
            </w:r>
          </w:p>
        </w:tc>
        <w:tc>
          <w:tcPr>
            <w:tcW w:w="595" w:type="pct"/>
          </w:tcPr>
          <w:p w14:paraId="5CEC31D5" w14:textId="0C026798" w:rsidR="004949CB" w:rsidRPr="00CD55C3" w:rsidRDefault="004949CB" w:rsidP="00820080">
            <w:pPr>
              <w:pStyle w:val="TableText0"/>
              <w:keepNext w:val="0"/>
              <w:jc w:val="center"/>
              <w:rPr>
                <w:iCs/>
              </w:rPr>
            </w:pPr>
            <w:r w:rsidRPr="00CD55C3">
              <w:rPr>
                <w:iCs/>
              </w:rPr>
              <w:t>8</w:t>
            </w:r>
            <w:r w:rsidR="00D12AD3">
              <w:rPr>
                <w:iCs/>
              </w:rPr>
              <w:t>9</w:t>
            </w:r>
            <w:r w:rsidRPr="00CD55C3">
              <w:rPr>
                <w:iCs/>
              </w:rPr>
              <w:t>%</w:t>
            </w:r>
          </w:p>
        </w:tc>
      </w:tr>
    </w:tbl>
    <w:p w14:paraId="05783189" w14:textId="77777777" w:rsidR="00194A61" w:rsidRDefault="00194A61" w:rsidP="00820080">
      <w:pPr>
        <w:pStyle w:val="Tablenotes1"/>
      </w:pPr>
      <w:r w:rsidRPr="008D2A05">
        <w:t xml:space="preserve">Source: </w:t>
      </w:r>
      <w:r>
        <w:t xml:space="preserve">Analyses conducted during the evaluation based on Table 3-32, p227 of the submission and </w:t>
      </w:r>
      <w:r w:rsidRPr="00FA2CE5">
        <w:rPr>
          <w:iCs/>
        </w:rPr>
        <w:t xml:space="preserve">the </w:t>
      </w:r>
      <w:r w:rsidRPr="00FA2CE5">
        <w:t>‘</w:t>
      </w:r>
      <w:r w:rsidRPr="00F76AA0">
        <w:t>Section 3 CE Model Workbook – Takeda Australia – Mobocertinib</w:t>
      </w:r>
      <w:r>
        <w:t>’.</w:t>
      </w:r>
    </w:p>
    <w:p w14:paraId="214C0097" w14:textId="2266C7FF" w:rsidR="00403DB6" w:rsidRDefault="00194A61" w:rsidP="0059695A">
      <w:pPr>
        <w:pStyle w:val="Tablenotes1"/>
        <w:spacing w:before="0" w:after="120" w:line="240" w:lineRule="auto"/>
      </w:pPr>
      <w:r>
        <w:t>AE = adverse event; ICER = incremental cost-effectiveness ratio; IPTW = inverse probability treatment weighing; QALY = quality adjusted life year; SOC = standard of care</w:t>
      </w:r>
      <w:bookmarkStart w:id="67" w:name="_Toc113895847"/>
    </w:p>
    <w:p w14:paraId="3F4DCD05" w14:textId="77777777" w:rsidR="00363606" w:rsidRPr="009A6D58" w:rsidRDefault="00363606" w:rsidP="00363606">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26BF00AD" w14:textId="3B0B6738" w:rsidR="00363606" w:rsidRPr="009A6D58" w:rsidRDefault="00363606" w:rsidP="00363606">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005D739D" w:rsidRPr="005D739D">
        <w:rPr>
          <w:rFonts w:ascii="Arial Narrow" w:hAnsi="Arial Narrow" w:cs="Arial"/>
          <w:i/>
          <w:sz w:val="18"/>
          <w:szCs w:val="18"/>
        </w:rPr>
        <w:t>$75,000 to &lt; $95,000</w:t>
      </w:r>
    </w:p>
    <w:p w14:paraId="0889A7BF" w14:textId="69BF8237" w:rsidR="00363606" w:rsidRPr="009A6D58" w:rsidRDefault="00363606" w:rsidP="00363606">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005D739D" w:rsidRPr="005D739D">
        <w:rPr>
          <w:rFonts w:ascii="Arial Narrow" w:hAnsi="Arial Narrow" w:cs="Arial"/>
          <w:i/>
          <w:sz w:val="18"/>
          <w:szCs w:val="18"/>
        </w:rPr>
        <w:t>$95,000 to &lt; $115,000</w:t>
      </w:r>
    </w:p>
    <w:p w14:paraId="23F4F506" w14:textId="0F7181BF" w:rsidR="00363606" w:rsidRDefault="00363606" w:rsidP="00363606">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005D739D" w:rsidRPr="005D739D">
        <w:rPr>
          <w:rFonts w:ascii="Arial Narrow" w:hAnsi="Arial Narrow" w:cs="Arial"/>
          <w:i/>
          <w:sz w:val="18"/>
          <w:szCs w:val="18"/>
        </w:rPr>
        <w:t>$115,000 to &lt; $135,000</w:t>
      </w:r>
    </w:p>
    <w:p w14:paraId="0768A839" w14:textId="1F1846AF" w:rsidR="00363606" w:rsidRDefault="00363606" w:rsidP="00363606">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005D739D" w:rsidRPr="005D739D">
        <w:rPr>
          <w:rFonts w:ascii="Arial Narrow" w:hAnsi="Arial Narrow" w:cs="Arial"/>
          <w:i/>
          <w:sz w:val="18"/>
          <w:szCs w:val="18"/>
        </w:rPr>
        <w:t>$155,000 to &lt; $255,000</w:t>
      </w:r>
    </w:p>
    <w:p w14:paraId="2E92E036" w14:textId="3B20CA1B" w:rsidR="006E3749" w:rsidRDefault="006E3749" w:rsidP="00820080">
      <w:pPr>
        <w:pStyle w:val="Tablenotes1"/>
        <w:spacing w:before="0" w:after="0" w:line="240" w:lineRule="auto"/>
      </w:pPr>
    </w:p>
    <w:p w14:paraId="73F63BA8" w14:textId="1F33CBB8" w:rsidR="006E3749" w:rsidRPr="00CF5FA0" w:rsidRDefault="006E3749" w:rsidP="006E3749">
      <w:pPr>
        <w:pStyle w:val="3-BodyText"/>
      </w:pPr>
      <w:r>
        <w:t xml:space="preserve">The PBAC recalled </w:t>
      </w:r>
      <w:r w:rsidR="001B3F43">
        <w:t>it had previously recommended targeted therap</w:t>
      </w:r>
      <w:r w:rsidR="00831769">
        <w:t>ies</w:t>
      </w:r>
      <w:r w:rsidR="001B3F43">
        <w:t xml:space="preserve"> for NSCLC in the second line setting</w:t>
      </w:r>
      <w:r w:rsidR="00831769">
        <w:t>,</w:t>
      </w:r>
      <w:r w:rsidR="001B3F43">
        <w:t xml:space="preserve"> with ICER</w:t>
      </w:r>
      <w:r w:rsidR="00DD28DE">
        <w:t>s</w:t>
      </w:r>
      <w:r w:rsidR="00831769">
        <w:t xml:space="preserve"> </w:t>
      </w:r>
      <w:r w:rsidR="001B3F43">
        <w:t xml:space="preserve">of $45,000 to $75,000 per QALY gained </w:t>
      </w:r>
      <w:r w:rsidR="00831769">
        <w:t xml:space="preserve">(paragraphs 7.12 and 7.13, osimertinib </w:t>
      </w:r>
      <w:r w:rsidR="00D37C06">
        <w:t>Public Summary Document [</w:t>
      </w:r>
      <w:r w:rsidR="00831769">
        <w:t>PSD</w:t>
      </w:r>
      <w:r w:rsidR="00D37C06">
        <w:t>]</w:t>
      </w:r>
      <w:r w:rsidR="00831769">
        <w:t xml:space="preserve">, July 2018 PBAC meeting; paragraph 6.6, crizotinib PSD, July 2018 PBAC meeting). </w:t>
      </w:r>
    </w:p>
    <w:p w14:paraId="7B3CAD24" w14:textId="1F226456" w:rsidR="00194A61" w:rsidRDefault="00194A61" w:rsidP="00820080">
      <w:pPr>
        <w:pStyle w:val="4-SubsectionHeading"/>
        <w:keepLines/>
      </w:pPr>
      <w:r w:rsidRPr="002C2775">
        <w:lastRenderedPageBreak/>
        <w:t>Drug</w:t>
      </w:r>
      <w:r>
        <w:t xml:space="preserve"> cost/patient/</w:t>
      </w:r>
      <w:r w:rsidRPr="002C2775">
        <w:t>course</w:t>
      </w:r>
      <w:bookmarkEnd w:id="52"/>
      <w:bookmarkEnd w:id="67"/>
    </w:p>
    <w:p w14:paraId="61CB43AC" w14:textId="76C4225D" w:rsidR="00194A61" w:rsidRPr="00550373" w:rsidRDefault="00194A61" w:rsidP="00820080">
      <w:pPr>
        <w:pStyle w:val="3-BodyText"/>
        <w:keepNext/>
        <w:keepLines/>
      </w:pPr>
      <w:bookmarkStart w:id="68" w:name="_Ref104805102"/>
      <w:bookmarkStart w:id="69" w:name="_Toc22897650"/>
      <w:r w:rsidRPr="00550373">
        <w:t xml:space="preserve">A comparison of the drug costs of mobocertinib and SOC treatment estimated based on the trial data, the economic evaluation and the financial analysis is presented in </w:t>
      </w:r>
      <w:r w:rsidRPr="00550373">
        <w:fldChar w:fldCharType="begin"/>
      </w:r>
      <w:r w:rsidRPr="00550373">
        <w:instrText xml:space="preserve"> REF _Ref112999836 \h </w:instrText>
      </w:r>
      <w:r w:rsidRPr="00550373">
        <w:fldChar w:fldCharType="separate"/>
      </w:r>
      <w:r w:rsidR="001635D4">
        <w:t xml:space="preserve">Table </w:t>
      </w:r>
      <w:r w:rsidR="001635D4">
        <w:rPr>
          <w:noProof/>
        </w:rPr>
        <w:t>17</w:t>
      </w:r>
      <w:r w:rsidRPr="00550373">
        <w:fldChar w:fldCharType="end"/>
      </w:r>
      <w:r w:rsidRPr="00550373">
        <w:t>.</w:t>
      </w:r>
    </w:p>
    <w:p w14:paraId="0EEC4368" w14:textId="73D23A10" w:rsidR="00194A61" w:rsidRDefault="00194A61" w:rsidP="00194A61">
      <w:pPr>
        <w:pStyle w:val="Caption"/>
        <w:rPr>
          <w:rStyle w:val="CommentReference"/>
          <w:b/>
          <w:szCs w:val="24"/>
        </w:rPr>
      </w:pPr>
      <w:bookmarkStart w:id="70" w:name="_Ref112999836"/>
      <w:r>
        <w:t xml:space="preserve">Table </w:t>
      </w:r>
      <w:r w:rsidR="001635D4">
        <w:fldChar w:fldCharType="begin"/>
      </w:r>
      <w:r w:rsidR="001635D4">
        <w:instrText xml:space="preserve"> SEQ Table \* ARABIC </w:instrText>
      </w:r>
      <w:r w:rsidR="001635D4">
        <w:fldChar w:fldCharType="separate"/>
      </w:r>
      <w:r w:rsidR="001635D4">
        <w:rPr>
          <w:noProof/>
        </w:rPr>
        <w:t>17</w:t>
      </w:r>
      <w:r w:rsidR="001635D4">
        <w:rPr>
          <w:noProof/>
        </w:rPr>
        <w:fldChar w:fldCharType="end"/>
      </w:r>
      <w:bookmarkEnd w:id="68"/>
      <w:bookmarkEnd w:id="70"/>
      <w:r>
        <w:t>:</w:t>
      </w:r>
      <w:r w:rsidRPr="00BB732D">
        <w:rPr>
          <w:rStyle w:val="CommentReference"/>
          <w:b/>
          <w:szCs w:val="24"/>
        </w:rPr>
        <w:t xml:space="preserve"> Drug cost per patient for </w:t>
      </w:r>
      <w:r>
        <w:rPr>
          <w:rStyle w:val="CommentReference"/>
          <w:b/>
          <w:szCs w:val="24"/>
        </w:rPr>
        <w:t>mobocertinib</w:t>
      </w:r>
      <w:r w:rsidRPr="00BB732D">
        <w:rPr>
          <w:rStyle w:val="CommentReference"/>
          <w:b/>
          <w:szCs w:val="24"/>
        </w:rPr>
        <w:t xml:space="preserve"> and </w:t>
      </w:r>
      <w:r>
        <w:rPr>
          <w:rStyle w:val="CommentReference"/>
          <w:b/>
          <w:szCs w:val="24"/>
        </w:rPr>
        <w:t>standard of care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1257"/>
        <w:gridCol w:w="1255"/>
        <w:gridCol w:w="1259"/>
        <w:gridCol w:w="1255"/>
        <w:gridCol w:w="1261"/>
        <w:gridCol w:w="1261"/>
      </w:tblGrid>
      <w:tr w:rsidR="00194A61" w:rsidRPr="00E2771E" w14:paraId="7CEAEB4D" w14:textId="77777777" w:rsidTr="00AC6F83">
        <w:trPr>
          <w:cantSplit/>
          <w:tblHeader/>
          <w:jc w:val="center"/>
        </w:trPr>
        <w:tc>
          <w:tcPr>
            <w:tcW w:w="815" w:type="pct"/>
            <w:shd w:val="clear" w:color="auto" w:fill="auto"/>
            <w:vAlign w:val="center"/>
          </w:tcPr>
          <w:p w14:paraId="18E2AB80" w14:textId="77777777" w:rsidR="00194A61" w:rsidRPr="00E2771E" w:rsidRDefault="00194A61" w:rsidP="00AC6F83">
            <w:pPr>
              <w:pStyle w:val="In-tableHeading"/>
              <w:keepLines/>
              <w:jc w:val="center"/>
            </w:pPr>
          </w:p>
        </w:tc>
        <w:tc>
          <w:tcPr>
            <w:tcW w:w="2091" w:type="pct"/>
            <w:gridSpan w:val="3"/>
            <w:shd w:val="clear" w:color="auto" w:fill="auto"/>
            <w:vAlign w:val="center"/>
          </w:tcPr>
          <w:p w14:paraId="4ADA0240" w14:textId="77777777" w:rsidR="00194A61" w:rsidRDefault="00194A61" w:rsidP="00AC6F83">
            <w:pPr>
              <w:pStyle w:val="In-tableHeading"/>
              <w:keepLines/>
              <w:jc w:val="center"/>
            </w:pPr>
            <w:r>
              <w:t>Mobocertinib</w:t>
            </w:r>
          </w:p>
        </w:tc>
        <w:tc>
          <w:tcPr>
            <w:tcW w:w="2094" w:type="pct"/>
            <w:gridSpan w:val="3"/>
            <w:shd w:val="clear" w:color="auto" w:fill="auto"/>
            <w:vAlign w:val="center"/>
          </w:tcPr>
          <w:p w14:paraId="2895264C" w14:textId="77777777" w:rsidR="00194A61" w:rsidRDefault="00194A61" w:rsidP="00AC6F83">
            <w:pPr>
              <w:pStyle w:val="In-tableHeading"/>
              <w:keepLines/>
              <w:jc w:val="center"/>
            </w:pPr>
            <w:r>
              <w:t>Standard of care</w:t>
            </w:r>
          </w:p>
        </w:tc>
      </w:tr>
      <w:tr w:rsidR="00194A61" w:rsidRPr="00E2771E" w14:paraId="7FDF9958" w14:textId="77777777" w:rsidTr="00AC6F83">
        <w:trPr>
          <w:cantSplit/>
          <w:tblHeader/>
          <w:jc w:val="center"/>
        </w:trPr>
        <w:tc>
          <w:tcPr>
            <w:tcW w:w="815" w:type="pct"/>
            <w:shd w:val="clear" w:color="auto" w:fill="auto"/>
            <w:vAlign w:val="center"/>
          </w:tcPr>
          <w:p w14:paraId="5B51E3EE" w14:textId="77777777" w:rsidR="00194A61" w:rsidRPr="00E2771E" w:rsidRDefault="00194A61" w:rsidP="00AC6F83">
            <w:pPr>
              <w:pStyle w:val="In-tableHeading"/>
              <w:keepLines/>
              <w:jc w:val="center"/>
            </w:pPr>
          </w:p>
        </w:tc>
        <w:tc>
          <w:tcPr>
            <w:tcW w:w="697" w:type="pct"/>
            <w:shd w:val="clear" w:color="auto" w:fill="auto"/>
            <w:vAlign w:val="center"/>
          </w:tcPr>
          <w:p w14:paraId="6FA1FE25" w14:textId="77777777" w:rsidR="00194A61" w:rsidRPr="00E2771E" w:rsidRDefault="00194A61" w:rsidP="00AC6F83">
            <w:pPr>
              <w:pStyle w:val="In-tableHeading"/>
              <w:keepLines/>
              <w:jc w:val="center"/>
            </w:pPr>
            <w:r w:rsidRPr="00E2771E">
              <w:t>Proposed drug</w:t>
            </w:r>
          </w:p>
          <w:p w14:paraId="349FC5BB" w14:textId="77777777" w:rsidR="00194A61" w:rsidRPr="00F65EAA" w:rsidRDefault="00194A61" w:rsidP="00AC6F83">
            <w:pPr>
              <w:pStyle w:val="In-tableHeading"/>
              <w:keepLines/>
              <w:jc w:val="center"/>
            </w:pPr>
            <w:r w:rsidRPr="00F65EAA">
              <w:t>Trial</w:t>
            </w:r>
            <w:r>
              <w:t xml:space="preserve"> </w:t>
            </w:r>
            <w:r w:rsidRPr="00F65EAA">
              <w:t>dos</w:t>
            </w:r>
            <w:r>
              <w:t>e</w:t>
            </w:r>
            <w:r w:rsidRPr="00F65EAA">
              <w:t xml:space="preserve"> and duration</w:t>
            </w:r>
          </w:p>
        </w:tc>
        <w:tc>
          <w:tcPr>
            <w:tcW w:w="696" w:type="pct"/>
            <w:shd w:val="clear" w:color="auto" w:fill="auto"/>
            <w:vAlign w:val="center"/>
          </w:tcPr>
          <w:p w14:paraId="70716D2C" w14:textId="77777777" w:rsidR="00194A61" w:rsidRDefault="00194A61" w:rsidP="00AC6F83">
            <w:pPr>
              <w:pStyle w:val="In-tableHeading"/>
              <w:keepLines/>
              <w:jc w:val="center"/>
            </w:pPr>
            <w:r>
              <w:t>Proposed drug</w:t>
            </w:r>
          </w:p>
          <w:p w14:paraId="4A7633CF" w14:textId="77777777" w:rsidR="00194A61" w:rsidRPr="00E2771E" w:rsidRDefault="00194A61" w:rsidP="00AC6F83">
            <w:pPr>
              <w:pStyle w:val="In-tableHeading"/>
              <w:keepLines/>
              <w:jc w:val="center"/>
            </w:pPr>
            <w:r>
              <w:t>Model</w:t>
            </w:r>
          </w:p>
        </w:tc>
        <w:tc>
          <w:tcPr>
            <w:tcW w:w="698" w:type="pct"/>
            <w:shd w:val="clear" w:color="auto" w:fill="auto"/>
            <w:vAlign w:val="center"/>
          </w:tcPr>
          <w:p w14:paraId="33AE6BBC" w14:textId="77777777" w:rsidR="00194A61" w:rsidRDefault="00194A61" w:rsidP="00AC6F83">
            <w:pPr>
              <w:pStyle w:val="In-tableHeading"/>
              <w:keepLines/>
              <w:jc w:val="center"/>
            </w:pPr>
            <w:r>
              <w:t>Proposed drug</w:t>
            </w:r>
          </w:p>
          <w:p w14:paraId="4567D57A" w14:textId="77777777" w:rsidR="00194A61" w:rsidRPr="00E2771E" w:rsidRDefault="00194A61" w:rsidP="00AC6F83">
            <w:pPr>
              <w:pStyle w:val="In-tableHeading"/>
              <w:keepLines/>
              <w:jc w:val="center"/>
            </w:pPr>
            <w:r>
              <w:t>Financial estimates</w:t>
            </w:r>
          </w:p>
        </w:tc>
        <w:tc>
          <w:tcPr>
            <w:tcW w:w="696" w:type="pct"/>
            <w:shd w:val="clear" w:color="auto" w:fill="auto"/>
            <w:vAlign w:val="center"/>
          </w:tcPr>
          <w:p w14:paraId="3B757C6B" w14:textId="77777777" w:rsidR="00194A61" w:rsidRDefault="00194A61" w:rsidP="00AC6F83">
            <w:pPr>
              <w:pStyle w:val="In-tableHeading"/>
              <w:keepLines/>
              <w:jc w:val="center"/>
            </w:pPr>
            <w:r>
              <w:t>Comparator</w:t>
            </w:r>
          </w:p>
          <w:p w14:paraId="2532D935" w14:textId="77777777" w:rsidR="00194A61" w:rsidRPr="00E2771E" w:rsidRDefault="00194A61" w:rsidP="00AC6F83">
            <w:pPr>
              <w:pStyle w:val="In-tableHeading"/>
              <w:keepLines/>
              <w:jc w:val="center"/>
            </w:pPr>
            <w:r>
              <w:t>Trial dose and duration</w:t>
            </w:r>
          </w:p>
        </w:tc>
        <w:tc>
          <w:tcPr>
            <w:tcW w:w="699" w:type="pct"/>
            <w:shd w:val="clear" w:color="auto" w:fill="auto"/>
            <w:vAlign w:val="center"/>
          </w:tcPr>
          <w:p w14:paraId="2AC392E8" w14:textId="77777777" w:rsidR="00194A61" w:rsidRDefault="00194A61" w:rsidP="00AC6F83">
            <w:pPr>
              <w:pStyle w:val="In-tableHeading"/>
              <w:keepLines/>
              <w:jc w:val="center"/>
            </w:pPr>
            <w:r>
              <w:t>Comparator</w:t>
            </w:r>
          </w:p>
          <w:p w14:paraId="2BE7A127" w14:textId="77777777" w:rsidR="00194A61" w:rsidRPr="00E2771E" w:rsidRDefault="00194A61" w:rsidP="00AC6F83">
            <w:pPr>
              <w:pStyle w:val="In-tableHeading"/>
              <w:keepLines/>
              <w:jc w:val="center"/>
            </w:pPr>
            <w:r>
              <w:t>Model</w:t>
            </w:r>
          </w:p>
        </w:tc>
        <w:tc>
          <w:tcPr>
            <w:tcW w:w="699" w:type="pct"/>
          </w:tcPr>
          <w:p w14:paraId="701E2AF5" w14:textId="77777777" w:rsidR="00194A61" w:rsidRDefault="00194A61" w:rsidP="00AC6F83">
            <w:pPr>
              <w:pStyle w:val="In-tableHeading"/>
              <w:keepLines/>
              <w:jc w:val="center"/>
            </w:pPr>
            <w:r>
              <w:t>Comparator</w:t>
            </w:r>
          </w:p>
          <w:p w14:paraId="5062F862" w14:textId="77777777" w:rsidR="00194A61" w:rsidRDefault="00194A61" w:rsidP="00AC6F83">
            <w:pPr>
              <w:pStyle w:val="In-tableHeading"/>
              <w:keepLines/>
              <w:jc w:val="center"/>
            </w:pPr>
            <w:r>
              <w:t>Financial estimates</w:t>
            </w:r>
          </w:p>
        </w:tc>
      </w:tr>
      <w:tr w:rsidR="00194A61" w:rsidRPr="00E2771E" w14:paraId="1569E160" w14:textId="77777777" w:rsidTr="00AC6F83">
        <w:trPr>
          <w:cantSplit/>
          <w:jc w:val="center"/>
        </w:trPr>
        <w:tc>
          <w:tcPr>
            <w:tcW w:w="815" w:type="pct"/>
            <w:shd w:val="clear" w:color="auto" w:fill="auto"/>
            <w:vAlign w:val="center"/>
          </w:tcPr>
          <w:p w14:paraId="400ACBB1" w14:textId="77777777" w:rsidR="00194A61" w:rsidRPr="001F5BDA" w:rsidRDefault="00194A61" w:rsidP="00AC6F83">
            <w:pPr>
              <w:pStyle w:val="TableText0"/>
              <w:keepLines/>
              <w:rPr>
                <w:lang w:val="en-US"/>
              </w:rPr>
            </w:pPr>
            <w:r w:rsidRPr="001F5BDA">
              <w:rPr>
                <w:lang w:val="en-US"/>
              </w:rPr>
              <w:t>Mean dose</w:t>
            </w:r>
          </w:p>
        </w:tc>
        <w:tc>
          <w:tcPr>
            <w:tcW w:w="697" w:type="pct"/>
            <w:shd w:val="clear" w:color="auto" w:fill="auto"/>
            <w:vAlign w:val="center"/>
          </w:tcPr>
          <w:p w14:paraId="79350F8D" w14:textId="77777777" w:rsidR="00194A61" w:rsidRPr="001522B1" w:rsidRDefault="00194A61" w:rsidP="00AC6F83">
            <w:pPr>
              <w:pStyle w:val="TableText0"/>
              <w:keepLines/>
              <w:jc w:val="center"/>
              <w:rPr>
                <w:lang w:val="en-US"/>
              </w:rPr>
            </w:pPr>
            <w:r w:rsidRPr="001522B1">
              <w:rPr>
                <w:lang w:val="en-US"/>
              </w:rPr>
              <w:t>160 mg/day</w:t>
            </w:r>
          </w:p>
        </w:tc>
        <w:tc>
          <w:tcPr>
            <w:tcW w:w="696" w:type="pct"/>
            <w:shd w:val="clear" w:color="auto" w:fill="auto"/>
            <w:vAlign w:val="center"/>
          </w:tcPr>
          <w:p w14:paraId="03A294A7" w14:textId="77777777" w:rsidR="00194A61" w:rsidRPr="001522B1" w:rsidRDefault="00194A61" w:rsidP="00AC6F83">
            <w:pPr>
              <w:pStyle w:val="TableText0"/>
              <w:keepLines/>
              <w:jc w:val="center"/>
              <w:rPr>
                <w:lang w:val="en-US"/>
              </w:rPr>
            </w:pPr>
            <w:r w:rsidRPr="001522B1">
              <w:rPr>
                <w:lang w:val="en-US"/>
              </w:rPr>
              <w:t>160 mg/day</w:t>
            </w:r>
          </w:p>
        </w:tc>
        <w:tc>
          <w:tcPr>
            <w:tcW w:w="698" w:type="pct"/>
            <w:shd w:val="clear" w:color="auto" w:fill="auto"/>
            <w:vAlign w:val="center"/>
          </w:tcPr>
          <w:p w14:paraId="0F2D8B09" w14:textId="77777777" w:rsidR="00194A61" w:rsidRPr="001522B1" w:rsidRDefault="00194A61" w:rsidP="00AC6F83">
            <w:pPr>
              <w:pStyle w:val="TableText0"/>
              <w:keepLines/>
              <w:jc w:val="center"/>
              <w:rPr>
                <w:lang w:val="en-US"/>
              </w:rPr>
            </w:pPr>
            <w:r w:rsidRPr="001522B1">
              <w:rPr>
                <w:lang w:val="en-US"/>
              </w:rPr>
              <w:t>160 mg/day</w:t>
            </w:r>
          </w:p>
        </w:tc>
        <w:tc>
          <w:tcPr>
            <w:tcW w:w="696" w:type="pct"/>
            <w:shd w:val="clear" w:color="auto" w:fill="auto"/>
            <w:vAlign w:val="center"/>
          </w:tcPr>
          <w:p w14:paraId="613B8CDE" w14:textId="77777777" w:rsidR="00194A61" w:rsidRPr="001522B1" w:rsidRDefault="00194A61" w:rsidP="00AC6F83">
            <w:pPr>
              <w:pStyle w:val="TableText0"/>
              <w:keepLines/>
              <w:jc w:val="center"/>
              <w:rPr>
                <w:lang w:val="en-US"/>
              </w:rPr>
            </w:pPr>
            <w:r w:rsidRPr="001522B1">
              <w:rPr>
                <w:rFonts w:cs="Calibri"/>
                <w:bCs w:val="0"/>
                <w:color w:val="000000"/>
                <w:szCs w:val="20"/>
                <w:lang w:val="en-US"/>
              </w:rPr>
              <w:t>N</w:t>
            </w:r>
            <w:r>
              <w:rPr>
                <w:rFonts w:cs="Calibri"/>
                <w:bCs w:val="0"/>
                <w:color w:val="000000"/>
                <w:szCs w:val="20"/>
                <w:lang w:val="en-US"/>
              </w:rPr>
              <w:t>R</w:t>
            </w:r>
          </w:p>
        </w:tc>
        <w:tc>
          <w:tcPr>
            <w:tcW w:w="699" w:type="pct"/>
            <w:shd w:val="clear" w:color="auto" w:fill="auto"/>
            <w:vAlign w:val="center"/>
          </w:tcPr>
          <w:p w14:paraId="44980E1E" w14:textId="77777777" w:rsidR="00194A61" w:rsidRPr="001522B1" w:rsidRDefault="00194A61" w:rsidP="00AC6F83">
            <w:pPr>
              <w:pStyle w:val="TableText0"/>
              <w:keepLines/>
              <w:jc w:val="center"/>
              <w:rPr>
                <w:lang w:val="en-US"/>
              </w:rPr>
            </w:pPr>
            <w:r w:rsidRPr="001522B1">
              <w:rPr>
                <w:rFonts w:cs="Calibri"/>
                <w:bCs w:val="0"/>
                <w:color w:val="000000"/>
                <w:szCs w:val="20"/>
                <w:lang w:val="en-US"/>
              </w:rPr>
              <w:t>N</w:t>
            </w:r>
            <w:r>
              <w:rPr>
                <w:rFonts w:cs="Calibri"/>
                <w:bCs w:val="0"/>
                <w:color w:val="000000"/>
                <w:szCs w:val="20"/>
                <w:lang w:val="en-US"/>
              </w:rPr>
              <w:t>R</w:t>
            </w:r>
          </w:p>
        </w:tc>
        <w:tc>
          <w:tcPr>
            <w:tcW w:w="699" w:type="pct"/>
            <w:vAlign w:val="center"/>
          </w:tcPr>
          <w:p w14:paraId="18627D34" w14:textId="77777777" w:rsidR="00194A61" w:rsidRPr="001522B1" w:rsidRDefault="00194A61" w:rsidP="00AC6F83">
            <w:pPr>
              <w:pStyle w:val="TableText0"/>
              <w:keepLines/>
              <w:jc w:val="center"/>
              <w:rPr>
                <w:lang w:val="en-US"/>
              </w:rPr>
            </w:pPr>
            <w:r w:rsidRPr="001522B1">
              <w:rPr>
                <w:rFonts w:cs="Calibri"/>
                <w:bCs w:val="0"/>
                <w:color w:val="000000"/>
                <w:szCs w:val="20"/>
                <w:lang w:val="en-US"/>
              </w:rPr>
              <w:t>N</w:t>
            </w:r>
            <w:r>
              <w:rPr>
                <w:rFonts w:cs="Calibri"/>
                <w:bCs w:val="0"/>
                <w:color w:val="000000"/>
                <w:szCs w:val="20"/>
                <w:lang w:val="en-US"/>
              </w:rPr>
              <w:t>R</w:t>
            </w:r>
          </w:p>
        </w:tc>
      </w:tr>
      <w:tr w:rsidR="00194A61" w:rsidRPr="00E2771E" w14:paraId="7585A6A8" w14:textId="77777777" w:rsidTr="00AC6F83">
        <w:trPr>
          <w:cantSplit/>
          <w:jc w:val="center"/>
        </w:trPr>
        <w:tc>
          <w:tcPr>
            <w:tcW w:w="815" w:type="pct"/>
            <w:shd w:val="clear" w:color="auto" w:fill="auto"/>
            <w:vAlign w:val="center"/>
          </w:tcPr>
          <w:p w14:paraId="19F7DD2B" w14:textId="77777777" w:rsidR="00194A61" w:rsidRPr="001F5BDA" w:rsidRDefault="00194A61" w:rsidP="00AC6F83">
            <w:pPr>
              <w:pStyle w:val="TableText0"/>
              <w:keepLines/>
              <w:rPr>
                <w:lang w:val="en-US"/>
              </w:rPr>
            </w:pPr>
            <w:r>
              <w:rPr>
                <w:lang w:val="en-US"/>
              </w:rPr>
              <w:t>Dose intensity</w:t>
            </w:r>
          </w:p>
        </w:tc>
        <w:tc>
          <w:tcPr>
            <w:tcW w:w="697" w:type="pct"/>
            <w:shd w:val="clear" w:color="auto" w:fill="auto"/>
            <w:vAlign w:val="center"/>
          </w:tcPr>
          <w:p w14:paraId="54EC846D" w14:textId="77777777" w:rsidR="00194A61" w:rsidRPr="001522B1" w:rsidRDefault="00194A61" w:rsidP="00AC6F83">
            <w:pPr>
              <w:pStyle w:val="TableText0"/>
              <w:keepLines/>
              <w:jc w:val="center"/>
              <w:rPr>
                <w:vertAlign w:val="superscript"/>
                <w:lang w:val="en-US"/>
              </w:rPr>
            </w:pPr>
            <w:r w:rsidRPr="001522B1">
              <w:rPr>
                <w:lang w:val="en-US"/>
              </w:rPr>
              <w:t>91.81%</w:t>
            </w:r>
            <w:r w:rsidRPr="001522B1">
              <w:rPr>
                <w:vertAlign w:val="superscript"/>
                <w:lang w:val="en-US"/>
              </w:rPr>
              <w:t>a</w:t>
            </w:r>
          </w:p>
        </w:tc>
        <w:tc>
          <w:tcPr>
            <w:tcW w:w="696" w:type="pct"/>
            <w:shd w:val="clear" w:color="auto" w:fill="auto"/>
            <w:vAlign w:val="center"/>
          </w:tcPr>
          <w:p w14:paraId="10A12038" w14:textId="77777777" w:rsidR="00194A61" w:rsidRPr="0048260F" w:rsidRDefault="00194A61" w:rsidP="00AC6F83">
            <w:pPr>
              <w:pStyle w:val="TableText0"/>
              <w:keepLines/>
              <w:jc w:val="center"/>
              <w:rPr>
                <w:vertAlign w:val="superscript"/>
                <w:lang w:val="en-US"/>
              </w:rPr>
            </w:pPr>
            <w:r w:rsidRPr="001522B1">
              <w:rPr>
                <w:lang w:val="en-US"/>
              </w:rPr>
              <w:t>93%</w:t>
            </w:r>
            <w:r>
              <w:rPr>
                <w:vertAlign w:val="superscript"/>
                <w:lang w:val="en-US"/>
              </w:rPr>
              <w:t>h</w:t>
            </w:r>
          </w:p>
        </w:tc>
        <w:tc>
          <w:tcPr>
            <w:tcW w:w="698" w:type="pct"/>
            <w:shd w:val="clear" w:color="auto" w:fill="auto"/>
            <w:vAlign w:val="center"/>
          </w:tcPr>
          <w:p w14:paraId="105DB6EC" w14:textId="77777777" w:rsidR="00194A61" w:rsidRPr="0048260F" w:rsidRDefault="00194A61" w:rsidP="00AC6F83">
            <w:pPr>
              <w:pStyle w:val="TableText0"/>
              <w:keepLines/>
              <w:jc w:val="center"/>
              <w:rPr>
                <w:vertAlign w:val="superscript"/>
                <w:lang w:val="en-US"/>
              </w:rPr>
            </w:pPr>
            <w:r w:rsidRPr="001522B1">
              <w:rPr>
                <w:lang w:val="en-US"/>
              </w:rPr>
              <w:t>93%</w:t>
            </w:r>
            <w:r>
              <w:rPr>
                <w:vertAlign w:val="superscript"/>
                <w:lang w:val="en-US"/>
              </w:rPr>
              <w:t>h</w:t>
            </w:r>
          </w:p>
        </w:tc>
        <w:tc>
          <w:tcPr>
            <w:tcW w:w="696" w:type="pct"/>
            <w:shd w:val="clear" w:color="auto" w:fill="auto"/>
            <w:vAlign w:val="center"/>
          </w:tcPr>
          <w:p w14:paraId="763F4683" w14:textId="77777777" w:rsidR="00194A61" w:rsidRPr="0048260F" w:rsidRDefault="00194A61" w:rsidP="00AC6F83">
            <w:pPr>
              <w:pStyle w:val="TableText0"/>
              <w:keepLines/>
              <w:jc w:val="center"/>
              <w:rPr>
                <w:vertAlign w:val="superscript"/>
                <w:lang w:val="en-US"/>
              </w:rPr>
            </w:pPr>
            <w:r w:rsidRPr="001522B1">
              <w:rPr>
                <w:rFonts w:cs="Calibri"/>
                <w:bCs w:val="0"/>
                <w:color w:val="000000"/>
                <w:szCs w:val="20"/>
              </w:rPr>
              <w:t>93%</w:t>
            </w:r>
            <w:r>
              <w:rPr>
                <w:rFonts w:cs="Calibri"/>
                <w:bCs w:val="0"/>
                <w:color w:val="000000"/>
                <w:szCs w:val="20"/>
                <w:vertAlign w:val="superscript"/>
              </w:rPr>
              <w:t>h</w:t>
            </w:r>
          </w:p>
        </w:tc>
        <w:tc>
          <w:tcPr>
            <w:tcW w:w="699" w:type="pct"/>
            <w:shd w:val="clear" w:color="auto" w:fill="auto"/>
            <w:vAlign w:val="center"/>
          </w:tcPr>
          <w:p w14:paraId="7480F411" w14:textId="77777777" w:rsidR="00194A61" w:rsidRPr="0048260F" w:rsidRDefault="00194A61" w:rsidP="00AC6F83">
            <w:pPr>
              <w:pStyle w:val="TableText0"/>
              <w:keepLines/>
              <w:jc w:val="center"/>
              <w:rPr>
                <w:vertAlign w:val="superscript"/>
                <w:lang w:val="en-US"/>
              </w:rPr>
            </w:pPr>
            <w:r w:rsidRPr="001522B1">
              <w:rPr>
                <w:rFonts w:cs="Calibri"/>
                <w:bCs w:val="0"/>
                <w:color w:val="000000"/>
                <w:szCs w:val="20"/>
              </w:rPr>
              <w:t>93%</w:t>
            </w:r>
            <w:r>
              <w:rPr>
                <w:rFonts w:cs="Calibri"/>
                <w:bCs w:val="0"/>
                <w:color w:val="000000"/>
                <w:szCs w:val="20"/>
                <w:vertAlign w:val="superscript"/>
              </w:rPr>
              <w:t>h</w:t>
            </w:r>
          </w:p>
        </w:tc>
        <w:tc>
          <w:tcPr>
            <w:tcW w:w="699" w:type="pct"/>
            <w:vAlign w:val="center"/>
          </w:tcPr>
          <w:p w14:paraId="12202059" w14:textId="77777777" w:rsidR="00194A61" w:rsidRPr="0048260F" w:rsidRDefault="00194A61" w:rsidP="00AC6F83">
            <w:pPr>
              <w:pStyle w:val="TableText0"/>
              <w:keepLines/>
              <w:jc w:val="center"/>
              <w:rPr>
                <w:vertAlign w:val="superscript"/>
                <w:lang w:val="en-US"/>
              </w:rPr>
            </w:pPr>
            <w:r w:rsidRPr="001522B1">
              <w:rPr>
                <w:rFonts w:cs="Calibri"/>
                <w:bCs w:val="0"/>
                <w:color w:val="000000"/>
                <w:szCs w:val="20"/>
              </w:rPr>
              <w:t>93%</w:t>
            </w:r>
            <w:r>
              <w:rPr>
                <w:rFonts w:cs="Calibri"/>
                <w:bCs w:val="0"/>
                <w:color w:val="000000"/>
                <w:szCs w:val="20"/>
                <w:vertAlign w:val="superscript"/>
              </w:rPr>
              <w:t>h</w:t>
            </w:r>
          </w:p>
        </w:tc>
      </w:tr>
      <w:tr w:rsidR="00194A61" w:rsidRPr="00E2771E" w14:paraId="465F12B5" w14:textId="77777777" w:rsidTr="00AC6F83">
        <w:trPr>
          <w:cantSplit/>
          <w:jc w:val="center"/>
        </w:trPr>
        <w:tc>
          <w:tcPr>
            <w:tcW w:w="815" w:type="pct"/>
            <w:shd w:val="clear" w:color="auto" w:fill="auto"/>
            <w:vAlign w:val="center"/>
          </w:tcPr>
          <w:p w14:paraId="2357814E" w14:textId="77777777" w:rsidR="00194A61" w:rsidRPr="001F5BDA" w:rsidRDefault="00194A61" w:rsidP="00AC6F83">
            <w:pPr>
              <w:pStyle w:val="TableText0"/>
              <w:keepLines/>
              <w:rPr>
                <w:lang w:val="en-US"/>
              </w:rPr>
            </w:pPr>
            <w:r w:rsidRPr="001F5BDA">
              <w:rPr>
                <w:lang w:val="en-US"/>
              </w:rPr>
              <w:t>Mean duration</w:t>
            </w:r>
            <w:r>
              <w:rPr>
                <w:lang w:val="en-US"/>
              </w:rPr>
              <w:t xml:space="preserve"> (28-day cycles)</w:t>
            </w:r>
          </w:p>
        </w:tc>
        <w:tc>
          <w:tcPr>
            <w:tcW w:w="697" w:type="pct"/>
            <w:shd w:val="clear" w:color="auto" w:fill="auto"/>
            <w:vAlign w:val="center"/>
          </w:tcPr>
          <w:p w14:paraId="6F0853FE" w14:textId="77777777" w:rsidR="00194A61" w:rsidRPr="001522B1" w:rsidRDefault="00194A61" w:rsidP="00AC6F83">
            <w:pPr>
              <w:pStyle w:val="TableText0"/>
              <w:keepLines/>
              <w:jc w:val="center"/>
              <w:rPr>
                <w:vertAlign w:val="superscript"/>
                <w:lang w:val="en-US"/>
              </w:rPr>
            </w:pPr>
            <w:r w:rsidRPr="001522B1">
              <w:rPr>
                <w:rFonts w:cs="Calibri"/>
                <w:bCs w:val="0"/>
                <w:color w:val="000000"/>
                <w:szCs w:val="20"/>
                <w:lang w:val="en-US"/>
              </w:rPr>
              <w:t>7.995 (median)</w:t>
            </w:r>
            <w:r w:rsidRPr="001522B1">
              <w:rPr>
                <w:rFonts w:cs="Calibri"/>
                <w:bCs w:val="0"/>
                <w:color w:val="000000"/>
                <w:szCs w:val="20"/>
                <w:vertAlign w:val="superscript"/>
                <w:lang w:val="en-US"/>
              </w:rPr>
              <w:t>b</w:t>
            </w:r>
          </w:p>
        </w:tc>
        <w:tc>
          <w:tcPr>
            <w:tcW w:w="696" w:type="pct"/>
            <w:shd w:val="clear" w:color="auto" w:fill="auto"/>
            <w:vAlign w:val="center"/>
          </w:tcPr>
          <w:p w14:paraId="2D8B1C21" w14:textId="77777777" w:rsidR="00194A61" w:rsidRPr="001522B1" w:rsidRDefault="00194A61" w:rsidP="00AC6F83">
            <w:pPr>
              <w:pStyle w:val="TableText0"/>
              <w:keepLines/>
              <w:jc w:val="center"/>
              <w:rPr>
                <w:vertAlign w:val="superscript"/>
                <w:lang w:val="en-US"/>
              </w:rPr>
            </w:pPr>
            <w:r w:rsidRPr="001522B1">
              <w:rPr>
                <w:rFonts w:cs="Calibri"/>
                <w:bCs w:val="0"/>
                <w:color w:val="000000"/>
                <w:szCs w:val="20"/>
                <w:lang w:val="en-US"/>
              </w:rPr>
              <w:t>12.84</w:t>
            </w:r>
            <w:r w:rsidRPr="001522B1">
              <w:rPr>
                <w:rFonts w:cs="Calibri"/>
                <w:bCs w:val="0"/>
                <w:color w:val="000000"/>
                <w:szCs w:val="20"/>
                <w:vertAlign w:val="superscript"/>
                <w:lang w:val="en-US"/>
              </w:rPr>
              <w:t>c</w:t>
            </w:r>
          </w:p>
        </w:tc>
        <w:tc>
          <w:tcPr>
            <w:tcW w:w="698" w:type="pct"/>
            <w:shd w:val="clear" w:color="auto" w:fill="auto"/>
            <w:vAlign w:val="center"/>
          </w:tcPr>
          <w:p w14:paraId="4CC2E458" w14:textId="77777777" w:rsidR="00194A61" w:rsidRPr="001522B1" w:rsidRDefault="00194A61" w:rsidP="00AC6F83">
            <w:pPr>
              <w:pStyle w:val="TableText0"/>
              <w:keepLines/>
              <w:jc w:val="center"/>
              <w:rPr>
                <w:vertAlign w:val="superscript"/>
                <w:lang w:val="en-US"/>
              </w:rPr>
            </w:pPr>
            <w:r w:rsidRPr="001522B1">
              <w:rPr>
                <w:rFonts w:cs="Calibri"/>
                <w:bCs w:val="0"/>
                <w:color w:val="000000"/>
                <w:szCs w:val="20"/>
                <w:lang w:val="en-US"/>
              </w:rPr>
              <w:t>12.79</w:t>
            </w:r>
            <w:r w:rsidRPr="001522B1">
              <w:rPr>
                <w:rFonts w:cs="Calibri"/>
                <w:bCs w:val="0"/>
                <w:color w:val="000000"/>
                <w:szCs w:val="20"/>
                <w:vertAlign w:val="superscript"/>
                <w:lang w:val="en-US"/>
              </w:rPr>
              <w:t>d</w:t>
            </w:r>
          </w:p>
        </w:tc>
        <w:tc>
          <w:tcPr>
            <w:tcW w:w="696" w:type="pct"/>
            <w:shd w:val="clear" w:color="auto" w:fill="auto"/>
            <w:vAlign w:val="center"/>
          </w:tcPr>
          <w:p w14:paraId="6BBEF34F" w14:textId="77777777" w:rsidR="00194A61" w:rsidRPr="001522B1" w:rsidRDefault="00194A61" w:rsidP="00AC6F83">
            <w:pPr>
              <w:pStyle w:val="TableText0"/>
              <w:keepLines/>
              <w:jc w:val="center"/>
              <w:rPr>
                <w:vertAlign w:val="superscript"/>
                <w:lang w:val="en-US"/>
              </w:rPr>
            </w:pPr>
            <w:r w:rsidRPr="001522B1">
              <w:rPr>
                <w:rFonts w:cs="Calibri"/>
                <w:bCs w:val="0"/>
                <w:color w:val="000000"/>
                <w:szCs w:val="20"/>
                <w:lang w:val="en-US"/>
              </w:rPr>
              <w:t>3.26 (median)</w:t>
            </w:r>
            <w:r w:rsidRPr="001522B1">
              <w:rPr>
                <w:rFonts w:cs="Calibri"/>
                <w:bCs w:val="0"/>
                <w:color w:val="000000"/>
                <w:szCs w:val="20"/>
                <w:vertAlign w:val="superscript"/>
                <w:lang w:val="en-US"/>
              </w:rPr>
              <w:t>e</w:t>
            </w:r>
          </w:p>
        </w:tc>
        <w:tc>
          <w:tcPr>
            <w:tcW w:w="699" w:type="pct"/>
            <w:shd w:val="clear" w:color="auto" w:fill="auto"/>
            <w:vAlign w:val="center"/>
          </w:tcPr>
          <w:p w14:paraId="17891AC2" w14:textId="77777777" w:rsidR="00194A61" w:rsidRPr="001522B1" w:rsidRDefault="00194A61" w:rsidP="00AC6F83">
            <w:pPr>
              <w:pStyle w:val="TableText0"/>
              <w:keepLines/>
              <w:jc w:val="center"/>
              <w:rPr>
                <w:vertAlign w:val="superscript"/>
                <w:lang w:val="en-US"/>
              </w:rPr>
            </w:pPr>
            <w:r w:rsidRPr="001522B1">
              <w:rPr>
                <w:rFonts w:cs="Calibri"/>
                <w:bCs w:val="0"/>
                <w:color w:val="000000"/>
                <w:szCs w:val="20"/>
                <w:lang w:val="en-US"/>
              </w:rPr>
              <w:t>4.40</w:t>
            </w:r>
            <w:r w:rsidRPr="001522B1">
              <w:rPr>
                <w:rFonts w:cs="Calibri"/>
                <w:bCs w:val="0"/>
                <w:color w:val="000000"/>
                <w:szCs w:val="20"/>
                <w:vertAlign w:val="superscript"/>
                <w:lang w:val="en-US"/>
              </w:rPr>
              <w:t>c</w:t>
            </w:r>
          </w:p>
        </w:tc>
        <w:tc>
          <w:tcPr>
            <w:tcW w:w="699" w:type="pct"/>
            <w:vAlign w:val="center"/>
          </w:tcPr>
          <w:p w14:paraId="01D43E1A" w14:textId="77777777" w:rsidR="00194A61" w:rsidRPr="001522B1" w:rsidRDefault="00194A61" w:rsidP="00AC6F83">
            <w:pPr>
              <w:pStyle w:val="TableText0"/>
              <w:keepLines/>
              <w:jc w:val="center"/>
              <w:rPr>
                <w:vertAlign w:val="superscript"/>
                <w:lang w:val="en-US"/>
              </w:rPr>
            </w:pPr>
            <w:r w:rsidRPr="001522B1">
              <w:rPr>
                <w:rFonts w:cs="Calibri"/>
                <w:bCs w:val="0"/>
                <w:color w:val="000000"/>
                <w:szCs w:val="20"/>
                <w:lang w:val="en-US"/>
              </w:rPr>
              <w:t>4.40</w:t>
            </w:r>
            <w:r w:rsidRPr="001522B1">
              <w:rPr>
                <w:rFonts w:cs="Calibri"/>
                <w:bCs w:val="0"/>
                <w:color w:val="000000"/>
                <w:szCs w:val="20"/>
                <w:vertAlign w:val="superscript"/>
                <w:lang w:val="en-US"/>
              </w:rPr>
              <w:t>d</w:t>
            </w:r>
          </w:p>
        </w:tc>
      </w:tr>
      <w:tr w:rsidR="00194A61" w:rsidRPr="00E2771E" w14:paraId="4B8A932E" w14:textId="77777777" w:rsidTr="00AC6F83">
        <w:trPr>
          <w:cantSplit/>
          <w:jc w:val="center"/>
        </w:trPr>
        <w:tc>
          <w:tcPr>
            <w:tcW w:w="815" w:type="pct"/>
            <w:shd w:val="clear" w:color="auto" w:fill="auto"/>
            <w:vAlign w:val="center"/>
          </w:tcPr>
          <w:p w14:paraId="485D8A7D" w14:textId="77777777" w:rsidR="00194A61" w:rsidRPr="00E2771E" w:rsidRDefault="00194A61" w:rsidP="00AC6F83">
            <w:pPr>
              <w:pStyle w:val="TableText0"/>
              <w:keepLines/>
              <w:rPr>
                <w:lang w:val="en-US"/>
              </w:rPr>
            </w:pPr>
            <w:r>
              <w:rPr>
                <w:lang w:val="en-US"/>
              </w:rPr>
              <w:t>Cost/patient/cycle</w:t>
            </w:r>
          </w:p>
        </w:tc>
        <w:tc>
          <w:tcPr>
            <w:tcW w:w="697" w:type="pct"/>
            <w:shd w:val="clear" w:color="auto" w:fill="auto"/>
            <w:vAlign w:val="center"/>
          </w:tcPr>
          <w:p w14:paraId="4796BAFF" w14:textId="1B142228" w:rsidR="00194A61" w:rsidRPr="001522B1" w:rsidRDefault="00194A61" w:rsidP="00AC6F83">
            <w:pPr>
              <w:pStyle w:val="TableText0"/>
              <w:keepLines/>
              <w:jc w:val="center"/>
              <w:rPr>
                <w:lang w:val="en-US"/>
              </w:rPr>
            </w:pPr>
            <w:r w:rsidRPr="001522B1">
              <w:rPr>
                <w:rFonts w:cs="Calibri"/>
                <w:color w:val="000000"/>
                <w:szCs w:val="20"/>
                <w:lang w:val="en-US"/>
              </w:rPr>
              <w:t>$</w:t>
            </w:r>
            <w:r w:rsidR="001D6D9F" w:rsidRPr="001D6D9F">
              <w:rPr>
                <w:rFonts w:cs="Calibri"/>
                <w:color w:val="000000"/>
                <w:szCs w:val="20"/>
                <w:shd w:val="solid" w:color="000000" w:fill="000000"/>
                <w:lang w:val="en-US"/>
                <w14:textFill>
                  <w14:solidFill>
                    <w14:srgbClr w14:val="000000">
                      <w14:alpha w14:val="100000"/>
                    </w14:srgbClr>
                  </w14:solidFill>
                </w14:textFill>
              </w:rPr>
              <w:t>|</w:t>
            </w:r>
          </w:p>
        </w:tc>
        <w:tc>
          <w:tcPr>
            <w:tcW w:w="696" w:type="pct"/>
            <w:shd w:val="clear" w:color="auto" w:fill="auto"/>
            <w:vAlign w:val="center"/>
          </w:tcPr>
          <w:p w14:paraId="7C909D74" w14:textId="52CFB52D" w:rsidR="00194A61" w:rsidRPr="001522B1" w:rsidRDefault="00194A61" w:rsidP="00AC6F83">
            <w:pPr>
              <w:pStyle w:val="TableText0"/>
              <w:keepLines/>
              <w:jc w:val="center"/>
              <w:rPr>
                <w:lang w:val="en-US"/>
              </w:rPr>
            </w:pPr>
            <w:r w:rsidRPr="001522B1">
              <w:rPr>
                <w:rFonts w:cs="Calibri"/>
                <w:color w:val="000000"/>
                <w:szCs w:val="20"/>
                <w:lang w:val="en-US"/>
              </w:rPr>
              <w:t>$</w:t>
            </w:r>
            <w:r w:rsidR="001D6D9F" w:rsidRPr="001D6D9F">
              <w:rPr>
                <w:rFonts w:cs="Calibri"/>
                <w:color w:val="000000"/>
                <w:szCs w:val="20"/>
                <w:shd w:val="solid" w:color="000000" w:fill="000000"/>
                <w:lang w:val="en-US"/>
                <w14:textFill>
                  <w14:solidFill>
                    <w14:srgbClr w14:val="000000">
                      <w14:alpha w14:val="100000"/>
                    </w14:srgbClr>
                  </w14:solidFill>
                </w14:textFill>
              </w:rPr>
              <w:t>|</w:t>
            </w:r>
          </w:p>
        </w:tc>
        <w:tc>
          <w:tcPr>
            <w:tcW w:w="698" w:type="pct"/>
            <w:shd w:val="clear" w:color="auto" w:fill="auto"/>
            <w:vAlign w:val="center"/>
          </w:tcPr>
          <w:p w14:paraId="52F55CA8" w14:textId="094B3ABC" w:rsidR="00194A61" w:rsidRPr="001522B1" w:rsidRDefault="00194A61" w:rsidP="00AC6F83">
            <w:pPr>
              <w:pStyle w:val="TableText0"/>
              <w:keepLines/>
              <w:jc w:val="center"/>
              <w:rPr>
                <w:lang w:val="en-US"/>
              </w:rPr>
            </w:pPr>
            <w:r w:rsidRPr="001522B1">
              <w:rPr>
                <w:rFonts w:cs="Calibri"/>
                <w:color w:val="000000"/>
                <w:szCs w:val="20"/>
                <w:lang w:val="en-US"/>
              </w:rPr>
              <w:t>$</w:t>
            </w:r>
            <w:r w:rsidR="001D6D9F" w:rsidRPr="001D6D9F">
              <w:rPr>
                <w:rFonts w:cs="Calibri"/>
                <w:color w:val="000000"/>
                <w:szCs w:val="20"/>
                <w:shd w:val="solid" w:color="000000" w:fill="000000"/>
                <w:lang w:val="en-US"/>
                <w14:textFill>
                  <w14:solidFill>
                    <w14:srgbClr w14:val="000000">
                      <w14:alpha w14:val="100000"/>
                    </w14:srgbClr>
                  </w14:solidFill>
                </w14:textFill>
              </w:rPr>
              <w:t>|</w:t>
            </w:r>
          </w:p>
        </w:tc>
        <w:tc>
          <w:tcPr>
            <w:tcW w:w="696" w:type="pct"/>
            <w:shd w:val="clear" w:color="auto" w:fill="auto"/>
            <w:vAlign w:val="center"/>
          </w:tcPr>
          <w:p w14:paraId="29F07A11" w14:textId="77777777" w:rsidR="00194A61" w:rsidRPr="001522B1" w:rsidRDefault="00194A61" w:rsidP="00AC6F83">
            <w:pPr>
              <w:pStyle w:val="TableText0"/>
              <w:keepLines/>
              <w:jc w:val="center"/>
              <w:rPr>
                <w:lang w:val="en-US"/>
              </w:rPr>
            </w:pPr>
            <w:r w:rsidRPr="001522B1">
              <w:rPr>
                <w:rFonts w:cs="Calibri"/>
                <w:color w:val="000000"/>
                <w:szCs w:val="20"/>
                <w:lang w:val="en-US"/>
              </w:rPr>
              <w:t>$5,</w:t>
            </w:r>
            <w:r>
              <w:rPr>
                <w:rFonts w:cs="Calibri"/>
                <w:color w:val="000000"/>
                <w:szCs w:val="20"/>
                <w:lang w:val="en-US"/>
              </w:rPr>
              <w:t>184</w:t>
            </w:r>
          </w:p>
        </w:tc>
        <w:tc>
          <w:tcPr>
            <w:tcW w:w="699" w:type="pct"/>
            <w:shd w:val="clear" w:color="auto" w:fill="auto"/>
            <w:vAlign w:val="center"/>
          </w:tcPr>
          <w:p w14:paraId="09879A46" w14:textId="77777777" w:rsidR="00194A61" w:rsidRPr="00857A5D" w:rsidRDefault="00194A61" w:rsidP="00AC6F83">
            <w:pPr>
              <w:pStyle w:val="TableText0"/>
              <w:keepLines/>
              <w:jc w:val="center"/>
              <w:rPr>
                <w:vertAlign w:val="superscript"/>
                <w:lang w:val="en-US"/>
              </w:rPr>
            </w:pPr>
            <w:r w:rsidRPr="001522B1">
              <w:rPr>
                <w:rFonts w:cs="Calibri"/>
                <w:color w:val="000000"/>
                <w:szCs w:val="20"/>
                <w:lang w:val="en-US"/>
              </w:rPr>
              <w:t>$5,</w:t>
            </w:r>
            <w:r>
              <w:rPr>
                <w:rFonts w:cs="Calibri"/>
                <w:color w:val="000000"/>
                <w:szCs w:val="20"/>
                <w:lang w:val="en-US"/>
              </w:rPr>
              <w:t>184</w:t>
            </w:r>
            <w:r>
              <w:rPr>
                <w:rFonts w:cs="Calibri"/>
                <w:color w:val="000000"/>
                <w:szCs w:val="20"/>
                <w:vertAlign w:val="superscript"/>
                <w:lang w:val="en-US"/>
              </w:rPr>
              <w:t>j</w:t>
            </w:r>
          </w:p>
        </w:tc>
        <w:tc>
          <w:tcPr>
            <w:tcW w:w="699" w:type="pct"/>
            <w:vAlign w:val="center"/>
          </w:tcPr>
          <w:p w14:paraId="32361678" w14:textId="77777777" w:rsidR="00194A61" w:rsidRPr="00CD55C3" w:rsidRDefault="00194A61" w:rsidP="00AC6F83">
            <w:pPr>
              <w:pStyle w:val="TableText0"/>
              <w:keepLines/>
              <w:jc w:val="center"/>
              <w:rPr>
                <w:lang w:val="en-US"/>
              </w:rPr>
            </w:pPr>
            <w:r w:rsidRPr="00CD55C3">
              <w:rPr>
                <w:lang w:val="en-US"/>
              </w:rPr>
              <w:t>$4,695</w:t>
            </w:r>
            <w:r w:rsidRPr="00CD55C3">
              <w:rPr>
                <w:vertAlign w:val="superscript"/>
                <w:lang w:val="en-US"/>
              </w:rPr>
              <w:t>g,j</w:t>
            </w:r>
          </w:p>
          <w:p w14:paraId="6008C56B" w14:textId="77777777" w:rsidR="00194A61" w:rsidRPr="00CD55C3" w:rsidRDefault="00194A61" w:rsidP="00AC6F83">
            <w:pPr>
              <w:pStyle w:val="TableText0"/>
              <w:keepLines/>
              <w:jc w:val="center"/>
              <w:rPr>
                <w:vertAlign w:val="superscript"/>
                <w:lang w:val="en-US"/>
              </w:rPr>
            </w:pPr>
            <w:r w:rsidRPr="00CD55C3">
              <w:rPr>
                <w:rFonts w:cs="Calibri"/>
                <w:color w:val="000000"/>
                <w:szCs w:val="20"/>
                <w:lang w:val="en-US"/>
              </w:rPr>
              <w:t>($4,982)</w:t>
            </w:r>
            <w:proofErr w:type="spellStart"/>
            <w:r w:rsidRPr="00CD55C3">
              <w:rPr>
                <w:rFonts w:cs="Calibri"/>
                <w:color w:val="000000"/>
                <w:szCs w:val="20"/>
                <w:vertAlign w:val="superscript"/>
                <w:lang w:val="en-US"/>
              </w:rPr>
              <w:t>i</w:t>
            </w:r>
            <w:proofErr w:type="spellEnd"/>
          </w:p>
        </w:tc>
      </w:tr>
      <w:tr w:rsidR="00194A61" w:rsidRPr="00E2771E" w14:paraId="615A5C4A" w14:textId="77777777" w:rsidTr="00AC6F83">
        <w:trPr>
          <w:cantSplit/>
          <w:jc w:val="center"/>
        </w:trPr>
        <w:tc>
          <w:tcPr>
            <w:tcW w:w="815" w:type="pct"/>
            <w:shd w:val="clear" w:color="auto" w:fill="auto"/>
            <w:vAlign w:val="center"/>
          </w:tcPr>
          <w:p w14:paraId="1E3D2879" w14:textId="77777777" w:rsidR="00194A61" w:rsidRPr="00E2771E" w:rsidRDefault="00194A61" w:rsidP="00AC6F83">
            <w:pPr>
              <w:pStyle w:val="TableText0"/>
              <w:keepLines/>
              <w:rPr>
                <w:lang w:val="en-US"/>
              </w:rPr>
            </w:pPr>
            <w:r>
              <w:rPr>
                <w:lang w:val="en-US"/>
              </w:rPr>
              <w:t>Cost/patient/ /course</w:t>
            </w:r>
          </w:p>
        </w:tc>
        <w:tc>
          <w:tcPr>
            <w:tcW w:w="697" w:type="pct"/>
            <w:shd w:val="clear" w:color="auto" w:fill="auto"/>
            <w:vAlign w:val="center"/>
          </w:tcPr>
          <w:p w14:paraId="2B467EDA" w14:textId="4F3AE4ED" w:rsidR="00194A61" w:rsidRPr="001522B1" w:rsidRDefault="00194A61" w:rsidP="00AC6F83">
            <w:pPr>
              <w:pStyle w:val="TableText0"/>
              <w:keepLines/>
              <w:jc w:val="center"/>
              <w:rPr>
                <w:lang w:val="en-US"/>
              </w:rPr>
            </w:pPr>
            <w:r w:rsidRPr="001522B1">
              <w:rPr>
                <w:rFonts w:cs="Calibri"/>
                <w:color w:val="000000"/>
                <w:szCs w:val="20"/>
                <w:lang w:val="en-US"/>
              </w:rPr>
              <w:t>$</w:t>
            </w:r>
            <w:r w:rsidR="001D6D9F" w:rsidRPr="001D6D9F">
              <w:rPr>
                <w:rFonts w:cs="Calibri"/>
                <w:color w:val="000000"/>
                <w:szCs w:val="20"/>
                <w:shd w:val="solid" w:color="000000" w:fill="000000"/>
                <w:lang w:val="en-US"/>
                <w14:textFill>
                  <w14:solidFill>
                    <w14:srgbClr w14:val="000000">
                      <w14:alpha w14:val="100000"/>
                    </w14:srgbClr>
                  </w14:solidFill>
                </w14:textFill>
              </w:rPr>
              <w:t>|</w:t>
            </w:r>
          </w:p>
        </w:tc>
        <w:tc>
          <w:tcPr>
            <w:tcW w:w="696" w:type="pct"/>
            <w:shd w:val="clear" w:color="auto" w:fill="auto"/>
            <w:vAlign w:val="center"/>
          </w:tcPr>
          <w:p w14:paraId="4A7D4351" w14:textId="05EF9455" w:rsidR="00194A61" w:rsidRPr="001522B1" w:rsidRDefault="00194A61" w:rsidP="00AC6F83">
            <w:pPr>
              <w:pStyle w:val="TableText0"/>
              <w:keepLines/>
              <w:jc w:val="center"/>
              <w:rPr>
                <w:lang w:val="en-US"/>
              </w:rPr>
            </w:pPr>
            <w:r w:rsidRPr="001522B1">
              <w:rPr>
                <w:rFonts w:cs="Calibri"/>
                <w:color w:val="000000"/>
                <w:szCs w:val="20"/>
              </w:rPr>
              <w:t>$</w:t>
            </w:r>
            <w:r w:rsidR="001D6D9F" w:rsidRPr="001D6D9F">
              <w:rPr>
                <w:rFonts w:cs="Calibri"/>
                <w:color w:val="000000"/>
                <w:szCs w:val="20"/>
                <w:shd w:val="solid" w:color="000000" w:fill="000000"/>
                <w14:textFill>
                  <w14:solidFill>
                    <w14:srgbClr w14:val="000000">
                      <w14:alpha w14:val="100000"/>
                    </w14:srgbClr>
                  </w14:solidFill>
                </w14:textFill>
              </w:rPr>
              <w:t>|</w:t>
            </w:r>
          </w:p>
        </w:tc>
        <w:tc>
          <w:tcPr>
            <w:tcW w:w="698" w:type="pct"/>
            <w:shd w:val="clear" w:color="auto" w:fill="auto"/>
            <w:vAlign w:val="center"/>
          </w:tcPr>
          <w:p w14:paraId="428C5743" w14:textId="20B66422" w:rsidR="00194A61" w:rsidRPr="001522B1" w:rsidRDefault="00194A61" w:rsidP="00AC6F83">
            <w:pPr>
              <w:pStyle w:val="TableText0"/>
              <w:keepLines/>
              <w:jc w:val="center"/>
              <w:rPr>
                <w:lang w:val="en-US"/>
              </w:rPr>
            </w:pPr>
            <w:r w:rsidRPr="001522B1">
              <w:rPr>
                <w:rFonts w:cs="Calibri"/>
                <w:color w:val="000000"/>
                <w:szCs w:val="20"/>
                <w:lang w:val="en-US"/>
              </w:rPr>
              <w:t>$</w:t>
            </w:r>
            <w:r w:rsidR="001D6D9F" w:rsidRPr="001D6D9F">
              <w:rPr>
                <w:rFonts w:cs="Calibri"/>
                <w:color w:val="000000"/>
                <w:szCs w:val="20"/>
                <w:shd w:val="solid" w:color="000000" w:fill="000000"/>
                <w:lang w:val="en-US"/>
                <w14:textFill>
                  <w14:solidFill>
                    <w14:srgbClr w14:val="000000">
                      <w14:alpha w14:val="100000"/>
                    </w14:srgbClr>
                  </w14:solidFill>
                </w14:textFill>
              </w:rPr>
              <w:t>|</w:t>
            </w:r>
          </w:p>
        </w:tc>
        <w:tc>
          <w:tcPr>
            <w:tcW w:w="696" w:type="pct"/>
            <w:shd w:val="clear" w:color="auto" w:fill="auto"/>
            <w:vAlign w:val="center"/>
          </w:tcPr>
          <w:p w14:paraId="1CFC8134" w14:textId="77777777" w:rsidR="00194A61" w:rsidRPr="001522B1" w:rsidRDefault="00194A61" w:rsidP="00AC6F83">
            <w:pPr>
              <w:pStyle w:val="TableText0"/>
              <w:keepLines/>
              <w:jc w:val="center"/>
              <w:rPr>
                <w:lang w:val="en-US"/>
              </w:rPr>
            </w:pPr>
            <w:r w:rsidRPr="001522B1">
              <w:rPr>
                <w:rFonts w:cs="Calibri"/>
                <w:color w:val="000000"/>
                <w:szCs w:val="20"/>
                <w:lang w:val="en-US"/>
              </w:rPr>
              <w:t>$16,894</w:t>
            </w:r>
          </w:p>
        </w:tc>
        <w:tc>
          <w:tcPr>
            <w:tcW w:w="699" w:type="pct"/>
            <w:shd w:val="clear" w:color="auto" w:fill="auto"/>
            <w:vAlign w:val="center"/>
          </w:tcPr>
          <w:p w14:paraId="1DF575E5" w14:textId="77777777" w:rsidR="00194A61" w:rsidRPr="001522B1" w:rsidRDefault="00194A61" w:rsidP="00AC6F83">
            <w:pPr>
              <w:pStyle w:val="TableText0"/>
              <w:keepLines/>
              <w:jc w:val="center"/>
              <w:rPr>
                <w:lang w:val="en-US"/>
              </w:rPr>
            </w:pPr>
            <w:r w:rsidRPr="001522B1">
              <w:rPr>
                <w:rFonts w:cs="Calibri"/>
                <w:color w:val="000000"/>
                <w:szCs w:val="20"/>
              </w:rPr>
              <w:t>$22,841</w:t>
            </w:r>
          </w:p>
        </w:tc>
        <w:tc>
          <w:tcPr>
            <w:tcW w:w="699" w:type="pct"/>
            <w:vAlign w:val="center"/>
          </w:tcPr>
          <w:p w14:paraId="6CB88909" w14:textId="77777777" w:rsidR="00194A61" w:rsidRPr="00CD55C3" w:rsidRDefault="00194A61" w:rsidP="00AC6F83">
            <w:pPr>
              <w:pStyle w:val="TableText0"/>
              <w:keepLines/>
              <w:jc w:val="center"/>
              <w:rPr>
                <w:rFonts w:cs="Calibri"/>
                <w:color w:val="000000"/>
                <w:szCs w:val="20"/>
                <w:lang w:val="en-US"/>
              </w:rPr>
            </w:pPr>
            <w:r w:rsidRPr="00CD55C3">
              <w:rPr>
                <w:rFonts w:cs="Calibri"/>
                <w:color w:val="000000"/>
                <w:szCs w:val="20"/>
                <w:lang w:val="en-US"/>
              </w:rPr>
              <w:t>$20,656</w:t>
            </w:r>
            <w:r w:rsidRPr="00CD55C3">
              <w:rPr>
                <w:rFonts w:cs="Calibri"/>
                <w:color w:val="000000"/>
                <w:szCs w:val="20"/>
                <w:vertAlign w:val="superscript"/>
                <w:lang w:val="en-US"/>
              </w:rPr>
              <w:t xml:space="preserve"> f</w:t>
            </w:r>
          </w:p>
          <w:p w14:paraId="7E6E1CF8" w14:textId="366BD5A8" w:rsidR="00194A61" w:rsidRPr="00CD55C3" w:rsidRDefault="00194A61" w:rsidP="00A613D6">
            <w:pPr>
              <w:pStyle w:val="TableText0"/>
              <w:keepLines/>
              <w:jc w:val="center"/>
              <w:rPr>
                <w:vertAlign w:val="superscript"/>
                <w:lang w:val="en-US"/>
              </w:rPr>
            </w:pPr>
            <w:r w:rsidRPr="00CD55C3">
              <w:rPr>
                <w:rFonts w:cs="Calibri"/>
                <w:color w:val="000000"/>
                <w:szCs w:val="20"/>
                <w:lang w:val="en-US"/>
              </w:rPr>
              <w:t>($21,922)</w:t>
            </w:r>
            <w:proofErr w:type="spellStart"/>
            <w:r w:rsidRPr="00CD55C3">
              <w:rPr>
                <w:rFonts w:cs="Calibri"/>
                <w:color w:val="000000"/>
                <w:szCs w:val="20"/>
                <w:vertAlign w:val="superscript"/>
                <w:lang w:val="en-US"/>
              </w:rPr>
              <w:t>i</w:t>
            </w:r>
            <w:proofErr w:type="spellEnd"/>
          </w:p>
        </w:tc>
      </w:tr>
    </w:tbl>
    <w:p w14:paraId="62936902" w14:textId="77777777" w:rsidR="00194A61" w:rsidRDefault="00194A61" w:rsidP="00194A61">
      <w:pPr>
        <w:pStyle w:val="FooterTableFigure"/>
        <w:keepNext/>
        <w:keepLines/>
      </w:pPr>
      <w:r w:rsidRPr="00436C5F">
        <w:t xml:space="preserve">Source: </w:t>
      </w:r>
      <w:r>
        <w:t xml:space="preserve">Compiled based on </w:t>
      </w:r>
      <w:r w:rsidRPr="00FA2CE5">
        <w:t>‘</w:t>
      </w:r>
      <w:r w:rsidRPr="00F76AA0">
        <w:t>Section 3 CE Model Workbook – Takeda Australia – Mobocertinib</w:t>
      </w:r>
      <w:r>
        <w:t>’ and ‘Section 4 UCM Workbook – Takeda – Australia – Mobocertinib.xlsx’</w:t>
      </w:r>
    </w:p>
    <w:p w14:paraId="4C3061AB" w14:textId="77777777" w:rsidR="00194A61" w:rsidRDefault="00194A61" w:rsidP="00194A61">
      <w:pPr>
        <w:pStyle w:val="FooterTableFigure"/>
        <w:keepNext/>
        <w:keepLines/>
      </w:pPr>
      <w:r w:rsidRPr="00BA664F">
        <w:t>NR=not reported in the submission</w:t>
      </w:r>
    </w:p>
    <w:p w14:paraId="771FC532" w14:textId="77777777" w:rsidR="00194A61" w:rsidRDefault="00194A61" w:rsidP="00194A61">
      <w:pPr>
        <w:pStyle w:val="FooterTableFigure"/>
        <w:keepNext/>
        <w:keepLines/>
      </w:pPr>
      <w:r w:rsidRPr="001522B1">
        <w:rPr>
          <w:vertAlign w:val="superscript"/>
        </w:rPr>
        <w:t xml:space="preserve">a </w:t>
      </w:r>
      <w:r>
        <w:t>Mean relative dose intensity in the pooled prior platinum cohort in Study 101 (N=114), sourced from Section 4.3.1 of ‘</w:t>
      </w:r>
      <w:r w:rsidRPr="00A16851">
        <w:t>2.3 AP32788-15-101 CSR Addendum 2</w:t>
      </w:r>
      <w:r>
        <w:t>’</w:t>
      </w:r>
    </w:p>
    <w:p w14:paraId="18DCF478" w14:textId="77777777" w:rsidR="00194A61" w:rsidRDefault="00194A61" w:rsidP="00194A61">
      <w:pPr>
        <w:pStyle w:val="FooterTableFigure"/>
        <w:keepNext/>
        <w:keepLines/>
      </w:pPr>
      <w:r w:rsidRPr="001522B1">
        <w:rPr>
          <w:vertAlign w:val="superscript"/>
        </w:rPr>
        <w:t xml:space="preserve">b </w:t>
      </w:r>
      <w:r>
        <w:t>The submission provided median duration (7.8 months) only. Sourced from Section 4.3.1 of ‘</w:t>
      </w:r>
      <w:r w:rsidRPr="00A16851">
        <w:t>2.3 AP32788-15-101 CSR Addendum 2</w:t>
      </w:r>
      <w:r>
        <w:t>’</w:t>
      </w:r>
    </w:p>
    <w:p w14:paraId="6F9B693F" w14:textId="77777777" w:rsidR="00194A61" w:rsidRDefault="00194A61" w:rsidP="00194A61">
      <w:pPr>
        <w:pStyle w:val="FooterTableFigure"/>
        <w:keepNext/>
        <w:keepLines/>
      </w:pPr>
      <w:r w:rsidRPr="001522B1">
        <w:rPr>
          <w:vertAlign w:val="superscript"/>
        </w:rPr>
        <w:t xml:space="preserve">c </w:t>
      </w:r>
      <w:r>
        <w:t xml:space="preserve">Sourced from </w:t>
      </w:r>
      <w:r w:rsidRPr="00FA2CE5">
        <w:t>‘</w:t>
      </w:r>
      <w:r w:rsidRPr="00F76AA0">
        <w:t>Section 3 CE Model Workbook – Takeda Australia – Mobocertinib</w:t>
      </w:r>
      <w:r>
        <w:t>’</w:t>
      </w:r>
    </w:p>
    <w:p w14:paraId="382184EE" w14:textId="77777777" w:rsidR="00194A61" w:rsidRDefault="00194A61" w:rsidP="00194A61">
      <w:pPr>
        <w:pStyle w:val="FooterTableFigure"/>
        <w:keepNext/>
        <w:keepLines/>
      </w:pPr>
      <w:r w:rsidRPr="001522B1">
        <w:rPr>
          <w:vertAlign w:val="superscript"/>
        </w:rPr>
        <w:t xml:space="preserve">d </w:t>
      </w:r>
      <w:r>
        <w:t>Sourced from ‘Section 4 UCM Workbook – Takeda – Australia – Mobocertinib.xlsx’</w:t>
      </w:r>
    </w:p>
    <w:p w14:paraId="78F57FCA" w14:textId="77777777" w:rsidR="00194A61" w:rsidRDefault="00194A61" w:rsidP="00194A61">
      <w:pPr>
        <w:pStyle w:val="FooterTableFigure"/>
        <w:keepNext/>
        <w:keepLines/>
      </w:pPr>
      <w:r w:rsidRPr="001522B1">
        <w:rPr>
          <w:vertAlign w:val="superscript"/>
        </w:rPr>
        <w:t xml:space="preserve">e </w:t>
      </w:r>
      <w:r>
        <w:t>Submission assumed median PFS (3 months) to be the median duration of treatment. Sourced from Table 6 of ‘</w:t>
      </w:r>
      <w:r w:rsidRPr="006002C0">
        <w:t>2.6 TAK-788-5008 report</w:t>
      </w:r>
      <w:r>
        <w:t>’</w:t>
      </w:r>
    </w:p>
    <w:p w14:paraId="7D3466B5" w14:textId="26DE7404" w:rsidR="00194A61" w:rsidRDefault="00194A61" w:rsidP="00194A61">
      <w:pPr>
        <w:pStyle w:val="FooterTableFigure"/>
        <w:keepNext/>
        <w:keepLines/>
      </w:pPr>
      <w:r w:rsidRPr="001522B1">
        <w:rPr>
          <w:vertAlign w:val="superscript"/>
        </w:rPr>
        <w:t>f</w:t>
      </w:r>
      <w:r>
        <w:t xml:space="preserve"> </w:t>
      </w:r>
      <w:bookmarkStart w:id="71" w:name="_Toc22897647"/>
      <w:r>
        <w:t>Calculated by changing number of patients on treatment in one of the years to ‘1’ and other years to ‘0’. Cost after correcting the calculation and referencing errors identified during the evaluation.</w:t>
      </w:r>
    </w:p>
    <w:p w14:paraId="5E55378C" w14:textId="77777777" w:rsidR="00194A61" w:rsidRDefault="00194A61" w:rsidP="00194A61">
      <w:pPr>
        <w:pStyle w:val="FooterTableFigure"/>
        <w:keepNext/>
        <w:keepLines/>
      </w:pPr>
      <w:r w:rsidRPr="001522B1">
        <w:rPr>
          <w:vertAlign w:val="superscript"/>
        </w:rPr>
        <w:t xml:space="preserve">g </w:t>
      </w:r>
      <w:r>
        <w:t xml:space="preserve">Calculated by dividing cost/patient/course with mean duration. </w:t>
      </w:r>
    </w:p>
    <w:p w14:paraId="0640D133" w14:textId="77777777" w:rsidR="00194A61" w:rsidRDefault="00194A61" w:rsidP="00194A61">
      <w:pPr>
        <w:pStyle w:val="FooterTableFigure"/>
        <w:keepNext/>
        <w:keepLines/>
      </w:pPr>
      <w:r>
        <w:rPr>
          <w:vertAlign w:val="superscript"/>
        </w:rPr>
        <w:t xml:space="preserve">h </w:t>
      </w:r>
      <w:r>
        <w:t>The economic evaluation and the financial analysis used the mean relative dose intensity for mobocertinib in Part 3 of Study 101 (N=96). The submission assumed the same relative dose intensity for the comparator treatments.</w:t>
      </w:r>
    </w:p>
    <w:p w14:paraId="7FA6551C" w14:textId="77777777" w:rsidR="00194A61" w:rsidRDefault="00194A61" w:rsidP="00194A61">
      <w:pPr>
        <w:pStyle w:val="FooterTableFigure"/>
        <w:keepNext/>
        <w:keepLines/>
      </w:pPr>
      <w:r>
        <w:rPr>
          <w:vertAlign w:val="superscript"/>
        </w:rPr>
        <w:t>i</w:t>
      </w:r>
      <w:r>
        <w:t xml:space="preserve"> </w:t>
      </w:r>
      <w:r w:rsidRPr="00CD55C3">
        <w:rPr>
          <w:rFonts w:eastAsiaTheme="minorHAnsi"/>
          <w:iCs/>
          <w:lang w:eastAsia="en-US"/>
        </w:rPr>
        <w:t>Revised results after correcting the submission’s referencing errors and the errors in estimating the patient split for the PBS items associated with combination therapies and the PBS items for both initial and continuing treatment phases</w:t>
      </w:r>
      <w:r w:rsidRPr="009472C4">
        <w:rPr>
          <w:rFonts w:eastAsiaTheme="minorHAnsi"/>
          <w:i/>
          <w:lang w:eastAsia="en-US"/>
        </w:rPr>
        <w:t>.</w:t>
      </w:r>
      <w:r w:rsidRPr="00E24EEC">
        <w:t xml:space="preserve"> </w:t>
      </w:r>
    </w:p>
    <w:p w14:paraId="2B1C0D3B" w14:textId="77777777" w:rsidR="00194A61" w:rsidRPr="000A10A8" w:rsidRDefault="00194A61" w:rsidP="00194A61">
      <w:pPr>
        <w:pStyle w:val="FooterTableFigure"/>
        <w:keepNext/>
        <w:keepLines/>
        <w:rPr>
          <w:rFonts w:eastAsiaTheme="minorHAnsi"/>
          <w:i/>
          <w:lang w:eastAsia="en-US"/>
        </w:rPr>
      </w:pPr>
      <w:r>
        <w:rPr>
          <w:vertAlign w:val="superscript"/>
        </w:rPr>
        <w:t xml:space="preserve">j </w:t>
      </w:r>
      <w:r>
        <w:t>Cost/patient/cycle in the financial analysis is different from that in the economic model due to differences in the estimated distribution of treatments included. Proportion of immunotherapies was 25.2% and 28.6%, proportion of chemotherapies was 29% and 26% in financial estimates and economic model, respectively.</w:t>
      </w:r>
    </w:p>
    <w:p w14:paraId="6E346639" w14:textId="77777777" w:rsidR="00194A61" w:rsidRPr="00C9624D" w:rsidRDefault="00194A61" w:rsidP="00194A61">
      <w:pPr>
        <w:pStyle w:val="4-SubsectionHeading"/>
        <w:keepNext w:val="0"/>
      </w:pPr>
      <w:bookmarkStart w:id="72" w:name="_Toc113895848"/>
      <w:r w:rsidRPr="00C9624D">
        <w:t>Estimated PBS usage &amp; financial implications</w:t>
      </w:r>
      <w:bookmarkEnd w:id="71"/>
      <w:bookmarkEnd w:id="72"/>
    </w:p>
    <w:p w14:paraId="55E20336" w14:textId="3DAD6C88" w:rsidR="00563070" w:rsidRPr="00550373" w:rsidRDefault="00563070" w:rsidP="00563070">
      <w:pPr>
        <w:pStyle w:val="3-BodyText"/>
      </w:pPr>
      <w:bookmarkStart w:id="73" w:name="_Toc22897648"/>
      <w:r w:rsidRPr="00550373">
        <w:t xml:space="preserve">This submission </w:t>
      </w:r>
      <w:r>
        <w:t>was</w:t>
      </w:r>
      <w:r w:rsidRPr="00550373">
        <w:t xml:space="preserve"> considered by DUSC. </w:t>
      </w:r>
    </w:p>
    <w:p w14:paraId="5AA224ED" w14:textId="41E468AA" w:rsidR="00563070" w:rsidRPr="001A7BD5" w:rsidRDefault="00563070" w:rsidP="00563070">
      <w:pPr>
        <w:pStyle w:val="3-BodyText"/>
      </w:pPr>
      <w:r w:rsidRPr="00550373">
        <w:t xml:space="preserve">The submission used an epidemiological approach to estimate the number of patients eligible for treatment with mobocertinib. A summary of the data sources and parameter values used to estimate the utilisation </w:t>
      </w:r>
      <w:r>
        <w:t xml:space="preserve">and financial implications associated with the listing of mobocertinib is provided in the </w:t>
      </w:r>
      <w:r w:rsidRPr="001A7BD5">
        <w:fldChar w:fldCharType="begin"/>
      </w:r>
      <w:r w:rsidRPr="001A7BD5">
        <w:instrText xml:space="preserve"> REF _Ref104805262 \h  \* MERGEFORMAT </w:instrText>
      </w:r>
      <w:r w:rsidRPr="001A7BD5">
        <w:fldChar w:fldCharType="separate"/>
      </w:r>
      <w:r w:rsidR="001635D4">
        <w:t>Table 18</w:t>
      </w:r>
      <w:r w:rsidRPr="001A7BD5">
        <w:fldChar w:fldCharType="end"/>
      </w:r>
      <w:r>
        <w:t>.</w:t>
      </w:r>
      <w:r w:rsidRPr="001A7BD5">
        <w:t xml:space="preserve"> </w:t>
      </w:r>
    </w:p>
    <w:p w14:paraId="196F9109" w14:textId="53ED22C7" w:rsidR="00563070" w:rsidRDefault="00563070" w:rsidP="00820080">
      <w:pPr>
        <w:pStyle w:val="Caption"/>
        <w:keepNext w:val="0"/>
        <w:keepLines w:val="0"/>
        <w:rPr>
          <w:rStyle w:val="CommentReference"/>
          <w:b/>
          <w:szCs w:val="24"/>
        </w:rPr>
      </w:pPr>
      <w:bookmarkStart w:id="74" w:name="_Ref104805262"/>
      <w:r>
        <w:t xml:space="preserve">Table </w:t>
      </w:r>
      <w:r w:rsidR="001635D4">
        <w:fldChar w:fldCharType="begin"/>
      </w:r>
      <w:r w:rsidR="001635D4">
        <w:instrText xml:space="preserve"> SEQ Table \* ARABIC </w:instrText>
      </w:r>
      <w:r w:rsidR="001635D4">
        <w:fldChar w:fldCharType="separate"/>
      </w:r>
      <w:r w:rsidR="001635D4">
        <w:rPr>
          <w:noProof/>
        </w:rPr>
        <w:t>18</w:t>
      </w:r>
      <w:r w:rsidR="001635D4">
        <w:rPr>
          <w:noProof/>
        </w:rPr>
        <w:fldChar w:fldCharType="end"/>
      </w:r>
      <w:bookmarkEnd w:id="74"/>
      <w:r>
        <w:t>:</w:t>
      </w:r>
      <w:r w:rsidRPr="007925DF">
        <w:rPr>
          <w:rStyle w:val="CommentReference"/>
          <w:b/>
          <w:szCs w:val="24"/>
        </w:rPr>
        <w:t xml:space="preserve"> Key inputs for financial estimates</w:t>
      </w:r>
    </w:p>
    <w:tbl>
      <w:tblPr>
        <w:tblStyle w:val="TableGrid"/>
        <w:tblW w:w="5000" w:type="pct"/>
        <w:tblLook w:val="04A0" w:firstRow="1" w:lastRow="0" w:firstColumn="1" w:lastColumn="0" w:noHBand="0" w:noVBand="1"/>
      </w:tblPr>
      <w:tblGrid>
        <w:gridCol w:w="1980"/>
        <w:gridCol w:w="2976"/>
        <w:gridCol w:w="4061"/>
      </w:tblGrid>
      <w:tr w:rsidR="00563070" w:rsidRPr="004D1B42" w14:paraId="2FE505C5" w14:textId="77777777" w:rsidTr="00820080">
        <w:trPr>
          <w:tblHeader/>
        </w:trPr>
        <w:tc>
          <w:tcPr>
            <w:tcW w:w="1098" w:type="pct"/>
            <w:tcBorders>
              <w:bottom w:val="single" w:sz="4" w:space="0" w:color="auto"/>
            </w:tcBorders>
            <w:shd w:val="clear" w:color="auto" w:fill="auto"/>
          </w:tcPr>
          <w:p w14:paraId="681BC030" w14:textId="77777777" w:rsidR="00563070" w:rsidRPr="00D71D4B" w:rsidRDefault="00563070" w:rsidP="00820080">
            <w:pPr>
              <w:pStyle w:val="Tabletext"/>
              <w:rPr>
                <w:b/>
                <w:bCs/>
              </w:rPr>
            </w:pPr>
            <w:r>
              <w:rPr>
                <w:b/>
                <w:bCs/>
              </w:rPr>
              <w:t>Data</w:t>
            </w:r>
          </w:p>
        </w:tc>
        <w:tc>
          <w:tcPr>
            <w:tcW w:w="1650" w:type="pct"/>
            <w:tcBorders>
              <w:bottom w:val="single" w:sz="4" w:space="0" w:color="auto"/>
            </w:tcBorders>
            <w:shd w:val="clear" w:color="auto" w:fill="auto"/>
          </w:tcPr>
          <w:p w14:paraId="0BA8DAF1" w14:textId="77777777" w:rsidR="00563070" w:rsidRPr="00D71D4B" w:rsidRDefault="00563070" w:rsidP="00820080">
            <w:pPr>
              <w:pStyle w:val="Tabletext"/>
              <w:rPr>
                <w:b/>
                <w:bCs/>
              </w:rPr>
            </w:pPr>
            <w:r>
              <w:rPr>
                <w:b/>
                <w:bCs/>
              </w:rPr>
              <w:t>Value and data source</w:t>
            </w:r>
          </w:p>
        </w:tc>
        <w:tc>
          <w:tcPr>
            <w:tcW w:w="2252" w:type="pct"/>
            <w:tcBorders>
              <w:bottom w:val="single" w:sz="4" w:space="0" w:color="auto"/>
            </w:tcBorders>
            <w:shd w:val="clear" w:color="auto" w:fill="auto"/>
          </w:tcPr>
          <w:p w14:paraId="67E3F96F" w14:textId="01F6785A" w:rsidR="00563070" w:rsidRPr="00D71D4B" w:rsidRDefault="00563070" w:rsidP="00820080">
            <w:pPr>
              <w:pStyle w:val="Tabletext"/>
              <w:rPr>
                <w:b/>
                <w:bCs/>
              </w:rPr>
            </w:pPr>
            <w:r>
              <w:rPr>
                <w:b/>
                <w:bCs/>
              </w:rPr>
              <w:t>Comment</w:t>
            </w:r>
            <w:r w:rsidR="00D752A4">
              <w:rPr>
                <w:b/>
                <w:bCs/>
              </w:rPr>
              <w:t xml:space="preserve"> from evaluation</w:t>
            </w:r>
          </w:p>
        </w:tc>
      </w:tr>
      <w:tr w:rsidR="00563070" w:rsidRPr="004D1B42" w14:paraId="2C9BA8C9" w14:textId="77777777" w:rsidTr="00820080">
        <w:tc>
          <w:tcPr>
            <w:tcW w:w="5000" w:type="pct"/>
            <w:gridSpan w:val="3"/>
            <w:tcBorders>
              <w:bottom w:val="single" w:sz="4" w:space="0" w:color="auto"/>
            </w:tcBorders>
            <w:shd w:val="clear" w:color="auto" w:fill="auto"/>
          </w:tcPr>
          <w:p w14:paraId="001B265F" w14:textId="77777777" w:rsidR="00563070" w:rsidRPr="00D53517" w:rsidRDefault="00563070" w:rsidP="00820080">
            <w:pPr>
              <w:pStyle w:val="Tabletext"/>
              <w:rPr>
                <w:b/>
                <w:bCs/>
              </w:rPr>
            </w:pPr>
            <w:r w:rsidRPr="00D53517">
              <w:rPr>
                <w:b/>
              </w:rPr>
              <w:t>Eligible population</w:t>
            </w:r>
          </w:p>
        </w:tc>
      </w:tr>
      <w:tr w:rsidR="00563070" w:rsidRPr="004D1B42" w14:paraId="5836D4A2" w14:textId="77777777" w:rsidTr="00820080">
        <w:tc>
          <w:tcPr>
            <w:tcW w:w="1098" w:type="pct"/>
          </w:tcPr>
          <w:p w14:paraId="6AA6E92E" w14:textId="77777777" w:rsidR="00563070" w:rsidRPr="004D1B42" w:rsidRDefault="00563070" w:rsidP="00820080">
            <w:pPr>
              <w:pStyle w:val="Tabletext"/>
            </w:pPr>
            <w:r>
              <w:t>Incidence of Lung cancer</w:t>
            </w:r>
          </w:p>
        </w:tc>
        <w:tc>
          <w:tcPr>
            <w:tcW w:w="1650" w:type="pct"/>
          </w:tcPr>
          <w:p w14:paraId="204C80D9" w14:textId="60857620" w:rsidR="00563070" w:rsidRPr="004D1B42" w:rsidRDefault="00563070" w:rsidP="00820080">
            <w:pPr>
              <w:pStyle w:val="Tabletext"/>
            </w:pPr>
            <w:r>
              <w:t xml:space="preserve">14,413 in Year 1 of listing </w:t>
            </w:r>
            <w:r w:rsidRPr="0059695A">
              <w:t>(20</w:t>
            </w:r>
            <w:r w:rsidR="00EF3D53" w:rsidRPr="0059695A">
              <w:t>2</w:t>
            </w:r>
            <w:r w:rsidRPr="0059695A">
              <w:t>3), increasing to 16,038 in Year 6 (20</w:t>
            </w:r>
            <w:r w:rsidR="00EF3D53" w:rsidRPr="0059695A">
              <w:t>2</w:t>
            </w:r>
            <w:r w:rsidRPr="0059695A">
              <w:t>8);</w:t>
            </w:r>
            <w:r>
              <w:t xml:space="preserve"> AIHW - </w:t>
            </w:r>
            <w:r w:rsidRPr="00FF2D13">
              <w:t>Cancer report 2021</w:t>
            </w:r>
            <w:r>
              <w:rPr>
                <w:vertAlign w:val="superscript"/>
              </w:rPr>
              <w:t>a</w:t>
            </w:r>
            <w:r>
              <w:t xml:space="preserve"> (for incidence data in 2021: 13,810) and Osimertinib PSD, July 2020 PBAC </w:t>
            </w:r>
            <w:r>
              <w:lastRenderedPageBreak/>
              <w:t xml:space="preserve">meeting (for an annual growth rate of 2.16%) </w:t>
            </w:r>
          </w:p>
        </w:tc>
        <w:tc>
          <w:tcPr>
            <w:tcW w:w="2251" w:type="pct"/>
          </w:tcPr>
          <w:p w14:paraId="0C0C8AD5" w14:textId="4D347DA0" w:rsidR="00563070" w:rsidRPr="00563070" w:rsidRDefault="00563070" w:rsidP="00820080">
            <w:pPr>
              <w:pStyle w:val="Tabletext"/>
              <w:rPr>
                <w:iCs/>
              </w:rPr>
            </w:pPr>
            <w:r w:rsidRPr="00563070">
              <w:rPr>
                <w:iCs/>
              </w:rPr>
              <w:lastRenderedPageBreak/>
              <w:t>Reasonable data sources</w:t>
            </w:r>
          </w:p>
        </w:tc>
      </w:tr>
      <w:tr w:rsidR="00563070" w:rsidRPr="004D1B42" w14:paraId="135DF7E9" w14:textId="77777777" w:rsidTr="00820080">
        <w:tc>
          <w:tcPr>
            <w:tcW w:w="1098" w:type="pct"/>
          </w:tcPr>
          <w:p w14:paraId="4A884117" w14:textId="77777777" w:rsidR="00563070" w:rsidRPr="004D1B42" w:rsidRDefault="00563070" w:rsidP="00820080">
            <w:pPr>
              <w:pStyle w:val="Tabletext"/>
            </w:pPr>
            <w:r>
              <w:t>Proportion of lung cancer reported as NSCLC</w:t>
            </w:r>
          </w:p>
        </w:tc>
        <w:tc>
          <w:tcPr>
            <w:tcW w:w="1650" w:type="pct"/>
          </w:tcPr>
          <w:p w14:paraId="6835DAF5" w14:textId="77777777" w:rsidR="00563070" w:rsidRPr="002A7383" w:rsidRDefault="00563070" w:rsidP="00820080">
            <w:pPr>
              <w:pStyle w:val="Tabletext"/>
              <w:rPr>
                <w:vertAlign w:val="superscript"/>
              </w:rPr>
            </w:pPr>
            <w:r>
              <w:t>85.0%; Vinod (2010)</w:t>
            </w:r>
            <w:r>
              <w:rPr>
                <w:vertAlign w:val="superscript"/>
              </w:rPr>
              <w:t>b</w:t>
            </w:r>
          </w:p>
        </w:tc>
        <w:tc>
          <w:tcPr>
            <w:tcW w:w="2251" w:type="pct"/>
          </w:tcPr>
          <w:p w14:paraId="751DCD68" w14:textId="385F2AC1" w:rsidR="00563070" w:rsidRPr="00563070" w:rsidRDefault="00563070" w:rsidP="00820080">
            <w:pPr>
              <w:pStyle w:val="Tabletext"/>
              <w:rPr>
                <w:iCs/>
              </w:rPr>
            </w:pPr>
            <w:r w:rsidRPr="00563070">
              <w:rPr>
                <w:iCs/>
              </w:rPr>
              <w:t>Reasonable. The PBAC previously accepted a proportion of 86.6% in the entrectinib submission (Entrectinib PSD, March 2020 PBAC Meeting).</w:t>
            </w:r>
          </w:p>
        </w:tc>
      </w:tr>
      <w:tr w:rsidR="00563070" w:rsidRPr="004D1B42" w14:paraId="4F6F20FC" w14:textId="77777777" w:rsidTr="00820080">
        <w:tc>
          <w:tcPr>
            <w:tcW w:w="1098" w:type="pct"/>
          </w:tcPr>
          <w:p w14:paraId="16FC5321" w14:textId="77777777" w:rsidR="00563070" w:rsidRDefault="00563070" w:rsidP="00820080">
            <w:pPr>
              <w:pStyle w:val="Tabletext"/>
            </w:pPr>
            <w:r>
              <w:t>Proportion with Stage IIIB-IV disease</w:t>
            </w:r>
          </w:p>
        </w:tc>
        <w:tc>
          <w:tcPr>
            <w:tcW w:w="1650" w:type="pct"/>
          </w:tcPr>
          <w:p w14:paraId="690DD647" w14:textId="77777777" w:rsidR="00563070" w:rsidRPr="002A7383" w:rsidRDefault="00563070" w:rsidP="00820080">
            <w:pPr>
              <w:pStyle w:val="Tabletext"/>
              <w:rPr>
                <w:vertAlign w:val="superscript"/>
              </w:rPr>
            </w:pPr>
            <w:r>
              <w:t>73.60%; NCCI (2011)</w:t>
            </w:r>
            <w:r>
              <w:rPr>
                <w:vertAlign w:val="superscript"/>
              </w:rPr>
              <w:t>c</w:t>
            </w:r>
          </w:p>
        </w:tc>
        <w:tc>
          <w:tcPr>
            <w:tcW w:w="2251" w:type="pct"/>
          </w:tcPr>
          <w:p w14:paraId="52E251F6" w14:textId="7D769D8A" w:rsidR="00563070" w:rsidRPr="00563070" w:rsidRDefault="00563070" w:rsidP="00820080">
            <w:pPr>
              <w:pStyle w:val="Tabletext"/>
              <w:rPr>
                <w:iCs/>
              </w:rPr>
            </w:pPr>
            <w:r w:rsidRPr="00563070">
              <w:rPr>
                <w:iCs/>
              </w:rPr>
              <w:t xml:space="preserve">Uncertain. The </w:t>
            </w:r>
            <w:r w:rsidR="006E3749">
              <w:rPr>
                <w:iCs/>
              </w:rPr>
              <w:t xml:space="preserve">PBAC noted the </w:t>
            </w:r>
            <w:r w:rsidRPr="00563070">
              <w:rPr>
                <w:iCs/>
              </w:rPr>
              <w:t>NCCI estimate included Stage IIIA disease, which is not within the proposed PBS restriction for mobocertinib (Stage IIIB/IV). In addition, patients diagnosed with early stage NSCLC who subsequently progress into Stage IIIB/IV disease were not included in the financial estimate</w:t>
            </w:r>
            <w:r w:rsidR="00D752A4">
              <w:rPr>
                <w:iCs/>
              </w:rPr>
              <w:t>s</w:t>
            </w:r>
            <w:r w:rsidRPr="00563070">
              <w:rPr>
                <w:iCs/>
              </w:rPr>
              <w:t xml:space="preserve">. </w:t>
            </w:r>
          </w:p>
        </w:tc>
      </w:tr>
      <w:tr w:rsidR="00563070" w:rsidRPr="004D1B42" w14:paraId="2DC3C3D8" w14:textId="77777777" w:rsidTr="00820080">
        <w:trPr>
          <w:trHeight w:val="181"/>
        </w:trPr>
        <w:tc>
          <w:tcPr>
            <w:tcW w:w="1098" w:type="pct"/>
          </w:tcPr>
          <w:p w14:paraId="75513C7C" w14:textId="77777777" w:rsidR="00563070" w:rsidRDefault="00563070" w:rsidP="00820080">
            <w:pPr>
              <w:pStyle w:val="Tabletext"/>
            </w:pPr>
            <w:r>
              <w:t>Patients with successful biopsy and biomarker testing</w:t>
            </w:r>
          </w:p>
        </w:tc>
        <w:tc>
          <w:tcPr>
            <w:tcW w:w="1650" w:type="pct"/>
          </w:tcPr>
          <w:p w14:paraId="488A5230" w14:textId="77777777" w:rsidR="00563070" w:rsidRPr="004D1B42" w:rsidRDefault="00563070" w:rsidP="00820080">
            <w:pPr>
              <w:pStyle w:val="Tabletext"/>
            </w:pPr>
            <w:r>
              <w:t>90%; MSAC Application 1173, August 2012</w:t>
            </w:r>
          </w:p>
        </w:tc>
        <w:tc>
          <w:tcPr>
            <w:tcW w:w="2251" w:type="pct"/>
          </w:tcPr>
          <w:p w14:paraId="7D7FE010" w14:textId="77777777" w:rsidR="00563070" w:rsidRPr="00563070" w:rsidRDefault="00563070" w:rsidP="00820080">
            <w:pPr>
              <w:pStyle w:val="Tabletext"/>
              <w:rPr>
                <w:iCs/>
              </w:rPr>
            </w:pPr>
            <w:r w:rsidRPr="00563070">
              <w:rPr>
                <w:iCs/>
              </w:rPr>
              <w:t>Reasonable</w:t>
            </w:r>
          </w:p>
        </w:tc>
      </w:tr>
      <w:tr w:rsidR="00563070" w:rsidRPr="004D1B42" w14:paraId="2AB4CEAB" w14:textId="77777777" w:rsidTr="00820080">
        <w:tc>
          <w:tcPr>
            <w:tcW w:w="1098" w:type="pct"/>
            <w:tcBorders>
              <w:bottom w:val="single" w:sz="4" w:space="0" w:color="auto"/>
            </w:tcBorders>
          </w:tcPr>
          <w:p w14:paraId="4A3CFD06" w14:textId="77777777" w:rsidR="00563070" w:rsidRDefault="00563070" w:rsidP="00820080">
            <w:pPr>
              <w:pStyle w:val="Tabletext"/>
            </w:pPr>
            <w:r>
              <w:t xml:space="preserve">Patients with </w:t>
            </w:r>
            <w:r w:rsidRPr="00FB7EE8">
              <w:rPr>
                <w:i/>
              </w:rPr>
              <w:t xml:space="preserve">EGFR </w:t>
            </w:r>
            <w:r>
              <w:t>mutations</w:t>
            </w:r>
          </w:p>
        </w:tc>
        <w:tc>
          <w:tcPr>
            <w:tcW w:w="1650" w:type="pct"/>
            <w:tcBorders>
              <w:bottom w:val="single" w:sz="4" w:space="0" w:color="auto"/>
            </w:tcBorders>
          </w:tcPr>
          <w:p w14:paraId="20C3BAEE" w14:textId="77777777" w:rsidR="00563070" w:rsidRPr="004D1B42" w:rsidRDefault="00563070" w:rsidP="00820080">
            <w:pPr>
              <w:pStyle w:val="Tabletext"/>
            </w:pPr>
            <w:r>
              <w:t>17.90%; DUSC review on erlotinib and gefitinib (2017)</w:t>
            </w:r>
          </w:p>
        </w:tc>
        <w:tc>
          <w:tcPr>
            <w:tcW w:w="2251" w:type="pct"/>
            <w:tcBorders>
              <w:bottom w:val="single" w:sz="4" w:space="0" w:color="auto"/>
            </w:tcBorders>
          </w:tcPr>
          <w:p w14:paraId="0FE6F795" w14:textId="77777777" w:rsidR="00563070" w:rsidRPr="00563070" w:rsidRDefault="00563070" w:rsidP="00820080">
            <w:pPr>
              <w:pStyle w:val="Tabletext"/>
              <w:rPr>
                <w:iCs/>
              </w:rPr>
            </w:pPr>
            <w:r w:rsidRPr="00563070">
              <w:rPr>
                <w:iCs/>
              </w:rPr>
              <w:t>Reasonable</w:t>
            </w:r>
          </w:p>
        </w:tc>
      </w:tr>
      <w:tr w:rsidR="00563070" w:rsidRPr="004D1B42" w14:paraId="0C40BE65" w14:textId="77777777" w:rsidTr="00820080">
        <w:tc>
          <w:tcPr>
            <w:tcW w:w="1098" w:type="pct"/>
            <w:tcBorders>
              <w:top w:val="single" w:sz="4" w:space="0" w:color="auto"/>
              <w:left w:val="single" w:sz="4" w:space="0" w:color="auto"/>
              <w:bottom w:val="single" w:sz="4" w:space="0" w:color="auto"/>
              <w:right w:val="single" w:sz="4" w:space="0" w:color="auto"/>
            </w:tcBorders>
          </w:tcPr>
          <w:p w14:paraId="75695128" w14:textId="77777777" w:rsidR="00563070" w:rsidRDefault="00563070" w:rsidP="00820080">
            <w:pPr>
              <w:pStyle w:val="Tabletext"/>
            </w:pPr>
            <w:r>
              <w:t xml:space="preserve">Proportion of </w:t>
            </w:r>
            <w:r>
              <w:rPr>
                <w:i/>
              </w:rPr>
              <w:t>EGFR-</w:t>
            </w:r>
            <w:r w:rsidRPr="00394D07">
              <w:t xml:space="preserve">positive NSCLC </w:t>
            </w:r>
            <w:r>
              <w:t>patients with Ex20ins</w:t>
            </w:r>
          </w:p>
        </w:tc>
        <w:tc>
          <w:tcPr>
            <w:tcW w:w="1650" w:type="pct"/>
            <w:tcBorders>
              <w:top w:val="single" w:sz="4" w:space="0" w:color="auto"/>
              <w:left w:val="single" w:sz="4" w:space="0" w:color="auto"/>
              <w:bottom w:val="single" w:sz="4" w:space="0" w:color="auto"/>
              <w:right w:val="single" w:sz="4" w:space="0" w:color="auto"/>
            </w:tcBorders>
          </w:tcPr>
          <w:p w14:paraId="645B5FF8" w14:textId="77777777" w:rsidR="00563070" w:rsidRPr="002A7383" w:rsidRDefault="00563070" w:rsidP="00820080">
            <w:pPr>
              <w:pStyle w:val="Tabletext"/>
              <w:rPr>
                <w:vertAlign w:val="superscript"/>
              </w:rPr>
            </w:pPr>
            <w:r>
              <w:t>8%; Burnett (2021)</w:t>
            </w:r>
            <w:r>
              <w:rPr>
                <w:vertAlign w:val="superscript"/>
              </w:rPr>
              <w:t>d</w:t>
            </w:r>
          </w:p>
        </w:tc>
        <w:tc>
          <w:tcPr>
            <w:tcW w:w="2251" w:type="pct"/>
            <w:tcBorders>
              <w:top w:val="single" w:sz="4" w:space="0" w:color="auto"/>
              <w:left w:val="single" w:sz="4" w:space="0" w:color="auto"/>
              <w:bottom w:val="single" w:sz="4" w:space="0" w:color="auto"/>
              <w:right w:val="single" w:sz="4" w:space="0" w:color="auto"/>
            </w:tcBorders>
          </w:tcPr>
          <w:p w14:paraId="207D916D" w14:textId="77777777" w:rsidR="00563070" w:rsidRPr="00563070" w:rsidRDefault="00563070" w:rsidP="00820080">
            <w:pPr>
              <w:pStyle w:val="Tabletext"/>
              <w:rPr>
                <w:iCs/>
              </w:rPr>
            </w:pPr>
            <w:r w:rsidRPr="00563070">
              <w:rPr>
                <w:iCs/>
              </w:rPr>
              <w:t xml:space="preserve">Uncertain. The proportion of </w:t>
            </w:r>
            <w:r w:rsidRPr="00563070">
              <w:rPr>
                <w:rFonts w:cstheme="minorHAnsi"/>
                <w:i/>
              </w:rPr>
              <w:t>EGFR</w:t>
            </w:r>
            <w:r w:rsidRPr="00563070">
              <w:rPr>
                <w:rFonts w:cstheme="minorHAnsi"/>
                <w:iCs/>
              </w:rPr>
              <w:t xml:space="preserve"> ex20ins in </w:t>
            </w:r>
            <w:r w:rsidRPr="00563070">
              <w:rPr>
                <w:rFonts w:cstheme="minorHAnsi"/>
                <w:i/>
              </w:rPr>
              <w:t>EGFR</w:t>
            </w:r>
            <w:r w:rsidRPr="00563070">
              <w:rPr>
                <w:rFonts w:cstheme="minorHAnsi"/>
                <w:iCs/>
              </w:rPr>
              <w:t xml:space="preserve"> variants in NSCLC varied in the literature, depending on the genotyping technique.</w:t>
            </w:r>
          </w:p>
        </w:tc>
      </w:tr>
      <w:tr w:rsidR="00563070" w:rsidRPr="004D1B42" w14:paraId="1E07FB2C" w14:textId="77777777" w:rsidTr="00820080">
        <w:tc>
          <w:tcPr>
            <w:tcW w:w="1098" w:type="pct"/>
            <w:tcBorders>
              <w:top w:val="single" w:sz="4" w:space="0" w:color="auto"/>
            </w:tcBorders>
          </w:tcPr>
          <w:p w14:paraId="2AD4DA38" w14:textId="77777777" w:rsidR="00563070" w:rsidRDefault="00563070" w:rsidP="00820080">
            <w:pPr>
              <w:pStyle w:val="Tabletext"/>
            </w:pPr>
            <w:r>
              <w:t>Proportion with ECOG performance status of 0-1</w:t>
            </w:r>
          </w:p>
        </w:tc>
        <w:tc>
          <w:tcPr>
            <w:tcW w:w="1650" w:type="pct"/>
            <w:tcBorders>
              <w:top w:val="single" w:sz="4" w:space="0" w:color="auto"/>
            </w:tcBorders>
          </w:tcPr>
          <w:p w14:paraId="42C472A8" w14:textId="77777777" w:rsidR="00563070" w:rsidRPr="004D1B42" w:rsidRDefault="00563070" w:rsidP="00820080">
            <w:pPr>
              <w:pStyle w:val="Tabletext"/>
            </w:pPr>
            <w:r>
              <w:t xml:space="preserve">88%; Study 5008 </w:t>
            </w:r>
          </w:p>
        </w:tc>
        <w:tc>
          <w:tcPr>
            <w:tcW w:w="2251" w:type="pct"/>
            <w:tcBorders>
              <w:top w:val="single" w:sz="4" w:space="0" w:color="auto"/>
            </w:tcBorders>
          </w:tcPr>
          <w:p w14:paraId="056F687B" w14:textId="77777777" w:rsidR="00563070" w:rsidRPr="00563070" w:rsidRDefault="00563070" w:rsidP="00820080">
            <w:pPr>
              <w:pStyle w:val="Tabletext"/>
              <w:rPr>
                <w:iCs/>
              </w:rPr>
            </w:pPr>
            <w:r w:rsidRPr="00563070">
              <w:rPr>
                <w:iCs/>
              </w:rPr>
              <w:t xml:space="preserve">Uncertain. ECOG performance status reported in Study 5008 was recorded at </w:t>
            </w:r>
            <w:r w:rsidRPr="00563070">
              <w:rPr>
                <w:rFonts w:cstheme="minorHAnsi"/>
                <w:iCs/>
              </w:rPr>
              <w:t>start of first-line therapy for advanced NSCLC, not at start of the index therapy (the relevant line of therapy following PBC).</w:t>
            </w:r>
          </w:p>
        </w:tc>
      </w:tr>
      <w:tr w:rsidR="00563070" w:rsidRPr="004D1B42" w14:paraId="663FF1EE" w14:textId="77777777" w:rsidTr="00820080">
        <w:tc>
          <w:tcPr>
            <w:tcW w:w="1098" w:type="pct"/>
          </w:tcPr>
          <w:p w14:paraId="333B7B36" w14:textId="77777777" w:rsidR="00563070" w:rsidRDefault="00563070" w:rsidP="00820080">
            <w:pPr>
              <w:pStyle w:val="Tabletext"/>
            </w:pPr>
            <w:r>
              <w:t>Proportion who elect first-line PBC</w:t>
            </w:r>
          </w:p>
        </w:tc>
        <w:tc>
          <w:tcPr>
            <w:tcW w:w="1650" w:type="pct"/>
          </w:tcPr>
          <w:p w14:paraId="0BF29140" w14:textId="4CCAD461" w:rsidR="00563070" w:rsidRPr="004D1B42" w:rsidRDefault="00563070" w:rsidP="00820080">
            <w:pPr>
              <w:pStyle w:val="Tabletext"/>
            </w:pPr>
            <w:r>
              <w:t xml:space="preserve">89.38%; </w:t>
            </w:r>
            <w:r w:rsidRPr="00810CE6">
              <w:t>expert opinion</w:t>
            </w:r>
            <w:r>
              <w:t xml:space="preserve"> from the </w:t>
            </w:r>
            <w:r w:rsidR="00D752A4">
              <w:t xml:space="preserve">Sponsor’s </w:t>
            </w:r>
            <w:r>
              <w:t>clinical advisory board</w:t>
            </w:r>
          </w:p>
        </w:tc>
        <w:tc>
          <w:tcPr>
            <w:tcW w:w="2251" w:type="pct"/>
            <w:vMerge w:val="restart"/>
          </w:tcPr>
          <w:p w14:paraId="73BAF46D" w14:textId="228F15D2" w:rsidR="00563070" w:rsidRPr="00563070" w:rsidRDefault="00563070" w:rsidP="00820080">
            <w:pPr>
              <w:pStyle w:val="Tabletext"/>
              <w:rPr>
                <w:iCs/>
              </w:rPr>
            </w:pPr>
            <w:r w:rsidRPr="00563070">
              <w:rPr>
                <w:iCs/>
              </w:rPr>
              <w:t xml:space="preserve">A total of eight Australian oncologists were </w:t>
            </w:r>
            <w:r w:rsidR="00D752A4">
              <w:rPr>
                <w:iCs/>
              </w:rPr>
              <w:t>o</w:t>
            </w:r>
            <w:r w:rsidRPr="00563070">
              <w:rPr>
                <w:iCs/>
              </w:rPr>
              <w:t>n the advisory board. It was unknown whether the opinions from these clinicians would represent Australian clinical practice</w:t>
            </w:r>
            <w:r w:rsidR="00D752A4">
              <w:rPr>
                <w:iCs/>
              </w:rPr>
              <w:t>.</w:t>
            </w:r>
          </w:p>
        </w:tc>
      </w:tr>
      <w:tr w:rsidR="00563070" w:rsidRPr="004D1B42" w14:paraId="7ED104CB" w14:textId="77777777" w:rsidTr="00820080">
        <w:tc>
          <w:tcPr>
            <w:tcW w:w="1098" w:type="pct"/>
            <w:tcBorders>
              <w:top w:val="single" w:sz="4" w:space="0" w:color="auto"/>
              <w:left w:val="single" w:sz="4" w:space="0" w:color="auto"/>
              <w:bottom w:val="single" w:sz="4" w:space="0" w:color="auto"/>
              <w:right w:val="single" w:sz="4" w:space="0" w:color="auto"/>
            </w:tcBorders>
          </w:tcPr>
          <w:p w14:paraId="3E312CE0" w14:textId="77777777" w:rsidR="00563070" w:rsidRDefault="00563070" w:rsidP="00820080">
            <w:pPr>
              <w:pStyle w:val="Tabletext"/>
            </w:pPr>
            <w:r>
              <w:t>Proportion who progress following first-line PBC</w:t>
            </w:r>
          </w:p>
        </w:tc>
        <w:tc>
          <w:tcPr>
            <w:tcW w:w="1650" w:type="pct"/>
            <w:tcBorders>
              <w:top w:val="single" w:sz="4" w:space="0" w:color="auto"/>
              <w:left w:val="single" w:sz="4" w:space="0" w:color="auto"/>
              <w:bottom w:val="single" w:sz="4" w:space="0" w:color="auto"/>
            </w:tcBorders>
          </w:tcPr>
          <w:p w14:paraId="7F93590D" w14:textId="77777777" w:rsidR="00563070" w:rsidRDefault="00563070" w:rsidP="00820080">
            <w:pPr>
              <w:pStyle w:val="Tabletext"/>
            </w:pPr>
            <w:r>
              <w:t xml:space="preserve">70%; </w:t>
            </w:r>
            <w:r w:rsidRPr="00810CE6">
              <w:t>expert opinion</w:t>
            </w:r>
            <w:r>
              <w:t xml:space="preserve"> from the advisory board</w:t>
            </w:r>
          </w:p>
        </w:tc>
        <w:tc>
          <w:tcPr>
            <w:tcW w:w="2252" w:type="pct"/>
            <w:vMerge/>
            <w:tcBorders>
              <w:bottom w:val="single" w:sz="4" w:space="0" w:color="auto"/>
            </w:tcBorders>
          </w:tcPr>
          <w:p w14:paraId="52CC3318" w14:textId="77777777" w:rsidR="00563070" w:rsidRPr="00563070" w:rsidRDefault="00563070" w:rsidP="00820080">
            <w:pPr>
              <w:pStyle w:val="Tabletext"/>
              <w:rPr>
                <w:iCs/>
              </w:rPr>
            </w:pPr>
          </w:p>
        </w:tc>
      </w:tr>
      <w:tr w:rsidR="00563070" w:rsidRPr="004D1B42" w14:paraId="00F6C6CC" w14:textId="77777777" w:rsidTr="00820080">
        <w:tc>
          <w:tcPr>
            <w:tcW w:w="1098" w:type="pct"/>
            <w:tcBorders>
              <w:top w:val="single" w:sz="4" w:space="0" w:color="auto"/>
              <w:left w:val="single" w:sz="4" w:space="0" w:color="auto"/>
              <w:bottom w:val="single" w:sz="4" w:space="0" w:color="auto"/>
              <w:right w:val="single" w:sz="4" w:space="0" w:color="auto"/>
            </w:tcBorders>
          </w:tcPr>
          <w:p w14:paraId="33B1E139" w14:textId="77777777" w:rsidR="00563070" w:rsidRDefault="00563070" w:rsidP="00820080">
            <w:pPr>
              <w:pStyle w:val="Tabletext"/>
            </w:pPr>
            <w:r>
              <w:t>Prevalent cases</w:t>
            </w:r>
          </w:p>
        </w:tc>
        <w:tc>
          <w:tcPr>
            <w:tcW w:w="1650" w:type="pct"/>
            <w:tcBorders>
              <w:top w:val="single" w:sz="4" w:space="0" w:color="auto"/>
              <w:left w:val="single" w:sz="4" w:space="0" w:color="auto"/>
              <w:bottom w:val="single" w:sz="4" w:space="0" w:color="auto"/>
              <w:right w:val="single" w:sz="4" w:space="0" w:color="auto"/>
            </w:tcBorders>
          </w:tcPr>
          <w:p w14:paraId="4A1A1CC0" w14:textId="77777777" w:rsidR="00563070" w:rsidRDefault="00563070" w:rsidP="00820080">
            <w:pPr>
              <w:pStyle w:val="Tabletext"/>
            </w:pPr>
            <w:r>
              <w:t>71; based on incidence cases in Year 1 (64) and average life expectancy from Studies 5008 and 5002 (1.116 years)</w:t>
            </w:r>
          </w:p>
        </w:tc>
        <w:tc>
          <w:tcPr>
            <w:tcW w:w="2252" w:type="pct"/>
            <w:tcBorders>
              <w:top w:val="single" w:sz="4" w:space="0" w:color="auto"/>
              <w:left w:val="single" w:sz="4" w:space="0" w:color="auto"/>
              <w:bottom w:val="single" w:sz="4" w:space="0" w:color="auto"/>
              <w:right w:val="single" w:sz="4" w:space="0" w:color="auto"/>
            </w:tcBorders>
          </w:tcPr>
          <w:p w14:paraId="66CDD1CE" w14:textId="77777777" w:rsidR="00563070" w:rsidRPr="00563070" w:rsidRDefault="00563070" w:rsidP="00820080">
            <w:pPr>
              <w:pStyle w:val="Tabletext"/>
              <w:rPr>
                <w:rFonts w:cstheme="minorHAnsi"/>
                <w:iCs/>
              </w:rPr>
            </w:pPr>
            <w:r w:rsidRPr="00563070">
              <w:rPr>
                <w:rFonts w:cstheme="minorHAnsi"/>
                <w:iCs/>
              </w:rPr>
              <w:t xml:space="preserve">The estimation of the size of this population has not been well justified in the submission. </w:t>
            </w:r>
          </w:p>
        </w:tc>
      </w:tr>
      <w:tr w:rsidR="00563070" w:rsidRPr="004D1B42" w14:paraId="12732E62" w14:textId="77777777" w:rsidTr="00820080">
        <w:tc>
          <w:tcPr>
            <w:tcW w:w="5000" w:type="pct"/>
            <w:gridSpan w:val="3"/>
            <w:tcBorders>
              <w:top w:val="single" w:sz="4" w:space="0" w:color="auto"/>
              <w:left w:val="single" w:sz="4" w:space="0" w:color="auto"/>
              <w:bottom w:val="single" w:sz="4" w:space="0" w:color="auto"/>
              <w:right w:val="single" w:sz="4" w:space="0" w:color="auto"/>
            </w:tcBorders>
          </w:tcPr>
          <w:p w14:paraId="1635365C" w14:textId="77777777" w:rsidR="00563070" w:rsidRPr="00563070" w:rsidRDefault="00563070" w:rsidP="00820080">
            <w:pPr>
              <w:pStyle w:val="Tabletext"/>
              <w:rPr>
                <w:b/>
                <w:iCs/>
              </w:rPr>
            </w:pPr>
            <w:r w:rsidRPr="00563070">
              <w:rPr>
                <w:b/>
                <w:iCs/>
              </w:rPr>
              <w:t>Utilisation</w:t>
            </w:r>
          </w:p>
        </w:tc>
      </w:tr>
      <w:tr w:rsidR="00563070" w:rsidRPr="004D1B42" w14:paraId="557E1178" w14:textId="77777777" w:rsidTr="00820080">
        <w:tc>
          <w:tcPr>
            <w:tcW w:w="1098" w:type="pct"/>
          </w:tcPr>
          <w:p w14:paraId="67C7251A" w14:textId="77777777" w:rsidR="00563070" w:rsidRDefault="00563070" w:rsidP="00820080">
            <w:pPr>
              <w:pStyle w:val="Tabletext"/>
            </w:pPr>
            <w:r>
              <w:t>Uptake of mobocertinib</w:t>
            </w:r>
          </w:p>
        </w:tc>
        <w:tc>
          <w:tcPr>
            <w:tcW w:w="1650" w:type="pct"/>
          </w:tcPr>
          <w:p w14:paraId="5DE7412E" w14:textId="73F2B5FA" w:rsidR="00563070" w:rsidRPr="004D1B42" w:rsidRDefault="001D6D9F" w:rsidP="00820080">
            <w:pPr>
              <w:pStyle w:val="Tabletext"/>
            </w:pPr>
            <w:r w:rsidRPr="001D6D9F">
              <w:rPr>
                <w:color w:val="000000"/>
                <w:spacing w:val="53"/>
                <w:shd w:val="solid" w:color="000000" w:fill="000000"/>
                <w:fitText w:val="330" w:id="-1304677616"/>
                <w14:textFill>
                  <w14:solidFill>
                    <w14:srgbClr w14:val="000000">
                      <w14:alpha w14:val="100000"/>
                    </w14:srgbClr>
                  </w14:solidFill>
                </w14:textFill>
              </w:rPr>
              <w:t>|||</w:t>
            </w:r>
            <w:r w:rsidRPr="001D6D9F">
              <w:rPr>
                <w:color w:val="000000"/>
                <w:spacing w:val="1"/>
                <w:shd w:val="solid" w:color="000000" w:fill="000000"/>
                <w:fitText w:val="330" w:id="-1304677616"/>
                <w14:textFill>
                  <w14:solidFill>
                    <w14:srgbClr w14:val="000000">
                      <w14:alpha w14:val="100000"/>
                    </w14:srgbClr>
                  </w14:solidFill>
                </w14:textFill>
              </w:rPr>
              <w:t>|</w:t>
            </w:r>
            <w:r w:rsidR="00563070" w:rsidRPr="006439E1">
              <w:t>%</w:t>
            </w:r>
            <w:r w:rsidR="00563070">
              <w:t xml:space="preserve"> in Years 1 and 2, increasing to </w:t>
            </w:r>
            <w:r w:rsidRPr="001D6D9F">
              <w:rPr>
                <w:color w:val="000000"/>
                <w:spacing w:val="53"/>
                <w:shd w:val="solid" w:color="000000" w:fill="000000"/>
                <w:fitText w:val="330" w:id="-1304677632"/>
                <w14:textFill>
                  <w14:solidFill>
                    <w14:srgbClr w14:val="000000">
                      <w14:alpha w14:val="100000"/>
                    </w14:srgbClr>
                  </w14:solidFill>
                </w14:textFill>
              </w:rPr>
              <w:t>|||</w:t>
            </w:r>
            <w:r w:rsidRPr="001D6D9F">
              <w:rPr>
                <w:color w:val="000000"/>
                <w:spacing w:val="1"/>
                <w:shd w:val="solid" w:color="000000" w:fill="000000"/>
                <w:fitText w:val="330" w:id="-1304677632"/>
                <w14:textFill>
                  <w14:solidFill>
                    <w14:srgbClr w14:val="000000">
                      <w14:alpha w14:val="100000"/>
                    </w14:srgbClr>
                  </w14:solidFill>
                </w14:textFill>
              </w:rPr>
              <w:t>|</w:t>
            </w:r>
            <w:r w:rsidR="00563070" w:rsidRPr="006439E1">
              <w:t>%</w:t>
            </w:r>
            <w:r w:rsidR="00563070">
              <w:t xml:space="preserve"> in Year 3 and onward</w:t>
            </w:r>
          </w:p>
        </w:tc>
        <w:tc>
          <w:tcPr>
            <w:tcW w:w="2252" w:type="pct"/>
          </w:tcPr>
          <w:p w14:paraId="0BBC6512" w14:textId="77777777" w:rsidR="00563070" w:rsidRPr="00563070" w:rsidRDefault="00563070" w:rsidP="00820080">
            <w:pPr>
              <w:pStyle w:val="Tabletext"/>
              <w:rPr>
                <w:iCs/>
              </w:rPr>
            </w:pPr>
            <w:r w:rsidRPr="00563070">
              <w:rPr>
                <w:iCs/>
              </w:rPr>
              <w:t>This is an area of uncertainty. However, a high uptake rate of mobocertinib is expected if the risk-benefit balance of mobocertinib is favourable in clinical practice.</w:t>
            </w:r>
          </w:p>
        </w:tc>
      </w:tr>
      <w:tr w:rsidR="00563070" w:rsidRPr="004D1B42" w14:paraId="2C012EA4" w14:textId="77777777" w:rsidTr="00820080">
        <w:tc>
          <w:tcPr>
            <w:tcW w:w="1098" w:type="pct"/>
          </w:tcPr>
          <w:p w14:paraId="60710FB2" w14:textId="77777777" w:rsidR="00563070" w:rsidRDefault="00563070" w:rsidP="00820080">
            <w:pPr>
              <w:pStyle w:val="Tabletext"/>
            </w:pPr>
            <w:r>
              <w:t>Treatment duration of mobocertinib</w:t>
            </w:r>
          </w:p>
        </w:tc>
        <w:tc>
          <w:tcPr>
            <w:tcW w:w="1650" w:type="pct"/>
          </w:tcPr>
          <w:p w14:paraId="6C73F71A" w14:textId="77777777" w:rsidR="00563070" w:rsidRDefault="00563070" w:rsidP="00820080">
            <w:pPr>
              <w:pStyle w:val="Tabletext"/>
            </w:pPr>
            <w:r>
              <w:t>Mean duration (cycles) in each treatment year:</w:t>
            </w:r>
          </w:p>
          <w:p w14:paraId="37DB9FAD" w14:textId="77777777" w:rsidR="00563070" w:rsidRDefault="00563070" w:rsidP="00820080">
            <w:pPr>
              <w:pStyle w:val="Tabletext"/>
            </w:pPr>
          </w:p>
          <w:p w14:paraId="7F8973CE" w14:textId="77777777" w:rsidR="00563070" w:rsidRDefault="00563070" w:rsidP="00820080">
            <w:pPr>
              <w:pStyle w:val="Tabletext"/>
            </w:pPr>
            <w:r>
              <w:t>1</w:t>
            </w:r>
            <w:r w:rsidRPr="00963F41">
              <w:rPr>
                <w:vertAlign w:val="superscript"/>
              </w:rPr>
              <w:t>st</w:t>
            </w:r>
            <w:r>
              <w:t xml:space="preserve"> treatment year: 7.94 cycles</w:t>
            </w:r>
          </w:p>
          <w:p w14:paraId="572C9C5F" w14:textId="77777777" w:rsidR="00563070" w:rsidRDefault="00563070" w:rsidP="00820080">
            <w:pPr>
              <w:pStyle w:val="Tabletext"/>
            </w:pPr>
            <w:r>
              <w:t>2</w:t>
            </w:r>
            <w:r w:rsidRPr="00963F41">
              <w:rPr>
                <w:vertAlign w:val="superscript"/>
              </w:rPr>
              <w:t>nd</w:t>
            </w:r>
            <w:r>
              <w:t xml:space="preserve"> treatment year: 2.93 cycles</w:t>
            </w:r>
          </w:p>
          <w:p w14:paraId="6577D023" w14:textId="77777777" w:rsidR="00563070" w:rsidRDefault="00563070" w:rsidP="00820080">
            <w:pPr>
              <w:pStyle w:val="Tabletext"/>
            </w:pPr>
            <w:r>
              <w:t>3</w:t>
            </w:r>
            <w:r w:rsidRPr="00963F41">
              <w:rPr>
                <w:vertAlign w:val="superscript"/>
              </w:rPr>
              <w:t>rd</w:t>
            </w:r>
            <w:r>
              <w:t xml:space="preserve"> treatment year: 1.29 cycles</w:t>
            </w:r>
          </w:p>
          <w:p w14:paraId="4078B092" w14:textId="77777777" w:rsidR="00563070" w:rsidRDefault="00563070" w:rsidP="00820080">
            <w:pPr>
              <w:pStyle w:val="Tabletext"/>
            </w:pPr>
            <w:r>
              <w:t>4</w:t>
            </w:r>
            <w:r w:rsidRPr="00963F41">
              <w:rPr>
                <w:vertAlign w:val="superscript"/>
              </w:rPr>
              <w:t>th</w:t>
            </w:r>
            <w:r>
              <w:t xml:space="preserve"> treatment year: 0.43 cycles</w:t>
            </w:r>
          </w:p>
          <w:p w14:paraId="711AB36B" w14:textId="77777777" w:rsidR="00563070" w:rsidRDefault="00563070" w:rsidP="00820080">
            <w:pPr>
              <w:pStyle w:val="Tabletext"/>
            </w:pPr>
            <w:r>
              <w:t>5</w:t>
            </w:r>
            <w:r w:rsidRPr="00963F41">
              <w:rPr>
                <w:vertAlign w:val="superscript"/>
              </w:rPr>
              <w:t>th</w:t>
            </w:r>
            <w:r>
              <w:t xml:space="preserve"> treatment year: 0.15 cycles</w:t>
            </w:r>
          </w:p>
          <w:p w14:paraId="2861FCAB" w14:textId="77777777" w:rsidR="00563070" w:rsidRDefault="00563070" w:rsidP="00820080">
            <w:pPr>
              <w:pStyle w:val="Tabletext"/>
            </w:pPr>
            <w:r>
              <w:t>6</w:t>
            </w:r>
            <w:r w:rsidRPr="00963F41">
              <w:rPr>
                <w:vertAlign w:val="superscript"/>
              </w:rPr>
              <w:t>th</w:t>
            </w:r>
            <w:r>
              <w:t xml:space="preserve"> treatment year: 0.05 cycles</w:t>
            </w:r>
          </w:p>
          <w:p w14:paraId="5226FC12" w14:textId="77777777" w:rsidR="00563070" w:rsidRDefault="00563070" w:rsidP="00820080">
            <w:pPr>
              <w:pStyle w:val="Tabletext"/>
            </w:pPr>
          </w:p>
          <w:p w14:paraId="3CA1111C" w14:textId="77777777" w:rsidR="00563070" w:rsidRDefault="00563070" w:rsidP="00820080">
            <w:pPr>
              <w:pStyle w:val="Tabletext"/>
            </w:pPr>
            <w:r>
              <w:t>Based on modelled TTD (Study 101)</w:t>
            </w:r>
          </w:p>
        </w:tc>
        <w:tc>
          <w:tcPr>
            <w:tcW w:w="2252" w:type="pct"/>
          </w:tcPr>
          <w:p w14:paraId="0A1A3F75" w14:textId="683AA6D9" w:rsidR="00563070" w:rsidRPr="00563070" w:rsidRDefault="00563070" w:rsidP="00820080">
            <w:pPr>
              <w:pStyle w:val="Tabletext"/>
              <w:rPr>
                <w:iCs/>
              </w:rPr>
            </w:pPr>
          </w:p>
        </w:tc>
      </w:tr>
      <w:tr w:rsidR="00563070" w:rsidRPr="004D1B42" w14:paraId="46E359ED" w14:textId="77777777" w:rsidTr="00820080">
        <w:tc>
          <w:tcPr>
            <w:tcW w:w="1098" w:type="pct"/>
          </w:tcPr>
          <w:p w14:paraId="446719D4" w14:textId="77777777" w:rsidR="00563070" w:rsidRDefault="00563070" w:rsidP="00820080">
            <w:pPr>
              <w:pStyle w:val="Tabletext"/>
            </w:pPr>
            <w:r>
              <w:t>Distribution of standard of care treatments in current clinical practice</w:t>
            </w:r>
          </w:p>
        </w:tc>
        <w:tc>
          <w:tcPr>
            <w:tcW w:w="1650" w:type="pct"/>
          </w:tcPr>
          <w:p w14:paraId="4256A219" w14:textId="77777777" w:rsidR="00563070" w:rsidRDefault="00563070" w:rsidP="00820080">
            <w:pPr>
              <w:pStyle w:val="Tabletext"/>
            </w:pPr>
            <w:r>
              <w:t>Immunotherapies: 25.2%</w:t>
            </w:r>
          </w:p>
          <w:p w14:paraId="109568E2" w14:textId="77777777" w:rsidR="00563070" w:rsidRDefault="00563070" w:rsidP="00820080">
            <w:pPr>
              <w:pStyle w:val="Tabletext"/>
            </w:pPr>
            <w:r w:rsidRPr="001D3C52">
              <w:rPr>
                <w:i/>
              </w:rPr>
              <w:t>EGFR</w:t>
            </w:r>
            <w:r>
              <w:t xml:space="preserve"> TKIs: 45.7%</w:t>
            </w:r>
          </w:p>
          <w:p w14:paraId="4EE56ABC" w14:textId="77777777" w:rsidR="00563070" w:rsidRDefault="00563070" w:rsidP="00820080">
            <w:pPr>
              <w:pStyle w:val="Tabletext"/>
            </w:pPr>
            <w:r>
              <w:t>Chemotherapies: 29.0%</w:t>
            </w:r>
          </w:p>
          <w:p w14:paraId="523C96D2" w14:textId="77777777" w:rsidR="00563070" w:rsidRDefault="00563070" w:rsidP="00820080">
            <w:pPr>
              <w:pStyle w:val="Tabletext"/>
            </w:pPr>
            <w:r>
              <w:t>Study 5008 data, adjusted for Australian context</w:t>
            </w:r>
          </w:p>
        </w:tc>
        <w:tc>
          <w:tcPr>
            <w:tcW w:w="2252" w:type="pct"/>
          </w:tcPr>
          <w:p w14:paraId="7972DF09" w14:textId="77777777" w:rsidR="00563070" w:rsidRPr="00563070" w:rsidRDefault="00563070" w:rsidP="00820080">
            <w:pPr>
              <w:pStyle w:val="Tabletext"/>
              <w:rPr>
                <w:iCs/>
              </w:rPr>
            </w:pPr>
            <w:r w:rsidRPr="00563070">
              <w:rPr>
                <w:iCs/>
              </w:rPr>
              <w:t xml:space="preserve">Given the assumed limited use of immunotherapies and </w:t>
            </w:r>
            <w:r w:rsidRPr="00D752A4">
              <w:rPr>
                <w:i/>
              </w:rPr>
              <w:t>EGFR</w:t>
            </w:r>
            <w:r w:rsidRPr="00563070">
              <w:rPr>
                <w:iCs/>
              </w:rPr>
              <w:t xml:space="preserve"> TKIs in the current refractory setting for the proposed population, the cost offsets to PBS/RPBS are likely to have been overestimated.</w:t>
            </w:r>
          </w:p>
        </w:tc>
      </w:tr>
      <w:tr w:rsidR="00563070" w:rsidRPr="004D1B42" w14:paraId="18E17BD8" w14:textId="77777777" w:rsidTr="00820080">
        <w:tc>
          <w:tcPr>
            <w:tcW w:w="1098" w:type="pct"/>
          </w:tcPr>
          <w:p w14:paraId="1AFDA41A" w14:textId="77777777" w:rsidR="00563070" w:rsidRDefault="00563070" w:rsidP="00820080">
            <w:pPr>
              <w:pStyle w:val="Tabletext"/>
            </w:pPr>
            <w:r>
              <w:lastRenderedPageBreak/>
              <w:t>Treatment duration for standard of care</w:t>
            </w:r>
          </w:p>
        </w:tc>
        <w:tc>
          <w:tcPr>
            <w:tcW w:w="1650" w:type="pct"/>
          </w:tcPr>
          <w:p w14:paraId="0F8D4C78" w14:textId="77777777" w:rsidR="00563070" w:rsidRDefault="00563070" w:rsidP="00820080">
            <w:pPr>
              <w:pStyle w:val="Tabletext"/>
            </w:pPr>
          </w:p>
          <w:p w14:paraId="3ABB54F6" w14:textId="77777777" w:rsidR="00563070" w:rsidRDefault="00563070" w:rsidP="00820080">
            <w:pPr>
              <w:pStyle w:val="Tabletext"/>
            </w:pPr>
            <w:r>
              <w:t>Mean duration (cycles) in each treatment year:</w:t>
            </w:r>
          </w:p>
          <w:p w14:paraId="3FB73224" w14:textId="77777777" w:rsidR="00563070" w:rsidRDefault="00563070" w:rsidP="00820080">
            <w:pPr>
              <w:pStyle w:val="Tabletext"/>
            </w:pPr>
          </w:p>
          <w:p w14:paraId="720B6192" w14:textId="77777777" w:rsidR="00563070" w:rsidRDefault="00563070" w:rsidP="00820080">
            <w:pPr>
              <w:pStyle w:val="Tabletext"/>
            </w:pPr>
            <w:r>
              <w:t>1</w:t>
            </w:r>
            <w:r w:rsidRPr="00963F41">
              <w:rPr>
                <w:vertAlign w:val="superscript"/>
              </w:rPr>
              <w:t>st</w:t>
            </w:r>
            <w:r>
              <w:t xml:space="preserve"> treatment year: 3.71 cycles </w:t>
            </w:r>
          </w:p>
          <w:p w14:paraId="39AB1DB8" w14:textId="77777777" w:rsidR="00563070" w:rsidRDefault="00563070" w:rsidP="00820080">
            <w:pPr>
              <w:pStyle w:val="Tabletext"/>
            </w:pPr>
            <w:r>
              <w:t>2</w:t>
            </w:r>
            <w:r w:rsidRPr="00963F41">
              <w:rPr>
                <w:vertAlign w:val="superscript"/>
              </w:rPr>
              <w:t>nd</w:t>
            </w:r>
            <w:r>
              <w:t xml:space="preserve"> treatment year: 0.70 cycles</w:t>
            </w:r>
          </w:p>
          <w:p w14:paraId="749FE319" w14:textId="77777777" w:rsidR="00563070" w:rsidRDefault="00563070" w:rsidP="00820080">
            <w:pPr>
              <w:pStyle w:val="Tabletext"/>
            </w:pPr>
            <w:r>
              <w:t>3</w:t>
            </w:r>
            <w:r w:rsidRPr="000414FF">
              <w:rPr>
                <w:vertAlign w:val="superscript"/>
              </w:rPr>
              <w:t>rd</w:t>
            </w:r>
            <w:r>
              <w:t xml:space="preserve"> treatment year onward: 0 cycle</w:t>
            </w:r>
          </w:p>
          <w:p w14:paraId="34D82C52" w14:textId="77777777" w:rsidR="00563070" w:rsidRDefault="00563070" w:rsidP="00820080">
            <w:pPr>
              <w:pStyle w:val="Tabletext"/>
            </w:pPr>
          </w:p>
          <w:p w14:paraId="6429118A" w14:textId="77777777" w:rsidR="00563070" w:rsidRDefault="00563070" w:rsidP="00820080">
            <w:pPr>
              <w:pStyle w:val="Tabletext"/>
            </w:pPr>
            <w:r>
              <w:t>Based on modelled TTD (Study 5008)</w:t>
            </w:r>
          </w:p>
        </w:tc>
        <w:tc>
          <w:tcPr>
            <w:tcW w:w="2252" w:type="pct"/>
          </w:tcPr>
          <w:p w14:paraId="1692CD7A" w14:textId="2D1FD429" w:rsidR="00563070" w:rsidRPr="00563070" w:rsidRDefault="00563070" w:rsidP="00820080">
            <w:pPr>
              <w:pStyle w:val="Tabletext"/>
              <w:rPr>
                <w:iCs/>
              </w:rPr>
            </w:pPr>
          </w:p>
        </w:tc>
      </w:tr>
      <w:tr w:rsidR="00563070" w:rsidRPr="004D1B42" w14:paraId="34F1D215" w14:textId="77777777" w:rsidTr="00820080">
        <w:tc>
          <w:tcPr>
            <w:tcW w:w="1098" w:type="pct"/>
          </w:tcPr>
          <w:p w14:paraId="1D58BBA1" w14:textId="77777777" w:rsidR="00563070" w:rsidRDefault="00563070" w:rsidP="00820080">
            <w:pPr>
              <w:pStyle w:val="Tabletext"/>
            </w:pPr>
            <w:r>
              <w:t>Relative dose intensity</w:t>
            </w:r>
          </w:p>
        </w:tc>
        <w:tc>
          <w:tcPr>
            <w:tcW w:w="1650" w:type="pct"/>
          </w:tcPr>
          <w:p w14:paraId="7022BEC4" w14:textId="77777777" w:rsidR="00563070" w:rsidDel="002C0E1A" w:rsidRDefault="00563070" w:rsidP="00820080">
            <w:pPr>
              <w:pStyle w:val="Tabletext"/>
            </w:pPr>
            <w:r>
              <w:t>93% - for both mobocertinib and standard of care</w:t>
            </w:r>
          </w:p>
        </w:tc>
        <w:tc>
          <w:tcPr>
            <w:tcW w:w="2252" w:type="pct"/>
          </w:tcPr>
          <w:p w14:paraId="7FFD56A4" w14:textId="5976184D" w:rsidR="00563070" w:rsidRPr="00563070" w:rsidRDefault="00563070" w:rsidP="00820080">
            <w:pPr>
              <w:pStyle w:val="Tabletext"/>
              <w:rPr>
                <w:iCs/>
              </w:rPr>
            </w:pPr>
          </w:p>
        </w:tc>
      </w:tr>
      <w:tr w:rsidR="00563070" w:rsidRPr="004D1B42" w14:paraId="14E77257" w14:textId="77777777" w:rsidTr="00820080">
        <w:tc>
          <w:tcPr>
            <w:tcW w:w="5000" w:type="pct"/>
            <w:gridSpan w:val="3"/>
            <w:tcBorders>
              <w:top w:val="single" w:sz="4" w:space="0" w:color="auto"/>
              <w:left w:val="single" w:sz="4" w:space="0" w:color="auto"/>
              <w:bottom w:val="single" w:sz="4" w:space="0" w:color="auto"/>
              <w:right w:val="single" w:sz="4" w:space="0" w:color="auto"/>
            </w:tcBorders>
          </w:tcPr>
          <w:p w14:paraId="3C1536E3" w14:textId="77777777" w:rsidR="00563070" w:rsidRPr="00563070" w:rsidRDefault="00563070" w:rsidP="00820080">
            <w:pPr>
              <w:pStyle w:val="Tabletext"/>
              <w:rPr>
                <w:b/>
                <w:iCs/>
              </w:rPr>
            </w:pPr>
            <w:r w:rsidRPr="00563070">
              <w:rPr>
                <w:b/>
                <w:iCs/>
              </w:rPr>
              <w:t>Medical services</w:t>
            </w:r>
          </w:p>
        </w:tc>
      </w:tr>
      <w:tr w:rsidR="00563070" w:rsidRPr="004D1B42" w14:paraId="6384484D" w14:textId="77777777" w:rsidTr="00820080">
        <w:tc>
          <w:tcPr>
            <w:tcW w:w="1098" w:type="pct"/>
          </w:tcPr>
          <w:p w14:paraId="0E1A3F36" w14:textId="77777777" w:rsidR="00563070" w:rsidRDefault="00563070" w:rsidP="00820080">
            <w:pPr>
              <w:pStyle w:val="Tabletext"/>
            </w:pPr>
            <w:r>
              <w:t>Parenteral administration of antineoplastic agents</w:t>
            </w:r>
          </w:p>
        </w:tc>
        <w:tc>
          <w:tcPr>
            <w:tcW w:w="1650" w:type="pct"/>
          </w:tcPr>
          <w:p w14:paraId="1FF7B8A9" w14:textId="77777777" w:rsidR="00563070" w:rsidRPr="004D1B42" w:rsidRDefault="00563070" w:rsidP="00820080">
            <w:pPr>
              <w:pStyle w:val="Tabletext"/>
            </w:pPr>
            <w:r>
              <w:t>100% Schedule fee: $112.40 (80% rebate used in the financial analysis); MBS item 13950</w:t>
            </w:r>
          </w:p>
        </w:tc>
        <w:tc>
          <w:tcPr>
            <w:tcW w:w="2252" w:type="pct"/>
          </w:tcPr>
          <w:p w14:paraId="7D73EE27" w14:textId="3F554408" w:rsidR="00563070" w:rsidRPr="00563070" w:rsidRDefault="00563070" w:rsidP="00820080">
            <w:pPr>
              <w:pStyle w:val="Tabletext"/>
              <w:rPr>
                <w:iCs/>
              </w:rPr>
            </w:pPr>
          </w:p>
        </w:tc>
      </w:tr>
    </w:tbl>
    <w:p w14:paraId="64D68ECF" w14:textId="77777777" w:rsidR="00563070" w:rsidRPr="00D35068" w:rsidRDefault="00563070" w:rsidP="00820080">
      <w:pPr>
        <w:pStyle w:val="Tablenotes1"/>
        <w:widowControl/>
        <w:spacing w:before="0" w:after="120" w:line="240" w:lineRule="auto"/>
        <w:jc w:val="both"/>
        <w:rPr>
          <w:rFonts w:eastAsiaTheme="minorHAnsi"/>
          <w:szCs w:val="22"/>
        </w:rPr>
      </w:pPr>
      <w:r w:rsidRPr="00D35068">
        <w:rPr>
          <w:rFonts w:eastAsiaTheme="minorHAnsi"/>
          <w:szCs w:val="22"/>
        </w:rPr>
        <w:t xml:space="preserve">Source: Compiled based on Table 4-1, p232 of the submission. </w:t>
      </w:r>
    </w:p>
    <w:p w14:paraId="16317710" w14:textId="37EA35B2" w:rsidR="00563070" w:rsidRPr="00D35068" w:rsidRDefault="00563070" w:rsidP="00820080">
      <w:pPr>
        <w:pStyle w:val="Tablenotes1"/>
        <w:widowControl/>
        <w:spacing w:before="0" w:after="120" w:line="240" w:lineRule="auto"/>
        <w:jc w:val="both"/>
        <w:rPr>
          <w:rFonts w:eastAsiaTheme="minorHAnsi"/>
          <w:szCs w:val="22"/>
        </w:rPr>
      </w:pPr>
      <w:r w:rsidRPr="00D35068">
        <w:rPr>
          <w:rFonts w:eastAsiaTheme="minorHAnsi"/>
          <w:szCs w:val="22"/>
        </w:rPr>
        <w:t xml:space="preserve">AIHW = Australian Institute of Health and Welfare; DUSC = Drug Utilisation Sub-Committee; ECOG = Eastern Cooperative Oncology Group; </w:t>
      </w:r>
      <w:r w:rsidRPr="00F418C6">
        <w:rPr>
          <w:rFonts w:eastAsiaTheme="minorHAnsi"/>
          <w:i/>
          <w:szCs w:val="22"/>
        </w:rPr>
        <w:t>EGFR</w:t>
      </w:r>
      <w:r w:rsidRPr="00D35068">
        <w:rPr>
          <w:rFonts w:eastAsiaTheme="minorHAnsi"/>
          <w:szCs w:val="22"/>
        </w:rPr>
        <w:t xml:space="preserve"> = epidermal growth factor receptor; Exon20ins = exon 20 insertions; </w:t>
      </w:r>
      <w:r w:rsidR="00D752A4">
        <w:rPr>
          <w:rFonts w:eastAsiaTheme="minorHAnsi"/>
          <w:szCs w:val="22"/>
        </w:rPr>
        <w:t xml:space="preserve">MBS = Medicare Benefits Schedule; </w:t>
      </w:r>
      <w:r w:rsidRPr="00D35068">
        <w:rPr>
          <w:rFonts w:eastAsiaTheme="minorHAnsi"/>
          <w:szCs w:val="22"/>
        </w:rPr>
        <w:t>MSAC = Medical Services Advisory Committee; NCCI = National Cancer Control Indicators; NSCLC = non-small cell lung cancer; PBC = platinum-based chemotherapy; PBS = Pharmaceutical Benefits Schedule; PSD = public summary document; RPBS = Repatriation Pharmaceutical Benefits Scheme</w:t>
      </w:r>
      <w:r w:rsidR="00D752A4">
        <w:rPr>
          <w:rFonts w:eastAsiaTheme="minorHAnsi"/>
          <w:szCs w:val="22"/>
        </w:rPr>
        <w:t xml:space="preserve">; TKI = tyrosine kinase inhibitor; TTD = </w:t>
      </w:r>
      <w:r w:rsidR="00D752A4" w:rsidRPr="00D752A4">
        <w:rPr>
          <w:rFonts w:eastAsiaTheme="minorHAnsi"/>
          <w:szCs w:val="22"/>
        </w:rPr>
        <w:t>Time to treatment discontinuation</w:t>
      </w:r>
      <w:r w:rsidR="00D752A4">
        <w:rPr>
          <w:rFonts w:eastAsiaTheme="minorHAnsi"/>
          <w:szCs w:val="22"/>
        </w:rPr>
        <w:t>.</w:t>
      </w:r>
    </w:p>
    <w:p w14:paraId="02B16ED1" w14:textId="7E12EADF" w:rsidR="00563070" w:rsidRPr="00D35068" w:rsidRDefault="00563070" w:rsidP="00820080">
      <w:pPr>
        <w:pStyle w:val="Tablenotes1"/>
        <w:widowControl/>
        <w:spacing w:before="0" w:after="120" w:line="240" w:lineRule="auto"/>
        <w:rPr>
          <w:rFonts w:eastAsiaTheme="minorHAnsi"/>
          <w:szCs w:val="22"/>
        </w:rPr>
      </w:pPr>
      <w:r w:rsidRPr="00D35068">
        <w:rPr>
          <w:rFonts w:eastAsiaTheme="minorHAnsi"/>
          <w:szCs w:val="22"/>
          <w:vertAlign w:val="superscript"/>
        </w:rPr>
        <w:t>a</w:t>
      </w:r>
      <w:r w:rsidRPr="00D35068">
        <w:rPr>
          <w:rFonts w:eastAsiaTheme="minorHAnsi"/>
          <w:szCs w:val="22"/>
        </w:rPr>
        <w:t xml:space="preserve"> Australian Institute of Health and Welfare (AIHW) 2022 Cancer Data in Australia; Canberra: AIHW. </w:t>
      </w:r>
      <w:hyperlink r:id="rId18" w:history="1">
        <w:r w:rsidRPr="00D35068">
          <w:rPr>
            <w:rFonts w:eastAsiaTheme="minorHAnsi"/>
            <w:szCs w:val="22"/>
          </w:rPr>
          <w:t>https://www.aihw.gov.au/reports/cancer/cancer-data-in-australia/</w:t>
        </w:r>
      </w:hyperlink>
      <w:r w:rsidRPr="00D35068">
        <w:rPr>
          <w:rFonts w:eastAsiaTheme="minorHAnsi"/>
          <w:szCs w:val="22"/>
        </w:rPr>
        <w:t xml:space="preserve">. </w:t>
      </w:r>
    </w:p>
    <w:p w14:paraId="6BF4FEC5" w14:textId="77777777" w:rsidR="00563070" w:rsidRPr="00D35068" w:rsidRDefault="00563070" w:rsidP="00820080">
      <w:pPr>
        <w:pStyle w:val="Tablenotes1"/>
        <w:widowControl/>
        <w:spacing w:before="0" w:after="120" w:line="240" w:lineRule="auto"/>
        <w:rPr>
          <w:rFonts w:eastAsiaTheme="minorHAnsi"/>
          <w:szCs w:val="22"/>
        </w:rPr>
      </w:pPr>
      <w:r w:rsidRPr="00D35068">
        <w:rPr>
          <w:rFonts w:eastAsiaTheme="minorHAnsi"/>
          <w:szCs w:val="22"/>
          <w:vertAlign w:val="superscript"/>
        </w:rPr>
        <w:t>b</w:t>
      </w:r>
      <w:r w:rsidRPr="00D35068">
        <w:rPr>
          <w:rFonts w:eastAsiaTheme="minorHAnsi"/>
          <w:szCs w:val="22"/>
        </w:rPr>
        <w:t xml:space="preserve"> Vinod SK, Sidhom MA, </w:t>
      </w:r>
      <w:r>
        <w:rPr>
          <w:rFonts w:eastAsiaTheme="minorHAnsi"/>
          <w:i/>
          <w:szCs w:val="22"/>
        </w:rPr>
        <w:t>et al</w:t>
      </w:r>
      <w:r w:rsidRPr="00D35068">
        <w:rPr>
          <w:rFonts w:eastAsiaTheme="minorHAnsi"/>
          <w:szCs w:val="22"/>
        </w:rPr>
        <w:t xml:space="preserve">. Why do some lung cancer patients receive no anticancer treatment? </w:t>
      </w:r>
      <w:r w:rsidRPr="00D35068">
        <w:rPr>
          <w:rFonts w:eastAsiaTheme="minorHAnsi"/>
          <w:i/>
          <w:szCs w:val="22"/>
        </w:rPr>
        <w:t>J Thorac Oncol</w:t>
      </w:r>
      <w:r w:rsidRPr="00D35068">
        <w:rPr>
          <w:rFonts w:eastAsiaTheme="minorHAnsi"/>
          <w:szCs w:val="22"/>
        </w:rPr>
        <w:t>. 2010;5:1025-32</w:t>
      </w:r>
    </w:p>
    <w:p w14:paraId="30DECA46" w14:textId="36C963C6" w:rsidR="00563070" w:rsidRPr="00D35068" w:rsidRDefault="00563070" w:rsidP="00820080">
      <w:pPr>
        <w:pStyle w:val="Tablenotes1"/>
        <w:widowControl/>
        <w:spacing w:before="0" w:after="120" w:line="240" w:lineRule="auto"/>
        <w:rPr>
          <w:rFonts w:eastAsiaTheme="minorHAnsi"/>
          <w:szCs w:val="22"/>
        </w:rPr>
      </w:pPr>
      <w:r w:rsidRPr="00D35068">
        <w:rPr>
          <w:rFonts w:eastAsiaTheme="minorHAnsi"/>
          <w:szCs w:val="22"/>
          <w:vertAlign w:val="superscript"/>
        </w:rPr>
        <w:t>c</w:t>
      </w:r>
      <w:r w:rsidRPr="00D35068">
        <w:rPr>
          <w:rFonts w:eastAsiaTheme="minorHAnsi"/>
          <w:szCs w:val="22"/>
        </w:rPr>
        <w:t xml:space="preserve"> </w:t>
      </w:r>
      <w:hyperlink r:id="rId19" w:history="1">
        <w:r w:rsidRPr="00D35068">
          <w:rPr>
            <w:rFonts w:eastAsiaTheme="minorHAnsi"/>
            <w:szCs w:val="22"/>
          </w:rPr>
          <w:t>https://ncci.canceraustralia.gov.au/diagnosis/distribution-cancer-stage/distribution-cancer-stage</w:t>
        </w:r>
      </w:hyperlink>
    </w:p>
    <w:p w14:paraId="6E02AFD3" w14:textId="77777777" w:rsidR="00563070" w:rsidRPr="00D35068" w:rsidRDefault="00563070" w:rsidP="00820080">
      <w:pPr>
        <w:pStyle w:val="Tablenotes1"/>
        <w:widowControl/>
        <w:spacing w:before="0" w:after="120" w:line="240" w:lineRule="auto"/>
        <w:rPr>
          <w:rFonts w:eastAsiaTheme="minorHAnsi"/>
          <w:szCs w:val="22"/>
        </w:rPr>
      </w:pPr>
      <w:r w:rsidRPr="00D35068">
        <w:rPr>
          <w:rFonts w:eastAsiaTheme="minorHAnsi"/>
          <w:szCs w:val="22"/>
          <w:vertAlign w:val="superscript"/>
        </w:rPr>
        <w:t xml:space="preserve">d </w:t>
      </w:r>
      <w:r w:rsidRPr="00D35068">
        <w:rPr>
          <w:rFonts w:eastAsiaTheme="minorHAnsi"/>
          <w:szCs w:val="22"/>
        </w:rPr>
        <w:t xml:space="preserve">Burnett H, Emich H, </w:t>
      </w:r>
      <w:r>
        <w:rPr>
          <w:rFonts w:eastAsiaTheme="minorHAnsi"/>
          <w:i/>
          <w:szCs w:val="22"/>
        </w:rPr>
        <w:t>et al</w:t>
      </w:r>
      <w:r w:rsidRPr="00D35068">
        <w:rPr>
          <w:rFonts w:eastAsiaTheme="minorHAnsi"/>
          <w:szCs w:val="22"/>
        </w:rPr>
        <w:t xml:space="preserve">. Epidemiological and clinical burden of </w:t>
      </w:r>
      <w:r w:rsidRPr="00F418C6">
        <w:rPr>
          <w:rFonts w:eastAsiaTheme="minorHAnsi"/>
          <w:i/>
          <w:szCs w:val="22"/>
        </w:rPr>
        <w:t>EGFR</w:t>
      </w:r>
      <w:r w:rsidRPr="00D35068">
        <w:rPr>
          <w:rFonts w:eastAsiaTheme="minorHAnsi"/>
          <w:szCs w:val="22"/>
        </w:rPr>
        <w:t xml:space="preserve"> Exon 20 insertion in advanced non-small cell lung cancer: A systematic literature review. </w:t>
      </w:r>
      <w:r w:rsidRPr="00D35068">
        <w:rPr>
          <w:rFonts w:eastAsiaTheme="minorHAnsi"/>
          <w:i/>
          <w:szCs w:val="22"/>
        </w:rPr>
        <w:t>PLoS One</w:t>
      </w:r>
      <w:r w:rsidRPr="00D35068">
        <w:rPr>
          <w:rFonts w:eastAsiaTheme="minorHAnsi"/>
          <w:szCs w:val="22"/>
        </w:rPr>
        <w:t>. 2021;16(3):e0247620</w:t>
      </w:r>
    </w:p>
    <w:p w14:paraId="78202E08" w14:textId="47545292" w:rsidR="007A2A2F" w:rsidRDefault="00563070" w:rsidP="00563070">
      <w:pPr>
        <w:pStyle w:val="3-BodyText"/>
      </w:pPr>
      <w:r>
        <w:t xml:space="preserve">The </w:t>
      </w:r>
      <w:r w:rsidRPr="0063580C">
        <w:t xml:space="preserve">estimated use and financial </w:t>
      </w:r>
      <w:r>
        <w:t>impact</w:t>
      </w:r>
      <w:r w:rsidRPr="0063580C">
        <w:t xml:space="preserve">s of listing </w:t>
      </w:r>
      <w:r>
        <w:t xml:space="preserve">mobocertinib are summarised in </w:t>
      </w:r>
      <w:r>
        <w:fldChar w:fldCharType="begin"/>
      </w:r>
      <w:r>
        <w:instrText xml:space="preserve"> REF _Ref104805295 \h </w:instrText>
      </w:r>
      <w:r>
        <w:fldChar w:fldCharType="separate"/>
      </w:r>
      <w:r w:rsidR="001635D4">
        <w:t xml:space="preserve">Table </w:t>
      </w:r>
      <w:r w:rsidR="001635D4">
        <w:rPr>
          <w:noProof/>
        </w:rPr>
        <w:t>19</w:t>
      </w:r>
      <w:r>
        <w:fldChar w:fldCharType="end"/>
      </w:r>
      <w:r>
        <w:t>.</w:t>
      </w:r>
    </w:p>
    <w:p w14:paraId="12274DD0" w14:textId="77777777" w:rsidR="007A2A2F" w:rsidRDefault="007A2A2F">
      <w:pPr>
        <w:rPr>
          <w:rFonts w:asciiTheme="minorHAnsi" w:hAnsiTheme="minorHAnsi" w:cs="Arial"/>
          <w:snapToGrid w:val="0"/>
        </w:rPr>
      </w:pPr>
      <w:r>
        <w:br w:type="page"/>
      </w:r>
    </w:p>
    <w:p w14:paraId="0592D6D4" w14:textId="3D4AD048" w:rsidR="00563070" w:rsidRPr="00606FBA" w:rsidRDefault="00563070" w:rsidP="00563070">
      <w:pPr>
        <w:pStyle w:val="Caption"/>
        <w:keepNext w:val="0"/>
        <w:keepLines w:val="0"/>
      </w:pPr>
      <w:bookmarkStart w:id="75" w:name="_Ref104805295"/>
      <w:r>
        <w:lastRenderedPageBreak/>
        <w:t xml:space="preserve">Table </w:t>
      </w:r>
      <w:r w:rsidR="001635D4">
        <w:fldChar w:fldCharType="begin"/>
      </w:r>
      <w:r w:rsidR="001635D4">
        <w:instrText xml:space="preserve"> SEQ Table \* ARABIC </w:instrText>
      </w:r>
      <w:r w:rsidR="001635D4">
        <w:fldChar w:fldCharType="separate"/>
      </w:r>
      <w:r w:rsidR="001635D4">
        <w:rPr>
          <w:noProof/>
        </w:rPr>
        <w:t>19</w:t>
      </w:r>
      <w:r w:rsidR="001635D4">
        <w:rPr>
          <w:noProof/>
        </w:rPr>
        <w:fldChar w:fldCharType="end"/>
      </w:r>
      <w:bookmarkEnd w:id="75"/>
      <w:r>
        <w:t>:</w:t>
      </w:r>
      <w:r w:rsidRPr="00606FBA">
        <w:rPr>
          <w:rStyle w:val="CommentReference"/>
          <w:b/>
          <w:szCs w:val="24"/>
        </w:rPr>
        <w:t xml:space="preserve"> Estimated use and financial implications</w:t>
      </w:r>
      <w:r>
        <w:rPr>
          <w:rStyle w:val="CommentReference"/>
          <w:b/>
          <w:szCs w:val="24"/>
        </w:rPr>
        <w:t xml:space="preserve"> (using the proposed effective price for mobocertinib and published prices for the comparator agents)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563070" w:rsidRPr="00D1078F" w14:paraId="7CC4CB94" w14:textId="77777777" w:rsidTr="00C35ABF">
        <w:trPr>
          <w:tblHeader/>
        </w:trPr>
        <w:tc>
          <w:tcPr>
            <w:tcW w:w="1334" w:type="pct"/>
            <w:shd w:val="clear" w:color="auto" w:fill="auto"/>
            <w:vAlign w:val="center"/>
          </w:tcPr>
          <w:p w14:paraId="6D484879" w14:textId="77777777" w:rsidR="00563070" w:rsidRPr="003639A6" w:rsidRDefault="00563070" w:rsidP="00C35ABF">
            <w:pPr>
              <w:pStyle w:val="In-tableHeading"/>
              <w:keepNext w:val="0"/>
              <w:jc w:val="center"/>
            </w:pPr>
          </w:p>
        </w:tc>
        <w:tc>
          <w:tcPr>
            <w:tcW w:w="611" w:type="pct"/>
            <w:shd w:val="clear" w:color="auto" w:fill="auto"/>
            <w:vAlign w:val="center"/>
          </w:tcPr>
          <w:p w14:paraId="09113269" w14:textId="77777777" w:rsidR="00563070" w:rsidRPr="00D1078F" w:rsidRDefault="00563070" w:rsidP="00C35ABF">
            <w:pPr>
              <w:pStyle w:val="In-tableHeading"/>
              <w:keepNext w:val="0"/>
              <w:jc w:val="center"/>
            </w:pPr>
            <w:r w:rsidRPr="004219D3">
              <w:t>2022</w:t>
            </w:r>
          </w:p>
        </w:tc>
        <w:tc>
          <w:tcPr>
            <w:tcW w:w="611" w:type="pct"/>
            <w:shd w:val="clear" w:color="auto" w:fill="auto"/>
            <w:vAlign w:val="center"/>
          </w:tcPr>
          <w:p w14:paraId="73C7A1B6" w14:textId="77777777" w:rsidR="00563070" w:rsidRPr="00D1078F" w:rsidRDefault="00563070" w:rsidP="00C35ABF">
            <w:pPr>
              <w:pStyle w:val="In-tableHeading"/>
              <w:keepNext w:val="0"/>
              <w:jc w:val="center"/>
            </w:pPr>
            <w:r w:rsidRPr="004219D3">
              <w:t>2023</w:t>
            </w:r>
          </w:p>
        </w:tc>
        <w:tc>
          <w:tcPr>
            <w:tcW w:w="611" w:type="pct"/>
            <w:shd w:val="clear" w:color="auto" w:fill="auto"/>
            <w:vAlign w:val="center"/>
          </w:tcPr>
          <w:p w14:paraId="4C93AC77" w14:textId="77777777" w:rsidR="00563070" w:rsidRPr="00D1078F" w:rsidRDefault="00563070" w:rsidP="00C35ABF">
            <w:pPr>
              <w:pStyle w:val="In-tableHeading"/>
              <w:keepNext w:val="0"/>
              <w:jc w:val="center"/>
            </w:pPr>
            <w:r w:rsidRPr="004219D3">
              <w:t>2024</w:t>
            </w:r>
          </w:p>
        </w:tc>
        <w:tc>
          <w:tcPr>
            <w:tcW w:w="611" w:type="pct"/>
            <w:shd w:val="clear" w:color="auto" w:fill="auto"/>
            <w:vAlign w:val="center"/>
          </w:tcPr>
          <w:p w14:paraId="584C3A0E" w14:textId="77777777" w:rsidR="00563070" w:rsidRPr="00D1078F" w:rsidRDefault="00563070" w:rsidP="00C35ABF">
            <w:pPr>
              <w:pStyle w:val="In-tableHeading"/>
              <w:keepNext w:val="0"/>
              <w:jc w:val="center"/>
            </w:pPr>
            <w:r w:rsidRPr="004219D3">
              <w:t>2025</w:t>
            </w:r>
          </w:p>
        </w:tc>
        <w:tc>
          <w:tcPr>
            <w:tcW w:w="611" w:type="pct"/>
            <w:shd w:val="clear" w:color="auto" w:fill="auto"/>
            <w:vAlign w:val="center"/>
          </w:tcPr>
          <w:p w14:paraId="7F5C0958" w14:textId="77777777" w:rsidR="00563070" w:rsidRPr="00D1078F" w:rsidRDefault="00563070" w:rsidP="00C35ABF">
            <w:pPr>
              <w:pStyle w:val="In-tableHeading"/>
              <w:keepNext w:val="0"/>
              <w:jc w:val="center"/>
            </w:pPr>
            <w:r w:rsidRPr="004219D3">
              <w:t>2026</w:t>
            </w:r>
          </w:p>
        </w:tc>
        <w:tc>
          <w:tcPr>
            <w:tcW w:w="611" w:type="pct"/>
            <w:vAlign w:val="center"/>
          </w:tcPr>
          <w:p w14:paraId="08DF6225" w14:textId="77777777" w:rsidR="00563070" w:rsidRPr="00D1078F" w:rsidRDefault="00563070" w:rsidP="00C35ABF">
            <w:pPr>
              <w:pStyle w:val="In-tableHeading"/>
              <w:keepNext w:val="0"/>
              <w:jc w:val="center"/>
            </w:pPr>
            <w:r w:rsidRPr="004219D3">
              <w:t>2027</w:t>
            </w:r>
          </w:p>
        </w:tc>
      </w:tr>
      <w:tr w:rsidR="00563070" w:rsidRPr="00D1078F" w14:paraId="61E7BBD9" w14:textId="77777777" w:rsidTr="00C35ABF">
        <w:tc>
          <w:tcPr>
            <w:tcW w:w="5000" w:type="pct"/>
            <w:gridSpan w:val="7"/>
            <w:shd w:val="clear" w:color="auto" w:fill="auto"/>
            <w:vAlign w:val="center"/>
          </w:tcPr>
          <w:p w14:paraId="24C2D811" w14:textId="77777777" w:rsidR="00563070" w:rsidRPr="00D1078F" w:rsidRDefault="00563070" w:rsidP="00C35ABF">
            <w:pPr>
              <w:pStyle w:val="In-tableHeading"/>
              <w:keepNext w:val="0"/>
              <w:rPr>
                <w:bCs/>
                <w:color w:val="000000"/>
              </w:rPr>
            </w:pPr>
            <w:r w:rsidRPr="00D1078F">
              <w:rPr>
                <w:bCs/>
                <w:color w:val="000000"/>
              </w:rPr>
              <w:t>Estimated extent of use</w:t>
            </w:r>
          </w:p>
        </w:tc>
      </w:tr>
      <w:tr w:rsidR="00563070" w:rsidRPr="003639A6" w14:paraId="6A1B7121" w14:textId="77777777" w:rsidTr="00C35ABF">
        <w:tc>
          <w:tcPr>
            <w:tcW w:w="1334" w:type="pct"/>
            <w:shd w:val="clear" w:color="auto" w:fill="auto"/>
            <w:vAlign w:val="center"/>
          </w:tcPr>
          <w:p w14:paraId="121E4C1A" w14:textId="77777777" w:rsidR="00563070" w:rsidRPr="003639A6" w:rsidRDefault="00563070" w:rsidP="00C35ABF">
            <w:pPr>
              <w:pStyle w:val="TableText0"/>
              <w:keepNext w:val="0"/>
            </w:pPr>
            <w:r>
              <w:t xml:space="preserve">Number of patients initiating mobocertinib treatment </w:t>
            </w:r>
          </w:p>
        </w:tc>
        <w:tc>
          <w:tcPr>
            <w:tcW w:w="611" w:type="pct"/>
            <w:shd w:val="clear" w:color="auto" w:fill="auto"/>
            <w:vAlign w:val="center"/>
          </w:tcPr>
          <w:p w14:paraId="2F5A33E0" w14:textId="766BBF03" w:rsidR="00563070" w:rsidRPr="007A2A2F" w:rsidRDefault="001D6D9F" w:rsidP="00C35ABF">
            <w:pPr>
              <w:pStyle w:val="TableText0"/>
              <w:keepNext w:val="0"/>
              <w:jc w:val="center"/>
              <w:rPr>
                <w:vertAlign w:val="superscript"/>
              </w:rPr>
            </w:pPr>
            <w:r w:rsidRPr="001D6D9F">
              <w:rPr>
                <w:rFonts w:hint="eastAsia"/>
                <w:color w:val="000000"/>
                <w:w w:val="15"/>
                <w:shd w:val="solid" w:color="000000" w:fill="000000"/>
                <w:fitText w:val="60" w:id="-1304677631"/>
                <w14:textFill>
                  <w14:solidFill>
                    <w14:srgbClr w14:val="000000">
                      <w14:alpha w14:val="100000"/>
                    </w14:srgbClr>
                  </w14:solidFill>
                </w14:textFill>
              </w:rPr>
              <w:t xml:space="preserve">　</w:t>
            </w:r>
            <w:r w:rsidRPr="001D6D9F">
              <w:rPr>
                <w:color w:val="000000"/>
                <w:w w:val="15"/>
                <w:shd w:val="solid" w:color="000000" w:fill="000000"/>
                <w:fitText w:val="60" w:id="-1304677631"/>
                <w14:textFill>
                  <w14:solidFill>
                    <w14:srgbClr w14:val="000000">
                      <w14:alpha w14:val="100000"/>
                    </w14:srgbClr>
                  </w14:solidFill>
                </w14:textFill>
              </w:rPr>
              <w:t>|</w:t>
            </w:r>
            <w:r w:rsidRPr="001D6D9F">
              <w:rPr>
                <w:rFonts w:hint="eastAsia"/>
                <w:color w:val="000000"/>
                <w:spacing w:val="-5"/>
                <w:w w:val="15"/>
                <w:shd w:val="solid" w:color="000000" w:fill="000000"/>
                <w:fitText w:val="60" w:id="-1304677631"/>
                <w14:textFill>
                  <w14:solidFill>
                    <w14:srgbClr w14:val="000000">
                      <w14:alpha w14:val="100000"/>
                    </w14:srgbClr>
                  </w14:solidFill>
                </w14:textFill>
              </w:rPr>
              <w:t xml:space="preserve">　</w:t>
            </w:r>
            <w:r w:rsidR="007A2A2F">
              <w:rPr>
                <w:vertAlign w:val="superscript"/>
              </w:rPr>
              <w:t>1</w:t>
            </w:r>
          </w:p>
        </w:tc>
        <w:tc>
          <w:tcPr>
            <w:tcW w:w="611" w:type="pct"/>
            <w:shd w:val="clear" w:color="auto" w:fill="auto"/>
            <w:vAlign w:val="center"/>
          </w:tcPr>
          <w:p w14:paraId="3284D538" w14:textId="4CDFFE57" w:rsidR="00563070" w:rsidRPr="0058419D" w:rsidRDefault="001D6D9F" w:rsidP="00C35ABF">
            <w:pPr>
              <w:pStyle w:val="TableText0"/>
              <w:keepNext w:val="0"/>
              <w:jc w:val="center"/>
            </w:pPr>
            <w:r w:rsidRPr="001D6D9F">
              <w:rPr>
                <w:rFonts w:hint="eastAsia"/>
                <w:color w:val="000000"/>
                <w:w w:val="15"/>
                <w:shd w:val="solid" w:color="000000" w:fill="000000"/>
                <w:fitText w:val="60" w:id="-1304677630"/>
                <w14:textFill>
                  <w14:solidFill>
                    <w14:srgbClr w14:val="000000">
                      <w14:alpha w14:val="100000"/>
                    </w14:srgbClr>
                  </w14:solidFill>
                </w14:textFill>
              </w:rPr>
              <w:t xml:space="preserve">　</w:t>
            </w:r>
            <w:r w:rsidRPr="001D6D9F">
              <w:rPr>
                <w:color w:val="000000"/>
                <w:w w:val="15"/>
                <w:shd w:val="solid" w:color="000000" w:fill="000000"/>
                <w:fitText w:val="60" w:id="-1304677630"/>
                <w14:textFill>
                  <w14:solidFill>
                    <w14:srgbClr w14:val="000000">
                      <w14:alpha w14:val="100000"/>
                    </w14:srgbClr>
                  </w14:solidFill>
                </w14:textFill>
              </w:rPr>
              <w:t>|</w:t>
            </w:r>
            <w:r w:rsidRPr="001D6D9F">
              <w:rPr>
                <w:rFonts w:hint="eastAsia"/>
                <w:color w:val="000000"/>
                <w:spacing w:val="-5"/>
                <w:w w:val="15"/>
                <w:shd w:val="solid" w:color="000000" w:fill="000000"/>
                <w:fitText w:val="60" w:id="-1304677630"/>
                <w14:textFill>
                  <w14:solidFill>
                    <w14:srgbClr w14:val="000000">
                      <w14:alpha w14:val="100000"/>
                    </w14:srgbClr>
                  </w14:solidFill>
                </w14:textFill>
              </w:rPr>
              <w:t xml:space="preserve">　</w:t>
            </w:r>
            <w:r w:rsidR="007A2A2F">
              <w:rPr>
                <w:vertAlign w:val="superscript"/>
              </w:rPr>
              <w:t>1</w:t>
            </w:r>
          </w:p>
        </w:tc>
        <w:tc>
          <w:tcPr>
            <w:tcW w:w="611" w:type="pct"/>
            <w:shd w:val="clear" w:color="auto" w:fill="auto"/>
            <w:vAlign w:val="center"/>
          </w:tcPr>
          <w:p w14:paraId="2CF48BB4" w14:textId="5BE6DEAE" w:rsidR="00563070" w:rsidRPr="0058419D" w:rsidRDefault="001D6D9F" w:rsidP="00C35ABF">
            <w:pPr>
              <w:pStyle w:val="TableText0"/>
              <w:keepNext w:val="0"/>
              <w:jc w:val="center"/>
            </w:pPr>
            <w:r w:rsidRPr="001D6D9F">
              <w:rPr>
                <w:rFonts w:hint="eastAsia"/>
                <w:color w:val="000000"/>
                <w:w w:val="15"/>
                <w:shd w:val="solid" w:color="000000" w:fill="000000"/>
                <w:fitText w:val="60" w:id="-1304677629"/>
                <w14:textFill>
                  <w14:solidFill>
                    <w14:srgbClr w14:val="000000">
                      <w14:alpha w14:val="100000"/>
                    </w14:srgbClr>
                  </w14:solidFill>
                </w14:textFill>
              </w:rPr>
              <w:t xml:space="preserve">　</w:t>
            </w:r>
            <w:r w:rsidRPr="001D6D9F">
              <w:rPr>
                <w:color w:val="000000"/>
                <w:w w:val="15"/>
                <w:shd w:val="solid" w:color="000000" w:fill="000000"/>
                <w:fitText w:val="60" w:id="-1304677629"/>
                <w14:textFill>
                  <w14:solidFill>
                    <w14:srgbClr w14:val="000000">
                      <w14:alpha w14:val="100000"/>
                    </w14:srgbClr>
                  </w14:solidFill>
                </w14:textFill>
              </w:rPr>
              <w:t>|</w:t>
            </w:r>
            <w:r w:rsidRPr="001D6D9F">
              <w:rPr>
                <w:rFonts w:hint="eastAsia"/>
                <w:color w:val="000000"/>
                <w:spacing w:val="-5"/>
                <w:w w:val="15"/>
                <w:shd w:val="solid" w:color="000000" w:fill="000000"/>
                <w:fitText w:val="60" w:id="-1304677629"/>
                <w14:textFill>
                  <w14:solidFill>
                    <w14:srgbClr w14:val="000000">
                      <w14:alpha w14:val="100000"/>
                    </w14:srgbClr>
                  </w14:solidFill>
                </w14:textFill>
              </w:rPr>
              <w:t xml:space="preserve">　</w:t>
            </w:r>
            <w:r w:rsidR="007A2A2F">
              <w:rPr>
                <w:vertAlign w:val="superscript"/>
              </w:rPr>
              <w:t>1</w:t>
            </w:r>
          </w:p>
        </w:tc>
        <w:tc>
          <w:tcPr>
            <w:tcW w:w="611" w:type="pct"/>
            <w:shd w:val="clear" w:color="auto" w:fill="auto"/>
            <w:vAlign w:val="center"/>
          </w:tcPr>
          <w:p w14:paraId="3CA0415F" w14:textId="5E356251" w:rsidR="00563070" w:rsidRPr="0058419D" w:rsidRDefault="001D6D9F" w:rsidP="00C35ABF">
            <w:pPr>
              <w:pStyle w:val="TableText0"/>
              <w:keepNext w:val="0"/>
              <w:jc w:val="center"/>
            </w:pPr>
            <w:r w:rsidRPr="001D6D9F">
              <w:rPr>
                <w:rFonts w:hint="eastAsia"/>
                <w:color w:val="000000"/>
                <w:w w:val="15"/>
                <w:shd w:val="solid" w:color="000000" w:fill="000000"/>
                <w:fitText w:val="60" w:id="-1304677628"/>
                <w14:textFill>
                  <w14:solidFill>
                    <w14:srgbClr w14:val="000000">
                      <w14:alpha w14:val="100000"/>
                    </w14:srgbClr>
                  </w14:solidFill>
                </w14:textFill>
              </w:rPr>
              <w:t xml:space="preserve">　</w:t>
            </w:r>
            <w:r w:rsidRPr="001D6D9F">
              <w:rPr>
                <w:color w:val="000000"/>
                <w:w w:val="15"/>
                <w:shd w:val="solid" w:color="000000" w:fill="000000"/>
                <w:fitText w:val="60" w:id="-1304677628"/>
                <w14:textFill>
                  <w14:solidFill>
                    <w14:srgbClr w14:val="000000">
                      <w14:alpha w14:val="100000"/>
                    </w14:srgbClr>
                  </w14:solidFill>
                </w14:textFill>
              </w:rPr>
              <w:t>|</w:t>
            </w:r>
            <w:r w:rsidRPr="001D6D9F">
              <w:rPr>
                <w:rFonts w:hint="eastAsia"/>
                <w:color w:val="000000"/>
                <w:spacing w:val="-5"/>
                <w:w w:val="15"/>
                <w:shd w:val="solid" w:color="000000" w:fill="000000"/>
                <w:fitText w:val="60" w:id="-1304677628"/>
                <w14:textFill>
                  <w14:solidFill>
                    <w14:srgbClr w14:val="000000">
                      <w14:alpha w14:val="100000"/>
                    </w14:srgbClr>
                  </w14:solidFill>
                </w14:textFill>
              </w:rPr>
              <w:t xml:space="preserve">　</w:t>
            </w:r>
            <w:r w:rsidR="007A2A2F">
              <w:rPr>
                <w:vertAlign w:val="superscript"/>
              </w:rPr>
              <w:t>1</w:t>
            </w:r>
          </w:p>
        </w:tc>
        <w:tc>
          <w:tcPr>
            <w:tcW w:w="611" w:type="pct"/>
            <w:shd w:val="clear" w:color="auto" w:fill="auto"/>
            <w:vAlign w:val="center"/>
          </w:tcPr>
          <w:p w14:paraId="6AF8B034" w14:textId="14C8BC09" w:rsidR="00563070" w:rsidRPr="0058419D" w:rsidRDefault="001D6D9F" w:rsidP="00C35ABF">
            <w:pPr>
              <w:pStyle w:val="TableText0"/>
              <w:keepNext w:val="0"/>
              <w:jc w:val="center"/>
            </w:pPr>
            <w:r w:rsidRPr="001D6D9F">
              <w:rPr>
                <w:rFonts w:hint="eastAsia"/>
                <w:color w:val="000000"/>
                <w:w w:val="15"/>
                <w:shd w:val="solid" w:color="000000" w:fill="000000"/>
                <w:fitText w:val="60" w:id="-1304677627"/>
                <w14:textFill>
                  <w14:solidFill>
                    <w14:srgbClr w14:val="000000">
                      <w14:alpha w14:val="100000"/>
                    </w14:srgbClr>
                  </w14:solidFill>
                </w14:textFill>
              </w:rPr>
              <w:t xml:space="preserve">　</w:t>
            </w:r>
            <w:r w:rsidRPr="001D6D9F">
              <w:rPr>
                <w:color w:val="000000"/>
                <w:w w:val="15"/>
                <w:shd w:val="solid" w:color="000000" w:fill="000000"/>
                <w:fitText w:val="60" w:id="-1304677627"/>
                <w14:textFill>
                  <w14:solidFill>
                    <w14:srgbClr w14:val="000000">
                      <w14:alpha w14:val="100000"/>
                    </w14:srgbClr>
                  </w14:solidFill>
                </w14:textFill>
              </w:rPr>
              <w:t>|</w:t>
            </w:r>
            <w:r w:rsidRPr="001D6D9F">
              <w:rPr>
                <w:rFonts w:hint="eastAsia"/>
                <w:color w:val="000000"/>
                <w:spacing w:val="-5"/>
                <w:w w:val="15"/>
                <w:shd w:val="solid" w:color="000000" w:fill="000000"/>
                <w:fitText w:val="60" w:id="-1304677627"/>
                <w14:textFill>
                  <w14:solidFill>
                    <w14:srgbClr w14:val="000000">
                      <w14:alpha w14:val="100000"/>
                    </w14:srgbClr>
                  </w14:solidFill>
                </w14:textFill>
              </w:rPr>
              <w:t xml:space="preserve">　</w:t>
            </w:r>
            <w:r w:rsidR="007A2A2F">
              <w:rPr>
                <w:vertAlign w:val="superscript"/>
              </w:rPr>
              <w:t>1</w:t>
            </w:r>
          </w:p>
        </w:tc>
        <w:tc>
          <w:tcPr>
            <w:tcW w:w="611" w:type="pct"/>
            <w:vAlign w:val="center"/>
          </w:tcPr>
          <w:p w14:paraId="618C9ACC" w14:textId="62C3172F" w:rsidR="00563070" w:rsidRPr="0058419D" w:rsidRDefault="001D6D9F" w:rsidP="00C35ABF">
            <w:pPr>
              <w:pStyle w:val="TableText0"/>
              <w:keepNext w:val="0"/>
              <w:jc w:val="center"/>
            </w:pPr>
            <w:r w:rsidRPr="001D6D9F">
              <w:rPr>
                <w:rFonts w:hint="eastAsia"/>
                <w:color w:val="000000"/>
                <w:w w:val="15"/>
                <w:shd w:val="solid" w:color="000000" w:fill="000000"/>
                <w:fitText w:val="60" w:id="-1304677626"/>
                <w14:textFill>
                  <w14:solidFill>
                    <w14:srgbClr w14:val="000000">
                      <w14:alpha w14:val="100000"/>
                    </w14:srgbClr>
                  </w14:solidFill>
                </w14:textFill>
              </w:rPr>
              <w:t xml:space="preserve">　</w:t>
            </w:r>
            <w:r w:rsidRPr="001D6D9F">
              <w:rPr>
                <w:color w:val="000000"/>
                <w:w w:val="15"/>
                <w:shd w:val="solid" w:color="000000" w:fill="000000"/>
                <w:fitText w:val="60" w:id="-1304677626"/>
                <w14:textFill>
                  <w14:solidFill>
                    <w14:srgbClr w14:val="000000">
                      <w14:alpha w14:val="100000"/>
                    </w14:srgbClr>
                  </w14:solidFill>
                </w14:textFill>
              </w:rPr>
              <w:t>|</w:t>
            </w:r>
            <w:r w:rsidRPr="001D6D9F">
              <w:rPr>
                <w:rFonts w:hint="eastAsia"/>
                <w:color w:val="000000"/>
                <w:spacing w:val="-5"/>
                <w:w w:val="15"/>
                <w:shd w:val="solid" w:color="000000" w:fill="000000"/>
                <w:fitText w:val="60" w:id="-1304677626"/>
                <w14:textFill>
                  <w14:solidFill>
                    <w14:srgbClr w14:val="000000">
                      <w14:alpha w14:val="100000"/>
                    </w14:srgbClr>
                  </w14:solidFill>
                </w14:textFill>
              </w:rPr>
              <w:t xml:space="preserve">　</w:t>
            </w:r>
            <w:r w:rsidR="007A2A2F">
              <w:rPr>
                <w:vertAlign w:val="superscript"/>
              </w:rPr>
              <w:t>1</w:t>
            </w:r>
          </w:p>
        </w:tc>
      </w:tr>
      <w:tr w:rsidR="00563070" w:rsidRPr="003639A6" w14:paraId="33E6AE7E" w14:textId="77777777" w:rsidTr="00C35ABF">
        <w:tc>
          <w:tcPr>
            <w:tcW w:w="1334" w:type="pct"/>
            <w:shd w:val="clear" w:color="auto" w:fill="auto"/>
            <w:vAlign w:val="center"/>
          </w:tcPr>
          <w:p w14:paraId="39CFE3D8" w14:textId="77777777" w:rsidR="00563070" w:rsidRPr="003639A6" w:rsidRDefault="00563070" w:rsidP="00C35ABF">
            <w:pPr>
              <w:pStyle w:val="TableText0"/>
              <w:keepNext w:val="0"/>
              <w:rPr>
                <w:rFonts w:ascii="Times" w:hAnsi="Times"/>
              </w:rPr>
            </w:pPr>
            <w:r>
              <w:t>Total treated patients</w:t>
            </w:r>
            <w:r>
              <w:rPr>
                <w:vertAlign w:val="superscript"/>
              </w:rPr>
              <w:t xml:space="preserve"> </w:t>
            </w:r>
          </w:p>
        </w:tc>
        <w:tc>
          <w:tcPr>
            <w:tcW w:w="611" w:type="pct"/>
            <w:shd w:val="clear" w:color="auto" w:fill="auto"/>
            <w:vAlign w:val="center"/>
          </w:tcPr>
          <w:p w14:paraId="77649BAC" w14:textId="1C044520" w:rsidR="00563070" w:rsidRPr="003639A6" w:rsidRDefault="001D6D9F" w:rsidP="00C35ABF">
            <w:pPr>
              <w:pStyle w:val="TableText0"/>
              <w:keepNext w:val="0"/>
              <w:jc w:val="center"/>
              <w:rPr>
                <w:color w:val="000000"/>
              </w:rPr>
            </w:pPr>
            <w:r w:rsidRPr="001D6D9F">
              <w:rPr>
                <w:rFonts w:hint="eastAsia"/>
                <w:color w:val="000000"/>
                <w:w w:val="15"/>
                <w:shd w:val="solid" w:color="000000" w:fill="000000"/>
                <w:fitText w:val="60" w:id="-1304677625"/>
                <w14:textFill>
                  <w14:solidFill>
                    <w14:srgbClr w14:val="000000">
                      <w14:alpha w14:val="100000"/>
                    </w14:srgbClr>
                  </w14:solidFill>
                </w14:textFill>
              </w:rPr>
              <w:t xml:space="preserve">　</w:t>
            </w:r>
            <w:r w:rsidRPr="001D6D9F">
              <w:rPr>
                <w:color w:val="000000"/>
                <w:w w:val="15"/>
                <w:shd w:val="solid" w:color="000000" w:fill="000000"/>
                <w:fitText w:val="60" w:id="-1304677625"/>
                <w14:textFill>
                  <w14:solidFill>
                    <w14:srgbClr w14:val="000000">
                      <w14:alpha w14:val="100000"/>
                    </w14:srgbClr>
                  </w14:solidFill>
                </w14:textFill>
              </w:rPr>
              <w:t>|</w:t>
            </w:r>
            <w:r w:rsidRPr="001D6D9F">
              <w:rPr>
                <w:rFonts w:hint="eastAsia"/>
                <w:color w:val="000000"/>
                <w:spacing w:val="-5"/>
                <w:w w:val="15"/>
                <w:shd w:val="solid" w:color="000000" w:fill="000000"/>
                <w:fitText w:val="60" w:id="-1304677625"/>
                <w14:textFill>
                  <w14:solidFill>
                    <w14:srgbClr w14:val="000000">
                      <w14:alpha w14:val="100000"/>
                    </w14:srgbClr>
                  </w14:solidFill>
                </w14:textFill>
              </w:rPr>
              <w:t xml:space="preserve">　</w:t>
            </w:r>
            <w:r w:rsidR="007A2A2F">
              <w:rPr>
                <w:vertAlign w:val="superscript"/>
              </w:rPr>
              <w:t>1</w:t>
            </w:r>
          </w:p>
        </w:tc>
        <w:tc>
          <w:tcPr>
            <w:tcW w:w="611" w:type="pct"/>
            <w:shd w:val="clear" w:color="auto" w:fill="auto"/>
            <w:vAlign w:val="center"/>
          </w:tcPr>
          <w:p w14:paraId="69B51D41" w14:textId="3E239FCC" w:rsidR="00563070" w:rsidRPr="003639A6" w:rsidRDefault="001D6D9F" w:rsidP="00C35ABF">
            <w:pPr>
              <w:pStyle w:val="TableText0"/>
              <w:keepNext w:val="0"/>
              <w:jc w:val="center"/>
              <w:rPr>
                <w:color w:val="000000"/>
              </w:rPr>
            </w:pPr>
            <w:r w:rsidRPr="001D6D9F">
              <w:rPr>
                <w:rFonts w:hint="eastAsia"/>
                <w:color w:val="000000"/>
                <w:w w:val="15"/>
                <w:shd w:val="solid" w:color="000000" w:fill="000000"/>
                <w:fitText w:val="60" w:id="-1304677624"/>
                <w14:textFill>
                  <w14:solidFill>
                    <w14:srgbClr w14:val="000000">
                      <w14:alpha w14:val="100000"/>
                    </w14:srgbClr>
                  </w14:solidFill>
                </w14:textFill>
              </w:rPr>
              <w:t xml:space="preserve">　</w:t>
            </w:r>
            <w:r w:rsidRPr="001D6D9F">
              <w:rPr>
                <w:color w:val="000000"/>
                <w:w w:val="15"/>
                <w:shd w:val="solid" w:color="000000" w:fill="000000"/>
                <w:fitText w:val="60" w:id="-1304677624"/>
                <w14:textFill>
                  <w14:solidFill>
                    <w14:srgbClr w14:val="000000">
                      <w14:alpha w14:val="100000"/>
                    </w14:srgbClr>
                  </w14:solidFill>
                </w14:textFill>
              </w:rPr>
              <w:t>|</w:t>
            </w:r>
            <w:r w:rsidRPr="001D6D9F">
              <w:rPr>
                <w:rFonts w:hint="eastAsia"/>
                <w:color w:val="000000"/>
                <w:spacing w:val="-5"/>
                <w:w w:val="15"/>
                <w:shd w:val="solid" w:color="000000" w:fill="000000"/>
                <w:fitText w:val="60" w:id="-1304677624"/>
                <w14:textFill>
                  <w14:solidFill>
                    <w14:srgbClr w14:val="000000">
                      <w14:alpha w14:val="100000"/>
                    </w14:srgbClr>
                  </w14:solidFill>
                </w14:textFill>
              </w:rPr>
              <w:t xml:space="preserve">　</w:t>
            </w:r>
            <w:r w:rsidR="007A2A2F">
              <w:rPr>
                <w:vertAlign w:val="superscript"/>
              </w:rPr>
              <w:t>1</w:t>
            </w:r>
          </w:p>
        </w:tc>
        <w:tc>
          <w:tcPr>
            <w:tcW w:w="611" w:type="pct"/>
            <w:shd w:val="clear" w:color="auto" w:fill="auto"/>
            <w:vAlign w:val="center"/>
          </w:tcPr>
          <w:p w14:paraId="6430258C" w14:textId="6C9BF675" w:rsidR="00563070" w:rsidRPr="003639A6" w:rsidRDefault="001D6D9F" w:rsidP="00C35ABF">
            <w:pPr>
              <w:pStyle w:val="TableText0"/>
              <w:keepNext w:val="0"/>
              <w:jc w:val="center"/>
              <w:rPr>
                <w:color w:val="000000"/>
              </w:rPr>
            </w:pPr>
            <w:r w:rsidRPr="001D6D9F">
              <w:rPr>
                <w:rFonts w:hint="eastAsia"/>
                <w:color w:val="000000"/>
                <w:w w:val="15"/>
                <w:shd w:val="solid" w:color="000000" w:fill="000000"/>
                <w:fitText w:val="60" w:id="-1304677623"/>
                <w14:textFill>
                  <w14:solidFill>
                    <w14:srgbClr w14:val="000000">
                      <w14:alpha w14:val="100000"/>
                    </w14:srgbClr>
                  </w14:solidFill>
                </w14:textFill>
              </w:rPr>
              <w:t xml:space="preserve">　</w:t>
            </w:r>
            <w:r w:rsidRPr="001D6D9F">
              <w:rPr>
                <w:color w:val="000000"/>
                <w:w w:val="15"/>
                <w:shd w:val="solid" w:color="000000" w:fill="000000"/>
                <w:fitText w:val="60" w:id="-1304677623"/>
                <w14:textFill>
                  <w14:solidFill>
                    <w14:srgbClr w14:val="000000">
                      <w14:alpha w14:val="100000"/>
                    </w14:srgbClr>
                  </w14:solidFill>
                </w14:textFill>
              </w:rPr>
              <w:t>|</w:t>
            </w:r>
            <w:r w:rsidRPr="001D6D9F">
              <w:rPr>
                <w:rFonts w:hint="eastAsia"/>
                <w:color w:val="000000"/>
                <w:spacing w:val="-5"/>
                <w:w w:val="15"/>
                <w:shd w:val="solid" w:color="000000" w:fill="000000"/>
                <w:fitText w:val="60" w:id="-1304677623"/>
                <w14:textFill>
                  <w14:solidFill>
                    <w14:srgbClr w14:val="000000">
                      <w14:alpha w14:val="100000"/>
                    </w14:srgbClr>
                  </w14:solidFill>
                </w14:textFill>
              </w:rPr>
              <w:t xml:space="preserve">　</w:t>
            </w:r>
            <w:r w:rsidR="007A2A2F">
              <w:rPr>
                <w:vertAlign w:val="superscript"/>
              </w:rPr>
              <w:t>1</w:t>
            </w:r>
          </w:p>
        </w:tc>
        <w:tc>
          <w:tcPr>
            <w:tcW w:w="611" w:type="pct"/>
            <w:shd w:val="clear" w:color="auto" w:fill="auto"/>
            <w:vAlign w:val="center"/>
          </w:tcPr>
          <w:p w14:paraId="261D4B05" w14:textId="0E6E142E" w:rsidR="00563070" w:rsidRPr="003639A6" w:rsidRDefault="001D6D9F" w:rsidP="00C35ABF">
            <w:pPr>
              <w:pStyle w:val="TableText0"/>
              <w:keepNext w:val="0"/>
              <w:jc w:val="center"/>
              <w:rPr>
                <w:color w:val="000000"/>
              </w:rPr>
            </w:pPr>
            <w:r w:rsidRPr="001D6D9F">
              <w:rPr>
                <w:rFonts w:hint="eastAsia"/>
                <w:color w:val="000000"/>
                <w:w w:val="15"/>
                <w:shd w:val="solid" w:color="000000" w:fill="000000"/>
                <w:fitText w:val="60" w:id="-1304677622"/>
                <w14:textFill>
                  <w14:solidFill>
                    <w14:srgbClr w14:val="000000">
                      <w14:alpha w14:val="100000"/>
                    </w14:srgbClr>
                  </w14:solidFill>
                </w14:textFill>
              </w:rPr>
              <w:t xml:space="preserve">　</w:t>
            </w:r>
            <w:r w:rsidRPr="001D6D9F">
              <w:rPr>
                <w:color w:val="000000"/>
                <w:w w:val="15"/>
                <w:shd w:val="solid" w:color="000000" w:fill="000000"/>
                <w:fitText w:val="60" w:id="-1304677622"/>
                <w14:textFill>
                  <w14:solidFill>
                    <w14:srgbClr w14:val="000000">
                      <w14:alpha w14:val="100000"/>
                    </w14:srgbClr>
                  </w14:solidFill>
                </w14:textFill>
              </w:rPr>
              <w:t>|</w:t>
            </w:r>
            <w:r w:rsidRPr="001D6D9F">
              <w:rPr>
                <w:rFonts w:hint="eastAsia"/>
                <w:color w:val="000000"/>
                <w:spacing w:val="-5"/>
                <w:w w:val="15"/>
                <w:shd w:val="solid" w:color="000000" w:fill="000000"/>
                <w:fitText w:val="60" w:id="-1304677622"/>
                <w14:textFill>
                  <w14:solidFill>
                    <w14:srgbClr w14:val="000000">
                      <w14:alpha w14:val="100000"/>
                    </w14:srgbClr>
                  </w14:solidFill>
                </w14:textFill>
              </w:rPr>
              <w:t xml:space="preserve">　</w:t>
            </w:r>
            <w:r w:rsidR="007A2A2F">
              <w:rPr>
                <w:vertAlign w:val="superscript"/>
              </w:rPr>
              <w:t>1</w:t>
            </w:r>
          </w:p>
        </w:tc>
        <w:tc>
          <w:tcPr>
            <w:tcW w:w="611" w:type="pct"/>
            <w:shd w:val="clear" w:color="auto" w:fill="auto"/>
            <w:vAlign w:val="center"/>
          </w:tcPr>
          <w:p w14:paraId="4CD3CC84" w14:textId="2FA5CF12" w:rsidR="00563070" w:rsidRPr="003639A6" w:rsidRDefault="001D6D9F" w:rsidP="00C35ABF">
            <w:pPr>
              <w:pStyle w:val="TableText0"/>
              <w:keepNext w:val="0"/>
              <w:jc w:val="center"/>
              <w:rPr>
                <w:color w:val="000000"/>
              </w:rPr>
            </w:pPr>
            <w:r w:rsidRPr="001D6D9F">
              <w:rPr>
                <w:rFonts w:hint="eastAsia"/>
                <w:color w:val="000000"/>
                <w:w w:val="15"/>
                <w:shd w:val="solid" w:color="000000" w:fill="000000"/>
                <w:fitText w:val="60" w:id="-1304677621"/>
                <w14:textFill>
                  <w14:solidFill>
                    <w14:srgbClr w14:val="000000">
                      <w14:alpha w14:val="100000"/>
                    </w14:srgbClr>
                  </w14:solidFill>
                </w14:textFill>
              </w:rPr>
              <w:t xml:space="preserve">　</w:t>
            </w:r>
            <w:r w:rsidRPr="001D6D9F">
              <w:rPr>
                <w:color w:val="000000"/>
                <w:w w:val="15"/>
                <w:shd w:val="solid" w:color="000000" w:fill="000000"/>
                <w:fitText w:val="60" w:id="-1304677621"/>
                <w14:textFill>
                  <w14:solidFill>
                    <w14:srgbClr w14:val="000000">
                      <w14:alpha w14:val="100000"/>
                    </w14:srgbClr>
                  </w14:solidFill>
                </w14:textFill>
              </w:rPr>
              <w:t>|</w:t>
            </w:r>
            <w:r w:rsidRPr="001D6D9F">
              <w:rPr>
                <w:rFonts w:hint="eastAsia"/>
                <w:color w:val="000000"/>
                <w:spacing w:val="-5"/>
                <w:w w:val="15"/>
                <w:shd w:val="solid" w:color="000000" w:fill="000000"/>
                <w:fitText w:val="60" w:id="-1304677621"/>
                <w14:textFill>
                  <w14:solidFill>
                    <w14:srgbClr w14:val="000000">
                      <w14:alpha w14:val="100000"/>
                    </w14:srgbClr>
                  </w14:solidFill>
                </w14:textFill>
              </w:rPr>
              <w:t xml:space="preserve">　</w:t>
            </w:r>
            <w:r w:rsidR="007A2A2F">
              <w:rPr>
                <w:vertAlign w:val="superscript"/>
              </w:rPr>
              <w:t>1</w:t>
            </w:r>
          </w:p>
        </w:tc>
        <w:tc>
          <w:tcPr>
            <w:tcW w:w="611" w:type="pct"/>
            <w:vAlign w:val="center"/>
          </w:tcPr>
          <w:p w14:paraId="7459CBA7" w14:textId="41F4DDAC" w:rsidR="00563070" w:rsidRPr="003639A6" w:rsidRDefault="001D6D9F" w:rsidP="00C35ABF">
            <w:pPr>
              <w:pStyle w:val="TableText0"/>
              <w:keepNext w:val="0"/>
              <w:jc w:val="center"/>
              <w:rPr>
                <w:color w:val="000000"/>
              </w:rPr>
            </w:pPr>
            <w:r w:rsidRPr="001D6D9F">
              <w:rPr>
                <w:rFonts w:hint="eastAsia"/>
                <w:color w:val="000000"/>
                <w:w w:val="15"/>
                <w:shd w:val="solid" w:color="000000" w:fill="000000"/>
                <w:fitText w:val="60" w:id="-1304677620"/>
                <w14:textFill>
                  <w14:solidFill>
                    <w14:srgbClr w14:val="000000">
                      <w14:alpha w14:val="100000"/>
                    </w14:srgbClr>
                  </w14:solidFill>
                </w14:textFill>
              </w:rPr>
              <w:t xml:space="preserve">　</w:t>
            </w:r>
            <w:r w:rsidRPr="001D6D9F">
              <w:rPr>
                <w:color w:val="000000"/>
                <w:w w:val="15"/>
                <w:shd w:val="solid" w:color="000000" w:fill="000000"/>
                <w:fitText w:val="60" w:id="-1304677620"/>
                <w14:textFill>
                  <w14:solidFill>
                    <w14:srgbClr w14:val="000000">
                      <w14:alpha w14:val="100000"/>
                    </w14:srgbClr>
                  </w14:solidFill>
                </w14:textFill>
              </w:rPr>
              <w:t>|</w:t>
            </w:r>
            <w:r w:rsidRPr="001D6D9F">
              <w:rPr>
                <w:rFonts w:hint="eastAsia"/>
                <w:color w:val="000000"/>
                <w:spacing w:val="-5"/>
                <w:w w:val="15"/>
                <w:shd w:val="solid" w:color="000000" w:fill="000000"/>
                <w:fitText w:val="60" w:id="-1304677620"/>
                <w14:textFill>
                  <w14:solidFill>
                    <w14:srgbClr w14:val="000000">
                      <w14:alpha w14:val="100000"/>
                    </w14:srgbClr>
                  </w14:solidFill>
                </w14:textFill>
              </w:rPr>
              <w:t xml:space="preserve">　</w:t>
            </w:r>
            <w:r w:rsidR="007A2A2F">
              <w:rPr>
                <w:vertAlign w:val="superscript"/>
              </w:rPr>
              <w:t>1</w:t>
            </w:r>
          </w:p>
        </w:tc>
      </w:tr>
      <w:tr w:rsidR="00563070" w:rsidRPr="003639A6" w14:paraId="2E7FF9AC" w14:textId="77777777" w:rsidTr="00C35ABF">
        <w:tc>
          <w:tcPr>
            <w:tcW w:w="1334" w:type="pct"/>
            <w:shd w:val="clear" w:color="auto" w:fill="auto"/>
            <w:vAlign w:val="center"/>
          </w:tcPr>
          <w:p w14:paraId="33C0F61C" w14:textId="77777777" w:rsidR="00563070" w:rsidRPr="003639A6" w:rsidRDefault="00563070" w:rsidP="00C35ABF">
            <w:pPr>
              <w:pStyle w:val="TableText0"/>
              <w:keepNext w:val="0"/>
              <w:rPr>
                <w:rFonts w:ascii="Times" w:hAnsi="Times"/>
              </w:rPr>
            </w:pPr>
            <w:r w:rsidRPr="003639A6">
              <w:t xml:space="preserve">Number of </w:t>
            </w:r>
            <w:r>
              <w:t>scripts</w:t>
            </w:r>
            <w:r w:rsidRPr="003639A6">
              <w:t xml:space="preserve"> dispensed</w:t>
            </w:r>
            <w:r>
              <w:rPr>
                <w:vertAlign w:val="superscript"/>
              </w:rPr>
              <w:t>a</w:t>
            </w:r>
          </w:p>
        </w:tc>
        <w:tc>
          <w:tcPr>
            <w:tcW w:w="611" w:type="pct"/>
            <w:shd w:val="clear" w:color="auto" w:fill="auto"/>
            <w:vAlign w:val="center"/>
          </w:tcPr>
          <w:p w14:paraId="0CAE5DF3" w14:textId="2A4D9F87" w:rsidR="00563070" w:rsidRPr="003639A6" w:rsidRDefault="001D6D9F" w:rsidP="00C35ABF">
            <w:pPr>
              <w:pStyle w:val="TableText0"/>
              <w:keepNext w:val="0"/>
              <w:jc w:val="center"/>
              <w:rPr>
                <w:color w:val="000000"/>
              </w:rPr>
            </w:pPr>
            <w:r w:rsidRPr="001D6D9F">
              <w:rPr>
                <w:rFonts w:hint="eastAsia"/>
                <w:color w:val="000000"/>
                <w:w w:val="15"/>
                <w:shd w:val="solid" w:color="000000" w:fill="000000"/>
                <w:fitText w:val="60" w:id="-1304677619"/>
                <w14:textFill>
                  <w14:solidFill>
                    <w14:srgbClr w14:val="000000">
                      <w14:alpha w14:val="100000"/>
                    </w14:srgbClr>
                  </w14:solidFill>
                </w14:textFill>
              </w:rPr>
              <w:t xml:space="preserve">　</w:t>
            </w:r>
            <w:r w:rsidRPr="001D6D9F">
              <w:rPr>
                <w:color w:val="000000"/>
                <w:w w:val="15"/>
                <w:shd w:val="solid" w:color="000000" w:fill="000000"/>
                <w:fitText w:val="60" w:id="-1304677619"/>
                <w14:textFill>
                  <w14:solidFill>
                    <w14:srgbClr w14:val="000000">
                      <w14:alpha w14:val="100000"/>
                    </w14:srgbClr>
                  </w14:solidFill>
                </w14:textFill>
              </w:rPr>
              <w:t>|</w:t>
            </w:r>
            <w:r w:rsidRPr="001D6D9F">
              <w:rPr>
                <w:rFonts w:hint="eastAsia"/>
                <w:color w:val="000000"/>
                <w:spacing w:val="-5"/>
                <w:w w:val="15"/>
                <w:shd w:val="solid" w:color="000000" w:fill="000000"/>
                <w:fitText w:val="60" w:id="-1304677619"/>
                <w14:textFill>
                  <w14:solidFill>
                    <w14:srgbClr w14:val="000000">
                      <w14:alpha w14:val="100000"/>
                    </w14:srgbClr>
                  </w14:solidFill>
                </w14:textFill>
              </w:rPr>
              <w:t xml:space="preserve">　</w:t>
            </w:r>
            <w:r w:rsidR="007A2A2F">
              <w:rPr>
                <w:vertAlign w:val="superscript"/>
              </w:rPr>
              <w:t>2</w:t>
            </w:r>
          </w:p>
        </w:tc>
        <w:tc>
          <w:tcPr>
            <w:tcW w:w="611" w:type="pct"/>
            <w:shd w:val="clear" w:color="auto" w:fill="auto"/>
            <w:vAlign w:val="center"/>
          </w:tcPr>
          <w:p w14:paraId="1856FB96" w14:textId="115152E2" w:rsidR="00563070" w:rsidRPr="003639A6" w:rsidRDefault="001D6D9F" w:rsidP="00C35ABF">
            <w:pPr>
              <w:pStyle w:val="TableText0"/>
              <w:keepNext w:val="0"/>
              <w:jc w:val="center"/>
              <w:rPr>
                <w:color w:val="000000"/>
              </w:rPr>
            </w:pPr>
            <w:r w:rsidRPr="001D6D9F">
              <w:rPr>
                <w:rFonts w:hint="eastAsia"/>
                <w:color w:val="000000"/>
                <w:w w:val="15"/>
                <w:shd w:val="solid" w:color="000000" w:fill="000000"/>
                <w:fitText w:val="60" w:id="-1304677618"/>
                <w14:textFill>
                  <w14:solidFill>
                    <w14:srgbClr w14:val="000000">
                      <w14:alpha w14:val="100000"/>
                    </w14:srgbClr>
                  </w14:solidFill>
                </w14:textFill>
              </w:rPr>
              <w:t xml:space="preserve">　</w:t>
            </w:r>
            <w:r w:rsidRPr="001D6D9F">
              <w:rPr>
                <w:color w:val="000000"/>
                <w:w w:val="15"/>
                <w:shd w:val="solid" w:color="000000" w:fill="000000"/>
                <w:fitText w:val="60" w:id="-1304677618"/>
                <w14:textFill>
                  <w14:solidFill>
                    <w14:srgbClr w14:val="000000">
                      <w14:alpha w14:val="100000"/>
                    </w14:srgbClr>
                  </w14:solidFill>
                </w14:textFill>
              </w:rPr>
              <w:t>|</w:t>
            </w:r>
            <w:r w:rsidRPr="001D6D9F">
              <w:rPr>
                <w:rFonts w:hint="eastAsia"/>
                <w:color w:val="000000"/>
                <w:spacing w:val="-5"/>
                <w:w w:val="15"/>
                <w:shd w:val="solid" w:color="000000" w:fill="000000"/>
                <w:fitText w:val="60" w:id="-1304677618"/>
                <w14:textFill>
                  <w14:solidFill>
                    <w14:srgbClr w14:val="000000">
                      <w14:alpha w14:val="100000"/>
                    </w14:srgbClr>
                  </w14:solidFill>
                </w14:textFill>
              </w:rPr>
              <w:t xml:space="preserve">　</w:t>
            </w:r>
            <w:r w:rsidR="007A2A2F">
              <w:rPr>
                <w:vertAlign w:val="superscript"/>
              </w:rPr>
              <w:t>2</w:t>
            </w:r>
          </w:p>
        </w:tc>
        <w:tc>
          <w:tcPr>
            <w:tcW w:w="611" w:type="pct"/>
            <w:shd w:val="clear" w:color="auto" w:fill="auto"/>
            <w:vAlign w:val="center"/>
          </w:tcPr>
          <w:p w14:paraId="5BFE67D5" w14:textId="3B9C0264" w:rsidR="00563070" w:rsidRPr="003639A6" w:rsidRDefault="001D6D9F" w:rsidP="00C35ABF">
            <w:pPr>
              <w:pStyle w:val="TableText0"/>
              <w:keepNext w:val="0"/>
              <w:jc w:val="center"/>
              <w:rPr>
                <w:color w:val="000000"/>
              </w:rPr>
            </w:pPr>
            <w:r w:rsidRPr="001D6D9F">
              <w:rPr>
                <w:rFonts w:hint="eastAsia"/>
                <w:color w:val="000000"/>
                <w:w w:val="15"/>
                <w:shd w:val="solid" w:color="000000" w:fill="000000"/>
                <w:fitText w:val="60" w:id="-1304677617"/>
                <w14:textFill>
                  <w14:solidFill>
                    <w14:srgbClr w14:val="000000">
                      <w14:alpha w14:val="100000"/>
                    </w14:srgbClr>
                  </w14:solidFill>
                </w14:textFill>
              </w:rPr>
              <w:t xml:space="preserve">　</w:t>
            </w:r>
            <w:r w:rsidRPr="001D6D9F">
              <w:rPr>
                <w:color w:val="000000"/>
                <w:w w:val="15"/>
                <w:shd w:val="solid" w:color="000000" w:fill="000000"/>
                <w:fitText w:val="60" w:id="-1304677617"/>
                <w14:textFill>
                  <w14:solidFill>
                    <w14:srgbClr w14:val="000000">
                      <w14:alpha w14:val="100000"/>
                    </w14:srgbClr>
                  </w14:solidFill>
                </w14:textFill>
              </w:rPr>
              <w:t>|</w:t>
            </w:r>
            <w:r w:rsidRPr="001D6D9F">
              <w:rPr>
                <w:rFonts w:hint="eastAsia"/>
                <w:color w:val="000000"/>
                <w:spacing w:val="-5"/>
                <w:w w:val="15"/>
                <w:shd w:val="solid" w:color="000000" w:fill="000000"/>
                <w:fitText w:val="60" w:id="-1304677617"/>
                <w14:textFill>
                  <w14:solidFill>
                    <w14:srgbClr w14:val="000000">
                      <w14:alpha w14:val="100000"/>
                    </w14:srgbClr>
                  </w14:solidFill>
                </w14:textFill>
              </w:rPr>
              <w:t xml:space="preserve">　</w:t>
            </w:r>
            <w:r w:rsidR="007A2A2F">
              <w:rPr>
                <w:vertAlign w:val="superscript"/>
              </w:rPr>
              <w:t>2</w:t>
            </w:r>
          </w:p>
        </w:tc>
        <w:tc>
          <w:tcPr>
            <w:tcW w:w="611" w:type="pct"/>
            <w:shd w:val="clear" w:color="auto" w:fill="auto"/>
            <w:vAlign w:val="center"/>
          </w:tcPr>
          <w:p w14:paraId="49E23503" w14:textId="0F83C1E7" w:rsidR="00563070" w:rsidRPr="003639A6" w:rsidRDefault="001D6D9F" w:rsidP="00C35ABF">
            <w:pPr>
              <w:pStyle w:val="TableText0"/>
              <w:keepNext w:val="0"/>
              <w:jc w:val="center"/>
              <w:rPr>
                <w:color w:val="000000"/>
              </w:rPr>
            </w:pPr>
            <w:r w:rsidRPr="001D6D9F">
              <w:rPr>
                <w:rFonts w:hint="eastAsia"/>
                <w:color w:val="000000"/>
                <w:w w:val="15"/>
                <w:shd w:val="solid" w:color="000000" w:fill="000000"/>
                <w:fitText w:val="60" w:id="-1304677616"/>
                <w14:textFill>
                  <w14:solidFill>
                    <w14:srgbClr w14:val="000000">
                      <w14:alpha w14:val="100000"/>
                    </w14:srgbClr>
                  </w14:solidFill>
                </w14:textFill>
              </w:rPr>
              <w:t xml:space="preserve">　</w:t>
            </w:r>
            <w:r w:rsidRPr="001D6D9F">
              <w:rPr>
                <w:color w:val="000000"/>
                <w:w w:val="15"/>
                <w:shd w:val="solid" w:color="000000" w:fill="000000"/>
                <w:fitText w:val="60" w:id="-1304677616"/>
                <w14:textFill>
                  <w14:solidFill>
                    <w14:srgbClr w14:val="000000">
                      <w14:alpha w14:val="100000"/>
                    </w14:srgbClr>
                  </w14:solidFill>
                </w14:textFill>
              </w:rPr>
              <w:t>|</w:t>
            </w:r>
            <w:r w:rsidRPr="001D6D9F">
              <w:rPr>
                <w:rFonts w:hint="eastAsia"/>
                <w:color w:val="000000"/>
                <w:spacing w:val="-5"/>
                <w:w w:val="15"/>
                <w:shd w:val="solid" w:color="000000" w:fill="000000"/>
                <w:fitText w:val="60" w:id="-1304677616"/>
                <w14:textFill>
                  <w14:solidFill>
                    <w14:srgbClr w14:val="000000">
                      <w14:alpha w14:val="100000"/>
                    </w14:srgbClr>
                  </w14:solidFill>
                </w14:textFill>
              </w:rPr>
              <w:t xml:space="preserve">　</w:t>
            </w:r>
            <w:r w:rsidR="007A2A2F">
              <w:rPr>
                <w:vertAlign w:val="superscript"/>
              </w:rPr>
              <w:t>2</w:t>
            </w:r>
          </w:p>
        </w:tc>
        <w:tc>
          <w:tcPr>
            <w:tcW w:w="611" w:type="pct"/>
            <w:shd w:val="clear" w:color="auto" w:fill="auto"/>
            <w:vAlign w:val="center"/>
          </w:tcPr>
          <w:p w14:paraId="06189DBE" w14:textId="638126AC" w:rsidR="00563070" w:rsidRPr="003639A6" w:rsidRDefault="001D6D9F" w:rsidP="00C35ABF">
            <w:pPr>
              <w:pStyle w:val="TableText0"/>
              <w:keepNext w:val="0"/>
              <w:jc w:val="center"/>
              <w:rPr>
                <w:color w:val="000000"/>
              </w:rPr>
            </w:pPr>
            <w:r w:rsidRPr="001D6D9F">
              <w:rPr>
                <w:rFonts w:hint="eastAsia"/>
                <w:color w:val="000000"/>
                <w:w w:val="15"/>
                <w:shd w:val="solid" w:color="000000" w:fill="000000"/>
                <w:fitText w:val="60" w:id="-1304677632"/>
                <w14:textFill>
                  <w14:solidFill>
                    <w14:srgbClr w14:val="000000">
                      <w14:alpha w14:val="100000"/>
                    </w14:srgbClr>
                  </w14:solidFill>
                </w14:textFill>
              </w:rPr>
              <w:t xml:space="preserve">　</w:t>
            </w:r>
            <w:r w:rsidRPr="001D6D9F">
              <w:rPr>
                <w:color w:val="000000"/>
                <w:w w:val="15"/>
                <w:shd w:val="solid" w:color="000000" w:fill="000000"/>
                <w:fitText w:val="60" w:id="-1304677632"/>
                <w14:textFill>
                  <w14:solidFill>
                    <w14:srgbClr w14:val="000000">
                      <w14:alpha w14:val="100000"/>
                    </w14:srgbClr>
                  </w14:solidFill>
                </w14:textFill>
              </w:rPr>
              <w:t>|</w:t>
            </w:r>
            <w:r w:rsidRPr="001D6D9F">
              <w:rPr>
                <w:rFonts w:hint="eastAsia"/>
                <w:color w:val="000000"/>
                <w:spacing w:val="-5"/>
                <w:w w:val="15"/>
                <w:shd w:val="solid" w:color="000000" w:fill="000000"/>
                <w:fitText w:val="60" w:id="-1304677632"/>
                <w14:textFill>
                  <w14:solidFill>
                    <w14:srgbClr w14:val="000000">
                      <w14:alpha w14:val="100000"/>
                    </w14:srgbClr>
                  </w14:solidFill>
                </w14:textFill>
              </w:rPr>
              <w:t xml:space="preserve">　</w:t>
            </w:r>
            <w:r w:rsidR="007A2A2F">
              <w:rPr>
                <w:vertAlign w:val="superscript"/>
              </w:rPr>
              <w:t>2</w:t>
            </w:r>
          </w:p>
        </w:tc>
        <w:tc>
          <w:tcPr>
            <w:tcW w:w="611" w:type="pct"/>
            <w:vAlign w:val="center"/>
          </w:tcPr>
          <w:p w14:paraId="796839D8" w14:textId="1D8080E6" w:rsidR="00563070" w:rsidRPr="003639A6" w:rsidRDefault="001D6D9F" w:rsidP="00C35ABF">
            <w:pPr>
              <w:pStyle w:val="TableText0"/>
              <w:keepNext w:val="0"/>
              <w:jc w:val="center"/>
              <w:rPr>
                <w:color w:val="000000"/>
              </w:rPr>
            </w:pPr>
            <w:r w:rsidRPr="001D6D9F">
              <w:rPr>
                <w:rFonts w:hint="eastAsia"/>
                <w:color w:val="000000"/>
                <w:w w:val="15"/>
                <w:shd w:val="solid" w:color="000000" w:fill="000000"/>
                <w:fitText w:val="60" w:id="-1304677631"/>
                <w14:textFill>
                  <w14:solidFill>
                    <w14:srgbClr w14:val="000000">
                      <w14:alpha w14:val="100000"/>
                    </w14:srgbClr>
                  </w14:solidFill>
                </w14:textFill>
              </w:rPr>
              <w:t xml:space="preserve">　</w:t>
            </w:r>
            <w:r w:rsidRPr="001D6D9F">
              <w:rPr>
                <w:color w:val="000000"/>
                <w:w w:val="15"/>
                <w:shd w:val="solid" w:color="000000" w:fill="000000"/>
                <w:fitText w:val="60" w:id="-1304677631"/>
                <w14:textFill>
                  <w14:solidFill>
                    <w14:srgbClr w14:val="000000">
                      <w14:alpha w14:val="100000"/>
                    </w14:srgbClr>
                  </w14:solidFill>
                </w14:textFill>
              </w:rPr>
              <w:t>|</w:t>
            </w:r>
            <w:r w:rsidRPr="001D6D9F">
              <w:rPr>
                <w:rFonts w:hint="eastAsia"/>
                <w:color w:val="000000"/>
                <w:spacing w:val="-5"/>
                <w:w w:val="15"/>
                <w:shd w:val="solid" w:color="000000" w:fill="000000"/>
                <w:fitText w:val="60" w:id="-1304677631"/>
                <w14:textFill>
                  <w14:solidFill>
                    <w14:srgbClr w14:val="000000">
                      <w14:alpha w14:val="100000"/>
                    </w14:srgbClr>
                  </w14:solidFill>
                </w14:textFill>
              </w:rPr>
              <w:t xml:space="preserve">　</w:t>
            </w:r>
            <w:r w:rsidR="007A2A2F">
              <w:rPr>
                <w:vertAlign w:val="superscript"/>
              </w:rPr>
              <w:t>2</w:t>
            </w:r>
          </w:p>
        </w:tc>
      </w:tr>
      <w:tr w:rsidR="00563070" w:rsidRPr="00D1078F" w14:paraId="76CC72DC" w14:textId="77777777" w:rsidTr="00C35ABF">
        <w:tc>
          <w:tcPr>
            <w:tcW w:w="5000" w:type="pct"/>
            <w:gridSpan w:val="7"/>
            <w:tcBorders>
              <w:bottom w:val="single" w:sz="4" w:space="0" w:color="auto"/>
            </w:tcBorders>
            <w:shd w:val="clear" w:color="auto" w:fill="auto"/>
            <w:vAlign w:val="center"/>
          </w:tcPr>
          <w:p w14:paraId="7E9A0C07" w14:textId="77777777" w:rsidR="00563070" w:rsidRPr="00D1078F" w:rsidRDefault="00563070" w:rsidP="00C35ABF">
            <w:pPr>
              <w:pStyle w:val="In-tableHeading"/>
              <w:keepNext w:val="0"/>
            </w:pPr>
            <w:r w:rsidRPr="00D1078F">
              <w:t xml:space="preserve">Estimated </w:t>
            </w:r>
            <w:r>
              <w:t>financial implications of mobocertinib</w:t>
            </w:r>
          </w:p>
        </w:tc>
      </w:tr>
      <w:tr w:rsidR="00563070" w:rsidRPr="003639A6" w14:paraId="12921568" w14:textId="77777777" w:rsidTr="007A2A2F">
        <w:tc>
          <w:tcPr>
            <w:tcW w:w="1334" w:type="pct"/>
            <w:tcBorders>
              <w:bottom w:val="nil"/>
            </w:tcBorders>
            <w:shd w:val="clear" w:color="auto" w:fill="auto"/>
            <w:vAlign w:val="center"/>
          </w:tcPr>
          <w:p w14:paraId="1C5F47C0" w14:textId="3EB56D4F" w:rsidR="00563070" w:rsidRDefault="00563070" w:rsidP="00C35ABF">
            <w:pPr>
              <w:pStyle w:val="TableText0"/>
              <w:keepNext w:val="0"/>
              <w:rPr>
                <w:sz w:val="19"/>
                <w:szCs w:val="19"/>
              </w:rPr>
            </w:pPr>
            <w:r>
              <w:rPr>
                <w:sz w:val="19"/>
                <w:szCs w:val="19"/>
              </w:rPr>
              <w:t>Cost to PBS/RPBS less copayments</w:t>
            </w:r>
            <w:r w:rsidR="00A76DAC">
              <w:rPr>
                <w:sz w:val="19"/>
                <w:szCs w:val="19"/>
              </w:rPr>
              <w:t xml:space="preserve"> ($)</w:t>
            </w:r>
          </w:p>
        </w:tc>
        <w:tc>
          <w:tcPr>
            <w:tcW w:w="611" w:type="pct"/>
            <w:tcBorders>
              <w:bottom w:val="nil"/>
            </w:tcBorders>
            <w:shd w:val="clear" w:color="auto" w:fill="auto"/>
            <w:vAlign w:val="center"/>
          </w:tcPr>
          <w:p w14:paraId="0E5064E6" w14:textId="75377969" w:rsidR="00563070" w:rsidRPr="00A62479" w:rsidRDefault="001D6D9F" w:rsidP="007A2A2F">
            <w:pPr>
              <w:pStyle w:val="TableText0"/>
              <w:keepNext w:val="0"/>
              <w:jc w:val="center"/>
            </w:pPr>
            <w:r w:rsidRPr="001D6D9F">
              <w:rPr>
                <w:rFonts w:hint="eastAsia"/>
                <w:color w:val="000000"/>
                <w:w w:val="15"/>
                <w:shd w:val="solid" w:color="000000" w:fill="000000"/>
                <w:fitText w:val="60" w:id="-1304677630"/>
                <w14:textFill>
                  <w14:solidFill>
                    <w14:srgbClr w14:val="000000">
                      <w14:alpha w14:val="100000"/>
                    </w14:srgbClr>
                  </w14:solidFill>
                </w14:textFill>
              </w:rPr>
              <w:t xml:space="preserve">　</w:t>
            </w:r>
            <w:r w:rsidRPr="001D6D9F">
              <w:rPr>
                <w:color w:val="000000"/>
                <w:w w:val="15"/>
                <w:shd w:val="solid" w:color="000000" w:fill="000000"/>
                <w:fitText w:val="60" w:id="-1304677630"/>
                <w14:textFill>
                  <w14:solidFill>
                    <w14:srgbClr w14:val="000000">
                      <w14:alpha w14:val="100000"/>
                    </w14:srgbClr>
                  </w14:solidFill>
                </w14:textFill>
              </w:rPr>
              <w:t>|</w:t>
            </w:r>
            <w:r w:rsidRPr="001D6D9F">
              <w:rPr>
                <w:rFonts w:hint="eastAsia"/>
                <w:color w:val="000000"/>
                <w:spacing w:val="-5"/>
                <w:w w:val="15"/>
                <w:shd w:val="solid" w:color="000000" w:fill="000000"/>
                <w:fitText w:val="60" w:id="-1304677630"/>
                <w14:textFill>
                  <w14:solidFill>
                    <w14:srgbClr w14:val="000000">
                      <w14:alpha w14:val="100000"/>
                    </w14:srgbClr>
                  </w14:solidFill>
                </w14:textFill>
              </w:rPr>
              <w:t xml:space="preserve">　</w:t>
            </w:r>
            <w:r w:rsidR="007A2A2F" w:rsidRPr="00A76DAC">
              <w:rPr>
                <w:vertAlign w:val="superscript"/>
              </w:rPr>
              <w:t>3</w:t>
            </w:r>
          </w:p>
        </w:tc>
        <w:tc>
          <w:tcPr>
            <w:tcW w:w="611" w:type="pct"/>
            <w:tcBorders>
              <w:bottom w:val="nil"/>
            </w:tcBorders>
            <w:shd w:val="clear" w:color="auto" w:fill="auto"/>
            <w:vAlign w:val="center"/>
          </w:tcPr>
          <w:p w14:paraId="3D3B7E5B" w14:textId="6ED83A5D" w:rsidR="00563070" w:rsidRPr="00A62479" w:rsidRDefault="001D6D9F" w:rsidP="007A2A2F">
            <w:pPr>
              <w:pStyle w:val="TableText0"/>
              <w:keepNext w:val="0"/>
              <w:jc w:val="center"/>
            </w:pPr>
            <w:r w:rsidRPr="001D6D9F">
              <w:rPr>
                <w:rFonts w:hint="eastAsia"/>
                <w:color w:val="000000"/>
                <w:w w:val="15"/>
                <w:shd w:val="solid" w:color="000000" w:fill="000000"/>
                <w:fitText w:val="60" w:id="-1304677629"/>
                <w14:textFill>
                  <w14:solidFill>
                    <w14:srgbClr w14:val="000000">
                      <w14:alpha w14:val="100000"/>
                    </w14:srgbClr>
                  </w14:solidFill>
                </w14:textFill>
              </w:rPr>
              <w:t xml:space="preserve">　</w:t>
            </w:r>
            <w:r w:rsidRPr="001D6D9F">
              <w:rPr>
                <w:color w:val="000000"/>
                <w:w w:val="15"/>
                <w:shd w:val="solid" w:color="000000" w:fill="000000"/>
                <w:fitText w:val="60" w:id="-1304677629"/>
                <w14:textFill>
                  <w14:solidFill>
                    <w14:srgbClr w14:val="000000">
                      <w14:alpha w14:val="100000"/>
                    </w14:srgbClr>
                  </w14:solidFill>
                </w14:textFill>
              </w:rPr>
              <w:t>|</w:t>
            </w:r>
            <w:r w:rsidRPr="001D6D9F">
              <w:rPr>
                <w:rFonts w:hint="eastAsia"/>
                <w:color w:val="000000"/>
                <w:spacing w:val="-5"/>
                <w:w w:val="15"/>
                <w:shd w:val="solid" w:color="000000" w:fill="000000"/>
                <w:fitText w:val="60" w:id="-1304677629"/>
                <w14:textFill>
                  <w14:solidFill>
                    <w14:srgbClr w14:val="000000">
                      <w14:alpha w14:val="100000"/>
                    </w14:srgbClr>
                  </w14:solidFill>
                </w14:textFill>
              </w:rPr>
              <w:t xml:space="preserve">　</w:t>
            </w:r>
            <w:r w:rsidR="007A2A2F">
              <w:rPr>
                <w:vertAlign w:val="superscript"/>
              </w:rPr>
              <w:t>3</w:t>
            </w:r>
          </w:p>
        </w:tc>
        <w:tc>
          <w:tcPr>
            <w:tcW w:w="611" w:type="pct"/>
            <w:tcBorders>
              <w:bottom w:val="nil"/>
            </w:tcBorders>
            <w:shd w:val="clear" w:color="auto" w:fill="auto"/>
            <w:vAlign w:val="center"/>
          </w:tcPr>
          <w:p w14:paraId="2E6B48BE" w14:textId="495507D4" w:rsidR="00563070" w:rsidRPr="00A62479" w:rsidRDefault="001D6D9F" w:rsidP="007A2A2F">
            <w:pPr>
              <w:pStyle w:val="TableText0"/>
              <w:keepNext w:val="0"/>
              <w:jc w:val="center"/>
            </w:pPr>
            <w:r w:rsidRPr="001D6D9F">
              <w:rPr>
                <w:rFonts w:hint="eastAsia"/>
                <w:color w:val="000000"/>
                <w:w w:val="15"/>
                <w:shd w:val="solid" w:color="000000" w:fill="000000"/>
                <w:fitText w:val="60" w:id="-1304677628"/>
                <w14:textFill>
                  <w14:solidFill>
                    <w14:srgbClr w14:val="000000">
                      <w14:alpha w14:val="100000"/>
                    </w14:srgbClr>
                  </w14:solidFill>
                </w14:textFill>
              </w:rPr>
              <w:t xml:space="preserve">　</w:t>
            </w:r>
            <w:r w:rsidRPr="001D6D9F">
              <w:rPr>
                <w:color w:val="000000"/>
                <w:w w:val="15"/>
                <w:shd w:val="solid" w:color="000000" w:fill="000000"/>
                <w:fitText w:val="60" w:id="-1304677628"/>
                <w14:textFill>
                  <w14:solidFill>
                    <w14:srgbClr w14:val="000000">
                      <w14:alpha w14:val="100000"/>
                    </w14:srgbClr>
                  </w14:solidFill>
                </w14:textFill>
              </w:rPr>
              <w:t>|</w:t>
            </w:r>
            <w:r w:rsidRPr="001D6D9F">
              <w:rPr>
                <w:rFonts w:hint="eastAsia"/>
                <w:color w:val="000000"/>
                <w:spacing w:val="-5"/>
                <w:w w:val="15"/>
                <w:shd w:val="solid" w:color="000000" w:fill="000000"/>
                <w:fitText w:val="60" w:id="-1304677628"/>
                <w14:textFill>
                  <w14:solidFill>
                    <w14:srgbClr w14:val="000000">
                      <w14:alpha w14:val="100000"/>
                    </w14:srgbClr>
                  </w14:solidFill>
                </w14:textFill>
              </w:rPr>
              <w:t xml:space="preserve">　</w:t>
            </w:r>
            <w:r w:rsidR="007A2A2F">
              <w:rPr>
                <w:vertAlign w:val="superscript"/>
              </w:rPr>
              <w:t>3</w:t>
            </w:r>
          </w:p>
        </w:tc>
        <w:tc>
          <w:tcPr>
            <w:tcW w:w="611" w:type="pct"/>
            <w:tcBorders>
              <w:bottom w:val="nil"/>
            </w:tcBorders>
            <w:shd w:val="clear" w:color="auto" w:fill="auto"/>
            <w:vAlign w:val="center"/>
          </w:tcPr>
          <w:p w14:paraId="64D27923" w14:textId="66A08029" w:rsidR="00563070" w:rsidRPr="00A62479" w:rsidRDefault="001D6D9F" w:rsidP="007A2A2F">
            <w:pPr>
              <w:pStyle w:val="TableText0"/>
              <w:keepNext w:val="0"/>
              <w:jc w:val="center"/>
            </w:pPr>
            <w:r w:rsidRPr="001D6D9F">
              <w:rPr>
                <w:rFonts w:hint="eastAsia"/>
                <w:color w:val="000000"/>
                <w:w w:val="15"/>
                <w:shd w:val="solid" w:color="000000" w:fill="000000"/>
                <w:fitText w:val="60" w:id="-1304677627"/>
                <w14:textFill>
                  <w14:solidFill>
                    <w14:srgbClr w14:val="000000">
                      <w14:alpha w14:val="100000"/>
                    </w14:srgbClr>
                  </w14:solidFill>
                </w14:textFill>
              </w:rPr>
              <w:t xml:space="preserve">　</w:t>
            </w:r>
            <w:r w:rsidRPr="001D6D9F">
              <w:rPr>
                <w:color w:val="000000"/>
                <w:w w:val="15"/>
                <w:shd w:val="solid" w:color="000000" w:fill="000000"/>
                <w:fitText w:val="60" w:id="-1304677627"/>
                <w14:textFill>
                  <w14:solidFill>
                    <w14:srgbClr w14:val="000000">
                      <w14:alpha w14:val="100000"/>
                    </w14:srgbClr>
                  </w14:solidFill>
                </w14:textFill>
              </w:rPr>
              <w:t>|</w:t>
            </w:r>
            <w:r w:rsidRPr="001D6D9F">
              <w:rPr>
                <w:rFonts w:hint="eastAsia"/>
                <w:color w:val="000000"/>
                <w:spacing w:val="-5"/>
                <w:w w:val="15"/>
                <w:shd w:val="solid" w:color="000000" w:fill="000000"/>
                <w:fitText w:val="60" w:id="-1304677627"/>
                <w14:textFill>
                  <w14:solidFill>
                    <w14:srgbClr w14:val="000000">
                      <w14:alpha w14:val="100000"/>
                    </w14:srgbClr>
                  </w14:solidFill>
                </w14:textFill>
              </w:rPr>
              <w:t xml:space="preserve">　</w:t>
            </w:r>
            <w:r w:rsidR="007A2A2F">
              <w:rPr>
                <w:vertAlign w:val="superscript"/>
              </w:rPr>
              <w:t>3</w:t>
            </w:r>
          </w:p>
        </w:tc>
        <w:tc>
          <w:tcPr>
            <w:tcW w:w="611" w:type="pct"/>
            <w:tcBorders>
              <w:bottom w:val="nil"/>
            </w:tcBorders>
            <w:shd w:val="clear" w:color="auto" w:fill="auto"/>
            <w:vAlign w:val="center"/>
          </w:tcPr>
          <w:p w14:paraId="797E24EE" w14:textId="03B624CF" w:rsidR="00563070" w:rsidRPr="00A62479" w:rsidRDefault="001D6D9F" w:rsidP="007A2A2F">
            <w:pPr>
              <w:pStyle w:val="TableText0"/>
              <w:keepNext w:val="0"/>
              <w:jc w:val="center"/>
            </w:pPr>
            <w:r w:rsidRPr="001D6D9F">
              <w:rPr>
                <w:rFonts w:hint="eastAsia"/>
                <w:color w:val="000000"/>
                <w:w w:val="15"/>
                <w:shd w:val="solid" w:color="000000" w:fill="000000"/>
                <w:fitText w:val="60" w:id="-1304677626"/>
                <w14:textFill>
                  <w14:solidFill>
                    <w14:srgbClr w14:val="000000">
                      <w14:alpha w14:val="100000"/>
                    </w14:srgbClr>
                  </w14:solidFill>
                </w14:textFill>
              </w:rPr>
              <w:t xml:space="preserve">　</w:t>
            </w:r>
            <w:r w:rsidRPr="001D6D9F">
              <w:rPr>
                <w:color w:val="000000"/>
                <w:w w:val="15"/>
                <w:shd w:val="solid" w:color="000000" w:fill="000000"/>
                <w:fitText w:val="60" w:id="-1304677626"/>
                <w14:textFill>
                  <w14:solidFill>
                    <w14:srgbClr w14:val="000000">
                      <w14:alpha w14:val="100000"/>
                    </w14:srgbClr>
                  </w14:solidFill>
                </w14:textFill>
              </w:rPr>
              <w:t>|</w:t>
            </w:r>
            <w:r w:rsidRPr="001D6D9F">
              <w:rPr>
                <w:rFonts w:hint="eastAsia"/>
                <w:color w:val="000000"/>
                <w:spacing w:val="-5"/>
                <w:w w:val="15"/>
                <w:shd w:val="solid" w:color="000000" w:fill="000000"/>
                <w:fitText w:val="60" w:id="-1304677626"/>
                <w14:textFill>
                  <w14:solidFill>
                    <w14:srgbClr w14:val="000000">
                      <w14:alpha w14:val="100000"/>
                    </w14:srgbClr>
                  </w14:solidFill>
                </w14:textFill>
              </w:rPr>
              <w:t xml:space="preserve">　</w:t>
            </w:r>
            <w:r w:rsidR="007A2A2F">
              <w:rPr>
                <w:vertAlign w:val="superscript"/>
              </w:rPr>
              <w:t>3</w:t>
            </w:r>
          </w:p>
        </w:tc>
        <w:tc>
          <w:tcPr>
            <w:tcW w:w="611" w:type="pct"/>
            <w:tcBorders>
              <w:bottom w:val="nil"/>
            </w:tcBorders>
            <w:vAlign w:val="center"/>
          </w:tcPr>
          <w:p w14:paraId="775BA9E8" w14:textId="06DE4E32" w:rsidR="00563070" w:rsidRPr="00A62479" w:rsidRDefault="001D6D9F" w:rsidP="007A2A2F">
            <w:pPr>
              <w:pStyle w:val="TableText0"/>
              <w:keepNext w:val="0"/>
              <w:jc w:val="center"/>
            </w:pPr>
            <w:r w:rsidRPr="001D6D9F">
              <w:rPr>
                <w:rFonts w:hint="eastAsia"/>
                <w:color w:val="000000"/>
                <w:w w:val="15"/>
                <w:shd w:val="solid" w:color="000000" w:fill="000000"/>
                <w:fitText w:val="60" w:id="-1304677625"/>
                <w14:textFill>
                  <w14:solidFill>
                    <w14:srgbClr w14:val="000000">
                      <w14:alpha w14:val="100000"/>
                    </w14:srgbClr>
                  </w14:solidFill>
                </w14:textFill>
              </w:rPr>
              <w:t xml:space="preserve">　</w:t>
            </w:r>
            <w:r w:rsidRPr="001D6D9F">
              <w:rPr>
                <w:color w:val="000000"/>
                <w:w w:val="15"/>
                <w:shd w:val="solid" w:color="000000" w:fill="000000"/>
                <w:fitText w:val="60" w:id="-1304677625"/>
                <w14:textFill>
                  <w14:solidFill>
                    <w14:srgbClr w14:val="000000">
                      <w14:alpha w14:val="100000"/>
                    </w14:srgbClr>
                  </w14:solidFill>
                </w14:textFill>
              </w:rPr>
              <w:t>|</w:t>
            </w:r>
            <w:r w:rsidRPr="001D6D9F">
              <w:rPr>
                <w:rFonts w:hint="eastAsia"/>
                <w:color w:val="000000"/>
                <w:spacing w:val="-5"/>
                <w:w w:val="15"/>
                <w:shd w:val="solid" w:color="000000" w:fill="000000"/>
                <w:fitText w:val="60" w:id="-1304677625"/>
                <w14:textFill>
                  <w14:solidFill>
                    <w14:srgbClr w14:val="000000">
                      <w14:alpha w14:val="100000"/>
                    </w14:srgbClr>
                  </w14:solidFill>
                </w14:textFill>
              </w:rPr>
              <w:t xml:space="preserve">　</w:t>
            </w:r>
            <w:r w:rsidR="007A2A2F" w:rsidRPr="00A76DAC">
              <w:rPr>
                <w:vertAlign w:val="superscript"/>
              </w:rPr>
              <w:t>3</w:t>
            </w:r>
          </w:p>
        </w:tc>
      </w:tr>
      <w:tr w:rsidR="00563070" w:rsidRPr="003639A6" w14:paraId="4107B068" w14:textId="77777777" w:rsidTr="00C35ABF">
        <w:tc>
          <w:tcPr>
            <w:tcW w:w="5000" w:type="pct"/>
            <w:gridSpan w:val="7"/>
            <w:tcBorders>
              <w:bottom w:val="single" w:sz="4" w:space="0" w:color="auto"/>
            </w:tcBorders>
            <w:shd w:val="clear" w:color="auto" w:fill="auto"/>
            <w:vAlign w:val="center"/>
          </w:tcPr>
          <w:p w14:paraId="094BEE75" w14:textId="77777777" w:rsidR="00563070" w:rsidRPr="00192CEA" w:rsidRDefault="00563070" w:rsidP="00C35ABF">
            <w:pPr>
              <w:pStyle w:val="TableText0"/>
              <w:keepNext w:val="0"/>
              <w:rPr>
                <w:b/>
              </w:rPr>
            </w:pPr>
            <w:r w:rsidRPr="00192CEA">
              <w:rPr>
                <w:b/>
              </w:rPr>
              <w:t>Estimated financial implications for other medicines</w:t>
            </w:r>
          </w:p>
        </w:tc>
      </w:tr>
      <w:tr w:rsidR="00563070" w:rsidRPr="003639A6" w14:paraId="17B1A187" w14:textId="77777777" w:rsidTr="007A2A2F">
        <w:tc>
          <w:tcPr>
            <w:tcW w:w="1334" w:type="pct"/>
            <w:tcBorders>
              <w:bottom w:val="nil"/>
            </w:tcBorders>
            <w:shd w:val="clear" w:color="auto" w:fill="auto"/>
            <w:vAlign w:val="center"/>
          </w:tcPr>
          <w:p w14:paraId="5F075E92" w14:textId="4E0A8126" w:rsidR="00563070" w:rsidRPr="00A76DAC" w:rsidRDefault="00563070" w:rsidP="00C35ABF">
            <w:pPr>
              <w:pStyle w:val="TableText0"/>
              <w:keepNext w:val="0"/>
              <w:rPr>
                <w:sz w:val="19"/>
                <w:szCs w:val="19"/>
              </w:rPr>
            </w:pPr>
            <w:r>
              <w:rPr>
                <w:sz w:val="19"/>
                <w:szCs w:val="19"/>
              </w:rPr>
              <w:t>Cost to PBS/RPBS less copayments</w:t>
            </w:r>
            <w:r w:rsidRPr="009C58B6">
              <w:rPr>
                <w:iCs/>
                <w:sz w:val="19"/>
                <w:szCs w:val="19"/>
                <w:vertAlign w:val="superscript"/>
              </w:rPr>
              <w:t>b</w:t>
            </w:r>
            <w:r w:rsidR="00A76DAC">
              <w:rPr>
                <w:sz w:val="19"/>
                <w:szCs w:val="19"/>
              </w:rPr>
              <w:t xml:space="preserve"> ($)</w:t>
            </w:r>
          </w:p>
        </w:tc>
        <w:tc>
          <w:tcPr>
            <w:tcW w:w="611" w:type="pct"/>
            <w:tcBorders>
              <w:bottom w:val="nil"/>
            </w:tcBorders>
            <w:shd w:val="clear" w:color="auto" w:fill="auto"/>
            <w:vAlign w:val="center"/>
          </w:tcPr>
          <w:p w14:paraId="38C3EA3F" w14:textId="5509A487" w:rsidR="00563070" w:rsidRPr="00563070" w:rsidRDefault="001D6D9F" w:rsidP="007A2A2F">
            <w:pPr>
              <w:pStyle w:val="TableText0"/>
              <w:keepNext w:val="0"/>
              <w:jc w:val="center"/>
              <w:rPr>
                <w:iCs/>
              </w:rPr>
            </w:pPr>
            <w:r w:rsidRPr="001D6D9F">
              <w:rPr>
                <w:rFonts w:cs="Times New Roman" w:hint="eastAsia"/>
                <w:iCs/>
                <w:color w:val="000000"/>
                <w:w w:val="15"/>
                <w:shd w:val="solid" w:color="000000" w:fill="000000"/>
                <w:fitText w:val="60" w:id="-1304677624"/>
                <w14:textFill>
                  <w14:solidFill>
                    <w14:srgbClr w14:val="000000">
                      <w14:alpha w14:val="100000"/>
                    </w14:srgbClr>
                  </w14:solidFill>
                </w14:textFill>
              </w:rPr>
              <w:t xml:space="preserve">　</w:t>
            </w:r>
            <w:r w:rsidRPr="001D6D9F">
              <w:rPr>
                <w:rFonts w:cs="Times New Roman"/>
                <w:iCs/>
                <w:color w:val="000000"/>
                <w:w w:val="15"/>
                <w:shd w:val="solid" w:color="000000" w:fill="000000"/>
                <w:fitText w:val="60" w:id="-1304677624"/>
                <w14:textFill>
                  <w14:solidFill>
                    <w14:srgbClr w14:val="000000">
                      <w14:alpha w14:val="100000"/>
                    </w14:srgbClr>
                  </w14:solidFill>
                </w14:textFill>
              </w:rPr>
              <w:t>|</w:t>
            </w:r>
            <w:r w:rsidRPr="001D6D9F">
              <w:rPr>
                <w:rFonts w:cs="Times New Roman" w:hint="eastAsia"/>
                <w:iCs/>
                <w:color w:val="000000"/>
                <w:spacing w:val="-5"/>
                <w:w w:val="15"/>
                <w:shd w:val="solid" w:color="000000" w:fill="000000"/>
                <w:fitText w:val="60" w:id="-1304677624"/>
                <w14:textFill>
                  <w14:solidFill>
                    <w14:srgbClr w14:val="000000">
                      <w14:alpha w14:val="100000"/>
                    </w14:srgbClr>
                  </w14:solidFill>
                </w14:textFill>
              </w:rPr>
              <w:t xml:space="preserve">　</w:t>
            </w:r>
            <w:r w:rsidR="007A2A2F">
              <w:rPr>
                <w:vertAlign w:val="superscript"/>
              </w:rPr>
              <w:t>4</w:t>
            </w:r>
          </w:p>
        </w:tc>
        <w:tc>
          <w:tcPr>
            <w:tcW w:w="611" w:type="pct"/>
            <w:tcBorders>
              <w:bottom w:val="nil"/>
            </w:tcBorders>
            <w:shd w:val="clear" w:color="auto" w:fill="auto"/>
            <w:vAlign w:val="center"/>
          </w:tcPr>
          <w:p w14:paraId="4EFE393E" w14:textId="06A8C460" w:rsidR="00563070" w:rsidRPr="00563070" w:rsidRDefault="001D6D9F" w:rsidP="007A2A2F">
            <w:pPr>
              <w:pStyle w:val="TableText0"/>
              <w:keepNext w:val="0"/>
              <w:jc w:val="center"/>
              <w:rPr>
                <w:iCs/>
              </w:rPr>
            </w:pPr>
            <w:r w:rsidRPr="001D6D9F">
              <w:rPr>
                <w:rFonts w:cs="Times New Roman" w:hint="eastAsia"/>
                <w:iCs/>
                <w:color w:val="000000"/>
                <w:w w:val="15"/>
                <w:shd w:val="solid" w:color="000000" w:fill="000000"/>
                <w:fitText w:val="60" w:id="-1304677623"/>
                <w14:textFill>
                  <w14:solidFill>
                    <w14:srgbClr w14:val="000000">
                      <w14:alpha w14:val="100000"/>
                    </w14:srgbClr>
                  </w14:solidFill>
                </w14:textFill>
              </w:rPr>
              <w:t xml:space="preserve">　</w:t>
            </w:r>
            <w:r w:rsidRPr="001D6D9F">
              <w:rPr>
                <w:rFonts w:cs="Times New Roman"/>
                <w:iCs/>
                <w:color w:val="000000"/>
                <w:w w:val="15"/>
                <w:shd w:val="solid" w:color="000000" w:fill="000000"/>
                <w:fitText w:val="60" w:id="-1304677623"/>
                <w14:textFill>
                  <w14:solidFill>
                    <w14:srgbClr w14:val="000000">
                      <w14:alpha w14:val="100000"/>
                    </w14:srgbClr>
                  </w14:solidFill>
                </w14:textFill>
              </w:rPr>
              <w:t>|</w:t>
            </w:r>
            <w:r w:rsidRPr="001D6D9F">
              <w:rPr>
                <w:rFonts w:cs="Times New Roman" w:hint="eastAsia"/>
                <w:iCs/>
                <w:color w:val="000000"/>
                <w:spacing w:val="-5"/>
                <w:w w:val="15"/>
                <w:shd w:val="solid" w:color="000000" w:fill="000000"/>
                <w:fitText w:val="60" w:id="-1304677623"/>
                <w14:textFill>
                  <w14:solidFill>
                    <w14:srgbClr w14:val="000000">
                      <w14:alpha w14:val="100000"/>
                    </w14:srgbClr>
                  </w14:solidFill>
                </w14:textFill>
              </w:rPr>
              <w:t xml:space="preserve">　</w:t>
            </w:r>
            <w:r w:rsidR="007A2A2F">
              <w:rPr>
                <w:vertAlign w:val="superscript"/>
              </w:rPr>
              <w:t>4</w:t>
            </w:r>
          </w:p>
        </w:tc>
        <w:tc>
          <w:tcPr>
            <w:tcW w:w="611" w:type="pct"/>
            <w:tcBorders>
              <w:bottom w:val="nil"/>
            </w:tcBorders>
            <w:shd w:val="clear" w:color="auto" w:fill="auto"/>
            <w:vAlign w:val="center"/>
          </w:tcPr>
          <w:p w14:paraId="09E6EEDF" w14:textId="6D5DEE05" w:rsidR="00563070" w:rsidRPr="00563070" w:rsidRDefault="001D6D9F" w:rsidP="007A2A2F">
            <w:pPr>
              <w:pStyle w:val="TableText0"/>
              <w:keepNext w:val="0"/>
              <w:jc w:val="center"/>
              <w:rPr>
                <w:iCs/>
              </w:rPr>
            </w:pPr>
            <w:r w:rsidRPr="001D6D9F">
              <w:rPr>
                <w:rFonts w:cs="Times New Roman" w:hint="eastAsia"/>
                <w:iCs/>
                <w:color w:val="000000"/>
                <w:w w:val="15"/>
                <w:shd w:val="solid" w:color="000000" w:fill="000000"/>
                <w:fitText w:val="60" w:id="-1304677622"/>
                <w14:textFill>
                  <w14:solidFill>
                    <w14:srgbClr w14:val="000000">
                      <w14:alpha w14:val="100000"/>
                    </w14:srgbClr>
                  </w14:solidFill>
                </w14:textFill>
              </w:rPr>
              <w:t xml:space="preserve">　</w:t>
            </w:r>
            <w:r w:rsidRPr="001D6D9F">
              <w:rPr>
                <w:rFonts w:cs="Times New Roman"/>
                <w:iCs/>
                <w:color w:val="000000"/>
                <w:w w:val="15"/>
                <w:shd w:val="solid" w:color="000000" w:fill="000000"/>
                <w:fitText w:val="60" w:id="-1304677622"/>
                <w14:textFill>
                  <w14:solidFill>
                    <w14:srgbClr w14:val="000000">
                      <w14:alpha w14:val="100000"/>
                    </w14:srgbClr>
                  </w14:solidFill>
                </w14:textFill>
              </w:rPr>
              <w:t>|</w:t>
            </w:r>
            <w:r w:rsidRPr="001D6D9F">
              <w:rPr>
                <w:rFonts w:cs="Times New Roman" w:hint="eastAsia"/>
                <w:iCs/>
                <w:color w:val="000000"/>
                <w:spacing w:val="-5"/>
                <w:w w:val="15"/>
                <w:shd w:val="solid" w:color="000000" w:fill="000000"/>
                <w:fitText w:val="60" w:id="-1304677622"/>
                <w14:textFill>
                  <w14:solidFill>
                    <w14:srgbClr w14:val="000000">
                      <w14:alpha w14:val="100000"/>
                    </w14:srgbClr>
                  </w14:solidFill>
                </w14:textFill>
              </w:rPr>
              <w:t xml:space="preserve">　</w:t>
            </w:r>
            <w:r w:rsidR="007A2A2F">
              <w:rPr>
                <w:vertAlign w:val="superscript"/>
              </w:rPr>
              <w:t>4</w:t>
            </w:r>
          </w:p>
        </w:tc>
        <w:tc>
          <w:tcPr>
            <w:tcW w:w="611" w:type="pct"/>
            <w:tcBorders>
              <w:bottom w:val="nil"/>
            </w:tcBorders>
            <w:shd w:val="clear" w:color="auto" w:fill="auto"/>
            <w:vAlign w:val="center"/>
          </w:tcPr>
          <w:p w14:paraId="7B669156" w14:textId="508FCD1E" w:rsidR="00563070" w:rsidRPr="00563070" w:rsidRDefault="001D6D9F" w:rsidP="007A2A2F">
            <w:pPr>
              <w:pStyle w:val="TableText0"/>
              <w:keepNext w:val="0"/>
              <w:jc w:val="center"/>
              <w:rPr>
                <w:iCs/>
              </w:rPr>
            </w:pPr>
            <w:r w:rsidRPr="001D6D9F">
              <w:rPr>
                <w:rFonts w:cs="Times New Roman" w:hint="eastAsia"/>
                <w:iCs/>
                <w:color w:val="000000"/>
                <w:w w:val="15"/>
                <w:shd w:val="solid" w:color="000000" w:fill="000000"/>
                <w:fitText w:val="60" w:id="-1304677621"/>
                <w14:textFill>
                  <w14:solidFill>
                    <w14:srgbClr w14:val="000000">
                      <w14:alpha w14:val="100000"/>
                    </w14:srgbClr>
                  </w14:solidFill>
                </w14:textFill>
              </w:rPr>
              <w:t xml:space="preserve">　</w:t>
            </w:r>
            <w:r w:rsidRPr="001D6D9F">
              <w:rPr>
                <w:rFonts w:cs="Times New Roman"/>
                <w:iCs/>
                <w:color w:val="000000"/>
                <w:w w:val="15"/>
                <w:shd w:val="solid" w:color="000000" w:fill="000000"/>
                <w:fitText w:val="60" w:id="-1304677621"/>
                <w14:textFill>
                  <w14:solidFill>
                    <w14:srgbClr w14:val="000000">
                      <w14:alpha w14:val="100000"/>
                    </w14:srgbClr>
                  </w14:solidFill>
                </w14:textFill>
              </w:rPr>
              <w:t>|</w:t>
            </w:r>
            <w:r w:rsidRPr="001D6D9F">
              <w:rPr>
                <w:rFonts w:cs="Times New Roman" w:hint="eastAsia"/>
                <w:iCs/>
                <w:color w:val="000000"/>
                <w:spacing w:val="-5"/>
                <w:w w:val="15"/>
                <w:shd w:val="solid" w:color="000000" w:fill="000000"/>
                <w:fitText w:val="60" w:id="-1304677621"/>
                <w14:textFill>
                  <w14:solidFill>
                    <w14:srgbClr w14:val="000000">
                      <w14:alpha w14:val="100000"/>
                    </w14:srgbClr>
                  </w14:solidFill>
                </w14:textFill>
              </w:rPr>
              <w:t xml:space="preserve">　</w:t>
            </w:r>
            <w:r w:rsidR="007A2A2F">
              <w:rPr>
                <w:vertAlign w:val="superscript"/>
              </w:rPr>
              <w:t>4</w:t>
            </w:r>
          </w:p>
        </w:tc>
        <w:tc>
          <w:tcPr>
            <w:tcW w:w="611" w:type="pct"/>
            <w:tcBorders>
              <w:bottom w:val="nil"/>
            </w:tcBorders>
            <w:shd w:val="clear" w:color="auto" w:fill="auto"/>
            <w:vAlign w:val="center"/>
          </w:tcPr>
          <w:p w14:paraId="28E29684" w14:textId="5B707F9D" w:rsidR="00563070" w:rsidRPr="00A76DAC" w:rsidRDefault="001D6D9F" w:rsidP="007A2A2F">
            <w:pPr>
              <w:pStyle w:val="TableText0"/>
              <w:keepNext w:val="0"/>
              <w:jc w:val="center"/>
              <w:rPr>
                <w:iCs/>
                <w:highlight w:val="darkGray"/>
              </w:rPr>
            </w:pPr>
            <w:r w:rsidRPr="001D6D9F">
              <w:rPr>
                <w:rFonts w:cs="Times New Roman" w:hint="eastAsia"/>
                <w:iCs/>
                <w:color w:val="000000"/>
                <w:w w:val="15"/>
                <w:shd w:val="solid" w:color="000000" w:fill="000000"/>
                <w:fitText w:val="60" w:id="-1304677620"/>
                <w14:textFill>
                  <w14:solidFill>
                    <w14:srgbClr w14:val="000000">
                      <w14:alpha w14:val="100000"/>
                    </w14:srgbClr>
                  </w14:solidFill>
                </w14:textFill>
              </w:rPr>
              <w:t xml:space="preserve">　</w:t>
            </w:r>
            <w:r w:rsidRPr="001D6D9F">
              <w:rPr>
                <w:rFonts w:cs="Times New Roman"/>
                <w:iCs/>
                <w:color w:val="000000"/>
                <w:w w:val="15"/>
                <w:shd w:val="solid" w:color="000000" w:fill="000000"/>
                <w:fitText w:val="60" w:id="-1304677620"/>
                <w14:textFill>
                  <w14:solidFill>
                    <w14:srgbClr w14:val="000000">
                      <w14:alpha w14:val="100000"/>
                    </w14:srgbClr>
                  </w14:solidFill>
                </w14:textFill>
              </w:rPr>
              <w:t>|</w:t>
            </w:r>
            <w:r w:rsidRPr="001D6D9F">
              <w:rPr>
                <w:rFonts w:cs="Times New Roman" w:hint="eastAsia"/>
                <w:iCs/>
                <w:color w:val="000000"/>
                <w:spacing w:val="-5"/>
                <w:w w:val="15"/>
                <w:shd w:val="solid" w:color="000000" w:fill="000000"/>
                <w:fitText w:val="60" w:id="-1304677620"/>
                <w14:textFill>
                  <w14:solidFill>
                    <w14:srgbClr w14:val="000000">
                      <w14:alpha w14:val="100000"/>
                    </w14:srgbClr>
                  </w14:solidFill>
                </w14:textFill>
              </w:rPr>
              <w:t xml:space="preserve">　</w:t>
            </w:r>
            <w:r w:rsidR="007A2A2F" w:rsidRPr="00A76DAC">
              <w:rPr>
                <w:vertAlign w:val="superscript"/>
              </w:rPr>
              <w:t>4</w:t>
            </w:r>
          </w:p>
        </w:tc>
        <w:tc>
          <w:tcPr>
            <w:tcW w:w="611" w:type="pct"/>
            <w:tcBorders>
              <w:bottom w:val="nil"/>
            </w:tcBorders>
            <w:vAlign w:val="center"/>
          </w:tcPr>
          <w:p w14:paraId="17B50C9D" w14:textId="4CF4F2AA" w:rsidR="00563070" w:rsidRPr="00563070" w:rsidRDefault="001D6D9F" w:rsidP="007A2A2F">
            <w:pPr>
              <w:pStyle w:val="TableText0"/>
              <w:keepNext w:val="0"/>
              <w:jc w:val="center"/>
              <w:rPr>
                <w:iCs/>
              </w:rPr>
            </w:pPr>
            <w:r w:rsidRPr="001D6D9F">
              <w:rPr>
                <w:rFonts w:cs="Times New Roman" w:hint="eastAsia"/>
                <w:iCs/>
                <w:color w:val="000000"/>
                <w:w w:val="15"/>
                <w:shd w:val="solid" w:color="000000" w:fill="000000"/>
                <w:fitText w:val="60" w:id="-1304677619"/>
                <w14:textFill>
                  <w14:solidFill>
                    <w14:srgbClr w14:val="000000">
                      <w14:alpha w14:val="100000"/>
                    </w14:srgbClr>
                  </w14:solidFill>
                </w14:textFill>
              </w:rPr>
              <w:t xml:space="preserve">　</w:t>
            </w:r>
            <w:r w:rsidRPr="001D6D9F">
              <w:rPr>
                <w:rFonts w:cs="Times New Roman"/>
                <w:iCs/>
                <w:color w:val="000000"/>
                <w:w w:val="15"/>
                <w:shd w:val="solid" w:color="000000" w:fill="000000"/>
                <w:fitText w:val="60" w:id="-1304677619"/>
                <w14:textFill>
                  <w14:solidFill>
                    <w14:srgbClr w14:val="000000">
                      <w14:alpha w14:val="100000"/>
                    </w14:srgbClr>
                  </w14:solidFill>
                </w14:textFill>
              </w:rPr>
              <w:t>|</w:t>
            </w:r>
            <w:r w:rsidRPr="001D6D9F">
              <w:rPr>
                <w:rFonts w:cs="Times New Roman" w:hint="eastAsia"/>
                <w:iCs/>
                <w:color w:val="000000"/>
                <w:spacing w:val="-5"/>
                <w:w w:val="15"/>
                <w:shd w:val="solid" w:color="000000" w:fill="000000"/>
                <w:fitText w:val="60" w:id="-1304677619"/>
                <w14:textFill>
                  <w14:solidFill>
                    <w14:srgbClr w14:val="000000">
                      <w14:alpha w14:val="100000"/>
                    </w14:srgbClr>
                  </w14:solidFill>
                </w14:textFill>
              </w:rPr>
              <w:t xml:space="preserve">　</w:t>
            </w:r>
            <w:r w:rsidR="007A2A2F">
              <w:rPr>
                <w:vertAlign w:val="superscript"/>
              </w:rPr>
              <w:t>4</w:t>
            </w:r>
          </w:p>
        </w:tc>
      </w:tr>
      <w:tr w:rsidR="00563070" w:rsidRPr="00FC22AB" w14:paraId="398E3EA8" w14:textId="77777777" w:rsidTr="00C35ABF">
        <w:tc>
          <w:tcPr>
            <w:tcW w:w="5000" w:type="pct"/>
            <w:gridSpan w:val="7"/>
            <w:tcBorders>
              <w:bottom w:val="single" w:sz="4" w:space="0" w:color="auto"/>
            </w:tcBorders>
            <w:shd w:val="clear" w:color="auto" w:fill="auto"/>
            <w:vAlign w:val="center"/>
          </w:tcPr>
          <w:p w14:paraId="148E7E41" w14:textId="77777777" w:rsidR="00563070" w:rsidRPr="00FC22AB" w:rsidRDefault="00563070" w:rsidP="00C35ABF">
            <w:pPr>
              <w:pStyle w:val="In-tableHeading"/>
              <w:keepNext w:val="0"/>
            </w:pPr>
            <w:r w:rsidRPr="00FC22AB">
              <w:t>Net financial implications</w:t>
            </w:r>
          </w:p>
        </w:tc>
      </w:tr>
      <w:tr w:rsidR="00563070" w:rsidRPr="003639A6" w14:paraId="2BA23B36" w14:textId="77777777" w:rsidTr="007A2A2F">
        <w:tc>
          <w:tcPr>
            <w:tcW w:w="1334" w:type="pct"/>
            <w:tcBorders>
              <w:bottom w:val="nil"/>
            </w:tcBorders>
            <w:shd w:val="clear" w:color="auto" w:fill="auto"/>
            <w:vAlign w:val="center"/>
          </w:tcPr>
          <w:p w14:paraId="210691F8" w14:textId="04097C21" w:rsidR="00563070" w:rsidRPr="00A76DAC" w:rsidRDefault="00563070" w:rsidP="00C35ABF">
            <w:pPr>
              <w:pStyle w:val="TableText0"/>
              <w:keepNext w:val="0"/>
              <w:rPr>
                <w:sz w:val="19"/>
                <w:szCs w:val="19"/>
              </w:rPr>
            </w:pPr>
            <w:r w:rsidRPr="009C58B6">
              <w:rPr>
                <w:sz w:val="19"/>
                <w:szCs w:val="19"/>
              </w:rPr>
              <w:t>Net cost to PBS/RPBS</w:t>
            </w:r>
            <w:r w:rsidRPr="009C58B6">
              <w:rPr>
                <w:sz w:val="19"/>
                <w:szCs w:val="19"/>
                <w:vertAlign w:val="superscript"/>
              </w:rPr>
              <w:t>b</w:t>
            </w:r>
            <w:r w:rsidR="00A76DAC">
              <w:rPr>
                <w:sz w:val="19"/>
                <w:szCs w:val="19"/>
              </w:rPr>
              <w:t xml:space="preserve"> ($)</w:t>
            </w:r>
          </w:p>
        </w:tc>
        <w:tc>
          <w:tcPr>
            <w:tcW w:w="611" w:type="pct"/>
            <w:tcBorders>
              <w:bottom w:val="nil"/>
            </w:tcBorders>
            <w:shd w:val="clear" w:color="auto" w:fill="auto"/>
            <w:vAlign w:val="center"/>
          </w:tcPr>
          <w:p w14:paraId="141A8FE4" w14:textId="549326C5" w:rsidR="00563070" w:rsidRPr="00563070" w:rsidRDefault="001D6D9F" w:rsidP="007A2A2F">
            <w:pPr>
              <w:pStyle w:val="TableText0"/>
              <w:keepNext w:val="0"/>
              <w:jc w:val="center"/>
              <w:rPr>
                <w:iCs/>
              </w:rPr>
            </w:pPr>
            <w:r w:rsidRPr="001D6D9F">
              <w:rPr>
                <w:rFonts w:cs="Times New Roman" w:hint="eastAsia"/>
                <w:iCs/>
                <w:color w:val="000000"/>
                <w:w w:val="15"/>
                <w:shd w:val="solid" w:color="000000" w:fill="000000"/>
                <w:fitText w:val="60" w:id="-1304677618"/>
                <w14:textFill>
                  <w14:solidFill>
                    <w14:srgbClr w14:val="000000">
                      <w14:alpha w14:val="100000"/>
                    </w14:srgbClr>
                  </w14:solidFill>
                </w14:textFill>
              </w:rPr>
              <w:t xml:space="preserve">　</w:t>
            </w:r>
            <w:r w:rsidRPr="001D6D9F">
              <w:rPr>
                <w:rFonts w:cs="Times New Roman"/>
                <w:iCs/>
                <w:color w:val="000000"/>
                <w:w w:val="15"/>
                <w:shd w:val="solid" w:color="000000" w:fill="000000"/>
                <w:fitText w:val="60" w:id="-1304677618"/>
                <w14:textFill>
                  <w14:solidFill>
                    <w14:srgbClr w14:val="000000">
                      <w14:alpha w14:val="100000"/>
                    </w14:srgbClr>
                  </w14:solidFill>
                </w14:textFill>
              </w:rPr>
              <w:t>|</w:t>
            </w:r>
            <w:r w:rsidRPr="001D6D9F">
              <w:rPr>
                <w:rFonts w:cs="Times New Roman" w:hint="eastAsia"/>
                <w:iCs/>
                <w:color w:val="000000"/>
                <w:spacing w:val="-5"/>
                <w:w w:val="15"/>
                <w:shd w:val="solid" w:color="000000" w:fill="000000"/>
                <w:fitText w:val="60" w:id="-1304677618"/>
                <w14:textFill>
                  <w14:solidFill>
                    <w14:srgbClr w14:val="000000">
                      <w14:alpha w14:val="100000"/>
                    </w14:srgbClr>
                  </w14:solidFill>
                </w14:textFill>
              </w:rPr>
              <w:t xml:space="preserve">　</w:t>
            </w:r>
            <w:r w:rsidR="00A76DAC" w:rsidRPr="00A76DAC">
              <w:rPr>
                <w:vertAlign w:val="superscript"/>
              </w:rPr>
              <w:t>3</w:t>
            </w:r>
          </w:p>
        </w:tc>
        <w:tc>
          <w:tcPr>
            <w:tcW w:w="611" w:type="pct"/>
            <w:tcBorders>
              <w:bottom w:val="nil"/>
            </w:tcBorders>
            <w:shd w:val="clear" w:color="auto" w:fill="auto"/>
            <w:vAlign w:val="center"/>
          </w:tcPr>
          <w:p w14:paraId="5A0EEB87" w14:textId="5EFE4717" w:rsidR="00563070" w:rsidRPr="00563070" w:rsidRDefault="001D6D9F" w:rsidP="007A2A2F">
            <w:pPr>
              <w:pStyle w:val="TableText0"/>
              <w:keepNext w:val="0"/>
              <w:jc w:val="center"/>
              <w:rPr>
                <w:iCs/>
              </w:rPr>
            </w:pPr>
            <w:r w:rsidRPr="001D6D9F">
              <w:rPr>
                <w:rFonts w:cs="Times New Roman" w:hint="eastAsia"/>
                <w:iCs/>
                <w:color w:val="000000"/>
                <w:w w:val="15"/>
                <w:shd w:val="solid" w:color="000000" w:fill="000000"/>
                <w:fitText w:val="60" w:id="-1304677617"/>
                <w14:textFill>
                  <w14:solidFill>
                    <w14:srgbClr w14:val="000000">
                      <w14:alpha w14:val="100000"/>
                    </w14:srgbClr>
                  </w14:solidFill>
                </w14:textFill>
              </w:rPr>
              <w:t xml:space="preserve">　</w:t>
            </w:r>
            <w:r w:rsidRPr="001D6D9F">
              <w:rPr>
                <w:rFonts w:cs="Times New Roman"/>
                <w:iCs/>
                <w:color w:val="000000"/>
                <w:w w:val="15"/>
                <w:shd w:val="solid" w:color="000000" w:fill="000000"/>
                <w:fitText w:val="60" w:id="-1304677617"/>
                <w14:textFill>
                  <w14:solidFill>
                    <w14:srgbClr w14:val="000000">
                      <w14:alpha w14:val="100000"/>
                    </w14:srgbClr>
                  </w14:solidFill>
                </w14:textFill>
              </w:rPr>
              <w:t>|</w:t>
            </w:r>
            <w:r w:rsidRPr="001D6D9F">
              <w:rPr>
                <w:rFonts w:cs="Times New Roman" w:hint="eastAsia"/>
                <w:iCs/>
                <w:color w:val="000000"/>
                <w:spacing w:val="-5"/>
                <w:w w:val="15"/>
                <w:shd w:val="solid" w:color="000000" w:fill="000000"/>
                <w:fitText w:val="60" w:id="-1304677617"/>
                <w14:textFill>
                  <w14:solidFill>
                    <w14:srgbClr w14:val="000000">
                      <w14:alpha w14:val="100000"/>
                    </w14:srgbClr>
                  </w14:solidFill>
                </w14:textFill>
              </w:rPr>
              <w:t xml:space="preserve">　</w:t>
            </w:r>
            <w:r w:rsidR="00A76DAC">
              <w:rPr>
                <w:vertAlign w:val="superscript"/>
              </w:rPr>
              <w:t>3</w:t>
            </w:r>
          </w:p>
        </w:tc>
        <w:tc>
          <w:tcPr>
            <w:tcW w:w="611" w:type="pct"/>
            <w:tcBorders>
              <w:bottom w:val="nil"/>
            </w:tcBorders>
            <w:shd w:val="clear" w:color="auto" w:fill="auto"/>
            <w:vAlign w:val="center"/>
          </w:tcPr>
          <w:p w14:paraId="096E81BF" w14:textId="7D624812" w:rsidR="00563070" w:rsidRPr="00563070" w:rsidRDefault="001D6D9F" w:rsidP="007A2A2F">
            <w:pPr>
              <w:pStyle w:val="TableText0"/>
              <w:keepNext w:val="0"/>
              <w:jc w:val="center"/>
              <w:rPr>
                <w:iCs/>
              </w:rPr>
            </w:pPr>
            <w:r w:rsidRPr="001D6D9F">
              <w:rPr>
                <w:rFonts w:cs="Times New Roman" w:hint="eastAsia"/>
                <w:iCs/>
                <w:color w:val="000000"/>
                <w:w w:val="15"/>
                <w:shd w:val="solid" w:color="000000" w:fill="000000"/>
                <w:fitText w:val="60" w:id="-1304677616"/>
                <w14:textFill>
                  <w14:solidFill>
                    <w14:srgbClr w14:val="000000">
                      <w14:alpha w14:val="100000"/>
                    </w14:srgbClr>
                  </w14:solidFill>
                </w14:textFill>
              </w:rPr>
              <w:t xml:space="preserve">　</w:t>
            </w:r>
            <w:r w:rsidRPr="001D6D9F">
              <w:rPr>
                <w:rFonts w:cs="Times New Roman"/>
                <w:iCs/>
                <w:color w:val="000000"/>
                <w:w w:val="15"/>
                <w:shd w:val="solid" w:color="000000" w:fill="000000"/>
                <w:fitText w:val="60" w:id="-1304677616"/>
                <w14:textFill>
                  <w14:solidFill>
                    <w14:srgbClr w14:val="000000">
                      <w14:alpha w14:val="100000"/>
                    </w14:srgbClr>
                  </w14:solidFill>
                </w14:textFill>
              </w:rPr>
              <w:t>|</w:t>
            </w:r>
            <w:r w:rsidRPr="001D6D9F">
              <w:rPr>
                <w:rFonts w:cs="Times New Roman" w:hint="eastAsia"/>
                <w:iCs/>
                <w:color w:val="000000"/>
                <w:spacing w:val="-5"/>
                <w:w w:val="15"/>
                <w:shd w:val="solid" w:color="000000" w:fill="000000"/>
                <w:fitText w:val="60" w:id="-1304677616"/>
                <w14:textFill>
                  <w14:solidFill>
                    <w14:srgbClr w14:val="000000">
                      <w14:alpha w14:val="100000"/>
                    </w14:srgbClr>
                  </w14:solidFill>
                </w14:textFill>
              </w:rPr>
              <w:t xml:space="preserve">　</w:t>
            </w:r>
            <w:r w:rsidR="00A76DAC">
              <w:rPr>
                <w:vertAlign w:val="superscript"/>
              </w:rPr>
              <w:t>3</w:t>
            </w:r>
          </w:p>
        </w:tc>
        <w:tc>
          <w:tcPr>
            <w:tcW w:w="611" w:type="pct"/>
            <w:tcBorders>
              <w:bottom w:val="nil"/>
            </w:tcBorders>
            <w:shd w:val="clear" w:color="auto" w:fill="auto"/>
            <w:vAlign w:val="center"/>
          </w:tcPr>
          <w:p w14:paraId="6F743ED8" w14:textId="1A3B36C6" w:rsidR="00563070" w:rsidRPr="00292D06" w:rsidRDefault="001D6D9F" w:rsidP="007A2A2F">
            <w:pPr>
              <w:pStyle w:val="TableText0"/>
              <w:keepNext w:val="0"/>
              <w:jc w:val="center"/>
              <w:rPr>
                <w:iCs/>
                <w:highlight w:val="darkGray"/>
              </w:rPr>
            </w:pPr>
            <w:r w:rsidRPr="001D6D9F">
              <w:rPr>
                <w:rFonts w:cs="Times New Roman" w:hint="eastAsia"/>
                <w:iCs/>
                <w:color w:val="000000"/>
                <w:w w:val="15"/>
                <w:shd w:val="solid" w:color="000000" w:fill="000000"/>
                <w:fitText w:val="60" w:id="-1304677632"/>
                <w14:textFill>
                  <w14:solidFill>
                    <w14:srgbClr w14:val="000000">
                      <w14:alpha w14:val="100000"/>
                    </w14:srgbClr>
                  </w14:solidFill>
                </w14:textFill>
              </w:rPr>
              <w:t xml:space="preserve">　</w:t>
            </w:r>
            <w:r w:rsidRPr="001D6D9F">
              <w:rPr>
                <w:rFonts w:cs="Times New Roman"/>
                <w:iCs/>
                <w:color w:val="000000"/>
                <w:w w:val="15"/>
                <w:shd w:val="solid" w:color="000000" w:fill="000000"/>
                <w:fitText w:val="60" w:id="-1304677632"/>
                <w14:textFill>
                  <w14:solidFill>
                    <w14:srgbClr w14:val="000000">
                      <w14:alpha w14:val="100000"/>
                    </w14:srgbClr>
                  </w14:solidFill>
                </w14:textFill>
              </w:rPr>
              <w:t>|</w:t>
            </w:r>
            <w:r w:rsidRPr="001D6D9F">
              <w:rPr>
                <w:rFonts w:cs="Times New Roman" w:hint="eastAsia"/>
                <w:iCs/>
                <w:color w:val="000000"/>
                <w:spacing w:val="-5"/>
                <w:w w:val="15"/>
                <w:shd w:val="solid" w:color="000000" w:fill="000000"/>
                <w:fitText w:val="60" w:id="-1304677632"/>
                <w14:textFill>
                  <w14:solidFill>
                    <w14:srgbClr w14:val="000000">
                      <w14:alpha w14:val="100000"/>
                    </w14:srgbClr>
                  </w14:solidFill>
                </w14:textFill>
              </w:rPr>
              <w:t xml:space="preserve">　</w:t>
            </w:r>
            <w:r w:rsidR="00A76DAC" w:rsidRPr="00292D06">
              <w:rPr>
                <w:vertAlign w:val="superscript"/>
              </w:rPr>
              <w:t>3</w:t>
            </w:r>
          </w:p>
        </w:tc>
        <w:tc>
          <w:tcPr>
            <w:tcW w:w="611" w:type="pct"/>
            <w:tcBorders>
              <w:bottom w:val="nil"/>
            </w:tcBorders>
            <w:shd w:val="clear" w:color="auto" w:fill="auto"/>
            <w:vAlign w:val="center"/>
          </w:tcPr>
          <w:p w14:paraId="599BE917" w14:textId="26E6F52C" w:rsidR="00563070" w:rsidRPr="00563070" w:rsidRDefault="001D6D9F" w:rsidP="007A2A2F">
            <w:pPr>
              <w:pStyle w:val="TableText0"/>
              <w:keepNext w:val="0"/>
              <w:jc w:val="center"/>
              <w:rPr>
                <w:iCs/>
              </w:rPr>
            </w:pPr>
            <w:r w:rsidRPr="001D6D9F">
              <w:rPr>
                <w:rFonts w:cs="Times New Roman" w:hint="eastAsia"/>
                <w:iCs/>
                <w:color w:val="000000"/>
                <w:w w:val="15"/>
                <w:shd w:val="solid" w:color="000000" w:fill="000000"/>
                <w:fitText w:val="60" w:id="-1304677631"/>
                <w14:textFill>
                  <w14:solidFill>
                    <w14:srgbClr w14:val="000000">
                      <w14:alpha w14:val="100000"/>
                    </w14:srgbClr>
                  </w14:solidFill>
                </w14:textFill>
              </w:rPr>
              <w:t xml:space="preserve">　</w:t>
            </w:r>
            <w:r w:rsidRPr="001D6D9F">
              <w:rPr>
                <w:rFonts w:cs="Times New Roman"/>
                <w:iCs/>
                <w:color w:val="000000"/>
                <w:w w:val="15"/>
                <w:shd w:val="solid" w:color="000000" w:fill="000000"/>
                <w:fitText w:val="60" w:id="-1304677631"/>
                <w14:textFill>
                  <w14:solidFill>
                    <w14:srgbClr w14:val="000000">
                      <w14:alpha w14:val="100000"/>
                    </w14:srgbClr>
                  </w14:solidFill>
                </w14:textFill>
              </w:rPr>
              <w:t>|</w:t>
            </w:r>
            <w:r w:rsidRPr="001D6D9F">
              <w:rPr>
                <w:rFonts w:cs="Times New Roman" w:hint="eastAsia"/>
                <w:iCs/>
                <w:color w:val="000000"/>
                <w:spacing w:val="-5"/>
                <w:w w:val="15"/>
                <w:shd w:val="solid" w:color="000000" w:fill="000000"/>
                <w:fitText w:val="60" w:id="-1304677631"/>
                <w14:textFill>
                  <w14:solidFill>
                    <w14:srgbClr w14:val="000000">
                      <w14:alpha w14:val="100000"/>
                    </w14:srgbClr>
                  </w14:solidFill>
                </w14:textFill>
              </w:rPr>
              <w:t xml:space="preserve">　</w:t>
            </w:r>
            <w:r w:rsidR="00A76DAC">
              <w:rPr>
                <w:vertAlign w:val="superscript"/>
              </w:rPr>
              <w:t>3</w:t>
            </w:r>
          </w:p>
        </w:tc>
        <w:tc>
          <w:tcPr>
            <w:tcW w:w="611" w:type="pct"/>
            <w:tcBorders>
              <w:bottom w:val="nil"/>
            </w:tcBorders>
            <w:vAlign w:val="center"/>
          </w:tcPr>
          <w:p w14:paraId="4D4A04AD" w14:textId="04EB5A1B" w:rsidR="00563070" w:rsidRPr="00292D06" w:rsidRDefault="001D6D9F" w:rsidP="007A2A2F">
            <w:pPr>
              <w:pStyle w:val="TableText0"/>
              <w:keepNext w:val="0"/>
              <w:jc w:val="center"/>
              <w:rPr>
                <w:iCs/>
                <w:highlight w:val="darkGray"/>
              </w:rPr>
            </w:pPr>
            <w:r w:rsidRPr="001D6D9F">
              <w:rPr>
                <w:rFonts w:cs="Times New Roman" w:hint="eastAsia"/>
                <w:iCs/>
                <w:color w:val="000000"/>
                <w:w w:val="15"/>
                <w:shd w:val="solid" w:color="000000" w:fill="000000"/>
                <w:fitText w:val="60" w:id="-1304677630"/>
                <w14:textFill>
                  <w14:solidFill>
                    <w14:srgbClr w14:val="000000">
                      <w14:alpha w14:val="100000"/>
                    </w14:srgbClr>
                  </w14:solidFill>
                </w14:textFill>
              </w:rPr>
              <w:t xml:space="preserve">　</w:t>
            </w:r>
            <w:r w:rsidRPr="001D6D9F">
              <w:rPr>
                <w:rFonts w:cs="Times New Roman"/>
                <w:iCs/>
                <w:color w:val="000000"/>
                <w:w w:val="15"/>
                <w:shd w:val="solid" w:color="000000" w:fill="000000"/>
                <w:fitText w:val="60" w:id="-1304677630"/>
                <w14:textFill>
                  <w14:solidFill>
                    <w14:srgbClr w14:val="000000">
                      <w14:alpha w14:val="100000"/>
                    </w14:srgbClr>
                  </w14:solidFill>
                </w14:textFill>
              </w:rPr>
              <w:t>|</w:t>
            </w:r>
            <w:r w:rsidRPr="001D6D9F">
              <w:rPr>
                <w:rFonts w:cs="Times New Roman" w:hint="eastAsia"/>
                <w:iCs/>
                <w:color w:val="000000"/>
                <w:spacing w:val="-5"/>
                <w:w w:val="15"/>
                <w:shd w:val="solid" w:color="000000" w:fill="000000"/>
                <w:fitText w:val="60" w:id="-1304677630"/>
                <w14:textFill>
                  <w14:solidFill>
                    <w14:srgbClr w14:val="000000">
                      <w14:alpha w14:val="100000"/>
                    </w14:srgbClr>
                  </w14:solidFill>
                </w14:textFill>
              </w:rPr>
              <w:t xml:space="preserve">　</w:t>
            </w:r>
            <w:r w:rsidR="00A76DAC" w:rsidRPr="00292D06">
              <w:rPr>
                <w:vertAlign w:val="superscript"/>
              </w:rPr>
              <w:t>3</w:t>
            </w:r>
          </w:p>
        </w:tc>
      </w:tr>
      <w:tr w:rsidR="00563070" w:rsidRPr="003639A6" w14:paraId="225075B3" w14:textId="77777777" w:rsidTr="007A2A2F">
        <w:tc>
          <w:tcPr>
            <w:tcW w:w="1334" w:type="pct"/>
            <w:tcBorders>
              <w:bottom w:val="single" w:sz="4" w:space="0" w:color="auto"/>
            </w:tcBorders>
            <w:shd w:val="clear" w:color="auto" w:fill="auto"/>
            <w:vAlign w:val="center"/>
          </w:tcPr>
          <w:p w14:paraId="09C662B5" w14:textId="7AEBB1FC" w:rsidR="00563070" w:rsidRPr="00A76DAC" w:rsidRDefault="00563070" w:rsidP="00C35ABF">
            <w:pPr>
              <w:pStyle w:val="TableText0"/>
              <w:keepNext w:val="0"/>
              <w:rPr>
                <w:rFonts w:ascii="Times" w:hAnsi="Times"/>
              </w:rPr>
            </w:pPr>
            <w:r w:rsidRPr="009C58B6">
              <w:rPr>
                <w:sz w:val="19"/>
                <w:szCs w:val="19"/>
              </w:rPr>
              <w:t>Net cost to MBS</w:t>
            </w:r>
            <w:r w:rsidRPr="009C58B6">
              <w:rPr>
                <w:sz w:val="19"/>
                <w:szCs w:val="19"/>
                <w:vertAlign w:val="superscript"/>
              </w:rPr>
              <w:t>b</w:t>
            </w:r>
            <w:r w:rsidR="00A76DAC">
              <w:rPr>
                <w:sz w:val="19"/>
                <w:szCs w:val="19"/>
              </w:rPr>
              <w:t xml:space="preserve"> ($)</w:t>
            </w:r>
          </w:p>
        </w:tc>
        <w:tc>
          <w:tcPr>
            <w:tcW w:w="611" w:type="pct"/>
            <w:tcBorders>
              <w:bottom w:val="single" w:sz="4" w:space="0" w:color="auto"/>
            </w:tcBorders>
            <w:shd w:val="clear" w:color="auto" w:fill="auto"/>
            <w:vAlign w:val="center"/>
          </w:tcPr>
          <w:p w14:paraId="1AC5764C" w14:textId="17EF0C77" w:rsidR="00563070" w:rsidRPr="00563070" w:rsidRDefault="001D6D9F" w:rsidP="007A2A2F">
            <w:pPr>
              <w:pStyle w:val="TableText0"/>
              <w:keepNext w:val="0"/>
              <w:jc w:val="center"/>
              <w:rPr>
                <w:iCs/>
              </w:rPr>
            </w:pPr>
            <w:r w:rsidRPr="001D6D9F">
              <w:rPr>
                <w:rFonts w:cs="Arial" w:hint="eastAsia"/>
                <w:iCs/>
                <w:color w:val="000000"/>
                <w:w w:val="15"/>
                <w:szCs w:val="20"/>
                <w:shd w:val="solid" w:color="000000" w:fill="000000"/>
                <w:fitText w:val="60" w:id="-1304677629"/>
                <w14:textFill>
                  <w14:solidFill>
                    <w14:srgbClr w14:val="000000">
                      <w14:alpha w14:val="100000"/>
                    </w14:srgbClr>
                  </w14:solidFill>
                </w14:textFill>
              </w:rPr>
              <w:t xml:space="preserve">　</w:t>
            </w:r>
            <w:r w:rsidRPr="001D6D9F">
              <w:rPr>
                <w:rFonts w:cs="Arial"/>
                <w:iCs/>
                <w:color w:val="000000"/>
                <w:w w:val="15"/>
                <w:szCs w:val="20"/>
                <w:shd w:val="solid" w:color="000000" w:fill="000000"/>
                <w:fitText w:val="60" w:id="-1304677629"/>
                <w14:textFill>
                  <w14:solidFill>
                    <w14:srgbClr w14:val="000000">
                      <w14:alpha w14:val="100000"/>
                    </w14:srgbClr>
                  </w14:solidFill>
                </w14:textFill>
              </w:rPr>
              <w:t>|</w:t>
            </w:r>
            <w:r w:rsidRPr="001D6D9F">
              <w:rPr>
                <w:rFonts w:cs="Arial" w:hint="eastAsia"/>
                <w:iCs/>
                <w:color w:val="000000"/>
                <w:spacing w:val="-5"/>
                <w:w w:val="15"/>
                <w:szCs w:val="20"/>
                <w:shd w:val="solid" w:color="000000" w:fill="000000"/>
                <w:fitText w:val="60" w:id="-1304677629"/>
                <w14:textFill>
                  <w14:solidFill>
                    <w14:srgbClr w14:val="000000">
                      <w14:alpha w14:val="100000"/>
                    </w14:srgbClr>
                  </w14:solidFill>
                </w14:textFill>
              </w:rPr>
              <w:t xml:space="preserve">　</w:t>
            </w:r>
            <w:r w:rsidR="007A2A2F">
              <w:rPr>
                <w:vertAlign w:val="superscript"/>
              </w:rPr>
              <w:t>4</w:t>
            </w:r>
          </w:p>
        </w:tc>
        <w:tc>
          <w:tcPr>
            <w:tcW w:w="611" w:type="pct"/>
            <w:tcBorders>
              <w:bottom w:val="single" w:sz="4" w:space="0" w:color="auto"/>
            </w:tcBorders>
            <w:shd w:val="clear" w:color="auto" w:fill="auto"/>
            <w:vAlign w:val="center"/>
          </w:tcPr>
          <w:p w14:paraId="24581276" w14:textId="1CB6F2B7" w:rsidR="00563070" w:rsidRPr="00563070" w:rsidRDefault="001D6D9F" w:rsidP="007A2A2F">
            <w:pPr>
              <w:pStyle w:val="TableText0"/>
              <w:keepNext w:val="0"/>
              <w:jc w:val="center"/>
              <w:rPr>
                <w:iCs/>
              </w:rPr>
            </w:pPr>
            <w:r w:rsidRPr="001D6D9F">
              <w:rPr>
                <w:rFonts w:cs="Arial" w:hint="eastAsia"/>
                <w:iCs/>
                <w:color w:val="000000"/>
                <w:w w:val="15"/>
                <w:szCs w:val="20"/>
                <w:shd w:val="solid" w:color="000000" w:fill="000000"/>
                <w:fitText w:val="60" w:id="-1304677628"/>
                <w14:textFill>
                  <w14:solidFill>
                    <w14:srgbClr w14:val="000000">
                      <w14:alpha w14:val="100000"/>
                    </w14:srgbClr>
                  </w14:solidFill>
                </w14:textFill>
              </w:rPr>
              <w:t xml:space="preserve">　</w:t>
            </w:r>
            <w:r w:rsidRPr="001D6D9F">
              <w:rPr>
                <w:rFonts w:cs="Arial"/>
                <w:iCs/>
                <w:color w:val="000000"/>
                <w:w w:val="15"/>
                <w:szCs w:val="20"/>
                <w:shd w:val="solid" w:color="000000" w:fill="000000"/>
                <w:fitText w:val="60" w:id="-1304677628"/>
                <w14:textFill>
                  <w14:solidFill>
                    <w14:srgbClr w14:val="000000">
                      <w14:alpha w14:val="100000"/>
                    </w14:srgbClr>
                  </w14:solidFill>
                </w14:textFill>
              </w:rPr>
              <w:t>|</w:t>
            </w:r>
            <w:r w:rsidRPr="001D6D9F">
              <w:rPr>
                <w:rFonts w:cs="Arial" w:hint="eastAsia"/>
                <w:iCs/>
                <w:color w:val="000000"/>
                <w:spacing w:val="-5"/>
                <w:w w:val="15"/>
                <w:szCs w:val="20"/>
                <w:shd w:val="solid" w:color="000000" w:fill="000000"/>
                <w:fitText w:val="60" w:id="-1304677628"/>
                <w14:textFill>
                  <w14:solidFill>
                    <w14:srgbClr w14:val="000000">
                      <w14:alpha w14:val="100000"/>
                    </w14:srgbClr>
                  </w14:solidFill>
                </w14:textFill>
              </w:rPr>
              <w:t xml:space="preserve">　</w:t>
            </w:r>
            <w:r w:rsidR="007A2A2F" w:rsidRPr="00A76DAC">
              <w:rPr>
                <w:vertAlign w:val="superscript"/>
              </w:rPr>
              <w:t>4</w:t>
            </w:r>
          </w:p>
        </w:tc>
        <w:tc>
          <w:tcPr>
            <w:tcW w:w="611" w:type="pct"/>
            <w:tcBorders>
              <w:bottom w:val="single" w:sz="4" w:space="0" w:color="auto"/>
            </w:tcBorders>
            <w:shd w:val="clear" w:color="auto" w:fill="auto"/>
            <w:vAlign w:val="center"/>
          </w:tcPr>
          <w:p w14:paraId="61C8EBF7" w14:textId="39486BF7" w:rsidR="00563070" w:rsidRPr="00563070" w:rsidRDefault="001D6D9F" w:rsidP="007A2A2F">
            <w:pPr>
              <w:pStyle w:val="TableText0"/>
              <w:keepNext w:val="0"/>
              <w:jc w:val="center"/>
              <w:rPr>
                <w:iCs/>
              </w:rPr>
            </w:pPr>
            <w:r w:rsidRPr="001D6D9F">
              <w:rPr>
                <w:rFonts w:cs="Arial" w:hint="eastAsia"/>
                <w:iCs/>
                <w:color w:val="000000"/>
                <w:w w:val="15"/>
                <w:szCs w:val="20"/>
                <w:shd w:val="solid" w:color="000000" w:fill="000000"/>
                <w:fitText w:val="60" w:id="-1304677627"/>
                <w14:textFill>
                  <w14:solidFill>
                    <w14:srgbClr w14:val="000000">
                      <w14:alpha w14:val="100000"/>
                    </w14:srgbClr>
                  </w14:solidFill>
                </w14:textFill>
              </w:rPr>
              <w:t xml:space="preserve">　</w:t>
            </w:r>
            <w:r w:rsidRPr="001D6D9F">
              <w:rPr>
                <w:rFonts w:cs="Arial"/>
                <w:iCs/>
                <w:color w:val="000000"/>
                <w:w w:val="15"/>
                <w:szCs w:val="20"/>
                <w:shd w:val="solid" w:color="000000" w:fill="000000"/>
                <w:fitText w:val="60" w:id="-1304677627"/>
                <w14:textFill>
                  <w14:solidFill>
                    <w14:srgbClr w14:val="000000">
                      <w14:alpha w14:val="100000"/>
                    </w14:srgbClr>
                  </w14:solidFill>
                </w14:textFill>
              </w:rPr>
              <w:t>|</w:t>
            </w:r>
            <w:r w:rsidRPr="001D6D9F">
              <w:rPr>
                <w:rFonts w:cs="Arial" w:hint="eastAsia"/>
                <w:iCs/>
                <w:color w:val="000000"/>
                <w:spacing w:val="-5"/>
                <w:w w:val="15"/>
                <w:szCs w:val="20"/>
                <w:shd w:val="solid" w:color="000000" w:fill="000000"/>
                <w:fitText w:val="60" w:id="-1304677627"/>
                <w14:textFill>
                  <w14:solidFill>
                    <w14:srgbClr w14:val="000000">
                      <w14:alpha w14:val="100000"/>
                    </w14:srgbClr>
                  </w14:solidFill>
                </w14:textFill>
              </w:rPr>
              <w:t xml:space="preserve">　</w:t>
            </w:r>
            <w:r w:rsidR="007A2A2F">
              <w:rPr>
                <w:vertAlign w:val="superscript"/>
              </w:rPr>
              <w:t>4</w:t>
            </w:r>
          </w:p>
        </w:tc>
        <w:tc>
          <w:tcPr>
            <w:tcW w:w="611" w:type="pct"/>
            <w:tcBorders>
              <w:bottom w:val="single" w:sz="4" w:space="0" w:color="auto"/>
            </w:tcBorders>
            <w:shd w:val="clear" w:color="auto" w:fill="auto"/>
            <w:vAlign w:val="center"/>
          </w:tcPr>
          <w:p w14:paraId="74115E49" w14:textId="46547712" w:rsidR="00563070" w:rsidRPr="00292D06" w:rsidRDefault="001D6D9F" w:rsidP="007A2A2F">
            <w:pPr>
              <w:pStyle w:val="TableText0"/>
              <w:keepNext w:val="0"/>
              <w:jc w:val="center"/>
              <w:rPr>
                <w:iCs/>
                <w:highlight w:val="darkGray"/>
              </w:rPr>
            </w:pPr>
            <w:r w:rsidRPr="001D6D9F">
              <w:rPr>
                <w:rFonts w:cs="Arial" w:hint="eastAsia"/>
                <w:iCs/>
                <w:color w:val="000000"/>
                <w:w w:val="15"/>
                <w:szCs w:val="20"/>
                <w:shd w:val="solid" w:color="000000" w:fill="000000"/>
                <w:fitText w:val="60" w:id="-1304677626"/>
                <w14:textFill>
                  <w14:solidFill>
                    <w14:srgbClr w14:val="000000">
                      <w14:alpha w14:val="100000"/>
                    </w14:srgbClr>
                  </w14:solidFill>
                </w14:textFill>
              </w:rPr>
              <w:t xml:space="preserve">　</w:t>
            </w:r>
            <w:r w:rsidRPr="001D6D9F">
              <w:rPr>
                <w:rFonts w:cs="Arial"/>
                <w:iCs/>
                <w:color w:val="000000"/>
                <w:w w:val="15"/>
                <w:szCs w:val="20"/>
                <w:shd w:val="solid" w:color="000000" w:fill="000000"/>
                <w:fitText w:val="60" w:id="-1304677626"/>
                <w14:textFill>
                  <w14:solidFill>
                    <w14:srgbClr w14:val="000000">
                      <w14:alpha w14:val="100000"/>
                    </w14:srgbClr>
                  </w14:solidFill>
                </w14:textFill>
              </w:rPr>
              <w:t>|</w:t>
            </w:r>
            <w:r w:rsidRPr="001D6D9F">
              <w:rPr>
                <w:rFonts w:cs="Arial" w:hint="eastAsia"/>
                <w:iCs/>
                <w:color w:val="000000"/>
                <w:spacing w:val="-5"/>
                <w:w w:val="15"/>
                <w:szCs w:val="20"/>
                <w:shd w:val="solid" w:color="000000" w:fill="000000"/>
                <w:fitText w:val="60" w:id="-1304677626"/>
                <w14:textFill>
                  <w14:solidFill>
                    <w14:srgbClr w14:val="000000">
                      <w14:alpha w14:val="100000"/>
                    </w14:srgbClr>
                  </w14:solidFill>
                </w14:textFill>
              </w:rPr>
              <w:t xml:space="preserve">　</w:t>
            </w:r>
            <w:r w:rsidR="007A2A2F" w:rsidRPr="00292D06">
              <w:rPr>
                <w:vertAlign w:val="superscript"/>
              </w:rPr>
              <w:t>4</w:t>
            </w:r>
          </w:p>
        </w:tc>
        <w:tc>
          <w:tcPr>
            <w:tcW w:w="611" w:type="pct"/>
            <w:tcBorders>
              <w:bottom w:val="single" w:sz="4" w:space="0" w:color="auto"/>
            </w:tcBorders>
            <w:shd w:val="clear" w:color="auto" w:fill="auto"/>
            <w:vAlign w:val="center"/>
          </w:tcPr>
          <w:p w14:paraId="595B0483" w14:textId="1443827C" w:rsidR="00563070" w:rsidRPr="00292D06" w:rsidRDefault="001D6D9F" w:rsidP="007A2A2F">
            <w:pPr>
              <w:pStyle w:val="TableText0"/>
              <w:keepNext w:val="0"/>
              <w:jc w:val="center"/>
              <w:rPr>
                <w:iCs/>
                <w:highlight w:val="darkGray"/>
              </w:rPr>
            </w:pPr>
            <w:r w:rsidRPr="001D6D9F">
              <w:rPr>
                <w:rFonts w:cs="Arial" w:hint="eastAsia"/>
                <w:iCs/>
                <w:color w:val="000000"/>
                <w:w w:val="15"/>
                <w:szCs w:val="20"/>
                <w:shd w:val="solid" w:color="000000" w:fill="000000"/>
                <w:fitText w:val="60" w:id="-1304677625"/>
                <w14:textFill>
                  <w14:solidFill>
                    <w14:srgbClr w14:val="000000">
                      <w14:alpha w14:val="100000"/>
                    </w14:srgbClr>
                  </w14:solidFill>
                </w14:textFill>
              </w:rPr>
              <w:t xml:space="preserve">　</w:t>
            </w:r>
            <w:r w:rsidRPr="001D6D9F">
              <w:rPr>
                <w:rFonts w:cs="Arial"/>
                <w:iCs/>
                <w:color w:val="000000"/>
                <w:w w:val="15"/>
                <w:szCs w:val="20"/>
                <w:shd w:val="solid" w:color="000000" w:fill="000000"/>
                <w:fitText w:val="60" w:id="-1304677625"/>
                <w14:textFill>
                  <w14:solidFill>
                    <w14:srgbClr w14:val="000000">
                      <w14:alpha w14:val="100000"/>
                    </w14:srgbClr>
                  </w14:solidFill>
                </w14:textFill>
              </w:rPr>
              <w:t>|</w:t>
            </w:r>
            <w:r w:rsidRPr="001D6D9F">
              <w:rPr>
                <w:rFonts w:cs="Arial" w:hint="eastAsia"/>
                <w:iCs/>
                <w:color w:val="000000"/>
                <w:spacing w:val="-5"/>
                <w:w w:val="15"/>
                <w:szCs w:val="20"/>
                <w:shd w:val="solid" w:color="000000" w:fill="000000"/>
                <w:fitText w:val="60" w:id="-1304677625"/>
                <w14:textFill>
                  <w14:solidFill>
                    <w14:srgbClr w14:val="000000">
                      <w14:alpha w14:val="100000"/>
                    </w14:srgbClr>
                  </w14:solidFill>
                </w14:textFill>
              </w:rPr>
              <w:t xml:space="preserve">　</w:t>
            </w:r>
            <w:r w:rsidR="007A2A2F" w:rsidRPr="00292D06">
              <w:rPr>
                <w:vertAlign w:val="superscript"/>
              </w:rPr>
              <w:t>4</w:t>
            </w:r>
          </w:p>
        </w:tc>
        <w:tc>
          <w:tcPr>
            <w:tcW w:w="611" w:type="pct"/>
            <w:tcBorders>
              <w:bottom w:val="single" w:sz="4" w:space="0" w:color="auto"/>
            </w:tcBorders>
            <w:vAlign w:val="center"/>
          </w:tcPr>
          <w:p w14:paraId="13C9084F" w14:textId="392A4B02" w:rsidR="00563070" w:rsidRPr="00563070" w:rsidRDefault="001D6D9F" w:rsidP="007A2A2F">
            <w:pPr>
              <w:pStyle w:val="TableText0"/>
              <w:keepNext w:val="0"/>
              <w:jc w:val="center"/>
              <w:rPr>
                <w:iCs/>
              </w:rPr>
            </w:pPr>
            <w:r w:rsidRPr="001D6D9F">
              <w:rPr>
                <w:rFonts w:cs="Arial" w:hint="eastAsia"/>
                <w:iCs/>
                <w:color w:val="000000"/>
                <w:w w:val="15"/>
                <w:szCs w:val="20"/>
                <w:shd w:val="solid" w:color="000000" w:fill="000000"/>
                <w:fitText w:val="60" w:id="-1304677624"/>
                <w14:textFill>
                  <w14:solidFill>
                    <w14:srgbClr w14:val="000000">
                      <w14:alpha w14:val="100000"/>
                    </w14:srgbClr>
                  </w14:solidFill>
                </w14:textFill>
              </w:rPr>
              <w:t xml:space="preserve">　</w:t>
            </w:r>
            <w:r w:rsidRPr="001D6D9F">
              <w:rPr>
                <w:rFonts w:cs="Arial"/>
                <w:iCs/>
                <w:color w:val="000000"/>
                <w:w w:val="15"/>
                <w:szCs w:val="20"/>
                <w:shd w:val="solid" w:color="000000" w:fill="000000"/>
                <w:fitText w:val="60" w:id="-1304677624"/>
                <w14:textFill>
                  <w14:solidFill>
                    <w14:srgbClr w14:val="000000">
                      <w14:alpha w14:val="100000"/>
                    </w14:srgbClr>
                  </w14:solidFill>
                </w14:textFill>
              </w:rPr>
              <w:t>|</w:t>
            </w:r>
            <w:r w:rsidRPr="001D6D9F">
              <w:rPr>
                <w:rFonts w:cs="Arial" w:hint="eastAsia"/>
                <w:iCs/>
                <w:color w:val="000000"/>
                <w:spacing w:val="-5"/>
                <w:w w:val="15"/>
                <w:szCs w:val="20"/>
                <w:shd w:val="solid" w:color="000000" w:fill="000000"/>
                <w:fitText w:val="60" w:id="-1304677624"/>
                <w14:textFill>
                  <w14:solidFill>
                    <w14:srgbClr w14:val="000000">
                      <w14:alpha w14:val="100000"/>
                    </w14:srgbClr>
                  </w14:solidFill>
                </w14:textFill>
              </w:rPr>
              <w:t xml:space="preserve">　</w:t>
            </w:r>
            <w:r w:rsidR="007A2A2F">
              <w:rPr>
                <w:vertAlign w:val="superscript"/>
              </w:rPr>
              <w:t>4</w:t>
            </w:r>
          </w:p>
        </w:tc>
      </w:tr>
      <w:tr w:rsidR="00563070" w:rsidRPr="003639A6" w14:paraId="074C9299" w14:textId="77777777" w:rsidTr="007A2A2F">
        <w:tc>
          <w:tcPr>
            <w:tcW w:w="1334" w:type="pct"/>
            <w:tcBorders>
              <w:bottom w:val="single" w:sz="4" w:space="0" w:color="auto"/>
            </w:tcBorders>
            <w:shd w:val="clear" w:color="auto" w:fill="auto"/>
            <w:vAlign w:val="center"/>
          </w:tcPr>
          <w:p w14:paraId="03C013F2" w14:textId="3F1812FF" w:rsidR="00563070" w:rsidRPr="00A76DAC" w:rsidRDefault="00563070" w:rsidP="00C35ABF">
            <w:pPr>
              <w:pStyle w:val="TableText0"/>
              <w:keepNext w:val="0"/>
              <w:rPr>
                <w:sz w:val="19"/>
                <w:szCs w:val="19"/>
              </w:rPr>
            </w:pPr>
            <w:r w:rsidRPr="009C58B6">
              <w:rPr>
                <w:sz w:val="19"/>
                <w:szCs w:val="19"/>
              </w:rPr>
              <w:t>Net cost to PBS/RPBS/MBS</w:t>
            </w:r>
            <w:r w:rsidRPr="009C58B6">
              <w:rPr>
                <w:sz w:val="19"/>
                <w:szCs w:val="19"/>
                <w:vertAlign w:val="superscript"/>
              </w:rPr>
              <w:t>b</w:t>
            </w:r>
            <w:r w:rsidR="00A76DAC">
              <w:rPr>
                <w:sz w:val="19"/>
                <w:szCs w:val="19"/>
              </w:rPr>
              <w:t xml:space="preserve"> ($)</w:t>
            </w:r>
          </w:p>
        </w:tc>
        <w:tc>
          <w:tcPr>
            <w:tcW w:w="611" w:type="pct"/>
            <w:tcBorders>
              <w:bottom w:val="single" w:sz="4" w:space="0" w:color="auto"/>
            </w:tcBorders>
            <w:shd w:val="clear" w:color="auto" w:fill="auto"/>
            <w:vAlign w:val="center"/>
          </w:tcPr>
          <w:p w14:paraId="7AC9DC10" w14:textId="5D775D75" w:rsidR="00563070" w:rsidRPr="00563070" w:rsidRDefault="001D6D9F" w:rsidP="007A2A2F">
            <w:pPr>
              <w:pStyle w:val="TableText0"/>
              <w:keepNext w:val="0"/>
              <w:jc w:val="center"/>
              <w:rPr>
                <w:iCs/>
              </w:rPr>
            </w:pPr>
            <w:r w:rsidRPr="001D6D9F">
              <w:rPr>
                <w:rFonts w:hint="eastAsia"/>
                <w:iCs/>
                <w:color w:val="000000"/>
                <w:w w:val="15"/>
                <w:shd w:val="solid" w:color="000000" w:fill="000000"/>
                <w:fitText w:val="60" w:id="-1304677623"/>
                <w14:textFill>
                  <w14:solidFill>
                    <w14:srgbClr w14:val="000000">
                      <w14:alpha w14:val="100000"/>
                    </w14:srgbClr>
                  </w14:solidFill>
                </w14:textFill>
              </w:rPr>
              <w:t xml:space="preserve">　</w:t>
            </w:r>
            <w:r w:rsidRPr="001D6D9F">
              <w:rPr>
                <w:iCs/>
                <w:color w:val="000000"/>
                <w:w w:val="15"/>
                <w:shd w:val="solid" w:color="000000" w:fill="000000"/>
                <w:fitText w:val="60" w:id="-1304677623"/>
                <w14:textFill>
                  <w14:solidFill>
                    <w14:srgbClr w14:val="000000">
                      <w14:alpha w14:val="100000"/>
                    </w14:srgbClr>
                  </w14:solidFill>
                </w14:textFill>
              </w:rPr>
              <w:t>|</w:t>
            </w:r>
            <w:r w:rsidRPr="001D6D9F">
              <w:rPr>
                <w:rFonts w:hint="eastAsia"/>
                <w:iCs/>
                <w:color w:val="000000"/>
                <w:spacing w:val="-5"/>
                <w:w w:val="15"/>
                <w:shd w:val="solid" w:color="000000" w:fill="000000"/>
                <w:fitText w:val="60" w:id="-1304677623"/>
                <w14:textFill>
                  <w14:solidFill>
                    <w14:srgbClr w14:val="000000">
                      <w14:alpha w14:val="100000"/>
                    </w14:srgbClr>
                  </w14:solidFill>
                </w14:textFill>
              </w:rPr>
              <w:t xml:space="preserve">　</w:t>
            </w:r>
            <w:r w:rsidR="00A76DAC">
              <w:rPr>
                <w:vertAlign w:val="superscript"/>
              </w:rPr>
              <w:t>3</w:t>
            </w:r>
          </w:p>
        </w:tc>
        <w:tc>
          <w:tcPr>
            <w:tcW w:w="611" w:type="pct"/>
            <w:tcBorders>
              <w:bottom w:val="single" w:sz="4" w:space="0" w:color="auto"/>
            </w:tcBorders>
            <w:shd w:val="clear" w:color="auto" w:fill="auto"/>
            <w:vAlign w:val="center"/>
          </w:tcPr>
          <w:p w14:paraId="2D0C5803" w14:textId="0365DB04" w:rsidR="00563070" w:rsidRPr="00563070" w:rsidRDefault="001D6D9F" w:rsidP="007A2A2F">
            <w:pPr>
              <w:pStyle w:val="TableText0"/>
              <w:keepNext w:val="0"/>
              <w:jc w:val="center"/>
              <w:rPr>
                <w:iCs/>
              </w:rPr>
            </w:pPr>
            <w:r w:rsidRPr="001D6D9F">
              <w:rPr>
                <w:rFonts w:hint="eastAsia"/>
                <w:iCs/>
                <w:color w:val="000000"/>
                <w:w w:val="15"/>
                <w:shd w:val="solid" w:color="000000" w:fill="000000"/>
                <w:fitText w:val="60" w:id="-1304677622"/>
                <w14:textFill>
                  <w14:solidFill>
                    <w14:srgbClr w14:val="000000">
                      <w14:alpha w14:val="100000"/>
                    </w14:srgbClr>
                  </w14:solidFill>
                </w14:textFill>
              </w:rPr>
              <w:t xml:space="preserve">　</w:t>
            </w:r>
            <w:r w:rsidRPr="001D6D9F">
              <w:rPr>
                <w:iCs/>
                <w:color w:val="000000"/>
                <w:w w:val="15"/>
                <w:shd w:val="solid" w:color="000000" w:fill="000000"/>
                <w:fitText w:val="60" w:id="-1304677622"/>
                <w14:textFill>
                  <w14:solidFill>
                    <w14:srgbClr w14:val="000000">
                      <w14:alpha w14:val="100000"/>
                    </w14:srgbClr>
                  </w14:solidFill>
                </w14:textFill>
              </w:rPr>
              <w:t>|</w:t>
            </w:r>
            <w:r w:rsidRPr="001D6D9F">
              <w:rPr>
                <w:rFonts w:hint="eastAsia"/>
                <w:iCs/>
                <w:color w:val="000000"/>
                <w:spacing w:val="-5"/>
                <w:w w:val="15"/>
                <w:shd w:val="solid" w:color="000000" w:fill="000000"/>
                <w:fitText w:val="60" w:id="-1304677622"/>
                <w14:textFill>
                  <w14:solidFill>
                    <w14:srgbClr w14:val="000000">
                      <w14:alpha w14:val="100000"/>
                    </w14:srgbClr>
                  </w14:solidFill>
                </w14:textFill>
              </w:rPr>
              <w:t xml:space="preserve">　</w:t>
            </w:r>
            <w:r w:rsidR="00A76DAC" w:rsidRPr="00A76DAC">
              <w:rPr>
                <w:vertAlign w:val="superscript"/>
              </w:rPr>
              <w:t>3</w:t>
            </w:r>
          </w:p>
        </w:tc>
        <w:tc>
          <w:tcPr>
            <w:tcW w:w="611" w:type="pct"/>
            <w:tcBorders>
              <w:bottom w:val="single" w:sz="4" w:space="0" w:color="auto"/>
            </w:tcBorders>
            <w:shd w:val="clear" w:color="auto" w:fill="auto"/>
            <w:vAlign w:val="center"/>
          </w:tcPr>
          <w:p w14:paraId="4D992ADA" w14:textId="05B3BEB0" w:rsidR="00563070" w:rsidRPr="00563070" w:rsidRDefault="001D6D9F" w:rsidP="007A2A2F">
            <w:pPr>
              <w:pStyle w:val="TableText0"/>
              <w:keepNext w:val="0"/>
              <w:jc w:val="center"/>
              <w:rPr>
                <w:iCs/>
              </w:rPr>
            </w:pPr>
            <w:r w:rsidRPr="001D6D9F">
              <w:rPr>
                <w:rFonts w:hint="eastAsia"/>
                <w:iCs/>
                <w:color w:val="000000"/>
                <w:w w:val="15"/>
                <w:shd w:val="solid" w:color="000000" w:fill="000000"/>
                <w:fitText w:val="60" w:id="-1304677621"/>
                <w14:textFill>
                  <w14:solidFill>
                    <w14:srgbClr w14:val="000000">
                      <w14:alpha w14:val="100000"/>
                    </w14:srgbClr>
                  </w14:solidFill>
                </w14:textFill>
              </w:rPr>
              <w:t xml:space="preserve">　</w:t>
            </w:r>
            <w:r w:rsidRPr="001D6D9F">
              <w:rPr>
                <w:iCs/>
                <w:color w:val="000000"/>
                <w:w w:val="15"/>
                <w:shd w:val="solid" w:color="000000" w:fill="000000"/>
                <w:fitText w:val="60" w:id="-1304677621"/>
                <w14:textFill>
                  <w14:solidFill>
                    <w14:srgbClr w14:val="000000">
                      <w14:alpha w14:val="100000"/>
                    </w14:srgbClr>
                  </w14:solidFill>
                </w14:textFill>
              </w:rPr>
              <w:t>|</w:t>
            </w:r>
            <w:r w:rsidRPr="001D6D9F">
              <w:rPr>
                <w:rFonts w:hint="eastAsia"/>
                <w:iCs/>
                <w:color w:val="000000"/>
                <w:spacing w:val="-5"/>
                <w:w w:val="15"/>
                <w:shd w:val="solid" w:color="000000" w:fill="000000"/>
                <w:fitText w:val="60" w:id="-1304677621"/>
                <w14:textFill>
                  <w14:solidFill>
                    <w14:srgbClr w14:val="000000">
                      <w14:alpha w14:val="100000"/>
                    </w14:srgbClr>
                  </w14:solidFill>
                </w14:textFill>
              </w:rPr>
              <w:t xml:space="preserve">　</w:t>
            </w:r>
            <w:r w:rsidR="00A76DAC">
              <w:rPr>
                <w:vertAlign w:val="superscript"/>
              </w:rPr>
              <w:t>3</w:t>
            </w:r>
          </w:p>
        </w:tc>
        <w:tc>
          <w:tcPr>
            <w:tcW w:w="611" w:type="pct"/>
            <w:tcBorders>
              <w:bottom w:val="single" w:sz="4" w:space="0" w:color="auto"/>
            </w:tcBorders>
            <w:shd w:val="clear" w:color="auto" w:fill="auto"/>
            <w:vAlign w:val="center"/>
          </w:tcPr>
          <w:p w14:paraId="080DDD24" w14:textId="2E3E77E0" w:rsidR="00563070" w:rsidRPr="00292D06" w:rsidRDefault="001D6D9F" w:rsidP="007A2A2F">
            <w:pPr>
              <w:pStyle w:val="TableText0"/>
              <w:keepNext w:val="0"/>
              <w:jc w:val="center"/>
              <w:rPr>
                <w:iCs/>
                <w:highlight w:val="darkGray"/>
              </w:rPr>
            </w:pPr>
            <w:r w:rsidRPr="001D6D9F">
              <w:rPr>
                <w:rFonts w:hint="eastAsia"/>
                <w:iCs/>
                <w:color w:val="000000"/>
                <w:w w:val="15"/>
                <w:shd w:val="solid" w:color="000000" w:fill="000000"/>
                <w:fitText w:val="60" w:id="-1304677620"/>
                <w14:textFill>
                  <w14:solidFill>
                    <w14:srgbClr w14:val="000000">
                      <w14:alpha w14:val="100000"/>
                    </w14:srgbClr>
                  </w14:solidFill>
                </w14:textFill>
              </w:rPr>
              <w:t xml:space="preserve">　</w:t>
            </w:r>
            <w:r w:rsidRPr="001D6D9F">
              <w:rPr>
                <w:iCs/>
                <w:color w:val="000000"/>
                <w:w w:val="15"/>
                <w:shd w:val="solid" w:color="000000" w:fill="000000"/>
                <w:fitText w:val="60" w:id="-1304677620"/>
                <w14:textFill>
                  <w14:solidFill>
                    <w14:srgbClr w14:val="000000">
                      <w14:alpha w14:val="100000"/>
                    </w14:srgbClr>
                  </w14:solidFill>
                </w14:textFill>
              </w:rPr>
              <w:t>|</w:t>
            </w:r>
            <w:r w:rsidRPr="001D6D9F">
              <w:rPr>
                <w:rFonts w:hint="eastAsia"/>
                <w:iCs/>
                <w:color w:val="000000"/>
                <w:spacing w:val="-5"/>
                <w:w w:val="15"/>
                <w:shd w:val="solid" w:color="000000" w:fill="000000"/>
                <w:fitText w:val="60" w:id="-1304677620"/>
                <w14:textFill>
                  <w14:solidFill>
                    <w14:srgbClr w14:val="000000">
                      <w14:alpha w14:val="100000"/>
                    </w14:srgbClr>
                  </w14:solidFill>
                </w14:textFill>
              </w:rPr>
              <w:t xml:space="preserve">　</w:t>
            </w:r>
            <w:r w:rsidR="00A76DAC" w:rsidRPr="00292D06">
              <w:rPr>
                <w:vertAlign w:val="superscript"/>
              </w:rPr>
              <w:t>3</w:t>
            </w:r>
          </w:p>
        </w:tc>
        <w:tc>
          <w:tcPr>
            <w:tcW w:w="611" w:type="pct"/>
            <w:tcBorders>
              <w:bottom w:val="single" w:sz="4" w:space="0" w:color="auto"/>
            </w:tcBorders>
            <w:shd w:val="clear" w:color="auto" w:fill="auto"/>
            <w:vAlign w:val="center"/>
          </w:tcPr>
          <w:p w14:paraId="16E96FCB" w14:textId="4BC14C9A" w:rsidR="00563070" w:rsidRPr="00292D06" w:rsidRDefault="001D6D9F" w:rsidP="007A2A2F">
            <w:pPr>
              <w:pStyle w:val="TableText0"/>
              <w:keepNext w:val="0"/>
              <w:jc w:val="center"/>
              <w:rPr>
                <w:iCs/>
                <w:highlight w:val="darkGray"/>
              </w:rPr>
            </w:pPr>
            <w:r w:rsidRPr="001D6D9F">
              <w:rPr>
                <w:rFonts w:hint="eastAsia"/>
                <w:iCs/>
                <w:color w:val="000000"/>
                <w:w w:val="15"/>
                <w:shd w:val="solid" w:color="000000" w:fill="000000"/>
                <w:fitText w:val="60" w:id="-1304677619"/>
                <w14:textFill>
                  <w14:solidFill>
                    <w14:srgbClr w14:val="000000">
                      <w14:alpha w14:val="100000"/>
                    </w14:srgbClr>
                  </w14:solidFill>
                </w14:textFill>
              </w:rPr>
              <w:t xml:space="preserve">　</w:t>
            </w:r>
            <w:r w:rsidRPr="001D6D9F">
              <w:rPr>
                <w:iCs/>
                <w:color w:val="000000"/>
                <w:w w:val="15"/>
                <w:shd w:val="solid" w:color="000000" w:fill="000000"/>
                <w:fitText w:val="60" w:id="-1304677619"/>
                <w14:textFill>
                  <w14:solidFill>
                    <w14:srgbClr w14:val="000000">
                      <w14:alpha w14:val="100000"/>
                    </w14:srgbClr>
                  </w14:solidFill>
                </w14:textFill>
              </w:rPr>
              <w:t>|</w:t>
            </w:r>
            <w:r w:rsidRPr="001D6D9F">
              <w:rPr>
                <w:rFonts w:hint="eastAsia"/>
                <w:iCs/>
                <w:color w:val="000000"/>
                <w:spacing w:val="-5"/>
                <w:w w:val="15"/>
                <w:shd w:val="solid" w:color="000000" w:fill="000000"/>
                <w:fitText w:val="60" w:id="-1304677619"/>
                <w14:textFill>
                  <w14:solidFill>
                    <w14:srgbClr w14:val="000000">
                      <w14:alpha w14:val="100000"/>
                    </w14:srgbClr>
                  </w14:solidFill>
                </w14:textFill>
              </w:rPr>
              <w:t xml:space="preserve">　</w:t>
            </w:r>
            <w:r w:rsidR="00A76DAC" w:rsidRPr="00292D06">
              <w:rPr>
                <w:vertAlign w:val="superscript"/>
              </w:rPr>
              <w:t>3</w:t>
            </w:r>
          </w:p>
        </w:tc>
        <w:tc>
          <w:tcPr>
            <w:tcW w:w="611" w:type="pct"/>
            <w:tcBorders>
              <w:bottom w:val="single" w:sz="4" w:space="0" w:color="auto"/>
            </w:tcBorders>
            <w:vAlign w:val="center"/>
          </w:tcPr>
          <w:p w14:paraId="14727DB0" w14:textId="2930CF70" w:rsidR="00563070" w:rsidRPr="00292D06" w:rsidRDefault="001D6D9F" w:rsidP="007A2A2F">
            <w:pPr>
              <w:pStyle w:val="TableText0"/>
              <w:keepNext w:val="0"/>
              <w:jc w:val="center"/>
              <w:rPr>
                <w:iCs/>
                <w:highlight w:val="darkGray"/>
              </w:rPr>
            </w:pPr>
            <w:r w:rsidRPr="001D6D9F">
              <w:rPr>
                <w:rFonts w:hint="eastAsia"/>
                <w:iCs/>
                <w:color w:val="000000"/>
                <w:w w:val="15"/>
                <w:shd w:val="solid" w:color="000000" w:fill="000000"/>
                <w:fitText w:val="60" w:id="-1304677618"/>
                <w14:textFill>
                  <w14:solidFill>
                    <w14:srgbClr w14:val="000000">
                      <w14:alpha w14:val="100000"/>
                    </w14:srgbClr>
                  </w14:solidFill>
                </w14:textFill>
              </w:rPr>
              <w:t xml:space="preserve">　</w:t>
            </w:r>
            <w:r w:rsidRPr="001D6D9F">
              <w:rPr>
                <w:iCs/>
                <w:color w:val="000000"/>
                <w:w w:val="15"/>
                <w:shd w:val="solid" w:color="000000" w:fill="000000"/>
                <w:fitText w:val="60" w:id="-1304677618"/>
                <w14:textFill>
                  <w14:solidFill>
                    <w14:srgbClr w14:val="000000">
                      <w14:alpha w14:val="100000"/>
                    </w14:srgbClr>
                  </w14:solidFill>
                </w14:textFill>
              </w:rPr>
              <w:t>|</w:t>
            </w:r>
            <w:r w:rsidRPr="001D6D9F">
              <w:rPr>
                <w:rFonts w:hint="eastAsia"/>
                <w:iCs/>
                <w:color w:val="000000"/>
                <w:spacing w:val="-5"/>
                <w:w w:val="15"/>
                <w:shd w:val="solid" w:color="000000" w:fill="000000"/>
                <w:fitText w:val="60" w:id="-1304677618"/>
                <w14:textFill>
                  <w14:solidFill>
                    <w14:srgbClr w14:val="000000">
                      <w14:alpha w14:val="100000"/>
                    </w14:srgbClr>
                  </w14:solidFill>
                </w14:textFill>
              </w:rPr>
              <w:t xml:space="preserve">　</w:t>
            </w:r>
            <w:r w:rsidR="00A76DAC" w:rsidRPr="00292D06">
              <w:rPr>
                <w:vertAlign w:val="superscript"/>
              </w:rPr>
              <w:t>3</w:t>
            </w:r>
          </w:p>
        </w:tc>
      </w:tr>
    </w:tbl>
    <w:p w14:paraId="1FA099E7" w14:textId="77777777" w:rsidR="00563070" w:rsidRDefault="00563070" w:rsidP="00563070">
      <w:pPr>
        <w:pStyle w:val="FooterTableFigure"/>
        <w:rPr>
          <w:rStyle w:val="CommentReference"/>
        </w:rPr>
      </w:pPr>
      <w:r>
        <w:t xml:space="preserve">Source: </w:t>
      </w:r>
      <w:r>
        <w:rPr>
          <w:rFonts w:eastAsiaTheme="minorHAnsi"/>
          <w:lang w:eastAsia="en-US"/>
        </w:rPr>
        <w:t xml:space="preserve">Table 4-9, p 242, </w:t>
      </w:r>
      <w:r w:rsidRPr="00096604">
        <w:rPr>
          <w:rFonts w:eastAsiaTheme="minorHAnsi"/>
          <w:lang w:eastAsia="en-US"/>
        </w:rPr>
        <w:t>Table 4-16, p248</w:t>
      </w:r>
      <w:r>
        <w:rPr>
          <w:rFonts w:eastAsiaTheme="minorHAnsi"/>
          <w:lang w:eastAsia="en-US"/>
        </w:rPr>
        <w:t>, Table 4-24, p256, Table 4-25</w:t>
      </w:r>
      <w:r w:rsidRPr="00C628EA">
        <w:rPr>
          <w:rFonts w:eastAsiaTheme="minorHAnsi"/>
          <w:lang w:eastAsia="en-US"/>
        </w:rPr>
        <w:t>, p256</w:t>
      </w:r>
      <w:r>
        <w:rPr>
          <w:rFonts w:eastAsiaTheme="minorHAnsi"/>
          <w:lang w:eastAsia="en-US"/>
        </w:rPr>
        <w:t xml:space="preserve">, </w:t>
      </w:r>
      <w:r w:rsidRPr="00C628EA">
        <w:rPr>
          <w:rFonts w:eastAsiaTheme="minorHAnsi"/>
          <w:lang w:eastAsia="en-US"/>
        </w:rPr>
        <w:t>Table 4-29, p259</w:t>
      </w:r>
      <w:r>
        <w:rPr>
          <w:rFonts w:eastAsiaTheme="minorHAnsi"/>
          <w:lang w:eastAsia="en-US"/>
        </w:rPr>
        <w:t xml:space="preserve">, and </w:t>
      </w:r>
      <w:r w:rsidRPr="0030262C">
        <w:rPr>
          <w:rFonts w:eastAsiaTheme="minorHAnsi"/>
          <w:lang w:eastAsia="en-US"/>
        </w:rPr>
        <w:t>Table 4-30, p259</w:t>
      </w:r>
      <w:r w:rsidRPr="009472C4">
        <w:rPr>
          <w:rFonts w:eastAsiaTheme="minorHAnsi"/>
          <w:i/>
          <w:lang w:eastAsia="en-US"/>
        </w:rPr>
        <w:t xml:space="preserve"> </w:t>
      </w:r>
      <w:r w:rsidRPr="00D13A3E">
        <w:t xml:space="preserve">of the </w:t>
      </w:r>
      <w:r>
        <w:t>submission.</w:t>
      </w:r>
    </w:p>
    <w:p w14:paraId="6F3CEDBC" w14:textId="77777777" w:rsidR="00563070" w:rsidRDefault="00563070" w:rsidP="00563070">
      <w:pPr>
        <w:pStyle w:val="FooterTableFigure"/>
      </w:pPr>
      <w:r w:rsidRPr="003639A6">
        <w:rPr>
          <w:vertAlign w:val="superscript"/>
        </w:rPr>
        <w:t>a</w:t>
      </w:r>
      <w:r>
        <w:t xml:space="preserve"> For incident patients, the number of scripts was estimated to be 7.38 in the first year of treatment, 2.73 in the second year, 1.21 in the third year, 0.40 in the fourth year, 0.14 in the fifth year and 0.05 in the sixth year. This has taken into account the treatment duration in each treatment year and the relative dose intensity (93%).</w:t>
      </w:r>
    </w:p>
    <w:p w14:paraId="1DE0CF23" w14:textId="289C96DE" w:rsidR="00DC5164" w:rsidRPr="003B7511" w:rsidRDefault="00563070" w:rsidP="00563070">
      <w:pPr>
        <w:pStyle w:val="FooterTableFigure"/>
        <w:rPr>
          <w:rFonts w:eastAsiaTheme="minorHAnsi"/>
          <w:lang w:eastAsia="en-US"/>
        </w:rPr>
      </w:pPr>
      <w:r w:rsidRPr="00563070">
        <w:rPr>
          <w:vertAlign w:val="superscript"/>
        </w:rPr>
        <w:t>b</w:t>
      </w:r>
      <w:r w:rsidRPr="00563070">
        <w:t xml:space="preserve"> </w:t>
      </w:r>
      <w:r w:rsidRPr="00563070">
        <w:rPr>
          <w:rFonts w:eastAsiaTheme="minorHAnsi"/>
          <w:lang w:eastAsia="en-US"/>
        </w:rPr>
        <w:t>Revised results after correcting the submission’s referencing errors, errors in estimating the patient split for the PBS items associated with combination therapies, and the PBS items for both initial and continuing treatment phases.</w:t>
      </w:r>
    </w:p>
    <w:p w14:paraId="2D9F73BC" w14:textId="77777777" w:rsidR="00292D06" w:rsidRPr="009A6D58" w:rsidRDefault="00292D06" w:rsidP="00292D06">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5927CDF5" w14:textId="697F0CBD" w:rsidR="00292D06" w:rsidRPr="009A6D58" w:rsidRDefault="00292D06" w:rsidP="00292D06">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363606">
        <w:rPr>
          <w:rFonts w:ascii="Arial Narrow" w:hAnsi="Arial Narrow" w:cs="Arial"/>
          <w:i/>
          <w:sz w:val="18"/>
          <w:szCs w:val="18"/>
        </w:rPr>
        <w:t>&lt; </w:t>
      </w:r>
      <w:r>
        <w:rPr>
          <w:rFonts w:ascii="Arial Narrow" w:hAnsi="Arial Narrow" w:cs="Arial"/>
          <w:i/>
          <w:sz w:val="18"/>
          <w:szCs w:val="18"/>
        </w:rPr>
        <w:t>500</w:t>
      </w:r>
    </w:p>
    <w:p w14:paraId="671527F6" w14:textId="17829854" w:rsidR="00292D06" w:rsidRPr="009A6D58" w:rsidRDefault="00292D06" w:rsidP="00292D06">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363606">
        <w:rPr>
          <w:rFonts w:ascii="Arial Narrow" w:hAnsi="Arial Narrow" w:cs="Arial"/>
          <w:i/>
          <w:sz w:val="18"/>
          <w:szCs w:val="18"/>
        </w:rPr>
        <w:t>500 to &lt; 5,000</w:t>
      </w:r>
    </w:p>
    <w:p w14:paraId="31AB0127" w14:textId="507443A7" w:rsidR="00292D06" w:rsidRDefault="00292D06" w:rsidP="00292D06">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bookmarkStart w:id="76" w:name="_Hlk124261474"/>
      <w:r w:rsidRPr="00363606">
        <w:rPr>
          <w:rFonts w:ascii="Arial Narrow" w:hAnsi="Arial Narrow" w:cs="Arial"/>
          <w:i/>
          <w:sz w:val="18"/>
          <w:szCs w:val="18"/>
        </w:rPr>
        <w:t>$0 to &lt; $</w:t>
      </w:r>
      <w:r>
        <w:rPr>
          <w:rFonts w:ascii="Arial Narrow" w:hAnsi="Arial Narrow" w:cs="Arial"/>
          <w:i/>
          <w:sz w:val="18"/>
          <w:szCs w:val="18"/>
        </w:rPr>
        <w:t>10 million</w:t>
      </w:r>
      <w:bookmarkEnd w:id="76"/>
    </w:p>
    <w:p w14:paraId="7CCBB896" w14:textId="2736593C" w:rsidR="00DC5164" w:rsidRDefault="00292D06" w:rsidP="00292D06">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net cost saving</w:t>
      </w:r>
    </w:p>
    <w:p w14:paraId="6B0A1D0C" w14:textId="77777777" w:rsidR="00292D06" w:rsidRPr="00292D06" w:rsidRDefault="00292D06" w:rsidP="00292D06">
      <w:pPr>
        <w:rPr>
          <w:rFonts w:ascii="Arial Narrow" w:hAnsi="Arial Narrow" w:cs="Arial"/>
          <w:i/>
          <w:sz w:val="18"/>
          <w:szCs w:val="18"/>
        </w:rPr>
      </w:pPr>
    </w:p>
    <w:p w14:paraId="7AD25771" w14:textId="6BF2D523" w:rsidR="00563070" w:rsidRPr="00563070" w:rsidRDefault="00563070" w:rsidP="00563070">
      <w:pPr>
        <w:pStyle w:val="3-BodyText"/>
        <w:rPr>
          <w:iCs/>
        </w:rPr>
      </w:pPr>
      <w:r w:rsidRPr="00563070">
        <w:rPr>
          <w:iCs/>
        </w:rPr>
        <w:t xml:space="preserve">The net cost to the PBS/RPBS of listing mobocertinib was estimated to be </w:t>
      </w:r>
      <w:r w:rsidR="00292D06" w:rsidRPr="00292D06">
        <w:t>$0 to &lt; $10 million</w:t>
      </w:r>
      <w:r w:rsidR="00292D06" w:rsidRPr="00292D06" w:rsidDel="00292D06">
        <w:rPr>
          <w:iCs/>
        </w:rPr>
        <w:t xml:space="preserve"> </w:t>
      </w:r>
      <w:r w:rsidRPr="00563070">
        <w:rPr>
          <w:iCs/>
        </w:rPr>
        <w:t xml:space="preserve">in Year 6, and a total of </w:t>
      </w:r>
      <w:r w:rsidR="00292D06" w:rsidRPr="00292D06">
        <w:rPr>
          <w:iCs/>
        </w:rPr>
        <w:t>$20 million to &lt; $30 million</w:t>
      </w:r>
      <w:r w:rsidR="00292D06" w:rsidRPr="00292D06" w:rsidDel="00292D06">
        <w:rPr>
          <w:iCs/>
        </w:rPr>
        <w:t xml:space="preserve"> </w:t>
      </w:r>
      <w:r w:rsidRPr="00563070">
        <w:rPr>
          <w:iCs/>
        </w:rPr>
        <w:t xml:space="preserve">in the first 6 years of listing. </w:t>
      </w:r>
    </w:p>
    <w:p w14:paraId="72717C50" w14:textId="6C7BB131" w:rsidR="00563070" w:rsidRPr="00563070" w:rsidRDefault="00563070" w:rsidP="00563070">
      <w:pPr>
        <w:pStyle w:val="3-BodyText"/>
        <w:rPr>
          <w:iCs/>
        </w:rPr>
      </w:pPr>
      <w:bookmarkStart w:id="77" w:name="_Ref121122431"/>
      <w:r w:rsidRPr="00563070">
        <w:rPr>
          <w:iCs/>
        </w:rPr>
        <w:t>The</w:t>
      </w:r>
      <w:r w:rsidR="007D55CD">
        <w:rPr>
          <w:iCs/>
        </w:rPr>
        <w:t xml:space="preserve"> evaluation and DUSC considered that the</w:t>
      </w:r>
      <w:r w:rsidRPr="00563070">
        <w:rPr>
          <w:iCs/>
        </w:rPr>
        <w:t xml:space="preserve"> estimated cost of mobocertinib presented in the submission was uncertain. </w:t>
      </w:r>
      <w:r w:rsidRPr="00563070">
        <w:rPr>
          <w:rFonts w:cstheme="minorHAnsi"/>
          <w:iCs/>
        </w:rPr>
        <w:t>The main sources of uncertainty in estimating the costs of mobocertinib to the PBS/RPBS included:</w:t>
      </w:r>
      <w:bookmarkEnd w:id="77"/>
    </w:p>
    <w:p w14:paraId="50650731" w14:textId="386EBCB4" w:rsidR="00563070" w:rsidRPr="007D55CD" w:rsidRDefault="00563070" w:rsidP="008D68A8">
      <w:pPr>
        <w:pStyle w:val="3-BodyText"/>
        <w:numPr>
          <w:ilvl w:val="1"/>
          <w:numId w:val="22"/>
        </w:numPr>
        <w:ind w:left="1560" w:hanging="284"/>
        <w:rPr>
          <w:iCs/>
        </w:rPr>
      </w:pPr>
      <w:r w:rsidRPr="007D55CD">
        <w:rPr>
          <w:rFonts w:cstheme="minorHAnsi"/>
          <w:iCs/>
          <w:u w:val="single"/>
        </w:rPr>
        <w:t>The proportion of patients with Stage IIIB/IV NSCLC</w:t>
      </w:r>
      <w:r w:rsidRPr="00563070">
        <w:rPr>
          <w:rFonts w:cstheme="minorHAnsi"/>
          <w:iCs/>
        </w:rPr>
        <w:t>. The</w:t>
      </w:r>
      <w:r w:rsidR="007D55CD">
        <w:rPr>
          <w:rFonts w:cstheme="minorHAnsi"/>
          <w:iCs/>
        </w:rPr>
        <w:t xml:space="preserve"> evaluation</w:t>
      </w:r>
      <w:r w:rsidR="009C58B6">
        <w:rPr>
          <w:rFonts w:cstheme="minorHAnsi"/>
          <w:iCs/>
        </w:rPr>
        <w:t xml:space="preserve"> and the DUSC</w:t>
      </w:r>
      <w:r w:rsidR="007D55CD">
        <w:rPr>
          <w:rFonts w:cstheme="minorHAnsi"/>
          <w:iCs/>
        </w:rPr>
        <w:t xml:space="preserve"> noted that the</w:t>
      </w:r>
      <w:r w:rsidRPr="00563070">
        <w:rPr>
          <w:rFonts w:cstheme="minorHAnsi"/>
          <w:iCs/>
        </w:rPr>
        <w:t xml:space="preserve"> financial analysis only included incident patients with Stage IIIB/IV disease at initial diagnosis</w:t>
      </w:r>
      <w:r w:rsidR="007D55CD">
        <w:rPr>
          <w:rFonts w:cstheme="minorHAnsi"/>
          <w:iCs/>
        </w:rPr>
        <w:t>; h</w:t>
      </w:r>
      <w:r w:rsidRPr="00563070">
        <w:rPr>
          <w:rFonts w:cstheme="minorHAnsi"/>
          <w:iCs/>
        </w:rPr>
        <w:t>owever, there will be some patients who are diagnosed with early stage NSCLC but subsequently progress to Stage IIIB/IV. These patients are also eligible for mobocertinib but not considered in the financial estimates.</w:t>
      </w:r>
      <w:r w:rsidR="009C58B6">
        <w:rPr>
          <w:rFonts w:cstheme="minorHAnsi"/>
          <w:iCs/>
        </w:rPr>
        <w:t xml:space="preserve"> </w:t>
      </w:r>
      <w:r w:rsidR="006E3749">
        <w:rPr>
          <w:rFonts w:cstheme="minorHAnsi"/>
          <w:iCs/>
        </w:rPr>
        <w:t xml:space="preserve">The PBAC considered inclusion of all Stage III patients was likely to overestimate patient numbers. </w:t>
      </w:r>
    </w:p>
    <w:p w14:paraId="44063959" w14:textId="3F158323" w:rsidR="007D55CD" w:rsidRPr="009C58B6" w:rsidRDefault="007D55CD" w:rsidP="008D68A8">
      <w:pPr>
        <w:pStyle w:val="3-BodyText"/>
        <w:numPr>
          <w:ilvl w:val="1"/>
          <w:numId w:val="22"/>
        </w:numPr>
        <w:ind w:left="1560" w:hanging="284"/>
      </w:pPr>
      <w:r w:rsidRPr="007D55CD">
        <w:rPr>
          <w:rFonts w:cstheme="minorHAnsi"/>
          <w:iCs/>
          <w:u w:val="single"/>
        </w:rPr>
        <w:t xml:space="preserve">The prevalence of </w:t>
      </w:r>
      <w:r w:rsidRPr="007D55CD">
        <w:rPr>
          <w:rFonts w:cstheme="minorHAnsi"/>
          <w:i/>
          <w:u w:val="single"/>
        </w:rPr>
        <w:t>EGFR</w:t>
      </w:r>
      <w:r w:rsidRPr="007D55CD">
        <w:rPr>
          <w:rFonts w:cstheme="minorHAnsi"/>
          <w:iCs/>
          <w:u w:val="single"/>
        </w:rPr>
        <w:t xml:space="preserve"> ex20ins</w:t>
      </w:r>
      <w:r w:rsidRPr="00563070">
        <w:rPr>
          <w:rFonts w:cstheme="minorHAnsi"/>
          <w:iCs/>
        </w:rPr>
        <w:t>. The</w:t>
      </w:r>
      <w:r>
        <w:rPr>
          <w:rFonts w:cstheme="minorHAnsi"/>
          <w:iCs/>
        </w:rPr>
        <w:t xml:space="preserve"> evaluation noted that the</w:t>
      </w:r>
      <w:r w:rsidRPr="00563070">
        <w:rPr>
          <w:rFonts w:cstheme="minorHAnsi"/>
          <w:iCs/>
        </w:rPr>
        <w:t xml:space="preserve"> proportion of </w:t>
      </w:r>
      <w:r w:rsidRPr="00563070">
        <w:rPr>
          <w:rFonts w:cstheme="minorHAnsi"/>
          <w:i/>
        </w:rPr>
        <w:t>EGFR</w:t>
      </w:r>
      <w:r w:rsidRPr="00563070">
        <w:rPr>
          <w:rFonts w:cstheme="minorHAnsi"/>
          <w:iCs/>
        </w:rPr>
        <w:t xml:space="preserve"> ex20ins in </w:t>
      </w:r>
      <w:r w:rsidRPr="00563070">
        <w:rPr>
          <w:rFonts w:cstheme="minorHAnsi"/>
          <w:i/>
        </w:rPr>
        <w:t>EGFR</w:t>
      </w:r>
      <w:r w:rsidRPr="00563070">
        <w:rPr>
          <w:rFonts w:cstheme="minorHAnsi"/>
          <w:iCs/>
        </w:rPr>
        <w:t xml:space="preserve"> variants identified in NSCLC ranged from 1% to 10% in the literature. The true frequency of </w:t>
      </w:r>
      <w:r w:rsidRPr="00563070">
        <w:rPr>
          <w:rFonts w:cstheme="minorHAnsi"/>
          <w:i/>
        </w:rPr>
        <w:t>EGFR</w:t>
      </w:r>
      <w:r w:rsidRPr="00563070">
        <w:rPr>
          <w:rFonts w:cstheme="minorHAnsi"/>
          <w:iCs/>
        </w:rPr>
        <w:t xml:space="preserve"> ex20ins mutations in NSCLC remains unknown, and the prevalence of these mutations vary depending on the genotyping technique. </w:t>
      </w:r>
      <w:r w:rsidR="009C58B6" w:rsidRPr="009C58B6">
        <w:rPr>
          <w:rFonts w:cstheme="minorHAnsi"/>
          <w:lang w:val="en-US"/>
        </w:rPr>
        <w:t>The DUSC commented that financial estimates are sensitive to the estimate of the proportion of patients with</w:t>
      </w:r>
      <w:r w:rsidR="009C58B6" w:rsidRPr="009C58B6">
        <w:rPr>
          <w:rFonts w:cstheme="minorHAnsi"/>
        </w:rPr>
        <w:t xml:space="preserve"> </w:t>
      </w:r>
      <w:r w:rsidR="009C58B6" w:rsidRPr="009C58B6">
        <w:rPr>
          <w:rFonts w:cstheme="minorHAnsi"/>
          <w:lang w:val="en-US"/>
        </w:rPr>
        <w:t xml:space="preserve">ex20in </w:t>
      </w:r>
      <w:r w:rsidR="009C58B6" w:rsidRPr="009C58B6">
        <w:rPr>
          <w:rFonts w:cstheme="minorHAnsi"/>
          <w:i/>
          <w:iCs/>
          <w:lang w:val="en-US"/>
        </w:rPr>
        <w:t>EGFR</w:t>
      </w:r>
      <w:r w:rsidR="009C58B6" w:rsidRPr="009C58B6">
        <w:rPr>
          <w:rFonts w:cstheme="minorHAnsi"/>
          <w:lang w:val="en-US"/>
        </w:rPr>
        <w:t xml:space="preserve"> </w:t>
      </w:r>
      <w:r w:rsidR="009C58B6" w:rsidRPr="009C58B6">
        <w:rPr>
          <w:rFonts w:cstheme="minorHAnsi"/>
          <w:lang w:val="en-US"/>
        </w:rPr>
        <w:lastRenderedPageBreak/>
        <w:t>disease and the assumption of 8% is at the higher end of values reported in the literature.</w:t>
      </w:r>
    </w:p>
    <w:p w14:paraId="4ED1BAEA" w14:textId="1742AAE6" w:rsidR="00563070" w:rsidRPr="00563070" w:rsidRDefault="00563070" w:rsidP="008D68A8">
      <w:pPr>
        <w:pStyle w:val="3-BodyText"/>
        <w:numPr>
          <w:ilvl w:val="1"/>
          <w:numId w:val="22"/>
        </w:numPr>
        <w:ind w:left="1560" w:hanging="284"/>
        <w:rPr>
          <w:iCs/>
        </w:rPr>
      </w:pPr>
      <w:r w:rsidRPr="007D55CD">
        <w:rPr>
          <w:rFonts w:cstheme="minorHAnsi"/>
          <w:iCs/>
          <w:u w:val="single"/>
        </w:rPr>
        <w:t>The number of the prevalent patients</w:t>
      </w:r>
      <w:r w:rsidRPr="00563070">
        <w:rPr>
          <w:rFonts w:cstheme="minorHAnsi"/>
          <w:iCs/>
        </w:rPr>
        <w:t>. The</w:t>
      </w:r>
      <w:r w:rsidR="007D55CD">
        <w:rPr>
          <w:rFonts w:cstheme="minorHAnsi"/>
          <w:iCs/>
        </w:rPr>
        <w:t xml:space="preserve"> evaluation noted that the</w:t>
      </w:r>
      <w:r w:rsidRPr="00563070">
        <w:rPr>
          <w:rFonts w:cstheme="minorHAnsi"/>
          <w:iCs/>
        </w:rPr>
        <w:t xml:space="preserve"> financial analysis included an additional </w:t>
      </w:r>
      <w:r w:rsidR="00E47BC4">
        <w:rPr>
          <w:rFonts w:cstheme="minorHAnsi"/>
          <w:iCs/>
        </w:rPr>
        <w:t>&lt; 500</w:t>
      </w:r>
      <w:r w:rsidR="00E47BC4" w:rsidRPr="00E47BC4">
        <w:rPr>
          <w:rFonts w:cstheme="minorHAnsi"/>
          <w:iCs/>
        </w:rPr>
        <w:t xml:space="preserve"> </w:t>
      </w:r>
      <w:r w:rsidRPr="00563070">
        <w:rPr>
          <w:rFonts w:cstheme="minorHAnsi"/>
          <w:iCs/>
        </w:rPr>
        <w:t xml:space="preserve">prevalent cases to commence treatment with mobocertinib in Year 1. This was estimated by multiplying the number of incident patients likely to be treated with mobocertinib in Year 1 by the mean life expectancy of 1.116 years from Studies 5008 and 5002. The inclusion of prevalent NSCLC patients in the financial analysis is appropriate. However, the use of the incident cases in the first year of listing (not in the years before listing) and the survival after second-line SOC (not after first-line PBC) to determine the number of prevalent patients eligible for mobocertinib was not justified in the submission. </w:t>
      </w:r>
    </w:p>
    <w:p w14:paraId="47E532B9" w14:textId="30CEDCB8" w:rsidR="00194A61" w:rsidRDefault="00563070" w:rsidP="00563070">
      <w:pPr>
        <w:pStyle w:val="3-BodyText"/>
        <w:rPr>
          <w:iCs/>
        </w:rPr>
      </w:pPr>
      <w:bookmarkStart w:id="78" w:name="_Ref121122434"/>
      <w:r w:rsidRPr="00563070">
        <w:rPr>
          <w:iCs/>
        </w:rPr>
        <w:t xml:space="preserve">Immunotherapies and </w:t>
      </w:r>
      <w:r w:rsidRPr="0098247B">
        <w:rPr>
          <w:i/>
        </w:rPr>
        <w:t>EGFR</w:t>
      </w:r>
      <w:r w:rsidRPr="00563070">
        <w:rPr>
          <w:iCs/>
        </w:rPr>
        <w:t xml:space="preserve"> TKIs make up approximately 99.4% of the cost offsets to the PBS/RPBS. Given the assumed limited use of these therapies in the current refractory setting for the proposed population, the</w:t>
      </w:r>
      <w:r w:rsidR="009C58B6">
        <w:rPr>
          <w:iCs/>
        </w:rPr>
        <w:t xml:space="preserve"> evaluation and the DUSC noted that</w:t>
      </w:r>
      <w:r w:rsidRPr="00563070">
        <w:rPr>
          <w:iCs/>
        </w:rPr>
        <w:t xml:space="preserve"> estimated cost offsets to PBS/RPBS are likely to have been overestimated.</w:t>
      </w:r>
      <w:bookmarkEnd w:id="78"/>
    </w:p>
    <w:p w14:paraId="3ED7BFF8" w14:textId="77777777" w:rsidR="00194A61" w:rsidRPr="00C1729C" w:rsidRDefault="00194A61" w:rsidP="00194A61">
      <w:pPr>
        <w:pStyle w:val="4-SubsectionHeading"/>
        <w:keepNext w:val="0"/>
      </w:pPr>
      <w:bookmarkStart w:id="79" w:name="_Toc113895849"/>
      <w:r w:rsidRPr="00C9624D">
        <w:t>Quality Use of Medicines</w:t>
      </w:r>
      <w:bookmarkEnd w:id="73"/>
      <w:bookmarkEnd w:id="79"/>
    </w:p>
    <w:p w14:paraId="34D2492B" w14:textId="77777777" w:rsidR="00B317C4" w:rsidRDefault="00194A61" w:rsidP="00492A15">
      <w:pPr>
        <w:pStyle w:val="3-BodyText"/>
      </w:pPr>
      <w:r w:rsidRPr="00242FD4">
        <w:t xml:space="preserve">The </w:t>
      </w:r>
      <w:r>
        <w:t>Sponsor</w:t>
      </w:r>
      <w:r w:rsidRPr="00242FD4">
        <w:t xml:space="preserve"> proposed that educational materials will be developed and made available for treating clinicians and patients should mobocertinib be approved for funding </w:t>
      </w:r>
      <w:r>
        <w:t>on the PBS for the prop</w:t>
      </w:r>
      <w:r w:rsidR="001D5585">
        <w:t>o</w:t>
      </w:r>
      <w:r>
        <w:t>sed indication.</w:t>
      </w:r>
      <w:r w:rsidR="009C58B6">
        <w:t xml:space="preserve"> </w:t>
      </w:r>
    </w:p>
    <w:p w14:paraId="75EC61FC" w14:textId="236A01C3" w:rsidR="00194A61" w:rsidRPr="00242FD4" w:rsidRDefault="009C58B6" w:rsidP="00492A15">
      <w:pPr>
        <w:pStyle w:val="3-BodyText"/>
      </w:pPr>
      <w:r>
        <w:t>The DUSC noted that there is a lack of long-term safety data available for mobocertinib</w:t>
      </w:r>
      <w:r w:rsidR="00492A15">
        <w:t>, and noted</w:t>
      </w:r>
      <w:r>
        <w:t xml:space="preserve"> that</w:t>
      </w:r>
      <w:r w:rsidR="00492A15">
        <w:t xml:space="preserve"> while</w:t>
      </w:r>
      <w:r>
        <w:t xml:space="preserve"> there was a clinical claim of a non-inferior safety profile, </w:t>
      </w:r>
      <w:r w:rsidR="00492A15">
        <w:t>there was</w:t>
      </w:r>
      <w:r>
        <w:t xml:space="preserve"> no formal comparison of safety presented. </w:t>
      </w:r>
      <w:r w:rsidR="00492A15">
        <w:t xml:space="preserve">The </w:t>
      </w:r>
      <w:r>
        <w:t>DUSC</w:t>
      </w:r>
      <w:r w:rsidR="00AF180B">
        <w:t xml:space="preserve"> also</w:t>
      </w:r>
      <w:r>
        <w:t xml:space="preserve"> noted there </w:t>
      </w:r>
      <w:r w:rsidR="00492A15">
        <w:t>are</w:t>
      </w:r>
      <w:r>
        <w:t xml:space="preserve"> rare but significant adverse events</w:t>
      </w:r>
      <w:r w:rsidR="00AF180B">
        <w:t xml:space="preserve"> associated with mobocertinib</w:t>
      </w:r>
      <w:r>
        <w:t xml:space="preserve"> such as cardiac failure, pneumonitis, QTc prolongation and arrythmias.</w:t>
      </w:r>
    </w:p>
    <w:p w14:paraId="0877F909" w14:textId="77777777" w:rsidR="00194A61" w:rsidRPr="00C9624D" w:rsidRDefault="00194A61" w:rsidP="00194A61">
      <w:pPr>
        <w:pStyle w:val="4-SubsectionHeading"/>
        <w:keepNext w:val="0"/>
      </w:pPr>
      <w:bookmarkStart w:id="80" w:name="_Toc22897649"/>
      <w:bookmarkStart w:id="81" w:name="_Toc113895850"/>
      <w:r w:rsidRPr="00C9624D">
        <w:t>Financial Management – Risk Sharing Arrangements</w:t>
      </w:r>
      <w:bookmarkEnd w:id="80"/>
      <w:bookmarkEnd w:id="81"/>
      <w:r>
        <w:t xml:space="preserve"> </w:t>
      </w:r>
    </w:p>
    <w:p w14:paraId="1FE9442F" w14:textId="6E1A16A7" w:rsidR="00194A61" w:rsidRDefault="00194A61" w:rsidP="00EA7D4C">
      <w:pPr>
        <w:pStyle w:val="3-BodyText"/>
      </w:pPr>
      <w:r>
        <w:t>The submission did not propose any risk-sharing arrangement. The submission stated that the proposed PBS listing for mobocertinib can be achieved without the need for explicit financial caps. However, if required, the Sponsor is willing to discuss the use of an appropriate financial cap if it is deemed necessary.</w:t>
      </w:r>
      <w:bookmarkEnd w:id="69"/>
    </w:p>
    <w:p w14:paraId="79E3E9AB" w14:textId="69B16E43" w:rsidR="007A2D71" w:rsidRDefault="007A2D71" w:rsidP="007A2D71">
      <w:pPr>
        <w:pStyle w:val="3-BodyText"/>
        <w:numPr>
          <w:ilvl w:val="0"/>
          <w:numId w:val="0"/>
        </w:numPr>
        <w:ind w:left="720"/>
        <w:rPr>
          <w:iCs/>
        </w:rPr>
      </w:pPr>
      <w:r w:rsidRPr="00C33D30">
        <w:rPr>
          <w:i/>
        </w:rPr>
        <w:t>For more detail on PBAC’s view, see section 7 PBAC outcome.</w:t>
      </w:r>
    </w:p>
    <w:p w14:paraId="3712070B" w14:textId="77777777" w:rsidR="00E076E9" w:rsidRPr="0090150D" w:rsidRDefault="00E076E9" w:rsidP="0041020A">
      <w:pPr>
        <w:pStyle w:val="2-SectionHeading"/>
        <w:keepLines/>
      </w:pPr>
      <w:bookmarkStart w:id="82" w:name="_Hlk76381249"/>
      <w:bookmarkStart w:id="83" w:name="_Hlk76377955"/>
      <w:r w:rsidRPr="0090150D">
        <w:t>PBAC Outcome</w:t>
      </w:r>
    </w:p>
    <w:p w14:paraId="1EB6061E" w14:textId="22E8F19F" w:rsidR="00E076E9" w:rsidRPr="00DD093E" w:rsidRDefault="00F86A8F" w:rsidP="00DD093E">
      <w:pPr>
        <w:widowControl w:val="0"/>
        <w:numPr>
          <w:ilvl w:val="1"/>
          <w:numId w:val="1"/>
        </w:numPr>
        <w:spacing w:after="120"/>
        <w:jc w:val="both"/>
        <w:rPr>
          <w:rFonts w:asciiTheme="minorHAnsi" w:hAnsiTheme="minorHAnsi" w:cs="Arial"/>
          <w:snapToGrid w:val="0"/>
          <w:lang w:val="en-GB"/>
        </w:rPr>
      </w:pPr>
      <w:r w:rsidRPr="00CE42B4">
        <w:rPr>
          <w:rFonts w:asciiTheme="minorHAnsi" w:hAnsiTheme="minorHAnsi" w:cs="Arial"/>
          <w:snapToGrid w:val="0"/>
          <w:lang w:val="en-GB"/>
        </w:rPr>
        <w:t>The PBAC did not recommend</w:t>
      </w:r>
      <w:r>
        <w:rPr>
          <w:rFonts w:asciiTheme="minorHAnsi" w:hAnsiTheme="minorHAnsi" w:cs="Arial"/>
          <w:snapToGrid w:val="0"/>
          <w:lang w:val="en-GB"/>
        </w:rPr>
        <w:t xml:space="preserve"> the listing of mobocertinib </w:t>
      </w:r>
      <w:r w:rsidRPr="00F86A8F">
        <w:rPr>
          <w:rFonts w:asciiTheme="minorHAnsi" w:hAnsiTheme="minorHAnsi" w:cs="Arial"/>
          <w:snapToGrid w:val="0"/>
          <w:lang w:val="en-GB"/>
        </w:rPr>
        <w:t>for the treatment of adults with epidermal growth factor receptor exon 20 insertion (</w:t>
      </w:r>
      <w:r w:rsidRPr="00F86A8F">
        <w:rPr>
          <w:rFonts w:asciiTheme="minorHAnsi" w:hAnsiTheme="minorHAnsi" w:cs="Arial"/>
          <w:i/>
          <w:iCs/>
          <w:snapToGrid w:val="0"/>
          <w:lang w:val="en-GB"/>
        </w:rPr>
        <w:t>EGFR</w:t>
      </w:r>
      <w:r w:rsidRPr="00F86A8F">
        <w:rPr>
          <w:rFonts w:asciiTheme="minorHAnsi" w:hAnsiTheme="minorHAnsi" w:cs="Arial"/>
          <w:snapToGrid w:val="0"/>
          <w:lang w:val="en-GB"/>
        </w:rPr>
        <w:t xml:space="preserve"> ex20ins) positive locally advanced or metastatic (Stage IIIB/IV) non-small cell lung cancer (NSCLC) who have received platinum-based chemotherapy (PBC).</w:t>
      </w:r>
      <w:r>
        <w:rPr>
          <w:rFonts w:asciiTheme="minorHAnsi" w:hAnsiTheme="minorHAnsi" w:cs="Arial"/>
          <w:snapToGrid w:val="0"/>
          <w:lang w:val="en-GB"/>
        </w:rPr>
        <w:t xml:space="preserve"> </w:t>
      </w:r>
      <w:r w:rsidR="00DD093E" w:rsidRPr="0078680C">
        <w:rPr>
          <w:rFonts w:asciiTheme="minorHAnsi" w:hAnsiTheme="minorHAnsi" w:cs="Arial"/>
          <w:snapToGrid w:val="0"/>
          <w:lang w:val="en-GB"/>
        </w:rPr>
        <w:t>The PBAC considered the</w:t>
      </w:r>
      <w:r w:rsidR="00DD093E">
        <w:rPr>
          <w:rFonts w:asciiTheme="minorHAnsi" w:hAnsiTheme="minorHAnsi" w:cs="Arial"/>
          <w:snapToGrid w:val="0"/>
          <w:lang w:val="en-GB"/>
        </w:rPr>
        <w:t xml:space="preserve"> nominated</w:t>
      </w:r>
      <w:r w:rsidR="00DD093E" w:rsidRPr="0078680C">
        <w:rPr>
          <w:rFonts w:asciiTheme="minorHAnsi" w:hAnsiTheme="minorHAnsi" w:cs="Arial"/>
          <w:snapToGrid w:val="0"/>
          <w:lang w:val="en-GB"/>
        </w:rPr>
        <w:t xml:space="preserve"> comparator </w:t>
      </w:r>
      <w:r w:rsidR="00DD093E">
        <w:rPr>
          <w:rFonts w:asciiTheme="minorHAnsi" w:hAnsiTheme="minorHAnsi" w:cs="Arial"/>
          <w:snapToGrid w:val="0"/>
          <w:lang w:val="en-GB"/>
        </w:rPr>
        <w:t>of</w:t>
      </w:r>
      <w:r w:rsidR="00DD093E" w:rsidRPr="0078680C">
        <w:rPr>
          <w:rFonts w:asciiTheme="minorHAnsi" w:hAnsiTheme="minorHAnsi" w:cs="Arial"/>
          <w:snapToGrid w:val="0"/>
          <w:lang w:val="en-GB"/>
        </w:rPr>
        <w:t xml:space="preserve"> Standard of Care</w:t>
      </w:r>
      <w:r w:rsidR="00D36928">
        <w:rPr>
          <w:rFonts w:asciiTheme="minorHAnsi" w:hAnsiTheme="minorHAnsi" w:cs="Arial"/>
          <w:snapToGrid w:val="0"/>
          <w:lang w:val="en-GB"/>
        </w:rPr>
        <w:t xml:space="preserve"> (SOC)</w:t>
      </w:r>
      <w:r w:rsidR="00DD093E">
        <w:rPr>
          <w:rFonts w:asciiTheme="minorHAnsi" w:hAnsiTheme="minorHAnsi" w:cs="Arial"/>
          <w:snapToGrid w:val="0"/>
          <w:lang w:val="en-GB"/>
        </w:rPr>
        <w:t xml:space="preserve">, </w:t>
      </w:r>
      <w:r w:rsidR="00DD093E" w:rsidRPr="0078680C">
        <w:rPr>
          <w:rFonts w:asciiTheme="minorHAnsi" w:hAnsiTheme="minorHAnsi" w:cs="Arial"/>
          <w:snapToGrid w:val="0"/>
          <w:lang w:val="en-GB"/>
        </w:rPr>
        <w:t xml:space="preserve">comprising EGFR tyrosine kinase inhibitors </w:t>
      </w:r>
      <w:r w:rsidR="00AE249A">
        <w:rPr>
          <w:rFonts w:asciiTheme="minorHAnsi" w:hAnsiTheme="minorHAnsi" w:cs="Arial"/>
          <w:snapToGrid w:val="0"/>
          <w:lang w:val="en-GB"/>
        </w:rPr>
        <w:t>(</w:t>
      </w:r>
      <w:r w:rsidR="00DD093E" w:rsidRPr="0078680C">
        <w:rPr>
          <w:rFonts w:asciiTheme="minorHAnsi" w:hAnsiTheme="minorHAnsi" w:cs="Arial"/>
          <w:snapToGrid w:val="0"/>
          <w:lang w:val="en-GB"/>
        </w:rPr>
        <w:t>TKIs</w:t>
      </w:r>
      <w:r w:rsidR="00AE249A">
        <w:rPr>
          <w:rFonts w:asciiTheme="minorHAnsi" w:hAnsiTheme="minorHAnsi" w:cs="Arial"/>
          <w:snapToGrid w:val="0"/>
          <w:lang w:val="en-GB"/>
        </w:rPr>
        <w:t>)</w:t>
      </w:r>
      <w:r w:rsidR="00DD093E" w:rsidRPr="0078680C">
        <w:rPr>
          <w:rFonts w:asciiTheme="minorHAnsi" w:hAnsiTheme="minorHAnsi" w:cs="Arial"/>
          <w:snapToGrid w:val="0"/>
          <w:lang w:val="en-GB"/>
        </w:rPr>
        <w:t>, immune checkpoint inhibitor (ICI) monotherapy, and chemotherapy</w:t>
      </w:r>
      <w:r w:rsidR="000023C4">
        <w:rPr>
          <w:rFonts w:asciiTheme="minorHAnsi" w:hAnsiTheme="minorHAnsi" w:cs="Arial"/>
          <w:snapToGrid w:val="0"/>
          <w:lang w:val="en-GB"/>
        </w:rPr>
        <w:t>,</w:t>
      </w:r>
      <w:r w:rsidR="00DD093E" w:rsidRPr="0078680C">
        <w:rPr>
          <w:rFonts w:asciiTheme="minorHAnsi" w:hAnsiTheme="minorHAnsi" w:cs="Arial"/>
          <w:snapToGrid w:val="0"/>
          <w:lang w:val="en-GB"/>
        </w:rPr>
        <w:t xml:space="preserve"> </w:t>
      </w:r>
      <w:r w:rsidR="00DD093E" w:rsidRPr="0078680C">
        <w:rPr>
          <w:rFonts w:asciiTheme="minorHAnsi" w:hAnsiTheme="minorHAnsi" w:cs="Arial"/>
          <w:snapToGrid w:val="0"/>
          <w:lang w:val="en-GB"/>
        </w:rPr>
        <w:lastRenderedPageBreak/>
        <w:t xml:space="preserve">was inappropriate </w:t>
      </w:r>
      <w:r w:rsidR="00DD093E" w:rsidRPr="0078680C">
        <w:rPr>
          <w:rFonts w:asciiTheme="minorHAnsi" w:hAnsiTheme="minorHAnsi" w:cs="Arial"/>
          <w:snapToGrid w:val="0"/>
        </w:rPr>
        <w:t xml:space="preserve">as </w:t>
      </w:r>
      <w:r w:rsidR="00DD093E" w:rsidRPr="00900721">
        <w:rPr>
          <w:rFonts w:asciiTheme="minorHAnsi" w:hAnsiTheme="minorHAnsi" w:cs="Arial"/>
          <w:i/>
          <w:iCs/>
          <w:snapToGrid w:val="0"/>
        </w:rPr>
        <w:t>EGFR</w:t>
      </w:r>
      <w:r w:rsidR="00DD093E" w:rsidRPr="0078680C">
        <w:rPr>
          <w:rFonts w:asciiTheme="minorHAnsi" w:hAnsiTheme="minorHAnsi" w:cs="Arial"/>
          <w:snapToGrid w:val="0"/>
        </w:rPr>
        <w:t xml:space="preserve"> TKI</w:t>
      </w:r>
      <w:r w:rsidR="00900721">
        <w:rPr>
          <w:rFonts w:asciiTheme="minorHAnsi" w:hAnsiTheme="minorHAnsi" w:cs="Arial"/>
          <w:snapToGrid w:val="0"/>
        </w:rPr>
        <w:t>s</w:t>
      </w:r>
      <w:r w:rsidR="00DD093E" w:rsidRPr="0078680C">
        <w:rPr>
          <w:rFonts w:asciiTheme="minorHAnsi" w:hAnsiTheme="minorHAnsi" w:cs="Arial"/>
          <w:snapToGrid w:val="0"/>
        </w:rPr>
        <w:t xml:space="preserve"> and ICI</w:t>
      </w:r>
      <w:r w:rsidR="00900721">
        <w:rPr>
          <w:rFonts w:asciiTheme="minorHAnsi" w:hAnsiTheme="minorHAnsi" w:cs="Arial"/>
          <w:snapToGrid w:val="0"/>
        </w:rPr>
        <w:t xml:space="preserve"> monotherapy</w:t>
      </w:r>
      <w:r w:rsidR="00DD093E" w:rsidRPr="0078680C">
        <w:rPr>
          <w:rFonts w:asciiTheme="minorHAnsi" w:hAnsiTheme="minorHAnsi" w:cs="Arial"/>
          <w:snapToGrid w:val="0"/>
        </w:rPr>
        <w:t xml:space="preserve"> are generally not used in these patients</w:t>
      </w:r>
      <w:r w:rsidR="00DD093E" w:rsidRPr="0078680C">
        <w:rPr>
          <w:rFonts w:asciiTheme="minorHAnsi" w:hAnsiTheme="minorHAnsi" w:cs="Arial"/>
          <w:snapToGrid w:val="0"/>
          <w:lang w:val="en-GB"/>
        </w:rPr>
        <w:t>. The PBAC considered that the evidence presented is associated with a</w:t>
      </w:r>
      <w:r w:rsidR="00DD093E">
        <w:rPr>
          <w:rFonts w:asciiTheme="minorHAnsi" w:hAnsiTheme="minorHAnsi" w:cs="Arial"/>
          <w:snapToGrid w:val="0"/>
          <w:lang w:val="en-GB"/>
        </w:rPr>
        <w:t xml:space="preserve"> very</w:t>
      </w:r>
      <w:r w:rsidR="00DD093E" w:rsidRPr="0078680C">
        <w:rPr>
          <w:rFonts w:asciiTheme="minorHAnsi" w:hAnsiTheme="minorHAnsi" w:cs="Arial"/>
          <w:snapToGrid w:val="0"/>
          <w:lang w:val="en-GB"/>
        </w:rPr>
        <w:t xml:space="preserve"> high degree of uncertainty </w:t>
      </w:r>
      <w:r w:rsidR="00DD093E">
        <w:rPr>
          <w:rFonts w:asciiTheme="minorHAnsi" w:hAnsiTheme="minorHAnsi" w:cs="Arial"/>
          <w:snapToGrid w:val="0"/>
          <w:lang w:val="en-GB"/>
        </w:rPr>
        <w:t>that</w:t>
      </w:r>
      <w:r w:rsidR="00DD093E" w:rsidRPr="0078680C">
        <w:rPr>
          <w:rFonts w:asciiTheme="minorHAnsi" w:hAnsiTheme="minorHAnsi" w:cs="Arial"/>
          <w:snapToGrid w:val="0"/>
          <w:lang w:val="en-GB"/>
        </w:rPr>
        <w:t xml:space="preserve"> did not </w:t>
      </w:r>
      <w:r w:rsidR="00DD093E">
        <w:rPr>
          <w:rFonts w:asciiTheme="minorHAnsi" w:hAnsiTheme="minorHAnsi" w:cs="Arial"/>
          <w:snapToGrid w:val="0"/>
          <w:lang w:val="en-GB"/>
        </w:rPr>
        <w:t>permit</w:t>
      </w:r>
      <w:r w:rsidR="00DD093E" w:rsidRPr="0078680C">
        <w:rPr>
          <w:rFonts w:asciiTheme="minorHAnsi" w:hAnsiTheme="minorHAnsi" w:cs="Arial"/>
          <w:snapToGrid w:val="0"/>
          <w:lang w:val="en-GB"/>
        </w:rPr>
        <w:t xml:space="preserve"> either a comparison of mobocertinib with </w:t>
      </w:r>
      <w:r w:rsidR="00CD6271">
        <w:rPr>
          <w:rFonts w:asciiTheme="minorHAnsi" w:hAnsiTheme="minorHAnsi" w:cs="Arial"/>
          <w:snapToGrid w:val="0"/>
          <w:lang w:val="en-GB"/>
        </w:rPr>
        <w:t>the appropriate comparator (</w:t>
      </w:r>
      <w:r w:rsidR="00DD093E" w:rsidRPr="0078680C">
        <w:rPr>
          <w:rFonts w:asciiTheme="minorHAnsi" w:hAnsiTheme="minorHAnsi" w:cs="Arial"/>
          <w:snapToGrid w:val="0"/>
          <w:lang w:val="en-GB"/>
        </w:rPr>
        <w:t>chemotherapy</w:t>
      </w:r>
      <w:r w:rsidR="00CD6271">
        <w:rPr>
          <w:rFonts w:asciiTheme="minorHAnsi" w:hAnsiTheme="minorHAnsi" w:cs="Arial"/>
          <w:snapToGrid w:val="0"/>
          <w:lang w:val="en-GB"/>
        </w:rPr>
        <w:t>)</w:t>
      </w:r>
      <w:r w:rsidR="00DD093E" w:rsidRPr="0078680C">
        <w:rPr>
          <w:rFonts w:asciiTheme="minorHAnsi" w:hAnsiTheme="minorHAnsi" w:cs="Arial"/>
          <w:snapToGrid w:val="0"/>
          <w:lang w:val="en-GB"/>
        </w:rPr>
        <w:t xml:space="preserve">, or a comparison of safety. </w:t>
      </w:r>
    </w:p>
    <w:p w14:paraId="48157342" w14:textId="0990E72D" w:rsidR="00E076E9" w:rsidRPr="00CE42B4" w:rsidRDefault="00654BB8" w:rsidP="00E076E9">
      <w:pPr>
        <w:widowControl w:val="0"/>
        <w:numPr>
          <w:ilvl w:val="1"/>
          <w:numId w:val="1"/>
        </w:numPr>
        <w:spacing w:after="120"/>
        <w:jc w:val="both"/>
        <w:rPr>
          <w:rFonts w:asciiTheme="minorHAnsi" w:hAnsiTheme="minorHAnsi" w:cs="Arial"/>
          <w:snapToGrid w:val="0"/>
          <w:lang w:val="en-GB"/>
        </w:rPr>
      </w:pPr>
      <w:r w:rsidRPr="00654BB8">
        <w:rPr>
          <w:rFonts w:asciiTheme="minorHAnsi" w:hAnsiTheme="minorHAnsi" w:cs="Arial"/>
          <w:snapToGrid w:val="0"/>
          <w:lang w:val="en-GB"/>
        </w:rPr>
        <w:t>The PBAC noted the consumer input supported the high clinical need for additional effective treatment options for this population</w:t>
      </w:r>
      <w:r>
        <w:rPr>
          <w:rFonts w:asciiTheme="minorHAnsi" w:hAnsiTheme="minorHAnsi" w:cs="Arial"/>
          <w:snapToGrid w:val="0"/>
          <w:lang w:val="en-GB"/>
        </w:rPr>
        <w:t>, given th</w:t>
      </w:r>
      <w:r w:rsidR="00845949">
        <w:rPr>
          <w:rFonts w:asciiTheme="minorHAnsi" w:hAnsiTheme="minorHAnsi" w:cs="Arial"/>
          <w:snapToGrid w:val="0"/>
          <w:lang w:val="en-GB"/>
        </w:rPr>
        <w:t>at</w:t>
      </w:r>
      <w:r>
        <w:rPr>
          <w:rFonts w:asciiTheme="minorHAnsi" w:hAnsiTheme="minorHAnsi" w:cs="Arial"/>
          <w:snapToGrid w:val="0"/>
          <w:lang w:val="en-GB"/>
        </w:rPr>
        <w:t xml:space="preserve"> patients have a</w:t>
      </w:r>
      <w:r w:rsidR="008E24CF">
        <w:rPr>
          <w:rFonts w:asciiTheme="minorHAnsi" w:hAnsiTheme="minorHAnsi" w:cs="Arial"/>
          <w:snapToGrid w:val="0"/>
          <w:lang w:val="en-GB"/>
        </w:rPr>
        <w:t xml:space="preserve"> very</w:t>
      </w:r>
      <w:r>
        <w:rPr>
          <w:rFonts w:asciiTheme="minorHAnsi" w:hAnsiTheme="minorHAnsi" w:cs="Arial"/>
          <w:snapToGrid w:val="0"/>
          <w:lang w:val="en-GB"/>
        </w:rPr>
        <w:t xml:space="preserve"> poor prognosis and there is </w:t>
      </w:r>
      <w:r w:rsidR="009048C6">
        <w:rPr>
          <w:rFonts w:asciiTheme="minorHAnsi" w:hAnsiTheme="minorHAnsi" w:cs="Arial"/>
          <w:snapToGrid w:val="0"/>
          <w:lang w:val="en-GB"/>
        </w:rPr>
        <w:t xml:space="preserve">currently </w:t>
      </w:r>
      <w:r>
        <w:rPr>
          <w:rFonts w:asciiTheme="minorHAnsi" w:hAnsiTheme="minorHAnsi" w:cs="Arial"/>
          <w:snapToGrid w:val="0"/>
          <w:lang w:val="en-GB"/>
        </w:rPr>
        <w:t xml:space="preserve">no listed therapy that targets the </w:t>
      </w:r>
      <w:r w:rsidR="008E24CF" w:rsidRPr="000D3C73">
        <w:rPr>
          <w:rFonts w:asciiTheme="minorHAnsi" w:hAnsiTheme="minorHAnsi" w:cstheme="minorHAnsi"/>
          <w:i/>
          <w:iCs/>
        </w:rPr>
        <w:t>EGFR</w:t>
      </w:r>
      <w:r w:rsidR="008E24CF" w:rsidRPr="000D3C73">
        <w:rPr>
          <w:rFonts w:asciiTheme="minorHAnsi" w:hAnsiTheme="minorHAnsi" w:cstheme="minorHAnsi"/>
        </w:rPr>
        <w:t xml:space="preserve"> exon20ins mutation</w:t>
      </w:r>
      <w:r w:rsidR="008E24CF">
        <w:rPr>
          <w:rFonts w:asciiTheme="minorHAnsi" w:hAnsiTheme="minorHAnsi" w:cstheme="minorHAnsi"/>
        </w:rPr>
        <w:t>.</w:t>
      </w:r>
    </w:p>
    <w:p w14:paraId="51D0E8BF" w14:textId="35F7FDB0" w:rsidR="00E076E9" w:rsidRPr="00CE42B4" w:rsidRDefault="003627B6" w:rsidP="00E076E9">
      <w:pPr>
        <w:widowControl w:val="0"/>
        <w:numPr>
          <w:ilvl w:val="1"/>
          <w:numId w:val="1"/>
        </w:numPr>
        <w:spacing w:after="120"/>
        <w:jc w:val="both"/>
        <w:rPr>
          <w:rFonts w:asciiTheme="minorHAnsi" w:hAnsiTheme="minorHAnsi" w:cs="Arial"/>
          <w:snapToGrid w:val="0"/>
          <w:lang w:val="en-GB"/>
        </w:rPr>
      </w:pPr>
      <w:r>
        <w:rPr>
          <w:rFonts w:asciiTheme="minorHAnsi" w:hAnsiTheme="minorHAnsi" w:cs="Arial"/>
          <w:snapToGrid w:val="0"/>
          <w:lang w:val="en-GB"/>
        </w:rPr>
        <w:t xml:space="preserve">The PBAC considered the proposed place for mobocertinib in clinical practice to be appropriate, given the provisional TGA approval in patients </w:t>
      </w:r>
      <w:r w:rsidRPr="003627B6">
        <w:rPr>
          <w:rFonts w:asciiTheme="minorHAnsi" w:hAnsiTheme="minorHAnsi" w:cs="Arial"/>
          <w:snapToGrid w:val="0"/>
          <w:lang w:val="en-GB"/>
        </w:rPr>
        <w:t>who have received prior platinum-based chemotherapy</w:t>
      </w:r>
      <w:r w:rsidR="004E5407">
        <w:rPr>
          <w:rFonts w:asciiTheme="minorHAnsi" w:hAnsiTheme="minorHAnsi" w:cs="Arial"/>
          <w:snapToGrid w:val="0"/>
          <w:lang w:val="en-GB"/>
        </w:rPr>
        <w:t xml:space="preserve"> and the patient population in the pivotal mob</w:t>
      </w:r>
      <w:r w:rsidR="00E942B4">
        <w:rPr>
          <w:rFonts w:asciiTheme="minorHAnsi" w:hAnsiTheme="minorHAnsi" w:cs="Arial"/>
          <w:snapToGrid w:val="0"/>
          <w:lang w:val="en-GB"/>
        </w:rPr>
        <w:t>o</w:t>
      </w:r>
      <w:r w:rsidR="004E5407">
        <w:rPr>
          <w:rFonts w:asciiTheme="minorHAnsi" w:hAnsiTheme="minorHAnsi" w:cs="Arial"/>
          <w:snapToGrid w:val="0"/>
          <w:lang w:val="en-GB"/>
        </w:rPr>
        <w:t>certinib trial, Study 101</w:t>
      </w:r>
      <w:r>
        <w:rPr>
          <w:rFonts w:asciiTheme="minorHAnsi" w:hAnsiTheme="minorHAnsi" w:cs="Arial"/>
          <w:snapToGrid w:val="0"/>
          <w:lang w:val="en-GB"/>
        </w:rPr>
        <w:t>.</w:t>
      </w:r>
    </w:p>
    <w:p w14:paraId="567DC545" w14:textId="493AC053" w:rsidR="00E076E9" w:rsidRPr="00CE42B4" w:rsidRDefault="004E5407" w:rsidP="00E076E9">
      <w:pPr>
        <w:widowControl w:val="0"/>
        <w:numPr>
          <w:ilvl w:val="1"/>
          <w:numId w:val="1"/>
        </w:numPr>
        <w:spacing w:after="120"/>
        <w:jc w:val="both"/>
        <w:rPr>
          <w:rFonts w:asciiTheme="minorHAnsi" w:hAnsiTheme="minorHAnsi" w:cs="Arial"/>
          <w:snapToGrid w:val="0"/>
          <w:lang w:val="en-GB"/>
        </w:rPr>
      </w:pPr>
      <w:bookmarkStart w:id="84" w:name="_Ref119682556"/>
      <w:r>
        <w:rPr>
          <w:rFonts w:asciiTheme="minorHAnsi" w:hAnsiTheme="minorHAnsi" w:cs="Arial"/>
          <w:snapToGrid w:val="0"/>
          <w:lang w:val="en-GB"/>
        </w:rPr>
        <w:t xml:space="preserve">The submission nominated </w:t>
      </w:r>
      <w:r w:rsidRPr="004E5407">
        <w:rPr>
          <w:rFonts w:asciiTheme="minorHAnsi" w:hAnsiTheme="minorHAnsi" w:cs="Arial"/>
          <w:snapToGrid w:val="0"/>
          <w:lang w:val="en-GB"/>
        </w:rPr>
        <w:t>SOC</w:t>
      </w:r>
      <w:r>
        <w:rPr>
          <w:rFonts w:asciiTheme="minorHAnsi" w:hAnsiTheme="minorHAnsi" w:cs="Arial"/>
          <w:snapToGrid w:val="0"/>
          <w:lang w:val="en-GB"/>
        </w:rPr>
        <w:t xml:space="preserve"> as the main comparator, </w:t>
      </w:r>
      <w:r w:rsidRPr="004E5407">
        <w:rPr>
          <w:rFonts w:asciiTheme="minorHAnsi" w:hAnsiTheme="minorHAnsi" w:cs="Arial"/>
          <w:snapToGrid w:val="0"/>
          <w:lang w:val="en-GB"/>
        </w:rPr>
        <w:t>compris</w:t>
      </w:r>
      <w:r>
        <w:rPr>
          <w:rFonts w:asciiTheme="minorHAnsi" w:hAnsiTheme="minorHAnsi" w:cs="Arial"/>
          <w:snapToGrid w:val="0"/>
          <w:lang w:val="en-GB"/>
        </w:rPr>
        <w:t>ing</w:t>
      </w:r>
      <w:r w:rsidRPr="004E5407">
        <w:rPr>
          <w:rFonts w:asciiTheme="minorHAnsi" w:hAnsiTheme="minorHAnsi" w:cs="Arial"/>
          <w:snapToGrid w:val="0"/>
          <w:lang w:val="en-GB"/>
        </w:rPr>
        <w:t xml:space="preserve"> standard </w:t>
      </w:r>
      <w:r w:rsidRPr="004E5407">
        <w:rPr>
          <w:rFonts w:asciiTheme="minorHAnsi" w:hAnsiTheme="minorHAnsi" w:cs="Arial"/>
          <w:i/>
          <w:iCs/>
          <w:snapToGrid w:val="0"/>
          <w:lang w:val="en-GB"/>
        </w:rPr>
        <w:t>EGFR</w:t>
      </w:r>
      <w:r w:rsidRPr="004E5407">
        <w:rPr>
          <w:rFonts w:asciiTheme="minorHAnsi" w:hAnsiTheme="minorHAnsi" w:cs="Arial"/>
          <w:snapToGrid w:val="0"/>
          <w:lang w:val="en-GB"/>
        </w:rPr>
        <w:t xml:space="preserve"> TKIs</w:t>
      </w:r>
      <w:r w:rsidR="00AE249A">
        <w:rPr>
          <w:rFonts w:asciiTheme="minorHAnsi" w:hAnsiTheme="minorHAnsi" w:cs="Arial"/>
          <w:snapToGrid w:val="0"/>
          <w:lang w:val="en-GB"/>
        </w:rPr>
        <w:t xml:space="preserve">, </w:t>
      </w:r>
      <w:r w:rsidRPr="004E5407">
        <w:rPr>
          <w:rFonts w:asciiTheme="minorHAnsi" w:hAnsiTheme="minorHAnsi" w:cs="Arial"/>
          <w:snapToGrid w:val="0"/>
          <w:lang w:val="en-GB"/>
        </w:rPr>
        <w:t>ICI</w:t>
      </w:r>
      <w:r w:rsidR="00C2499B">
        <w:rPr>
          <w:rFonts w:asciiTheme="minorHAnsi" w:hAnsiTheme="minorHAnsi" w:cs="Arial"/>
          <w:snapToGrid w:val="0"/>
          <w:lang w:val="en-GB"/>
        </w:rPr>
        <w:t xml:space="preserve"> monotherapy</w:t>
      </w:r>
      <w:r w:rsidRPr="004E5407">
        <w:rPr>
          <w:rFonts w:asciiTheme="minorHAnsi" w:hAnsiTheme="minorHAnsi" w:cs="Arial"/>
          <w:snapToGrid w:val="0"/>
          <w:lang w:val="en-GB"/>
        </w:rPr>
        <w:t>, and chemotherapy.</w:t>
      </w:r>
      <w:r w:rsidR="00AE249A">
        <w:rPr>
          <w:rFonts w:asciiTheme="minorHAnsi" w:hAnsiTheme="minorHAnsi" w:cs="Arial"/>
          <w:snapToGrid w:val="0"/>
          <w:lang w:val="en-GB"/>
        </w:rPr>
        <w:t xml:space="preserve"> The PBAC noted that evidence in the literature and treatment guidelines does not support </w:t>
      </w:r>
      <w:r w:rsidR="00AE249A" w:rsidRPr="000F2218">
        <w:rPr>
          <w:rFonts w:asciiTheme="minorHAnsi" w:hAnsiTheme="minorHAnsi" w:cs="Arial"/>
          <w:i/>
          <w:iCs/>
          <w:snapToGrid w:val="0"/>
          <w:lang w:val="en-GB"/>
        </w:rPr>
        <w:t>EGFR</w:t>
      </w:r>
      <w:r w:rsidR="00AE249A">
        <w:rPr>
          <w:rFonts w:asciiTheme="minorHAnsi" w:hAnsiTheme="minorHAnsi" w:cs="Arial"/>
          <w:snapToGrid w:val="0"/>
          <w:lang w:val="en-GB"/>
        </w:rPr>
        <w:t xml:space="preserve"> TKI therapy in this patient population, and the PBAC agreed with the evaluation and the ESC that it is highly unlikely that </w:t>
      </w:r>
      <w:r w:rsidR="001A585E">
        <w:rPr>
          <w:rFonts w:asciiTheme="minorHAnsi" w:hAnsiTheme="minorHAnsi" w:cs="Arial"/>
          <w:snapToGrid w:val="0"/>
          <w:lang w:val="en-GB"/>
        </w:rPr>
        <w:t>TKIs</w:t>
      </w:r>
      <w:r w:rsidR="00AE249A">
        <w:rPr>
          <w:rFonts w:asciiTheme="minorHAnsi" w:hAnsiTheme="minorHAnsi" w:cs="Arial"/>
          <w:snapToGrid w:val="0"/>
          <w:lang w:val="en-GB"/>
        </w:rPr>
        <w:t xml:space="preserve"> </w:t>
      </w:r>
      <w:r w:rsidR="001A585E">
        <w:rPr>
          <w:rFonts w:asciiTheme="minorHAnsi" w:hAnsiTheme="minorHAnsi" w:cs="Arial"/>
          <w:snapToGrid w:val="0"/>
          <w:lang w:val="en-GB"/>
        </w:rPr>
        <w:t>are</w:t>
      </w:r>
      <w:r w:rsidR="00AE249A">
        <w:rPr>
          <w:rFonts w:asciiTheme="minorHAnsi" w:hAnsiTheme="minorHAnsi" w:cs="Arial"/>
          <w:snapToGrid w:val="0"/>
          <w:lang w:val="en-GB"/>
        </w:rPr>
        <w:t xml:space="preserve"> used routinely in this context in Australia. Similarly, the PBAC noted there is limited evidence of the </w:t>
      </w:r>
      <w:r w:rsidR="000F2218">
        <w:rPr>
          <w:rFonts w:asciiTheme="minorHAnsi" w:hAnsiTheme="minorHAnsi" w:cs="Arial"/>
          <w:snapToGrid w:val="0"/>
          <w:lang w:val="en-GB"/>
        </w:rPr>
        <w:t>benefit</w:t>
      </w:r>
      <w:r w:rsidR="00AE249A">
        <w:rPr>
          <w:rFonts w:asciiTheme="minorHAnsi" w:hAnsiTheme="minorHAnsi" w:cs="Arial"/>
          <w:snapToGrid w:val="0"/>
          <w:lang w:val="en-GB"/>
        </w:rPr>
        <w:t xml:space="preserve"> of ICI monotherapy</w:t>
      </w:r>
      <w:r>
        <w:rPr>
          <w:rFonts w:asciiTheme="minorHAnsi" w:hAnsiTheme="minorHAnsi" w:cs="Arial"/>
          <w:snapToGrid w:val="0"/>
          <w:lang w:val="en-GB"/>
        </w:rPr>
        <w:t xml:space="preserve"> </w:t>
      </w:r>
      <w:r w:rsidR="00AE249A">
        <w:rPr>
          <w:rFonts w:asciiTheme="minorHAnsi" w:hAnsiTheme="minorHAnsi" w:cs="Arial"/>
          <w:snapToGrid w:val="0"/>
          <w:lang w:val="en-GB"/>
        </w:rPr>
        <w:t>in</w:t>
      </w:r>
      <w:r w:rsidR="00AE249A" w:rsidRPr="00AE249A">
        <w:rPr>
          <w:rFonts w:asciiTheme="minorHAnsi" w:hAnsiTheme="minorHAnsi" w:cs="Arial"/>
          <w:snapToGrid w:val="0"/>
          <w:lang w:val="en-GB"/>
        </w:rPr>
        <w:t xml:space="preserve"> refractory </w:t>
      </w:r>
      <w:r w:rsidR="00AE249A" w:rsidRPr="000F2218">
        <w:rPr>
          <w:rFonts w:asciiTheme="minorHAnsi" w:hAnsiTheme="minorHAnsi" w:cs="Arial"/>
          <w:i/>
          <w:iCs/>
          <w:snapToGrid w:val="0"/>
          <w:lang w:val="en-GB"/>
        </w:rPr>
        <w:t>EGFR</w:t>
      </w:r>
      <w:r w:rsidR="00AE249A" w:rsidRPr="00AE249A">
        <w:rPr>
          <w:rFonts w:asciiTheme="minorHAnsi" w:hAnsiTheme="minorHAnsi" w:cs="Arial"/>
          <w:snapToGrid w:val="0"/>
          <w:lang w:val="en-GB"/>
        </w:rPr>
        <w:t xml:space="preserve"> ex20ins positive NSCLC</w:t>
      </w:r>
      <w:r w:rsidR="000F2218">
        <w:rPr>
          <w:rFonts w:asciiTheme="minorHAnsi" w:hAnsiTheme="minorHAnsi" w:cs="Arial"/>
          <w:snapToGrid w:val="0"/>
          <w:lang w:val="en-GB"/>
        </w:rPr>
        <w:t>, and most patients would</w:t>
      </w:r>
      <w:r w:rsidR="000E35C9">
        <w:rPr>
          <w:rFonts w:asciiTheme="minorHAnsi" w:hAnsiTheme="minorHAnsi" w:cs="Arial"/>
          <w:snapToGrid w:val="0"/>
          <w:lang w:val="en-GB"/>
        </w:rPr>
        <w:t xml:space="preserve"> be treated with ICIs in the first line setting and not receive them second line. The PBAC noted that chemotherapy agents such as taxanes are the most likely </w:t>
      </w:r>
      <w:r w:rsidR="00B34764">
        <w:rPr>
          <w:rFonts w:asciiTheme="minorHAnsi" w:hAnsiTheme="minorHAnsi" w:cs="Arial"/>
          <w:snapToGrid w:val="0"/>
          <w:lang w:val="en-GB"/>
        </w:rPr>
        <w:t xml:space="preserve">treatments used in Australia second line, and that these agents are therefore the appropriate comparator for </w:t>
      </w:r>
      <w:r w:rsidR="00B34764" w:rsidRPr="00AE249A">
        <w:rPr>
          <w:rFonts w:asciiTheme="minorHAnsi" w:hAnsiTheme="minorHAnsi" w:cs="Arial"/>
          <w:snapToGrid w:val="0"/>
          <w:lang w:val="en-GB"/>
        </w:rPr>
        <w:t xml:space="preserve">refractory </w:t>
      </w:r>
      <w:r w:rsidR="00B34764" w:rsidRPr="000F2218">
        <w:rPr>
          <w:rFonts w:asciiTheme="minorHAnsi" w:hAnsiTheme="minorHAnsi" w:cs="Arial"/>
          <w:i/>
          <w:iCs/>
          <w:snapToGrid w:val="0"/>
          <w:lang w:val="en-GB"/>
        </w:rPr>
        <w:t>EGFR</w:t>
      </w:r>
      <w:r w:rsidR="00B34764" w:rsidRPr="00AE249A">
        <w:rPr>
          <w:rFonts w:asciiTheme="minorHAnsi" w:hAnsiTheme="minorHAnsi" w:cs="Arial"/>
          <w:snapToGrid w:val="0"/>
          <w:lang w:val="en-GB"/>
        </w:rPr>
        <w:t xml:space="preserve"> ex20ins positive NSCLC</w:t>
      </w:r>
      <w:r w:rsidR="00B34764">
        <w:rPr>
          <w:rFonts w:asciiTheme="minorHAnsi" w:hAnsiTheme="minorHAnsi" w:cs="Arial"/>
          <w:snapToGrid w:val="0"/>
          <w:lang w:val="en-GB"/>
        </w:rPr>
        <w:t>.</w:t>
      </w:r>
      <w:bookmarkEnd w:id="84"/>
    </w:p>
    <w:p w14:paraId="3205D8C2" w14:textId="01DFB740" w:rsidR="00E076E9" w:rsidRPr="00CE42B4" w:rsidRDefault="00721867" w:rsidP="00E076E9">
      <w:pPr>
        <w:widowControl w:val="0"/>
        <w:numPr>
          <w:ilvl w:val="1"/>
          <w:numId w:val="1"/>
        </w:numPr>
        <w:spacing w:after="120"/>
        <w:jc w:val="both"/>
        <w:rPr>
          <w:rFonts w:asciiTheme="minorHAnsi" w:hAnsiTheme="minorHAnsi" w:cs="Arial"/>
          <w:snapToGrid w:val="0"/>
          <w:lang w:val="en-GB"/>
        </w:rPr>
      </w:pPr>
      <w:r>
        <w:rPr>
          <w:rFonts w:asciiTheme="minorHAnsi" w:hAnsiTheme="minorHAnsi" w:cs="Arial"/>
          <w:snapToGrid w:val="0"/>
          <w:lang w:val="en-GB"/>
        </w:rPr>
        <w:t xml:space="preserve">The clinical evidence supporting the clinical claim was the prospective mobocertinib Study 101 indirectly compared with the retrospective SOC Study 5008 (German chart review) and Study 5002 (US Flatiron health registry). The SOC cohorts comprised subgroups of platinum pre-treated patients with </w:t>
      </w:r>
      <w:r w:rsidRPr="000023C4">
        <w:rPr>
          <w:rFonts w:asciiTheme="minorHAnsi" w:hAnsiTheme="minorHAnsi" w:cs="Arial"/>
          <w:i/>
          <w:iCs/>
          <w:snapToGrid w:val="0"/>
          <w:lang w:val="en-GB"/>
        </w:rPr>
        <w:t>EGFR</w:t>
      </w:r>
      <w:r>
        <w:rPr>
          <w:rFonts w:asciiTheme="minorHAnsi" w:hAnsiTheme="minorHAnsi" w:cs="Arial"/>
          <w:snapToGrid w:val="0"/>
          <w:lang w:val="en-GB"/>
        </w:rPr>
        <w:t xml:space="preserve"> ex20ins</w:t>
      </w:r>
      <w:r w:rsidR="000023C4">
        <w:rPr>
          <w:rFonts w:asciiTheme="minorHAnsi" w:hAnsiTheme="minorHAnsi" w:cs="Arial"/>
          <w:snapToGrid w:val="0"/>
          <w:lang w:val="en-GB"/>
        </w:rPr>
        <w:t>-</w:t>
      </w:r>
      <w:r>
        <w:rPr>
          <w:rFonts w:asciiTheme="minorHAnsi" w:hAnsiTheme="minorHAnsi" w:cs="Arial"/>
          <w:snapToGrid w:val="0"/>
          <w:lang w:val="en-GB"/>
        </w:rPr>
        <w:t xml:space="preserve">variant advanced NSCLC. </w:t>
      </w:r>
      <w:r w:rsidR="00B21933">
        <w:rPr>
          <w:rFonts w:asciiTheme="minorHAnsi" w:hAnsiTheme="minorHAnsi" w:cs="Arial"/>
          <w:snapToGrid w:val="0"/>
          <w:lang w:val="en-GB"/>
        </w:rPr>
        <w:t xml:space="preserve">As a result of the consideration of the </w:t>
      </w:r>
      <w:r w:rsidR="00B21933" w:rsidRPr="00883AD7">
        <w:rPr>
          <w:rFonts w:asciiTheme="minorHAnsi" w:hAnsiTheme="minorHAnsi" w:cs="Arial"/>
          <w:snapToGrid w:val="0"/>
          <w:lang w:val="en-GB"/>
        </w:rPr>
        <w:t>comparator (paragraph</w:t>
      </w:r>
      <w:r w:rsidR="00883AD7" w:rsidRPr="00883AD7">
        <w:rPr>
          <w:rFonts w:asciiTheme="minorHAnsi" w:hAnsiTheme="minorHAnsi" w:cs="Arial"/>
          <w:snapToGrid w:val="0"/>
          <w:lang w:val="en-GB"/>
        </w:rPr>
        <w:t xml:space="preserve"> above</w:t>
      </w:r>
      <w:r w:rsidR="00B21933" w:rsidRPr="00883AD7">
        <w:rPr>
          <w:rFonts w:asciiTheme="minorHAnsi" w:hAnsiTheme="minorHAnsi" w:cs="Arial"/>
          <w:snapToGrid w:val="0"/>
          <w:lang w:val="en-GB"/>
        </w:rPr>
        <w:t>),</w:t>
      </w:r>
      <w:r w:rsidR="00B21933">
        <w:rPr>
          <w:rFonts w:asciiTheme="minorHAnsi" w:hAnsiTheme="minorHAnsi" w:cs="Arial"/>
          <w:snapToGrid w:val="0"/>
          <w:lang w:val="en-GB"/>
        </w:rPr>
        <w:t xml:space="preserve"> t</w:t>
      </w:r>
      <w:r w:rsidR="00B21933" w:rsidRPr="00B21933">
        <w:rPr>
          <w:rFonts w:asciiTheme="minorHAnsi" w:hAnsiTheme="minorHAnsi" w:cs="Arial"/>
          <w:snapToGrid w:val="0"/>
          <w:lang w:val="en-GB"/>
        </w:rPr>
        <w:t>he</w:t>
      </w:r>
      <w:r w:rsidR="00B21933">
        <w:rPr>
          <w:rFonts w:asciiTheme="minorHAnsi" w:hAnsiTheme="minorHAnsi" w:cs="Arial"/>
          <w:snapToGrid w:val="0"/>
          <w:lang w:val="en-GB"/>
        </w:rPr>
        <w:t xml:space="preserve"> PBAC </w:t>
      </w:r>
      <w:r w:rsidR="001D000F">
        <w:rPr>
          <w:rFonts w:asciiTheme="minorHAnsi" w:hAnsiTheme="minorHAnsi" w:cs="Arial"/>
          <w:snapToGrid w:val="0"/>
          <w:lang w:val="en-GB"/>
        </w:rPr>
        <w:t>considered</w:t>
      </w:r>
      <w:r w:rsidR="00B21933" w:rsidRPr="00B21933">
        <w:rPr>
          <w:rFonts w:asciiTheme="minorHAnsi" w:hAnsiTheme="minorHAnsi" w:cs="Arial"/>
          <w:snapToGrid w:val="0"/>
          <w:lang w:val="en-GB"/>
        </w:rPr>
        <w:t xml:space="preserve"> that the retrospective</w:t>
      </w:r>
      <w:r w:rsidR="00B21933">
        <w:rPr>
          <w:rFonts w:asciiTheme="minorHAnsi" w:hAnsiTheme="minorHAnsi" w:cs="Arial"/>
          <w:snapToGrid w:val="0"/>
          <w:lang w:val="en-GB"/>
        </w:rPr>
        <w:t xml:space="preserve"> SOC</w:t>
      </w:r>
      <w:r w:rsidR="00B21933" w:rsidRPr="00B21933">
        <w:rPr>
          <w:rFonts w:asciiTheme="minorHAnsi" w:hAnsiTheme="minorHAnsi" w:cs="Arial"/>
          <w:snapToGrid w:val="0"/>
          <w:lang w:val="en-GB"/>
        </w:rPr>
        <w:t xml:space="preserve"> studies</w:t>
      </w:r>
      <w:r w:rsidR="001D6C91">
        <w:rPr>
          <w:rFonts w:asciiTheme="minorHAnsi" w:hAnsiTheme="minorHAnsi" w:cs="Arial"/>
          <w:snapToGrid w:val="0"/>
          <w:lang w:val="en-GB"/>
        </w:rPr>
        <w:t xml:space="preserve"> </w:t>
      </w:r>
      <w:r w:rsidR="00B21933" w:rsidRPr="00B21933">
        <w:rPr>
          <w:rFonts w:asciiTheme="minorHAnsi" w:hAnsiTheme="minorHAnsi" w:cs="Arial"/>
          <w:snapToGrid w:val="0"/>
          <w:lang w:val="en-GB"/>
        </w:rPr>
        <w:t>have limited applicability, in terms of treatments administered</w:t>
      </w:r>
      <w:r w:rsidR="00E25174">
        <w:rPr>
          <w:rFonts w:asciiTheme="minorHAnsi" w:hAnsiTheme="minorHAnsi" w:cs="Arial"/>
          <w:snapToGrid w:val="0"/>
          <w:lang w:val="en-GB"/>
        </w:rPr>
        <w:t xml:space="preserve"> (</w:t>
      </w:r>
      <w:r w:rsidR="00E25174" w:rsidRPr="001D6C91">
        <w:rPr>
          <w:rFonts w:asciiTheme="minorHAnsi" w:hAnsiTheme="minorHAnsi" w:cs="Arial"/>
          <w:i/>
          <w:iCs/>
          <w:snapToGrid w:val="0"/>
          <w:lang w:val="en-GB"/>
        </w:rPr>
        <w:t>EGFR</w:t>
      </w:r>
      <w:r w:rsidR="00E25174">
        <w:rPr>
          <w:rFonts w:asciiTheme="minorHAnsi" w:hAnsiTheme="minorHAnsi" w:cs="Arial"/>
          <w:snapToGrid w:val="0"/>
          <w:lang w:val="en-GB"/>
        </w:rPr>
        <w:t xml:space="preserve"> TKIs, ICI monotherapy, and non-PB chemotherapy)</w:t>
      </w:r>
      <w:r w:rsidR="00B21933" w:rsidRPr="00B21933">
        <w:rPr>
          <w:rFonts w:asciiTheme="minorHAnsi" w:hAnsiTheme="minorHAnsi" w:cs="Arial"/>
          <w:snapToGrid w:val="0"/>
          <w:lang w:val="en-GB"/>
        </w:rPr>
        <w:t>, to current clinical practice in Australia.</w:t>
      </w:r>
    </w:p>
    <w:p w14:paraId="4DA9A4DD" w14:textId="0F39AB55" w:rsidR="00002916" w:rsidRPr="00002916" w:rsidRDefault="00035EA2" w:rsidP="00002916">
      <w:pPr>
        <w:pStyle w:val="3-BodyText"/>
        <w:rPr>
          <w:lang w:val="en-GB"/>
        </w:rPr>
      </w:pPr>
      <w:r w:rsidRPr="00035EA2">
        <w:rPr>
          <w:lang w:val="en-GB"/>
        </w:rPr>
        <w:t xml:space="preserve">The PBAC </w:t>
      </w:r>
      <w:r>
        <w:rPr>
          <w:lang w:val="en-GB"/>
        </w:rPr>
        <w:t xml:space="preserve">considered </w:t>
      </w:r>
      <w:r w:rsidRPr="00035EA2">
        <w:rPr>
          <w:lang w:val="en-GB"/>
        </w:rPr>
        <w:t xml:space="preserve">that the submission’s claim of superior effectiveness was very uncertain, due to a high risk of bias and small sample sizes, and that </w:t>
      </w:r>
      <w:r w:rsidR="00B317C4">
        <w:rPr>
          <w:lang w:val="en-GB"/>
        </w:rPr>
        <w:t>inflating</w:t>
      </w:r>
      <w:r w:rsidRPr="00035EA2">
        <w:rPr>
          <w:lang w:val="en-GB"/>
        </w:rPr>
        <w:t xml:space="preserve"> the populations </w:t>
      </w:r>
      <w:r w:rsidR="00CD6271">
        <w:rPr>
          <w:lang w:val="en-GB"/>
        </w:rPr>
        <w:t xml:space="preserve">(using the adjusted IPTW methodology) </w:t>
      </w:r>
      <w:r w:rsidRPr="00035EA2">
        <w:rPr>
          <w:lang w:val="en-GB"/>
        </w:rPr>
        <w:t>had risk of exacerbating the potential biases. While the PBAC acknowledged that mobocertinib may be better than conventional chemotherapy in this setting, it did not consider that the submission had adequately demonstrated this in terms of the evidence presented against SOC, where the majority of SOC treatments</w:t>
      </w:r>
      <w:r w:rsidR="001D000F">
        <w:rPr>
          <w:lang w:val="en-GB"/>
        </w:rPr>
        <w:t xml:space="preserve"> in Studies 5008 and 5002</w:t>
      </w:r>
      <w:r w:rsidRPr="00035EA2">
        <w:rPr>
          <w:lang w:val="en-GB"/>
        </w:rPr>
        <w:t xml:space="preserve"> comprised </w:t>
      </w:r>
      <w:r w:rsidRPr="00956F16">
        <w:rPr>
          <w:i/>
          <w:iCs/>
          <w:lang w:val="en-GB"/>
        </w:rPr>
        <w:t>EGFR</w:t>
      </w:r>
      <w:r w:rsidRPr="00035EA2">
        <w:rPr>
          <w:lang w:val="en-GB"/>
        </w:rPr>
        <w:t xml:space="preserve"> TKIs and ICI monotherapy, not chemotherapy. The PBAC considered the magnitude of a potential incremental benefit of mobocertinib compared with SOC was uncertain and may be overestimated by the submission due to the inclusion of SOC treatments (</w:t>
      </w:r>
      <w:r w:rsidRPr="00956F16">
        <w:rPr>
          <w:i/>
          <w:iCs/>
          <w:lang w:val="en-GB"/>
        </w:rPr>
        <w:t>EGFR</w:t>
      </w:r>
      <w:r w:rsidRPr="00035EA2">
        <w:rPr>
          <w:lang w:val="en-GB"/>
        </w:rPr>
        <w:t xml:space="preserve"> TKIs </w:t>
      </w:r>
      <w:r w:rsidRPr="00035EA2">
        <w:rPr>
          <w:lang w:val="en-GB"/>
        </w:rPr>
        <w:lastRenderedPageBreak/>
        <w:t>and ICI monotherapy) that are not effective in the 2L setting and are not used in Australian clinical practice.</w:t>
      </w:r>
      <w:r w:rsidR="00956F16">
        <w:rPr>
          <w:lang w:val="en-GB"/>
        </w:rPr>
        <w:t xml:space="preserve"> The PBAC considered that the </w:t>
      </w:r>
      <w:r w:rsidR="001E7C6D">
        <w:rPr>
          <w:lang w:val="en-GB"/>
        </w:rPr>
        <w:t xml:space="preserve">median </w:t>
      </w:r>
      <w:r w:rsidR="00956F16">
        <w:rPr>
          <w:lang w:val="en-GB"/>
        </w:rPr>
        <w:t xml:space="preserve">OS for mobocertinib of </w:t>
      </w:r>
      <w:r w:rsidR="00002916">
        <w:rPr>
          <w:lang w:val="en-GB"/>
        </w:rPr>
        <w:t xml:space="preserve">20.17 months, compared to 9.76 months for SOC Study 5008 (adjusted IPTW HR = 0.42, p = 0.0025; </w:t>
      </w:r>
      <w:r w:rsidR="00002916">
        <w:rPr>
          <w:lang w:val="en-GB"/>
        </w:rPr>
        <w:fldChar w:fldCharType="begin"/>
      </w:r>
      <w:r w:rsidR="00002916">
        <w:rPr>
          <w:lang w:val="en-GB"/>
        </w:rPr>
        <w:instrText xml:space="preserve"> REF _Ref112591372 \h </w:instrText>
      </w:r>
      <w:r w:rsidR="00002916">
        <w:rPr>
          <w:lang w:val="en-GB"/>
        </w:rPr>
      </w:r>
      <w:r w:rsidR="00002916">
        <w:rPr>
          <w:lang w:val="en-GB"/>
        </w:rPr>
        <w:fldChar w:fldCharType="separate"/>
      </w:r>
      <w:r w:rsidR="001635D4">
        <w:t xml:space="preserve">Table </w:t>
      </w:r>
      <w:r w:rsidR="001635D4">
        <w:rPr>
          <w:noProof/>
        </w:rPr>
        <w:t>7</w:t>
      </w:r>
      <w:r w:rsidR="00002916">
        <w:rPr>
          <w:lang w:val="en-GB"/>
        </w:rPr>
        <w:fldChar w:fldCharType="end"/>
      </w:r>
      <w:r w:rsidR="00002916">
        <w:rPr>
          <w:lang w:val="en-GB"/>
        </w:rPr>
        <w:t>) was implausible,</w:t>
      </w:r>
      <w:r w:rsidR="00956F16">
        <w:rPr>
          <w:lang w:val="en-GB"/>
        </w:rPr>
        <w:t xml:space="preserve"> given the relatively low cORR of 28%</w:t>
      </w:r>
      <w:r w:rsidR="00D36928">
        <w:rPr>
          <w:lang w:val="en-GB"/>
        </w:rPr>
        <w:t xml:space="preserve"> for mobocertinib</w:t>
      </w:r>
      <w:r w:rsidR="00956F16">
        <w:rPr>
          <w:lang w:val="en-GB"/>
        </w:rPr>
        <w:t xml:space="preserve"> </w:t>
      </w:r>
      <w:r w:rsidR="00CD6271">
        <w:t>(</w:t>
      </w:r>
      <w:r w:rsidR="00956F16">
        <w:fldChar w:fldCharType="begin"/>
      </w:r>
      <w:r w:rsidR="00956F16">
        <w:instrText xml:space="preserve"> REF _Ref113797231 \h </w:instrText>
      </w:r>
      <w:r w:rsidR="00956F16">
        <w:fldChar w:fldCharType="separate"/>
      </w:r>
      <w:r w:rsidR="001635D4">
        <w:t xml:space="preserve">Table </w:t>
      </w:r>
      <w:r w:rsidR="001635D4">
        <w:rPr>
          <w:noProof/>
        </w:rPr>
        <w:t>6</w:t>
      </w:r>
      <w:r w:rsidR="00956F16">
        <w:fldChar w:fldCharType="end"/>
      </w:r>
      <w:r w:rsidR="00956F16">
        <w:t>)</w:t>
      </w:r>
      <w:r w:rsidR="00002916">
        <w:t>.</w:t>
      </w:r>
    </w:p>
    <w:p w14:paraId="0EF296D4" w14:textId="05CC1F09" w:rsidR="00035EA2" w:rsidRDefault="00035EA2" w:rsidP="00035EA2">
      <w:pPr>
        <w:pStyle w:val="3-BodyText"/>
        <w:rPr>
          <w:lang w:val="en-GB"/>
        </w:rPr>
      </w:pPr>
      <w:r w:rsidRPr="00035EA2">
        <w:rPr>
          <w:lang w:val="en-GB"/>
        </w:rPr>
        <w:t>The PBAC noted the submission did not present a safety comparison of moboce</w:t>
      </w:r>
      <w:r w:rsidR="00E942B4">
        <w:rPr>
          <w:lang w:val="en-GB"/>
        </w:rPr>
        <w:t>r</w:t>
      </w:r>
      <w:r w:rsidRPr="00035EA2">
        <w:rPr>
          <w:lang w:val="en-GB"/>
        </w:rPr>
        <w:t>tinib against SOC, and considered that mobocertinib may have a “different” safety profile that is not non-inferior to SOC.</w:t>
      </w:r>
    </w:p>
    <w:p w14:paraId="37603D6E" w14:textId="5DBF4D96" w:rsidR="006B7D2C" w:rsidRDefault="00383CE4" w:rsidP="006B7D2C">
      <w:pPr>
        <w:pStyle w:val="3-BodyText"/>
        <w:rPr>
          <w:lang w:val="en-GB"/>
        </w:rPr>
      </w:pPr>
      <w:r>
        <w:rPr>
          <w:lang w:val="en-GB"/>
        </w:rPr>
        <w:t>The PBAC agreed with the ESC that t</w:t>
      </w:r>
      <w:r w:rsidRPr="00383CE4">
        <w:rPr>
          <w:lang w:val="en-GB"/>
        </w:rPr>
        <w:t>he applicability of comparator treatments from Studies 5008 and 5002 to Australian clinical practice is highly uncertain</w:t>
      </w:r>
      <w:r>
        <w:rPr>
          <w:lang w:val="en-GB"/>
        </w:rPr>
        <w:t xml:space="preserve"> and that</w:t>
      </w:r>
      <w:r w:rsidRPr="00383CE4">
        <w:rPr>
          <w:lang w:val="en-GB"/>
        </w:rPr>
        <w:t xml:space="preserve"> limiting the cost of SOC to chemotherapy regimens, which are more likely to be the treatment in the absence of mobocertinib, may be a more reasonable approach. As immunotherapies and targeted therapies are substantially more costly than single agent chemotherapy, applying the costs of these treatments has overestimated the cost of the SOC arm.</w:t>
      </w:r>
      <w:r w:rsidR="003C20EA">
        <w:rPr>
          <w:lang w:val="en-GB"/>
        </w:rPr>
        <w:t xml:space="preserve"> The PBAC also considered that </w:t>
      </w:r>
      <w:r w:rsidR="003C20EA" w:rsidRPr="00383CE4">
        <w:rPr>
          <w:lang w:val="en-GB"/>
        </w:rPr>
        <w:t>modelling survival outcomes based on Study 5008 alone was not adequately justified</w:t>
      </w:r>
      <w:r w:rsidR="003C20EA">
        <w:rPr>
          <w:lang w:val="en-GB"/>
        </w:rPr>
        <w:t xml:space="preserve">, and that </w:t>
      </w:r>
      <w:r w:rsidR="003C20EA" w:rsidRPr="00383CE4">
        <w:rPr>
          <w:lang w:val="en-GB"/>
        </w:rPr>
        <w:t xml:space="preserve">there </w:t>
      </w:r>
      <w:r w:rsidR="003C20EA">
        <w:rPr>
          <w:lang w:val="en-GB"/>
        </w:rPr>
        <w:t>were</w:t>
      </w:r>
      <w:r w:rsidR="003C20EA" w:rsidRPr="00383CE4">
        <w:rPr>
          <w:lang w:val="en-GB"/>
        </w:rPr>
        <w:t xml:space="preserve"> no clear justifications for the choice of one comparator study over the other.</w:t>
      </w:r>
      <w:r w:rsidRPr="00383CE4">
        <w:rPr>
          <w:lang w:val="en-GB"/>
        </w:rPr>
        <w:t xml:space="preserve"> </w:t>
      </w:r>
    </w:p>
    <w:p w14:paraId="32E65F3A" w14:textId="008416D0" w:rsidR="00383CE4" w:rsidRPr="006B7D2C" w:rsidRDefault="00895458" w:rsidP="006B7D2C">
      <w:pPr>
        <w:pStyle w:val="3-BodyText"/>
        <w:rPr>
          <w:lang w:val="en-GB"/>
        </w:rPr>
      </w:pPr>
      <w:r w:rsidRPr="006B7D2C">
        <w:rPr>
          <w:lang w:val="en-GB"/>
        </w:rPr>
        <w:t xml:space="preserve">Overall, the PBAC had low confidence in the modelled benefits of mobocertinib and </w:t>
      </w:r>
      <w:r w:rsidR="00383CE4" w:rsidRPr="006B7D2C">
        <w:rPr>
          <w:lang w:val="en-GB"/>
        </w:rPr>
        <w:t xml:space="preserve">considered that the </w:t>
      </w:r>
      <w:r w:rsidRPr="006B7D2C">
        <w:rPr>
          <w:lang w:val="en-GB"/>
        </w:rPr>
        <w:t>ICER</w:t>
      </w:r>
      <w:r w:rsidR="00383CE4" w:rsidRPr="006B7D2C">
        <w:rPr>
          <w:lang w:val="en-GB"/>
        </w:rPr>
        <w:t xml:space="preserve"> was uncertain and unacceptably high at the proposed price.</w:t>
      </w:r>
      <w:r w:rsidR="00883AD7" w:rsidRPr="00883AD7">
        <w:t xml:space="preserve"> </w:t>
      </w:r>
      <w:r w:rsidR="00883AD7" w:rsidRPr="00883AD7">
        <w:rPr>
          <w:lang w:val="en-GB"/>
        </w:rPr>
        <w:t>The PBAC noted</w:t>
      </w:r>
      <w:r w:rsidR="00883AD7">
        <w:rPr>
          <w:lang w:val="en-GB"/>
        </w:rPr>
        <w:t xml:space="preserve"> it had previously recommended </w:t>
      </w:r>
      <w:r w:rsidR="00883AD7" w:rsidRPr="00883AD7">
        <w:rPr>
          <w:lang w:val="en-GB"/>
        </w:rPr>
        <w:t xml:space="preserve">other targeted </w:t>
      </w:r>
      <w:r w:rsidR="00883AD7">
        <w:rPr>
          <w:lang w:val="en-GB"/>
        </w:rPr>
        <w:t xml:space="preserve">therapies for the </w:t>
      </w:r>
      <w:r w:rsidR="00883AD7" w:rsidRPr="00883AD7">
        <w:rPr>
          <w:lang w:val="en-GB"/>
        </w:rPr>
        <w:t xml:space="preserve">second </w:t>
      </w:r>
      <w:r w:rsidR="00883AD7">
        <w:rPr>
          <w:lang w:val="en-GB"/>
        </w:rPr>
        <w:t xml:space="preserve">line treatment of NSCLC with ICERs of </w:t>
      </w:r>
      <w:r w:rsidR="00883AD7" w:rsidRPr="00883AD7">
        <w:rPr>
          <w:lang w:val="en-GB"/>
        </w:rPr>
        <w:t>$45</w:t>
      </w:r>
      <w:r w:rsidR="00883AD7">
        <w:rPr>
          <w:lang w:val="en-GB"/>
        </w:rPr>
        <w:t>,000 to $</w:t>
      </w:r>
      <w:r w:rsidR="00883AD7" w:rsidRPr="00883AD7">
        <w:rPr>
          <w:lang w:val="en-GB"/>
        </w:rPr>
        <w:t>75</w:t>
      </w:r>
      <w:r w:rsidR="00883AD7">
        <w:rPr>
          <w:lang w:val="en-GB"/>
        </w:rPr>
        <w:t xml:space="preserve">,000 per QALY gained. </w:t>
      </w:r>
    </w:p>
    <w:p w14:paraId="0BAE0959" w14:textId="151167AE" w:rsidR="00846F9D" w:rsidRPr="00846F9D" w:rsidRDefault="00586EAB" w:rsidP="002563EF">
      <w:pPr>
        <w:widowControl w:val="0"/>
        <w:numPr>
          <w:ilvl w:val="1"/>
          <w:numId w:val="1"/>
        </w:numPr>
        <w:spacing w:after="120"/>
        <w:jc w:val="both"/>
      </w:pPr>
      <w:r w:rsidRPr="0078680C">
        <w:rPr>
          <w:rFonts w:asciiTheme="minorHAnsi" w:hAnsiTheme="minorHAnsi" w:cs="Arial"/>
          <w:snapToGrid w:val="0"/>
          <w:lang w:val="en-GB"/>
        </w:rPr>
        <w:t xml:space="preserve">The PBAC </w:t>
      </w:r>
      <w:r w:rsidR="006E3749">
        <w:rPr>
          <w:rFonts w:asciiTheme="minorHAnsi" w:hAnsiTheme="minorHAnsi" w:cs="Arial"/>
          <w:snapToGrid w:val="0"/>
          <w:lang w:val="en-GB"/>
        </w:rPr>
        <w:t>agreed with the DUSC</w:t>
      </w:r>
      <w:r w:rsidR="006F0F53">
        <w:rPr>
          <w:rFonts w:asciiTheme="minorHAnsi" w:hAnsiTheme="minorHAnsi" w:cs="Arial"/>
          <w:snapToGrid w:val="0"/>
          <w:lang w:val="en-GB"/>
        </w:rPr>
        <w:t xml:space="preserve"> consideration of the financial estimates and advised any resubmission should address the issues outlined in </w:t>
      </w:r>
      <w:r w:rsidR="006F0F53">
        <w:rPr>
          <w:rFonts w:asciiTheme="minorHAnsi" w:hAnsiTheme="minorHAnsi" w:cs="Arial"/>
          <w:snapToGrid w:val="0"/>
          <w:lang w:val="en-GB"/>
        </w:rPr>
        <w:fldChar w:fldCharType="begin"/>
      </w:r>
      <w:r w:rsidR="006F0F53">
        <w:rPr>
          <w:rFonts w:asciiTheme="minorHAnsi" w:hAnsiTheme="minorHAnsi" w:cs="Arial"/>
          <w:snapToGrid w:val="0"/>
          <w:lang w:val="en-GB"/>
        </w:rPr>
        <w:instrText xml:space="preserve"> REF _Ref121122431 \r \h </w:instrText>
      </w:r>
      <w:r w:rsidR="006F0F53">
        <w:rPr>
          <w:rFonts w:asciiTheme="minorHAnsi" w:hAnsiTheme="minorHAnsi" w:cs="Arial"/>
          <w:snapToGrid w:val="0"/>
          <w:lang w:val="en-GB"/>
        </w:rPr>
      </w:r>
      <w:r w:rsidR="006F0F53">
        <w:rPr>
          <w:rFonts w:asciiTheme="minorHAnsi" w:hAnsiTheme="minorHAnsi" w:cs="Arial"/>
          <w:snapToGrid w:val="0"/>
          <w:lang w:val="en-GB"/>
        </w:rPr>
        <w:fldChar w:fldCharType="separate"/>
      </w:r>
      <w:r w:rsidR="001635D4">
        <w:rPr>
          <w:rFonts w:asciiTheme="minorHAnsi" w:hAnsiTheme="minorHAnsi" w:cs="Arial"/>
          <w:snapToGrid w:val="0"/>
          <w:lang w:val="en-GB"/>
        </w:rPr>
        <w:t>6.81</w:t>
      </w:r>
      <w:r w:rsidR="006F0F53">
        <w:rPr>
          <w:rFonts w:asciiTheme="minorHAnsi" w:hAnsiTheme="minorHAnsi" w:cs="Arial"/>
          <w:snapToGrid w:val="0"/>
          <w:lang w:val="en-GB"/>
        </w:rPr>
        <w:fldChar w:fldCharType="end"/>
      </w:r>
      <w:r w:rsidR="0048387C">
        <w:rPr>
          <w:rFonts w:asciiTheme="minorHAnsi" w:hAnsiTheme="minorHAnsi" w:cs="Arial"/>
          <w:snapToGrid w:val="0"/>
          <w:lang w:val="en-GB"/>
        </w:rPr>
        <w:t xml:space="preserve"> </w:t>
      </w:r>
      <w:r w:rsidR="006F0F53">
        <w:rPr>
          <w:rFonts w:asciiTheme="minorHAnsi" w:hAnsiTheme="minorHAnsi" w:cs="Arial"/>
          <w:snapToGrid w:val="0"/>
          <w:lang w:val="en-GB"/>
        </w:rPr>
        <w:t xml:space="preserve">and </w:t>
      </w:r>
      <w:r w:rsidR="006F0F53">
        <w:rPr>
          <w:rFonts w:asciiTheme="minorHAnsi" w:hAnsiTheme="minorHAnsi" w:cs="Arial"/>
          <w:snapToGrid w:val="0"/>
          <w:lang w:val="en-GB"/>
        </w:rPr>
        <w:fldChar w:fldCharType="begin"/>
      </w:r>
      <w:r w:rsidR="006F0F53">
        <w:rPr>
          <w:rFonts w:asciiTheme="minorHAnsi" w:hAnsiTheme="minorHAnsi" w:cs="Arial"/>
          <w:snapToGrid w:val="0"/>
          <w:lang w:val="en-GB"/>
        </w:rPr>
        <w:instrText xml:space="preserve"> REF _Ref121122434 \r \h </w:instrText>
      </w:r>
      <w:r w:rsidR="006F0F53">
        <w:rPr>
          <w:rFonts w:asciiTheme="minorHAnsi" w:hAnsiTheme="minorHAnsi" w:cs="Arial"/>
          <w:snapToGrid w:val="0"/>
          <w:lang w:val="en-GB"/>
        </w:rPr>
      </w:r>
      <w:r w:rsidR="006F0F53">
        <w:rPr>
          <w:rFonts w:asciiTheme="minorHAnsi" w:hAnsiTheme="minorHAnsi" w:cs="Arial"/>
          <w:snapToGrid w:val="0"/>
          <w:lang w:val="en-GB"/>
        </w:rPr>
        <w:fldChar w:fldCharType="separate"/>
      </w:r>
      <w:r w:rsidR="001635D4">
        <w:rPr>
          <w:rFonts w:asciiTheme="minorHAnsi" w:hAnsiTheme="minorHAnsi" w:cs="Arial"/>
          <w:snapToGrid w:val="0"/>
          <w:lang w:val="en-GB"/>
        </w:rPr>
        <w:t>6.82</w:t>
      </w:r>
      <w:r w:rsidR="006F0F53">
        <w:rPr>
          <w:rFonts w:asciiTheme="minorHAnsi" w:hAnsiTheme="minorHAnsi" w:cs="Arial"/>
          <w:snapToGrid w:val="0"/>
          <w:lang w:val="en-GB"/>
        </w:rPr>
        <w:fldChar w:fldCharType="end"/>
      </w:r>
      <w:r w:rsidR="006F0F53">
        <w:rPr>
          <w:rFonts w:asciiTheme="minorHAnsi" w:hAnsiTheme="minorHAnsi" w:cs="Arial"/>
          <w:snapToGrid w:val="0"/>
          <w:lang w:val="en-GB"/>
        </w:rPr>
        <w:t>.</w:t>
      </w:r>
    </w:p>
    <w:p w14:paraId="2AA66004" w14:textId="03312235" w:rsidR="00C600AC" w:rsidRPr="00846F9D" w:rsidRDefault="00C600AC" w:rsidP="00C600AC">
      <w:pPr>
        <w:widowControl w:val="0"/>
        <w:numPr>
          <w:ilvl w:val="1"/>
          <w:numId w:val="1"/>
        </w:numPr>
        <w:spacing w:after="120"/>
        <w:jc w:val="both"/>
      </w:pPr>
      <w:r w:rsidRPr="00846F9D">
        <w:rPr>
          <w:rFonts w:asciiTheme="minorHAnsi" w:hAnsiTheme="minorHAnsi" w:cs="Arial"/>
          <w:bCs/>
          <w:snapToGrid w:val="0"/>
          <w:lang w:val="en-GB"/>
        </w:rPr>
        <w:t>The PBAC considered a resubmission for</w:t>
      </w:r>
      <w:r>
        <w:rPr>
          <w:rFonts w:asciiTheme="minorHAnsi" w:hAnsiTheme="minorHAnsi" w:cs="Arial"/>
          <w:bCs/>
          <w:snapToGrid w:val="0"/>
          <w:lang w:val="en-GB"/>
        </w:rPr>
        <w:t xml:space="preserve"> mobocertinib for </w:t>
      </w:r>
      <w:r w:rsidRPr="00F86A8F">
        <w:rPr>
          <w:rFonts w:asciiTheme="minorHAnsi" w:hAnsiTheme="minorHAnsi" w:cs="Arial"/>
          <w:i/>
          <w:iCs/>
          <w:snapToGrid w:val="0"/>
          <w:lang w:val="en-GB"/>
        </w:rPr>
        <w:t>EGFR</w:t>
      </w:r>
      <w:r w:rsidRPr="00F86A8F">
        <w:rPr>
          <w:rFonts w:asciiTheme="minorHAnsi" w:hAnsiTheme="minorHAnsi" w:cs="Arial"/>
          <w:snapToGrid w:val="0"/>
          <w:lang w:val="en-GB"/>
        </w:rPr>
        <w:t xml:space="preserve"> ex20ins</w:t>
      </w:r>
      <w:r>
        <w:rPr>
          <w:rFonts w:asciiTheme="minorHAnsi" w:hAnsiTheme="minorHAnsi" w:cs="Arial"/>
          <w:snapToGrid w:val="0"/>
          <w:lang w:val="en-GB"/>
        </w:rPr>
        <w:t xml:space="preserve"> NSCLC in the second line setting</w:t>
      </w:r>
      <w:r w:rsidRPr="00846F9D">
        <w:rPr>
          <w:rFonts w:asciiTheme="minorHAnsi" w:hAnsiTheme="minorHAnsi" w:cs="Arial"/>
          <w:bCs/>
          <w:snapToGrid w:val="0"/>
          <w:lang w:val="en-GB"/>
        </w:rPr>
        <w:t xml:space="preserve"> should address the following issues:</w:t>
      </w:r>
    </w:p>
    <w:p w14:paraId="5BEEFDE5" w14:textId="6BF9CB9A" w:rsidR="0048387C" w:rsidRDefault="0048387C" w:rsidP="00C600AC">
      <w:pPr>
        <w:pStyle w:val="ListParagraph"/>
        <w:widowControl w:val="0"/>
        <w:numPr>
          <w:ilvl w:val="0"/>
          <w:numId w:val="30"/>
        </w:numPr>
        <w:rPr>
          <w:bCs/>
          <w:snapToGrid/>
        </w:rPr>
      </w:pPr>
      <w:r>
        <w:rPr>
          <w:bCs/>
          <w:snapToGrid/>
        </w:rPr>
        <w:t>Address</w:t>
      </w:r>
      <w:r w:rsidR="009C29FD">
        <w:rPr>
          <w:bCs/>
          <w:snapToGrid/>
        </w:rPr>
        <w:t xml:space="preserve"> any relevant </w:t>
      </w:r>
      <w:r>
        <w:rPr>
          <w:bCs/>
          <w:snapToGrid/>
        </w:rPr>
        <w:t xml:space="preserve">restriction issues discussed </w:t>
      </w:r>
      <w:r w:rsidR="009C29FD">
        <w:rPr>
          <w:bCs/>
          <w:snapToGrid/>
        </w:rPr>
        <w:t>Section 3.</w:t>
      </w:r>
    </w:p>
    <w:p w14:paraId="4BBE3D1D" w14:textId="7BA3EE85" w:rsidR="00C600AC" w:rsidRPr="00846F9D" w:rsidRDefault="00C600AC" w:rsidP="00C600AC">
      <w:pPr>
        <w:pStyle w:val="ListParagraph"/>
        <w:widowControl w:val="0"/>
        <w:numPr>
          <w:ilvl w:val="0"/>
          <w:numId w:val="30"/>
        </w:numPr>
        <w:rPr>
          <w:bCs/>
          <w:snapToGrid/>
        </w:rPr>
      </w:pPr>
      <w:r>
        <w:rPr>
          <w:bCs/>
          <w:snapToGrid/>
        </w:rPr>
        <w:t>Include a clinical analysis that measures an incremental benefit for mobocertinib compared with chemotherapy-based treatments</w:t>
      </w:r>
      <w:r w:rsidR="00577C73">
        <w:rPr>
          <w:bCs/>
          <w:snapToGrid/>
        </w:rPr>
        <w:t xml:space="preserve"> (taxanes)</w:t>
      </w:r>
      <w:r>
        <w:rPr>
          <w:bCs/>
          <w:snapToGrid/>
        </w:rPr>
        <w:t>;</w:t>
      </w:r>
    </w:p>
    <w:p w14:paraId="5C3B5C32" w14:textId="1F3303E9" w:rsidR="00C600AC" w:rsidRPr="00C600AC" w:rsidRDefault="00C600AC" w:rsidP="00C600AC">
      <w:pPr>
        <w:pStyle w:val="ListParagraph"/>
        <w:widowControl w:val="0"/>
        <w:numPr>
          <w:ilvl w:val="0"/>
          <w:numId w:val="30"/>
        </w:numPr>
        <w:rPr>
          <w:bCs/>
          <w:snapToGrid/>
        </w:rPr>
      </w:pPr>
      <w:r>
        <w:rPr>
          <w:bCs/>
          <w:snapToGrid/>
        </w:rPr>
        <w:t xml:space="preserve">Include an economic analysis </w:t>
      </w:r>
      <w:r w:rsidR="00577C73">
        <w:rPr>
          <w:bCs/>
          <w:snapToGrid/>
        </w:rPr>
        <w:t xml:space="preserve">based on the above clinical comparison </w:t>
      </w:r>
      <w:r>
        <w:rPr>
          <w:bCs/>
          <w:snapToGrid/>
        </w:rPr>
        <w:t>that only includes the cost of chemotherapy-based treatments for the SOC arm;</w:t>
      </w:r>
      <w:r w:rsidR="00883AD7">
        <w:rPr>
          <w:bCs/>
          <w:snapToGrid/>
        </w:rPr>
        <w:t xml:space="preserve"> and</w:t>
      </w:r>
    </w:p>
    <w:p w14:paraId="5C8BB80B" w14:textId="613BBA1F" w:rsidR="00C600AC" w:rsidRPr="00846F9D" w:rsidRDefault="0083606C" w:rsidP="00C600AC">
      <w:pPr>
        <w:pStyle w:val="ListParagraph"/>
        <w:widowControl w:val="0"/>
        <w:numPr>
          <w:ilvl w:val="0"/>
          <w:numId w:val="30"/>
        </w:numPr>
        <w:rPr>
          <w:bCs/>
          <w:snapToGrid/>
        </w:rPr>
      </w:pPr>
      <w:r>
        <w:rPr>
          <w:bCs/>
          <w:snapToGrid/>
          <w:lang w:val="en-US"/>
        </w:rPr>
        <w:t>Provide</w:t>
      </w:r>
      <w:r w:rsidR="00C600AC">
        <w:rPr>
          <w:bCs/>
          <w:snapToGrid/>
          <w:lang w:val="en-US"/>
        </w:rPr>
        <w:t xml:space="preserve"> revised financial implications, and e</w:t>
      </w:r>
      <w:r w:rsidR="00846F9D" w:rsidRPr="00846F9D">
        <w:rPr>
          <w:bCs/>
          <w:snapToGrid/>
          <w:lang w:val="en-US"/>
        </w:rPr>
        <w:t>xclude</w:t>
      </w:r>
      <w:r w:rsidR="00C600AC">
        <w:rPr>
          <w:bCs/>
          <w:snapToGrid/>
          <w:lang w:val="en-US"/>
        </w:rPr>
        <w:t xml:space="preserve"> the</w:t>
      </w:r>
      <w:r w:rsidR="00846F9D" w:rsidRPr="00846F9D">
        <w:rPr>
          <w:bCs/>
          <w:snapToGrid/>
          <w:lang w:val="en-US"/>
        </w:rPr>
        <w:t xml:space="preserve"> use of </w:t>
      </w:r>
      <w:r w:rsidR="00846F9D" w:rsidRPr="00846F9D">
        <w:rPr>
          <w:bCs/>
          <w:i/>
          <w:iCs/>
          <w:snapToGrid/>
          <w:lang w:val="en-US"/>
        </w:rPr>
        <w:t>EGFR</w:t>
      </w:r>
      <w:r w:rsidR="00C600AC">
        <w:rPr>
          <w:bCs/>
          <w:snapToGrid/>
          <w:lang w:val="en-US"/>
        </w:rPr>
        <w:t xml:space="preserve"> TKIs and IC</w:t>
      </w:r>
      <w:r w:rsidR="00F4784E">
        <w:rPr>
          <w:bCs/>
          <w:snapToGrid/>
          <w:lang w:val="en-US"/>
        </w:rPr>
        <w:t>I</w:t>
      </w:r>
      <w:r w:rsidR="00C600AC">
        <w:rPr>
          <w:bCs/>
          <w:snapToGrid/>
          <w:lang w:val="en-US"/>
        </w:rPr>
        <w:t xml:space="preserve"> monotherapy</w:t>
      </w:r>
      <w:r w:rsidR="00846F9D" w:rsidRPr="00846F9D">
        <w:rPr>
          <w:bCs/>
          <w:snapToGrid/>
          <w:lang w:val="en-US"/>
        </w:rPr>
        <w:t xml:space="preserve"> </w:t>
      </w:r>
      <w:r w:rsidR="00C600AC">
        <w:rPr>
          <w:bCs/>
          <w:snapToGrid/>
          <w:lang w:val="en-US"/>
        </w:rPr>
        <w:t xml:space="preserve">financial </w:t>
      </w:r>
      <w:r w:rsidR="00846F9D" w:rsidRPr="00846F9D">
        <w:rPr>
          <w:bCs/>
          <w:snapToGrid/>
          <w:lang w:val="en-US"/>
        </w:rPr>
        <w:t>offsets</w:t>
      </w:r>
      <w:r w:rsidR="00C600AC" w:rsidRPr="00846F9D">
        <w:rPr>
          <w:bCs/>
          <w:snapToGrid/>
          <w:lang w:val="en-US"/>
        </w:rPr>
        <w:t>.</w:t>
      </w:r>
    </w:p>
    <w:p w14:paraId="65281B6D" w14:textId="123ACC86" w:rsidR="00E076E9" w:rsidRPr="002563EF" w:rsidRDefault="00C600AC" w:rsidP="00C600AC">
      <w:pPr>
        <w:widowControl w:val="0"/>
        <w:spacing w:after="120"/>
        <w:ind w:left="720"/>
        <w:jc w:val="both"/>
        <w:rPr>
          <w:rFonts w:asciiTheme="minorHAnsi" w:hAnsiTheme="minorHAnsi" w:cs="Arial"/>
          <w:bCs/>
          <w:snapToGrid w:val="0"/>
          <w:lang w:val="en-GB"/>
        </w:rPr>
      </w:pPr>
      <w:r w:rsidRPr="00C6512B">
        <w:rPr>
          <w:rFonts w:asciiTheme="minorHAnsi" w:hAnsiTheme="minorHAnsi" w:cs="Arial"/>
          <w:bCs/>
          <w:snapToGrid w:val="0"/>
          <w:lang w:val="en-GB"/>
        </w:rPr>
        <w:t>The resubmission may be lodged at any future standard due date for PBAC submissions using the standard re-entry pathway</w:t>
      </w:r>
      <w:r>
        <w:rPr>
          <w:rFonts w:asciiTheme="minorHAnsi" w:hAnsiTheme="minorHAnsi" w:cs="Arial"/>
          <w:bCs/>
          <w:snapToGrid w:val="0"/>
          <w:lang w:val="en-GB"/>
        </w:rPr>
        <w:t>.</w:t>
      </w:r>
    </w:p>
    <w:p w14:paraId="44B46BFC" w14:textId="59F9A169" w:rsidR="00E076E9" w:rsidRPr="002035BA" w:rsidRDefault="002035BA" w:rsidP="002035BA">
      <w:pPr>
        <w:widowControl w:val="0"/>
        <w:numPr>
          <w:ilvl w:val="1"/>
          <w:numId w:val="1"/>
        </w:numPr>
        <w:spacing w:after="120"/>
        <w:jc w:val="both"/>
        <w:rPr>
          <w:rFonts w:asciiTheme="minorHAnsi" w:hAnsiTheme="minorHAnsi" w:cs="Arial"/>
          <w:bCs/>
          <w:snapToGrid w:val="0"/>
          <w:lang w:val="en-GB"/>
        </w:rPr>
      </w:pPr>
      <w:r w:rsidRPr="00525B39">
        <w:rPr>
          <w:rFonts w:asciiTheme="minorHAnsi" w:hAnsiTheme="minorHAnsi" w:cs="Arial"/>
          <w:bCs/>
          <w:snapToGrid w:val="0"/>
          <w:lang w:val="en-GB"/>
        </w:rPr>
        <w:t>The PBAC noted that this submission is</w:t>
      </w:r>
      <w:r>
        <w:rPr>
          <w:rFonts w:asciiTheme="minorHAnsi" w:hAnsiTheme="minorHAnsi" w:cs="Arial"/>
          <w:bCs/>
          <w:snapToGrid w:val="0"/>
          <w:lang w:val="en-GB"/>
        </w:rPr>
        <w:t xml:space="preserve"> </w:t>
      </w:r>
      <w:r w:rsidRPr="00525B39">
        <w:rPr>
          <w:rFonts w:asciiTheme="minorHAnsi" w:hAnsiTheme="minorHAnsi" w:cs="Arial"/>
          <w:bCs/>
          <w:snapToGrid w:val="0"/>
          <w:lang w:val="en-GB"/>
        </w:rPr>
        <w:t>eligible for an Independent Review.</w:t>
      </w:r>
    </w:p>
    <w:p w14:paraId="589F88BF" w14:textId="77777777" w:rsidR="00E076E9" w:rsidRPr="00525B39" w:rsidRDefault="00E076E9" w:rsidP="00E076E9">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7B4DFE4B" w14:textId="7E836BA9" w:rsidR="00E076E9" w:rsidRDefault="002035BA" w:rsidP="00E076E9">
      <w:pPr>
        <w:jc w:val="both"/>
        <w:rPr>
          <w:rFonts w:asciiTheme="minorHAnsi" w:hAnsiTheme="minorHAnsi" w:cs="Arial"/>
          <w:bCs/>
          <w:snapToGrid w:val="0"/>
          <w:lang w:val="en-GB"/>
        </w:rPr>
      </w:pPr>
      <w:r>
        <w:rPr>
          <w:rFonts w:asciiTheme="minorHAnsi" w:hAnsiTheme="minorHAnsi" w:cs="Arial"/>
          <w:bCs/>
          <w:snapToGrid w:val="0"/>
          <w:lang w:val="en-GB"/>
        </w:rPr>
        <w:t>Not recommended</w:t>
      </w:r>
    </w:p>
    <w:p w14:paraId="12C6391E" w14:textId="77777777" w:rsidR="0041020A" w:rsidRPr="00525B39" w:rsidRDefault="0041020A" w:rsidP="00E076E9">
      <w:pPr>
        <w:jc w:val="both"/>
        <w:rPr>
          <w:rFonts w:asciiTheme="minorHAnsi" w:hAnsiTheme="minorHAnsi" w:cs="Arial"/>
          <w:bCs/>
          <w:snapToGrid w:val="0"/>
          <w:lang w:val="en-GB"/>
        </w:rPr>
      </w:pPr>
    </w:p>
    <w:bookmarkEnd w:id="82"/>
    <w:bookmarkEnd w:id="83"/>
    <w:p w14:paraId="360DFAC7" w14:textId="53CFAF72" w:rsidR="0041020A" w:rsidRPr="0041020A" w:rsidRDefault="0041020A" w:rsidP="0041020A">
      <w:pPr>
        <w:pStyle w:val="2-SectionHeading"/>
        <w:keepLines/>
      </w:pPr>
      <w:r w:rsidRPr="00C07617">
        <w:lastRenderedPageBreak/>
        <w:t>Context for Decision</w:t>
      </w:r>
    </w:p>
    <w:p w14:paraId="515A7763" w14:textId="77777777" w:rsidR="0041020A" w:rsidRPr="007129F2" w:rsidRDefault="0041020A" w:rsidP="0041020A">
      <w:pPr>
        <w:spacing w:after="120"/>
        <w:ind w:left="720"/>
        <w:jc w:val="both"/>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6A2FBAA" w14:textId="7110B4D4" w:rsidR="0041020A" w:rsidRPr="0041020A" w:rsidRDefault="0041020A" w:rsidP="0041020A">
      <w:pPr>
        <w:pStyle w:val="2-SectionHeading"/>
        <w:keepLines/>
      </w:pPr>
      <w:r>
        <w:t>Sponsor’s Comment</w:t>
      </w:r>
    </w:p>
    <w:p w14:paraId="04AE1005" w14:textId="77777777" w:rsidR="0041020A" w:rsidRPr="001179AC" w:rsidRDefault="0041020A" w:rsidP="0041020A">
      <w:pPr>
        <w:spacing w:after="120"/>
        <w:ind w:left="426" w:firstLine="294"/>
        <w:jc w:val="both"/>
        <w:rPr>
          <w:rFonts w:asciiTheme="minorHAnsi" w:hAnsiTheme="minorHAnsi" w:cs="Arial"/>
          <w:bCs/>
        </w:rPr>
      </w:pPr>
      <w:r w:rsidRPr="00C07617">
        <w:rPr>
          <w:rFonts w:asciiTheme="minorHAnsi" w:hAnsiTheme="minorHAnsi" w:cs="Arial"/>
          <w:bCs/>
        </w:rPr>
        <w:t>The sponsor had no comment.</w:t>
      </w:r>
    </w:p>
    <w:p w14:paraId="79B68A32" w14:textId="71F96B00" w:rsidR="00DC0690" w:rsidRPr="00ED35A9" w:rsidRDefault="00DC0690" w:rsidP="00ED35A9">
      <w:pPr>
        <w:rPr>
          <w:rFonts w:asciiTheme="minorHAnsi" w:hAnsiTheme="minorHAnsi"/>
          <w:b/>
          <w:snapToGrid w:val="0"/>
          <w:sz w:val="32"/>
          <w:szCs w:val="32"/>
        </w:rPr>
      </w:pPr>
    </w:p>
    <w:sectPr w:rsidR="00DC0690" w:rsidRPr="00ED35A9" w:rsidSect="008153A4">
      <w:headerReference w:type="even" r:id="rId20"/>
      <w:headerReference w:type="default" r:id="rId21"/>
      <w:footerReference w:type="even" r:id="rId22"/>
      <w:footerReference w:type="default" r:id="rId23"/>
      <w:headerReference w:type="first" r:id="rId24"/>
      <w:footerReference w:type="first" r:id="rId25"/>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0497" w14:textId="77777777" w:rsidR="00CE2A39" w:rsidRDefault="00CE2A39" w:rsidP="00124A51">
      <w:r>
        <w:separator/>
      </w:r>
    </w:p>
    <w:p w14:paraId="6DC5028C" w14:textId="77777777" w:rsidR="00CE2A39" w:rsidRDefault="00CE2A39"/>
  </w:endnote>
  <w:endnote w:type="continuationSeparator" w:id="0">
    <w:p w14:paraId="215EFDBC" w14:textId="77777777" w:rsidR="00CE2A39" w:rsidRDefault="00CE2A39" w:rsidP="00124A51">
      <w:r>
        <w:continuationSeparator/>
      </w:r>
    </w:p>
    <w:p w14:paraId="5438DAAE" w14:textId="77777777" w:rsidR="00CE2A39" w:rsidRDefault="00CE2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Pro Cond">
    <w:charset w:val="00"/>
    <w:family w:val="roman"/>
    <w:pitch w:val="variable"/>
    <w:sig w:usb0="800002AF" w:usb1="00000003"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29B6" w14:textId="77777777" w:rsidR="001D6D9F" w:rsidRDefault="001D6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D850" w14:textId="77777777" w:rsidR="00B048A8" w:rsidRDefault="00B048A8" w:rsidP="00753B29">
    <w:pPr>
      <w:pStyle w:val="Footer"/>
      <w:jc w:val="center"/>
    </w:pPr>
  </w:p>
  <w:p w14:paraId="06622612" w14:textId="601EBB38" w:rsidR="00B048A8" w:rsidRPr="00E57C84" w:rsidRDefault="001635D4" w:rsidP="00753B29">
    <w:pPr>
      <w:pStyle w:val="Footer"/>
      <w:jc w:val="center"/>
      <w:rPr>
        <w:b/>
        <w:bCs/>
      </w:rPr>
    </w:pPr>
    <w:sdt>
      <w:sdtPr>
        <w:id w:val="1036156457"/>
        <w:docPartObj>
          <w:docPartGallery w:val="Page Numbers (Bottom of Page)"/>
          <w:docPartUnique/>
        </w:docPartObj>
      </w:sdtPr>
      <w:sdtEndPr>
        <w:rPr>
          <w:b/>
          <w:bCs/>
          <w:noProof/>
        </w:rPr>
      </w:sdtEndPr>
      <w:sdtContent>
        <w:r w:rsidR="00B048A8" w:rsidRPr="00E57C84">
          <w:rPr>
            <w:b/>
            <w:bCs/>
          </w:rPr>
          <w:fldChar w:fldCharType="begin"/>
        </w:r>
        <w:r w:rsidR="00B048A8" w:rsidRPr="00E57C84">
          <w:rPr>
            <w:b/>
            <w:bCs/>
          </w:rPr>
          <w:instrText xml:space="preserve"> PAGE   \* MERGEFORMAT </w:instrText>
        </w:r>
        <w:r w:rsidR="00B048A8" w:rsidRPr="00E57C84">
          <w:rPr>
            <w:b/>
            <w:bCs/>
          </w:rPr>
          <w:fldChar w:fldCharType="separate"/>
        </w:r>
        <w:r w:rsidR="00B048A8" w:rsidRPr="00E57C84">
          <w:rPr>
            <w:b/>
            <w:bCs/>
            <w:noProof/>
          </w:rPr>
          <w:t>156</w:t>
        </w:r>
        <w:r w:rsidR="00B048A8" w:rsidRPr="00E57C84">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06C8" w14:textId="77777777" w:rsidR="001D6D9F" w:rsidRDefault="001D6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B3A0F" w14:textId="77777777" w:rsidR="00CE2A39" w:rsidRDefault="00CE2A39">
      <w:r>
        <w:separator/>
      </w:r>
    </w:p>
  </w:footnote>
  <w:footnote w:type="continuationSeparator" w:id="0">
    <w:p w14:paraId="65D1D738" w14:textId="77777777" w:rsidR="00CE2A39" w:rsidRDefault="00CE2A39" w:rsidP="00124A51">
      <w:r>
        <w:continuationSeparator/>
      </w:r>
    </w:p>
    <w:p w14:paraId="3E3A5F7A" w14:textId="77777777" w:rsidR="00CE2A39" w:rsidRDefault="00CE2A39"/>
  </w:footnote>
  <w:footnote w:id="1">
    <w:p w14:paraId="1AAB7F9B" w14:textId="77777777" w:rsidR="00B048A8" w:rsidRDefault="00B048A8">
      <w:pPr>
        <w:pStyle w:val="FootnoteText"/>
      </w:pPr>
      <w:r>
        <w:rPr>
          <w:rStyle w:val="FootnoteReference"/>
        </w:rPr>
        <w:footnoteRef/>
      </w:r>
      <w:r>
        <w:t xml:space="preserve"> </w:t>
      </w:r>
      <w:r w:rsidRPr="00EF0BCE">
        <w:t>www.hgvs.org</w:t>
      </w:r>
    </w:p>
  </w:footnote>
  <w:footnote w:id="2">
    <w:p w14:paraId="25154D71" w14:textId="79E233EF" w:rsidR="00B048A8" w:rsidRPr="001D43DC" w:rsidRDefault="00B048A8">
      <w:pPr>
        <w:pStyle w:val="FootnoteText"/>
      </w:pPr>
      <w:r>
        <w:rPr>
          <w:rStyle w:val="FootnoteReference"/>
        </w:rPr>
        <w:footnoteRef/>
      </w:r>
      <w:r>
        <w:t xml:space="preserve"> </w:t>
      </w:r>
      <w:r w:rsidRPr="001D43DC">
        <w:t>Patient must not have received previous PBS-subsidised treatment with another epidermal growth factor receptor (EGFR) tyrosine kinase inhibitor (TKI); OR Patient must have developed intolerance to another epidermal growth factor receptor (EGFR) tyrosine kinase inhibitor (TKI) of a severity necessitating permanent treatment withdrawal.</w:t>
      </w:r>
    </w:p>
  </w:footnote>
  <w:footnote w:id="3">
    <w:p w14:paraId="404B2A2F" w14:textId="77777777" w:rsidR="00B048A8" w:rsidRDefault="00B048A8" w:rsidP="00811EA1">
      <w:pPr>
        <w:pStyle w:val="FootnoteText"/>
      </w:pPr>
      <w:r>
        <w:rPr>
          <w:rStyle w:val="FootnoteReference"/>
        </w:rPr>
        <w:footnoteRef/>
      </w:r>
      <w:r>
        <w:t xml:space="preserve"> </w:t>
      </w:r>
      <w:r w:rsidRPr="00B12BC6">
        <w:rPr>
          <w:lang w:val="de-DE"/>
        </w:rPr>
        <w:t>A test of tumour tissue from a patient diagnosed with NSCLC, shown to have non-squamous histology or histology not otherwise specified, requested by, or on behalf of, a specialist or consultant physician, to determine:</w:t>
      </w:r>
      <w:r>
        <w:rPr>
          <w:lang w:val="de-DE"/>
        </w:rPr>
        <w:t xml:space="preserve"> a) i</w:t>
      </w:r>
      <w:r w:rsidRPr="00B12BC6">
        <w:rPr>
          <w:lang w:val="de-DE"/>
        </w:rPr>
        <w:t xml:space="preserve">f the requirements relating to </w:t>
      </w:r>
      <w:r w:rsidRPr="00B12BC6">
        <w:rPr>
          <w:i/>
          <w:lang w:val="de-DE"/>
        </w:rPr>
        <w:t>EGFR</w:t>
      </w:r>
      <w:r w:rsidRPr="00B12BC6">
        <w:rPr>
          <w:lang w:val="de-DE"/>
        </w:rPr>
        <w:t xml:space="preserve"> gene status for access to an </w:t>
      </w:r>
      <w:r w:rsidRPr="00B12BC6">
        <w:rPr>
          <w:i/>
          <w:lang w:val="de-DE"/>
        </w:rPr>
        <w:t xml:space="preserve">EGFR </w:t>
      </w:r>
      <w:r w:rsidRPr="00B12BC6">
        <w:rPr>
          <w:lang w:val="de-DE"/>
        </w:rPr>
        <w:t>tyrosine kinase inhibitor under the PBS are fulfilled;</w:t>
      </w:r>
      <w:r>
        <w:rPr>
          <w:lang w:val="de-DE"/>
        </w:rPr>
        <w:t xml:space="preserve"> </w:t>
      </w:r>
      <w:r w:rsidRPr="00B12BC6">
        <w:rPr>
          <w:lang w:val="de-DE"/>
        </w:rPr>
        <w:t>or</w:t>
      </w:r>
      <w:r>
        <w:rPr>
          <w:lang w:val="de-DE"/>
        </w:rPr>
        <w:t xml:space="preserve"> b) </w:t>
      </w:r>
      <w:r w:rsidRPr="00B12BC6">
        <w:t xml:space="preserve">If the requirements relating to </w:t>
      </w:r>
      <w:r w:rsidRPr="00B12BC6">
        <w:rPr>
          <w:i/>
        </w:rPr>
        <w:t>EGFR</w:t>
      </w:r>
      <w:r w:rsidRPr="00B12BC6">
        <w:t xml:space="preserve"> status for access to pembrolizumab under the PBS are fulfilled</w:t>
      </w:r>
      <w:r>
        <w:t>.</w:t>
      </w:r>
    </w:p>
  </w:footnote>
  <w:footnote w:id="4">
    <w:p w14:paraId="5819E12C" w14:textId="77777777" w:rsidR="00693B5E" w:rsidRDefault="00693B5E" w:rsidP="00693B5E">
      <w:pPr>
        <w:pStyle w:val="FootnoteText"/>
      </w:pPr>
      <w:r>
        <w:rPr>
          <w:rStyle w:val="FootnoteReference"/>
        </w:rPr>
        <w:footnoteRef/>
      </w:r>
      <w:r>
        <w:t xml:space="preserve"> “</w:t>
      </w:r>
      <w:r w:rsidRPr="005F2C9E">
        <w:t>Small gene panel testing for non-small cell lung carcinoma</w:t>
      </w:r>
      <w:r>
        <w:t>.”</w:t>
      </w:r>
    </w:p>
  </w:footnote>
  <w:footnote w:id="5">
    <w:p w14:paraId="365E58A0" w14:textId="77777777" w:rsidR="00B048A8" w:rsidRDefault="00B048A8">
      <w:pPr>
        <w:pStyle w:val="FootnoteText"/>
      </w:pPr>
      <w:r>
        <w:rPr>
          <w:rStyle w:val="FootnoteReference"/>
        </w:rPr>
        <w:footnoteRef/>
      </w:r>
      <w:r>
        <w:t xml:space="preserve"> </w:t>
      </w:r>
      <w:r w:rsidRPr="003142D8">
        <w:t xml:space="preserve">Wang F, </w:t>
      </w:r>
      <w:r>
        <w:t>et al (2020)</w:t>
      </w:r>
      <w:r w:rsidRPr="003142D8">
        <w:t xml:space="preserve">. EGFR exon 20 insertion mutations in non-small cell lung cancer. </w:t>
      </w:r>
      <w:r w:rsidRPr="003142D8">
        <w:rPr>
          <w:i/>
          <w:iCs/>
        </w:rPr>
        <w:t>Translational Cancer Research</w:t>
      </w:r>
      <w:r w:rsidRPr="003142D8">
        <w:t>. 9(4):</w:t>
      </w:r>
      <w:r>
        <w:t>p</w:t>
      </w:r>
      <w:r w:rsidRPr="003142D8">
        <w:t>2982</w:t>
      </w:r>
    </w:p>
  </w:footnote>
  <w:footnote w:id="6">
    <w:p w14:paraId="5C7ACC43" w14:textId="77777777" w:rsidR="00B048A8" w:rsidRDefault="00B048A8">
      <w:pPr>
        <w:pStyle w:val="FootnoteText"/>
      </w:pPr>
      <w:r>
        <w:rPr>
          <w:rStyle w:val="FootnoteReference"/>
        </w:rPr>
        <w:footnoteRef/>
      </w:r>
      <w:r>
        <w:t xml:space="preserve"> </w:t>
      </w:r>
      <w:r w:rsidRPr="003142D8">
        <w:t>Bauml J</w:t>
      </w:r>
      <w:r>
        <w:t xml:space="preserve"> </w:t>
      </w:r>
      <w:r w:rsidRPr="003142D8">
        <w:t>et al</w:t>
      </w:r>
      <w:r>
        <w:t xml:space="preserve"> (2021)</w:t>
      </w:r>
      <w:r w:rsidRPr="003142D8">
        <w:t xml:space="preserve">. FP07. 12 underdiagnosis of EGFR exon 20 insertion mutation variants: Estimates from NGS-based real-world datasets. </w:t>
      </w:r>
      <w:r w:rsidRPr="003142D8">
        <w:rPr>
          <w:i/>
          <w:iCs/>
        </w:rPr>
        <w:t>Journal of Thoracic Oncology</w:t>
      </w:r>
      <w:r w:rsidRPr="003142D8">
        <w:t>. 16(3):S208-S9.</w:t>
      </w:r>
    </w:p>
  </w:footnote>
  <w:footnote w:id="7">
    <w:p w14:paraId="6DFB13E2" w14:textId="77777777" w:rsidR="00B048A8" w:rsidRDefault="00B048A8">
      <w:pPr>
        <w:pStyle w:val="FootnoteText"/>
      </w:pPr>
      <w:r>
        <w:rPr>
          <w:rStyle w:val="FootnoteReference"/>
        </w:rPr>
        <w:footnoteRef/>
      </w:r>
      <w:r>
        <w:t xml:space="preserve"> </w:t>
      </w:r>
      <w:r w:rsidRPr="003142D8">
        <w:t>Hou J</w:t>
      </w:r>
      <w:r>
        <w:t xml:space="preserve"> </w:t>
      </w:r>
      <w:r w:rsidRPr="003142D8">
        <w:t>et al</w:t>
      </w:r>
      <w:r>
        <w:t xml:space="preserve"> (2022)</w:t>
      </w:r>
      <w:r w:rsidRPr="003142D8">
        <w:t xml:space="preserve">. EGFR exon 20 insertion mutations in advanced non-small-cell lung cancer: current status and perspectives. </w:t>
      </w:r>
      <w:r w:rsidRPr="003142D8">
        <w:rPr>
          <w:i/>
          <w:iCs/>
        </w:rPr>
        <w:t>Biomarker Research</w:t>
      </w:r>
      <w:r w:rsidRPr="003142D8">
        <w:t>. 10(1):</w:t>
      </w:r>
      <w:r>
        <w:t>pp</w:t>
      </w:r>
      <w:r w:rsidRPr="003142D8">
        <w:t>1-12.</w:t>
      </w:r>
    </w:p>
  </w:footnote>
  <w:footnote w:id="8">
    <w:p w14:paraId="5436B45F" w14:textId="77777777" w:rsidR="00B048A8" w:rsidRDefault="00B048A8">
      <w:pPr>
        <w:pStyle w:val="FootnoteText"/>
      </w:pPr>
      <w:r>
        <w:rPr>
          <w:rStyle w:val="FootnoteReference"/>
        </w:rPr>
        <w:footnoteRef/>
      </w:r>
      <w:r>
        <w:t xml:space="preserve"> </w:t>
      </w:r>
      <w:r w:rsidRPr="002C6CB6">
        <w:t>Australian Institute of Health and Welfare. Cancer in Australia 2021. Cancer series no. 133. Cat. no CAN 144. Canberra: AIHW</w:t>
      </w:r>
      <w:r>
        <w:t>.</w:t>
      </w:r>
    </w:p>
  </w:footnote>
  <w:footnote w:id="9">
    <w:p w14:paraId="51B2704F" w14:textId="77777777" w:rsidR="00B048A8" w:rsidRDefault="00B048A8">
      <w:pPr>
        <w:pStyle w:val="FootnoteText"/>
      </w:pPr>
      <w:r>
        <w:rPr>
          <w:rStyle w:val="FootnoteReference"/>
        </w:rPr>
        <w:footnoteRef/>
      </w:r>
      <w:r>
        <w:t xml:space="preserve"> </w:t>
      </w:r>
      <w:r w:rsidRPr="002356F2">
        <w:t>Wang F</w:t>
      </w:r>
      <w:r>
        <w:t xml:space="preserve"> et al (2020).</w:t>
      </w:r>
      <w:r w:rsidRPr="002356F2">
        <w:t xml:space="preserve"> EGFR exon 20 insertion mutations in non-small cell lung cancer. </w:t>
      </w:r>
      <w:r w:rsidRPr="002356F2">
        <w:rPr>
          <w:i/>
          <w:iCs/>
        </w:rPr>
        <w:t>Translational Cancer Research</w:t>
      </w:r>
      <w:r w:rsidRPr="002356F2">
        <w:t>. 9(4):</w:t>
      </w:r>
      <w:r>
        <w:t>p</w:t>
      </w:r>
      <w:r w:rsidRPr="002356F2">
        <w:t>2982.</w:t>
      </w:r>
    </w:p>
  </w:footnote>
  <w:footnote w:id="10">
    <w:p w14:paraId="458B71B2" w14:textId="77777777" w:rsidR="00B048A8" w:rsidRDefault="00B048A8">
      <w:pPr>
        <w:pStyle w:val="FootnoteText"/>
      </w:pPr>
      <w:r>
        <w:rPr>
          <w:rStyle w:val="FootnoteReference"/>
        </w:rPr>
        <w:footnoteRef/>
      </w:r>
      <w:r>
        <w:t xml:space="preserve"> </w:t>
      </w:r>
      <w:r w:rsidRPr="00753573">
        <w:t>National Comprehensive Cancer Network (USA). NCCN clinical practice guidelines in oncology. Non-small cell lung cancer. Version 6.2021</w:t>
      </w:r>
    </w:p>
  </w:footnote>
  <w:footnote w:id="11">
    <w:p w14:paraId="1195A231" w14:textId="77777777" w:rsidR="00B048A8" w:rsidRDefault="00B048A8">
      <w:pPr>
        <w:pStyle w:val="FootnoteText"/>
      </w:pPr>
      <w:r>
        <w:rPr>
          <w:rStyle w:val="FootnoteReference"/>
        </w:rPr>
        <w:footnoteRef/>
      </w:r>
      <w:r>
        <w:t xml:space="preserve"> Use of o</w:t>
      </w:r>
      <w:r w:rsidRPr="00DD6184">
        <w:t xml:space="preserve">simertinib in the refractory setting requires that the patient must have evidence of an </w:t>
      </w:r>
      <w:r w:rsidRPr="00DD6184">
        <w:rPr>
          <w:i/>
        </w:rPr>
        <w:t>EGFR</w:t>
      </w:r>
      <w:r w:rsidRPr="00DD6184">
        <w:t xml:space="preserve"> T790M mutation (a point mutation in exon 20 but not an insertion mutation). The additional current PBS listing for osimertinib, that is not restricted to the T790M advanced NSCLC patient population, is only for use as a first-line EGFR TKI therapy.</w:t>
      </w:r>
    </w:p>
  </w:footnote>
  <w:footnote w:id="12">
    <w:p w14:paraId="33880028" w14:textId="77777777" w:rsidR="00A439FE" w:rsidRDefault="00A439FE" w:rsidP="00A439FE">
      <w:pPr>
        <w:pStyle w:val="FootnoteText"/>
      </w:pPr>
      <w:r>
        <w:rPr>
          <w:rStyle w:val="FootnoteReference"/>
        </w:rPr>
        <w:footnoteRef/>
      </w:r>
      <w:r>
        <w:t xml:space="preserve"> </w:t>
      </w:r>
      <w:r w:rsidRPr="00434703">
        <w:t>Leal JL</w:t>
      </w:r>
      <w:r>
        <w:t xml:space="preserve"> et al (2021)</w:t>
      </w:r>
      <w:r w:rsidRPr="00434703">
        <w:t xml:space="preserve">. EGFR Exon 20 Insertion Mutations: Clinicopathological Characteristics and Treatment Outcomes in Advanced Non–Small Cell Lung Cancer. </w:t>
      </w:r>
      <w:r w:rsidRPr="00434703">
        <w:rPr>
          <w:i/>
          <w:iCs/>
        </w:rPr>
        <w:t>Clinical Lung Cancer</w:t>
      </w:r>
      <w:r>
        <w:t xml:space="preserve">. </w:t>
      </w:r>
      <w:r w:rsidRPr="00434703">
        <w:t>22(6):e859-e69.</w:t>
      </w:r>
    </w:p>
  </w:footnote>
  <w:footnote w:id="13">
    <w:p w14:paraId="037AC917" w14:textId="77777777" w:rsidR="00A439FE" w:rsidRDefault="00A439FE" w:rsidP="00A439FE">
      <w:pPr>
        <w:pStyle w:val="FootnoteText"/>
      </w:pPr>
      <w:r>
        <w:rPr>
          <w:rStyle w:val="FootnoteReference"/>
        </w:rPr>
        <w:footnoteRef/>
      </w:r>
      <w:r>
        <w:t xml:space="preserve"> </w:t>
      </w:r>
      <w:r w:rsidRPr="00434703">
        <w:t>Vyse S</w:t>
      </w:r>
      <w:r>
        <w:t xml:space="preserve"> et al (2019).</w:t>
      </w:r>
      <w:r w:rsidRPr="00434703">
        <w:t xml:space="preserve"> Targeting EGFR exon 20 insertion mutations in non-small cell lung cancer. </w:t>
      </w:r>
      <w:r w:rsidRPr="00434703">
        <w:rPr>
          <w:i/>
          <w:iCs/>
        </w:rPr>
        <w:t>Signal transduction and targeted therapy</w:t>
      </w:r>
      <w:r w:rsidRPr="00434703">
        <w:t>. 2019;4(1):</w:t>
      </w:r>
      <w:r>
        <w:t>pp</w:t>
      </w:r>
      <w:r w:rsidRPr="00434703">
        <w:t>1-10</w:t>
      </w:r>
      <w:r>
        <w:t>.</w:t>
      </w:r>
    </w:p>
  </w:footnote>
  <w:footnote w:id="14">
    <w:p w14:paraId="18812092" w14:textId="77777777" w:rsidR="00A439FE" w:rsidRDefault="00A439FE" w:rsidP="00A439FE">
      <w:pPr>
        <w:pStyle w:val="FootnoteText"/>
      </w:pPr>
      <w:r>
        <w:rPr>
          <w:rStyle w:val="FootnoteReference"/>
        </w:rPr>
        <w:footnoteRef/>
      </w:r>
      <w:r>
        <w:t xml:space="preserve"> </w:t>
      </w:r>
      <w:r w:rsidRPr="001C405E">
        <w:t>Yasuda H</w:t>
      </w:r>
      <w:r>
        <w:t xml:space="preserve"> et al (2012).</w:t>
      </w:r>
      <w:r w:rsidRPr="001C405E">
        <w:t xml:space="preserve"> EGFR exon 20 insertion mutations in non-small-cell lung cancer: preclinical data and clinical implications. </w:t>
      </w:r>
      <w:r w:rsidRPr="001C405E">
        <w:rPr>
          <w:i/>
          <w:iCs/>
        </w:rPr>
        <w:t>The lancet oncology</w:t>
      </w:r>
      <w:r w:rsidRPr="001C405E">
        <w:t>. 13(1):e23-e31</w:t>
      </w:r>
      <w:r>
        <w:t>.</w:t>
      </w:r>
    </w:p>
  </w:footnote>
  <w:footnote w:id="15">
    <w:p w14:paraId="2F5EFF3B" w14:textId="77777777" w:rsidR="00F229BA" w:rsidRDefault="00F229BA" w:rsidP="00F229BA">
      <w:pPr>
        <w:pStyle w:val="FootnoteText"/>
      </w:pPr>
      <w:r>
        <w:rPr>
          <w:rStyle w:val="FootnoteReference"/>
        </w:rPr>
        <w:footnoteRef/>
      </w:r>
      <w:r>
        <w:t xml:space="preserve"> </w:t>
      </w:r>
      <w:r w:rsidRPr="001C405E">
        <w:t>Borghaei H et al</w:t>
      </w:r>
      <w:r>
        <w:t xml:space="preserve"> (2015)</w:t>
      </w:r>
      <w:r w:rsidRPr="001C405E">
        <w:t xml:space="preserve">. Nivolumab versus docetaxel in advanced nonsquamous non–small-cell lung cancer. </w:t>
      </w:r>
      <w:r w:rsidRPr="001C405E">
        <w:rPr>
          <w:i/>
          <w:iCs/>
        </w:rPr>
        <w:t>New England Journal of Medicine</w:t>
      </w:r>
      <w:r w:rsidRPr="001C405E">
        <w:t>. 373(17):</w:t>
      </w:r>
      <w:r>
        <w:t>pp</w:t>
      </w:r>
      <w:r w:rsidRPr="001C405E">
        <w:t>1627-39</w:t>
      </w:r>
    </w:p>
  </w:footnote>
  <w:footnote w:id="16">
    <w:p w14:paraId="6A724669" w14:textId="77777777" w:rsidR="00F229BA" w:rsidRDefault="00F229BA" w:rsidP="00F229BA">
      <w:pPr>
        <w:pStyle w:val="FootnoteText"/>
      </w:pPr>
      <w:r>
        <w:rPr>
          <w:rStyle w:val="FootnoteReference"/>
        </w:rPr>
        <w:footnoteRef/>
      </w:r>
      <w:r>
        <w:t xml:space="preserve"> </w:t>
      </w:r>
      <w:r w:rsidRPr="001C405E">
        <w:t>Herbst RS</w:t>
      </w:r>
      <w:r>
        <w:t xml:space="preserve"> </w:t>
      </w:r>
      <w:r w:rsidRPr="001C405E">
        <w:t>et al</w:t>
      </w:r>
      <w:r>
        <w:t xml:space="preserve"> (2016)</w:t>
      </w:r>
      <w:r w:rsidRPr="001C405E">
        <w:t xml:space="preserve">. Pembrolizumab versus docetaxel for previously treated, PD-L1-positive, advanced non-small-cell lung cancer (KEYNOTE-010): a randomised controlled trial. </w:t>
      </w:r>
      <w:r w:rsidRPr="001C405E">
        <w:rPr>
          <w:i/>
          <w:iCs/>
        </w:rPr>
        <w:t>The Lancet</w:t>
      </w:r>
      <w:r w:rsidRPr="001C405E">
        <w:t>. 387(10027):</w:t>
      </w:r>
      <w:r>
        <w:t>pp</w:t>
      </w:r>
      <w:r w:rsidRPr="001C405E">
        <w:t>1540-50.</w:t>
      </w:r>
    </w:p>
  </w:footnote>
  <w:footnote w:id="17">
    <w:p w14:paraId="3D040B07" w14:textId="77777777" w:rsidR="00F229BA" w:rsidRDefault="00F229BA" w:rsidP="00F229BA">
      <w:pPr>
        <w:pStyle w:val="FootnoteText"/>
      </w:pPr>
      <w:r>
        <w:rPr>
          <w:rStyle w:val="FootnoteReference"/>
        </w:rPr>
        <w:footnoteRef/>
      </w:r>
      <w:r>
        <w:t xml:space="preserve"> </w:t>
      </w:r>
      <w:r w:rsidRPr="001C405E">
        <w:t>Rittmeyer A</w:t>
      </w:r>
      <w:r>
        <w:t xml:space="preserve"> </w:t>
      </w:r>
      <w:r w:rsidRPr="001C405E">
        <w:t>et al</w:t>
      </w:r>
      <w:r>
        <w:t xml:space="preserve"> (2017)</w:t>
      </w:r>
      <w:r w:rsidRPr="001C405E">
        <w:t xml:space="preserve">. Atezolizumab versus docetaxel in patients with previously treated non-small-cell lung cancer (OAK): a phase 3, open-label, multicentre randomised controlled trial. </w:t>
      </w:r>
      <w:r w:rsidRPr="001C405E">
        <w:rPr>
          <w:i/>
          <w:iCs/>
        </w:rPr>
        <w:t>The Lancet</w:t>
      </w:r>
      <w:r w:rsidRPr="001C405E">
        <w:t>. 389(10066):</w:t>
      </w:r>
      <w:r>
        <w:t>pp</w:t>
      </w:r>
      <w:r w:rsidRPr="001C405E">
        <w:t>255-65</w:t>
      </w:r>
    </w:p>
  </w:footnote>
  <w:footnote w:id="18">
    <w:p w14:paraId="5F27E00F" w14:textId="77777777" w:rsidR="00F229BA" w:rsidRDefault="00F229BA" w:rsidP="00F229BA">
      <w:pPr>
        <w:pStyle w:val="FootnoteText"/>
      </w:pPr>
      <w:r>
        <w:rPr>
          <w:rStyle w:val="FootnoteReference"/>
        </w:rPr>
        <w:footnoteRef/>
      </w:r>
      <w:r>
        <w:t xml:space="preserve"> </w:t>
      </w:r>
      <w:r w:rsidRPr="001C405E">
        <w:t>Borghaei H</w:t>
      </w:r>
      <w:r>
        <w:t xml:space="preserve"> </w:t>
      </w:r>
      <w:r w:rsidRPr="001C405E">
        <w:t>et al</w:t>
      </w:r>
      <w:r>
        <w:t xml:space="preserve"> (2015)</w:t>
      </w:r>
      <w:r w:rsidRPr="001C405E">
        <w:t xml:space="preserve">. Nivolumab versus docetaxel in advanced nonsquamous non–small-cell lung cancer. </w:t>
      </w:r>
      <w:r w:rsidRPr="001C405E">
        <w:rPr>
          <w:i/>
          <w:iCs/>
        </w:rPr>
        <w:t>New England Journal of Medicine</w:t>
      </w:r>
      <w:r w:rsidRPr="001C405E">
        <w:t>. 373(17):</w:t>
      </w:r>
      <w:r>
        <w:t>pp</w:t>
      </w:r>
      <w:r w:rsidRPr="001C405E">
        <w:t>1627-39</w:t>
      </w:r>
    </w:p>
  </w:footnote>
  <w:footnote w:id="19">
    <w:p w14:paraId="1D8E28CF" w14:textId="2BBBF578" w:rsidR="001E6FD7" w:rsidRDefault="001E6FD7">
      <w:pPr>
        <w:pStyle w:val="FootnoteText"/>
      </w:pPr>
      <w:r>
        <w:rPr>
          <w:rStyle w:val="FootnoteReference"/>
        </w:rPr>
        <w:footnoteRef/>
      </w:r>
      <w:r>
        <w:t xml:space="preserve"> </w:t>
      </w:r>
      <w:r w:rsidRPr="001E6FD7">
        <w:t>Cherny NI, Dafni U, Bogaerts J, et al: ESMO-Magnitude of Clinical Benefit Scale version 1.1. Annals of Oncology 28:2340-2366, 2017</w:t>
      </w:r>
      <w:r>
        <w:t>.</w:t>
      </w:r>
    </w:p>
  </w:footnote>
  <w:footnote w:id="20">
    <w:p w14:paraId="40EFB29A" w14:textId="1A3BABD9" w:rsidR="00076DD5" w:rsidRDefault="00076DD5">
      <w:pPr>
        <w:pStyle w:val="FootnoteText"/>
      </w:pPr>
      <w:r>
        <w:rPr>
          <w:rStyle w:val="FootnoteReference"/>
        </w:rPr>
        <w:footnoteRef/>
      </w:r>
      <w:r>
        <w:t xml:space="preserve"> </w:t>
      </w:r>
      <w:r w:rsidRPr="00076DD5">
        <w:rPr>
          <w:i/>
          <w:iCs/>
        </w:rPr>
        <w:t>EGFR</w:t>
      </w:r>
      <w:r>
        <w:t xml:space="preserve"> ex20ins </w:t>
      </w:r>
      <w:r w:rsidRPr="00076DD5">
        <w:rPr>
          <w:u w:val="single"/>
        </w:rPr>
        <w:t>P</w:t>
      </w:r>
      <w:r>
        <w:t xml:space="preserve">ositive patients who were </w:t>
      </w:r>
      <w:r w:rsidRPr="00076DD5">
        <w:rPr>
          <w:u w:val="single"/>
        </w:rPr>
        <w:t>P</w:t>
      </w:r>
      <w:r>
        <w:t xml:space="preserve">reviously treated with </w:t>
      </w:r>
      <w:r w:rsidRPr="00076DD5">
        <w:rPr>
          <w:u w:val="single"/>
        </w:rPr>
        <w:t>P</w:t>
      </w:r>
      <w:r>
        <w:t>latinum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8FDC" w14:textId="77777777" w:rsidR="001D6D9F" w:rsidRDefault="001D6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BE07" w14:textId="5612D28F" w:rsidR="00B048A8" w:rsidRPr="003D0A74" w:rsidRDefault="0041020A" w:rsidP="003D0A74">
    <w:pPr>
      <w:tabs>
        <w:tab w:val="center" w:pos="4513"/>
        <w:tab w:val="right" w:pos="9026"/>
      </w:tabs>
      <w:spacing w:after="120"/>
      <w:contextualSpacing/>
      <w:jc w:val="center"/>
      <w:rPr>
        <w:rFonts w:asciiTheme="minorHAnsi" w:hAnsiTheme="minorHAnsi" w:cs="Arial"/>
        <w:i/>
        <w:color w:val="808080"/>
      </w:rPr>
    </w:pPr>
    <w:r>
      <w:rPr>
        <w:rFonts w:asciiTheme="minorHAnsi" w:hAnsiTheme="minorHAnsi" w:cs="Arial"/>
        <w:i/>
        <w:color w:val="808080"/>
      </w:rPr>
      <w:t>Public Summary Document</w:t>
    </w:r>
    <w:r w:rsidR="00E57C84" w:rsidRPr="00056684">
      <w:rPr>
        <w:rFonts w:asciiTheme="minorHAnsi" w:hAnsiTheme="minorHAnsi" w:cs="Arial"/>
        <w:i/>
        <w:color w:val="808080"/>
      </w:rPr>
      <w:t xml:space="preserve"> – </w:t>
    </w:r>
    <w:r w:rsidR="00B048A8" w:rsidRPr="0072502A">
      <w:rPr>
        <w:rFonts w:asciiTheme="minorHAnsi" w:hAnsiTheme="minorHAnsi"/>
        <w:i/>
        <w:color w:val="808080"/>
      </w:rPr>
      <w:t>November 2022 PBAC Meeting</w:t>
    </w:r>
  </w:p>
  <w:p w14:paraId="406065D0" w14:textId="77777777" w:rsidR="00B048A8" w:rsidRPr="008C7ECB" w:rsidRDefault="00B048A8" w:rsidP="008E34B4">
    <w:pPr>
      <w:tabs>
        <w:tab w:val="center" w:pos="4513"/>
        <w:tab w:val="right" w:pos="9026"/>
      </w:tabs>
      <w:contextualSpacing/>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7B0" w14:textId="77777777" w:rsidR="001D6D9F" w:rsidRDefault="001D6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9C3FD"/>
    <w:multiLevelType w:val="hybridMultilevel"/>
    <w:tmpl w:val="00C62E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6E88C6"/>
    <w:multiLevelType w:val="hybridMultilevel"/>
    <w:tmpl w:val="18159C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8"/>
    <w:multiLevelType w:val="singleLevel"/>
    <w:tmpl w:val="EF9A6F56"/>
    <w:lvl w:ilvl="0">
      <w:start w:val="1"/>
      <w:numFmt w:val="decimal"/>
      <w:pStyle w:val="ListNumber"/>
      <w:lvlText w:val="%1."/>
      <w:lvlJc w:val="left"/>
      <w:pPr>
        <w:ind w:left="720" w:hanging="360"/>
      </w:pPr>
      <w:rPr>
        <w:rFonts w:ascii="Calibri Light" w:hAnsi="Calibri Light" w:hint="default"/>
        <w:b w:val="0"/>
        <w:i w:val="0"/>
        <w:color w:val="00B0F0"/>
        <w:sz w:val="22"/>
        <w:szCs w:val="22"/>
        <w:u w:val="none"/>
      </w:rPr>
    </w:lvl>
  </w:abstractNum>
  <w:abstractNum w:abstractNumId="3" w15:restartNumberingAfterBreak="0">
    <w:nsid w:val="FFFFFF89"/>
    <w:multiLevelType w:val="singleLevel"/>
    <w:tmpl w:val="FCC0022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724E50"/>
    <w:multiLevelType w:val="hybridMultilevel"/>
    <w:tmpl w:val="C854DD42"/>
    <w:lvl w:ilvl="0" w:tplc="FFDC4F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9B87BD5"/>
    <w:multiLevelType w:val="hybridMultilevel"/>
    <w:tmpl w:val="BB40FDB6"/>
    <w:lvl w:ilvl="0" w:tplc="F70C2948">
      <w:start w:val="1"/>
      <w:numFmt w:val="bullet"/>
      <w:lvlText w:val=""/>
      <w:lvlJc w:val="left"/>
      <w:pPr>
        <w:tabs>
          <w:tab w:val="num" w:pos="720"/>
        </w:tabs>
        <w:ind w:left="720" w:hanging="360"/>
      </w:pPr>
      <w:rPr>
        <w:rFonts w:ascii="Symbol" w:hAnsi="Symbol" w:hint="default"/>
      </w:rPr>
    </w:lvl>
    <w:lvl w:ilvl="1" w:tplc="3C3C353A" w:tentative="1">
      <w:start w:val="1"/>
      <w:numFmt w:val="bullet"/>
      <w:lvlText w:val=""/>
      <w:lvlJc w:val="left"/>
      <w:pPr>
        <w:tabs>
          <w:tab w:val="num" w:pos="1440"/>
        </w:tabs>
        <w:ind w:left="1440" w:hanging="360"/>
      </w:pPr>
      <w:rPr>
        <w:rFonts w:ascii="Symbol" w:hAnsi="Symbol" w:hint="default"/>
      </w:rPr>
    </w:lvl>
    <w:lvl w:ilvl="2" w:tplc="6DC6C9E4" w:tentative="1">
      <w:start w:val="1"/>
      <w:numFmt w:val="bullet"/>
      <w:lvlText w:val=""/>
      <w:lvlJc w:val="left"/>
      <w:pPr>
        <w:tabs>
          <w:tab w:val="num" w:pos="2160"/>
        </w:tabs>
        <w:ind w:left="2160" w:hanging="360"/>
      </w:pPr>
      <w:rPr>
        <w:rFonts w:ascii="Symbol" w:hAnsi="Symbol" w:hint="default"/>
      </w:rPr>
    </w:lvl>
    <w:lvl w:ilvl="3" w:tplc="E812BF98" w:tentative="1">
      <w:start w:val="1"/>
      <w:numFmt w:val="bullet"/>
      <w:lvlText w:val=""/>
      <w:lvlJc w:val="left"/>
      <w:pPr>
        <w:tabs>
          <w:tab w:val="num" w:pos="2880"/>
        </w:tabs>
        <w:ind w:left="2880" w:hanging="360"/>
      </w:pPr>
      <w:rPr>
        <w:rFonts w:ascii="Symbol" w:hAnsi="Symbol" w:hint="default"/>
      </w:rPr>
    </w:lvl>
    <w:lvl w:ilvl="4" w:tplc="C1847DFC" w:tentative="1">
      <w:start w:val="1"/>
      <w:numFmt w:val="bullet"/>
      <w:lvlText w:val=""/>
      <w:lvlJc w:val="left"/>
      <w:pPr>
        <w:tabs>
          <w:tab w:val="num" w:pos="3600"/>
        </w:tabs>
        <w:ind w:left="3600" w:hanging="360"/>
      </w:pPr>
      <w:rPr>
        <w:rFonts w:ascii="Symbol" w:hAnsi="Symbol" w:hint="default"/>
      </w:rPr>
    </w:lvl>
    <w:lvl w:ilvl="5" w:tplc="C4CECF44" w:tentative="1">
      <w:start w:val="1"/>
      <w:numFmt w:val="bullet"/>
      <w:lvlText w:val=""/>
      <w:lvlJc w:val="left"/>
      <w:pPr>
        <w:tabs>
          <w:tab w:val="num" w:pos="4320"/>
        </w:tabs>
        <w:ind w:left="4320" w:hanging="360"/>
      </w:pPr>
      <w:rPr>
        <w:rFonts w:ascii="Symbol" w:hAnsi="Symbol" w:hint="default"/>
      </w:rPr>
    </w:lvl>
    <w:lvl w:ilvl="6" w:tplc="E19835C8" w:tentative="1">
      <w:start w:val="1"/>
      <w:numFmt w:val="bullet"/>
      <w:lvlText w:val=""/>
      <w:lvlJc w:val="left"/>
      <w:pPr>
        <w:tabs>
          <w:tab w:val="num" w:pos="5040"/>
        </w:tabs>
        <w:ind w:left="5040" w:hanging="360"/>
      </w:pPr>
      <w:rPr>
        <w:rFonts w:ascii="Symbol" w:hAnsi="Symbol" w:hint="default"/>
      </w:rPr>
    </w:lvl>
    <w:lvl w:ilvl="7" w:tplc="C9181318" w:tentative="1">
      <w:start w:val="1"/>
      <w:numFmt w:val="bullet"/>
      <w:lvlText w:val=""/>
      <w:lvlJc w:val="left"/>
      <w:pPr>
        <w:tabs>
          <w:tab w:val="num" w:pos="5760"/>
        </w:tabs>
        <w:ind w:left="5760" w:hanging="360"/>
      </w:pPr>
      <w:rPr>
        <w:rFonts w:ascii="Symbol" w:hAnsi="Symbol" w:hint="default"/>
      </w:rPr>
    </w:lvl>
    <w:lvl w:ilvl="8" w:tplc="D70802F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42329F"/>
    <w:multiLevelType w:val="hybridMultilevel"/>
    <w:tmpl w:val="61FEB6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88E2E4D"/>
    <w:multiLevelType w:val="hybridMultilevel"/>
    <w:tmpl w:val="FC5045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A8D4848"/>
    <w:multiLevelType w:val="hybridMultilevel"/>
    <w:tmpl w:val="826000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11258E3"/>
    <w:multiLevelType w:val="hybridMultilevel"/>
    <w:tmpl w:val="AEA8DA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7C1F3F"/>
    <w:multiLevelType w:val="hybridMultilevel"/>
    <w:tmpl w:val="4A46C336"/>
    <w:lvl w:ilvl="0" w:tplc="1D465F1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AD3F"/>
    <w:multiLevelType w:val="hybridMultilevel"/>
    <w:tmpl w:val="F0499B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BDB6740"/>
    <w:multiLevelType w:val="multilevel"/>
    <w:tmpl w:val="9F26E2DC"/>
    <w:lvl w:ilvl="0">
      <w:start w:val="1"/>
      <w:numFmt w:val="decimal"/>
      <w:lvlText w:val="%1"/>
      <w:lvlJc w:val="left"/>
      <w:pPr>
        <w:ind w:left="720" w:hanging="720"/>
      </w:pPr>
      <w:rPr>
        <w:rFonts w:hint="default"/>
        <w:b/>
      </w:rPr>
    </w:lvl>
    <w:lvl w:ilvl="1">
      <w:start w:val="1"/>
      <w:numFmt w:val="decimal"/>
      <w:lvlText w:val="%2."/>
      <w:lvlJc w:val="left"/>
      <w:pPr>
        <w:ind w:left="72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7A1E86"/>
    <w:multiLevelType w:val="hybridMultilevel"/>
    <w:tmpl w:val="6FFA55BC"/>
    <w:lvl w:ilvl="0" w:tplc="9FB8F1DA">
      <w:start w:val="1"/>
      <w:numFmt w:val="bullet"/>
      <w:lvlText w:val="•"/>
      <w:lvlJc w:val="left"/>
      <w:pPr>
        <w:tabs>
          <w:tab w:val="num" w:pos="720"/>
        </w:tabs>
        <w:ind w:left="720" w:hanging="360"/>
      </w:pPr>
      <w:rPr>
        <w:rFonts w:ascii="Arial" w:hAnsi="Arial" w:hint="default"/>
      </w:rPr>
    </w:lvl>
    <w:lvl w:ilvl="1" w:tplc="E01E6520">
      <w:start w:val="1"/>
      <w:numFmt w:val="bullet"/>
      <w:lvlText w:val="•"/>
      <w:lvlJc w:val="left"/>
      <w:pPr>
        <w:tabs>
          <w:tab w:val="num" w:pos="1440"/>
        </w:tabs>
        <w:ind w:left="1440" w:hanging="360"/>
      </w:pPr>
      <w:rPr>
        <w:rFonts w:ascii="Arial" w:hAnsi="Arial" w:hint="default"/>
      </w:rPr>
    </w:lvl>
    <w:lvl w:ilvl="2" w:tplc="EEF0EC36" w:tentative="1">
      <w:start w:val="1"/>
      <w:numFmt w:val="bullet"/>
      <w:lvlText w:val="•"/>
      <w:lvlJc w:val="left"/>
      <w:pPr>
        <w:tabs>
          <w:tab w:val="num" w:pos="2160"/>
        </w:tabs>
        <w:ind w:left="2160" w:hanging="360"/>
      </w:pPr>
      <w:rPr>
        <w:rFonts w:ascii="Arial" w:hAnsi="Arial" w:hint="default"/>
      </w:rPr>
    </w:lvl>
    <w:lvl w:ilvl="3" w:tplc="8E2A562A" w:tentative="1">
      <w:start w:val="1"/>
      <w:numFmt w:val="bullet"/>
      <w:lvlText w:val="•"/>
      <w:lvlJc w:val="left"/>
      <w:pPr>
        <w:tabs>
          <w:tab w:val="num" w:pos="2880"/>
        </w:tabs>
        <w:ind w:left="2880" w:hanging="360"/>
      </w:pPr>
      <w:rPr>
        <w:rFonts w:ascii="Arial" w:hAnsi="Arial" w:hint="default"/>
      </w:rPr>
    </w:lvl>
    <w:lvl w:ilvl="4" w:tplc="04884760" w:tentative="1">
      <w:start w:val="1"/>
      <w:numFmt w:val="bullet"/>
      <w:lvlText w:val="•"/>
      <w:lvlJc w:val="left"/>
      <w:pPr>
        <w:tabs>
          <w:tab w:val="num" w:pos="3600"/>
        </w:tabs>
        <w:ind w:left="3600" w:hanging="360"/>
      </w:pPr>
      <w:rPr>
        <w:rFonts w:ascii="Arial" w:hAnsi="Arial" w:hint="default"/>
      </w:rPr>
    </w:lvl>
    <w:lvl w:ilvl="5" w:tplc="AB348FE0" w:tentative="1">
      <w:start w:val="1"/>
      <w:numFmt w:val="bullet"/>
      <w:lvlText w:val="•"/>
      <w:lvlJc w:val="left"/>
      <w:pPr>
        <w:tabs>
          <w:tab w:val="num" w:pos="4320"/>
        </w:tabs>
        <w:ind w:left="4320" w:hanging="360"/>
      </w:pPr>
      <w:rPr>
        <w:rFonts w:ascii="Arial" w:hAnsi="Arial" w:hint="default"/>
      </w:rPr>
    </w:lvl>
    <w:lvl w:ilvl="6" w:tplc="ED382F86" w:tentative="1">
      <w:start w:val="1"/>
      <w:numFmt w:val="bullet"/>
      <w:lvlText w:val="•"/>
      <w:lvlJc w:val="left"/>
      <w:pPr>
        <w:tabs>
          <w:tab w:val="num" w:pos="5040"/>
        </w:tabs>
        <w:ind w:left="5040" w:hanging="360"/>
      </w:pPr>
      <w:rPr>
        <w:rFonts w:ascii="Arial" w:hAnsi="Arial" w:hint="default"/>
      </w:rPr>
    </w:lvl>
    <w:lvl w:ilvl="7" w:tplc="95F09876" w:tentative="1">
      <w:start w:val="1"/>
      <w:numFmt w:val="bullet"/>
      <w:lvlText w:val="•"/>
      <w:lvlJc w:val="left"/>
      <w:pPr>
        <w:tabs>
          <w:tab w:val="num" w:pos="5760"/>
        </w:tabs>
        <w:ind w:left="5760" w:hanging="360"/>
      </w:pPr>
      <w:rPr>
        <w:rFonts w:ascii="Arial" w:hAnsi="Arial" w:hint="default"/>
      </w:rPr>
    </w:lvl>
    <w:lvl w:ilvl="8" w:tplc="8F44AB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15:restartNumberingAfterBreak="0">
    <w:nsid w:val="56EF67E8"/>
    <w:multiLevelType w:val="hybridMultilevel"/>
    <w:tmpl w:val="D8EE9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4D5613"/>
    <w:multiLevelType w:val="hybridMultilevel"/>
    <w:tmpl w:val="FBEE76C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1406AB04">
      <w:numFmt w:val="bullet"/>
      <w:lvlText w:val="-"/>
      <w:lvlJc w:val="left"/>
      <w:pPr>
        <w:ind w:left="2880" w:hanging="360"/>
      </w:pPr>
      <w:rPr>
        <w:rFonts w:ascii="Arial Narrow" w:eastAsiaTheme="majorEastAsia" w:hAnsi="Arial Narrow" w:cstheme="majorBidi"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2D41911"/>
    <w:multiLevelType w:val="hybridMultilevel"/>
    <w:tmpl w:val="338613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AA636D9"/>
    <w:multiLevelType w:val="hybridMultilevel"/>
    <w:tmpl w:val="2DC676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FA3C06"/>
    <w:multiLevelType w:val="hybridMultilevel"/>
    <w:tmpl w:val="6D42E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8A0597"/>
    <w:multiLevelType w:val="hybridMultilevel"/>
    <w:tmpl w:val="1D56BADA"/>
    <w:lvl w:ilvl="0" w:tplc="F0EC0DD4">
      <w:start w:val="1"/>
      <w:numFmt w:val="bullet"/>
      <w:lvlText w:val=""/>
      <w:lvlJc w:val="left"/>
      <w:pPr>
        <w:tabs>
          <w:tab w:val="num" w:pos="720"/>
        </w:tabs>
        <w:ind w:left="720" w:hanging="360"/>
      </w:pPr>
      <w:rPr>
        <w:rFonts w:ascii="Symbol" w:hAnsi="Symbol" w:hint="default"/>
      </w:rPr>
    </w:lvl>
    <w:lvl w:ilvl="1" w:tplc="E952B5D4" w:tentative="1">
      <w:start w:val="1"/>
      <w:numFmt w:val="bullet"/>
      <w:lvlText w:val=""/>
      <w:lvlJc w:val="left"/>
      <w:pPr>
        <w:tabs>
          <w:tab w:val="num" w:pos="1440"/>
        </w:tabs>
        <w:ind w:left="1440" w:hanging="360"/>
      </w:pPr>
      <w:rPr>
        <w:rFonts w:ascii="Symbol" w:hAnsi="Symbol" w:hint="default"/>
      </w:rPr>
    </w:lvl>
    <w:lvl w:ilvl="2" w:tplc="FB5813BA" w:tentative="1">
      <w:start w:val="1"/>
      <w:numFmt w:val="bullet"/>
      <w:lvlText w:val=""/>
      <w:lvlJc w:val="left"/>
      <w:pPr>
        <w:tabs>
          <w:tab w:val="num" w:pos="2160"/>
        </w:tabs>
        <w:ind w:left="2160" w:hanging="360"/>
      </w:pPr>
      <w:rPr>
        <w:rFonts w:ascii="Symbol" w:hAnsi="Symbol" w:hint="default"/>
      </w:rPr>
    </w:lvl>
    <w:lvl w:ilvl="3" w:tplc="126C3562" w:tentative="1">
      <w:start w:val="1"/>
      <w:numFmt w:val="bullet"/>
      <w:lvlText w:val=""/>
      <w:lvlJc w:val="left"/>
      <w:pPr>
        <w:tabs>
          <w:tab w:val="num" w:pos="2880"/>
        </w:tabs>
        <w:ind w:left="2880" w:hanging="360"/>
      </w:pPr>
      <w:rPr>
        <w:rFonts w:ascii="Symbol" w:hAnsi="Symbol" w:hint="default"/>
      </w:rPr>
    </w:lvl>
    <w:lvl w:ilvl="4" w:tplc="42CAB54E" w:tentative="1">
      <w:start w:val="1"/>
      <w:numFmt w:val="bullet"/>
      <w:lvlText w:val=""/>
      <w:lvlJc w:val="left"/>
      <w:pPr>
        <w:tabs>
          <w:tab w:val="num" w:pos="3600"/>
        </w:tabs>
        <w:ind w:left="3600" w:hanging="360"/>
      </w:pPr>
      <w:rPr>
        <w:rFonts w:ascii="Symbol" w:hAnsi="Symbol" w:hint="default"/>
      </w:rPr>
    </w:lvl>
    <w:lvl w:ilvl="5" w:tplc="1884CC2C" w:tentative="1">
      <w:start w:val="1"/>
      <w:numFmt w:val="bullet"/>
      <w:lvlText w:val=""/>
      <w:lvlJc w:val="left"/>
      <w:pPr>
        <w:tabs>
          <w:tab w:val="num" w:pos="4320"/>
        </w:tabs>
        <w:ind w:left="4320" w:hanging="360"/>
      </w:pPr>
      <w:rPr>
        <w:rFonts w:ascii="Symbol" w:hAnsi="Symbol" w:hint="default"/>
      </w:rPr>
    </w:lvl>
    <w:lvl w:ilvl="6" w:tplc="3B549158" w:tentative="1">
      <w:start w:val="1"/>
      <w:numFmt w:val="bullet"/>
      <w:lvlText w:val=""/>
      <w:lvlJc w:val="left"/>
      <w:pPr>
        <w:tabs>
          <w:tab w:val="num" w:pos="5040"/>
        </w:tabs>
        <w:ind w:left="5040" w:hanging="360"/>
      </w:pPr>
      <w:rPr>
        <w:rFonts w:ascii="Symbol" w:hAnsi="Symbol" w:hint="default"/>
      </w:rPr>
    </w:lvl>
    <w:lvl w:ilvl="7" w:tplc="51221AF8" w:tentative="1">
      <w:start w:val="1"/>
      <w:numFmt w:val="bullet"/>
      <w:lvlText w:val=""/>
      <w:lvlJc w:val="left"/>
      <w:pPr>
        <w:tabs>
          <w:tab w:val="num" w:pos="5760"/>
        </w:tabs>
        <w:ind w:left="5760" w:hanging="360"/>
      </w:pPr>
      <w:rPr>
        <w:rFonts w:ascii="Symbol" w:hAnsi="Symbol" w:hint="default"/>
      </w:rPr>
    </w:lvl>
    <w:lvl w:ilvl="8" w:tplc="04A0D11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F8632BA"/>
    <w:multiLevelType w:val="hybridMultilevel"/>
    <w:tmpl w:val="9D0688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390227B"/>
    <w:multiLevelType w:val="multilevel"/>
    <w:tmpl w:val="26BEC9E8"/>
    <w:lvl w:ilvl="0">
      <w:start w:val="1"/>
      <w:numFmt w:val="decimal"/>
      <w:lvlText w:val="%1"/>
      <w:lvlJc w:val="left"/>
      <w:pPr>
        <w:ind w:left="720" w:hanging="720"/>
      </w:pPr>
      <w:rPr>
        <w:rFonts w:hint="default"/>
        <w:b/>
      </w:rPr>
    </w:lvl>
    <w:lvl w:ilvl="1">
      <w:start w:val="1"/>
      <w:numFmt w:val="lowerRoman"/>
      <w:lvlText w:val="%2)"/>
      <w:lvlJc w:val="right"/>
      <w:pPr>
        <w:ind w:left="720" w:hanging="720"/>
      </w:pPr>
      <w:rPr>
        <w:rFonts w:asciiTheme="minorHAnsi" w:eastAsia="Times New Roman" w:hAnsiTheme="minorHAnsi" w:cstheme="minorHAnsi"/>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EC272B"/>
    <w:multiLevelType w:val="hybridMultilevel"/>
    <w:tmpl w:val="043A7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8"/>
  </w:num>
  <w:num w:numId="2">
    <w:abstractNumId w:val="12"/>
  </w:num>
  <w:num w:numId="3">
    <w:abstractNumId w:val="13"/>
  </w:num>
  <w:num w:numId="4">
    <w:abstractNumId w:val="3"/>
  </w:num>
  <w:num w:numId="5">
    <w:abstractNumId w:val="29"/>
  </w:num>
  <w:num w:numId="6">
    <w:abstractNumId w:val="21"/>
  </w:num>
  <w:num w:numId="7">
    <w:abstractNumId w:val="2"/>
    <w:lvlOverride w:ilvl="0">
      <w:startOverride w:val="1"/>
    </w:lvlOverride>
  </w:num>
  <w:num w:numId="8">
    <w:abstractNumId w:val="8"/>
  </w:num>
  <w:num w:numId="9">
    <w:abstractNumId w:val="26"/>
  </w:num>
  <w:num w:numId="10">
    <w:abstractNumId w:val="19"/>
  </w:num>
  <w:num w:numId="11">
    <w:abstractNumId w:val="7"/>
  </w:num>
  <w:num w:numId="12">
    <w:abstractNumId w:val="10"/>
  </w:num>
  <w:num w:numId="13">
    <w:abstractNumId w:val="22"/>
  </w:num>
  <w:num w:numId="14">
    <w:abstractNumId w:val="30"/>
  </w:num>
  <w:num w:numId="15">
    <w:abstractNumId w:val="15"/>
  </w:num>
  <w:num w:numId="16">
    <w:abstractNumId w:val="23"/>
  </w:num>
  <w:num w:numId="17">
    <w:abstractNumId w:val="9"/>
  </w:num>
  <w:num w:numId="18">
    <w:abstractNumId w:val="18"/>
  </w:num>
  <w:num w:numId="19">
    <w:abstractNumId w:val="11"/>
  </w:num>
  <w:num w:numId="20">
    <w:abstractNumId w:val="20"/>
  </w:num>
  <w:num w:numId="21">
    <w:abstractNumId w:val="4"/>
  </w:num>
  <w:num w:numId="22">
    <w:abstractNumId w:val="27"/>
  </w:num>
  <w:num w:numId="23">
    <w:abstractNumId w:val="17"/>
  </w:num>
  <w:num w:numId="24">
    <w:abstractNumId w:val="24"/>
  </w:num>
  <w:num w:numId="25">
    <w:abstractNumId w:val="25"/>
  </w:num>
  <w:num w:numId="26">
    <w:abstractNumId w:val="5"/>
  </w:num>
  <w:num w:numId="27">
    <w:abstractNumId w:val="1"/>
  </w:num>
  <w:num w:numId="28">
    <w:abstractNumId w:val="0"/>
  </w:num>
  <w:num w:numId="29">
    <w:abstractNumId w:val="14"/>
  </w:num>
  <w:num w:numId="30">
    <w:abstractNumId w:val="6"/>
  </w:num>
  <w:num w:numId="31">
    <w:abstractNumId w:val="16"/>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8"/>
  </w:num>
  <w:num w:numId="35">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odifi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dxtedsavf2zpoedr5up2azu22zfedpteza9&quot;&gt;Mobocertinib&lt;record-ids&gt;&lt;item&gt;1&lt;/item&gt;&lt;item&gt;2&lt;/item&gt;&lt;item&gt;3&lt;/item&gt;&lt;item&gt;4&lt;/item&gt;&lt;item&gt;5&lt;/item&gt;&lt;item&gt;6&lt;/item&gt;&lt;item&gt;7&lt;/item&gt;&lt;item&gt;8&lt;/item&gt;&lt;item&gt;11&lt;/item&gt;&lt;item&gt;12&lt;/item&gt;&lt;item&gt;13&lt;/item&gt;&lt;item&gt;14&lt;/item&gt;&lt;item&gt;15&lt;/item&gt;&lt;item&gt;16&lt;/item&gt;&lt;item&gt;17&lt;/item&gt;&lt;item&gt;18&lt;/item&gt;&lt;item&gt;19&lt;/item&gt;&lt;item&gt;20&lt;/item&gt;&lt;item&gt;21&lt;/item&gt;&lt;item&gt;22&lt;/item&gt;&lt;item&gt;24&lt;/item&gt;&lt;item&gt;25&lt;/item&gt;&lt;item&gt;26&lt;/item&gt;&lt;item&gt;30&lt;/item&gt;&lt;item&gt;31&lt;/item&gt;&lt;item&gt;32&lt;/item&gt;&lt;item&gt;33&lt;/item&gt;&lt;item&gt;35&lt;/item&gt;&lt;item&gt;36&lt;/item&gt;&lt;item&gt;37&lt;/item&gt;&lt;/record-ids&gt;&lt;/item&gt;&lt;/Libraries&gt;"/>
  </w:docVars>
  <w:rsids>
    <w:rsidRoot w:val="00E65E79"/>
    <w:rsid w:val="000006D6"/>
    <w:rsid w:val="00000790"/>
    <w:rsid w:val="0000110B"/>
    <w:rsid w:val="0000166A"/>
    <w:rsid w:val="00001A0F"/>
    <w:rsid w:val="000023C4"/>
    <w:rsid w:val="00002916"/>
    <w:rsid w:val="00003499"/>
    <w:rsid w:val="000039B7"/>
    <w:rsid w:val="000056B9"/>
    <w:rsid w:val="0000639A"/>
    <w:rsid w:val="00006831"/>
    <w:rsid w:val="000073EE"/>
    <w:rsid w:val="00007418"/>
    <w:rsid w:val="0000754A"/>
    <w:rsid w:val="000108E1"/>
    <w:rsid w:val="00010D68"/>
    <w:rsid w:val="00013231"/>
    <w:rsid w:val="00013247"/>
    <w:rsid w:val="000140ED"/>
    <w:rsid w:val="00015886"/>
    <w:rsid w:val="00015BB5"/>
    <w:rsid w:val="000162EF"/>
    <w:rsid w:val="000166F1"/>
    <w:rsid w:val="00017F4C"/>
    <w:rsid w:val="0002022F"/>
    <w:rsid w:val="00020779"/>
    <w:rsid w:val="000207C9"/>
    <w:rsid w:val="00020AF9"/>
    <w:rsid w:val="00020E99"/>
    <w:rsid w:val="000218C4"/>
    <w:rsid w:val="00021C1A"/>
    <w:rsid w:val="0002225F"/>
    <w:rsid w:val="00023763"/>
    <w:rsid w:val="000244AC"/>
    <w:rsid w:val="00024EB5"/>
    <w:rsid w:val="000258DD"/>
    <w:rsid w:val="00025F29"/>
    <w:rsid w:val="000265C2"/>
    <w:rsid w:val="000265D2"/>
    <w:rsid w:val="000274B8"/>
    <w:rsid w:val="00030043"/>
    <w:rsid w:val="00030543"/>
    <w:rsid w:val="00031EE0"/>
    <w:rsid w:val="00033863"/>
    <w:rsid w:val="000342AD"/>
    <w:rsid w:val="00034489"/>
    <w:rsid w:val="00034666"/>
    <w:rsid w:val="00034D12"/>
    <w:rsid w:val="00035631"/>
    <w:rsid w:val="00035DC0"/>
    <w:rsid w:val="00035EA2"/>
    <w:rsid w:val="00036829"/>
    <w:rsid w:val="000372C3"/>
    <w:rsid w:val="000374FC"/>
    <w:rsid w:val="00040895"/>
    <w:rsid w:val="000410A0"/>
    <w:rsid w:val="00041427"/>
    <w:rsid w:val="000414FF"/>
    <w:rsid w:val="00043066"/>
    <w:rsid w:val="00043148"/>
    <w:rsid w:val="000435EE"/>
    <w:rsid w:val="00043C37"/>
    <w:rsid w:val="00044920"/>
    <w:rsid w:val="000449CC"/>
    <w:rsid w:val="00044B78"/>
    <w:rsid w:val="00045017"/>
    <w:rsid w:val="00045A2B"/>
    <w:rsid w:val="00046871"/>
    <w:rsid w:val="0004698F"/>
    <w:rsid w:val="00046D64"/>
    <w:rsid w:val="00047BFA"/>
    <w:rsid w:val="000508C2"/>
    <w:rsid w:val="00051D55"/>
    <w:rsid w:val="00053151"/>
    <w:rsid w:val="00053785"/>
    <w:rsid w:val="000539D0"/>
    <w:rsid w:val="00054621"/>
    <w:rsid w:val="000546D7"/>
    <w:rsid w:val="00054A8D"/>
    <w:rsid w:val="00056925"/>
    <w:rsid w:val="00056ECF"/>
    <w:rsid w:val="00057D7C"/>
    <w:rsid w:val="00057E0C"/>
    <w:rsid w:val="000603CA"/>
    <w:rsid w:val="000604DF"/>
    <w:rsid w:val="00062324"/>
    <w:rsid w:val="0006457E"/>
    <w:rsid w:val="00064620"/>
    <w:rsid w:val="000653B5"/>
    <w:rsid w:val="00066360"/>
    <w:rsid w:val="00066AF8"/>
    <w:rsid w:val="00067D49"/>
    <w:rsid w:val="000711EA"/>
    <w:rsid w:val="00071248"/>
    <w:rsid w:val="000720B9"/>
    <w:rsid w:val="0007244C"/>
    <w:rsid w:val="000735B8"/>
    <w:rsid w:val="000737F7"/>
    <w:rsid w:val="00074C88"/>
    <w:rsid w:val="00074E06"/>
    <w:rsid w:val="0007672F"/>
    <w:rsid w:val="00076B54"/>
    <w:rsid w:val="00076DD5"/>
    <w:rsid w:val="000773FB"/>
    <w:rsid w:val="000774F0"/>
    <w:rsid w:val="000805EF"/>
    <w:rsid w:val="00080909"/>
    <w:rsid w:val="00080CB3"/>
    <w:rsid w:val="000812CA"/>
    <w:rsid w:val="00081E63"/>
    <w:rsid w:val="00082513"/>
    <w:rsid w:val="0008258D"/>
    <w:rsid w:val="00083E99"/>
    <w:rsid w:val="00084FA8"/>
    <w:rsid w:val="000856C5"/>
    <w:rsid w:val="00085C31"/>
    <w:rsid w:val="00086159"/>
    <w:rsid w:val="00086959"/>
    <w:rsid w:val="00087326"/>
    <w:rsid w:val="000902D9"/>
    <w:rsid w:val="000908A9"/>
    <w:rsid w:val="00090C7E"/>
    <w:rsid w:val="000911AC"/>
    <w:rsid w:val="00092600"/>
    <w:rsid w:val="0009262B"/>
    <w:rsid w:val="00092BE3"/>
    <w:rsid w:val="00093310"/>
    <w:rsid w:val="00093927"/>
    <w:rsid w:val="00093EA7"/>
    <w:rsid w:val="000940B0"/>
    <w:rsid w:val="0009445C"/>
    <w:rsid w:val="00094D6F"/>
    <w:rsid w:val="00095200"/>
    <w:rsid w:val="00095FE5"/>
    <w:rsid w:val="00096284"/>
    <w:rsid w:val="00097DA5"/>
    <w:rsid w:val="000A10A8"/>
    <w:rsid w:val="000A127E"/>
    <w:rsid w:val="000A1BC0"/>
    <w:rsid w:val="000A2F9E"/>
    <w:rsid w:val="000A3E47"/>
    <w:rsid w:val="000A3E64"/>
    <w:rsid w:val="000A522B"/>
    <w:rsid w:val="000A6039"/>
    <w:rsid w:val="000A6445"/>
    <w:rsid w:val="000A7453"/>
    <w:rsid w:val="000A7D08"/>
    <w:rsid w:val="000B0121"/>
    <w:rsid w:val="000B030C"/>
    <w:rsid w:val="000B0670"/>
    <w:rsid w:val="000B0E75"/>
    <w:rsid w:val="000B1512"/>
    <w:rsid w:val="000B28E0"/>
    <w:rsid w:val="000B2DCB"/>
    <w:rsid w:val="000B31D6"/>
    <w:rsid w:val="000B5CE0"/>
    <w:rsid w:val="000B6621"/>
    <w:rsid w:val="000B6CAC"/>
    <w:rsid w:val="000B7612"/>
    <w:rsid w:val="000B78AE"/>
    <w:rsid w:val="000C11DE"/>
    <w:rsid w:val="000C197B"/>
    <w:rsid w:val="000C28D5"/>
    <w:rsid w:val="000C3A21"/>
    <w:rsid w:val="000C3DF9"/>
    <w:rsid w:val="000C4CF2"/>
    <w:rsid w:val="000C4CF7"/>
    <w:rsid w:val="000C507D"/>
    <w:rsid w:val="000C6713"/>
    <w:rsid w:val="000C671A"/>
    <w:rsid w:val="000C6929"/>
    <w:rsid w:val="000C6AFB"/>
    <w:rsid w:val="000D0AC0"/>
    <w:rsid w:val="000D120F"/>
    <w:rsid w:val="000D1BFC"/>
    <w:rsid w:val="000D1D5D"/>
    <w:rsid w:val="000D281A"/>
    <w:rsid w:val="000D2848"/>
    <w:rsid w:val="000D2A9A"/>
    <w:rsid w:val="000D326A"/>
    <w:rsid w:val="000D3C73"/>
    <w:rsid w:val="000D449D"/>
    <w:rsid w:val="000D49A7"/>
    <w:rsid w:val="000D51FB"/>
    <w:rsid w:val="000D5F13"/>
    <w:rsid w:val="000E0640"/>
    <w:rsid w:val="000E0A6A"/>
    <w:rsid w:val="000E135D"/>
    <w:rsid w:val="000E18AF"/>
    <w:rsid w:val="000E264B"/>
    <w:rsid w:val="000E2A09"/>
    <w:rsid w:val="000E35C9"/>
    <w:rsid w:val="000E4DC1"/>
    <w:rsid w:val="000E57DD"/>
    <w:rsid w:val="000E5C45"/>
    <w:rsid w:val="000E5EB6"/>
    <w:rsid w:val="000E62D1"/>
    <w:rsid w:val="000E73BE"/>
    <w:rsid w:val="000F00BA"/>
    <w:rsid w:val="000F0209"/>
    <w:rsid w:val="000F035C"/>
    <w:rsid w:val="000F0880"/>
    <w:rsid w:val="000F2218"/>
    <w:rsid w:val="000F2E45"/>
    <w:rsid w:val="000F316A"/>
    <w:rsid w:val="000F34F7"/>
    <w:rsid w:val="000F3C74"/>
    <w:rsid w:val="000F3CF4"/>
    <w:rsid w:val="000F436E"/>
    <w:rsid w:val="000F4BB8"/>
    <w:rsid w:val="000F4FA9"/>
    <w:rsid w:val="000F53FB"/>
    <w:rsid w:val="000F7127"/>
    <w:rsid w:val="000F7B54"/>
    <w:rsid w:val="001000B3"/>
    <w:rsid w:val="00100F8A"/>
    <w:rsid w:val="001021B6"/>
    <w:rsid w:val="0010286F"/>
    <w:rsid w:val="00103198"/>
    <w:rsid w:val="00103E92"/>
    <w:rsid w:val="0010452E"/>
    <w:rsid w:val="00104D3A"/>
    <w:rsid w:val="00105155"/>
    <w:rsid w:val="00105AE2"/>
    <w:rsid w:val="00106000"/>
    <w:rsid w:val="001060C6"/>
    <w:rsid w:val="00106B80"/>
    <w:rsid w:val="00107B47"/>
    <w:rsid w:val="001101B2"/>
    <w:rsid w:val="0011032E"/>
    <w:rsid w:val="001110FF"/>
    <w:rsid w:val="0011144D"/>
    <w:rsid w:val="0011178A"/>
    <w:rsid w:val="0011348B"/>
    <w:rsid w:val="00115982"/>
    <w:rsid w:val="001162F5"/>
    <w:rsid w:val="00116C53"/>
    <w:rsid w:val="00117757"/>
    <w:rsid w:val="0012000B"/>
    <w:rsid w:val="0012091E"/>
    <w:rsid w:val="001211FD"/>
    <w:rsid w:val="00121799"/>
    <w:rsid w:val="00121E88"/>
    <w:rsid w:val="00121E90"/>
    <w:rsid w:val="001222FC"/>
    <w:rsid w:val="00122AEF"/>
    <w:rsid w:val="00123753"/>
    <w:rsid w:val="00123902"/>
    <w:rsid w:val="00124A51"/>
    <w:rsid w:val="00124BA5"/>
    <w:rsid w:val="00124BA7"/>
    <w:rsid w:val="001254A6"/>
    <w:rsid w:val="00125923"/>
    <w:rsid w:val="001264FB"/>
    <w:rsid w:val="00126621"/>
    <w:rsid w:val="00126679"/>
    <w:rsid w:val="00126B1D"/>
    <w:rsid w:val="00127962"/>
    <w:rsid w:val="00127C16"/>
    <w:rsid w:val="001301DF"/>
    <w:rsid w:val="001301E9"/>
    <w:rsid w:val="00130411"/>
    <w:rsid w:val="00130895"/>
    <w:rsid w:val="00131CC1"/>
    <w:rsid w:val="00131D82"/>
    <w:rsid w:val="00132B22"/>
    <w:rsid w:val="00133D36"/>
    <w:rsid w:val="001349A6"/>
    <w:rsid w:val="00135F01"/>
    <w:rsid w:val="00137645"/>
    <w:rsid w:val="0014015A"/>
    <w:rsid w:val="001408BF"/>
    <w:rsid w:val="001409E1"/>
    <w:rsid w:val="00140E99"/>
    <w:rsid w:val="0014294D"/>
    <w:rsid w:val="00143F67"/>
    <w:rsid w:val="00144CC5"/>
    <w:rsid w:val="00145234"/>
    <w:rsid w:val="00145540"/>
    <w:rsid w:val="001456B0"/>
    <w:rsid w:val="0014658F"/>
    <w:rsid w:val="0014728A"/>
    <w:rsid w:val="0015122B"/>
    <w:rsid w:val="00151826"/>
    <w:rsid w:val="00151C2D"/>
    <w:rsid w:val="00151D63"/>
    <w:rsid w:val="00151F56"/>
    <w:rsid w:val="00153462"/>
    <w:rsid w:val="00153C33"/>
    <w:rsid w:val="00154227"/>
    <w:rsid w:val="001547AB"/>
    <w:rsid w:val="00156F8F"/>
    <w:rsid w:val="001570D2"/>
    <w:rsid w:val="00157130"/>
    <w:rsid w:val="001576B1"/>
    <w:rsid w:val="0016047B"/>
    <w:rsid w:val="00160494"/>
    <w:rsid w:val="00160A2A"/>
    <w:rsid w:val="00160A4C"/>
    <w:rsid w:val="00160A95"/>
    <w:rsid w:val="00160D41"/>
    <w:rsid w:val="00162913"/>
    <w:rsid w:val="001635D4"/>
    <w:rsid w:val="00163EFF"/>
    <w:rsid w:val="00163F66"/>
    <w:rsid w:val="0016478E"/>
    <w:rsid w:val="00165EC4"/>
    <w:rsid w:val="00165EDE"/>
    <w:rsid w:val="001661FB"/>
    <w:rsid w:val="00166781"/>
    <w:rsid w:val="001671A0"/>
    <w:rsid w:val="0016767F"/>
    <w:rsid w:val="00170904"/>
    <w:rsid w:val="00173565"/>
    <w:rsid w:val="00173B07"/>
    <w:rsid w:val="00173CAB"/>
    <w:rsid w:val="00173DAC"/>
    <w:rsid w:val="00174575"/>
    <w:rsid w:val="001750F8"/>
    <w:rsid w:val="001751FA"/>
    <w:rsid w:val="00175DDC"/>
    <w:rsid w:val="00176938"/>
    <w:rsid w:val="00176B1A"/>
    <w:rsid w:val="00180709"/>
    <w:rsid w:val="00181C10"/>
    <w:rsid w:val="00181D9C"/>
    <w:rsid w:val="001837FF"/>
    <w:rsid w:val="0018443C"/>
    <w:rsid w:val="001846DC"/>
    <w:rsid w:val="00184B0E"/>
    <w:rsid w:val="0018530B"/>
    <w:rsid w:val="0018536B"/>
    <w:rsid w:val="0018549E"/>
    <w:rsid w:val="0018575E"/>
    <w:rsid w:val="00185F5C"/>
    <w:rsid w:val="001869F0"/>
    <w:rsid w:val="00186C9A"/>
    <w:rsid w:val="0018752F"/>
    <w:rsid w:val="00192CB3"/>
    <w:rsid w:val="00192CEA"/>
    <w:rsid w:val="001937FC"/>
    <w:rsid w:val="00193838"/>
    <w:rsid w:val="00193A76"/>
    <w:rsid w:val="00194A61"/>
    <w:rsid w:val="00194AD8"/>
    <w:rsid w:val="00195222"/>
    <w:rsid w:val="0019530D"/>
    <w:rsid w:val="00195452"/>
    <w:rsid w:val="00195F4E"/>
    <w:rsid w:val="001975D8"/>
    <w:rsid w:val="00197F27"/>
    <w:rsid w:val="001A0EDC"/>
    <w:rsid w:val="001A178E"/>
    <w:rsid w:val="001A283A"/>
    <w:rsid w:val="001A284F"/>
    <w:rsid w:val="001A3550"/>
    <w:rsid w:val="001A43FA"/>
    <w:rsid w:val="001A47C5"/>
    <w:rsid w:val="001A5260"/>
    <w:rsid w:val="001A585E"/>
    <w:rsid w:val="001A59FB"/>
    <w:rsid w:val="001A5E9E"/>
    <w:rsid w:val="001A6354"/>
    <w:rsid w:val="001A6366"/>
    <w:rsid w:val="001A6E69"/>
    <w:rsid w:val="001A705D"/>
    <w:rsid w:val="001A7686"/>
    <w:rsid w:val="001A7AE8"/>
    <w:rsid w:val="001A7BD5"/>
    <w:rsid w:val="001A7C2E"/>
    <w:rsid w:val="001B204E"/>
    <w:rsid w:val="001B2372"/>
    <w:rsid w:val="001B3443"/>
    <w:rsid w:val="001B3F43"/>
    <w:rsid w:val="001B434A"/>
    <w:rsid w:val="001B4D20"/>
    <w:rsid w:val="001B6515"/>
    <w:rsid w:val="001B7626"/>
    <w:rsid w:val="001B7BED"/>
    <w:rsid w:val="001B7F84"/>
    <w:rsid w:val="001C0F63"/>
    <w:rsid w:val="001C2A9B"/>
    <w:rsid w:val="001C2E13"/>
    <w:rsid w:val="001C32D2"/>
    <w:rsid w:val="001C3982"/>
    <w:rsid w:val="001C3DD6"/>
    <w:rsid w:val="001C405E"/>
    <w:rsid w:val="001C4299"/>
    <w:rsid w:val="001C4874"/>
    <w:rsid w:val="001C5F94"/>
    <w:rsid w:val="001C5FF9"/>
    <w:rsid w:val="001C6981"/>
    <w:rsid w:val="001C6E66"/>
    <w:rsid w:val="001C79CD"/>
    <w:rsid w:val="001C7C2E"/>
    <w:rsid w:val="001D000F"/>
    <w:rsid w:val="001D0B06"/>
    <w:rsid w:val="001D0EA8"/>
    <w:rsid w:val="001D1100"/>
    <w:rsid w:val="001D1391"/>
    <w:rsid w:val="001D14B2"/>
    <w:rsid w:val="001D1BBD"/>
    <w:rsid w:val="001D25D7"/>
    <w:rsid w:val="001D3820"/>
    <w:rsid w:val="001D390E"/>
    <w:rsid w:val="001D43DC"/>
    <w:rsid w:val="001D4831"/>
    <w:rsid w:val="001D50B2"/>
    <w:rsid w:val="001D5585"/>
    <w:rsid w:val="001D58EB"/>
    <w:rsid w:val="001D641E"/>
    <w:rsid w:val="001D6C91"/>
    <w:rsid w:val="001D6D9F"/>
    <w:rsid w:val="001D6F33"/>
    <w:rsid w:val="001D71F4"/>
    <w:rsid w:val="001D7645"/>
    <w:rsid w:val="001E0060"/>
    <w:rsid w:val="001E097B"/>
    <w:rsid w:val="001E0B81"/>
    <w:rsid w:val="001E1194"/>
    <w:rsid w:val="001E197D"/>
    <w:rsid w:val="001E1B08"/>
    <w:rsid w:val="001E1E86"/>
    <w:rsid w:val="001E238E"/>
    <w:rsid w:val="001E2483"/>
    <w:rsid w:val="001E2B1E"/>
    <w:rsid w:val="001E2CFF"/>
    <w:rsid w:val="001E2F24"/>
    <w:rsid w:val="001E30D4"/>
    <w:rsid w:val="001E3415"/>
    <w:rsid w:val="001E34DF"/>
    <w:rsid w:val="001E52EB"/>
    <w:rsid w:val="001E5AA7"/>
    <w:rsid w:val="001E5C55"/>
    <w:rsid w:val="001E613D"/>
    <w:rsid w:val="001E61D2"/>
    <w:rsid w:val="001E630A"/>
    <w:rsid w:val="001E663A"/>
    <w:rsid w:val="001E6A3D"/>
    <w:rsid w:val="001E6FD7"/>
    <w:rsid w:val="001E740C"/>
    <w:rsid w:val="001E7C6D"/>
    <w:rsid w:val="001F1235"/>
    <w:rsid w:val="001F13F2"/>
    <w:rsid w:val="001F1CB3"/>
    <w:rsid w:val="001F1CF1"/>
    <w:rsid w:val="001F38B5"/>
    <w:rsid w:val="001F4081"/>
    <w:rsid w:val="001F4963"/>
    <w:rsid w:val="001F539A"/>
    <w:rsid w:val="001F63FD"/>
    <w:rsid w:val="001F6DB5"/>
    <w:rsid w:val="001F72F9"/>
    <w:rsid w:val="001F7361"/>
    <w:rsid w:val="002011B0"/>
    <w:rsid w:val="0020158E"/>
    <w:rsid w:val="00203181"/>
    <w:rsid w:val="002035BA"/>
    <w:rsid w:val="00203783"/>
    <w:rsid w:val="0020385F"/>
    <w:rsid w:val="00205763"/>
    <w:rsid w:val="002068A0"/>
    <w:rsid w:val="00207021"/>
    <w:rsid w:val="0020732F"/>
    <w:rsid w:val="00207D00"/>
    <w:rsid w:val="002105C1"/>
    <w:rsid w:val="002116FD"/>
    <w:rsid w:val="002119D2"/>
    <w:rsid w:val="00213227"/>
    <w:rsid w:val="00213EF5"/>
    <w:rsid w:val="00214F84"/>
    <w:rsid w:val="00216516"/>
    <w:rsid w:val="00216537"/>
    <w:rsid w:val="00216BEF"/>
    <w:rsid w:val="00216BF5"/>
    <w:rsid w:val="00217425"/>
    <w:rsid w:val="002213A3"/>
    <w:rsid w:val="00221443"/>
    <w:rsid w:val="00221794"/>
    <w:rsid w:val="00223B49"/>
    <w:rsid w:val="00223D5A"/>
    <w:rsid w:val="00223DC2"/>
    <w:rsid w:val="00224576"/>
    <w:rsid w:val="00224DD4"/>
    <w:rsid w:val="00226E00"/>
    <w:rsid w:val="0022761D"/>
    <w:rsid w:val="002278A0"/>
    <w:rsid w:val="002309CC"/>
    <w:rsid w:val="0023194C"/>
    <w:rsid w:val="00231BA9"/>
    <w:rsid w:val="0023209F"/>
    <w:rsid w:val="00232D81"/>
    <w:rsid w:val="00233C01"/>
    <w:rsid w:val="00233CDD"/>
    <w:rsid w:val="0023413C"/>
    <w:rsid w:val="002346F0"/>
    <w:rsid w:val="00235192"/>
    <w:rsid w:val="002356F2"/>
    <w:rsid w:val="0023629D"/>
    <w:rsid w:val="00237255"/>
    <w:rsid w:val="0024042A"/>
    <w:rsid w:val="00240705"/>
    <w:rsid w:val="00240E34"/>
    <w:rsid w:val="002412C6"/>
    <w:rsid w:val="002424AF"/>
    <w:rsid w:val="002425AF"/>
    <w:rsid w:val="002428B9"/>
    <w:rsid w:val="00242B07"/>
    <w:rsid w:val="00242FD4"/>
    <w:rsid w:val="002439DC"/>
    <w:rsid w:val="002441D2"/>
    <w:rsid w:val="002443F7"/>
    <w:rsid w:val="00244B97"/>
    <w:rsid w:val="00244DC8"/>
    <w:rsid w:val="002458BA"/>
    <w:rsid w:val="00245CE9"/>
    <w:rsid w:val="0024636C"/>
    <w:rsid w:val="00246D38"/>
    <w:rsid w:val="00247612"/>
    <w:rsid w:val="00247925"/>
    <w:rsid w:val="002508C5"/>
    <w:rsid w:val="00251006"/>
    <w:rsid w:val="002510A5"/>
    <w:rsid w:val="00251D3F"/>
    <w:rsid w:val="00251E42"/>
    <w:rsid w:val="002524D5"/>
    <w:rsid w:val="002535D4"/>
    <w:rsid w:val="00253B1D"/>
    <w:rsid w:val="00254DCF"/>
    <w:rsid w:val="0025534B"/>
    <w:rsid w:val="00255BB7"/>
    <w:rsid w:val="002563D0"/>
    <w:rsid w:val="002563EF"/>
    <w:rsid w:val="00257541"/>
    <w:rsid w:val="00257A39"/>
    <w:rsid w:val="00257AC4"/>
    <w:rsid w:val="00257BBE"/>
    <w:rsid w:val="002607A1"/>
    <w:rsid w:val="00261EEF"/>
    <w:rsid w:val="00262A1A"/>
    <w:rsid w:val="00262A87"/>
    <w:rsid w:val="00262F05"/>
    <w:rsid w:val="00263A3D"/>
    <w:rsid w:val="00264D26"/>
    <w:rsid w:val="00265548"/>
    <w:rsid w:val="00266D5D"/>
    <w:rsid w:val="00266D6E"/>
    <w:rsid w:val="00267642"/>
    <w:rsid w:val="00267AEA"/>
    <w:rsid w:val="002700E6"/>
    <w:rsid w:val="002703AA"/>
    <w:rsid w:val="0027294B"/>
    <w:rsid w:val="00273EB4"/>
    <w:rsid w:val="00274682"/>
    <w:rsid w:val="00274CE0"/>
    <w:rsid w:val="00275158"/>
    <w:rsid w:val="00275C5A"/>
    <w:rsid w:val="00276161"/>
    <w:rsid w:val="00277104"/>
    <w:rsid w:val="0027776C"/>
    <w:rsid w:val="00277F6D"/>
    <w:rsid w:val="00280B01"/>
    <w:rsid w:val="00281014"/>
    <w:rsid w:val="00281431"/>
    <w:rsid w:val="00281642"/>
    <w:rsid w:val="00285AC1"/>
    <w:rsid w:val="00285BCE"/>
    <w:rsid w:val="00285D14"/>
    <w:rsid w:val="0028665D"/>
    <w:rsid w:val="00286673"/>
    <w:rsid w:val="002869EB"/>
    <w:rsid w:val="002870FA"/>
    <w:rsid w:val="00287422"/>
    <w:rsid w:val="00292D06"/>
    <w:rsid w:val="00295843"/>
    <w:rsid w:val="002960A9"/>
    <w:rsid w:val="0029688B"/>
    <w:rsid w:val="002A14AB"/>
    <w:rsid w:val="002A1654"/>
    <w:rsid w:val="002A205A"/>
    <w:rsid w:val="002A2933"/>
    <w:rsid w:val="002A2ADE"/>
    <w:rsid w:val="002A2F50"/>
    <w:rsid w:val="002A414A"/>
    <w:rsid w:val="002A45F6"/>
    <w:rsid w:val="002A52EF"/>
    <w:rsid w:val="002A5BE9"/>
    <w:rsid w:val="002A6689"/>
    <w:rsid w:val="002A737B"/>
    <w:rsid w:val="002A7943"/>
    <w:rsid w:val="002B05A1"/>
    <w:rsid w:val="002B09A4"/>
    <w:rsid w:val="002B1C1F"/>
    <w:rsid w:val="002B2AD8"/>
    <w:rsid w:val="002B3FAF"/>
    <w:rsid w:val="002B432F"/>
    <w:rsid w:val="002B62B3"/>
    <w:rsid w:val="002B6754"/>
    <w:rsid w:val="002B67CE"/>
    <w:rsid w:val="002B6CCE"/>
    <w:rsid w:val="002C2510"/>
    <w:rsid w:val="002C2775"/>
    <w:rsid w:val="002C27C1"/>
    <w:rsid w:val="002C2EBD"/>
    <w:rsid w:val="002C36E3"/>
    <w:rsid w:val="002C5099"/>
    <w:rsid w:val="002C5889"/>
    <w:rsid w:val="002C5E1B"/>
    <w:rsid w:val="002C6577"/>
    <w:rsid w:val="002C6B4C"/>
    <w:rsid w:val="002C6CB6"/>
    <w:rsid w:val="002C71CE"/>
    <w:rsid w:val="002C7895"/>
    <w:rsid w:val="002C7AB9"/>
    <w:rsid w:val="002C7E0A"/>
    <w:rsid w:val="002D0127"/>
    <w:rsid w:val="002D08F8"/>
    <w:rsid w:val="002D577C"/>
    <w:rsid w:val="002D6C70"/>
    <w:rsid w:val="002D7449"/>
    <w:rsid w:val="002D7832"/>
    <w:rsid w:val="002D78BC"/>
    <w:rsid w:val="002E00E5"/>
    <w:rsid w:val="002E1071"/>
    <w:rsid w:val="002E15B9"/>
    <w:rsid w:val="002E19F4"/>
    <w:rsid w:val="002E2158"/>
    <w:rsid w:val="002E2BF5"/>
    <w:rsid w:val="002E3141"/>
    <w:rsid w:val="002E4F02"/>
    <w:rsid w:val="002E4F0B"/>
    <w:rsid w:val="002E6954"/>
    <w:rsid w:val="002E7722"/>
    <w:rsid w:val="002F0525"/>
    <w:rsid w:val="002F07BA"/>
    <w:rsid w:val="002F0DA9"/>
    <w:rsid w:val="002F1014"/>
    <w:rsid w:val="002F1D40"/>
    <w:rsid w:val="002F1E3B"/>
    <w:rsid w:val="002F4B9F"/>
    <w:rsid w:val="002F59C6"/>
    <w:rsid w:val="002F643C"/>
    <w:rsid w:val="002F71C0"/>
    <w:rsid w:val="002F74F1"/>
    <w:rsid w:val="002F78E2"/>
    <w:rsid w:val="00301017"/>
    <w:rsid w:val="0030155F"/>
    <w:rsid w:val="00302462"/>
    <w:rsid w:val="00303344"/>
    <w:rsid w:val="003041C7"/>
    <w:rsid w:val="0030587B"/>
    <w:rsid w:val="00306D98"/>
    <w:rsid w:val="0030786C"/>
    <w:rsid w:val="00307DA7"/>
    <w:rsid w:val="0031031A"/>
    <w:rsid w:val="0031051D"/>
    <w:rsid w:val="00310981"/>
    <w:rsid w:val="00311040"/>
    <w:rsid w:val="00311BCF"/>
    <w:rsid w:val="00311D6E"/>
    <w:rsid w:val="00311D9B"/>
    <w:rsid w:val="003124D9"/>
    <w:rsid w:val="00312594"/>
    <w:rsid w:val="0031307E"/>
    <w:rsid w:val="003142D8"/>
    <w:rsid w:val="00314346"/>
    <w:rsid w:val="00315498"/>
    <w:rsid w:val="00316474"/>
    <w:rsid w:val="00316AC4"/>
    <w:rsid w:val="00317183"/>
    <w:rsid w:val="00317F9D"/>
    <w:rsid w:val="003200EA"/>
    <w:rsid w:val="00320A45"/>
    <w:rsid w:val="00321B58"/>
    <w:rsid w:val="00322107"/>
    <w:rsid w:val="00322355"/>
    <w:rsid w:val="00322846"/>
    <w:rsid w:val="00322AF4"/>
    <w:rsid w:val="00323099"/>
    <w:rsid w:val="003248A0"/>
    <w:rsid w:val="00324CA5"/>
    <w:rsid w:val="00324D7F"/>
    <w:rsid w:val="00325B77"/>
    <w:rsid w:val="00326DA7"/>
    <w:rsid w:val="003270E4"/>
    <w:rsid w:val="0033062F"/>
    <w:rsid w:val="003309C5"/>
    <w:rsid w:val="00330DAA"/>
    <w:rsid w:val="00330F5C"/>
    <w:rsid w:val="00331B63"/>
    <w:rsid w:val="0033540B"/>
    <w:rsid w:val="003366C9"/>
    <w:rsid w:val="0033671F"/>
    <w:rsid w:val="003371B0"/>
    <w:rsid w:val="00340DF1"/>
    <w:rsid w:val="00342759"/>
    <w:rsid w:val="00342D78"/>
    <w:rsid w:val="0034372C"/>
    <w:rsid w:val="00346ED4"/>
    <w:rsid w:val="00350871"/>
    <w:rsid w:val="00350C17"/>
    <w:rsid w:val="003517F9"/>
    <w:rsid w:val="00351BA9"/>
    <w:rsid w:val="00354F64"/>
    <w:rsid w:val="00355512"/>
    <w:rsid w:val="00355C4A"/>
    <w:rsid w:val="00355FC8"/>
    <w:rsid w:val="0035620E"/>
    <w:rsid w:val="00356627"/>
    <w:rsid w:val="003575BE"/>
    <w:rsid w:val="00360345"/>
    <w:rsid w:val="00361A05"/>
    <w:rsid w:val="003624C4"/>
    <w:rsid w:val="003627B6"/>
    <w:rsid w:val="00363606"/>
    <w:rsid w:val="00363A2E"/>
    <w:rsid w:val="00363B00"/>
    <w:rsid w:val="003654AC"/>
    <w:rsid w:val="00366346"/>
    <w:rsid w:val="003672FC"/>
    <w:rsid w:val="003706F2"/>
    <w:rsid w:val="003708D0"/>
    <w:rsid w:val="003710CF"/>
    <w:rsid w:val="0037125F"/>
    <w:rsid w:val="0037161A"/>
    <w:rsid w:val="0037358A"/>
    <w:rsid w:val="00374F08"/>
    <w:rsid w:val="003750F6"/>
    <w:rsid w:val="003759BE"/>
    <w:rsid w:val="003760FC"/>
    <w:rsid w:val="00377926"/>
    <w:rsid w:val="00382A92"/>
    <w:rsid w:val="0038365C"/>
    <w:rsid w:val="0038369B"/>
    <w:rsid w:val="00383B78"/>
    <w:rsid w:val="00383C54"/>
    <w:rsid w:val="00383CE4"/>
    <w:rsid w:val="00384892"/>
    <w:rsid w:val="0038525D"/>
    <w:rsid w:val="00385696"/>
    <w:rsid w:val="00385A9D"/>
    <w:rsid w:val="00386572"/>
    <w:rsid w:val="00387121"/>
    <w:rsid w:val="0039010A"/>
    <w:rsid w:val="003902B1"/>
    <w:rsid w:val="00390D26"/>
    <w:rsid w:val="0039179C"/>
    <w:rsid w:val="003920E4"/>
    <w:rsid w:val="003929FF"/>
    <w:rsid w:val="00392B64"/>
    <w:rsid w:val="0039346F"/>
    <w:rsid w:val="0039459E"/>
    <w:rsid w:val="00396896"/>
    <w:rsid w:val="00396FD0"/>
    <w:rsid w:val="003A1A7A"/>
    <w:rsid w:val="003A1F3A"/>
    <w:rsid w:val="003A2392"/>
    <w:rsid w:val="003A2831"/>
    <w:rsid w:val="003A295C"/>
    <w:rsid w:val="003A2B93"/>
    <w:rsid w:val="003A3BC2"/>
    <w:rsid w:val="003A3CB6"/>
    <w:rsid w:val="003A3DBF"/>
    <w:rsid w:val="003A3ED1"/>
    <w:rsid w:val="003A4076"/>
    <w:rsid w:val="003A44DB"/>
    <w:rsid w:val="003A4C14"/>
    <w:rsid w:val="003A5810"/>
    <w:rsid w:val="003B023C"/>
    <w:rsid w:val="003B038E"/>
    <w:rsid w:val="003B074A"/>
    <w:rsid w:val="003B13AE"/>
    <w:rsid w:val="003B1EE9"/>
    <w:rsid w:val="003B2DF5"/>
    <w:rsid w:val="003B365F"/>
    <w:rsid w:val="003B3971"/>
    <w:rsid w:val="003B3CDD"/>
    <w:rsid w:val="003B5175"/>
    <w:rsid w:val="003B55D1"/>
    <w:rsid w:val="003B5845"/>
    <w:rsid w:val="003B5B61"/>
    <w:rsid w:val="003B7511"/>
    <w:rsid w:val="003C1654"/>
    <w:rsid w:val="003C20EA"/>
    <w:rsid w:val="003C3589"/>
    <w:rsid w:val="003C489E"/>
    <w:rsid w:val="003C5542"/>
    <w:rsid w:val="003C5A74"/>
    <w:rsid w:val="003C7C15"/>
    <w:rsid w:val="003C7C97"/>
    <w:rsid w:val="003C7D19"/>
    <w:rsid w:val="003C7D2F"/>
    <w:rsid w:val="003D0A74"/>
    <w:rsid w:val="003D0C5A"/>
    <w:rsid w:val="003D1111"/>
    <w:rsid w:val="003D1828"/>
    <w:rsid w:val="003D182F"/>
    <w:rsid w:val="003D1DE4"/>
    <w:rsid w:val="003D1E9A"/>
    <w:rsid w:val="003D2422"/>
    <w:rsid w:val="003D39A1"/>
    <w:rsid w:val="003D3FBF"/>
    <w:rsid w:val="003D4A30"/>
    <w:rsid w:val="003D50E7"/>
    <w:rsid w:val="003D73FA"/>
    <w:rsid w:val="003D7452"/>
    <w:rsid w:val="003D79BB"/>
    <w:rsid w:val="003D79FD"/>
    <w:rsid w:val="003D7C98"/>
    <w:rsid w:val="003D7D9D"/>
    <w:rsid w:val="003E0144"/>
    <w:rsid w:val="003E0543"/>
    <w:rsid w:val="003E11B6"/>
    <w:rsid w:val="003E2426"/>
    <w:rsid w:val="003E3B9A"/>
    <w:rsid w:val="003E49F7"/>
    <w:rsid w:val="003E5603"/>
    <w:rsid w:val="003E6FD2"/>
    <w:rsid w:val="003E749E"/>
    <w:rsid w:val="003F051A"/>
    <w:rsid w:val="003F0665"/>
    <w:rsid w:val="003F0D82"/>
    <w:rsid w:val="003F0FB1"/>
    <w:rsid w:val="003F19C7"/>
    <w:rsid w:val="003F1CCB"/>
    <w:rsid w:val="003F2DD9"/>
    <w:rsid w:val="003F390B"/>
    <w:rsid w:val="003F4156"/>
    <w:rsid w:val="003F4908"/>
    <w:rsid w:val="003F49A0"/>
    <w:rsid w:val="003F5ADF"/>
    <w:rsid w:val="003F6414"/>
    <w:rsid w:val="00400B29"/>
    <w:rsid w:val="0040192E"/>
    <w:rsid w:val="00402812"/>
    <w:rsid w:val="00403DB6"/>
    <w:rsid w:val="0040414D"/>
    <w:rsid w:val="00404D80"/>
    <w:rsid w:val="0040504B"/>
    <w:rsid w:val="004059F4"/>
    <w:rsid w:val="00406521"/>
    <w:rsid w:val="00406A21"/>
    <w:rsid w:val="0040760A"/>
    <w:rsid w:val="00407FE5"/>
    <w:rsid w:val="004101B0"/>
    <w:rsid w:val="0041020A"/>
    <w:rsid w:val="00410326"/>
    <w:rsid w:val="0041045F"/>
    <w:rsid w:val="0041058F"/>
    <w:rsid w:val="00410708"/>
    <w:rsid w:val="00410EC7"/>
    <w:rsid w:val="00411A5B"/>
    <w:rsid w:val="00411B39"/>
    <w:rsid w:val="00411F50"/>
    <w:rsid w:val="00412157"/>
    <w:rsid w:val="004127A7"/>
    <w:rsid w:val="00413A1E"/>
    <w:rsid w:val="00413F34"/>
    <w:rsid w:val="00414476"/>
    <w:rsid w:val="00414481"/>
    <w:rsid w:val="00414B09"/>
    <w:rsid w:val="00414C2E"/>
    <w:rsid w:val="004151CF"/>
    <w:rsid w:val="00415717"/>
    <w:rsid w:val="00416364"/>
    <w:rsid w:val="004169CD"/>
    <w:rsid w:val="0042047F"/>
    <w:rsid w:val="00420AA6"/>
    <w:rsid w:val="00420B9F"/>
    <w:rsid w:val="0042192C"/>
    <w:rsid w:val="00422260"/>
    <w:rsid w:val="004226AA"/>
    <w:rsid w:val="0042413F"/>
    <w:rsid w:val="00426AF3"/>
    <w:rsid w:val="00426C96"/>
    <w:rsid w:val="004319F8"/>
    <w:rsid w:val="00431E55"/>
    <w:rsid w:val="004321F6"/>
    <w:rsid w:val="00432298"/>
    <w:rsid w:val="00433044"/>
    <w:rsid w:val="004337E7"/>
    <w:rsid w:val="00433D57"/>
    <w:rsid w:val="00434088"/>
    <w:rsid w:val="00434703"/>
    <w:rsid w:val="00434D2E"/>
    <w:rsid w:val="004352D3"/>
    <w:rsid w:val="00437196"/>
    <w:rsid w:val="004375B9"/>
    <w:rsid w:val="00437692"/>
    <w:rsid w:val="004401F2"/>
    <w:rsid w:val="00440A1E"/>
    <w:rsid w:val="0044162F"/>
    <w:rsid w:val="00441E29"/>
    <w:rsid w:val="004428D0"/>
    <w:rsid w:val="004434A5"/>
    <w:rsid w:val="00444185"/>
    <w:rsid w:val="004443A7"/>
    <w:rsid w:val="0044442C"/>
    <w:rsid w:val="00445941"/>
    <w:rsid w:val="004464EB"/>
    <w:rsid w:val="00446D92"/>
    <w:rsid w:val="00447D26"/>
    <w:rsid w:val="00447DFC"/>
    <w:rsid w:val="004502A9"/>
    <w:rsid w:val="00450E7B"/>
    <w:rsid w:val="004510DA"/>
    <w:rsid w:val="0045154C"/>
    <w:rsid w:val="004520BE"/>
    <w:rsid w:val="00452BED"/>
    <w:rsid w:val="004538F2"/>
    <w:rsid w:val="004540D0"/>
    <w:rsid w:val="00455119"/>
    <w:rsid w:val="00455D45"/>
    <w:rsid w:val="004617E5"/>
    <w:rsid w:val="00461A9F"/>
    <w:rsid w:val="00461FBE"/>
    <w:rsid w:val="00463E24"/>
    <w:rsid w:val="0046428E"/>
    <w:rsid w:val="00464595"/>
    <w:rsid w:val="004658B5"/>
    <w:rsid w:val="00466F33"/>
    <w:rsid w:val="00470002"/>
    <w:rsid w:val="004700EE"/>
    <w:rsid w:val="00470246"/>
    <w:rsid w:val="00471EA5"/>
    <w:rsid w:val="00472165"/>
    <w:rsid w:val="00472A79"/>
    <w:rsid w:val="004732B9"/>
    <w:rsid w:val="00473F19"/>
    <w:rsid w:val="00474919"/>
    <w:rsid w:val="00475261"/>
    <w:rsid w:val="00475C34"/>
    <w:rsid w:val="00475E22"/>
    <w:rsid w:val="00475F89"/>
    <w:rsid w:val="004772DF"/>
    <w:rsid w:val="0047783C"/>
    <w:rsid w:val="00477C66"/>
    <w:rsid w:val="004807A8"/>
    <w:rsid w:val="0048088E"/>
    <w:rsid w:val="00480F2B"/>
    <w:rsid w:val="0048160F"/>
    <w:rsid w:val="00481DBB"/>
    <w:rsid w:val="00482720"/>
    <w:rsid w:val="004835E7"/>
    <w:rsid w:val="0048387C"/>
    <w:rsid w:val="00484D82"/>
    <w:rsid w:val="00485632"/>
    <w:rsid w:val="004859E1"/>
    <w:rsid w:val="00486400"/>
    <w:rsid w:val="004866F3"/>
    <w:rsid w:val="004867E2"/>
    <w:rsid w:val="00487256"/>
    <w:rsid w:val="004878BD"/>
    <w:rsid w:val="00487C50"/>
    <w:rsid w:val="004904BC"/>
    <w:rsid w:val="00490B17"/>
    <w:rsid w:val="00491B3A"/>
    <w:rsid w:val="00491C32"/>
    <w:rsid w:val="00492A15"/>
    <w:rsid w:val="00492CFD"/>
    <w:rsid w:val="00492E0C"/>
    <w:rsid w:val="00493875"/>
    <w:rsid w:val="00494207"/>
    <w:rsid w:val="004949CB"/>
    <w:rsid w:val="00494DD5"/>
    <w:rsid w:val="004955ED"/>
    <w:rsid w:val="00495949"/>
    <w:rsid w:val="00496250"/>
    <w:rsid w:val="004962D2"/>
    <w:rsid w:val="00496FA0"/>
    <w:rsid w:val="00497D15"/>
    <w:rsid w:val="004A0B60"/>
    <w:rsid w:val="004A0DA1"/>
    <w:rsid w:val="004A0FA3"/>
    <w:rsid w:val="004A13D6"/>
    <w:rsid w:val="004A269C"/>
    <w:rsid w:val="004A339E"/>
    <w:rsid w:val="004A52E9"/>
    <w:rsid w:val="004A53BC"/>
    <w:rsid w:val="004A6040"/>
    <w:rsid w:val="004A6597"/>
    <w:rsid w:val="004A662E"/>
    <w:rsid w:val="004A6B8B"/>
    <w:rsid w:val="004A7848"/>
    <w:rsid w:val="004A793B"/>
    <w:rsid w:val="004B0089"/>
    <w:rsid w:val="004B1CB4"/>
    <w:rsid w:val="004B1EEE"/>
    <w:rsid w:val="004B2F18"/>
    <w:rsid w:val="004B3748"/>
    <w:rsid w:val="004B384B"/>
    <w:rsid w:val="004B3A09"/>
    <w:rsid w:val="004B3C54"/>
    <w:rsid w:val="004B3DDB"/>
    <w:rsid w:val="004B44FD"/>
    <w:rsid w:val="004B519B"/>
    <w:rsid w:val="004B55A2"/>
    <w:rsid w:val="004B5CFC"/>
    <w:rsid w:val="004B6336"/>
    <w:rsid w:val="004B643A"/>
    <w:rsid w:val="004B6822"/>
    <w:rsid w:val="004B69E1"/>
    <w:rsid w:val="004B6D18"/>
    <w:rsid w:val="004B6F79"/>
    <w:rsid w:val="004B774D"/>
    <w:rsid w:val="004C20D7"/>
    <w:rsid w:val="004C2AC2"/>
    <w:rsid w:val="004C429B"/>
    <w:rsid w:val="004C4AED"/>
    <w:rsid w:val="004C5F35"/>
    <w:rsid w:val="004C6560"/>
    <w:rsid w:val="004C66D1"/>
    <w:rsid w:val="004D2C2D"/>
    <w:rsid w:val="004D69B5"/>
    <w:rsid w:val="004D6B99"/>
    <w:rsid w:val="004D6D14"/>
    <w:rsid w:val="004D7227"/>
    <w:rsid w:val="004D7B5E"/>
    <w:rsid w:val="004E06E0"/>
    <w:rsid w:val="004E0B6F"/>
    <w:rsid w:val="004E0E7F"/>
    <w:rsid w:val="004E0EB8"/>
    <w:rsid w:val="004E1723"/>
    <w:rsid w:val="004E17C3"/>
    <w:rsid w:val="004E18E9"/>
    <w:rsid w:val="004E1CB3"/>
    <w:rsid w:val="004E23A0"/>
    <w:rsid w:val="004E27FF"/>
    <w:rsid w:val="004E2ADC"/>
    <w:rsid w:val="004E43B2"/>
    <w:rsid w:val="004E4FA2"/>
    <w:rsid w:val="004E5407"/>
    <w:rsid w:val="004E601A"/>
    <w:rsid w:val="004E7D7A"/>
    <w:rsid w:val="004F1D02"/>
    <w:rsid w:val="004F2679"/>
    <w:rsid w:val="004F2843"/>
    <w:rsid w:val="004F2F21"/>
    <w:rsid w:val="004F31FC"/>
    <w:rsid w:val="004F357E"/>
    <w:rsid w:val="004F3DE5"/>
    <w:rsid w:val="004F41E3"/>
    <w:rsid w:val="004F6913"/>
    <w:rsid w:val="004F7865"/>
    <w:rsid w:val="004F7CEF"/>
    <w:rsid w:val="004F7D53"/>
    <w:rsid w:val="00500572"/>
    <w:rsid w:val="0050124E"/>
    <w:rsid w:val="00501282"/>
    <w:rsid w:val="005013E2"/>
    <w:rsid w:val="0050174E"/>
    <w:rsid w:val="00501854"/>
    <w:rsid w:val="00501D89"/>
    <w:rsid w:val="00501EF7"/>
    <w:rsid w:val="0050219B"/>
    <w:rsid w:val="005034DC"/>
    <w:rsid w:val="00503F17"/>
    <w:rsid w:val="00503F3A"/>
    <w:rsid w:val="0050521A"/>
    <w:rsid w:val="00505A6C"/>
    <w:rsid w:val="00505AFC"/>
    <w:rsid w:val="00506928"/>
    <w:rsid w:val="005077EF"/>
    <w:rsid w:val="005078CA"/>
    <w:rsid w:val="005102F3"/>
    <w:rsid w:val="005117B7"/>
    <w:rsid w:val="00511AD5"/>
    <w:rsid w:val="00511DC7"/>
    <w:rsid w:val="005142C5"/>
    <w:rsid w:val="0051501B"/>
    <w:rsid w:val="005152B5"/>
    <w:rsid w:val="00515886"/>
    <w:rsid w:val="005159E6"/>
    <w:rsid w:val="00515D0E"/>
    <w:rsid w:val="0052123C"/>
    <w:rsid w:val="00521319"/>
    <w:rsid w:val="00522949"/>
    <w:rsid w:val="00522BC8"/>
    <w:rsid w:val="005239E5"/>
    <w:rsid w:val="00523C28"/>
    <w:rsid w:val="0052553D"/>
    <w:rsid w:val="00525FFC"/>
    <w:rsid w:val="005260E4"/>
    <w:rsid w:val="00527398"/>
    <w:rsid w:val="005313DA"/>
    <w:rsid w:val="0053176B"/>
    <w:rsid w:val="00531F1A"/>
    <w:rsid w:val="00532141"/>
    <w:rsid w:val="00533364"/>
    <w:rsid w:val="0053370C"/>
    <w:rsid w:val="005340E0"/>
    <w:rsid w:val="005341B3"/>
    <w:rsid w:val="00535D1C"/>
    <w:rsid w:val="00536F42"/>
    <w:rsid w:val="00537182"/>
    <w:rsid w:val="00540BF8"/>
    <w:rsid w:val="005418DD"/>
    <w:rsid w:val="00541DF5"/>
    <w:rsid w:val="00541EDD"/>
    <w:rsid w:val="0054222F"/>
    <w:rsid w:val="00542743"/>
    <w:rsid w:val="00542C2D"/>
    <w:rsid w:val="00543CF4"/>
    <w:rsid w:val="00545027"/>
    <w:rsid w:val="005478BD"/>
    <w:rsid w:val="005479E3"/>
    <w:rsid w:val="00550373"/>
    <w:rsid w:val="00550BEF"/>
    <w:rsid w:val="00551985"/>
    <w:rsid w:val="00551C17"/>
    <w:rsid w:val="00552BD3"/>
    <w:rsid w:val="005532A0"/>
    <w:rsid w:val="00553460"/>
    <w:rsid w:val="005535D5"/>
    <w:rsid w:val="005537B3"/>
    <w:rsid w:val="00555109"/>
    <w:rsid w:val="00556B35"/>
    <w:rsid w:val="0055741A"/>
    <w:rsid w:val="00560D0F"/>
    <w:rsid w:val="005611B7"/>
    <w:rsid w:val="005618D4"/>
    <w:rsid w:val="00561CCE"/>
    <w:rsid w:val="0056240A"/>
    <w:rsid w:val="005627BE"/>
    <w:rsid w:val="00563070"/>
    <w:rsid w:val="00564867"/>
    <w:rsid w:val="005655E6"/>
    <w:rsid w:val="00565C79"/>
    <w:rsid w:val="00565CBA"/>
    <w:rsid w:val="00565DF0"/>
    <w:rsid w:val="00565ED6"/>
    <w:rsid w:val="005666D8"/>
    <w:rsid w:val="0056696F"/>
    <w:rsid w:val="00570CCF"/>
    <w:rsid w:val="00572269"/>
    <w:rsid w:val="0057244A"/>
    <w:rsid w:val="00572F26"/>
    <w:rsid w:val="005750C5"/>
    <w:rsid w:val="005752DE"/>
    <w:rsid w:val="00575D60"/>
    <w:rsid w:val="00575D8D"/>
    <w:rsid w:val="00576312"/>
    <w:rsid w:val="00576972"/>
    <w:rsid w:val="00577248"/>
    <w:rsid w:val="00577C73"/>
    <w:rsid w:val="0058032C"/>
    <w:rsid w:val="0058106B"/>
    <w:rsid w:val="00582C10"/>
    <w:rsid w:val="00583649"/>
    <w:rsid w:val="00583699"/>
    <w:rsid w:val="00585C26"/>
    <w:rsid w:val="00585CDD"/>
    <w:rsid w:val="00586EAB"/>
    <w:rsid w:val="00587058"/>
    <w:rsid w:val="00591957"/>
    <w:rsid w:val="00594153"/>
    <w:rsid w:val="00595172"/>
    <w:rsid w:val="005952BE"/>
    <w:rsid w:val="0059695A"/>
    <w:rsid w:val="005969EA"/>
    <w:rsid w:val="00597A94"/>
    <w:rsid w:val="00597BF9"/>
    <w:rsid w:val="005A0832"/>
    <w:rsid w:val="005A0C11"/>
    <w:rsid w:val="005A309A"/>
    <w:rsid w:val="005A373D"/>
    <w:rsid w:val="005A4BF8"/>
    <w:rsid w:val="005A68E4"/>
    <w:rsid w:val="005A7E5C"/>
    <w:rsid w:val="005B0B58"/>
    <w:rsid w:val="005B35C1"/>
    <w:rsid w:val="005B44B6"/>
    <w:rsid w:val="005B4E53"/>
    <w:rsid w:val="005B5857"/>
    <w:rsid w:val="005B64A2"/>
    <w:rsid w:val="005B6565"/>
    <w:rsid w:val="005B6751"/>
    <w:rsid w:val="005B6A9A"/>
    <w:rsid w:val="005B6B98"/>
    <w:rsid w:val="005C0A87"/>
    <w:rsid w:val="005C19C4"/>
    <w:rsid w:val="005C1B83"/>
    <w:rsid w:val="005C2186"/>
    <w:rsid w:val="005C25FF"/>
    <w:rsid w:val="005C2D55"/>
    <w:rsid w:val="005C346B"/>
    <w:rsid w:val="005C3F7E"/>
    <w:rsid w:val="005C4EB8"/>
    <w:rsid w:val="005C5ABC"/>
    <w:rsid w:val="005C769B"/>
    <w:rsid w:val="005D0267"/>
    <w:rsid w:val="005D044D"/>
    <w:rsid w:val="005D0ABD"/>
    <w:rsid w:val="005D18AD"/>
    <w:rsid w:val="005D26B4"/>
    <w:rsid w:val="005D2CAF"/>
    <w:rsid w:val="005D3375"/>
    <w:rsid w:val="005D591C"/>
    <w:rsid w:val="005D5C40"/>
    <w:rsid w:val="005D6152"/>
    <w:rsid w:val="005D6984"/>
    <w:rsid w:val="005D7007"/>
    <w:rsid w:val="005D739D"/>
    <w:rsid w:val="005E0AE0"/>
    <w:rsid w:val="005E14F5"/>
    <w:rsid w:val="005E1995"/>
    <w:rsid w:val="005E1C11"/>
    <w:rsid w:val="005E2394"/>
    <w:rsid w:val="005E4A71"/>
    <w:rsid w:val="005E6CBC"/>
    <w:rsid w:val="005E72FF"/>
    <w:rsid w:val="005E73C0"/>
    <w:rsid w:val="005E7B60"/>
    <w:rsid w:val="005F07ED"/>
    <w:rsid w:val="005F1842"/>
    <w:rsid w:val="005F1B47"/>
    <w:rsid w:val="005F25CA"/>
    <w:rsid w:val="005F265D"/>
    <w:rsid w:val="005F2706"/>
    <w:rsid w:val="005F2C9E"/>
    <w:rsid w:val="005F42B0"/>
    <w:rsid w:val="005F4F5A"/>
    <w:rsid w:val="005F5A51"/>
    <w:rsid w:val="005F6241"/>
    <w:rsid w:val="005F665F"/>
    <w:rsid w:val="005F6A8F"/>
    <w:rsid w:val="005F6BB7"/>
    <w:rsid w:val="005F71DB"/>
    <w:rsid w:val="005F7588"/>
    <w:rsid w:val="006006C7"/>
    <w:rsid w:val="0060146F"/>
    <w:rsid w:val="006029F1"/>
    <w:rsid w:val="00603DB9"/>
    <w:rsid w:val="006048D1"/>
    <w:rsid w:val="006064C5"/>
    <w:rsid w:val="00606C3A"/>
    <w:rsid w:val="00606FBA"/>
    <w:rsid w:val="00607669"/>
    <w:rsid w:val="006076F4"/>
    <w:rsid w:val="006079D6"/>
    <w:rsid w:val="00607A7D"/>
    <w:rsid w:val="00607AFD"/>
    <w:rsid w:val="00610081"/>
    <w:rsid w:val="0061026A"/>
    <w:rsid w:val="00611828"/>
    <w:rsid w:val="00611B12"/>
    <w:rsid w:val="00611EE5"/>
    <w:rsid w:val="00612D41"/>
    <w:rsid w:val="00612E52"/>
    <w:rsid w:val="00612F97"/>
    <w:rsid w:val="0061345D"/>
    <w:rsid w:val="00614DD8"/>
    <w:rsid w:val="0061549B"/>
    <w:rsid w:val="00615504"/>
    <w:rsid w:val="00616802"/>
    <w:rsid w:val="00617E12"/>
    <w:rsid w:val="00620C25"/>
    <w:rsid w:val="00621477"/>
    <w:rsid w:val="00621ADA"/>
    <w:rsid w:val="00621F34"/>
    <w:rsid w:val="00622C4B"/>
    <w:rsid w:val="00623382"/>
    <w:rsid w:val="00623695"/>
    <w:rsid w:val="006239D1"/>
    <w:rsid w:val="00623F7B"/>
    <w:rsid w:val="006249D3"/>
    <w:rsid w:val="00624A56"/>
    <w:rsid w:val="00624BD4"/>
    <w:rsid w:val="00625940"/>
    <w:rsid w:val="006263FF"/>
    <w:rsid w:val="0062778E"/>
    <w:rsid w:val="0063158F"/>
    <w:rsid w:val="00631D6B"/>
    <w:rsid w:val="00632183"/>
    <w:rsid w:val="00632648"/>
    <w:rsid w:val="00633094"/>
    <w:rsid w:val="006330A1"/>
    <w:rsid w:val="00633277"/>
    <w:rsid w:val="00633C29"/>
    <w:rsid w:val="0063479F"/>
    <w:rsid w:val="006353F0"/>
    <w:rsid w:val="00635563"/>
    <w:rsid w:val="006357B5"/>
    <w:rsid w:val="006359E9"/>
    <w:rsid w:val="006364A1"/>
    <w:rsid w:val="0063678E"/>
    <w:rsid w:val="00637074"/>
    <w:rsid w:val="00637BFD"/>
    <w:rsid w:val="00637C5C"/>
    <w:rsid w:val="00637EAE"/>
    <w:rsid w:val="00641BA1"/>
    <w:rsid w:val="00641C3F"/>
    <w:rsid w:val="00641C4E"/>
    <w:rsid w:val="00641FB3"/>
    <w:rsid w:val="0064434C"/>
    <w:rsid w:val="0064563B"/>
    <w:rsid w:val="006471CC"/>
    <w:rsid w:val="006472FE"/>
    <w:rsid w:val="00647A29"/>
    <w:rsid w:val="0065079F"/>
    <w:rsid w:val="006508D0"/>
    <w:rsid w:val="00651228"/>
    <w:rsid w:val="00651F90"/>
    <w:rsid w:val="00652009"/>
    <w:rsid w:val="0065219C"/>
    <w:rsid w:val="00652A28"/>
    <w:rsid w:val="0065379F"/>
    <w:rsid w:val="0065395C"/>
    <w:rsid w:val="006544EA"/>
    <w:rsid w:val="006546A5"/>
    <w:rsid w:val="00654BB8"/>
    <w:rsid w:val="00656188"/>
    <w:rsid w:val="0065715A"/>
    <w:rsid w:val="00657C02"/>
    <w:rsid w:val="006610F1"/>
    <w:rsid w:val="00661C6B"/>
    <w:rsid w:val="00662008"/>
    <w:rsid w:val="006621F6"/>
    <w:rsid w:val="006628B1"/>
    <w:rsid w:val="00662D3E"/>
    <w:rsid w:val="00662E45"/>
    <w:rsid w:val="00664501"/>
    <w:rsid w:val="006672BD"/>
    <w:rsid w:val="00667BE3"/>
    <w:rsid w:val="006700CC"/>
    <w:rsid w:val="006705CC"/>
    <w:rsid w:val="006706D1"/>
    <w:rsid w:val="0067078D"/>
    <w:rsid w:val="00671004"/>
    <w:rsid w:val="00672473"/>
    <w:rsid w:val="00672646"/>
    <w:rsid w:val="006732BB"/>
    <w:rsid w:val="00673468"/>
    <w:rsid w:val="0067381F"/>
    <w:rsid w:val="00674E42"/>
    <w:rsid w:val="00675796"/>
    <w:rsid w:val="00676563"/>
    <w:rsid w:val="00677C95"/>
    <w:rsid w:val="00680ACC"/>
    <w:rsid w:val="006813F8"/>
    <w:rsid w:val="00681C7C"/>
    <w:rsid w:val="00682112"/>
    <w:rsid w:val="00682BA6"/>
    <w:rsid w:val="00682D74"/>
    <w:rsid w:val="006846FE"/>
    <w:rsid w:val="00685168"/>
    <w:rsid w:val="006853AC"/>
    <w:rsid w:val="0068562F"/>
    <w:rsid w:val="00686957"/>
    <w:rsid w:val="006872BA"/>
    <w:rsid w:val="006879E3"/>
    <w:rsid w:val="00690667"/>
    <w:rsid w:val="00690795"/>
    <w:rsid w:val="0069101B"/>
    <w:rsid w:val="00691230"/>
    <w:rsid w:val="00691271"/>
    <w:rsid w:val="00691648"/>
    <w:rsid w:val="006917D7"/>
    <w:rsid w:val="00691D4F"/>
    <w:rsid w:val="0069366C"/>
    <w:rsid w:val="00693B5E"/>
    <w:rsid w:val="00693E0E"/>
    <w:rsid w:val="0069434C"/>
    <w:rsid w:val="00694634"/>
    <w:rsid w:val="00694F44"/>
    <w:rsid w:val="00696EF9"/>
    <w:rsid w:val="00696F51"/>
    <w:rsid w:val="00697424"/>
    <w:rsid w:val="006979A5"/>
    <w:rsid w:val="006A016F"/>
    <w:rsid w:val="006A0548"/>
    <w:rsid w:val="006A0DF7"/>
    <w:rsid w:val="006A1433"/>
    <w:rsid w:val="006A2256"/>
    <w:rsid w:val="006A2A5E"/>
    <w:rsid w:val="006A4321"/>
    <w:rsid w:val="006A43D9"/>
    <w:rsid w:val="006A4A6B"/>
    <w:rsid w:val="006A6524"/>
    <w:rsid w:val="006A6B99"/>
    <w:rsid w:val="006A743F"/>
    <w:rsid w:val="006A7D29"/>
    <w:rsid w:val="006A7E5F"/>
    <w:rsid w:val="006B0ED0"/>
    <w:rsid w:val="006B1B20"/>
    <w:rsid w:val="006B1FED"/>
    <w:rsid w:val="006B261B"/>
    <w:rsid w:val="006B2C90"/>
    <w:rsid w:val="006B35E6"/>
    <w:rsid w:val="006B3728"/>
    <w:rsid w:val="006B465A"/>
    <w:rsid w:val="006B6DD0"/>
    <w:rsid w:val="006B7D2C"/>
    <w:rsid w:val="006C0399"/>
    <w:rsid w:val="006C1DD8"/>
    <w:rsid w:val="006C2A8E"/>
    <w:rsid w:val="006C31E1"/>
    <w:rsid w:val="006C3255"/>
    <w:rsid w:val="006C3A93"/>
    <w:rsid w:val="006C3F26"/>
    <w:rsid w:val="006C3F4F"/>
    <w:rsid w:val="006C598B"/>
    <w:rsid w:val="006C6266"/>
    <w:rsid w:val="006C62D9"/>
    <w:rsid w:val="006C657A"/>
    <w:rsid w:val="006C6ADB"/>
    <w:rsid w:val="006D0D17"/>
    <w:rsid w:val="006D1F21"/>
    <w:rsid w:val="006D2225"/>
    <w:rsid w:val="006D24E6"/>
    <w:rsid w:val="006D2CE4"/>
    <w:rsid w:val="006D3C7D"/>
    <w:rsid w:val="006D4659"/>
    <w:rsid w:val="006D509E"/>
    <w:rsid w:val="006D5D5F"/>
    <w:rsid w:val="006D68FB"/>
    <w:rsid w:val="006E0DF4"/>
    <w:rsid w:val="006E11AB"/>
    <w:rsid w:val="006E1EE7"/>
    <w:rsid w:val="006E2868"/>
    <w:rsid w:val="006E32D4"/>
    <w:rsid w:val="006E3749"/>
    <w:rsid w:val="006F0F53"/>
    <w:rsid w:val="006F306C"/>
    <w:rsid w:val="006F533C"/>
    <w:rsid w:val="006F5627"/>
    <w:rsid w:val="006F63A5"/>
    <w:rsid w:val="006F72EE"/>
    <w:rsid w:val="006F74BD"/>
    <w:rsid w:val="006F7C93"/>
    <w:rsid w:val="00700832"/>
    <w:rsid w:val="0070142B"/>
    <w:rsid w:val="0070276E"/>
    <w:rsid w:val="00702F8F"/>
    <w:rsid w:val="00703127"/>
    <w:rsid w:val="00704DEC"/>
    <w:rsid w:val="00706B6F"/>
    <w:rsid w:val="00706D73"/>
    <w:rsid w:val="007077B8"/>
    <w:rsid w:val="007079FC"/>
    <w:rsid w:val="0071162F"/>
    <w:rsid w:val="00711A36"/>
    <w:rsid w:val="007125D3"/>
    <w:rsid w:val="007127DB"/>
    <w:rsid w:val="007129F8"/>
    <w:rsid w:val="00712AD3"/>
    <w:rsid w:val="007135FB"/>
    <w:rsid w:val="00713E23"/>
    <w:rsid w:val="00714C26"/>
    <w:rsid w:val="00714E96"/>
    <w:rsid w:val="0071529C"/>
    <w:rsid w:val="007170DA"/>
    <w:rsid w:val="0071725A"/>
    <w:rsid w:val="007172AD"/>
    <w:rsid w:val="00717354"/>
    <w:rsid w:val="00717546"/>
    <w:rsid w:val="007207DA"/>
    <w:rsid w:val="00720801"/>
    <w:rsid w:val="00721867"/>
    <w:rsid w:val="00722B1B"/>
    <w:rsid w:val="007232FE"/>
    <w:rsid w:val="0072416F"/>
    <w:rsid w:val="00724C80"/>
    <w:rsid w:val="0072502A"/>
    <w:rsid w:val="007266E8"/>
    <w:rsid w:val="00726ECF"/>
    <w:rsid w:val="00726EF5"/>
    <w:rsid w:val="0072728D"/>
    <w:rsid w:val="00727C94"/>
    <w:rsid w:val="00727FBB"/>
    <w:rsid w:val="00730320"/>
    <w:rsid w:val="00730734"/>
    <w:rsid w:val="007312F8"/>
    <w:rsid w:val="00731B0A"/>
    <w:rsid w:val="00731EAE"/>
    <w:rsid w:val="007324DE"/>
    <w:rsid w:val="0073284A"/>
    <w:rsid w:val="00733073"/>
    <w:rsid w:val="00734353"/>
    <w:rsid w:val="007348A4"/>
    <w:rsid w:val="00735033"/>
    <w:rsid w:val="00735328"/>
    <w:rsid w:val="0073562A"/>
    <w:rsid w:val="0073685B"/>
    <w:rsid w:val="00737C5B"/>
    <w:rsid w:val="007403DD"/>
    <w:rsid w:val="007419D4"/>
    <w:rsid w:val="00741F1F"/>
    <w:rsid w:val="007434B7"/>
    <w:rsid w:val="00744965"/>
    <w:rsid w:val="007449BF"/>
    <w:rsid w:val="0074624D"/>
    <w:rsid w:val="007463FE"/>
    <w:rsid w:val="00746518"/>
    <w:rsid w:val="00746B2A"/>
    <w:rsid w:val="00746BC0"/>
    <w:rsid w:val="00750481"/>
    <w:rsid w:val="0075082A"/>
    <w:rsid w:val="007510B4"/>
    <w:rsid w:val="00751D92"/>
    <w:rsid w:val="00752142"/>
    <w:rsid w:val="007523F9"/>
    <w:rsid w:val="007529AB"/>
    <w:rsid w:val="00752BBD"/>
    <w:rsid w:val="00753573"/>
    <w:rsid w:val="0075357E"/>
    <w:rsid w:val="00753B29"/>
    <w:rsid w:val="00754A8A"/>
    <w:rsid w:val="007556C5"/>
    <w:rsid w:val="007566DC"/>
    <w:rsid w:val="0075694E"/>
    <w:rsid w:val="00756B63"/>
    <w:rsid w:val="007573E8"/>
    <w:rsid w:val="00760000"/>
    <w:rsid w:val="00760C4E"/>
    <w:rsid w:val="00760F9E"/>
    <w:rsid w:val="007616E6"/>
    <w:rsid w:val="007624A8"/>
    <w:rsid w:val="007627BE"/>
    <w:rsid w:val="00763AFD"/>
    <w:rsid w:val="00764668"/>
    <w:rsid w:val="007647F0"/>
    <w:rsid w:val="00764F03"/>
    <w:rsid w:val="00765B1A"/>
    <w:rsid w:val="00765DC1"/>
    <w:rsid w:val="00771240"/>
    <w:rsid w:val="00773074"/>
    <w:rsid w:val="0077442C"/>
    <w:rsid w:val="0077494C"/>
    <w:rsid w:val="0077500A"/>
    <w:rsid w:val="00775DB2"/>
    <w:rsid w:val="00776C08"/>
    <w:rsid w:val="00776C73"/>
    <w:rsid w:val="00776F62"/>
    <w:rsid w:val="00777335"/>
    <w:rsid w:val="0077798A"/>
    <w:rsid w:val="00780687"/>
    <w:rsid w:val="00780704"/>
    <w:rsid w:val="0078378F"/>
    <w:rsid w:val="00783D1D"/>
    <w:rsid w:val="007843F2"/>
    <w:rsid w:val="007846FA"/>
    <w:rsid w:val="00784A70"/>
    <w:rsid w:val="00785215"/>
    <w:rsid w:val="00785A9F"/>
    <w:rsid w:val="00785F4D"/>
    <w:rsid w:val="0078680C"/>
    <w:rsid w:val="007870A5"/>
    <w:rsid w:val="00790738"/>
    <w:rsid w:val="00791577"/>
    <w:rsid w:val="007919AB"/>
    <w:rsid w:val="00791EE6"/>
    <w:rsid w:val="007925DF"/>
    <w:rsid w:val="007926A1"/>
    <w:rsid w:val="0079290C"/>
    <w:rsid w:val="007950DA"/>
    <w:rsid w:val="0079549C"/>
    <w:rsid w:val="007959FD"/>
    <w:rsid w:val="00796A5D"/>
    <w:rsid w:val="00797562"/>
    <w:rsid w:val="007A0812"/>
    <w:rsid w:val="007A08AA"/>
    <w:rsid w:val="007A0A12"/>
    <w:rsid w:val="007A0A82"/>
    <w:rsid w:val="007A0B4E"/>
    <w:rsid w:val="007A132D"/>
    <w:rsid w:val="007A1345"/>
    <w:rsid w:val="007A2A2F"/>
    <w:rsid w:val="007A2D71"/>
    <w:rsid w:val="007A2DDB"/>
    <w:rsid w:val="007A63E0"/>
    <w:rsid w:val="007A70BA"/>
    <w:rsid w:val="007B0D68"/>
    <w:rsid w:val="007B0E1B"/>
    <w:rsid w:val="007B1737"/>
    <w:rsid w:val="007B251D"/>
    <w:rsid w:val="007B2E13"/>
    <w:rsid w:val="007B3533"/>
    <w:rsid w:val="007B3F58"/>
    <w:rsid w:val="007B4450"/>
    <w:rsid w:val="007B4464"/>
    <w:rsid w:val="007B4F58"/>
    <w:rsid w:val="007B528D"/>
    <w:rsid w:val="007B565C"/>
    <w:rsid w:val="007B63CA"/>
    <w:rsid w:val="007B7378"/>
    <w:rsid w:val="007B77D1"/>
    <w:rsid w:val="007C07C7"/>
    <w:rsid w:val="007C1CD9"/>
    <w:rsid w:val="007C2343"/>
    <w:rsid w:val="007C3101"/>
    <w:rsid w:val="007C32EF"/>
    <w:rsid w:val="007C361D"/>
    <w:rsid w:val="007C4B84"/>
    <w:rsid w:val="007C669C"/>
    <w:rsid w:val="007C70FF"/>
    <w:rsid w:val="007C7C25"/>
    <w:rsid w:val="007D004F"/>
    <w:rsid w:val="007D035F"/>
    <w:rsid w:val="007D06B2"/>
    <w:rsid w:val="007D07D6"/>
    <w:rsid w:val="007D0B38"/>
    <w:rsid w:val="007D0BE8"/>
    <w:rsid w:val="007D14AB"/>
    <w:rsid w:val="007D1F57"/>
    <w:rsid w:val="007D2393"/>
    <w:rsid w:val="007D5440"/>
    <w:rsid w:val="007D55CD"/>
    <w:rsid w:val="007D579B"/>
    <w:rsid w:val="007D5A17"/>
    <w:rsid w:val="007D69EB"/>
    <w:rsid w:val="007D6C88"/>
    <w:rsid w:val="007D71A7"/>
    <w:rsid w:val="007D7DB6"/>
    <w:rsid w:val="007E09FD"/>
    <w:rsid w:val="007E0B26"/>
    <w:rsid w:val="007E128F"/>
    <w:rsid w:val="007E35B2"/>
    <w:rsid w:val="007E3812"/>
    <w:rsid w:val="007E4C6C"/>
    <w:rsid w:val="007E593F"/>
    <w:rsid w:val="007E6DB2"/>
    <w:rsid w:val="007F0222"/>
    <w:rsid w:val="007F059A"/>
    <w:rsid w:val="007F0C8D"/>
    <w:rsid w:val="007F1017"/>
    <w:rsid w:val="007F133D"/>
    <w:rsid w:val="007F245D"/>
    <w:rsid w:val="007F2ED5"/>
    <w:rsid w:val="007F3BB5"/>
    <w:rsid w:val="007F4A3F"/>
    <w:rsid w:val="007F4A61"/>
    <w:rsid w:val="007F5255"/>
    <w:rsid w:val="007F56CC"/>
    <w:rsid w:val="007F61C2"/>
    <w:rsid w:val="007F6D88"/>
    <w:rsid w:val="007F7E5A"/>
    <w:rsid w:val="007F7F1B"/>
    <w:rsid w:val="00801604"/>
    <w:rsid w:val="00801794"/>
    <w:rsid w:val="0080223B"/>
    <w:rsid w:val="00802558"/>
    <w:rsid w:val="00803440"/>
    <w:rsid w:val="00803758"/>
    <w:rsid w:val="00804E1F"/>
    <w:rsid w:val="00804EAB"/>
    <w:rsid w:val="00805142"/>
    <w:rsid w:val="00805FAC"/>
    <w:rsid w:val="00805FCE"/>
    <w:rsid w:val="0080600B"/>
    <w:rsid w:val="008060A4"/>
    <w:rsid w:val="0080657F"/>
    <w:rsid w:val="008066F8"/>
    <w:rsid w:val="00807A8B"/>
    <w:rsid w:val="00811383"/>
    <w:rsid w:val="0081161C"/>
    <w:rsid w:val="00811EA1"/>
    <w:rsid w:val="00812149"/>
    <w:rsid w:val="008126D0"/>
    <w:rsid w:val="00812CAC"/>
    <w:rsid w:val="00813629"/>
    <w:rsid w:val="00813789"/>
    <w:rsid w:val="00814027"/>
    <w:rsid w:val="008153A4"/>
    <w:rsid w:val="00816361"/>
    <w:rsid w:val="008166C1"/>
    <w:rsid w:val="008166EF"/>
    <w:rsid w:val="00816FEF"/>
    <w:rsid w:val="008177AB"/>
    <w:rsid w:val="00820080"/>
    <w:rsid w:val="00820A8C"/>
    <w:rsid w:val="008214CC"/>
    <w:rsid w:val="008215AD"/>
    <w:rsid w:val="008215FB"/>
    <w:rsid w:val="008220CC"/>
    <w:rsid w:val="00823174"/>
    <w:rsid w:val="008236BF"/>
    <w:rsid w:val="008250D5"/>
    <w:rsid w:val="00825751"/>
    <w:rsid w:val="008264EB"/>
    <w:rsid w:val="008268CE"/>
    <w:rsid w:val="00827C23"/>
    <w:rsid w:val="00831769"/>
    <w:rsid w:val="00831A47"/>
    <w:rsid w:val="00832295"/>
    <w:rsid w:val="008322E5"/>
    <w:rsid w:val="0083239D"/>
    <w:rsid w:val="00832FD4"/>
    <w:rsid w:val="0083311C"/>
    <w:rsid w:val="008332B4"/>
    <w:rsid w:val="00833B05"/>
    <w:rsid w:val="00834741"/>
    <w:rsid w:val="0083606C"/>
    <w:rsid w:val="008362B4"/>
    <w:rsid w:val="00837F08"/>
    <w:rsid w:val="00840CA2"/>
    <w:rsid w:val="008434ED"/>
    <w:rsid w:val="0084374F"/>
    <w:rsid w:val="00843F8C"/>
    <w:rsid w:val="00844A22"/>
    <w:rsid w:val="00845949"/>
    <w:rsid w:val="00845AAC"/>
    <w:rsid w:val="00845BA3"/>
    <w:rsid w:val="00846F9D"/>
    <w:rsid w:val="0084715F"/>
    <w:rsid w:val="008473E2"/>
    <w:rsid w:val="00847703"/>
    <w:rsid w:val="00847DF5"/>
    <w:rsid w:val="00850C6D"/>
    <w:rsid w:val="00852857"/>
    <w:rsid w:val="0085289C"/>
    <w:rsid w:val="0085309D"/>
    <w:rsid w:val="008533C0"/>
    <w:rsid w:val="00853A44"/>
    <w:rsid w:val="00854E0B"/>
    <w:rsid w:val="00856897"/>
    <w:rsid w:val="00856E9A"/>
    <w:rsid w:val="00857A5D"/>
    <w:rsid w:val="0086075D"/>
    <w:rsid w:val="00860CF2"/>
    <w:rsid w:val="00861866"/>
    <w:rsid w:val="00861EA1"/>
    <w:rsid w:val="00862502"/>
    <w:rsid w:val="00862CC1"/>
    <w:rsid w:val="00862D23"/>
    <w:rsid w:val="00863934"/>
    <w:rsid w:val="00863A1C"/>
    <w:rsid w:val="008642A7"/>
    <w:rsid w:val="00864A2C"/>
    <w:rsid w:val="00864AB4"/>
    <w:rsid w:val="008660D4"/>
    <w:rsid w:val="008661F8"/>
    <w:rsid w:val="00867725"/>
    <w:rsid w:val="00871FA9"/>
    <w:rsid w:val="008728E9"/>
    <w:rsid w:val="00872E7F"/>
    <w:rsid w:val="008745B6"/>
    <w:rsid w:val="00876114"/>
    <w:rsid w:val="00880BF4"/>
    <w:rsid w:val="00881E51"/>
    <w:rsid w:val="00882558"/>
    <w:rsid w:val="00882874"/>
    <w:rsid w:val="00882E3C"/>
    <w:rsid w:val="0088308A"/>
    <w:rsid w:val="00883273"/>
    <w:rsid w:val="00883787"/>
    <w:rsid w:val="00883AD7"/>
    <w:rsid w:val="008855E4"/>
    <w:rsid w:val="0088579F"/>
    <w:rsid w:val="00886482"/>
    <w:rsid w:val="00886CD2"/>
    <w:rsid w:val="008876D4"/>
    <w:rsid w:val="00890B80"/>
    <w:rsid w:val="008919F5"/>
    <w:rsid w:val="00891E6F"/>
    <w:rsid w:val="0089275D"/>
    <w:rsid w:val="00892A36"/>
    <w:rsid w:val="00893093"/>
    <w:rsid w:val="00893239"/>
    <w:rsid w:val="00893CCC"/>
    <w:rsid w:val="00894489"/>
    <w:rsid w:val="00894CD6"/>
    <w:rsid w:val="00895458"/>
    <w:rsid w:val="00895D29"/>
    <w:rsid w:val="008960C1"/>
    <w:rsid w:val="008963A5"/>
    <w:rsid w:val="00896D5D"/>
    <w:rsid w:val="008975CC"/>
    <w:rsid w:val="008A0963"/>
    <w:rsid w:val="008A3158"/>
    <w:rsid w:val="008A3363"/>
    <w:rsid w:val="008A3371"/>
    <w:rsid w:val="008A3C3E"/>
    <w:rsid w:val="008A4BF3"/>
    <w:rsid w:val="008A4E63"/>
    <w:rsid w:val="008A51BD"/>
    <w:rsid w:val="008A79DE"/>
    <w:rsid w:val="008B1757"/>
    <w:rsid w:val="008B1C33"/>
    <w:rsid w:val="008B3043"/>
    <w:rsid w:val="008B4B6F"/>
    <w:rsid w:val="008B5142"/>
    <w:rsid w:val="008B5715"/>
    <w:rsid w:val="008B7992"/>
    <w:rsid w:val="008B7D7E"/>
    <w:rsid w:val="008C0255"/>
    <w:rsid w:val="008C17F3"/>
    <w:rsid w:val="008C42D9"/>
    <w:rsid w:val="008C4828"/>
    <w:rsid w:val="008C5610"/>
    <w:rsid w:val="008C5739"/>
    <w:rsid w:val="008C7282"/>
    <w:rsid w:val="008C7ECB"/>
    <w:rsid w:val="008D0D97"/>
    <w:rsid w:val="008D1104"/>
    <w:rsid w:val="008D176A"/>
    <w:rsid w:val="008D24EA"/>
    <w:rsid w:val="008D3B86"/>
    <w:rsid w:val="008D43FD"/>
    <w:rsid w:val="008D4755"/>
    <w:rsid w:val="008D4C3D"/>
    <w:rsid w:val="008D68A8"/>
    <w:rsid w:val="008D743C"/>
    <w:rsid w:val="008E0AD0"/>
    <w:rsid w:val="008E0D3C"/>
    <w:rsid w:val="008E1B9E"/>
    <w:rsid w:val="008E24CF"/>
    <w:rsid w:val="008E34B4"/>
    <w:rsid w:val="008E55AB"/>
    <w:rsid w:val="008E5CFB"/>
    <w:rsid w:val="008E6886"/>
    <w:rsid w:val="008F0351"/>
    <w:rsid w:val="008F120A"/>
    <w:rsid w:val="008F1FA5"/>
    <w:rsid w:val="008F27E0"/>
    <w:rsid w:val="008F2F3B"/>
    <w:rsid w:val="008F37B0"/>
    <w:rsid w:val="008F3C7C"/>
    <w:rsid w:val="008F48EB"/>
    <w:rsid w:val="008F4F0B"/>
    <w:rsid w:val="00900721"/>
    <w:rsid w:val="00901B7C"/>
    <w:rsid w:val="00902B6C"/>
    <w:rsid w:val="00902E81"/>
    <w:rsid w:val="00903A1F"/>
    <w:rsid w:val="00903F26"/>
    <w:rsid w:val="009046C4"/>
    <w:rsid w:val="009048C6"/>
    <w:rsid w:val="00905410"/>
    <w:rsid w:val="009062A5"/>
    <w:rsid w:val="009072EB"/>
    <w:rsid w:val="00907314"/>
    <w:rsid w:val="00907699"/>
    <w:rsid w:val="00907912"/>
    <w:rsid w:val="00907B96"/>
    <w:rsid w:val="009108CA"/>
    <w:rsid w:val="00910FA7"/>
    <w:rsid w:val="00911272"/>
    <w:rsid w:val="009112D8"/>
    <w:rsid w:val="00911339"/>
    <w:rsid w:val="00912B50"/>
    <w:rsid w:val="009135D6"/>
    <w:rsid w:val="00913A4E"/>
    <w:rsid w:val="00914289"/>
    <w:rsid w:val="00914C77"/>
    <w:rsid w:val="00914E52"/>
    <w:rsid w:val="00917F34"/>
    <w:rsid w:val="00921ACB"/>
    <w:rsid w:val="00922C47"/>
    <w:rsid w:val="0092369B"/>
    <w:rsid w:val="0092416F"/>
    <w:rsid w:val="009266F6"/>
    <w:rsid w:val="009276E3"/>
    <w:rsid w:val="0092771E"/>
    <w:rsid w:val="00927878"/>
    <w:rsid w:val="00934988"/>
    <w:rsid w:val="00935C95"/>
    <w:rsid w:val="00937089"/>
    <w:rsid w:val="00940E45"/>
    <w:rsid w:val="00941241"/>
    <w:rsid w:val="00941FEA"/>
    <w:rsid w:val="009421BB"/>
    <w:rsid w:val="009426BC"/>
    <w:rsid w:val="0094274F"/>
    <w:rsid w:val="0094470D"/>
    <w:rsid w:val="00944F8A"/>
    <w:rsid w:val="00947DB9"/>
    <w:rsid w:val="00950EE4"/>
    <w:rsid w:val="0095105D"/>
    <w:rsid w:val="009510A2"/>
    <w:rsid w:val="00952897"/>
    <w:rsid w:val="00952CD5"/>
    <w:rsid w:val="00953257"/>
    <w:rsid w:val="00953635"/>
    <w:rsid w:val="0095474C"/>
    <w:rsid w:val="009550E2"/>
    <w:rsid w:val="00955254"/>
    <w:rsid w:val="00956A40"/>
    <w:rsid w:val="00956F16"/>
    <w:rsid w:val="00957154"/>
    <w:rsid w:val="00957590"/>
    <w:rsid w:val="00957D92"/>
    <w:rsid w:val="00961AF6"/>
    <w:rsid w:val="00961C95"/>
    <w:rsid w:val="00961DD7"/>
    <w:rsid w:val="00962CB9"/>
    <w:rsid w:val="009630B1"/>
    <w:rsid w:val="00963F41"/>
    <w:rsid w:val="00964312"/>
    <w:rsid w:val="00965B8A"/>
    <w:rsid w:val="009665BD"/>
    <w:rsid w:val="00966FC4"/>
    <w:rsid w:val="00967C4B"/>
    <w:rsid w:val="0097071F"/>
    <w:rsid w:val="009717AC"/>
    <w:rsid w:val="00971F79"/>
    <w:rsid w:val="009751C1"/>
    <w:rsid w:val="009756ED"/>
    <w:rsid w:val="009760B1"/>
    <w:rsid w:val="009811F1"/>
    <w:rsid w:val="00981BF3"/>
    <w:rsid w:val="00982374"/>
    <w:rsid w:val="0098247B"/>
    <w:rsid w:val="00982608"/>
    <w:rsid w:val="00982D59"/>
    <w:rsid w:val="00983E57"/>
    <w:rsid w:val="00985DE2"/>
    <w:rsid w:val="0098675D"/>
    <w:rsid w:val="00986DF7"/>
    <w:rsid w:val="00987BA4"/>
    <w:rsid w:val="00987BF0"/>
    <w:rsid w:val="00990198"/>
    <w:rsid w:val="00991012"/>
    <w:rsid w:val="00991608"/>
    <w:rsid w:val="00991C0A"/>
    <w:rsid w:val="009926E0"/>
    <w:rsid w:val="0099308F"/>
    <w:rsid w:val="00993BE1"/>
    <w:rsid w:val="0099451E"/>
    <w:rsid w:val="00994DE2"/>
    <w:rsid w:val="00996818"/>
    <w:rsid w:val="00996B1A"/>
    <w:rsid w:val="009A18F6"/>
    <w:rsid w:val="009A29DE"/>
    <w:rsid w:val="009A2DCC"/>
    <w:rsid w:val="009A4ACF"/>
    <w:rsid w:val="009A58AC"/>
    <w:rsid w:val="009A5ABC"/>
    <w:rsid w:val="009A659A"/>
    <w:rsid w:val="009A73D6"/>
    <w:rsid w:val="009A760D"/>
    <w:rsid w:val="009A7753"/>
    <w:rsid w:val="009A7F10"/>
    <w:rsid w:val="009B2549"/>
    <w:rsid w:val="009B2935"/>
    <w:rsid w:val="009B3E26"/>
    <w:rsid w:val="009B50D5"/>
    <w:rsid w:val="009B571C"/>
    <w:rsid w:val="009B5ABA"/>
    <w:rsid w:val="009B7142"/>
    <w:rsid w:val="009B7B74"/>
    <w:rsid w:val="009C043E"/>
    <w:rsid w:val="009C125F"/>
    <w:rsid w:val="009C1271"/>
    <w:rsid w:val="009C1E76"/>
    <w:rsid w:val="009C23D6"/>
    <w:rsid w:val="009C299D"/>
    <w:rsid w:val="009C29FD"/>
    <w:rsid w:val="009C2E13"/>
    <w:rsid w:val="009C35BF"/>
    <w:rsid w:val="009C3706"/>
    <w:rsid w:val="009C3A3A"/>
    <w:rsid w:val="009C4897"/>
    <w:rsid w:val="009C4D14"/>
    <w:rsid w:val="009C53A5"/>
    <w:rsid w:val="009C58B6"/>
    <w:rsid w:val="009C6CEA"/>
    <w:rsid w:val="009C7B85"/>
    <w:rsid w:val="009D0254"/>
    <w:rsid w:val="009D0B98"/>
    <w:rsid w:val="009D1A64"/>
    <w:rsid w:val="009D2359"/>
    <w:rsid w:val="009D5B91"/>
    <w:rsid w:val="009D792E"/>
    <w:rsid w:val="009E0DFE"/>
    <w:rsid w:val="009E1239"/>
    <w:rsid w:val="009E2C85"/>
    <w:rsid w:val="009E31F6"/>
    <w:rsid w:val="009E3E98"/>
    <w:rsid w:val="009E404E"/>
    <w:rsid w:val="009E4C07"/>
    <w:rsid w:val="009E59F9"/>
    <w:rsid w:val="009E5AD7"/>
    <w:rsid w:val="009E64BD"/>
    <w:rsid w:val="009E730B"/>
    <w:rsid w:val="009E777F"/>
    <w:rsid w:val="009E7FC1"/>
    <w:rsid w:val="009F2D83"/>
    <w:rsid w:val="009F2E70"/>
    <w:rsid w:val="009F4460"/>
    <w:rsid w:val="009F4D93"/>
    <w:rsid w:val="009F6120"/>
    <w:rsid w:val="009F652D"/>
    <w:rsid w:val="009F6E88"/>
    <w:rsid w:val="009F7D38"/>
    <w:rsid w:val="00A00D76"/>
    <w:rsid w:val="00A01184"/>
    <w:rsid w:val="00A01449"/>
    <w:rsid w:val="00A03158"/>
    <w:rsid w:val="00A037C2"/>
    <w:rsid w:val="00A03D43"/>
    <w:rsid w:val="00A04380"/>
    <w:rsid w:val="00A04786"/>
    <w:rsid w:val="00A04F54"/>
    <w:rsid w:val="00A04FDD"/>
    <w:rsid w:val="00A05472"/>
    <w:rsid w:val="00A05C32"/>
    <w:rsid w:val="00A0653F"/>
    <w:rsid w:val="00A06D58"/>
    <w:rsid w:val="00A07C66"/>
    <w:rsid w:val="00A101C2"/>
    <w:rsid w:val="00A10755"/>
    <w:rsid w:val="00A11CD0"/>
    <w:rsid w:val="00A120BA"/>
    <w:rsid w:val="00A12F82"/>
    <w:rsid w:val="00A13831"/>
    <w:rsid w:val="00A13948"/>
    <w:rsid w:val="00A13B63"/>
    <w:rsid w:val="00A1403D"/>
    <w:rsid w:val="00A14306"/>
    <w:rsid w:val="00A152C4"/>
    <w:rsid w:val="00A1551F"/>
    <w:rsid w:val="00A1555B"/>
    <w:rsid w:val="00A155C5"/>
    <w:rsid w:val="00A1621E"/>
    <w:rsid w:val="00A16225"/>
    <w:rsid w:val="00A16AD8"/>
    <w:rsid w:val="00A179EA"/>
    <w:rsid w:val="00A2021E"/>
    <w:rsid w:val="00A215D0"/>
    <w:rsid w:val="00A21C95"/>
    <w:rsid w:val="00A21CEA"/>
    <w:rsid w:val="00A21CF3"/>
    <w:rsid w:val="00A24378"/>
    <w:rsid w:val="00A2469B"/>
    <w:rsid w:val="00A24813"/>
    <w:rsid w:val="00A256C3"/>
    <w:rsid w:val="00A25784"/>
    <w:rsid w:val="00A25DDF"/>
    <w:rsid w:val="00A272AF"/>
    <w:rsid w:val="00A27AEC"/>
    <w:rsid w:val="00A30370"/>
    <w:rsid w:val="00A312D7"/>
    <w:rsid w:val="00A320DB"/>
    <w:rsid w:val="00A32AA2"/>
    <w:rsid w:val="00A3384D"/>
    <w:rsid w:val="00A33D5E"/>
    <w:rsid w:val="00A348D4"/>
    <w:rsid w:val="00A35C71"/>
    <w:rsid w:val="00A35D16"/>
    <w:rsid w:val="00A37614"/>
    <w:rsid w:val="00A37BCD"/>
    <w:rsid w:val="00A37D7C"/>
    <w:rsid w:val="00A40A58"/>
    <w:rsid w:val="00A40FD7"/>
    <w:rsid w:val="00A414A2"/>
    <w:rsid w:val="00A41689"/>
    <w:rsid w:val="00A41789"/>
    <w:rsid w:val="00A41BF8"/>
    <w:rsid w:val="00A42592"/>
    <w:rsid w:val="00A439FE"/>
    <w:rsid w:val="00A43C59"/>
    <w:rsid w:val="00A45034"/>
    <w:rsid w:val="00A4576C"/>
    <w:rsid w:val="00A465C9"/>
    <w:rsid w:val="00A47AFF"/>
    <w:rsid w:val="00A502C4"/>
    <w:rsid w:val="00A50ECD"/>
    <w:rsid w:val="00A518F3"/>
    <w:rsid w:val="00A52729"/>
    <w:rsid w:val="00A530B7"/>
    <w:rsid w:val="00A53675"/>
    <w:rsid w:val="00A5526D"/>
    <w:rsid w:val="00A564D7"/>
    <w:rsid w:val="00A56B6A"/>
    <w:rsid w:val="00A578DC"/>
    <w:rsid w:val="00A579AB"/>
    <w:rsid w:val="00A57F6C"/>
    <w:rsid w:val="00A57FA0"/>
    <w:rsid w:val="00A610B2"/>
    <w:rsid w:val="00A613D6"/>
    <w:rsid w:val="00A62166"/>
    <w:rsid w:val="00A62479"/>
    <w:rsid w:val="00A640E2"/>
    <w:rsid w:val="00A6428B"/>
    <w:rsid w:val="00A649B7"/>
    <w:rsid w:val="00A64D65"/>
    <w:rsid w:val="00A65351"/>
    <w:rsid w:val="00A654CC"/>
    <w:rsid w:val="00A654E8"/>
    <w:rsid w:val="00A6643B"/>
    <w:rsid w:val="00A6725B"/>
    <w:rsid w:val="00A7014C"/>
    <w:rsid w:val="00A70605"/>
    <w:rsid w:val="00A70D22"/>
    <w:rsid w:val="00A72AFE"/>
    <w:rsid w:val="00A73134"/>
    <w:rsid w:val="00A7365A"/>
    <w:rsid w:val="00A73E80"/>
    <w:rsid w:val="00A74CD7"/>
    <w:rsid w:val="00A76001"/>
    <w:rsid w:val="00A764F8"/>
    <w:rsid w:val="00A76DAC"/>
    <w:rsid w:val="00A777B2"/>
    <w:rsid w:val="00A803C8"/>
    <w:rsid w:val="00A80DDB"/>
    <w:rsid w:val="00A82315"/>
    <w:rsid w:val="00A82576"/>
    <w:rsid w:val="00A825D4"/>
    <w:rsid w:val="00A828F6"/>
    <w:rsid w:val="00A82B73"/>
    <w:rsid w:val="00A84A6A"/>
    <w:rsid w:val="00A84D2B"/>
    <w:rsid w:val="00A85451"/>
    <w:rsid w:val="00A85DC8"/>
    <w:rsid w:val="00A86E8B"/>
    <w:rsid w:val="00A86F18"/>
    <w:rsid w:val="00A87164"/>
    <w:rsid w:val="00A871A9"/>
    <w:rsid w:val="00A91199"/>
    <w:rsid w:val="00A915AB"/>
    <w:rsid w:val="00A917B1"/>
    <w:rsid w:val="00A9278F"/>
    <w:rsid w:val="00A93072"/>
    <w:rsid w:val="00A938BD"/>
    <w:rsid w:val="00A93953"/>
    <w:rsid w:val="00A93FCD"/>
    <w:rsid w:val="00A94703"/>
    <w:rsid w:val="00A9585E"/>
    <w:rsid w:val="00A959D8"/>
    <w:rsid w:val="00A95FD5"/>
    <w:rsid w:val="00AA113D"/>
    <w:rsid w:val="00AA1C50"/>
    <w:rsid w:val="00AA25C7"/>
    <w:rsid w:val="00AA3F75"/>
    <w:rsid w:val="00AA490B"/>
    <w:rsid w:val="00AA4C6D"/>
    <w:rsid w:val="00AA4E3C"/>
    <w:rsid w:val="00AA6BD5"/>
    <w:rsid w:val="00AA6BD8"/>
    <w:rsid w:val="00AA6C7D"/>
    <w:rsid w:val="00AA7B34"/>
    <w:rsid w:val="00AA7FD6"/>
    <w:rsid w:val="00AB042A"/>
    <w:rsid w:val="00AB0BFB"/>
    <w:rsid w:val="00AB11AD"/>
    <w:rsid w:val="00AB19EF"/>
    <w:rsid w:val="00AB1B18"/>
    <w:rsid w:val="00AB215B"/>
    <w:rsid w:val="00AB2495"/>
    <w:rsid w:val="00AB2D34"/>
    <w:rsid w:val="00AB3430"/>
    <w:rsid w:val="00AB37B9"/>
    <w:rsid w:val="00AB446E"/>
    <w:rsid w:val="00AB4A99"/>
    <w:rsid w:val="00AB4AD1"/>
    <w:rsid w:val="00AB5E07"/>
    <w:rsid w:val="00AB7737"/>
    <w:rsid w:val="00AB7CFA"/>
    <w:rsid w:val="00AC03EC"/>
    <w:rsid w:val="00AC167A"/>
    <w:rsid w:val="00AC3D78"/>
    <w:rsid w:val="00AC5A72"/>
    <w:rsid w:val="00AC5B42"/>
    <w:rsid w:val="00AC5B48"/>
    <w:rsid w:val="00AC6F83"/>
    <w:rsid w:val="00AC7A9D"/>
    <w:rsid w:val="00AD1197"/>
    <w:rsid w:val="00AD1450"/>
    <w:rsid w:val="00AD15E8"/>
    <w:rsid w:val="00AD1D41"/>
    <w:rsid w:val="00AD2471"/>
    <w:rsid w:val="00AD356D"/>
    <w:rsid w:val="00AD395C"/>
    <w:rsid w:val="00AD6502"/>
    <w:rsid w:val="00AD666C"/>
    <w:rsid w:val="00AD6A41"/>
    <w:rsid w:val="00AE01FD"/>
    <w:rsid w:val="00AE0695"/>
    <w:rsid w:val="00AE0B55"/>
    <w:rsid w:val="00AE249A"/>
    <w:rsid w:val="00AE33E9"/>
    <w:rsid w:val="00AE3E7E"/>
    <w:rsid w:val="00AE4393"/>
    <w:rsid w:val="00AE61B0"/>
    <w:rsid w:val="00AE62B3"/>
    <w:rsid w:val="00AE7DF6"/>
    <w:rsid w:val="00AE7DFB"/>
    <w:rsid w:val="00AE7E53"/>
    <w:rsid w:val="00AF03C0"/>
    <w:rsid w:val="00AF1315"/>
    <w:rsid w:val="00AF180B"/>
    <w:rsid w:val="00AF18CC"/>
    <w:rsid w:val="00AF19BF"/>
    <w:rsid w:val="00AF217D"/>
    <w:rsid w:val="00AF2D02"/>
    <w:rsid w:val="00AF2DC3"/>
    <w:rsid w:val="00AF408B"/>
    <w:rsid w:val="00AF49C5"/>
    <w:rsid w:val="00AF4BCC"/>
    <w:rsid w:val="00B00244"/>
    <w:rsid w:val="00B00F9E"/>
    <w:rsid w:val="00B01007"/>
    <w:rsid w:val="00B01F11"/>
    <w:rsid w:val="00B033E5"/>
    <w:rsid w:val="00B03865"/>
    <w:rsid w:val="00B03A63"/>
    <w:rsid w:val="00B048A8"/>
    <w:rsid w:val="00B05941"/>
    <w:rsid w:val="00B060FA"/>
    <w:rsid w:val="00B070B1"/>
    <w:rsid w:val="00B129A4"/>
    <w:rsid w:val="00B12BC6"/>
    <w:rsid w:val="00B137E7"/>
    <w:rsid w:val="00B139D8"/>
    <w:rsid w:val="00B1567E"/>
    <w:rsid w:val="00B16E09"/>
    <w:rsid w:val="00B1712D"/>
    <w:rsid w:val="00B174A7"/>
    <w:rsid w:val="00B201A4"/>
    <w:rsid w:val="00B201D1"/>
    <w:rsid w:val="00B207F8"/>
    <w:rsid w:val="00B213A6"/>
    <w:rsid w:val="00B21933"/>
    <w:rsid w:val="00B21C54"/>
    <w:rsid w:val="00B23127"/>
    <w:rsid w:val="00B235B0"/>
    <w:rsid w:val="00B23AC3"/>
    <w:rsid w:val="00B24343"/>
    <w:rsid w:val="00B24DF6"/>
    <w:rsid w:val="00B25993"/>
    <w:rsid w:val="00B25E95"/>
    <w:rsid w:val="00B27A61"/>
    <w:rsid w:val="00B3008D"/>
    <w:rsid w:val="00B3158E"/>
    <w:rsid w:val="00B317C4"/>
    <w:rsid w:val="00B32C01"/>
    <w:rsid w:val="00B33F44"/>
    <w:rsid w:val="00B34764"/>
    <w:rsid w:val="00B34FE2"/>
    <w:rsid w:val="00B35166"/>
    <w:rsid w:val="00B357D8"/>
    <w:rsid w:val="00B360F4"/>
    <w:rsid w:val="00B364C3"/>
    <w:rsid w:val="00B36A00"/>
    <w:rsid w:val="00B3792B"/>
    <w:rsid w:val="00B379A4"/>
    <w:rsid w:val="00B37BFC"/>
    <w:rsid w:val="00B37EB9"/>
    <w:rsid w:val="00B4005F"/>
    <w:rsid w:val="00B40358"/>
    <w:rsid w:val="00B410D5"/>
    <w:rsid w:val="00B41614"/>
    <w:rsid w:val="00B41EC2"/>
    <w:rsid w:val="00B421A9"/>
    <w:rsid w:val="00B42851"/>
    <w:rsid w:val="00B42981"/>
    <w:rsid w:val="00B42F80"/>
    <w:rsid w:val="00B43576"/>
    <w:rsid w:val="00B435CB"/>
    <w:rsid w:val="00B438AA"/>
    <w:rsid w:val="00B44346"/>
    <w:rsid w:val="00B465EC"/>
    <w:rsid w:val="00B505C8"/>
    <w:rsid w:val="00B507DE"/>
    <w:rsid w:val="00B50D4A"/>
    <w:rsid w:val="00B50DB8"/>
    <w:rsid w:val="00B513B7"/>
    <w:rsid w:val="00B51D1D"/>
    <w:rsid w:val="00B527F2"/>
    <w:rsid w:val="00B52C7F"/>
    <w:rsid w:val="00B53654"/>
    <w:rsid w:val="00B53905"/>
    <w:rsid w:val="00B546DB"/>
    <w:rsid w:val="00B54B5B"/>
    <w:rsid w:val="00B551F5"/>
    <w:rsid w:val="00B5562E"/>
    <w:rsid w:val="00B55862"/>
    <w:rsid w:val="00B55A87"/>
    <w:rsid w:val="00B55D65"/>
    <w:rsid w:val="00B56305"/>
    <w:rsid w:val="00B57000"/>
    <w:rsid w:val="00B57639"/>
    <w:rsid w:val="00B60939"/>
    <w:rsid w:val="00B60A4B"/>
    <w:rsid w:val="00B60AFD"/>
    <w:rsid w:val="00B62475"/>
    <w:rsid w:val="00B62715"/>
    <w:rsid w:val="00B65611"/>
    <w:rsid w:val="00B6627D"/>
    <w:rsid w:val="00B66DB1"/>
    <w:rsid w:val="00B67226"/>
    <w:rsid w:val="00B70E8E"/>
    <w:rsid w:val="00B71034"/>
    <w:rsid w:val="00B723FE"/>
    <w:rsid w:val="00B727F4"/>
    <w:rsid w:val="00B729C3"/>
    <w:rsid w:val="00B72EAC"/>
    <w:rsid w:val="00B745E3"/>
    <w:rsid w:val="00B76C92"/>
    <w:rsid w:val="00B80868"/>
    <w:rsid w:val="00B80E50"/>
    <w:rsid w:val="00B80EFD"/>
    <w:rsid w:val="00B81880"/>
    <w:rsid w:val="00B818A4"/>
    <w:rsid w:val="00B83739"/>
    <w:rsid w:val="00B8406A"/>
    <w:rsid w:val="00B84117"/>
    <w:rsid w:val="00B858F0"/>
    <w:rsid w:val="00B85AA2"/>
    <w:rsid w:val="00B8649C"/>
    <w:rsid w:val="00B8672B"/>
    <w:rsid w:val="00B8695D"/>
    <w:rsid w:val="00B87F0A"/>
    <w:rsid w:val="00B91CD8"/>
    <w:rsid w:val="00B92D0B"/>
    <w:rsid w:val="00B92DC0"/>
    <w:rsid w:val="00B93C33"/>
    <w:rsid w:val="00B9475E"/>
    <w:rsid w:val="00B94945"/>
    <w:rsid w:val="00B94DD6"/>
    <w:rsid w:val="00B957B4"/>
    <w:rsid w:val="00B97217"/>
    <w:rsid w:val="00B97A14"/>
    <w:rsid w:val="00BA14AE"/>
    <w:rsid w:val="00BA1AE4"/>
    <w:rsid w:val="00BA2205"/>
    <w:rsid w:val="00BA322D"/>
    <w:rsid w:val="00BA38B7"/>
    <w:rsid w:val="00BA63FA"/>
    <w:rsid w:val="00BA664F"/>
    <w:rsid w:val="00BA67A5"/>
    <w:rsid w:val="00BA7F19"/>
    <w:rsid w:val="00BB00B3"/>
    <w:rsid w:val="00BB0BDD"/>
    <w:rsid w:val="00BB128C"/>
    <w:rsid w:val="00BB1667"/>
    <w:rsid w:val="00BB176C"/>
    <w:rsid w:val="00BB2A73"/>
    <w:rsid w:val="00BB3A45"/>
    <w:rsid w:val="00BB4ACC"/>
    <w:rsid w:val="00BB703E"/>
    <w:rsid w:val="00BB732D"/>
    <w:rsid w:val="00BB7405"/>
    <w:rsid w:val="00BB7E34"/>
    <w:rsid w:val="00BC0A63"/>
    <w:rsid w:val="00BC2E93"/>
    <w:rsid w:val="00BC2ED5"/>
    <w:rsid w:val="00BC3631"/>
    <w:rsid w:val="00BC389A"/>
    <w:rsid w:val="00BC3948"/>
    <w:rsid w:val="00BC4D66"/>
    <w:rsid w:val="00BC591F"/>
    <w:rsid w:val="00BC6670"/>
    <w:rsid w:val="00BC7121"/>
    <w:rsid w:val="00BC7D6D"/>
    <w:rsid w:val="00BD0DCF"/>
    <w:rsid w:val="00BD158F"/>
    <w:rsid w:val="00BD1A14"/>
    <w:rsid w:val="00BD1BC2"/>
    <w:rsid w:val="00BD2108"/>
    <w:rsid w:val="00BD2335"/>
    <w:rsid w:val="00BD2422"/>
    <w:rsid w:val="00BD3F81"/>
    <w:rsid w:val="00BD4344"/>
    <w:rsid w:val="00BD532A"/>
    <w:rsid w:val="00BD5802"/>
    <w:rsid w:val="00BD5AF7"/>
    <w:rsid w:val="00BD68A3"/>
    <w:rsid w:val="00BD6938"/>
    <w:rsid w:val="00BD6CF3"/>
    <w:rsid w:val="00BD7E1B"/>
    <w:rsid w:val="00BD7F72"/>
    <w:rsid w:val="00BE0716"/>
    <w:rsid w:val="00BE0ECA"/>
    <w:rsid w:val="00BE2180"/>
    <w:rsid w:val="00BE21F2"/>
    <w:rsid w:val="00BE3630"/>
    <w:rsid w:val="00BE413A"/>
    <w:rsid w:val="00BE4275"/>
    <w:rsid w:val="00BE60AA"/>
    <w:rsid w:val="00BE6AE4"/>
    <w:rsid w:val="00BE73C5"/>
    <w:rsid w:val="00BE7824"/>
    <w:rsid w:val="00BF06AE"/>
    <w:rsid w:val="00BF0F95"/>
    <w:rsid w:val="00BF12AC"/>
    <w:rsid w:val="00BF2433"/>
    <w:rsid w:val="00BF2E6E"/>
    <w:rsid w:val="00BF3DFD"/>
    <w:rsid w:val="00BF4205"/>
    <w:rsid w:val="00BF5B52"/>
    <w:rsid w:val="00BF61C9"/>
    <w:rsid w:val="00BF65A4"/>
    <w:rsid w:val="00BF6C94"/>
    <w:rsid w:val="00BF74B4"/>
    <w:rsid w:val="00BF7759"/>
    <w:rsid w:val="00BF7F23"/>
    <w:rsid w:val="00C00424"/>
    <w:rsid w:val="00C00560"/>
    <w:rsid w:val="00C00718"/>
    <w:rsid w:val="00C0073D"/>
    <w:rsid w:val="00C00AE1"/>
    <w:rsid w:val="00C00BB0"/>
    <w:rsid w:val="00C02B9A"/>
    <w:rsid w:val="00C03B43"/>
    <w:rsid w:val="00C05FAC"/>
    <w:rsid w:val="00C06631"/>
    <w:rsid w:val="00C1179F"/>
    <w:rsid w:val="00C11D80"/>
    <w:rsid w:val="00C127B9"/>
    <w:rsid w:val="00C128FA"/>
    <w:rsid w:val="00C12C14"/>
    <w:rsid w:val="00C15F04"/>
    <w:rsid w:val="00C16EEA"/>
    <w:rsid w:val="00C1729C"/>
    <w:rsid w:val="00C1772F"/>
    <w:rsid w:val="00C1798E"/>
    <w:rsid w:val="00C179B3"/>
    <w:rsid w:val="00C17C10"/>
    <w:rsid w:val="00C17E3F"/>
    <w:rsid w:val="00C17E5A"/>
    <w:rsid w:val="00C200AA"/>
    <w:rsid w:val="00C206DB"/>
    <w:rsid w:val="00C20DCD"/>
    <w:rsid w:val="00C217C7"/>
    <w:rsid w:val="00C237ED"/>
    <w:rsid w:val="00C23B6F"/>
    <w:rsid w:val="00C24632"/>
    <w:rsid w:val="00C2499B"/>
    <w:rsid w:val="00C25418"/>
    <w:rsid w:val="00C25D9C"/>
    <w:rsid w:val="00C2778B"/>
    <w:rsid w:val="00C31649"/>
    <w:rsid w:val="00C31A04"/>
    <w:rsid w:val="00C31B53"/>
    <w:rsid w:val="00C3434C"/>
    <w:rsid w:val="00C347F7"/>
    <w:rsid w:val="00C37306"/>
    <w:rsid w:val="00C40385"/>
    <w:rsid w:val="00C41768"/>
    <w:rsid w:val="00C42977"/>
    <w:rsid w:val="00C4388F"/>
    <w:rsid w:val="00C45735"/>
    <w:rsid w:val="00C45943"/>
    <w:rsid w:val="00C46810"/>
    <w:rsid w:val="00C475AA"/>
    <w:rsid w:val="00C51E5A"/>
    <w:rsid w:val="00C52624"/>
    <w:rsid w:val="00C52653"/>
    <w:rsid w:val="00C527C7"/>
    <w:rsid w:val="00C528CB"/>
    <w:rsid w:val="00C53C98"/>
    <w:rsid w:val="00C54307"/>
    <w:rsid w:val="00C54D9B"/>
    <w:rsid w:val="00C56068"/>
    <w:rsid w:val="00C56FCF"/>
    <w:rsid w:val="00C57B6C"/>
    <w:rsid w:val="00C600AC"/>
    <w:rsid w:val="00C618FB"/>
    <w:rsid w:val="00C61A59"/>
    <w:rsid w:val="00C61F78"/>
    <w:rsid w:val="00C628A6"/>
    <w:rsid w:val="00C6295C"/>
    <w:rsid w:val="00C63B2C"/>
    <w:rsid w:val="00C64344"/>
    <w:rsid w:val="00C65108"/>
    <w:rsid w:val="00C65576"/>
    <w:rsid w:val="00C66165"/>
    <w:rsid w:val="00C67A4E"/>
    <w:rsid w:val="00C70153"/>
    <w:rsid w:val="00C7028A"/>
    <w:rsid w:val="00C703B6"/>
    <w:rsid w:val="00C7060A"/>
    <w:rsid w:val="00C70E1F"/>
    <w:rsid w:val="00C7151A"/>
    <w:rsid w:val="00C717E3"/>
    <w:rsid w:val="00C71F60"/>
    <w:rsid w:val="00C72241"/>
    <w:rsid w:val="00C7384B"/>
    <w:rsid w:val="00C7455F"/>
    <w:rsid w:val="00C746E9"/>
    <w:rsid w:val="00C750C8"/>
    <w:rsid w:val="00C7560F"/>
    <w:rsid w:val="00C7767E"/>
    <w:rsid w:val="00C80828"/>
    <w:rsid w:val="00C80A0E"/>
    <w:rsid w:val="00C8213F"/>
    <w:rsid w:val="00C8303F"/>
    <w:rsid w:val="00C83E85"/>
    <w:rsid w:val="00C85154"/>
    <w:rsid w:val="00C855CA"/>
    <w:rsid w:val="00C8570A"/>
    <w:rsid w:val="00C85A70"/>
    <w:rsid w:val="00C86E7E"/>
    <w:rsid w:val="00C8772A"/>
    <w:rsid w:val="00C8797A"/>
    <w:rsid w:val="00C900B8"/>
    <w:rsid w:val="00C90197"/>
    <w:rsid w:val="00C905C3"/>
    <w:rsid w:val="00C90B02"/>
    <w:rsid w:val="00C90C71"/>
    <w:rsid w:val="00C918A6"/>
    <w:rsid w:val="00C91FD1"/>
    <w:rsid w:val="00C931CF"/>
    <w:rsid w:val="00C9341A"/>
    <w:rsid w:val="00C938CF"/>
    <w:rsid w:val="00C94053"/>
    <w:rsid w:val="00C94A0F"/>
    <w:rsid w:val="00C94CD1"/>
    <w:rsid w:val="00C9624D"/>
    <w:rsid w:val="00C969DA"/>
    <w:rsid w:val="00CA091A"/>
    <w:rsid w:val="00CA1F3F"/>
    <w:rsid w:val="00CA2B58"/>
    <w:rsid w:val="00CA2C77"/>
    <w:rsid w:val="00CA444F"/>
    <w:rsid w:val="00CA5245"/>
    <w:rsid w:val="00CA5D5B"/>
    <w:rsid w:val="00CA6EE0"/>
    <w:rsid w:val="00CA71F4"/>
    <w:rsid w:val="00CA7B09"/>
    <w:rsid w:val="00CB120F"/>
    <w:rsid w:val="00CB12A5"/>
    <w:rsid w:val="00CB195E"/>
    <w:rsid w:val="00CB1CAC"/>
    <w:rsid w:val="00CB2193"/>
    <w:rsid w:val="00CB2BB8"/>
    <w:rsid w:val="00CB2F2A"/>
    <w:rsid w:val="00CB329A"/>
    <w:rsid w:val="00CB5B1A"/>
    <w:rsid w:val="00CB5FD7"/>
    <w:rsid w:val="00CB6B22"/>
    <w:rsid w:val="00CB7146"/>
    <w:rsid w:val="00CB7F5F"/>
    <w:rsid w:val="00CC0A0F"/>
    <w:rsid w:val="00CC188C"/>
    <w:rsid w:val="00CC1B39"/>
    <w:rsid w:val="00CC1BFA"/>
    <w:rsid w:val="00CC2054"/>
    <w:rsid w:val="00CC210D"/>
    <w:rsid w:val="00CC2E9F"/>
    <w:rsid w:val="00CC35EA"/>
    <w:rsid w:val="00CC3848"/>
    <w:rsid w:val="00CC3D38"/>
    <w:rsid w:val="00CC66EA"/>
    <w:rsid w:val="00CC6D5E"/>
    <w:rsid w:val="00CC74E6"/>
    <w:rsid w:val="00CC78B1"/>
    <w:rsid w:val="00CC78CC"/>
    <w:rsid w:val="00CD0200"/>
    <w:rsid w:val="00CD0532"/>
    <w:rsid w:val="00CD28D3"/>
    <w:rsid w:val="00CD31AC"/>
    <w:rsid w:val="00CD3F77"/>
    <w:rsid w:val="00CD416D"/>
    <w:rsid w:val="00CD4287"/>
    <w:rsid w:val="00CD55C3"/>
    <w:rsid w:val="00CD6271"/>
    <w:rsid w:val="00CD6ADC"/>
    <w:rsid w:val="00CD7193"/>
    <w:rsid w:val="00CD746D"/>
    <w:rsid w:val="00CD7DDE"/>
    <w:rsid w:val="00CE1345"/>
    <w:rsid w:val="00CE2A39"/>
    <w:rsid w:val="00CE3896"/>
    <w:rsid w:val="00CE38C8"/>
    <w:rsid w:val="00CE3DE5"/>
    <w:rsid w:val="00CE524F"/>
    <w:rsid w:val="00CE5416"/>
    <w:rsid w:val="00CE5488"/>
    <w:rsid w:val="00CE58CC"/>
    <w:rsid w:val="00CE6012"/>
    <w:rsid w:val="00CE6274"/>
    <w:rsid w:val="00CE77B6"/>
    <w:rsid w:val="00CE7BEE"/>
    <w:rsid w:val="00CF008D"/>
    <w:rsid w:val="00CF0338"/>
    <w:rsid w:val="00CF0A15"/>
    <w:rsid w:val="00CF173B"/>
    <w:rsid w:val="00CF2B8D"/>
    <w:rsid w:val="00CF2F82"/>
    <w:rsid w:val="00CF3A1B"/>
    <w:rsid w:val="00CF456B"/>
    <w:rsid w:val="00CF5377"/>
    <w:rsid w:val="00CF577A"/>
    <w:rsid w:val="00CF5A22"/>
    <w:rsid w:val="00CF5FA0"/>
    <w:rsid w:val="00CF668F"/>
    <w:rsid w:val="00CF7B6D"/>
    <w:rsid w:val="00D011CB"/>
    <w:rsid w:val="00D01218"/>
    <w:rsid w:val="00D0262E"/>
    <w:rsid w:val="00D03679"/>
    <w:rsid w:val="00D04166"/>
    <w:rsid w:val="00D0442E"/>
    <w:rsid w:val="00D0482A"/>
    <w:rsid w:val="00D04CA9"/>
    <w:rsid w:val="00D05E3D"/>
    <w:rsid w:val="00D06139"/>
    <w:rsid w:val="00D06796"/>
    <w:rsid w:val="00D0688F"/>
    <w:rsid w:val="00D070CE"/>
    <w:rsid w:val="00D07255"/>
    <w:rsid w:val="00D0793C"/>
    <w:rsid w:val="00D1053C"/>
    <w:rsid w:val="00D110BD"/>
    <w:rsid w:val="00D11D1F"/>
    <w:rsid w:val="00D11EA3"/>
    <w:rsid w:val="00D129C3"/>
    <w:rsid w:val="00D12AD3"/>
    <w:rsid w:val="00D12E38"/>
    <w:rsid w:val="00D13449"/>
    <w:rsid w:val="00D13675"/>
    <w:rsid w:val="00D1368A"/>
    <w:rsid w:val="00D141E1"/>
    <w:rsid w:val="00D14D58"/>
    <w:rsid w:val="00D151C5"/>
    <w:rsid w:val="00D15314"/>
    <w:rsid w:val="00D1584B"/>
    <w:rsid w:val="00D15B48"/>
    <w:rsid w:val="00D15CAD"/>
    <w:rsid w:val="00D16875"/>
    <w:rsid w:val="00D1711F"/>
    <w:rsid w:val="00D17D6C"/>
    <w:rsid w:val="00D203D0"/>
    <w:rsid w:val="00D2155B"/>
    <w:rsid w:val="00D22174"/>
    <w:rsid w:val="00D23D11"/>
    <w:rsid w:val="00D23F7B"/>
    <w:rsid w:val="00D244B6"/>
    <w:rsid w:val="00D245D6"/>
    <w:rsid w:val="00D24B02"/>
    <w:rsid w:val="00D2682F"/>
    <w:rsid w:val="00D26A22"/>
    <w:rsid w:val="00D2754D"/>
    <w:rsid w:val="00D27B27"/>
    <w:rsid w:val="00D308AF"/>
    <w:rsid w:val="00D30D5B"/>
    <w:rsid w:val="00D32507"/>
    <w:rsid w:val="00D33BE9"/>
    <w:rsid w:val="00D33F93"/>
    <w:rsid w:val="00D34747"/>
    <w:rsid w:val="00D34CE5"/>
    <w:rsid w:val="00D357FF"/>
    <w:rsid w:val="00D35FC8"/>
    <w:rsid w:val="00D362CE"/>
    <w:rsid w:val="00D3652E"/>
    <w:rsid w:val="00D36928"/>
    <w:rsid w:val="00D37C06"/>
    <w:rsid w:val="00D402CE"/>
    <w:rsid w:val="00D41C54"/>
    <w:rsid w:val="00D42478"/>
    <w:rsid w:val="00D424C7"/>
    <w:rsid w:val="00D4294D"/>
    <w:rsid w:val="00D435DC"/>
    <w:rsid w:val="00D43B2A"/>
    <w:rsid w:val="00D43CF1"/>
    <w:rsid w:val="00D43D83"/>
    <w:rsid w:val="00D44F83"/>
    <w:rsid w:val="00D472D5"/>
    <w:rsid w:val="00D47575"/>
    <w:rsid w:val="00D511A4"/>
    <w:rsid w:val="00D51841"/>
    <w:rsid w:val="00D51AF2"/>
    <w:rsid w:val="00D5243B"/>
    <w:rsid w:val="00D52B3F"/>
    <w:rsid w:val="00D52BF1"/>
    <w:rsid w:val="00D533EC"/>
    <w:rsid w:val="00D550DC"/>
    <w:rsid w:val="00D5526D"/>
    <w:rsid w:val="00D55612"/>
    <w:rsid w:val="00D55828"/>
    <w:rsid w:val="00D56A95"/>
    <w:rsid w:val="00D56B35"/>
    <w:rsid w:val="00D606D9"/>
    <w:rsid w:val="00D6076E"/>
    <w:rsid w:val="00D64D3D"/>
    <w:rsid w:val="00D64EDD"/>
    <w:rsid w:val="00D66B47"/>
    <w:rsid w:val="00D67616"/>
    <w:rsid w:val="00D70F16"/>
    <w:rsid w:val="00D7173B"/>
    <w:rsid w:val="00D7183B"/>
    <w:rsid w:val="00D71A16"/>
    <w:rsid w:val="00D71F2A"/>
    <w:rsid w:val="00D72617"/>
    <w:rsid w:val="00D72F57"/>
    <w:rsid w:val="00D73419"/>
    <w:rsid w:val="00D752A4"/>
    <w:rsid w:val="00D762AB"/>
    <w:rsid w:val="00D76A44"/>
    <w:rsid w:val="00D76C0C"/>
    <w:rsid w:val="00D7747C"/>
    <w:rsid w:val="00D77A26"/>
    <w:rsid w:val="00D81318"/>
    <w:rsid w:val="00D815EF"/>
    <w:rsid w:val="00D81949"/>
    <w:rsid w:val="00D81F26"/>
    <w:rsid w:val="00D822E2"/>
    <w:rsid w:val="00D825E8"/>
    <w:rsid w:val="00D843F2"/>
    <w:rsid w:val="00D84CE7"/>
    <w:rsid w:val="00D86231"/>
    <w:rsid w:val="00D8689B"/>
    <w:rsid w:val="00D86A5A"/>
    <w:rsid w:val="00D86EA2"/>
    <w:rsid w:val="00D9003B"/>
    <w:rsid w:val="00D912AB"/>
    <w:rsid w:val="00D91923"/>
    <w:rsid w:val="00D91D7E"/>
    <w:rsid w:val="00D91F0E"/>
    <w:rsid w:val="00D925CD"/>
    <w:rsid w:val="00D930F7"/>
    <w:rsid w:val="00D932CE"/>
    <w:rsid w:val="00D935A1"/>
    <w:rsid w:val="00D93753"/>
    <w:rsid w:val="00D958CD"/>
    <w:rsid w:val="00D96A6B"/>
    <w:rsid w:val="00D973BA"/>
    <w:rsid w:val="00DA0876"/>
    <w:rsid w:val="00DA243F"/>
    <w:rsid w:val="00DA3167"/>
    <w:rsid w:val="00DA3C18"/>
    <w:rsid w:val="00DA4DC3"/>
    <w:rsid w:val="00DA504D"/>
    <w:rsid w:val="00DA5C71"/>
    <w:rsid w:val="00DA5EC6"/>
    <w:rsid w:val="00DA77A5"/>
    <w:rsid w:val="00DB02BD"/>
    <w:rsid w:val="00DB0368"/>
    <w:rsid w:val="00DB0CCF"/>
    <w:rsid w:val="00DB0E36"/>
    <w:rsid w:val="00DB3DBF"/>
    <w:rsid w:val="00DB484F"/>
    <w:rsid w:val="00DB4A1F"/>
    <w:rsid w:val="00DC0265"/>
    <w:rsid w:val="00DC04F6"/>
    <w:rsid w:val="00DC0690"/>
    <w:rsid w:val="00DC15D6"/>
    <w:rsid w:val="00DC1A01"/>
    <w:rsid w:val="00DC1D65"/>
    <w:rsid w:val="00DC1FA0"/>
    <w:rsid w:val="00DC3C57"/>
    <w:rsid w:val="00DC5164"/>
    <w:rsid w:val="00DC51CC"/>
    <w:rsid w:val="00DC54A5"/>
    <w:rsid w:val="00DC5501"/>
    <w:rsid w:val="00DC57B3"/>
    <w:rsid w:val="00DC5DE4"/>
    <w:rsid w:val="00DC67B3"/>
    <w:rsid w:val="00DC6DE9"/>
    <w:rsid w:val="00DC7154"/>
    <w:rsid w:val="00DC7E8A"/>
    <w:rsid w:val="00DD0323"/>
    <w:rsid w:val="00DD0463"/>
    <w:rsid w:val="00DD093E"/>
    <w:rsid w:val="00DD0CF8"/>
    <w:rsid w:val="00DD0F78"/>
    <w:rsid w:val="00DD12A0"/>
    <w:rsid w:val="00DD273C"/>
    <w:rsid w:val="00DD28DE"/>
    <w:rsid w:val="00DD310B"/>
    <w:rsid w:val="00DD3961"/>
    <w:rsid w:val="00DD3F28"/>
    <w:rsid w:val="00DD404C"/>
    <w:rsid w:val="00DD4446"/>
    <w:rsid w:val="00DD4537"/>
    <w:rsid w:val="00DD4774"/>
    <w:rsid w:val="00DD4E15"/>
    <w:rsid w:val="00DD6184"/>
    <w:rsid w:val="00DE077E"/>
    <w:rsid w:val="00DE0ED0"/>
    <w:rsid w:val="00DE2304"/>
    <w:rsid w:val="00DE3138"/>
    <w:rsid w:val="00DE37F8"/>
    <w:rsid w:val="00DE3C0C"/>
    <w:rsid w:val="00DE3F79"/>
    <w:rsid w:val="00DE3FB3"/>
    <w:rsid w:val="00DE4249"/>
    <w:rsid w:val="00DE4273"/>
    <w:rsid w:val="00DE4FCB"/>
    <w:rsid w:val="00DE57D2"/>
    <w:rsid w:val="00DE5D07"/>
    <w:rsid w:val="00DE64AC"/>
    <w:rsid w:val="00DE72A7"/>
    <w:rsid w:val="00DE730C"/>
    <w:rsid w:val="00DE7832"/>
    <w:rsid w:val="00DF18FC"/>
    <w:rsid w:val="00DF30F4"/>
    <w:rsid w:val="00DF363F"/>
    <w:rsid w:val="00DF3909"/>
    <w:rsid w:val="00DF3BA3"/>
    <w:rsid w:val="00DF411B"/>
    <w:rsid w:val="00DF5AE5"/>
    <w:rsid w:val="00DF5D2B"/>
    <w:rsid w:val="00DF5FA1"/>
    <w:rsid w:val="00DF6341"/>
    <w:rsid w:val="00DF700E"/>
    <w:rsid w:val="00E00E8E"/>
    <w:rsid w:val="00E014F1"/>
    <w:rsid w:val="00E01EF5"/>
    <w:rsid w:val="00E01F2F"/>
    <w:rsid w:val="00E02370"/>
    <w:rsid w:val="00E027BA"/>
    <w:rsid w:val="00E02B3C"/>
    <w:rsid w:val="00E03E46"/>
    <w:rsid w:val="00E051CA"/>
    <w:rsid w:val="00E055A4"/>
    <w:rsid w:val="00E05630"/>
    <w:rsid w:val="00E059C1"/>
    <w:rsid w:val="00E05DFC"/>
    <w:rsid w:val="00E06DBB"/>
    <w:rsid w:val="00E076E9"/>
    <w:rsid w:val="00E10149"/>
    <w:rsid w:val="00E105E3"/>
    <w:rsid w:val="00E109D8"/>
    <w:rsid w:val="00E10E90"/>
    <w:rsid w:val="00E11340"/>
    <w:rsid w:val="00E122A1"/>
    <w:rsid w:val="00E134D4"/>
    <w:rsid w:val="00E14368"/>
    <w:rsid w:val="00E14E1F"/>
    <w:rsid w:val="00E15005"/>
    <w:rsid w:val="00E16254"/>
    <w:rsid w:val="00E16372"/>
    <w:rsid w:val="00E16AD8"/>
    <w:rsid w:val="00E16DA0"/>
    <w:rsid w:val="00E17307"/>
    <w:rsid w:val="00E17FFA"/>
    <w:rsid w:val="00E20A24"/>
    <w:rsid w:val="00E20E4D"/>
    <w:rsid w:val="00E20ED6"/>
    <w:rsid w:val="00E21358"/>
    <w:rsid w:val="00E21772"/>
    <w:rsid w:val="00E2249B"/>
    <w:rsid w:val="00E22A0D"/>
    <w:rsid w:val="00E230F9"/>
    <w:rsid w:val="00E232A1"/>
    <w:rsid w:val="00E23D58"/>
    <w:rsid w:val="00E244F6"/>
    <w:rsid w:val="00E24D50"/>
    <w:rsid w:val="00E25123"/>
    <w:rsid w:val="00E25174"/>
    <w:rsid w:val="00E25458"/>
    <w:rsid w:val="00E2550D"/>
    <w:rsid w:val="00E258DB"/>
    <w:rsid w:val="00E26192"/>
    <w:rsid w:val="00E2771E"/>
    <w:rsid w:val="00E30BA6"/>
    <w:rsid w:val="00E311EF"/>
    <w:rsid w:val="00E32180"/>
    <w:rsid w:val="00E3231C"/>
    <w:rsid w:val="00E34948"/>
    <w:rsid w:val="00E371CF"/>
    <w:rsid w:val="00E37569"/>
    <w:rsid w:val="00E3765C"/>
    <w:rsid w:val="00E3765E"/>
    <w:rsid w:val="00E401B2"/>
    <w:rsid w:val="00E40CFF"/>
    <w:rsid w:val="00E41E30"/>
    <w:rsid w:val="00E42065"/>
    <w:rsid w:val="00E42CC9"/>
    <w:rsid w:val="00E42F73"/>
    <w:rsid w:val="00E43D70"/>
    <w:rsid w:val="00E444C7"/>
    <w:rsid w:val="00E444D2"/>
    <w:rsid w:val="00E466F3"/>
    <w:rsid w:val="00E47B2C"/>
    <w:rsid w:val="00E47BC4"/>
    <w:rsid w:val="00E51560"/>
    <w:rsid w:val="00E51821"/>
    <w:rsid w:val="00E5251D"/>
    <w:rsid w:val="00E53FC8"/>
    <w:rsid w:val="00E54347"/>
    <w:rsid w:val="00E55424"/>
    <w:rsid w:val="00E55915"/>
    <w:rsid w:val="00E55AC3"/>
    <w:rsid w:val="00E55BB5"/>
    <w:rsid w:val="00E573F8"/>
    <w:rsid w:val="00E57C84"/>
    <w:rsid w:val="00E6054E"/>
    <w:rsid w:val="00E611DF"/>
    <w:rsid w:val="00E64A7F"/>
    <w:rsid w:val="00E65DA2"/>
    <w:rsid w:val="00E65E79"/>
    <w:rsid w:val="00E66BA2"/>
    <w:rsid w:val="00E66BFC"/>
    <w:rsid w:val="00E67416"/>
    <w:rsid w:val="00E70262"/>
    <w:rsid w:val="00E70CD3"/>
    <w:rsid w:val="00E718B6"/>
    <w:rsid w:val="00E723BA"/>
    <w:rsid w:val="00E72D89"/>
    <w:rsid w:val="00E73581"/>
    <w:rsid w:val="00E73645"/>
    <w:rsid w:val="00E749A6"/>
    <w:rsid w:val="00E761FD"/>
    <w:rsid w:val="00E76630"/>
    <w:rsid w:val="00E779FD"/>
    <w:rsid w:val="00E81731"/>
    <w:rsid w:val="00E829B7"/>
    <w:rsid w:val="00E829BC"/>
    <w:rsid w:val="00E82ECA"/>
    <w:rsid w:val="00E833F7"/>
    <w:rsid w:val="00E83BDF"/>
    <w:rsid w:val="00E83F87"/>
    <w:rsid w:val="00E851FF"/>
    <w:rsid w:val="00E86799"/>
    <w:rsid w:val="00E86FCC"/>
    <w:rsid w:val="00E87A1D"/>
    <w:rsid w:val="00E9094A"/>
    <w:rsid w:val="00E90B70"/>
    <w:rsid w:val="00E91D35"/>
    <w:rsid w:val="00E91DF0"/>
    <w:rsid w:val="00E926A5"/>
    <w:rsid w:val="00E93DE6"/>
    <w:rsid w:val="00E942B4"/>
    <w:rsid w:val="00E962CC"/>
    <w:rsid w:val="00E97EFD"/>
    <w:rsid w:val="00EA1580"/>
    <w:rsid w:val="00EA1723"/>
    <w:rsid w:val="00EA17C3"/>
    <w:rsid w:val="00EA1E4D"/>
    <w:rsid w:val="00EA2592"/>
    <w:rsid w:val="00EA2CAA"/>
    <w:rsid w:val="00EA3864"/>
    <w:rsid w:val="00EA475B"/>
    <w:rsid w:val="00EA55A1"/>
    <w:rsid w:val="00EA768C"/>
    <w:rsid w:val="00EA7D4C"/>
    <w:rsid w:val="00EA7F1C"/>
    <w:rsid w:val="00EB15B6"/>
    <w:rsid w:val="00EB15EB"/>
    <w:rsid w:val="00EB2D86"/>
    <w:rsid w:val="00EB34A7"/>
    <w:rsid w:val="00EB3D06"/>
    <w:rsid w:val="00EB4916"/>
    <w:rsid w:val="00EB5B85"/>
    <w:rsid w:val="00EB7B72"/>
    <w:rsid w:val="00EC00C9"/>
    <w:rsid w:val="00EC0DD9"/>
    <w:rsid w:val="00EC22FB"/>
    <w:rsid w:val="00EC2649"/>
    <w:rsid w:val="00EC2A12"/>
    <w:rsid w:val="00EC31ED"/>
    <w:rsid w:val="00EC35A9"/>
    <w:rsid w:val="00EC3B86"/>
    <w:rsid w:val="00EC3BD0"/>
    <w:rsid w:val="00EC4961"/>
    <w:rsid w:val="00EC51B6"/>
    <w:rsid w:val="00EC540F"/>
    <w:rsid w:val="00EC5836"/>
    <w:rsid w:val="00EC688C"/>
    <w:rsid w:val="00EC766C"/>
    <w:rsid w:val="00ED12E3"/>
    <w:rsid w:val="00ED15FA"/>
    <w:rsid w:val="00ED185D"/>
    <w:rsid w:val="00ED2CF2"/>
    <w:rsid w:val="00ED35A9"/>
    <w:rsid w:val="00ED4B04"/>
    <w:rsid w:val="00ED57EA"/>
    <w:rsid w:val="00ED5BD4"/>
    <w:rsid w:val="00ED5DC5"/>
    <w:rsid w:val="00ED7446"/>
    <w:rsid w:val="00ED7B6D"/>
    <w:rsid w:val="00EE00C5"/>
    <w:rsid w:val="00EE0413"/>
    <w:rsid w:val="00EE07D3"/>
    <w:rsid w:val="00EE1996"/>
    <w:rsid w:val="00EE1C01"/>
    <w:rsid w:val="00EE22AF"/>
    <w:rsid w:val="00EE2BF2"/>
    <w:rsid w:val="00EE54D6"/>
    <w:rsid w:val="00EE5C23"/>
    <w:rsid w:val="00EE652A"/>
    <w:rsid w:val="00EE6956"/>
    <w:rsid w:val="00EE6CD2"/>
    <w:rsid w:val="00EE70A3"/>
    <w:rsid w:val="00EE7374"/>
    <w:rsid w:val="00EE7DC2"/>
    <w:rsid w:val="00EF0171"/>
    <w:rsid w:val="00EF0BCE"/>
    <w:rsid w:val="00EF0D2F"/>
    <w:rsid w:val="00EF0F46"/>
    <w:rsid w:val="00EF146E"/>
    <w:rsid w:val="00EF16AE"/>
    <w:rsid w:val="00EF1B25"/>
    <w:rsid w:val="00EF1DA0"/>
    <w:rsid w:val="00EF3D53"/>
    <w:rsid w:val="00EF4747"/>
    <w:rsid w:val="00EF4BF8"/>
    <w:rsid w:val="00EF6087"/>
    <w:rsid w:val="00EF6E0C"/>
    <w:rsid w:val="00EF731B"/>
    <w:rsid w:val="00F02253"/>
    <w:rsid w:val="00F0287F"/>
    <w:rsid w:val="00F03547"/>
    <w:rsid w:val="00F03C2E"/>
    <w:rsid w:val="00F04A66"/>
    <w:rsid w:val="00F04B4B"/>
    <w:rsid w:val="00F0516C"/>
    <w:rsid w:val="00F067A2"/>
    <w:rsid w:val="00F0760B"/>
    <w:rsid w:val="00F07693"/>
    <w:rsid w:val="00F07B9E"/>
    <w:rsid w:val="00F07EF6"/>
    <w:rsid w:val="00F1020D"/>
    <w:rsid w:val="00F1025F"/>
    <w:rsid w:val="00F1116F"/>
    <w:rsid w:val="00F11ACD"/>
    <w:rsid w:val="00F11C39"/>
    <w:rsid w:val="00F1263A"/>
    <w:rsid w:val="00F139C5"/>
    <w:rsid w:val="00F1440A"/>
    <w:rsid w:val="00F148E5"/>
    <w:rsid w:val="00F14E31"/>
    <w:rsid w:val="00F15B20"/>
    <w:rsid w:val="00F15B77"/>
    <w:rsid w:val="00F17264"/>
    <w:rsid w:val="00F1732B"/>
    <w:rsid w:val="00F1765F"/>
    <w:rsid w:val="00F179D8"/>
    <w:rsid w:val="00F21236"/>
    <w:rsid w:val="00F21466"/>
    <w:rsid w:val="00F22634"/>
    <w:rsid w:val="00F229BA"/>
    <w:rsid w:val="00F239DF"/>
    <w:rsid w:val="00F24837"/>
    <w:rsid w:val="00F24C4B"/>
    <w:rsid w:val="00F256B3"/>
    <w:rsid w:val="00F2575F"/>
    <w:rsid w:val="00F26C81"/>
    <w:rsid w:val="00F27565"/>
    <w:rsid w:val="00F304C1"/>
    <w:rsid w:val="00F310D4"/>
    <w:rsid w:val="00F31D26"/>
    <w:rsid w:val="00F31D5A"/>
    <w:rsid w:val="00F3228A"/>
    <w:rsid w:val="00F33975"/>
    <w:rsid w:val="00F33DE9"/>
    <w:rsid w:val="00F3543F"/>
    <w:rsid w:val="00F355AD"/>
    <w:rsid w:val="00F35E09"/>
    <w:rsid w:val="00F35E6D"/>
    <w:rsid w:val="00F3619A"/>
    <w:rsid w:val="00F368B2"/>
    <w:rsid w:val="00F36DB3"/>
    <w:rsid w:val="00F37BA4"/>
    <w:rsid w:val="00F40442"/>
    <w:rsid w:val="00F40AAA"/>
    <w:rsid w:val="00F40BA7"/>
    <w:rsid w:val="00F40F9D"/>
    <w:rsid w:val="00F41396"/>
    <w:rsid w:val="00F418C6"/>
    <w:rsid w:val="00F41ACD"/>
    <w:rsid w:val="00F43823"/>
    <w:rsid w:val="00F43968"/>
    <w:rsid w:val="00F44003"/>
    <w:rsid w:val="00F46679"/>
    <w:rsid w:val="00F46CB6"/>
    <w:rsid w:val="00F4756D"/>
    <w:rsid w:val="00F4784E"/>
    <w:rsid w:val="00F47DE8"/>
    <w:rsid w:val="00F51A73"/>
    <w:rsid w:val="00F52614"/>
    <w:rsid w:val="00F53A66"/>
    <w:rsid w:val="00F542C1"/>
    <w:rsid w:val="00F54FE2"/>
    <w:rsid w:val="00F550E3"/>
    <w:rsid w:val="00F55BD3"/>
    <w:rsid w:val="00F55E73"/>
    <w:rsid w:val="00F55EDA"/>
    <w:rsid w:val="00F56012"/>
    <w:rsid w:val="00F56241"/>
    <w:rsid w:val="00F56C80"/>
    <w:rsid w:val="00F60092"/>
    <w:rsid w:val="00F60E51"/>
    <w:rsid w:val="00F61072"/>
    <w:rsid w:val="00F614C3"/>
    <w:rsid w:val="00F61C18"/>
    <w:rsid w:val="00F62790"/>
    <w:rsid w:val="00F62E82"/>
    <w:rsid w:val="00F63296"/>
    <w:rsid w:val="00F63913"/>
    <w:rsid w:val="00F6393D"/>
    <w:rsid w:val="00F65F4B"/>
    <w:rsid w:val="00F66348"/>
    <w:rsid w:val="00F67548"/>
    <w:rsid w:val="00F67A69"/>
    <w:rsid w:val="00F67B51"/>
    <w:rsid w:val="00F704D6"/>
    <w:rsid w:val="00F70BFF"/>
    <w:rsid w:val="00F70C62"/>
    <w:rsid w:val="00F70C9D"/>
    <w:rsid w:val="00F73E08"/>
    <w:rsid w:val="00F74CD9"/>
    <w:rsid w:val="00F75D42"/>
    <w:rsid w:val="00F77084"/>
    <w:rsid w:val="00F7759C"/>
    <w:rsid w:val="00F77FA7"/>
    <w:rsid w:val="00F80A7B"/>
    <w:rsid w:val="00F80E5D"/>
    <w:rsid w:val="00F81654"/>
    <w:rsid w:val="00F81E78"/>
    <w:rsid w:val="00F8288D"/>
    <w:rsid w:val="00F82906"/>
    <w:rsid w:val="00F83916"/>
    <w:rsid w:val="00F8391E"/>
    <w:rsid w:val="00F83C57"/>
    <w:rsid w:val="00F8430C"/>
    <w:rsid w:val="00F851CE"/>
    <w:rsid w:val="00F852A3"/>
    <w:rsid w:val="00F85569"/>
    <w:rsid w:val="00F86410"/>
    <w:rsid w:val="00F86A8F"/>
    <w:rsid w:val="00F9065C"/>
    <w:rsid w:val="00F906AB"/>
    <w:rsid w:val="00F91219"/>
    <w:rsid w:val="00F92444"/>
    <w:rsid w:val="00F924C2"/>
    <w:rsid w:val="00F9393E"/>
    <w:rsid w:val="00F95348"/>
    <w:rsid w:val="00F9672C"/>
    <w:rsid w:val="00F968D8"/>
    <w:rsid w:val="00F96F9C"/>
    <w:rsid w:val="00F96FD0"/>
    <w:rsid w:val="00F972C6"/>
    <w:rsid w:val="00F974AE"/>
    <w:rsid w:val="00F9788E"/>
    <w:rsid w:val="00F97A78"/>
    <w:rsid w:val="00F97C68"/>
    <w:rsid w:val="00F97C77"/>
    <w:rsid w:val="00FA00E3"/>
    <w:rsid w:val="00FA02BF"/>
    <w:rsid w:val="00FA0659"/>
    <w:rsid w:val="00FA0B20"/>
    <w:rsid w:val="00FA14B3"/>
    <w:rsid w:val="00FA24E7"/>
    <w:rsid w:val="00FA3A9D"/>
    <w:rsid w:val="00FA510A"/>
    <w:rsid w:val="00FA5EE6"/>
    <w:rsid w:val="00FA7956"/>
    <w:rsid w:val="00FB0824"/>
    <w:rsid w:val="00FB203B"/>
    <w:rsid w:val="00FB23B5"/>
    <w:rsid w:val="00FB2FCB"/>
    <w:rsid w:val="00FB4C9C"/>
    <w:rsid w:val="00FB7C55"/>
    <w:rsid w:val="00FC1074"/>
    <w:rsid w:val="00FC1884"/>
    <w:rsid w:val="00FC325A"/>
    <w:rsid w:val="00FC371D"/>
    <w:rsid w:val="00FC378F"/>
    <w:rsid w:val="00FC50AD"/>
    <w:rsid w:val="00FC5AD0"/>
    <w:rsid w:val="00FC5F0B"/>
    <w:rsid w:val="00FD0BBA"/>
    <w:rsid w:val="00FD181C"/>
    <w:rsid w:val="00FD1AB4"/>
    <w:rsid w:val="00FD1E2D"/>
    <w:rsid w:val="00FD2100"/>
    <w:rsid w:val="00FD436C"/>
    <w:rsid w:val="00FD446D"/>
    <w:rsid w:val="00FD49F1"/>
    <w:rsid w:val="00FD4F2C"/>
    <w:rsid w:val="00FD5993"/>
    <w:rsid w:val="00FD5F89"/>
    <w:rsid w:val="00FD6394"/>
    <w:rsid w:val="00FE0E6C"/>
    <w:rsid w:val="00FE1CDC"/>
    <w:rsid w:val="00FE2D95"/>
    <w:rsid w:val="00FE5A32"/>
    <w:rsid w:val="00FE6009"/>
    <w:rsid w:val="00FE61AD"/>
    <w:rsid w:val="00FE6FC1"/>
    <w:rsid w:val="00FE70C3"/>
    <w:rsid w:val="00FE72F8"/>
    <w:rsid w:val="00FE7670"/>
    <w:rsid w:val="00FE7DA8"/>
    <w:rsid w:val="00FE7E77"/>
    <w:rsid w:val="00FF0632"/>
    <w:rsid w:val="00FF1A8B"/>
    <w:rsid w:val="00FF2AD9"/>
    <w:rsid w:val="00FF359F"/>
    <w:rsid w:val="00FF3750"/>
    <w:rsid w:val="00FF3DCF"/>
    <w:rsid w:val="00FF4416"/>
    <w:rsid w:val="00FF492C"/>
    <w:rsid w:val="00FF4A21"/>
    <w:rsid w:val="00FF5AA3"/>
    <w:rsid w:val="00FF5AD8"/>
    <w:rsid w:val="00FF5BE9"/>
    <w:rsid w:val="00FF66E5"/>
    <w:rsid w:val="00FF6C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A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4" w:uiPriority="3"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F0B"/>
    <w:rPr>
      <w:sz w:val="24"/>
      <w:szCs w:val="24"/>
    </w:rPr>
  </w:style>
  <w:style w:type="paragraph" w:styleId="Heading1">
    <w:name w:val="heading 1"/>
    <w:basedOn w:val="Normal"/>
    <w:next w:val="Normal"/>
    <w:uiPriority w:val="1"/>
    <w:rsid w:val="001B204E"/>
    <w:pPr>
      <w:ind w:left="720" w:hanging="720"/>
      <w:jc w:val="both"/>
      <w:outlineLvl w:val="0"/>
    </w:pPr>
    <w:rPr>
      <w:rFonts w:ascii="Calibri" w:hAnsi="Calibri" w:cs="Arial"/>
      <w:b/>
      <w:caps/>
      <w:sz w:val="32"/>
    </w:rPr>
  </w:style>
  <w:style w:type="paragraph" w:styleId="Heading2">
    <w:name w:val="heading 2"/>
    <w:basedOn w:val="Normal"/>
    <w:next w:val="Normal"/>
    <w:link w:val="Heading2Char"/>
    <w:rsid w:val="001B204E"/>
    <w:pPr>
      <w:jc w:val="both"/>
      <w:outlineLvl w:val="1"/>
    </w:pPr>
    <w:rPr>
      <w:rFonts w:ascii="Calibri" w:hAnsi="Calibri" w:cs="Arial"/>
      <w:b/>
      <w:i/>
      <w:sz w:val="28"/>
    </w:rPr>
  </w:style>
  <w:style w:type="paragraph" w:styleId="Heading3">
    <w:name w:val="heading 3"/>
    <w:basedOn w:val="Normal"/>
    <w:next w:val="Normal"/>
    <w:rsid w:val="001F7361"/>
    <w:pPr>
      <w:jc w:val="both"/>
      <w:outlineLvl w:val="2"/>
    </w:pPr>
    <w:rPr>
      <w:rFonts w:ascii="Calibri" w:hAnsi="Calibri" w:cs="Arial"/>
      <w:u w:val="single"/>
    </w:rPr>
  </w:style>
  <w:style w:type="paragraph" w:styleId="Heading4">
    <w:name w:val="heading 4"/>
    <w:basedOn w:val="Normal"/>
    <w:next w:val="Normal"/>
    <w:link w:val="Heading4Char"/>
    <w:uiPriority w:val="3"/>
    <w:qFormat/>
    <w:rsid w:val="00124A51"/>
    <w:pPr>
      <w:keepNext/>
      <w:spacing w:before="240" w:after="60"/>
      <w:jc w:val="both"/>
      <w:outlineLvl w:val="3"/>
    </w:pPr>
    <w:rPr>
      <w:rFonts w:ascii="Calibri" w:hAnsi="Calibri" w:cs="Arial"/>
      <w:b/>
      <w:bCs/>
      <w:i/>
      <w:sz w:val="26"/>
      <w:szCs w:val="28"/>
    </w:rPr>
  </w:style>
  <w:style w:type="paragraph" w:styleId="Heading5">
    <w:name w:val="heading 5"/>
    <w:basedOn w:val="Normal"/>
    <w:next w:val="Normal"/>
    <w:link w:val="Heading5Char"/>
    <w:rsid w:val="00124A51"/>
    <w:pPr>
      <w:spacing w:before="240" w:after="60"/>
      <w:jc w:val="both"/>
      <w:outlineLvl w:val="4"/>
    </w:pPr>
    <w:rPr>
      <w:rFonts w:ascii="Calibri" w:hAnsi="Calibri" w:cs="Arial"/>
      <w:b/>
      <w:bCs/>
      <w:iCs/>
      <w:sz w:val="26"/>
      <w:szCs w:val="26"/>
    </w:rPr>
  </w:style>
  <w:style w:type="paragraph" w:styleId="Heading6">
    <w:name w:val="heading 6"/>
    <w:basedOn w:val="Normal"/>
    <w:next w:val="Normal"/>
    <w:rsid w:val="00124A51"/>
    <w:pPr>
      <w:spacing w:before="240" w:after="60"/>
      <w:jc w:val="both"/>
      <w:outlineLvl w:val="5"/>
    </w:pPr>
    <w:rPr>
      <w:rFonts w:ascii="Calibri" w:hAnsi="Calibri" w:cs="Arial"/>
      <w:b/>
      <w:bCs/>
      <w:i/>
    </w:rPr>
  </w:style>
  <w:style w:type="paragraph" w:styleId="Heading7">
    <w:name w:val="heading 7"/>
    <w:basedOn w:val="Normal"/>
    <w:next w:val="Normal"/>
    <w:link w:val="Heading7Char"/>
    <w:rsid w:val="00124A51"/>
    <w:pPr>
      <w:keepNext/>
      <w:jc w:val="center"/>
      <w:outlineLvl w:val="6"/>
    </w:pPr>
    <w:rPr>
      <w:rFonts w:ascii="Calibri" w:hAnsi="Calibri" w:cs="Arial"/>
      <w:b/>
      <w:sz w:val="20"/>
    </w:rPr>
  </w:style>
  <w:style w:type="paragraph" w:styleId="Heading8">
    <w:name w:val="heading 8"/>
    <w:basedOn w:val="Normal"/>
    <w:next w:val="Normal"/>
    <w:link w:val="Heading8Char"/>
    <w:uiPriority w:val="7"/>
    <w:rsid w:val="00124A51"/>
    <w:pPr>
      <w:keepNext/>
      <w:jc w:val="right"/>
      <w:outlineLvl w:val="7"/>
    </w:pPr>
    <w:rPr>
      <w:rFonts w:ascii="Calibri" w:hAnsi="Calibri" w:cs="Arial"/>
      <w:b/>
    </w:rPr>
  </w:style>
  <w:style w:type="paragraph" w:styleId="Heading9">
    <w:name w:val="heading 9"/>
    <w:basedOn w:val="Normal"/>
    <w:next w:val="Normal"/>
    <w:link w:val="Heading9Char"/>
    <w:rsid w:val="00124A51"/>
    <w:pPr>
      <w:keepNext/>
      <w:jc w:val="center"/>
      <w:outlineLvl w:val="8"/>
    </w:pPr>
    <w:rPr>
      <w:rFonts w:ascii="Calibri" w:hAnsi="Calibri"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pPr>
      <w:jc w:val="both"/>
    </w:pPr>
    <w:rPr>
      <w:rFonts w:ascii="Arial Narrow" w:hAnsi="Arial Narrow" w:cs="Arial"/>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pPr>
      <w:jc w:val="both"/>
    </w:pPr>
    <w:rPr>
      <w:rFonts w:ascii="Calibri" w:hAnsi="Calibri" w:cs="Arial"/>
      <w:b/>
      <w:sz w:val="20"/>
    </w:rPr>
  </w:style>
  <w:style w:type="paragraph" w:styleId="Caption">
    <w:name w:val="caption"/>
    <w:aliases w:val="Caption Char1,Caption Char Char,Char Char Char,Char Char1,Table caption,IB Caption,Medical Caption,Medical Caption Char,Caption Char1 Char Char,Caption Char Char Char Char,Caption Char Char Char Char Char,Caption Char1 Char1,c,Caption 3,appendix"/>
    <w:basedOn w:val="Normal"/>
    <w:next w:val="Normal"/>
    <w:link w:val="CaptionChar"/>
    <w:uiPriority w:val="35"/>
    <w:unhideWhenUsed/>
    <w:qFormat/>
    <w:rsid w:val="00E16AD8"/>
    <w:pPr>
      <w:keepNext/>
      <w:keepLines/>
      <w:jc w:val="both"/>
    </w:pPr>
    <w:rPr>
      <w:rFonts w:ascii="Arial Narrow" w:hAnsi="Arial Narrow" w:cs="Arial"/>
      <w:b/>
      <w:bCs/>
      <w:sz w:val="20"/>
      <w:szCs w:val="18"/>
    </w:rPr>
  </w:style>
  <w:style w:type="character" w:customStyle="1" w:styleId="CaptionChar">
    <w:name w:val="Caption Char"/>
    <w:aliases w:val="Caption Char1 Char,Caption Char Char Char,Char Char Char Char,Char Char1 Char,Table caption Char,IB Caption Char,Medical Caption Char1,Medical Caption Char Char,Caption Char1 Char Char Char,Caption Char Char Char Char Char1,c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cs="Arial"/>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rPr>
      <w:rFonts w:ascii="Calibri" w:hAnsi="Calibri" w:cs="Arial"/>
    </w:r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PBAC ES Paragraph,Figure_name,Numbered Indented Text,Bullet- First level,List NUmber,Listenabsatz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PBAC ES Paragraph Char,Figure_name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rPr>
      <w:rFonts w:ascii="Calibri" w:hAnsi="Calibri" w:cs="Arial"/>
    </w:r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jc w:val="both"/>
    </w:pPr>
    <w:rPr>
      <w:rFonts w:ascii="Calibri" w:hAnsi="Calibri" w:cs="Arial"/>
    </w:r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Table HEADER PBAC,-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rPr>
      <w:rFonts w:ascii="Arial Narrow" w:hAnsi="Arial Narrow"/>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pPr>
    <w:rPr>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pPr>
    <w:rPr>
      <w:rFonts w:ascii="Calibri" w:hAnsi="Calibri" w:cs="Arial"/>
      <w:iCs/>
      <w:sz w:val="20"/>
    </w:rPr>
  </w:style>
  <w:style w:type="paragraph" w:styleId="TOC1">
    <w:name w:val="toc 1"/>
    <w:basedOn w:val="Normal"/>
    <w:next w:val="Normal"/>
    <w:autoRedefine/>
    <w:uiPriority w:val="39"/>
    <w:rsid w:val="005618D4"/>
    <w:pPr>
      <w:tabs>
        <w:tab w:val="left" w:pos="440"/>
        <w:tab w:val="right" w:leader="dot" w:pos="9016"/>
      </w:tabs>
      <w:spacing w:after="120"/>
    </w:pPr>
    <w:rPr>
      <w:rFonts w:ascii="Calibri" w:hAnsi="Calibri" w:cs="Arial"/>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rFonts w:asciiTheme="minorHAnsi" w:hAnsiTheme="minorHAnsi" w:cs="Arial"/>
      <w:sz w:val="20"/>
    </w:rPr>
  </w:style>
  <w:style w:type="paragraph" w:styleId="TOC4">
    <w:name w:val="toc 4"/>
    <w:basedOn w:val="Normal"/>
    <w:next w:val="Normal"/>
    <w:autoRedefine/>
    <w:rsid w:val="00D0262E"/>
    <w:pPr>
      <w:ind w:left="660"/>
    </w:pPr>
    <w:rPr>
      <w:rFonts w:asciiTheme="minorHAnsi" w:hAnsiTheme="minorHAnsi" w:cs="Arial"/>
      <w:sz w:val="20"/>
    </w:rPr>
  </w:style>
  <w:style w:type="paragraph" w:styleId="TOC5">
    <w:name w:val="toc 5"/>
    <w:basedOn w:val="Normal"/>
    <w:next w:val="Normal"/>
    <w:autoRedefine/>
    <w:rsid w:val="00D0262E"/>
    <w:pPr>
      <w:ind w:left="880"/>
    </w:pPr>
    <w:rPr>
      <w:rFonts w:asciiTheme="minorHAnsi" w:hAnsiTheme="minorHAnsi" w:cs="Arial"/>
      <w:sz w:val="20"/>
    </w:rPr>
  </w:style>
  <w:style w:type="paragraph" w:styleId="TOC6">
    <w:name w:val="toc 6"/>
    <w:basedOn w:val="Normal"/>
    <w:next w:val="Normal"/>
    <w:autoRedefine/>
    <w:rsid w:val="00D0262E"/>
    <w:pPr>
      <w:ind w:left="1100"/>
    </w:pPr>
    <w:rPr>
      <w:rFonts w:asciiTheme="minorHAnsi" w:hAnsiTheme="minorHAnsi" w:cs="Arial"/>
      <w:sz w:val="20"/>
    </w:rPr>
  </w:style>
  <w:style w:type="paragraph" w:styleId="TOC7">
    <w:name w:val="toc 7"/>
    <w:basedOn w:val="Normal"/>
    <w:next w:val="Normal"/>
    <w:autoRedefine/>
    <w:rsid w:val="00D0262E"/>
    <w:pPr>
      <w:ind w:left="1320"/>
    </w:pPr>
    <w:rPr>
      <w:rFonts w:asciiTheme="minorHAnsi" w:hAnsiTheme="minorHAnsi" w:cs="Arial"/>
      <w:sz w:val="20"/>
    </w:rPr>
  </w:style>
  <w:style w:type="paragraph" w:styleId="TOC8">
    <w:name w:val="toc 8"/>
    <w:basedOn w:val="Normal"/>
    <w:next w:val="Normal"/>
    <w:autoRedefine/>
    <w:rsid w:val="00D0262E"/>
    <w:pPr>
      <w:ind w:left="1540"/>
    </w:pPr>
    <w:rPr>
      <w:rFonts w:asciiTheme="minorHAnsi" w:hAnsiTheme="minorHAnsi" w:cs="Arial"/>
      <w:sz w:val="20"/>
    </w:rPr>
  </w:style>
  <w:style w:type="paragraph" w:styleId="TOC9">
    <w:name w:val="toc 9"/>
    <w:basedOn w:val="Normal"/>
    <w:next w:val="Normal"/>
    <w:autoRedefine/>
    <w:rsid w:val="00D0262E"/>
    <w:pPr>
      <w:ind w:left="1760"/>
    </w:pPr>
    <w:rPr>
      <w:rFonts w:asciiTheme="minorHAnsi" w:hAnsiTheme="minorHAnsi" w:cs="Arial"/>
      <w:sz w:val="20"/>
    </w:rPr>
  </w:style>
  <w:style w:type="paragraph" w:styleId="CommentText">
    <w:name w:val="annotation text"/>
    <w:basedOn w:val="Normal"/>
    <w:link w:val="CommentTextChar"/>
    <w:rsid w:val="00FD2100"/>
    <w:pPr>
      <w:jc w:val="both"/>
    </w:pPr>
    <w:rPr>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jc w:val="both"/>
    </w:pPr>
    <w:rPr>
      <w:rFonts w:ascii="Calibri" w:hAnsi="Calibri" w:cs="Arial"/>
    </w:r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pPr>
      <w:jc w:val="both"/>
    </w:pPr>
    <w:rPr>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pPr>
      <w:jc w:val="both"/>
    </w:pPr>
    <w:rPr>
      <w:rFonts w:ascii="Calibri" w:hAnsi="Calibri" w:cs="Arial"/>
      <w:i/>
    </w:rPr>
  </w:style>
  <w:style w:type="paragraph" w:styleId="BalloonText">
    <w:name w:val="Balloon Text"/>
    <w:basedOn w:val="Normal"/>
    <w:link w:val="BalloonTextChar"/>
    <w:semiHidden/>
    <w:unhideWhenUsed/>
    <w:rsid w:val="00B34FE2"/>
    <w:pPr>
      <w:jc w:val="both"/>
    </w:pPr>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rFonts w:ascii="Calibri" w:hAnsi="Calibri" w:cs="Arial"/>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jc w:val="both"/>
    </w:pPr>
    <w:rPr>
      <w:rFonts w:ascii="Arial Narrow" w:hAnsi="Arial Narrow" w:cs="Arial"/>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link w:val="ListBulletChar"/>
    <w:unhideWhenUsed/>
    <w:rsid w:val="00EE1996"/>
    <w:pPr>
      <w:numPr>
        <w:numId w:val="4"/>
      </w:numPr>
      <w:contextualSpacing/>
      <w:jc w:val="both"/>
    </w:pPr>
    <w:rPr>
      <w:rFonts w:ascii="Calibri" w:hAnsi="Calibri" w:cs="Arial"/>
    </w:r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jc w:val="both"/>
    </w:pPr>
    <w:rPr>
      <w:rFonts w:asciiTheme="minorHAnsi" w:hAnsiTheme="minorHAnsi" w:cs="Arial"/>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table" w:customStyle="1" w:styleId="HTATableshaded">
    <w:name w:val="HTA Table shaded"/>
    <w:basedOn w:val="TableNormal"/>
    <w:rsid w:val="00EE70A3"/>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BodyTextES">
    <w:name w:val="Body Text ES"/>
    <w:basedOn w:val="BodyText"/>
    <w:qFormat/>
    <w:rsid w:val="00EE70A3"/>
    <w:pPr>
      <w:spacing w:before="120" w:after="120" w:line="288" w:lineRule="auto"/>
      <w:jc w:val="both"/>
    </w:pPr>
    <w:rPr>
      <w:rFonts w:asciiTheme="minorHAnsi" w:eastAsiaTheme="minorHAnsi" w:hAnsiTheme="minorHAnsi" w:cs="Tahoma"/>
      <w:sz w:val="22"/>
      <w:szCs w:val="22"/>
      <w:lang w:eastAsia="en-US"/>
    </w:rPr>
  </w:style>
  <w:style w:type="character" w:customStyle="1" w:styleId="TableNotesChar">
    <w:name w:val="Table Notes Char"/>
    <w:basedOn w:val="DefaultParagraphFont"/>
    <w:link w:val="TableNotes"/>
    <w:uiPriority w:val="6"/>
    <w:locked/>
    <w:rsid w:val="00EE70A3"/>
    <w:rPr>
      <w:rFonts w:ascii="Arial Narrow" w:eastAsiaTheme="majorEastAsia" w:hAnsi="Arial Narrow" w:cstheme="majorBidi"/>
      <w:noProof/>
      <w:sz w:val="16"/>
      <w:lang w:bidi="en-US"/>
    </w:rPr>
  </w:style>
  <w:style w:type="paragraph" w:customStyle="1" w:styleId="TableNotes">
    <w:name w:val="Table Notes"/>
    <w:basedOn w:val="Normal"/>
    <w:link w:val="TableNotesChar"/>
    <w:uiPriority w:val="6"/>
    <w:qFormat/>
    <w:rsid w:val="00EE70A3"/>
    <w:pPr>
      <w:spacing w:after="360"/>
      <w:ind w:firstLine="1"/>
      <w:contextualSpacing/>
      <w:jc w:val="both"/>
    </w:pPr>
    <w:rPr>
      <w:rFonts w:ascii="Arial Narrow" w:eastAsiaTheme="majorEastAsia" w:hAnsi="Arial Narrow" w:cstheme="majorBidi"/>
      <w:noProof/>
      <w:sz w:val="16"/>
      <w:szCs w:val="20"/>
      <w:lang w:bidi="en-US"/>
    </w:rPr>
  </w:style>
  <w:style w:type="paragraph" w:customStyle="1" w:styleId="TableTextIndent">
    <w:name w:val="Table Text Indent"/>
    <w:basedOn w:val="TableText0"/>
    <w:uiPriority w:val="4"/>
    <w:qFormat/>
    <w:rsid w:val="009A659A"/>
    <w:pPr>
      <w:keepNext w:val="0"/>
      <w:spacing w:before="40" w:after="40"/>
      <w:ind w:left="183"/>
    </w:pPr>
    <w:rPr>
      <w:rFonts w:asciiTheme="minorHAnsi" w:eastAsiaTheme="minorHAnsi" w:hAnsiTheme="minorHAnsi" w:cstheme="minorBidi"/>
      <w:bCs w:val="0"/>
      <w:szCs w:val="22"/>
      <w:lang w:val="de-DE" w:eastAsia="en-US"/>
    </w:rPr>
  </w:style>
  <w:style w:type="paragraph" w:customStyle="1" w:styleId="TableText1">
    <w:name w:val="TableText"/>
    <w:basedOn w:val="Normal"/>
    <w:link w:val="TableTextChar1"/>
    <w:uiPriority w:val="1"/>
    <w:qFormat/>
    <w:rsid w:val="00C42977"/>
    <w:pPr>
      <w:spacing w:before="20" w:after="20"/>
    </w:pPr>
    <w:rPr>
      <w:rFonts w:ascii="Calibri" w:hAnsi="Calibri" w:cs="Calibri"/>
      <w:bCs/>
      <w:sz w:val="20"/>
      <w:szCs w:val="20"/>
      <w:lang w:eastAsia="zh-CN"/>
    </w:rPr>
  </w:style>
  <w:style w:type="character" w:customStyle="1" w:styleId="TableTextChar1">
    <w:name w:val="TableText Char"/>
    <w:basedOn w:val="DefaultParagraphFont"/>
    <w:link w:val="TableText1"/>
    <w:uiPriority w:val="1"/>
    <w:rsid w:val="00C42977"/>
    <w:rPr>
      <w:rFonts w:ascii="Calibri" w:hAnsi="Calibri" w:cs="Calibri"/>
      <w:bCs/>
      <w:lang w:eastAsia="zh-CN"/>
    </w:rPr>
  </w:style>
  <w:style w:type="character" w:customStyle="1" w:styleId="FrontpageTahoma10pt">
    <w:name w:val="Front page Tahoma 10pt"/>
    <w:basedOn w:val="DefaultParagraphFont"/>
    <w:uiPriority w:val="1"/>
    <w:qFormat/>
    <w:rsid w:val="00475C34"/>
    <w:rPr>
      <w:rFonts w:ascii="Tahoma" w:hAnsi="Tahoma" w:cs="Tahoma"/>
      <w:sz w:val="20"/>
    </w:rPr>
  </w:style>
  <w:style w:type="paragraph" w:styleId="FootnoteText">
    <w:name w:val="footnote text"/>
    <w:basedOn w:val="Normal"/>
    <w:link w:val="FootnoteTextChar"/>
    <w:unhideWhenUsed/>
    <w:rsid w:val="002428B9"/>
    <w:pPr>
      <w:jc w:val="both"/>
    </w:pPr>
    <w:rPr>
      <w:rFonts w:ascii="Calibri" w:hAnsi="Calibri" w:cs="Arial"/>
      <w:sz w:val="20"/>
      <w:szCs w:val="20"/>
    </w:rPr>
  </w:style>
  <w:style w:type="character" w:customStyle="1" w:styleId="FootnoteTextChar">
    <w:name w:val="Footnote Text Char"/>
    <w:basedOn w:val="DefaultParagraphFont"/>
    <w:link w:val="FootnoteText"/>
    <w:rsid w:val="002428B9"/>
    <w:rPr>
      <w:rFonts w:ascii="Calibri" w:hAnsi="Calibri" w:cs="Arial"/>
    </w:rPr>
  </w:style>
  <w:style w:type="character" w:styleId="FootnoteReference">
    <w:name w:val="footnote reference"/>
    <w:basedOn w:val="DefaultParagraphFont"/>
    <w:unhideWhenUsed/>
    <w:rsid w:val="002428B9"/>
    <w:rPr>
      <w:vertAlign w:val="superscript"/>
    </w:rPr>
  </w:style>
  <w:style w:type="paragraph" w:customStyle="1" w:styleId="TableHeadingleft">
    <w:name w:val="Table Heading left"/>
    <w:basedOn w:val="Normal"/>
    <w:next w:val="Normal"/>
    <w:qFormat/>
    <w:rsid w:val="002508C5"/>
    <w:pPr>
      <w:keepNext/>
      <w:tabs>
        <w:tab w:val="left" w:pos="1134"/>
      </w:tabs>
      <w:spacing w:before="40" w:after="40"/>
      <w:ind w:left="1134" w:hanging="1134"/>
    </w:pPr>
    <w:rPr>
      <w:rFonts w:ascii="Arial Narrow" w:eastAsiaTheme="minorHAnsi" w:hAnsi="Arial Narrow" w:cs="Tahoma"/>
      <w:b/>
      <w:sz w:val="20"/>
      <w:szCs w:val="18"/>
      <w:lang w:val="de-DE" w:eastAsia="en-US"/>
    </w:rPr>
  </w:style>
  <w:style w:type="paragraph" w:customStyle="1" w:styleId="Tablenotes1">
    <w:name w:val="Tablenotes"/>
    <w:basedOn w:val="Normal"/>
    <w:link w:val="TablenotesChar0"/>
    <w:qFormat/>
    <w:rsid w:val="0014658F"/>
    <w:pPr>
      <w:widowControl w:val="0"/>
      <w:spacing w:before="20" w:after="360" w:line="269" w:lineRule="auto"/>
      <w:contextualSpacing/>
    </w:pPr>
    <w:rPr>
      <w:rFonts w:ascii="Arial Narrow" w:hAnsi="Arial Narrow" w:cs="Arial"/>
      <w:snapToGrid w:val="0"/>
      <w:sz w:val="18"/>
      <w:szCs w:val="20"/>
      <w:lang w:eastAsia="en-US"/>
    </w:rPr>
  </w:style>
  <w:style w:type="character" w:customStyle="1" w:styleId="TablenotesChar0">
    <w:name w:val="Tablenotes Char"/>
    <w:basedOn w:val="DefaultParagraphFont"/>
    <w:link w:val="Tablenotes1"/>
    <w:rsid w:val="0014658F"/>
    <w:rPr>
      <w:rFonts w:ascii="Arial Narrow" w:hAnsi="Arial Narrow" w:cs="Arial"/>
      <w:snapToGrid w:val="0"/>
      <w:sz w:val="18"/>
      <w:lang w:eastAsia="en-US"/>
    </w:rPr>
  </w:style>
  <w:style w:type="character" w:customStyle="1" w:styleId="mixed-citation">
    <w:name w:val="mixed-citation"/>
    <w:basedOn w:val="DefaultParagraphFont"/>
    <w:rsid w:val="005627BE"/>
  </w:style>
  <w:style w:type="character" w:customStyle="1" w:styleId="ref-title">
    <w:name w:val="ref-title"/>
    <w:basedOn w:val="DefaultParagraphFont"/>
    <w:rsid w:val="005627BE"/>
  </w:style>
  <w:style w:type="character" w:customStyle="1" w:styleId="ref-journal">
    <w:name w:val="ref-journal"/>
    <w:basedOn w:val="DefaultParagraphFont"/>
    <w:rsid w:val="005627BE"/>
  </w:style>
  <w:style w:type="character" w:customStyle="1" w:styleId="ref-vol">
    <w:name w:val="ref-vol"/>
    <w:basedOn w:val="DefaultParagraphFont"/>
    <w:rsid w:val="005627BE"/>
  </w:style>
  <w:style w:type="paragraph" w:styleId="ListNumber">
    <w:name w:val="List Number"/>
    <w:aliases w:val="List Number 1"/>
    <w:basedOn w:val="Normal"/>
    <w:qFormat/>
    <w:rsid w:val="00DD0CF8"/>
    <w:pPr>
      <w:numPr>
        <w:numId w:val="7"/>
      </w:numPr>
      <w:spacing w:after="120"/>
    </w:pPr>
    <w:rPr>
      <w:rFonts w:ascii="Calibri Light" w:hAnsi="Calibri Light"/>
      <w:sz w:val="22"/>
      <w:lang w:val="en-US" w:eastAsia="en-US"/>
    </w:rPr>
  </w:style>
  <w:style w:type="table" w:customStyle="1" w:styleId="Eviera-2018">
    <w:name w:val="Eviera - 2018"/>
    <w:basedOn w:val="TableNormal"/>
    <w:uiPriority w:val="99"/>
    <w:qFormat/>
    <w:rsid w:val="0039010A"/>
    <w:pPr>
      <w:spacing w:before="40" w:after="40"/>
    </w:pPr>
    <w:rPr>
      <w:rFonts w:ascii="Calibri Light" w:eastAsiaTheme="minorHAnsi" w:hAnsi="Calibri Light" w:cstheme="minorBidi"/>
      <w:sz w:val="18"/>
      <w:szCs w:val="22"/>
      <w:lang w:val="en-US" w:eastAsia="en-US"/>
    </w:r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4" w:space="0" w:color="FFFFFF" w:themeColor="background1"/>
        <w:insideV w:val="single" w:sz="4" w:space="0" w:color="FFFFFF" w:themeColor="background1"/>
      </w:tblBorders>
    </w:tblPr>
    <w:tcPr>
      <w:shd w:val="clear" w:color="auto" w:fill="auto"/>
    </w:tcPr>
    <w:tblStylePr w:type="firstRow">
      <w:pPr>
        <w:jc w:val="center"/>
      </w:pPr>
      <w:rPr>
        <w:rFonts w:ascii="Calibri Light" w:hAnsi="Calibri Light"/>
        <w:b/>
        <w:color w:val="F79646" w:themeColor="accent6"/>
        <w:sz w:val="18"/>
      </w:rPr>
      <w:tblPr/>
      <w:trPr>
        <w:tblHeader/>
      </w:trPr>
      <w:tcPr>
        <w:shd w:val="clear" w:color="auto" w:fill="FFFFFF" w:themeFill="background1"/>
      </w:tcPr>
    </w:tblStylePr>
    <w:tblStylePr w:type="firstCol">
      <w:pPr>
        <w:jc w:val="left"/>
      </w:pPr>
      <w:tblPr/>
      <w:tcPr>
        <w:vAlign w:val="center"/>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Calibri Light" w:hAnsi="Calibri Light"/>
        <w:color w:val="FFFFFF" w:themeColor="background1"/>
        <w:sz w:val="18"/>
      </w:rPr>
      <w:tblPr/>
      <w:tcPr>
        <w:vAlign w:val="center"/>
      </w:tcPr>
    </w:tblStylePr>
  </w:style>
  <w:style w:type="paragraph" w:customStyle="1" w:styleId="AbbreviationTableText">
    <w:name w:val="Abbreviation Table Text"/>
    <w:basedOn w:val="BodyText"/>
    <w:link w:val="AbbreviationTableTextChar"/>
    <w:qFormat/>
    <w:rsid w:val="0039010A"/>
    <w:pPr>
      <w:spacing w:before="60" w:after="60"/>
    </w:pPr>
    <w:rPr>
      <w:rFonts w:ascii="Calibri Light" w:eastAsiaTheme="minorHAnsi" w:hAnsi="Calibri Light" w:cstheme="minorBidi"/>
      <w:sz w:val="22"/>
      <w:lang w:val="en-US" w:eastAsia="en-US"/>
    </w:rPr>
  </w:style>
  <w:style w:type="character" w:customStyle="1" w:styleId="AbbreviationTableTextChar">
    <w:name w:val="Abbreviation Table Text Char"/>
    <w:basedOn w:val="DefaultParagraphFont"/>
    <w:link w:val="AbbreviationTableText"/>
    <w:rsid w:val="0039010A"/>
    <w:rPr>
      <w:rFonts w:ascii="Calibri Light" w:eastAsiaTheme="minorHAnsi" w:hAnsi="Calibri Light" w:cstheme="minorBidi"/>
      <w:sz w:val="22"/>
      <w:szCs w:val="24"/>
      <w:lang w:val="en-US" w:eastAsia="en-US"/>
    </w:rPr>
  </w:style>
  <w:style w:type="paragraph" w:customStyle="1" w:styleId="FirstParagraph">
    <w:name w:val="First Paragraph"/>
    <w:basedOn w:val="BodyText"/>
    <w:next w:val="BodyText"/>
    <w:qFormat/>
    <w:rsid w:val="00FE2D95"/>
    <w:pPr>
      <w:spacing w:before="180" w:after="180"/>
    </w:pPr>
    <w:rPr>
      <w:rFonts w:asciiTheme="minorHAnsi" w:eastAsiaTheme="minorHAnsi" w:hAnsiTheme="minorHAnsi" w:cstheme="minorBidi"/>
      <w:lang w:val="en-US" w:eastAsia="en-US"/>
    </w:rPr>
  </w:style>
  <w:style w:type="table" w:customStyle="1" w:styleId="Table">
    <w:name w:val="Table"/>
    <w:semiHidden/>
    <w:unhideWhenUsed/>
    <w:qFormat/>
    <w:rsid w:val="00FE2D95"/>
    <w:pPr>
      <w:spacing w:after="200"/>
    </w:pPr>
    <w:rPr>
      <w:rFonts w:asciiTheme="minorHAnsi" w:eastAsiaTheme="minorHAnsi" w:hAnsiTheme="minorHAnsi" w:cstheme="minorBidi"/>
      <w:sz w:val="24"/>
      <w:szCs w:val="24"/>
      <w:lang w:val="en-US"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FE2D95"/>
    <w:pPr>
      <w:keepLines w:val="0"/>
      <w:spacing w:after="120"/>
      <w:jc w:val="left"/>
    </w:pPr>
    <w:rPr>
      <w:rFonts w:asciiTheme="minorHAnsi" w:eastAsiaTheme="minorHAnsi" w:hAnsiTheme="minorHAnsi" w:cstheme="minorBidi"/>
      <w:b w:val="0"/>
      <w:bCs w:val="0"/>
      <w:i/>
      <w:sz w:val="24"/>
      <w:szCs w:val="24"/>
      <w:lang w:val="en-US" w:eastAsia="en-US"/>
    </w:rPr>
  </w:style>
  <w:style w:type="character" w:customStyle="1" w:styleId="Heading5Char">
    <w:name w:val="Heading 5 Char"/>
    <w:basedOn w:val="DefaultParagraphFont"/>
    <w:link w:val="Heading5"/>
    <w:rsid w:val="00E66BFC"/>
    <w:rPr>
      <w:rFonts w:ascii="Calibri" w:hAnsi="Calibri" w:cs="Arial"/>
      <w:b/>
      <w:bCs/>
      <w:iCs/>
      <w:sz w:val="26"/>
      <w:szCs w:val="26"/>
    </w:rPr>
  </w:style>
  <w:style w:type="table" w:customStyle="1" w:styleId="TableGrid3">
    <w:name w:val="Table Grid3"/>
    <w:basedOn w:val="TableNormal"/>
    <w:uiPriority w:val="59"/>
    <w:rsid w:val="00E66BFC"/>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ESHeading1">
    <w:name w:val="PBAC ES Heading 1"/>
    <w:basedOn w:val="Heading1"/>
    <w:next w:val="ListParagraph"/>
    <w:uiPriority w:val="1"/>
    <w:qFormat/>
    <w:rsid w:val="00691271"/>
    <w:pPr>
      <w:keepNext/>
      <w:keepLines/>
      <w:tabs>
        <w:tab w:val="left" w:pos="1077"/>
      </w:tabs>
      <w:spacing w:before="240" w:after="120"/>
      <w:jc w:val="left"/>
    </w:pPr>
    <w:rPr>
      <w:rFonts w:asciiTheme="minorHAnsi" w:hAnsiTheme="minorHAnsi"/>
      <w:caps w:val="0"/>
      <w:snapToGrid w:val="0"/>
      <w:szCs w:val="32"/>
      <w:lang w:eastAsia="en-US"/>
    </w:rPr>
  </w:style>
  <w:style w:type="paragraph" w:customStyle="1" w:styleId="PBACESHeading2">
    <w:name w:val="PBAC ES Heading 2"/>
    <w:basedOn w:val="Heading2"/>
    <w:uiPriority w:val="1"/>
    <w:qFormat/>
    <w:rsid w:val="00691271"/>
    <w:pPr>
      <w:keepNext/>
      <w:keepLines/>
      <w:spacing w:before="360" w:after="120"/>
      <w:ind w:left="720" w:hanging="720"/>
      <w:jc w:val="left"/>
    </w:pPr>
    <w:rPr>
      <w:rFonts w:asciiTheme="majorHAnsi" w:eastAsiaTheme="majorEastAsia" w:hAnsiTheme="majorHAnsi" w:cstheme="majorBidi"/>
      <w:snapToGrid w:val="0"/>
      <w:szCs w:val="28"/>
      <w:lang w:eastAsia="en-US"/>
    </w:rPr>
  </w:style>
  <w:style w:type="paragraph" w:customStyle="1" w:styleId="PBACESHeadingCAPS">
    <w:name w:val="PBAC ES Heading CAPS"/>
    <w:basedOn w:val="PBACESHeading2"/>
    <w:uiPriority w:val="1"/>
    <w:qFormat/>
    <w:rsid w:val="00691271"/>
    <w:rPr>
      <w:i w:val="0"/>
      <w:smallCaps/>
      <w:sz w:val="32"/>
    </w:rPr>
  </w:style>
  <w:style w:type="paragraph" w:customStyle="1" w:styleId="PBACESHeading3">
    <w:name w:val="PBAC ES Heading 3"/>
    <w:basedOn w:val="PBACESHeading2"/>
    <w:uiPriority w:val="1"/>
    <w:qFormat/>
    <w:rsid w:val="00691271"/>
    <w:pPr>
      <w:ind w:left="1080" w:hanging="1080"/>
    </w:pPr>
    <w:rPr>
      <w:i w:val="0"/>
      <w:sz w:val="24"/>
    </w:rPr>
  </w:style>
  <w:style w:type="paragraph" w:customStyle="1" w:styleId="MSACHeading1">
    <w:name w:val="MSAC Heading 1"/>
    <w:basedOn w:val="Heading1"/>
    <w:next w:val="Normal"/>
    <w:uiPriority w:val="1"/>
    <w:qFormat/>
    <w:rsid w:val="00691271"/>
    <w:pPr>
      <w:keepNext/>
      <w:keepLines/>
      <w:spacing w:before="160" w:after="240" w:line="259" w:lineRule="auto"/>
      <w:jc w:val="left"/>
    </w:pPr>
    <w:rPr>
      <w:rFonts w:ascii="Arial" w:eastAsiaTheme="majorEastAsia" w:hAnsi="Arial" w:cstheme="majorBidi"/>
      <w:caps w:val="0"/>
      <w:sz w:val="24"/>
      <w:szCs w:val="28"/>
      <w:lang w:eastAsia="en-US"/>
    </w:rPr>
  </w:style>
  <w:style w:type="paragraph" w:customStyle="1" w:styleId="MSACESHeading2">
    <w:name w:val="MSAC ES Heading 2"/>
    <w:basedOn w:val="Heading2"/>
    <w:next w:val="Normal"/>
    <w:uiPriority w:val="1"/>
    <w:qFormat/>
    <w:rsid w:val="00691271"/>
    <w:pPr>
      <w:keepNext/>
      <w:keepLines/>
      <w:spacing w:before="360" w:after="120"/>
      <w:ind w:left="720" w:hanging="720"/>
      <w:jc w:val="left"/>
    </w:pPr>
    <w:rPr>
      <w:rFonts w:ascii="Cambria" w:eastAsiaTheme="majorEastAsia" w:hAnsi="Cambria" w:cstheme="majorBidi"/>
      <w:i w:val="0"/>
      <w:snapToGrid w:val="0"/>
      <w:sz w:val="24"/>
      <w:szCs w:val="28"/>
      <w:lang w:eastAsia="en-US"/>
    </w:rPr>
  </w:style>
  <w:style w:type="paragraph" w:customStyle="1" w:styleId="TableTextRight">
    <w:name w:val="Table Text Right"/>
    <w:basedOn w:val="TableText0"/>
    <w:link w:val="TableTextRightChar"/>
    <w:qFormat/>
    <w:rsid w:val="0077500A"/>
    <w:pPr>
      <w:keepNext w:val="0"/>
      <w:spacing w:before="40" w:after="40"/>
      <w:jc w:val="right"/>
    </w:pPr>
    <w:rPr>
      <w:rFonts w:asciiTheme="minorHAnsi" w:eastAsiaTheme="minorHAnsi" w:hAnsiTheme="minorHAnsi" w:cstheme="minorBidi"/>
      <w:bCs w:val="0"/>
      <w:szCs w:val="22"/>
      <w:lang w:val="de-DE" w:eastAsia="en-US"/>
    </w:rPr>
  </w:style>
  <w:style w:type="character" w:customStyle="1" w:styleId="TableTextRightChar">
    <w:name w:val="Table Text Right Char"/>
    <w:basedOn w:val="DefaultParagraphFont"/>
    <w:link w:val="TableTextRight"/>
    <w:rsid w:val="0077500A"/>
    <w:rPr>
      <w:rFonts w:asciiTheme="minorHAnsi" w:eastAsiaTheme="minorHAnsi" w:hAnsiTheme="minorHAnsi" w:cstheme="minorBidi"/>
      <w:szCs w:val="22"/>
      <w:lang w:val="de-DE" w:eastAsia="en-US"/>
    </w:rPr>
  </w:style>
  <w:style w:type="character" w:customStyle="1" w:styleId="normaltextrun">
    <w:name w:val="normaltextrun"/>
    <w:basedOn w:val="DefaultParagraphFont"/>
    <w:rsid w:val="0077500A"/>
  </w:style>
  <w:style w:type="table" w:customStyle="1" w:styleId="Takeda1">
    <w:name w:val="Takeda1"/>
    <w:basedOn w:val="TableNormal"/>
    <w:uiPriority w:val="99"/>
    <w:rsid w:val="0077500A"/>
    <w:rPr>
      <w:rFonts w:ascii="Calibri Light" w:eastAsiaTheme="minorEastAsia" w:hAnsi="Calibri Light" w:cs="Arial"/>
      <w:szCs w:val="24"/>
      <w:lang w:val="de-DE" w:eastAsia="ja-JP"/>
    </w:rPr>
    <w:tblPr>
      <w:tblStyleRowBandSize w:val="1"/>
      <w:tblStyleColBandSize w:val="1"/>
      <w:tblBorders>
        <w:top w:val="single" w:sz="4" w:space="0" w:color="EE1100"/>
        <w:left w:val="single" w:sz="4" w:space="0" w:color="EE1100"/>
        <w:bottom w:val="single" w:sz="4" w:space="0" w:color="EE1100"/>
        <w:right w:val="single" w:sz="4" w:space="0" w:color="EE1100"/>
        <w:insideH w:val="single" w:sz="4" w:space="0" w:color="EE1100"/>
        <w:insideV w:val="single" w:sz="4" w:space="0" w:color="EE1100"/>
      </w:tblBorders>
    </w:tblPr>
    <w:tcPr>
      <w:vAlign w:val="center"/>
    </w:tcPr>
    <w:tblStylePr w:type="firstRow">
      <w:pPr>
        <w:jc w:val="center"/>
      </w:pPr>
      <w:rPr>
        <w:rFonts w:ascii="Calibri Light" w:hAnsi="Calibri Light"/>
        <w:b/>
        <w:color w:val="FFFFFF" w:themeColor="background1"/>
        <w:sz w:val="20"/>
      </w:rPr>
      <w:tblPr/>
      <w:tcPr>
        <w:tcBorders>
          <w:top w:val="single" w:sz="4" w:space="0" w:color="EE1100"/>
          <w:left w:val="single" w:sz="4" w:space="0" w:color="EE1100"/>
          <w:bottom w:val="single" w:sz="4" w:space="0" w:color="EE1100"/>
          <w:right w:val="single" w:sz="4" w:space="0" w:color="EE1100"/>
          <w:insideH w:val="nil"/>
          <w:insideV w:val="nil"/>
          <w:tl2br w:val="nil"/>
          <w:tr2bl w:val="nil"/>
        </w:tcBorders>
        <w:shd w:val="clear" w:color="auto" w:fill="EE1100"/>
        <w:vAlign w:val="center"/>
      </w:tcPr>
    </w:tblStylePr>
    <w:tblStylePr w:type="band1Vert">
      <w:rPr>
        <w:rFonts w:ascii="Calibri Light" w:hAnsi="Calibri Light"/>
        <w:sz w:val="20"/>
      </w:rPr>
    </w:tblStylePr>
    <w:tblStylePr w:type="band2Vert">
      <w:rPr>
        <w:rFonts w:ascii="Calibri Light" w:hAnsi="Calibri Light"/>
        <w:sz w:val="20"/>
      </w:rPr>
    </w:tblStylePr>
    <w:tblStylePr w:type="band1Horz">
      <w:pPr>
        <w:jc w:val="left"/>
      </w:pPr>
      <w:rPr>
        <w:rFonts w:ascii="Calibri Light" w:hAnsi="Calibri Light"/>
        <w:sz w:val="20"/>
      </w:rPr>
    </w:tblStylePr>
    <w:tblStylePr w:type="band2Horz">
      <w:pPr>
        <w:jc w:val="left"/>
      </w:pPr>
      <w:rPr>
        <w:rFonts w:ascii="Calibri Light" w:hAnsi="Calibri Light"/>
        <w:sz w:val="20"/>
      </w:rPr>
      <w:tblPr/>
      <w:tcPr>
        <w:vAlign w:val="center"/>
      </w:tcPr>
    </w:tblStylePr>
  </w:style>
  <w:style w:type="character" w:customStyle="1" w:styleId="Heading4Char">
    <w:name w:val="Heading 4 Char"/>
    <w:basedOn w:val="DefaultParagraphFont"/>
    <w:link w:val="Heading4"/>
    <w:uiPriority w:val="3"/>
    <w:rsid w:val="0077500A"/>
    <w:rPr>
      <w:rFonts w:ascii="Calibri" w:hAnsi="Calibri" w:cs="Arial"/>
      <w:b/>
      <w:bCs/>
      <w:i/>
      <w:sz w:val="26"/>
      <w:szCs w:val="28"/>
    </w:rPr>
  </w:style>
  <w:style w:type="paragraph" w:customStyle="1" w:styleId="AUBodyCopy-noSpaceAfter">
    <w:name w:val="AU Body Copy - no Space After"/>
    <w:basedOn w:val="Normal"/>
    <w:rsid w:val="0077500A"/>
    <w:rPr>
      <w:szCs w:val="20"/>
      <w:lang w:eastAsia="en-US"/>
    </w:rPr>
  </w:style>
  <w:style w:type="paragraph" w:customStyle="1" w:styleId="EndNoteBibliographyTitle">
    <w:name w:val="EndNote Bibliography Title"/>
    <w:basedOn w:val="Normal"/>
    <w:link w:val="EndNoteBibliographyTitleChar"/>
    <w:rsid w:val="00B4005F"/>
    <w:pPr>
      <w:jc w:val="center"/>
    </w:pPr>
    <w:rPr>
      <w:noProof/>
    </w:rPr>
  </w:style>
  <w:style w:type="character" w:customStyle="1" w:styleId="ListBulletChar">
    <w:name w:val="List Bullet Char"/>
    <w:basedOn w:val="DefaultParagraphFont"/>
    <w:link w:val="ListBullet"/>
    <w:rsid w:val="00B4005F"/>
    <w:rPr>
      <w:rFonts w:ascii="Calibri" w:hAnsi="Calibri" w:cs="Arial"/>
      <w:sz w:val="24"/>
      <w:szCs w:val="24"/>
    </w:rPr>
  </w:style>
  <w:style w:type="character" w:customStyle="1" w:styleId="EndNoteBibliographyTitleChar">
    <w:name w:val="EndNote Bibliography Title Char"/>
    <w:basedOn w:val="ListBulletChar"/>
    <w:link w:val="EndNoteBibliographyTitle"/>
    <w:rsid w:val="00B4005F"/>
    <w:rPr>
      <w:rFonts w:ascii="Calibri" w:hAnsi="Calibri" w:cs="Arial"/>
      <w:noProof/>
      <w:sz w:val="24"/>
      <w:szCs w:val="24"/>
    </w:rPr>
  </w:style>
  <w:style w:type="paragraph" w:customStyle="1" w:styleId="EndNoteBibliography">
    <w:name w:val="EndNote Bibliography"/>
    <w:basedOn w:val="Normal"/>
    <w:link w:val="EndNoteBibliographyChar"/>
    <w:rsid w:val="00B4005F"/>
    <w:rPr>
      <w:noProof/>
    </w:rPr>
  </w:style>
  <w:style w:type="character" w:customStyle="1" w:styleId="EndNoteBibliographyChar">
    <w:name w:val="EndNote Bibliography Char"/>
    <w:basedOn w:val="ListBulletChar"/>
    <w:link w:val="EndNoteBibliography"/>
    <w:rsid w:val="00B4005F"/>
    <w:rPr>
      <w:rFonts w:ascii="Calibri" w:hAnsi="Calibri" w:cs="Arial"/>
      <w:noProof/>
      <w:sz w:val="24"/>
      <w:szCs w:val="24"/>
    </w:rPr>
  </w:style>
  <w:style w:type="table" w:customStyle="1" w:styleId="Submissionstandard1">
    <w:name w:val="Submission standard1"/>
    <w:basedOn w:val="TableNormal"/>
    <w:uiPriority w:val="99"/>
    <w:qFormat/>
    <w:rsid w:val="00386572"/>
    <w:rPr>
      <w:rFonts w:ascii="Arial Narrow" w:eastAsiaTheme="majorEastAsia" w:hAnsi="Arial Narrow" w:cstheme="majorBidi"/>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Georgia Pro Cond" w:hAnsi="Georgia Pro Cond" w:cstheme="majorBidi" w:hint="default"/>
        <w:b/>
        <w:sz w:val="20"/>
        <w:szCs w:val="20"/>
      </w:rPr>
      <w:tblPr/>
      <w:tcPr>
        <w:shd w:val="clear" w:color="auto" w:fill="BFBFBF" w:themeFill="background1" w:themeFillShade="BF"/>
      </w:tcPr>
    </w:tblStylePr>
  </w:style>
  <w:style w:type="paragraph" w:customStyle="1" w:styleId="OutlineHeading2">
    <w:name w:val="Outline Heading 2"/>
    <w:basedOn w:val="Heading2"/>
    <w:link w:val="OutlineHeading2Char"/>
    <w:uiPriority w:val="3"/>
    <w:qFormat/>
    <w:rsid w:val="00160D41"/>
    <w:pPr>
      <w:keepNext/>
      <w:keepLines/>
      <w:spacing w:before="360" w:after="120"/>
      <w:jc w:val="left"/>
    </w:pPr>
    <w:rPr>
      <w:rFonts w:ascii="Arial" w:eastAsiaTheme="majorEastAsia" w:hAnsi="Arial" w:cstheme="majorBidi"/>
      <w:snapToGrid w:val="0"/>
      <w:szCs w:val="28"/>
      <w:lang w:eastAsia="en-US"/>
    </w:rPr>
  </w:style>
  <w:style w:type="character" w:customStyle="1" w:styleId="OutlineHeading2Char">
    <w:name w:val="Outline Heading 2 Char"/>
    <w:basedOn w:val="Heading2Char"/>
    <w:link w:val="OutlineHeading2"/>
    <w:uiPriority w:val="3"/>
    <w:rsid w:val="00160D41"/>
    <w:rPr>
      <w:rFonts w:ascii="Arial" w:eastAsiaTheme="majorEastAsia" w:hAnsi="Arial" w:cstheme="majorBidi"/>
      <w:b/>
      <w:i/>
      <w:snapToGrid w:val="0"/>
      <w:sz w:val="28"/>
      <w:szCs w:val="28"/>
      <w:lang w:eastAsia="en-US"/>
    </w:rPr>
  </w:style>
  <w:style w:type="paragraph" w:customStyle="1" w:styleId="TableFigureFooter">
    <w:name w:val="Table/Figure Footer"/>
    <w:basedOn w:val="Normal"/>
    <w:link w:val="TableFigureFooterChar"/>
    <w:qFormat/>
    <w:rsid w:val="004E06E0"/>
    <w:pPr>
      <w:spacing w:after="120"/>
      <w:contextualSpacing/>
      <w:jc w:val="both"/>
    </w:pPr>
    <w:rPr>
      <w:rFonts w:ascii="Arial Narrow" w:hAnsi="Arial Narrow" w:cs="Arial"/>
      <w:snapToGrid w:val="0"/>
      <w:sz w:val="18"/>
      <w:szCs w:val="22"/>
    </w:rPr>
  </w:style>
  <w:style w:type="character" w:customStyle="1" w:styleId="TableFigureFooterChar">
    <w:name w:val="Table/Figure Footer Char"/>
    <w:link w:val="TableFigureFooter"/>
    <w:rsid w:val="004E06E0"/>
    <w:rPr>
      <w:rFonts w:ascii="Arial Narrow" w:hAnsi="Arial Narrow" w:cs="Arial"/>
      <w:snapToGrid w:val="0"/>
      <w:sz w:val="18"/>
      <w:szCs w:val="22"/>
    </w:rPr>
  </w:style>
  <w:style w:type="character" w:styleId="Emphasis">
    <w:name w:val="Emphasis"/>
    <w:basedOn w:val="DefaultParagraphFont"/>
    <w:uiPriority w:val="20"/>
    <w:qFormat/>
    <w:rsid w:val="00461A9F"/>
    <w:rPr>
      <w:i/>
      <w:iCs/>
    </w:rPr>
  </w:style>
  <w:style w:type="character" w:customStyle="1" w:styleId="UnresolvedMention1">
    <w:name w:val="Unresolved Mention1"/>
    <w:basedOn w:val="DefaultParagraphFont"/>
    <w:uiPriority w:val="99"/>
    <w:semiHidden/>
    <w:unhideWhenUsed/>
    <w:rsid w:val="00461A9F"/>
    <w:rPr>
      <w:color w:val="605E5C"/>
      <w:shd w:val="clear" w:color="auto" w:fill="E1DFDD"/>
    </w:rPr>
  </w:style>
  <w:style w:type="paragraph" w:customStyle="1" w:styleId="InstructionBulletpoint">
    <w:name w:val="Instruction Bullet point"/>
    <w:basedOn w:val="Normal"/>
    <w:link w:val="InstructionBulletpointChar"/>
    <w:uiPriority w:val="3"/>
    <w:qFormat/>
    <w:rsid w:val="00F148E5"/>
    <w:pPr>
      <w:numPr>
        <w:numId w:val="12"/>
      </w:numPr>
      <w:spacing w:before="120" w:after="120"/>
      <w:ind w:left="714" w:hanging="357"/>
    </w:pPr>
    <w:rPr>
      <w:rFonts w:ascii="Calibri" w:eastAsiaTheme="minorHAnsi" w:hAnsi="Calibri" w:cstheme="minorBidi"/>
      <w:color w:val="0070C0"/>
      <w:szCs w:val="22"/>
      <w:lang w:eastAsia="en-US"/>
    </w:rPr>
  </w:style>
  <w:style w:type="character" w:customStyle="1" w:styleId="InstructionBulletpointChar">
    <w:name w:val="Instruction Bullet point Char"/>
    <w:basedOn w:val="DefaultParagraphFont"/>
    <w:link w:val="InstructionBulletpoint"/>
    <w:uiPriority w:val="3"/>
    <w:rsid w:val="00F148E5"/>
    <w:rPr>
      <w:rFonts w:ascii="Calibri" w:eastAsiaTheme="minorHAnsi" w:hAnsi="Calibri" w:cstheme="minorBidi"/>
      <w:color w:val="0070C0"/>
      <w:sz w:val="24"/>
      <w:szCs w:val="22"/>
      <w:lang w:eastAsia="en-US"/>
    </w:rPr>
  </w:style>
  <w:style w:type="character" w:styleId="Strong">
    <w:name w:val="Strong"/>
    <w:basedOn w:val="DefaultParagraphFont"/>
    <w:uiPriority w:val="22"/>
    <w:qFormat/>
    <w:rsid w:val="00673468"/>
    <w:rPr>
      <w:iCs/>
    </w:rPr>
  </w:style>
  <w:style w:type="table" w:customStyle="1" w:styleId="TableGrid2">
    <w:name w:val="Table Grid2"/>
    <w:basedOn w:val="TableNormal"/>
    <w:next w:val="TableGrid"/>
    <w:uiPriority w:val="59"/>
    <w:rsid w:val="009C35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headerdoi">
    <w:name w:val="article-header__doi"/>
    <w:basedOn w:val="DefaultParagraphFont"/>
    <w:rsid w:val="00E014F1"/>
  </w:style>
  <w:style w:type="character" w:customStyle="1" w:styleId="citation-doi">
    <w:name w:val="citation-doi"/>
    <w:basedOn w:val="DefaultParagraphFont"/>
    <w:rsid w:val="00E014F1"/>
  </w:style>
  <w:style w:type="paragraph" w:customStyle="1" w:styleId="3-SubsectionHeading">
    <w:name w:val="3-Subsection Heading"/>
    <w:basedOn w:val="Heading2"/>
    <w:next w:val="Normal"/>
    <w:link w:val="3-SubsectionHeadingChar"/>
    <w:qFormat/>
    <w:rsid w:val="0094470D"/>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94470D"/>
    <w:rPr>
      <w:rFonts w:asciiTheme="minorHAnsi" w:eastAsiaTheme="majorEastAsia" w:hAnsiTheme="minorHAnsi" w:cstheme="majorBidi"/>
      <w:b/>
      <w:i/>
      <w:snapToGrid/>
      <w:spacing w:val="5"/>
      <w:kern w:val="28"/>
      <w:sz w:val="28"/>
      <w:szCs w:val="36"/>
      <w:lang w:eastAsia="en-US"/>
    </w:rPr>
  </w:style>
  <w:style w:type="paragraph" w:styleId="BodyText3">
    <w:name w:val="Body Text 3"/>
    <w:basedOn w:val="Normal"/>
    <w:link w:val="BodyText3Char"/>
    <w:semiHidden/>
    <w:unhideWhenUsed/>
    <w:rsid w:val="00E076E9"/>
    <w:pPr>
      <w:spacing w:after="120"/>
    </w:pPr>
    <w:rPr>
      <w:sz w:val="16"/>
      <w:szCs w:val="16"/>
    </w:rPr>
  </w:style>
  <w:style w:type="character" w:customStyle="1" w:styleId="BodyText3Char">
    <w:name w:val="Body Text 3 Char"/>
    <w:basedOn w:val="DefaultParagraphFont"/>
    <w:link w:val="BodyText3"/>
    <w:semiHidden/>
    <w:rsid w:val="00E076E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1981">
      <w:bodyDiv w:val="1"/>
      <w:marLeft w:val="0"/>
      <w:marRight w:val="0"/>
      <w:marTop w:val="0"/>
      <w:marBottom w:val="0"/>
      <w:divBdr>
        <w:top w:val="none" w:sz="0" w:space="0" w:color="auto"/>
        <w:left w:val="none" w:sz="0" w:space="0" w:color="auto"/>
        <w:bottom w:val="none" w:sz="0" w:space="0" w:color="auto"/>
        <w:right w:val="none" w:sz="0" w:space="0" w:color="auto"/>
      </w:divBdr>
    </w:div>
    <w:div w:id="37703061">
      <w:bodyDiv w:val="1"/>
      <w:marLeft w:val="0"/>
      <w:marRight w:val="0"/>
      <w:marTop w:val="0"/>
      <w:marBottom w:val="0"/>
      <w:divBdr>
        <w:top w:val="none" w:sz="0" w:space="0" w:color="auto"/>
        <w:left w:val="none" w:sz="0" w:space="0" w:color="auto"/>
        <w:bottom w:val="none" w:sz="0" w:space="0" w:color="auto"/>
        <w:right w:val="none" w:sz="0" w:space="0" w:color="auto"/>
      </w:divBdr>
    </w:div>
    <w:div w:id="100419443">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5412488">
      <w:bodyDiv w:val="1"/>
      <w:marLeft w:val="0"/>
      <w:marRight w:val="0"/>
      <w:marTop w:val="0"/>
      <w:marBottom w:val="0"/>
      <w:divBdr>
        <w:top w:val="none" w:sz="0" w:space="0" w:color="auto"/>
        <w:left w:val="none" w:sz="0" w:space="0" w:color="auto"/>
        <w:bottom w:val="none" w:sz="0" w:space="0" w:color="auto"/>
        <w:right w:val="none" w:sz="0" w:space="0" w:color="auto"/>
      </w:divBdr>
    </w:div>
    <w:div w:id="161749946">
      <w:bodyDiv w:val="1"/>
      <w:marLeft w:val="0"/>
      <w:marRight w:val="0"/>
      <w:marTop w:val="0"/>
      <w:marBottom w:val="0"/>
      <w:divBdr>
        <w:top w:val="none" w:sz="0" w:space="0" w:color="auto"/>
        <w:left w:val="none" w:sz="0" w:space="0" w:color="auto"/>
        <w:bottom w:val="none" w:sz="0" w:space="0" w:color="auto"/>
        <w:right w:val="none" w:sz="0" w:space="0" w:color="auto"/>
      </w:divBdr>
      <w:divsChild>
        <w:div w:id="1299266179">
          <w:marLeft w:val="0"/>
          <w:marRight w:val="0"/>
          <w:marTop w:val="0"/>
          <w:marBottom w:val="0"/>
          <w:divBdr>
            <w:top w:val="none" w:sz="0" w:space="0" w:color="auto"/>
            <w:left w:val="none" w:sz="0" w:space="0" w:color="auto"/>
            <w:bottom w:val="none" w:sz="0" w:space="0" w:color="auto"/>
            <w:right w:val="none" w:sz="0" w:space="0" w:color="auto"/>
          </w:divBdr>
        </w:div>
        <w:div w:id="1554541871">
          <w:marLeft w:val="0"/>
          <w:marRight w:val="0"/>
          <w:marTop w:val="0"/>
          <w:marBottom w:val="0"/>
          <w:divBdr>
            <w:top w:val="none" w:sz="0" w:space="0" w:color="auto"/>
            <w:left w:val="none" w:sz="0" w:space="0" w:color="auto"/>
            <w:bottom w:val="none" w:sz="0" w:space="0" w:color="auto"/>
            <w:right w:val="none" w:sz="0" w:space="0" w:color="auto"/>
          </w:divBdr>
        </w:div>
        <w:div w:id="1411393239">
          <w:marLeft w:val="0"/>
          <w:marRight w:val="0"/>
          <w:marTop w:val="0"/>
          <w:marBottom w:val="0"/>
          <w:divBdr>
            <w:top w:val="none" w:sz="0" w:space="0" w:color="auto"/>
            <w:left w:val="none" w:sz="0" w:space="0" w:color="auto"/>
            <w:bottom w:val="none" w:sz="0" w:space="0" w:color="auto"/>
            <w:right w:val="none" w:sz="0" w:space="0" w:color="auto"/>
          </w:divBdr>
        </w:div>
        <w:div w:id="608241478">
          <w:marLeft w:val="0"/>
          <w:marRight w:val="0"/>
          <w:marTop w:val="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9993920">
      <w:bodyDiv w:val="1"/>
      <w:marLeft w:val="0"/>
      <w:marRight w:val="0"/>
      <w:marTop w:val="0"/>
      <w:marBottom w:val="0"/>
      <w:divBdr>
        <w:top w:val="none" w:sz="0" w:space="0" w:color="auto"/>
        <w:left w:val="none" w:sz="0" w:space="0" w:color="auto"/>
        <w:bottom w:val="none" w:sz="0" w:space="0" w:color="auto"/>
        <w:right w:val="none" w:sz="0" w:space="0" w:color="auto"/>
      </w:divBdr>
    </w:div>
    <w:div w:id="369496075">
      <w:bodyDiv w:val="1"/>
      <w:marLeft w:val="0"/>
      <w:marRight w:val="0"/>
      <w:marTop w:val="0"/>
      <w:marBottom w:val="0"/>
      <w:divBdr>
        <w:top w:val="none" w:sz="0" w:space="0" w:color="auto"/>
        <w:left w:val="none" w:sz="0" w:space="0" w:color="auto"/>
        <w:bottom w:val="none" w:sz="0" w:space="0" w:color="auto"/>
        <w:right w:val="none" w:sz="0" w:space="0" w:color="auto"/>
      </w:divBdr>
    </w:div>
    <w:div w:id="372778046">
      <w:bodyDiv w:val="1"/>
      <w:marLeft w:val="0"/>
      <w:marRight w:val="0"/>
      <w:marTop w:val="0"/>
      <w:marBottom w:val="0"/>
      <w:divBdr>
        <w:top w:val="none" w:sz="0" w:space="0" w:color="auto"/>
        <w:left w:val="none" w:sz="0" w:space="0" w:color="auto"/>
        <w:bottom w:val="none" w:sz="0" w:space="0" w:color="auto"/>
        <w:right w:val="none" w:sz="0" w:space="0" w:color="auto"/>
      </w:divBdr>
    </w:div>
    <w:div w:id="449203059">
      <w:bodyDiv w:val="1"/>
      <w:marLeft w:val="0"/>
      <w:marRight w:val="0"/>
      <w:marTop w:val="0"/>
      <w:marBottom w:val="0"/>
      <w:divBdr>
        <w:top w:val="none" w:sz="0" w:space="0" w:color="auto"/>
        <w:left w:val="none" w:sz="0" w:space="0" w:color="auto"/>
        <w:bottom w:val="none" w:sz="0" w:space="0" w:color="auto"/>
        <w:right w:val="none" w:sz="0" w:space="0" w:color="auto"/>
      </w:divBdr>
    </w:div>
    <w:div w:id="467012089">
      <w:bodyDiv w:val="1"/>
      <w:marLeft w:val="0"/>
      <w:marRight w:val="0"/>
      <w:marTop w:val="0"/>
      <w:marBottom w:val="0"/>
      <w:divBdr>
        <w:top w:val="none" w:sz="0" w:space="0" w:color="auto"/>
        <w:left w:val="none" w:sz="0" w:space="0" w:color="auto"/>
        <w:bottom w:val="none" w:sz="0" w:space="0" w:color="auto"/>
        <w:right w:val="none" w:sz="0" w:space="0" w:color="auto"/>
      </w:divBdr>
    </w:div>
    <w:div w:id="705299750">
      <w:bodyDiv w:val="1"/>
      <w:marLeft w:val="0"/>
      <w:marRight w:val="0"/>
      <w:marTop w:val="0"/>
      <w:marBottom w:val="0"/>
      <w:divBdr>
        <w:top w:val="none" w:sz="0" w:space="0" w:color="auto"/>
        <w:left w:val="none" w:sz="0" w:space="0" w:color="auto"/>
        <w:bottom w:val="none" w:sz="0" w:space="0" w:color="auto"/>
        <w:right w:val="none" w:sz="0" w:space="0" w:color="auto"/>
      </w:divBdr>
    </w:div>
    <w:div w:id="775950720">
      <w:bodyDiv w:val="1"/>
      <w:marLeft w:val="0"/>
      <w:marRight w:val="0"/>
      <w:marTop w:val="0"/>
      <w:marBottom w:val="0"/>
      <w:divBdr>
        <w:top w:val="none" w:sz="0" w:space="0" w:color="auto"/>
        <w:left w:val="none" w:sz="0" w:space="0" w:color="auto"/>
        <w:bottom w:val="none" w:sz="0" w:space="0" w:color="auto"/>
        <w:right w:val="none" w:sz="0" w:space="0" w:color="auto"/>
      </w:divBdr>
    </w:div>
    <w:div w:id="809906864">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56432956">
      <w:bodyDiv w:val="1"/>
      <w:marLeft w:val="0"/>
      <w:marRight w:val="0"/>
      <w:marTop w:val="0"/>
      <w:marBottom w:val="0"/>
      <w:divBdr>
        <w:top w:val="none" w:sz="0" w:space="0" w:color="auto"/>
        <w:left w:val="none" w:sz="0" w:space="0" w:color="auto"/>
        <w:bottom w:val="none" w:sz="0" w:space="0" w:color="auto"/>
        <w:right w:val="none" w:sz="0" w:space="0" w:color="auto"/>
      </w:divBdr>
      <w:divsChild>
        <w:div w:id="1457747880">
          <w:marLeft w:val="360"/>
          <w:marRight w:val="0"/>
          <w:marTop w:val="200"/>
          <w:marBottom w:val="0"/>
          <w:divBdr>
            <w:top w:val="none" w:sz="0" w:space="0" w:color="auto"/>
            <w:left w:val="none" w:sz="0" w:space="0" w:color="auto"/>
            <w:bottom w:val="none" w:sz="0" w:space="0" w:color="auto"/>
            <w:right w:val="none" w:sz="0" w:space="0" w:color="auto"/>
          </w:divBdr>
        </w:div>
        <w:div w:id="484786835">
          <w:marLeft w:val="1080"/>
          <w:marRight w:val="0"/>
          <w:marTop w:val="100"/>
          <w:marBottom w:val="0"/>
          <w:divBdr>
            <w:top w:val="none" w:sz="0" w:space="0" w:color="auto"/>
            <w:left w:val="none" w:sz="0" w:space="0" w:color="auto"/>
            <w:bottom w:val="none" w:sz="0" w:space="0" w:color="auto"/>
            <w:right w:val="none" w:sz="0" w:space="0" w:color="auto"/>
          </w:divBdr>
        </w:div>
        <w:div w:id="979074888">
          <w:marLeft w:val="1080"/>
          <w:marRight w:val="0"/>
          <w:marTop w:val="100"/>
          <w:marBottom w:val="0"/>
          <w:divBdr>
            <w:top w:val="none" w:sz="0" w:space="0" w:color="auto"/>
            <w:left w:val="none" w:sz="0" w:space="0" w:color="auto"/>
            <w:bottom w:val="none" w:sz="0" w:space="0" w:color="auto"/>
            <w:right w:val="none" w:sz="0" w:space="0" w:color="auto"/>
          </w:divBdr>
        </w:div>
        <w:div w:id="890770944">
          <w:marLeft w:val="1080"/>
          <w:marRight w:val="0"/>
          <w:marTop w:val="100"/>
          <w:marBottom w:val="0"/>
          <w:divBdr>
            <w:top w:val="none" w:sz="0" w:space="0" w:color="auto"/>
            <w:left w:val="none" w:sz="0" w:space="0" w:color="auto"/>
            <w:bottom w:val="none" w:sz="0" w:space="0" w:color="auto"/>
            <w:right w:val="none" w:sz="0" w:space="0" w:color="auto"/>
          </w:divBdr>
        </w:div>
        <w:div w:id="290673787">
          <w:marLeft w:val="1080"/>
          <w:marRight w:val="0"/>
          <w:marTop w:val="100"/>
          <w:marBottom w:val="0"/>
          <w:divBdr>
            <w:top w:val="none" w:sz="0" w:space="0" w:color="auto"/>
            <w:left w:val="none" w:sz="0" w:space="0" w:color="auto"/>
            <w:bottom w:val="none" w:sz="0" w:space="0" w:color="auto"/>
            <w:right w:val="none" w:sz="0" w:space="0" w:color="auto"/>
          </w:divBdr>
        </w:div>
        <w:div w:id="1816948722">
          <w:marLeft w:val="1080"/>
          <w:marRight w:val="0"/>
          <w:marTop w:val="100"/>
          <w:marBottom w:val="0"/>
          <w:divBdr>
            <w:top w:val="none" w:sz="0" w:space="0" w:color="auto"/>
            <w:left w:val="none" w:sz="0" w:space="0" w:color="auto"/>
            <w:bottom w:val="none" w:sz="0" w:space="0" w:color="auto"/>
            <w:right w:val="none" w:sz="0" w:space="0" w:color="auto"/>
          </w:divBdr>
        </w:div>
      </w:divsChild>
    </w:div>
    <w:div w:id="963269786">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98666353">
      <w:bodyDiv w:val="1"/>
      <w:marLeft w:val="0"/>
      <w:marRight w:val="0"/>
      <w:marTop w:val="0"/>
      <w:marBottom w:val="0"/>
      <w:divBdr>
        <w:top w:val="none" w:sz="0" w:space="0" w:color="auto"/>
        <w:left w:val="none" w:sz="0" w:space="0" w:color="auto"/>
        <w:bottom w:val="none" w:sz="0" w:space="0" w:color="auto"/>
        <w:right w:val="none" w:sz="0" w:space="0" w:color="auto"/>
      </w:divBdr>
    </w:div>
    <w:div w:id="1219705886">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59173735">
      <w:bodyDiv w:val="1"/>
      <w:marLeft w:val="0"/>
      <w:marRight w:val="0"/>
      <w:marTop w:val="0"/>
      <w:marBottom w:val="0"/>
      <w:divBdr>
        <w:top w:val="none" w:sz="0" w:space="0" w:color="auto"/>
        <w:left w:val="none" w:sz="0" w:space="0" w:color="auto"/>
        <w:bottom w:val="none" w:sz="0" w:space="0" w:color="auto"/>
        <w:right w:val="none" w:sz="0" w:space="0" w:color="auto"/>
      </w:divBdr>
    </w:div>
    <w:div w:id="1323512050">
      <w:bodyDiv w:val="1"/>
      <w:marLeft w:val="0"/>
      <w:marRight w:val="0"/>
      <w:marTop w:val="0"/>
      <w:marBottom w:val="0"/>
      <w:divBdr>
        <w:top w:val="none" w:sz="0" w:space="0" w:color="auto"/>
        <w:left w:val="none" w:sz="0" w:space="0" w:color="auto"/>
        <w:bottom w:val="none" w:sz="0" w:space="0" w:color="auto"/>
        <w:right w:val="none" w:sz="0" w:space="0" w:color="auto"/>
      </w:divBdr>
      <w:divsChild>
        <w:div w:id="1099251150">
          <w:marLeft w:val="360"/>
          <w:marRight w:val="0"/>
          <w:marTop w:val="200"/>
          <w:marBottom w:val="0"/>
          <w:divBdr>
            <w:top w:val="none" w:sz="0" w:space="0" w:color="auto"/>
            <w:left w:val="none" w:sz="0" w:space="0" w:color="auto"/>
            <w:bottom w:val="none" w:sz="0" w:space="0" w:color="auto"/>
            <w:right w:val="none" w:sz="0" w:space="0" w:color="auto"/>
          </w:divBdr>
        </w:div>
        <w:div w:id="125777460">
          <w:marLeft w:val="360"/>
          <w:marRight w:val="0"/>
          <w:marTop w:val="200"/>
          <w:marBottom w:val="0"/>
          <w:divBdr>
            <w:top w:val="none" w:sz="0" w:space="0" w:color="auto"/>
            <w:left w:val="none" w:sz="0" w:space="0" w:color="auto"/>
            <w:bottom w:val="none" w:sz="0" w:space="0" w:color="auto"/>
            <w:right w:val="none" w:sz="0" w:space="0" w:color="auto"/>
          </w:divBdr>
        </w:div>
        <w:div w:id="1190219343">
          <w:marLeft w:val="360"/>
          <w:marRight w:val="0"/>
          <w:marTop w:val="200"/>
          <w:marBottom w:val="0"/>
          <w:divBdr>
            <w:top w:val="none" w:sz="0" w:space="0" w:color="auto"/>
            <w:left w:val="none" w:sz="0" w:space="0" w:color="auto"/>
            <w:bottom w:val="none" w:sz="0" w:space="0" w:color="auto"/>
            <w:right w:val="none" w:sz="0" w:space="0" w:color="auto"/>
          </w:divBdr>
        </w:div>
      </w:divsChild>
    </w:div>
    <w:div w:id="1324046456">
      <w:bodyDiv w:val="1"/>
      <w:marLeft w:val="0"/>
      <w:marRight w:val="0"/>
      <w:marTop w:val="0"/>
      <w:marBottom w:val="0"/>
      <w:divBdr>
        <w:top w:val="none" w:sz="0" w:space="0" w:color="auto"/>
        <w:left w:val="none" w:sz="0" w:space="0" w:color="auto"/>
        <w:bottom w:val="none" w:sz="0" w:space="0" w:color="auto"/>
        <w:right w:val="none" w:sz="0" w:space="0" w:color="auto"/>
      </w:divBdr>
    </w:div>
    <w:div w:id="1384522004">
      <w:bodyDiv w:val="1"/>
      <w:marLeft w:val="0"/>
      <w:marRight w:val="0"/>
      <w:marTop w:val="0"/>
      <w:marBottom w:val="0"/>
      <w:divBdr>
        <w:top w:val="none" w:sz="0" w:space="0" w:color="auto"/>
        <w:left w:val="none" w:sz="0" w:space="0" w:color="auto"/>
        <w:bottom w:val="none" w:sz="0" w:space="0" w:color="auto"/>
        <w:right w:val="none" w:sz="0" w:space="0" w:color="auto"/>
      </w:divBdr>
    </w:div>
    <w:div w:id="1456368484">
      <w:bodyDiv w:val="1"/>
      <w:marLeft w:val="0"/>
      <w:marRight w:val="0"/>
      <w:marTop w:val="0"/>
      <w:marBottom w:val="0"/>
      <w:divBdr>
        <w:top w:val="none" w:sz="0" w:space="0" w:color="auto"/>
        <w:left w:val="none" w:sz="0" w:space="0" w:color="auto"/>
        <w:bottom w:val="none" w:sz="0" w:space="0" w:color="auto"/>
        <w:right w:val="none" w:sz="0" w:space="0" w:color="auto"/>
      </w:divBdr>
    </w:div>
    <w:div w:id="1559048907">
      <w:bodyDiv w:val="1"/>
      <w:marLeft w:val="0"/>
      <w:marRight w:val="0"/>
      <w:marTop w:val="0"/>
      <w:marBottom w:val="0"/>
      <w:divBdr>
        <w:top w:val="none" w:sz="0" w:space="0" w:color="auto"/>
        <w:left w:val="none" w:sz="0" w:space="0" w:color="auto"/>
        <w:bottom w:val="none" w:sz="0" w:space="0" w:color="auto"/>
        <w:right w:val="none" w:sz="0" w:space="0" w:color="auto"/>
      </w:divBdr>
    </w:div>
    <w:div w:id="1626619080">
      <w:bodyDiv w:val="1"/>
      <w:marLeft w:val="0"/>
      <w:marRight w:val="0"/>
      <w:marTop w:val="0"/>
      <w:marBottom w:val="0"/>
      <w:divBdr>
        <w:top w:val="none" w:sz="0" w:space="0" w:color="auto"/>
        <w:left w:val="none" w:sz="0" w:space="0" w:color="auto"/>
        <w:bottom w:val="none" w:sz="0" w:space="0" w:color="auto"/>
        <w:right w:val="none" w:sz="0" w:space="0" w:color="auto"/>
      </w:divBdr>
    </w:div>
    <w:div w:id="1648318013">
      <w:bodyDiv w:val="1"/>
      <w:marLeft w:val="0"/>
      <w:marRight w:val="0"/>
      <w:marTop w:val="0"/>
      <w:marBottom w:val="0"/>
      <w:divBdr>
        <w:top w:val="none" w:sz="0" w:space="0" w:color="auto"/>
        <w:left w:val="none" w:sz="0" w:space="0" w:color="auto"/>
        <w:bottom w:val="none" w:sz="0" w:space="0" w:color="auto"/>
        <w:right w:val="none" w:sz="0" w:space="0" w:color="auto"/>
      </w:divBdr>
    </w:div>
    <w:div w:id="1701205248">
      <w:bodyDiv w:val="1"/>
      <w:marLeft w:val="0"/>
      <w:marRight w:val="0"/>
      <w:marTop w:val="0"/>
      <w:marBottom w:val="0"/>
      <w:divBdr>
        <w:top w:val="none" w:sz="0" w:space="0" w:color="auto"/>
        <w:left w:val="none" w:sz="0" w:space="0" w:color="auto"/>
        <w:bottom w:val="none" w:sz="0" w:space="0" w:color="auto"/>
        <w:right w:val="none" w:sz="0" w:space="0" w:color="auto"/>
      </w:divBdr>
    </w:div>
    <w:div w:id="1714618551">
      <w:bodyDiv w:val="1"/>
      <w:marLeft w:val="0"/>
      <w:marRight w:val="0"/>
      <w:marTop w:val="0"/>
      <w:marBottom w:val="0"/>
      <w:divBdr>
        <w:top w:val="none" w:sz="0" w:space="0" w:color="auto"/>
        <w:left w:val="none" w:sz="0" w:space="0" w:color="auto"/>
        <w:bottom w:val="none" w:sz="0" w:space="0" w:color="auto"/>
        <w:right w:val="none" w:sz="0" w:space="0" w:color="auto"/>
      </w:divBdr>
    </w:div>
    <w:div w:id="189087638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46785649">
      <w:bodyDiv w:val="1"/>
      <w:marLeft w:val="0"/>
      <w:marRight w:val="0"/>
      <w:marTop w:val="0"/>
      <w:marBottom w:val="0"/>
      <w:divBdr>
        <w:top w:val="none" w:sz="0" w:space="0" w:color="auto"/>
        <w:left w:val="none" w:sz="0" w:space="0" w:color="auto"/>
        <w:bottom w:val="none" w:sz="0" w:space="0" w:color="auto"/>
        <w:right w:val="none" w:sz="0" w:space="0" w:color="auto"/>
      </w:divBdr>
      <w:divsChild>
        <w:div w:id="1188376492">
          <w:marLeft w:val="1080"/>
          <w:marRight w:val="0"/>
          <w:marTop w:val="100"/>
          <w:marBottom w:val="0"/>
          <w:divBdr>
            <w:top w:val="none" w:sz="0" w:space="0" w:color="auto"/>
            <w:left w:val="none" w:sz="0" w:space="0" w:color="auto"/>
            <w:bottom w:val="none" w:sz="0" w:space="0" w:color="auto"/>
            <w:right w:val="none" w:sz="0" w:space="0" w:color="auto"/>
          </w:divBdr>
        </w:div>
      </w:divsChild>
    </w:div>
    <w:div w:id="209539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sa=t&amp;rct=j&amp;q=&amp;esrc=s&amp;source=web&amp;cd=&amp;cad=rja&amp;uact=8&amp;ved=2ahUKEwiWvtepi7n5AhXc1HMBHQuEBCwQFnoECBEQAQ&amp;url=https%3A%2F%2Fctep.cancer.gov%2Fprotocoldevelopment%2Felectronic_applications%2Fctc.htm&amp;usg=AOvVaw2jZMZcwZDlaq5G_INz1JYl" TargetMode="External"/><Relationship Id="rId18" Type="http://schemas.openxmlformats.org/officeDocument/2006/relationships/hyperlink" Target="https://www.aihw.gov.au/reports/cancer/cancer-data-in-australi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ncci.canceraustralia.gov.au/diagnosis/distribution-cancer-stage/distribution-cancer-stag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0A13F-9315-4F78-89F0-C84939F1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16460</Words>
  <Characters>92409</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2023-03-02T05:18:00Z</dcterms:created>
  <dcterms:modified xsi:type="dcterms:W3CDTF">2023-03-02T05:20:00Z</dcterms:modified>
</cp:coreProperties>
</file>